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745BEF" w14:textId="55C4350A" w:rsidR="00D07713" w:rsidRPr="00CC0355" w:rsidRDefault="00245B1A">
      <w:pPr>
        <w:rPr>
          <w:rFonts w:ascii="Palatino Linotype" w:hAnsi="Palatino Linotype" w:cstheme="minorHAnsi"/>
        </w:rPr>
      </w:pPr>
      <w:r>
        <w:rPr>
          <w:rFonts w:ascii="Palatino Linotype" w:hAnsi="Palatino Linotype" w:cstheme="minorHAnsi"/>
          <w:noProof/>
          <w:lang w:val="en-GB" w:eastAsia="en-GB"/>
        </w:rPr>
        <mc:AlternateContent>
          <mc:Choice Requires="wps">
            <w:drawing>
              <wp:anchor distT="0" distB="0" distL="114935" distR="114935" simplePos="0" relativeHeight="251658241" behindDoc="0" locked="0" layoutInCell="1" allowOverlap="1" wp14:anchorId="1A71AF94" wp14:editId="5995FB28">
                <wp:simplePos x="0" y="0"/>
                <wp:positionH relativeFrom="column">
                  <wp:posOffset>1797013</wp:posOffset>
                </wp:positionH>
                <wp:positionV relativeFrom="paragraph">
                  <wp:posOffset>-294603</wp:posOffset>
                </wp:positionV>
                <wp:extent cx="3819525" cy="647700"/>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9525" cy="6477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AAA76D" w14:textId="77777777" w:rsidR="00D07713" w:rsidRDefault="00D07713" w:rsidP="00D07713">
                            <w:pPr>
                              <w:pStyle w:val="Heading1"/>
                              <w:rPr>
                                <w:rFonts w:ascii="Times New Roman" w:hAnsi="Times New Roman" w:cs="Times New Roman"/>
                                <w:sz w:val="40"/>
                                <w:szCs w:val="40"/>
                              </w:rPr>
                            </w:pPr>
                            <w:r>
                              <w:rPr>
                                <w:rFonts w:ascii="Times New Roman" w:hAnsi="Times New Roman" w:cs="Times New Roman"/>
                                <w:sz w:val="40"/>
                                <w:szCs w:val="40"/>
                              </w:rPr>
                              <w:t>Growth Assessment:</w:t>
                            </w:r>
                          </w:p>
                          <w:p w14:paraId="28E5CBD4" w14:textId="5F7D9905" w:rsidR="00D07713" w:rsidRPr="00526178" w:rsidRDefault="001537D8" w:rsidP="00D07713">
                            <w:pPr>
                              <w:pStyle w:val="Heading1"/>
                              <w:rPr>
                                <w:b w:val="0"/>
                                <w:bCs w:val="0"/>
                                <w:i/>
                                <w:iCs/>
                              </w:rPr>
                            </w:pPr>
                            <w:r>
                              <w:rPr>
                                <w:rFonts w:ascii="Times New Roman" w:hAnsi="Times New Roman" w:cs="Times New Roman"/>
                                <w:sz w:val="40"/>
                                <w:szCs w:val="40"/>
                              </w:rPr>
                              <w:t>2026 Q2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71AF94" id="_x0000_t202" coordsize="21600,21600" o:spt="202" path="m,l,21600r21600,l21600,xe">
                <v:stroke joinstyle="miter"/>
                <v:path gradientshapeok="t" o:connecttype="rect"/>
              </v:shapetype>
              <v:shape id="Text Box 2" o:spid="_x0000_s1026" type="#_x0000_t202" style="position:absolute;margin-left:141.5pt;margin-top:-23.2pt;width:300.75pt;height:51pt;z-index:251658241;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" stroked="f">
                <v:fill opacity="0"/>
                <v:textbox inset="0,0,0,0">
                  <w:txbxContent>
                    <w:p w14:paraId="37AAA76D" w14:textId="77777777" w:rsidR="00D07713" w:rsidRDefault="00D07713" w:rsidP="00D07713">
                      <w:pPr>
                        <w:pStyle w:val="Balk1"/>
                        <w:rPr>
                          <w:rFonts w:ascii="Times New Roman" w:hAnsi="Times New Roman" w:cs="Times New Roman"/>
                          <w:sz w:val="40"/>
                          <w:szCs w:val="40"/>
                        </w:rPr>
                      </w:pPr>
                      <w:r>
                        <w:rPr>
                          <w:rFonts w:ascii="Times New Roman" w:hAnsi="Times New Roman" w:cs="Times New Roman"/>
                          <w:sz w:val="40"/>
                          <w:szCs w:val="40"/>
                        </w:rPr>
                        <w:t>Growth Assessment:</w:t>
                      </w:r>
                    </w:p>
                    <w:p w14:paraId="28E5CBD4" w14:textId="5F7D9905" w:rsidR="00D07713" w:rsidRPr="00526178" w:rsidRDefault="001537D8" w:rsidP="00D07713">
                      <w:pPr>
                        <w:pStyle w:val="Balk1"/>
                        <w:rPr>
                          <w:b w:val="0"/>
                          <w:bCs w:val="0"/>
                          <w:i/>
                          <w:iCs/>
                        </w:rPr>
                      </w:pPr>
                      <w:r>
                        <w:rPr>
                          <w:rFonts w:ascii="Times New Roman" w:hAnsi="Times New Roman" w:cs="Times New Roman"/>
                          <w:sz w:val="40"/>
                          <w:szCs w:val="40"/>
                        </w:rPr>
                        <w:t>2026 Q2</w:t>
                      </w:r>
                    </w:p>
                  </w:txbxContent>
                </v:textbox>
              </v:shape>
            </w:pict>
          </mc:Fallback>
        </mc:AlternateContent>
      </w:r>
      <w:r>
        <w:rPr>
          <w:noProof/>
          <w:lang w:val="en-GB" w:eastAsia="en-GB"/>
        </w:rPr>
        <w:drawing>
          <wp:anchor distT="0" distB="0" distL="114300" distR="114300" simplePos="0" relativeHeight="251659266" behindDoc="1" locked="0" layoutInCell="1" allowOverlap="1" wp14:anchorId="75ACD14E" wp14:editId="1BDBC6EC">
            <wp:simplePos x="0" y="0"/>
            <wp:positionH relativeFrom="column">
              <wp:posOffset>-658495</wp:posOffset>
            </wp:positionH>
            <wp:positionV relativeFrom="paragraph">
              <wp:posOffset>-685388</wp:posOffset>
            </wp:positionV>
            <wp:extent cx="7141135" cy="1674312"/>
            <wp:effectExtent l="12700" t="12700" r="9525" b="15240"/>
            <wp:wrapNone/>
            <wp:docPr id="1597556025" name="Resim 1" descr="A close-up of a rainbow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556025" name="Resim 1" descr="A close-up of a rainbow  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68453" cy="1704163"/>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1A2A657A" w14:textId="5BF14AB3" w:rsidR="00D07713" w:rsidRDefault="00D07713" w:rsidP="009E4A1F">
      <w:pPr>
        <w:spacing w:line="288" w:lineRule="auto"/>
        <w:ind w:right="-319"/>
        <w:outlineLvl w:val="0"/>
        <w:rPr>
          <w:rFonts w:ascii="Palatino Linotype" w:hAnsi="Palatino Linotype" w:cstheme="minorHAnsi"/>
        </w:rPr>
      </w:pPr>
    </w:p>
    <w:p w14:paraId="48D1A525" w14:textId="05487E48" w:rsidR="009E4A1F" w:rsidRPr="00245B1A" w:rsidRDefault="009E4A1F" w:rsidP="009E4A1F">
      <w:pPr>
        <w:spacing w:line="288" w:lineRule="auto"/>
        <w:ind w:right="-319"/>
        <w:outlineLvl w:val="0"/>
        <w:rPr>
          <w:rFonts w:ascii="Palatino Linotype" w:hAnsi="Palatino Linotype" w:cstheme="minorHAnsi"/>
          <w:b/>
          <w:bCs/>
          <w:sz w:val="28"/>
          <w:szCs w:val="28"/>
        </w:rPr>
      </w:pPr>
    </w:p>
    <w:p w14:paraId="6ED00D96" w14:textId="1C87C430" w:rsidR="00245B1A" w:rsidRDefault="00245B1A" w:rsidP="0002466A">
      <w:pPr>
        <w:spacing w:line="288" w:lineRule="auto"/>
        <w:ind w:right="-319"/>
        <w:jc w:val="center"/>
        <w:outlineLvl w:val="0"/>
        <w:rPr>
          <w:rFonts w:ascii="Palatino Linotype" w:hAnsi="Palatino Linotype" w:cstheme="minorHAnsi"/>
          <w:b/>
          <w:bCs/>
          <w:sz w:val="28"/>
          <w:szCs w:val="28"/>
        </w:rPr>
      </w:pPr>
      <w:r>
        <w:rPr>
          <w:noProof/>
          <w:lang w:val="en-GB" w:eastAsia="en-GB"/>
        </w:rPr>
        <mc:AlternateContent>
          <mc:Choice Requires="wps">
            <w:drawing>
              <wp:anchor distT="0" distB="0" distL="114935" distR="114935" simplePos="0" relativeHeight="251661314" behindDoc="0" locked="0" layoutInCell="1" allowOverlap="1" wp14:anchorId="445C63A7" wp14:editId="28C79DF2">
                <wp:simplePos x="0" y="0"/>
                <wp:positionH relativeFrom="margin">
                  <wp:posOffset>5143500</wp:posOffset>
                </wp:positionH>
                <wp:positionV relativeFrom="page">
                  <wp:posOffset>1678329</wp:posOffset>
                </wp:positionV>
                <wp:extent cx="1224706" cy="216000"/>
                <wp:effectExtent l="0" t="0" r="0" b="0"/>
                <wp:wrapNone/>
                <wp:docPr id="18" name="Metin Kutusu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224706" cy="216000"/>
                        </a:xfrm>
                        <a:prstGeom prst="rect">
                          <a:avLst/>
                        </a:prstGeom>
                        <a:solidFill>
                          <a:srgbClr val="FFFFFF">
                            <a:alpha val="0"/>
                          </a:srgbClr>
                        </a:solidFill>
                        <a:ln>
                          <a:noFill/>
                        </a:ln>
                      </wps:spPr>
                      <wps:txbx>
                        <w:txbxContent>
                          <w:p w14:paraId="7C2CA3C4" w14:textId="3B0953D9" w:rsidR="00245B1A" w:rsidRPr="00F458F8" w:rsidRDefault="005B19D9" w:rsidP="00245B1A">
                            <w:pPr>
                              <w:jc w:val="center"/>
                              <w:rPr>
                                <w:b/>
                                <w:bCs/>
                                <w:color w:val="FFFFFF" w:themeColor="background1"/>
                              </w:rPr>
                            </w:pPr>
                            <w:r>
                              <w:rPr>
                                <w:b/>
                                <w:bCs/>
                                <w:color w:val="FFFFFF" w:themeColor="background1"/>
                              </w:rPr>
                              <w:t xml:space="preserve">4 </w:t>
                            </w:r>
                            <w:proofErr w:type="spellStart"/>
                            <w:r>
                              <w:rPr>
                                <w:b/>
                                <w:bCs/>
                                <w:color w:val="FFFFFF" w:themeColor="background1"/>
                              </w:rPr>
                              <w:t>September</w:t>
                            </w:r>
                            <w:proofErr w:type="spellEnd"/>
                            <w:r>
                              <w:rPr>
                                <w:b/>
                                <w:bCs/>
                                <w:color w:val="FFFFFF" w:themeColor="background1"/>
                              </w:rPr>
                              <w:t xml:space="preserve"> 2026</w:t>
                            </w:r>
                          </w:p>
                        </w:txbxContent>
                      </wps:txbx>
                      <wps:bodyPr rot="0" vertOverflow="clip" horzOverflow="clip"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5C63A7" id="_x0000_t202" coordsize="21600,21600" o:spt="202" path="m,l,21600r21600,l21600,xe">
                <v:stroke joinstyle="miter"/>
                <v:path gradientshapeok="t" o:connecttype="rect"/>
              </v:shapetype>
              <v:shape id="Metin Kutusu 18" o:spid="_x0000_s1027" type="#_x0000_t202" style="position:absolute;left:0;text-align:left;margin-left:405pt;margin-top:132.15pt;width:96.45pt;height:17pt;flip:y;z-index:251661314;visibility:visible;mso-wrap-style:square;mso-width-percent:0;mso-height-percent:0;mso-wrap-distance-left:9.05pt;mso-wrap-distance-top:0;mso-wrap-distance-right:9.05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" stroked="f">
                <v:fill opacity="0"/>
                <v:textbox inset="0,0,0,0">
                  <w:txbxContent>
                    <w:p w14:paraId="7C2CA3C4" w14:textId="3B0953D9" w:rsidR="00245B1A" w:rsidRPr="00F458F8" w:rsidRDefault="005B19D9" w:rsidP="00245B1A">
                      <w:pPr>
                        <w:jc w:val="center"/>
                        <w:rPr>
                          <w:b/>
                          <w:bCs/>
                          <w:color w:val="FFFFFF" w:themeColor="background1"/>
                        </w:rPr>
                      </w:pPr>
                      <w:r>
                        <w:rPr>
                          <w:b/>
                          <w:bCs/>
                          <w:color w:val="FFFFFF" w:themeColor="background1"/>
                        </w:rPr>
                        <w:t xml:space="preserve">4 </w:t>
                      </w:r>
                      <w:proofErr w:type="spellStart"/>
                      <w:r>
                        <w:rPr>
                          <w:b/>
                          <w:bCs/>
                          <w:color w:val="FFFFFF" w:themeColor="background1"/>
                        </w:rPr>
                        <w:t>September</w:t>
                      </w:r>
                      <w:proofErr w:type="spellEnd"/>
                      <w:r>
                        <w:rPr>
                          <w:b/>
                          <w:bCs/>
                          <w:color w:val="FFFFFF" w:themeColor="background1"/>
                        </w:rPr>
                        <w:t xml:space="preserve"> 2026</w:t>
                      </w:r>
                    </w:p>
                  </w:txbxContent>
                </v:textbox>
                <w10:wrap anchorx="margin" anchory="page"/>
              </v:shape>
            </w:pict>
          </mc:Fallback>
        </mc:AlternateContent>
      </w:r>
      <w:r>
        <w:rPr>
          <w:rFonts w:ascii="Palatino Linotype" w:hAnsi="Palatino Linotype" w:cstheme="minorHAnsi"/>
          <w:b/>
          <w:bCs/>
          <w:sz w:val="28"/>
          <w:szCs w:val="28"/>
        </w:rPr>
        <w:t xml:space="preserve"> </w:t>
      </w:r>
    </w:p>
    <w:p w14:paraId="05B02CBB" w14:textId="2D2E617D" w:rsidR="00245B1A" w:rsidRDefault="00245B1A" w:rsidP="0002466A">
      <w:pPr>
        <w:spacing w:line="288" w:lineRule="auto"/>
        <w:ind w:right="-319"/>
        <w:jc w:val="center"/>
        <w:outlineLvl w:val="0"/>
        <w:rPr>
          <w:rFonts w:ascii="Palatino Linotype" w:hAnsi="Palatino Linotype" w:cstheme="minorHAnsi"/>
          <w:b/>
          <w:bCs/>
          <w:sz w:val="28"/>
          <w:szCs w:val="28"/>
        </w:rPr>
      </w:pPr>
    </w:p>
    <w:p w14:paraId="161E7805" w14:textId="2506128E" w:rsidR="00EA6DD4" w:rsidRDefault="00EA6DD4" w:rsidP="004623F2">
      <w:pPr>
        <w:spacing w:line="288" w:lineRule="auto"/>
        <w:ind w:right="-319"/>
        <w:jc w:val="center"/>
        <w:outlineLvl w:val="0"/>
        <w:rPr>
          <w:rFonts w:ascii="Palatino Linotype" w:hAnsi="Palatino Linotype" w:cstheme="minorHAnsi"/>
          <w:b/>
          <w:bCs/>
          <w:sz w:val="22"/>
          <w:szCs w:val="22"/>
        </w:rPr>
      </w:pPr>
      <w:r>
        <w:rPr>
          <w:rFonts w:ascii="Palatino Linotype" w:hAnsi="Palatino Linotype" w:cstheme="minorHAnsi"/>
          <w:b/>
          <w:bCs/>
          <w:sz w:val="22"/>
          <w:szCs w:val="22"/>
        </w:rPr>
        <w:t>GROWTH SLOWED IN THE SECOND QUARTER</w:t>
      </w:r>
    </w:p>
    <w:p w14:paraId="75029FBC" w14:textId="77777777" w:rsidR="00EA6DD4" w:rsidRDefault="00EA6DD4" w:rsidP="004623F2">
      <w:pPr>
        <w:spacing w:line="288" w:lineRule="auto"/>
        <w:ind w:right="-319"/>
        <w:jc w:val="center"/>
        <w:outlineLvl w:val="0"/>
        <w:rPr>
          <w:rFonts w:ascii="Palatino Linotype" w:hAnsi="Palatino Linotype" w:cstheme="minorHAnsi"/>
          <w:b/>
          <w:bCs/>
          <w:sz w:val="22"/>
          <w:szCs w:val="22"/>
        </w:rPr>
      </w:pPr>
    </w:p>
    <w:p w14:paraId="428E7403" w14:textId="60898856" w:rsidR="00D07713" w:rsidRPr="00637DF8" w:rsidRDefault="006F4B75" w:rsidP="004623F2">
      <w:pPr>
        <w:spacing w:line="288" w:lineRule="auto"/>
        <w:ind w:right="-319"/>
        <w:jc w:val="center"/>
        <w:outlineLvl w:val="0"/>
        <w:rPr>
          <w:rFonts w:ascii="Palatino Linotype" w:hAnsi="Palatino Linotype" w:cstheme="minorHAnsi"/>
        </w:rPr>
      </w:pPr>
      <w:r>
        <w:rPr>
          <w:rFonts w:ascii="Palatino Linotype" w:hAnsi="Palatino Linotype" w:cstheme="minorHAnsi"/>
          <w:b/>
          <w:bCs/>
          <w:sz w:val="22"/>
          <w:szCs w:val="22"/>
        </w:rPr>
        <w:t>Seyfettin Gürsel and Saliha Tanrıverdi</w:t>
      </w:r>
      <w:r>
        <w:rPr>
          <w:rStyle w:val="FootnoteReference"/>
          <w:rFonts w:ascii="Palatino Linotype" w:hAnsi="Palatino Linotype" w:cstheme="minorHAnsi"/>
          <w:b/>
          <w:bCs/>
          <w:sz w:val="22"/>
          <w:szCs w:val="22"/>
        </w:rPr>
        <w:footnoteReference w:id="2"/>
      </w:r>
      <w:r>
        <w:rPr>
          <w:rStyle w:val="FootnoteReference"/>
          <w:rFonts w:ascii="Palatino Linotype" w:hAnsi="Palatino Linotype" w:cstheme="minorHAnsi"/>
          <w:b/>
          <w:bCs/>
          <w:sz w:val="22"/>
          <w:szCs w:val="22"/>
        </w:rPr>
        <w:footnoteReference w:id="3"/>
      </w:r>
    </w:p>
    <w:p w14:paraId="6E057918" w14:textId="77777777" w:rsidR="00405BD8" w:rsidRPr="00637DF8" w:rsidRDefault="00405BD8" w:rsidP="00751F72">
      <w:pPr>
        <w:jc w:val="center"/>
        <w:rPr>
          <w:rFonts w:ascii="Palatino Linotype" w:hAnsi="Palatino Linotype" w:cstheme="minorHAnsi"/>
          <w:b/>
          <w:sz w:val="22"/>
          <w:szCs w:val="22"/>
        </w:rPr>
      </w:pPr>
    </w:p>
    <w:p w14:paraId="2F0E4C03" w14:textId="77777777" w:rsidR="00C34D9B" w:rsidRPr="00637DF8" w:rsidRDefault="00D257C1" w:rsidP="00C34D9B">
      <w:pPr>
        <w:spacing w:line="360" w:lineRule="auto"/>
        <w:jc w:val="center"/>
        <w:rPr>
          <w:rFonts w:ascii="Palatino Linotype" w:hAnsi="Palatino Linotype" w:cstheme="minorHAnsi"/>
          <w:b/>
          <w:sz w:val="22"/>
          <w:szCs w:val="22"/>
        </w:rPr>
      </w:pPr>
      <w:r>
        <w:rPr>
          <w:rFonts w:ascii="Palatino Linotype" w:hAnsi="Palatino Linotype" w:cstheme="minorHAnsi"/>
          <w:b/>
          <w:sz w:val="22"/>
          <w:szCs w:val="22"/>
        </w:rPr>
        <w:t>Executive Summary</w:t>
      </w:r>
      <w:bookmarkStart w:id="0" w:name="OLE_LINK5"/>
      <w:bookmarkStart w:id="1" w:name="OLE_LINK6"/>
    </w:p>
    <w:p w14:paraId="3BE9A8BD" w14:textId="47D4F736" w:rsidR="00F41B64" w:rsidRDefault="00F41B64" w:rsidP="000B09B0">
      <w:pPr>
        <w:spacing w:line="360" w:lineRule="auto"/>
        <w:jc w:val="both"/>
        <w:rPr>
          <w:rFonts w:ascii="Palatino Linotype" w:hAnsi="Palatino Linotype" w:cstheme="minorHAnsi"/>
          <w:sz w:val="22"/>
          <w:szCs w:val="22"/>
        </w:rPr>
      </w:pPr>
      <w:r>
        <w:rPr>
          <w:rFonts w:ascii="Palatino Linotype" w:hAnsi="Palatino Linotype" w:cstheme="minorHAnsi"/>
          <w:sz w:val="22"/>
          <w:szCs w:val="22"/>
        </w:rPr>
        <w:t>The Turkish economy grew by 2.3% year-on-year and 1.1% quarter-on-quarter in the second quarter of 2026 (Figure 2). As in the first quarter, private consumption made the largest contribution to annual growth. Rising by 3.5% year-on-year, private consumption alone contributed 1.8 percentage points to overall growth. However, private consumption declined by 1.3% compared with the preceding quarter. Government consumption also fell in both annual and quarterly terms. Investment increased by 0.6% year-on-year, contributing 0.2 percentage points to growth, while inventory changes contributed -0.3 percentage points. On a quarterly basis, investment remained unchanged and made no contribution to growth. Inventory changes added 0.3 percentage points relative to the preceding quarter. Foreign trade showed a marked quarter-on-quarter improvement: exports rose by 6.2% while imports declined by 1.8%, bringing the net trade contribution to 1.8 percentage points. In annual terms, exports and imports contracted by 3.4% and 6.4%, respectively, resulting in a positive net trade contribution of 0.9 percentage points. Looking ahead, the course of growth will depend on the CBRT's monetary policy, whether the loss of momentum in private consumption persists, and whether the recovery in foreign trade is sustained.</w:t>
      </w:r>
      <w:r w:rsidR="00B27A27">
        <w:rPr>
          <w:rFonts w:ascii="Palatino Linotype" w:hAnsi="Palatino Linotype" w:cstheme="minorHAnsi"/>
          <w:sz w:val="22"/>
          <w:szCs w:val="22"/>
        </w:rPr>
        <w:t xml:space="preserve"> </w:t>
      </w:r>
      <w:r w:rsidR="00574EAC">
        <w:rPr>
          <w:rFonts w:ascii="Palatino Linotype" w:hAnsi="Palatino Linotype" w:cstheme="minorHAnsi"/>
          <w:sz w:val="22"/>
          <w:szCs w:val="22"/>
        </w:rPr>
        <w:t xml:space="preserve"> </w:t>
      </w:r>
      <w:r w:rsidR="00370C4D" w:rsidRPr="005629A0">
        <w:rPr>
          <w:rFonts w:ascii="Palatino Linotype" w:hAnsi="Palatino Linotype" w:cstheme="minorHAnsi"/>
          <w:sz w:val="22"/>
          <w:szCs w:val="22"/>
        </w:rPr>
        <w:t xml:space="preserve"> </w:t>
      </w:r>
    </w:p>
    <w:p w14:paraId="7466F816" w14:textId="77777777" w:rsidR="00056403" w:rsidRDefault="00056403" w:rsidP="00F41B64">
      <w:pPr>
        <w:pStyle w:val="NormalWeb"/>
        <w:spacing w:before="0" w:beforeAutospacing="0" w:after="0" w:afterAutospacing="0" w:line="360" w:lineRule="auto"/>
        <w:ind w:right="77"/>
        <w:rPr>
          <w:rFonts w:ascii="Palatino Linotype" w:hAnsi="Palatino Linotype" w:cstheme="minorBidi"/>
          <w:b/>
          <w:bCs/>
          <w:sz w:val="22"/>
          <w:szCs w:val="22"/>
        </w:rPr>
      </w:pPr>
    </w:p>
    <w:p w14:paraId="77877646" w14:textId="55568CDE" w:rsidR="00F41B64" w:rsidRPr="000B09B0" w:rsidRDefault="00F41B64" w:rsidP="00F41B64">
      <w:pPr>
        <w:pStyle w:val="NormalWeb"/>
        <w:spacing w:before="0" w:beforeAutospacing="0" w:after="0" w:afterAutospacing="0" w:line="360" w:lineRule="auto"/>
        <w:ind w:right="77"/>
        <w:rPr>
          <w:rFonts w:ascii="Palatino Linotype" w:hAnsi="Palatino Linotype" w:cstheme="minorBidi"/>
          <w:b/>
          <w:bCs/>
          <w:sz w:val="22"/>
          <w:szCs w:val="22"/>
        </w:rPr>
      </w:pPr>
      <w:r>
        <w:rPr>
          <w:rFonts w:ascii="Palatino Linotype" w:hAnsi="Palatino Linotype" w:cstheme="minorBidi"/>
          <w:b/>
          <w:bCs/>
          <w:sz w:val="22"/>
          <w:szCs w:val="22"/>
        </w:rPr>
        <w:t>Private consumption continues to contribute to growth</w:t>
      </w:r>
    </w:p>
    <w:p w14:paraId="0DFB2A03" w14:textId="2D96F867" w:rsidR="00F41B64" w:rsidRDefault="00F41B64" w:rsidP="007D2AD4">
      <w:pPr>
        <w:pStyle w:val="NormalWeb"/>
        <w:spacing w:before="0" w:beforeAutospacing="0" w:after="0" w:afterAutospacing="0" w:line="360" w:lineRule="auto"/>
        <w:ind w:right="77"/>
        <w:jc w:val="both"/>
        <w:rPr>
          <w:rFonts w:ascii="Palatino Linotype" w:hAnsi="Palatino Linotype" w:cstheme="minorHAnsi"/>
          <w:sz w:val="22"/>
          <w:szCs w:val="22"/>
        </w:rPr>
      </w:pPr>
      <w:r>
        <w:rPr>
          <w:rFonts w:ascii="Palatino Linotype" w:hAnsi="Palatino Linotype" w:cstheme="minorHAnsi"/>
          <w:sz w:val="22"/>
          <w:szCs w:val="22"/>
        </w:rPr>
        <w:t xml:space="preserve">According to seasonally and calendar-adjusted data, private consumption increased by 3.5% year-on-year in the second quarter of 2026, contributing 1.8 percentage points to annual growth. In the first quarter, private consumption had grown by 5.1% year-on-year (Table 1). </w:t>
      </w:r>
      <w:r>
        <w:rPr>
          <w:rFonts w:ascii="Palatino Linotype" w:hAnsi="Palatino Linotype" w:cstheme="minorHAnsi"/>
          <w:sz w:val="22"/>
          <w:szCs w:val="22"/>
        </w:rPr>
        <w:lastRenderedPageBreak/>
        <w:t>Compared with the preceding quarter, private consumption declined by 1.3%, reducing quarterly growth by 0.7 percentage points. It had declined by 0.1% between the fourth quarter of 2025 and the first quarter of 2026 (</w:t>
      </w:r>
      <w:proofErr w:type="spellStart"/>
      <w:r>
        <w:rPr>
          <w:rFonts w:ascii="Palatino Linotype" w:hAnsi="Palatino Linotype" w:cstheme="minorHAnsi"/>
          <w:sz w:val="22"/>
          <w:szCs w:val="22"/>
        </w:rPr>
        <w:t>Table</w:t>
      </w:r>
      <w:proofErr w:type="spellEnd"/>
      <w:r>
        <w:rPr>
          <w:rFonts w:ascii="Palatino Linotype" w:hAnsi="Palatino Linotype" w:cstheme="minorHAnsi"/>
          <w:sz w:val="22"/>
          <w:szCs w:val="22"/>
        </w:rPr>
        <w:t xml:space="preserve"> 2).</w:t>
      </w:r>
      <w:bookmarkStart w:id="2" w:name="OLE_LINK21"/>
      <w:bookmarkStart w:id="3" w:name="OLE_LINK22"/>
      <w:bookmarkEnd w:id="2"/>
      <w:bookmarkEnd w:id="3"/>
    </w:p>
    <w:p w14:paraId="35775DEF" w14:textId="77777777" w:rsidR="00227B47" w:rsidRPr="00396FCD" w:rsidRDefault="00227B47" w:rsidP="00227B47">
      <w:pPr>
        <w:pStyle w:val="NormalWeb"/>
        <w:spacing w:before="0" w:beforeAutospacing="0" w:after="0" w:afterAutospacing="0" w:line="360" w:lineRule="auto"/>
        <w:ind w:right="79"/>
        <w:jc w:val="both"/>
        <w:rPr>
          <w:rFonts w:ascii="Palatino Linotype" w:hAnsi="Palatino Linotype" w:cstheme="minorHAnsi"/>
          <w:strike/>
          <w:sz w:val="22"/>
          <w:szCs w:val="22"/>
        </w:rPr>
      </w:pPr>
    </w:p>
    <w:p w14:paraId="71A7C2C9" w14:textId="5DF4ECAD" w:rsidR="00B72927" w:rsidRDefault="00646879" w:rsidP="00227B47">
      <w:pPr>
        <w:spacing w:before="120"/>
        <w:rPr>
          <w:rFonts w:ascii="Palatino Linotype" w:hAnsi="Palatino Linotype" w:cstheme="minorHAnsi"/>
          <w:b/>
          <w:bCs/>
          <w:sz w:val="22"/>
          <w:szCs w:val="22"/>
        </w:rPr>
      </w:pPr>
      <w:r>
        <w:rPr>
          <w:rFonts w:ascii="Palatino Linotype" w:hAnsi="Palatino Linotype" w:cstheme="minorHAnsi"/>
          <w:b/>
          <w:bCs/>
          <w:sz w:val="22"/>
          <w:szCs w:val="22"/>
        </w:rPr>
        <w:t>Figure 1: Contributions of GDP components to annual growth (left) and their growth rates (right), 2026 Q2</w:t>
      </w:r>
      <w:bookmarkEnd w:id="0"/>
      <w:bookmarkEnd w:id="1"/>
    </w:p>
    <w:p w14:paraId="552DDC7F" w14:textId="6C03EC8E" w:rsidR="005B19D9" w:rsidRDefault="005B19D9" w:rsidP="005B19D9">
      <w:pPr>
        <w:rPr>
          <w:lang w:eastAsia="en-US"/>
        </w:rPr>
      </w:pPr>
      <w:r>
        <w:rPr>
          <w:noProof/>
          <w:lang w:val="en-GB" w:eastAsia="en-GB"/>
        </w:rPr>
        <w:drawing>
          <wp:inline distT="0" distB="0" distL="0" distR="0" wp14:anchorId="3EBE56E8" wp14:editId="015EA396">
            <wp:extent cx="2728334" cy="2182495"/>
            <wp:effectExtent l="0" t="0" r="2540" b="1905"/>
            <wp:docPr id="1392489480"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30465" cy="2184200"/>
                    </a:xfrm>
                    <a:prstGeom prst="rect">
                      <a:avLst/>
                    </a:prstGeom>
                    <a:noFill/>
                    <a:ln>
                      <a:noFill/>
                    </a:ln>
                  </pic:spPr>
                </pic:pic>
              </a:graphicData>
            </a:graphic>
          </wp:inline>
        </w:drawing>
      </w:r>
      <w:r>
        <w:rPr>
          <w:noProof/>
          <w:lang w:val="en-GB" w:eastAsia="en-GB"/>
        </w:rPr>
        <w:drawing>
          <wp:inline distT="0" distB="0" distL="0" distR="0" wp14:anchorId="69D61699" wp14:editId="4DAFC1E3">
            <wp:extent cx="2631390" cy="2182495"/>
            <wp:effectExtent l="0" t="0" r="0" b="1905"/>
            <wp:docPr id="6669585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33396" cy="2184159"/>
                    </a:xfrm>
                    <a:prstGeom prst="rect">
                      <a:avLst/>
                    </a:prstGeom>
                    <a:noFill/>
                    <a:ln>
                      <a:noFill/>
                    </a:ln>
                  </pic:spPr>
                </pic:pic>
              </a:graphicData>
            </a:graphic>
          </wp:inline>
        </w:drawing>
      </w:r>
    </w:p>
    <w:p w14:paraId="087463AA" w14:textId="0F45AF04" w:rsidR="006C3EE6" w:rsidRDefault="00C1422A" w:rsidP="00245B1A">
      <w:pPr>
        <w:ind w:right="567"/>
        <w:jc w:val="both"/>
        <w:rPr>
          <w:rFonts w:ascii="Palatino Linotype" w:hAnsi="Palatino Linotype" w:cstheme="minorHAnsi"/>
          <w:sz w:val="18"/>
          <w:szCs w:val="18"/>
        </w:rPr>
      </w:pPr>
      <w:r>
        <w:rPr>
          <w:rFonts w:ascii="Palatino Linotype" w:hAnsi="Palatino Linotype" w:cstheme="minorHAnsi"/>
          <w:sz w:val="18"/>
          <w:szCs w:val="18"/>
        </w:rPr>
        <w:t xml:space="preserve">Source: </w:t>
      </w:r>
      <w:proofErr w:type="spellStart"/>
      <w:r>
        <w:rPr>
          <w:rFonts w:ascii="Palatino Linotype" w:hAnsi="Palatino Linotype" w:cstheme="minorHAnsi"/>
          <w:sz w:val="18"/>
          <w:szCs w:val="18"/>
        </w:rPr>
        <w:t>TurkStat</w:t>
      </w:r>
      <w:proofErr w:type="spellEnd"/>
      <w:r>
        <w:rPr>
          <w:rFonts w:ascii="Palatino Linotype" w:hAnsi="Palatino Linotype" w:cstheme="minorHAnsi"/>
          <w:sz w:val="18"/>
          <w:szCs w:val="18"/>
        </w:rPr>
        <w:t>, Betam.</w:t>
      </w:r>
    </w:p>
    <w:p w14:paraId="4ADD1380" w14:textId="77777777" w:rsidR="00227B47" w:rsidRPr="00227B47" w:rsidRDefault="00227B47" w:rsidP="00227B47">
      <w:pPr>
        <w:pStyle w:val="NormalWeb"/>
        <w:spacing w:before="0" w:beforeAutospacing="0" w:after="0" w:afterAutospacing="0" w:line="360" w:lineRule="auto"/>
        <w:ind w:right="79"/>
        <w:jc w:val="both"/>
        <w:rPr>
          <w:rFonts w:ascii="Palatino Linotype" w:hAnsi="Palatino Linotype" w:cstheme="minorHAnsi"/>
          <w:strike/>
          <w:sz w:val="22"/>
          <w:szCs w:val="22"/>
        </w:rPr>
      </w:pPr>
    </w:p>
    <w:p w14:paraId="0AF66471" w14:textId="7F39CA9F" w:rsidR="004647F0" w:rsidRDefault="006C3EE6" w:rsidP="00227B47">
      <w:pPr>
        <w:keepNext/>
        <w:ind w:right="79"/>
        <w:jc w:val="both"/>
        <w:rPr>
          <w:rFonts w:ascii="Palatino Linotype" w:hAnsi="Palatino Linotype" w:cstheme="minorHAnsi"/>
          <w:b/>
          <w:bCs/>
          <w:sz w:val="22"/>
          <w:szCs w:val="22"/>
        </w:rPr>
      </w:pPr>
      <w:r>
        <w:rPr>
          <w:rFonts w:ascii="Palatino Linotype" w:hAnsi="Palatino Linotype" w:cstheme="minorHAnsi"/>
          <w:b/>
          <w:bCs/>
          <w:sz w:val="22"/>
          <w:szCs w:val="22"/>
        </w:rPr>
        <w:t>Table 1: Annual growth rates and contributions to growth of GDP components, 2026 Q1 and 2026 Q2</w:t>
      </w:r>
      <w:bookmarkStart w:id="4" w:name="OLE_LINK1"/>
      <w:bookmarkStart w:id="5" w:name="OLE_LINK2"/>
      <w:bookmarkEnd w:id="4"/>
      <w:bookmarkEnd w:id="5"/>
    </w:p>
    <w:tbl>
      <w:tblPr>
        <w:tblW w:w="8890" w:type="dxa"/>
        <w:tblCellMar>
          <w:left w:w="70" w:type="dxa"/>
          <w:right w:w="70" w:type="dxa"/>
        </w:tblCellMar>
        <w:tblLook w:val="04A0" w:firstRow="1" w:lastRow="0" w:firstColumn="1" w:lastColumn="0" w:noHBand="0" w:noVBand="1"/>
      </w:tblPr>
      <w:tblGrid>
        <w:gridCol w:w="2590"/>
        <w:gridCol w:w="1260"/>
        <w:gridCol w:w="1980"/>
        <w:gridCol w:w="1080"/>
        <w:gridCol w:w="1980"/>
      </w:tblGrid>
      <w:tr w:rsidR="004360BE" w14:paraId="3C398ED5" w14:textId="77777777" w:rsidTr="00227B47">
        <w:trPr>
          <w:trHeight w:val="282"/>
        </w:trPr>
        <w:tc>
          <w:tcPr>
            <w:tcW w:w="2590" w:type="dxa"/>
            <w:tcBorders>
              <w:top w:val="single" w:sz="4" w:space="0" w:color="auto"/>
              <w:left w:val="single" w:sz="4" w:space="0" w:color="auto"/>
              <w:bottom w:val="nil"/>
              <w:right w:val="single" w:sz="4" w:space="0" w:color="auto"/>
            </w:tcBorders>
            <w:shd w:val="clear" w:color="000000" w:fill="FFFFFF"/>
            <w:noWrap/>
            <w:vAlign w:val="bottom"/>
            <w:hideMark/>
          </w:tcPr>
          <w:p w14:paraId="6A9DF109" w14:textId="77777777" w:rsidR="004360BE" w:rsidRDefault="004360BE" w:rsidP="004360BE">
            <w:pPr>
              <w:rPr>
                <w:rFonts w:ascii="Calibri" w:hAnsi="Calibri" w:cs="Calibri"/>
                <w:b/>
                <w:bCs/>
                <w:color w:val="000000"/>
                <w:sz w:val="20"/>
                <w:szCs w:val="20"/>
              </w:rPr>
            </w:pPr>
            <w:r>
              <w:rPr>
                <w:rFonts w:ascii="Calibri" w:hAnsi="Calibri" w:cs="Calibri"/>
                <w:b/>
                <w:bCs/>
                <w:color w:val="000000"/>
                <w:sz w:val="20"/>
                <w:szCs w:val="20"/>
              </w:rPr>
              <w:t> </w:t>
            </w:r>
          </w:p>
        </w:tc>
        <w:tc>
          <w:tcPr>
            <w:tcW w:w="3240"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4834C85A" w14:textId="4CC2C532" w:rsidR="004360BE" w:rsidRDefault="004360BE" w:rsidP="004360BE">
            <w:pPr>
              <w:jc w:val="center"/>
              <w:rPr>
                <w:rFonts w:ascii="Calibri" w:hAnsi="Calibri" w:cs="Calibri"/>
                <w:b/>
                <w:bCs/>
                <w:color w:val="000000"/>
                <w:sz w:val="20"/>
                <w:szCs w:val="20"/>
              </w:rPr>
            </w:pPr>
            <w:r>
              <w:rPr>
                <w:rFonts w:ascii="Calibri" w:hAnsi="Calibri" w:cs="Calibri"/>
                <w:b/>
                <w:bCs/>
                <w:color w:val="000000"/>
                <w:sz w:val="20"/>
                <w:szCs w:val="20"/>
              </w:rPr>
              <w:t>2026Q1</w:t>
            </w:r>
          </w:p>
        </w:tc>
        <w:tc>
          <w:tcPr>
            <w:tcW w:w="3060"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2BF6F59F" w14:textId="5A84E67B" w:rsidR="004360BE" w:rsidRDefault="004360BE" w:rsidP="004360BE">
            <w:pPr>
              <w:jc w:val="center"/>
              <w:rPr>
                <w:rFonts w:ascii="Calibri" w:hAnsi="Calibri" w:cs="Calibri"/>
                <w:b/>
                <w:bCs/>
                <w:color w:val="000000"/>
                <w:sz w:val="20"/>
                <w:szCs w:val="20"/>
              </w:rPr>
            </w:pPr>
            <w:r>
              <w:rPr>
                <w:rFonts w:ascii="Calibri" w:hAnsi="Calibri" w:cs="Calibri"/>
                <w:b/>
                <w:bCs/>
                <w:color w:val="000000"/>
                <w:sz w:val="20"/>
                <w:szCs w:val="20"/>
              </w:rPr>
              <w:t>2026Q2</w:t>
            </w:r>
          </w:p>
        </w:tc>
      </w:tr>
      <w:tr w:rsidR="004360BE" w14:paraId="7EF5F3CB" w14:textId="77777777" w:rsidTr="00227B47">
        <w:trPr>
          <w:trHeight w:val="282"/>
        </w:trPr>
        <w:tc>
          <w:tcPr>
            <w:tcW w:w="2590" w:type="dxa"/>
            <w:tcBorders>
              <w:top w:val="nil"/>
              <w:left w:val="single" w:sz="4" w:space="0" w:color="auto"/>
              <w:bottom w:val="single" w:sz="4" w:space="0" w:color="auto"/>
              <w:right w:val="single" w:sz="4" w:space="0" w:color="auto"/>
            </w:tcBorders>
            <w:shd w:val="clear" w:color="000000" w:fill="FFFFFF"/>
            <w:noWrap/>
            <w:vAlign w:val="bottom"/>
            <w:hideMark/>
          </w:tcPr>
          <w:p w14:paraId="07295275" w14:textId="77777777" w:rsidR="004360BE" w:rsidRDefault="004360BE" w:rsidP="004360BE">
            <w:pPr>
              <w:rPr>
                <w:rFonts w:ascii="Calibri" w:hAnsi="Calibri" w:cs="Calibri"/>
                <w:b/>
                <w:bCs/>
                <w:color w:val="000000"/>
                <w:sz w:val="20"/>
                <w:szCs w:val="20"/>
              </w:rPr>
            </w:pPr>
            <w:r>
              <w:rPr>
                <w:rFonts w:ascii="Calibri" w:hAnsi="Calibri" w:cs="Calibri"/>
                <w:b/>
                <w:bCs/>
                <w:color w:val="000000"/>
                <w:sz w:val="20"/>
                <w:szCs w:val="20"/>
              </w:rPr>
              <w:t> </w:t>
            </w:r>
          </w:p>
        </w:tc>
        <w:tc>
          <w:tcPr>
            <w:tcW w:w="1260" w:type="dxa"/>
            <w:tcBorders>
              <w:top w:val="nil"/>
              <w:left w:val="nil"/>
              <w:bottom w:val="single" w:sz="4" w:space="0" w:color="auto"/>
              <w:right w:val="nil"/>
            </w:tcBorders>
            <w:shd w:val="clear" w:color="000000" w:fill="FFFFFF"/>
            <w:noWrap/>
            <w:vAlign w:val="bottom"/>
            <w:hideMark/>
          </w:tcPr>
          <w:p w14:paraId="574CF425" w14:textId="7B85C0F0" w:rsidR="004360BE" w:rsidRPr="00D266AE" w:rsidRDefault="004360BE" w:rsidP="004360BE">
            <w:pPr>
              <w:jc w:val="center"/>
              <w:rPr>
                <w:rFonts w:ascii="Calibri" w:hAnsi="Calibri" w:cs="Calibri"/>
                <w:b/>
                <w:bCs/>
                <w:color w:val="000000"/>
                <w:sz w:val="20"/>
                <w:szCs w:val="20"/>
              </w:rPr>
            </w:pPr>
            <w:r>
              <w:rPr>
                <w:rFonts w:ascii="Calibri" w:hAnsi="Calibri" w:cs="Calibri"/>
                <w:b/>
                <w:bCs/>
                <w:color w:val="000000"/>
                <w:sz w:val="20"/>
                <w:szCs w:val="20"/>
              </w:rPr>
              <w:t>Change (%)</w:t>
            </w:r>
          </w:p>
        </w:tc>
        <w:tc>
          <w:tcPr>
            <w:tcW w:w="1980" w:type="dxa"/>
            <w:tcBorders>
              <w:top w:val="nil"/>
              <w:left w:val="nil"/>
              <w:bottom w:val="nil"/>
              <w:right w:val="single" w:sz="4" w:space="0" w:color="auto"/>
            </w:tcBorders>
            <w:shd w:val="clear" w:color="000000" w:fill="FFFFFF"/>
            <w:noWrap/>
            <w:vAlign w:val="bottom"/>
            <w:hideMark/>
          </w:tcPr>
          <w:p w14:paraId="3E3F1EA3" w14:textId="42F970DC" w:rsidR="004360BE" w:rsidRPr="00D266AE" w:rsidRDefault="004360BE" w:rsidP="004360BE">
            <w:pPr>
              <w:jc w:val="center"/>
              <w:rPr>
                <w:rFonts w:ascii="Calibri" w:hAnsi="Calibri" w:cs="Calibri"/>
                <w:b/>
                <w:bCs/>
                <w:color w:val="000000"/>
                <w:sz w:val="20"/>
                <w:szCs w:val="20"/>
              </w:rPr>
            </w:pPr>
            <w:r>
              <w:rPr>
                <w:rFonts w:ascii="Calibri" w:hAnsi="Calibri" w:cs="Calibri"/>
                <w:b/>
                <w:bCs/>
                <w:color w:val="000000"/>
                <w:sz w:val="20"/>
                <w:szCs w:val="20"/>
              </w:rPr>
              <w:t>Contribution (pp)</w:t>
            </w:r>
          </w:p>
        </w:tc>
        <w:tc>
          <w:tcPr>
            <w:tcW w:w="1080" w:type="dxa"/>
            <w:tcBorders>
              <w:top w:val="nil"/>
              <w:left w:val="nil"/>
              <w:bottom w:val="nil"/>
              <w:right w:val="nil"/>
            </w:tcBorders>
            <w:shd w:val="clear" w:color="000000" w:fill="FFFFFF"/>
            <w:noWrap/>
            <w:vAlign w:val="bottom"/>
            <w:hideMark/>
          </w:tcPr>
          <w:p w14:paraId="16871BF9" w14:textId="70CAF9F6" w:rsidR="004360BE" w:rsidRPr="00D266AE" w:rsidRDefault="004360BE" w:rsidP="004360BE">
            <w:pPr>
              <w:jc w:val="center"/>
              <w:rPr>
                <w:rFonts w:ascii="Calibri" w:hAnsi="Calibri" w:cs="Calibri"/>
                <w:b/>
                <w:bCs/>
                <w:color w:val="000000"/>
                <w:sz w:val="20"/>
                <w:szCs w:val="20"/>
              </w:rPr>
            </w:pPr>
            <w:r>
              <w:rPr>
                <w:rFonts w:ascii="Calibri" w:hAnsi="Calibri" w:cs="Calibri"/>
                <w:b/>
                <w:bCs/>
                <w:color w:val="000000"/>
                <w:sz w:val="20"/>
                <w:szCs w:val="20"/>
              </w:rPr>
              <w:t>Change (%)</w:t>
            </w:r>
          </w:p>
        </w:tc>
        <w:tc>
          <w:tcPr>
            <w:tcW w:w="1980" w:type="dxa"/>
            <w:tcBorders>
              <w:top w:val="nil"/>
              <w:left w:val="nil"/>
              <w:bottom w:val="nil"/>
              <w:right w:val="single" w:sz="4" w:space="0" w:color="auto"/>
            </w:tcBorders>
            <w:shd w:val="clear" w:color="000000" w:fill="FFFFFF"/>
            <w:noWrap/>
            <w:vAlign w:val="bottom"/>
            <w:hideMark/>
          </w:tcPr>
          <w:p w14:paraId="5848E13E" w14:textId="1E311767" w:rsidR="004360BE" w:rsidRPr="00D266AE" w:rsidRDefault="004360BE" w:rsidP="004360BE">
            <w:pPr>
              <w:jc w:val="center"/>
              <w:rPr>
                <w:rFonts w:ascii="Calibri" w:hAnsi="Calibri" w:cs="Calibri"/>
                <w:b/>
                <w:bCs/>
                <w:color w:val="000000"/>
                <w:sz w:val="20"/>
                <w:szCs w:val="20"/>
              </w:rPr>
            </w:pPr>
            <w:r>
              <w:rPr>
                <w:rFonts w:ascii="Calibri" w:hAnsi="Calibri" w:cs="Calibri"/>
                <w:b/>
                <w:bCs/>
                <w:color w:val="000000"/>
                <w:sz w:val="20"/>
                <w:szCs w:val="20"/>
              </w:rPr>
              <w:t>Contribution (pp)</w:t>
            </w:r>
          </w:p>
        </w:tc>
      </w:tr>
      <w:tr w:rsidR="005B19D9" w14:paraId="2CC0141B" w14:textId="77777777" w:rsidTr="00227B47">
        <w:trPr>
          <w:trHeight w:val="282"/>
        </w:trPr>
        <w:tc>
          <w:tcPr>
            <w:tcW w:w="2590" w:type="dxa"/>
            <w:tcBorders>
              <w:top w:val="nil"/>
              <w:left w:val="single" w:sz="4" w:space="0" w:color="auto"/>
              <w:bottom w:val="nil"/>
              <w:right w:val="single" w:sz="4" w:space="0" w:color="auto"/>
            </w:tcBorders>
            <w:shd w:val="clear" w:color="000000" w:fill="FFFFFF"/>
            <w:noWrap/>
            <w:vAlign w:val="bottom"/>
            <w:hideMark/>
          </w:tcPr>
          <w:p w14:paraId="3C969EA5" w14:textId="77777777" w:rsidR="005B19D9" w:rsidRDefault="005B19D9" w:rsidP="005B19D9">
            <w:pPr>
              <w:rPr>
                <w:rFonts w:ascii="Calibri" w:hAnsi="Calibri" w:cs="Calibri"/>
                <w:b/>
                <w:bCs/>
                <w:color w:val="000000"/>
                <w:sz w:val="20"/>
                <w:szCs w:val="20"/>
              </w:rPr>
            </w:pPr>
            <w:r>
              <w:rPr>
                <w:rFonts w:ascii="Calibri" w:hAnsi="Calibri" w:cs="Calibri"/>
                <w:b/>
                <w:bCs/>
                <w:color w:val="000000"/>
                <w:sz w:val="20"/>
                <w:szCs w:val="20"/>
              </w:rPr>
              <w:t>Private Consumption</w:t>
            </w:r>
          </w:p>
        </w:tc>
        <w:tc>
          <w:tcPr>
            <w:tcW w:w="1260" w:type="dxa"/>
            <w:tcBorders>
              <w:top w:val="nil"/>
              <w:left w:val="nil"/>
              <w:bottom w:val="nil"/>
              <w:right w:val="nil"/>
            </w:tcBorders>
            <w:shd w:val="clear" w:color="000000" w:fill="FFFFFF"/>
            <w:noWrap/>
            <w:vAlign w:val="bottom"/>
            <w:hideMark/>
          </w:tcPr>
          <w:p w14:paraId="7950E8FE" w14:textId="6FE992A7"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5,1</w:t>
            </w:r>
          </w:p>
        </w:tc>
        <w:tc>
          <w:tcPr>
            <w:tcW w:w="1980" w:type="dxa"/>
            <w:tcBorders>
              <w:top w:val="single" w:sz="4" w:space="0" w:color="auto"/>
              <w:left w:val="nil"/>
              <w:bottom w:val="nil"/>
              <w:right w:val="single" w:sz="4" w:space="0" w:color="auto"/>
            </w:tcBorders>
            <w:shd w:val="clear" w:color="000000" w:fill="FFFFFF"/>
            <w:noWrap/>
            <w:vAlign w:val="bottom"/>
            <w:hideMark/>
          </w:tcPr>
          <w:p w14:paraId="30075C4C" w14:textId="2C9C0153"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2,9</w:t>
            </w:r>
          </w:p>
        </w:tc>
        <w:tc>
          <w:tcPr>
            <w:tcW w:w="1080" w:type="dxa"/>
            <w:tcBorders>
              <w:top w:val="single" w:sz="4" w:space="0" w:color="auto"/>
              <w:left w:val="nil"/>
              <w:bottom w:val="nil"/>
              <w:right w:val="nil"/>
            </w:tcBorders>
            <w:shd w:val="clear" w:color="000000" w:fill="FFFFFF"/>
            <w:noWrap/>
            <w:vAlign w:val="bottom"/>
            <w:hideMark/>
          </w:tcPr>
          <w:p w14:paraId="256CAB8C" w14:textId="22C63A3D"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3,5</w:t>
            </w:r>
          </w:p>
        </w:tc>
        <w:tc>
          <w:tcPr>
            <w:tcW w:w="1980" w:type="dxa"/>
            <w:tcBorders>
              <w:top w:val="single" w:sz="4" w:space="0" w:color="auto"/>
              <w:left w:val="nil"/>
              <w:bottom w:val="nil"/>
              <w:right w:val="single" w:sz="4" w:space="0" w:color="auto"/>
            </w:tcBorders>
            <w:shd w:val="clear" w:color="000000" w:fill="FFFFFF"/>
            <w:noWrap/>
            <w:vAlign w:val="bottom"/>
            <w:hideMark/>
          </w:tcPr>
          <w:p w14:paraId="54FDEED4" w14:textId="1D205C21"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1,8</w:t>
            </w:r>
          </w:p>
        </w:tc>
      </w:tr>
      <w:tr w:rsidR="005B19D9" w14:paraId="267E8017" w14:textId="77777777" w:rsidTr="00227B47">
        <w:trPr>
          <w:trHeight w:val="282"/>
        </w:trPr>
        <w:tc>
          <w:tcPr>
            <w:tcW w:w="2590" w:type="dxa"/>
            <w:tcBorders>
              <w:top w:val="nil"/>
              <w:left w:val="single" w:sz="4" w:space="0" w:color="auto"/>
              <w:bottom w:val="nil"/>
              <w:right w:val="single" w:sz="4" w:space="0" w:color="auto"/>
            </w:tcBorders>
            <w:shd w:val="clear" w:color="000000" w:fill="FFFFFF"/>
            <w:noWrap/>
            <w:vAlign w:val="bottom"/>
            <w:hideMark/>
          </w:tcPr>
          <w:p w14:paraId="5FD02886" w14:textId="77777777" w:rsidR="005B19D9" w:rsidRDefault="005B19D9" w:rsidP="005B19D9">
            <w:pPr>
              <w:rPr>
                <w:rFonts w:ascii="Calibri" w:hAnsi="Calibri" w:cs="Calibri"/>
                <w:b/>
                <w:bCs/>
                <w:color w:val="000000"/>
                <w:sz w:val="20"/>
                <w:szCs w:val="20"/>
              </w:rPr>
            </w:pPr>
            <w:r>
              <w:rPr>
                <w:rFonts w:ascii="Calibri" w:hAnsi="Calibri" w:cs="Calibri"/>
                <w:b/>
                <w:bCs/>
                <w:color w:val="000000"/>
                <w:sz w:val="20"/>
                <w:szCs w:val="20"/>
              </w:rPr>
              <w:t>Government Consumption</w:t>
            </w:r>
          </w:p>
        </w:tc>
        <w:tc>
          <w:tcPr>
            <w:tcW w:w="1260" w:type="dxa"/>
            <w:tcBorders>
              <w:top w:val="nil"/>
              <w:left w:val="nil"/>
              <w:bottom w:val="nil"/>
              <w:right w:val="nil"/>
            </w:tcBorders>
            <w:shd w:val="clear" w:color="000000" w:fill="FFFFFF"/>
            <w:noWrap/>
            <w:vAlign w:val="bottom"/>
            <w:hideMark/>
          </w:tcPr>
          <w:p w14:paraId="4FAF78EA" w14:textId="7878EFF2"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0,8</w:t>
            </w:r>
          </w:p>
        </w:tc>
        <w:tc>
          <w:tcPr>
            <w:tcW w:w="1980" w:type="dxa"/>
            <w:tcBorders>
              <w:top w:val="nil"/>
              <w:left w:val="nil"/>
              <w:bottom w:val="nil"/>
              <w:right w:val="single" w:sz="4" w:space="0" w:color="auto"/>
            </w:tcBorders>
            <w:shd w:val="clear" w:color="000000" w:fill="FFFFFF"/>
            <w:noWrap/>
            <w:vAlign w:val="bottom"/>
            <w:hideMark/>
          </w:tcPr>
          <w:p w14:paraId="19BE99DA" w14:textId="7D2DA35D"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0,1</w:t>
            </w:r>
          </w:p>
        </w:tc>
        <w:tc>
          <w:tcPr>
            <w:tcW w:w="1080" w:type="dxa"/>
            <w:tcBorders>
              <w:top w:val="nil"/>
              <w:left w:val="nil"/>
              <w:bottom w:val="nil"/>
              <w:right w:val="nil"/>
            </w:tcBorders>
            <w:shd w:val="clear" w:color="000000" w:fill="FFFFFF"/>
            <w:noWrap/>
            <w:vAlign w:val="bottom"/>
            <w:hideMark/>
          </w:tcPr>
          <w:p w14:paraId="402108CD" w14:textId="0C539635"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-1,8</w:t>
            </w:r>
          </w:p>
        </w:tc>
        <w:tc>
          <w:tcPr>
            <w:tcW w:w="1980" w:type="dxa"/>
            <w:tcBorders>
              <w:top w:val="nil"/>
              <w:left w:val="nil"/>
              <w:bottom w:val="nil"/>
              <w:right w:val="single" w:sz="4" w:space="0" w:color="auto"/>
            </w:tcBorders>
            <w:shd w:val="clear" w:color="000000" w:fill="FFFFFF"/>
            <w:noWrap/>
            <w:vAlign w:val="bottom"/>
            <w:hideMark/>
          </w:tcPr>
          <w:p w14:paraId="4E5B7AB0" w14:textId="501FC8F1"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-0,2</w:t>
            </w:r>
          </w:p>
        </w:tc>
      </w:tr>
      <w:tr w:rsidR="005B19D9" w14:paraId="71812687" w14:textId="77777777" w:rsidTr="00227B47">
        <w:trPr>
          <w:trHeight w:val="282"/>
        </w:trPr>
        <w:tc>
          <w:tcPr>
            <w:tcW w:w="2590" w:type="dxa"/>
            <w:tcBorders>
              <w:top w:val="nil"/>
              <w:left w:val="single" w:sz="4" w:space="0" w:color="auto"/>
              <w:bottom w:val="nil"/>
              <w:right w:val="single" w:sz="4" w:space="0" w:color="auto"/>
            </w:tcBorders>
            <w:shd w:val="clear" w:color="000000" w:fill="FFFFFF"/>
            <w:noWrap/>
            <w:vAlign w:val="bottom"/>
            <w:hideMark/>
          </w:tcPr>
          <w:p w14:paraId="5E04B723" w14:textId="77777777" w:rsidR="005B19D9" w:rsidRDefault="005B19D9" w:rsidP="005B19D9">
            <w:pPr>
              <w:rPr>
                <w:rFonts w:ascii="Calibri" w:hAnsi="Calibri" w:cs="Calibri"/>
                <w:b/>
                <w:bCs/>
                <w:color w:val="000000"/>
                <w:sz w:val="20"/>
                <w:szCs w:val="20"/>
              </w:rPr>
            </w:pPr>
            <w:r>
              <w:rPr>
                <w:rFonts w:ascii="Calibri" w:hAnsi="Calibri" w:cs="Calibri"/>
                <w:b/>
                <w:bCs/>
                <w:color w:val="000000"/>
                <w:sz w:val="20"/>
                <w:szCs w:val="20"/>
              </w:rPr>
              <w:t>Investment</w:t>
            </w:r>
          </w:p>
        </w:tc>
        <w:tc>
          <w:tcPr>
            <w:tcW w:w="1260" w:type="dxa"/>
            <w:tcBorders>
              <w:top w:val="nil"/>
              <w:left w:val="nil"/>
              <w:bottom w:val="nil"/>
              <w:right w:val="nil"/>
            </w:tcBorders>
            <w:shd w:val="clear" w:color="000000" w:fill="FFFFFF"/>
            <w:noWrap/>
            <w:vAlign w:val="bottom"/>
            <w:hideMark/>
          </w:tcPr>
          <w:p w14:paraId="75F2B02C" w14:textId="56FADEB5"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3,1</w:t>
            </w:r>
          </w:p>
        </w:tc>
        <w:tc>
          <w:tcPr>
            <w:tcW w:w="1980" w:type="dxa"/>
            <w:tcBorders>
              <w:top w:val="nil"/>
              <w:left w:val="nil"/>
              <w:bottom w:val="nil"/>
              <w:right w:val="single" w:sz="4" w:space="0" w:color="auto"/>
            </w:tcBorders>
            <w:shd w:val="clear" w:color="000000" w:fill="FFFFFF"/>
            <w:noWrap/>
            <w:vAlign w:val="bottom"/>
            <w:hideMark/>
          </w:tcPr>
          <w:p w14:paraId="7A5D8EDA" w14:textId="0CA54310"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1,0</w:t>
            </w:r>
          </w:p>
        </w:tc>
        <w:tc>
          <w:tcPr>
            <w:tcW w:w="1080" w:type="dxa"/>
            <w:tcBorders>
              <w:top w:val="nil"/>
              <w:left w:val="nil"/>
              <w:bottom w:val="nil"/>
              <w:right w:val="nil"/>
            </w:tcBorders>
            <w:shd w:val="clear" w:color="000000" w:fill="FFFFFF"/>
            <w:noWrap/>
            <w:vAlign w:val="bottom"/>
            <w:hideMark/>
          </w:tcPr>
          <w:p w14:paraId="723E3F99" w14:textId="1C9F003E"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0,6</w:t>
            </w:r>
          </w:p>
        </w:tc>
        <w:tc>
          <w:tcPr>
            <w:tcW w:w="1980" w:type="dxa"/>
            <w:tcBorders>
              <w:top w:val="nil"/>
              <w:left w:val="nil"/>
              <w:bottom w:val="nil"/>
              <w:right w:val="single" w:sz="4" w:space="0" w:color="auto"/>
            </w:tcBorders>
            <w:shd w:val="clear" w:color="000000" w:fill="FFFFFF"/>
            <w:noWrap/>
            <w:vAlign w:val="bottom"/>
            <w:hideMark/>
          </w:tcPr>
          <w:p w14:paraId="591ABAE7" w14:textId="1624232B"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0,2</w:t>
            </w:r>
          </w:p>
        </w:tc>
      </w:tr>
      <w:tr w:rsidR="005B19D9" w14:paraId="2DF782AD" w14:textId="77777777" w:rsidTr="00227B47">
        <w:trPr>
          <w:trHeight w:val="282"/>
        </w:trPr>
        <w:tc>
          <w:tcPr>
            <w:tcW w:w="2590" w:type="dxa"/>
            <w:tcBorders>
              <w:top w:val="nil"/>
              <w:left w:val="single" w:sz="4" w:space="0" w:color="auto"/>
              <w:bottom w:val="nil"/>
              <w:right w:val="single" w:sz="4" w:space="0" w:color="auto"/>
            </w:tcBorders>
            <w:shd w:val="clear" w:color="000000" w:fill="FFFFFF"/>
            <w:noWrap/>
            <w:vAlign w:val="bottom"/>
            <w:hideMark/>
          </w:tcPr>
          <w:p w14:paraId="02AFF77E" w14:textId="77777777" w:rsidR="005B19D9" w:rsidRDefault="005B19D9" w:rsidP="005B19D9">
            <w:pPr>
              <w:rPr>
                <w:rFonts w:ascii="Calibri" w:hAnsi="Calibri" w:cs="Calibri"/>
                <w:b/>
                <w:bCs/>
                <w:color w:val="000000"/>
                <w:sz w:val="20"/>
                <w:szCs w:val="20"/>
              </w:rPr>
            </w:pPr>
            <w:r>
              <w:rPr>
                <w:rFonts w:ascii="Calibri" w:hAnsi="Calibri" w:cs="Calibri"/>
                <w:b/>
                <w:bCs/>
                <w:color w:val="000000"/>
                <w:sz w:val="20"/>
                <w:szCs w:val="20"/>
              </w:rPr>
              <w:t>Inventory Changes</w:t>
            </w:r>
          </w:p>
        </w:tc>
        <w:tc>
          <w:tcPr>
            <w:tcW w:w="1260" w:type="dxa"/>
            <w:tcBorders>
              <w:top w:val="nil"/>
              <w:left w:val="nil"/>
              <w:bottom w:val="nil"/>
              <w:right w:val="nil"/>
            </w:tcBorders>
            <w:shd w:val="clear" w:color="000000" w:fill="FFFFFF"/>
            <w:noWrap/>
            <w:vAlign w:val="bottom"/>
            <w:hideMark/>
          </w:tcPr>
          <w:p w14:paraId="33B6465C" w14:textId="2B4CD562" w:rsidR="005B19D9" w:rsidRDefault="005B19D9" w:rsidP="005B19D9">
            <w:pPr>
              <w:jc w:val="center"/>
              <w:rPr>
                <w:rFonts w:ascii="Calibri" w:hAnsi="Calibri" w:cs="Calibri"/>
                <w:color w:val="000000"/>
                <w:sz w:val="20"/>
                <w:szCs w:val="20"/>
              </w:rPr>
            </w:pPr>
          </w:p>
        </w:tc>
        <w:tc>
          <w:tcPr>
            <w:tcW w:w="1980" w:type="dxa"/>
            <w:tcBorders>
              <w:top w:val="nil"/>
              <w:left w:val="nil"/>
              <w:bottom w:val="nil"/>
              <w:right w:val="single" w:sz="4" w:space="0" w:color="auto"/>
            </w:tcBorders>
            <w:shd w:val="clear" w:color="000000" w:fill="FFFFFF"/>
            <w:noWrap/>
            <w:vAlign w:val="bottom"/>
            <w:hideMark/>
          </w:tcPr>
          <w:p w14:paraId="72B609FE" w14:textId="77E163EC"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1,7</w:t>
            </w:r>
          </w:p>
        </w:tc>
        <w:tc>
          <w:tcPr>
            <w:tcW w:w="1080" w:type="dxa"/>
            <w:tcBorders>
              <w:top w:val="nil"/>
              <w:left w:val="nil"/>
              <w:bottom w:val="nil"/>
              <w:right w:val="nil"/>
            </w:tcBorders>
            <w:shd w:val="clear" w:color="000000" w:fill="FFFFFF"/>
            <w:noWrap/>
            <w:vAlign w:val="bottom"/>
            <w:hideMark/>
          </w:tcPr>
          <w:p w14:paraId="4CAA4C8F" w14:textId="21BE9E22" w:rsidR="005B19D9" w:rsidRDefault="005B19D9" w:rsidP="005B19D9">
            <w:pPr>
              <w:jc w:val="center"/>
              <w:rPr>
                <w:rFonts w:ascii="Calibri" w:hAnsi="Calibri" w:cs="Calibri"/>
                <w:color w:val="000000"/>
                <w:sz w:val="20"/>
                <w:szCs w:val="20"/>
              </w:rPr>
            </w:pPr>
          </w:p>
        </w:tc>
        <w:tc>
          <w:tcPr>
            <w:tcW w:w="1980" w:type="dxa"/>
            <w:tcBorders>
              <w:top w:val="nil"/>
              <w:left w:val="nil"/>
              <w:bottom w:val="nil"/>
              <w:right w:val="single" w:sz="4" w:space="0" w:color="auto"/>
            </w:tcBorders>
            <w:shd w:val="clear" w:color="000000" w:fill="FFFFFF"/>
            <w:noWrap/>
            <w:vAlign w:val="bottom"/>
            <w:hideMark/>
          </w:tcPr>
          <w:p w14:paraId="3C47EA62" w14:textId="08F53719"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-0,3</w:t>
            </w:r>
          </w:p>
        </w:tc>
      </w:tr>
      <w:tr w:rsidR="005B19D9" w14:paraId="0784A44A" w14:textId="77777777" w:rsidTr="00227B47">
        <w:trPr>
          <w:trHeight w:val="282"/>
        </w:trPr>
        <w:tc>
          <w:tcPr>
            <w:tcW w:w="2590" w:type="dxa"/>
            <w:tcBorders>
              <w:top w:val="nil"/>
              <w:left w:val="single" w:sz="4" w:space="0" w:color="auto"/>
              <w:bottom w:val="nil"/>
              <w:right w:val="single" w:sz="4" w:space="0" w:color="auto"/>
            </w:tcBorders>
            <w:shd w:val="clear" w:color="000000" w:fill="FFFFFF"/>
            <w:noWrap/>
            <w:vAlign w:val="bottom"/>
            <w:hideMark/>
          </w:tcPr>
          <w:p w14:paraId="0B5CEEDB" w14:textId="77777777" w:rsidR="005B19D9" w:rsidRDefault="005B19D9" w:rsidP="005B19D9">
            <w:pPr>
              <w:rPr>
                <w:rFonts w:ascii="Calibri" w:hAnsi="Calibri" w:cs="Calibri"/>
                <w:b/>
                <w:bCs/>
                <w:color w:val="000000"/>
                <w:sz w:val="20"/>
                <w:szCs w:val="20"/>
              </w:rPr>
            </w:pPr>
            <w:r>
              <w:rPr>
                <w:rFonts w:ascii="Calibri" w:hAnsi="Calibri" w:cs="Calibri"/>
                <w:b/>
                <w:bCs/>
                <w:color w:val="000000"/>
                <w:sz w:val="20"/>
                <w:szCs w:val="20"/>
              </w:rPr>
              <w:t>Exports</w:t>
            </w:r>
          </w:p>
        </w:tc>
        <w:tc>
          <w:tcPr>
            <w:tcW w:w="1260" w:type="dxa"/>
            <w:tcBorders>
              <w:top w:val="nil"/>
              <w:left w:val="nil"/>
              <w:bottom w:val="nil"/>
              <w:right w:val="nil"/>
            </w:tcBorders>
            <w:shd w:val="clear" w:color="000000" w:fill="FFFFFF"/>
            <w:noWrap/>
            <w:vAlign w:val="bottom"/>
            <w:hideMark/>
          </w:tcPr>
          <w:p w14:paraId="07441065" w14:textId="7D41AC13"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-12,7</w:t>
            </w:r>
          </w:p>
        </w:tc>
        <w:tc>
          <w:tcPr>
            <w:tcW w:w="1980" w:type="dxa"/>
            <w:tcBorders>
              <w:top w:val="nil"/>
              <w:left w:val="nil"/>
              <w:bottom w:val="nil"/>
              <w:right w:val="single" w:sz="4" w:space="0" w:color="auto"/>
            </w:tcBorders>
            <w:shd w:val="clear" w:color="000000" w:fill="FFFFFF"/>
            <w:noWrap/>
            <w:vAlign w:val="bottom"/>
            <w:hideMark/>
          </w:tcPr>
          <w:p w14:paraId="59359515" w14:textId="70197B35"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-3,3</w:t>
            </w:r>
          </w:p>
        </w:tc>
        <w:tc>
          <w:tcPr>
            <w:tcW w:w="1080" w:type="dxa"/>
            <w:tcBorders>
              <w:top w:val="nil"/>
              <w:left w:val="nil"/>
              <w:bottom w:val="nil"/>
              <w:right w:val="nil"/>
            </w:tcBorders>
            <w:shd w:val="clear" w:color="000000" w:fill="FFFFFF"/>
            <w:noWrap/>
            <w:vAlign w:val="bottom"/>
            <w:hideMark/>
          </w:tcPr>
          <w:p w14:paraId="77A52EC7" w14:textId="26D79440"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-3,4</w:t>
            </w:r>
          </w:p>
        </w:tc>
        <w:tc>
          <w:tcPr>
            <w:tcW w:w="1980" w:type="dxa"/>
            <w:tcBorders>
              <w:top w:val="nil"/>
              <w:left w:val="nil"/>
              <w:bottom w:val="nil"/>
              <w:right w:val="single" w:sz="4" w:space="0" w:color="auto"/>
            </w:tcBorders>
            <w:shd w:val="clear" w:color="000000" w:fill="FFFFFF"/>
            <w:noWrap/>
            <w:vAlign w:val="bottom"/>
            <w:hideMark/>
          </w:tcPr>
          <w:p w14:paraId="17007491" w14:textId="56825332"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-0,8</w:t>
            </w:r>
          </w:p>
        </w:tc>
      </w:tr>
      <w:tr w:rsidR="005B19D9" w14:paraId="7A68834D" w14:textId="77777777" w:rsidTr="00227B47">
        <w:trPr>
          <w:trHeight w:val="282"/>
        </w:trPr>
        <w:tc>
          <w:tcPr>
            <w:tcW w:w="2590" w:type="dxa"/>
            <w:tcBorders>
              <w:top w:val="nil"/>
              <w:left w:val="single" w:sz="4" w:space="0" w:color="auto"/>
              <w:bottom w:val="nil"/>
              <w:right w:val="single" w:sz="4" w:space="0" w:color="auto"/>
            </w:tcBorders>
            <w:shd w:val="clear" w:color="000000" w:fill="FFFFFF"/>
            <w:noWrap/>
            <w:vAlign w:val="bottom"/>
            <w:hideMark/>
          </w:tcPr>
          <w:p w14:paraId="069F548C" w14:textId="77777777" w:rsidR="005B19D9" w:rsidRDefault="005B19D9" w:rsidP="005B19D9">
            <w:pPr>
              <w:rPr>
                <w:rFonts w:ascii="Calibri" w:hAnsi="Calibri" w:cs="Calibri"/>
                <w:b/>
                <w:bCs/>
                <w:color w:val="000000"/>
                <w:sz w:val="20"/>
                <w:szCs w:val="20"/>
              </w:rPr>
            </w:pPr>
            <w:r>
              <w:rPr>
                <w:rFonts w:ascii="Calibri" w:hAnsi="Calibri" w:cs="Calibri"/>
                <w:b/>
                <w:bCs/>
                <w:color w:val="000000"/>
                <w:sz w:val="20"/>
                <w:szCs w:val="20"/>
              </w:rPr>
              <w:t>Imports</w:t>
            </w:r>
          </w:p>
        </w:tc>
        <w:tc>
          <w:tcPr>
            <w:tcW w:w="1260" w:type="dxa"/>
            <w:tcBorders>
              <w:top w:val="nil"/>
              <w:left w:val="nil"/>
              <w:bottom w:val="nil"/>
              <w:right w:val="nil"/>
            </w:tcBorders>
            <w:shd w:val="clear" w:color="000000" w:fill="FFFFFF"/>
            <w:noWrap/>
            <w:vAlign w:val="bottom"/>
            <w:hideMark/>
          </w:tcPr>
          <w:p w14:paraId="297B3209" w14:textId="090C64AA"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-2,0</w:t>
            </w:r>
          </w:p>
        </w:tc>
        <w:tc>
          <w:tcPr>
            <w:tcW w:w="1980" w:type="dxa"/>
            <w:tcBorders>
              <w:top w:val="nil"/>
              <w:left w:val="nil"/>
              <w:bottom w:val="nil"/>
              <w:right w:val="single" w:sz="4" w:space="0" w:color="auto"/>
            </w:tcBorders>
            <w:shd w:val="clear" w:color="000000" w:fill="FFFFFF"/>
            <w:noWrap/>
            <w:vAlign w:val="bottom"/>
            <w:hideMark/>
          </w:tcPr>
          <w:p w14:paraId="763B5F6E" w14:textId="0183B1B4"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0,3</w:t>
            </w:r>
          </w:p>
        </w:tc>
        <w:tc>
          <w:tcPr>
            <w:tcW w:w="1080" w:type="dxa"/>
            <w:tcBorders>
              <w:top w:val="nil"/>
              <w:left w:val="nil"/>
              <w:bottom w:val="nil"/>
              <w:right w:val="nil"/>
            </w:tcBorders>
            <w:shd w:val="clear" w:color="000000" w:fill="FFFFFF"/>
            <w:noWrap/>
            <w:vAlign w:val="bottom"/>
            <w:hideMark/>
          </w:tcPr>
          <w:p w14:paraId="5EC8E8D5" w14:textId="53C57BBF"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-6,4</w:t>
            </w:r>
          </w:p>
        </w:tc>
        <w:tc>
          <w:tcPr>
            <w:tcW w:w="1980" w:type="dxa"/>
            <w:tcBorders>
              <w:top w:val="nil"/>
              <w:left w:val="nil"/>
              <w:bottom w:val="nil"/>
              <w:right w:val="single" w:sz="4" w:space="0" w:color="auto"/>
            </w:tcBorders>
            <w:shd w:val="clear" w:color="000000" w:fill="FFFFFF"/>
            <w:noWrap/>
            <w:vAlign w:val="bottom"/>
            <w:hideMark/>
          </w:tcPr>
          <w:p w14:paraId="5C99268B" w14:textId="7792FF4B"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1,7</w:t>
            </w:r>
          </w:p>
        </w:tc>
      </w:tr>
      <w:tr w:rsidR="005B19D9" w14:paraId="62E5B260" w14:textId="77777777" w:rsidTr="00227B47">
        <w:trPr>
          <w:trHeight w:val="300"/>
        </w:trPr>
        <w:tc>
          <w:tcPr>
            <w:tcW w:w="2590" w:type="dxa"/>
            <w:tcBorders>
              <w:top w:val="nil"/>
              <w:left w:val="single" w:sz="4" w:space="0" w:color="auto"/>
              <w:bottom w:val="single" w:sz="4" w:space="0" w:color="auto"/>
              <w:right w:val="single" w:sz="4" w:space="0" w:color="auto"/>
            </w:tcBorders>
            <w:shd w:val="clear" w:color="000000" w:fill="FFFFFF"/>
            <w:noWrap/>
            <w:vAlign w:val="bottom"/>
            <w:hideMark/>
          </w:tcPr>
          <w:p w14:paraId="168214E4" w14:textId="77777777" w:rsidR="005B19D9" w:rsidRDefault="005B19D9" w:rsidP="005B19D9">
            <w:pPr>
              <w:rPr>
                <w:rFonts w:ascii="Calibri" w:hAnsi="Calibri" w:cs="Calibri"/>
                <w:b/>
                <w:bCs/>
                <w:color w:val="000000"/>
                <w:sz w:val="20"/>
                <w:szCs w:val="20"/>
              </w:rPr>
            </w:pPr>
            <w:r>
              <w:rPr>
                <w:rFonts w:ascii="Calibri" w:hAnsi="Calibri" w:cs="Calibri"/>
                <w:b/>
                <w:bCs/>
                <w:color w:val="000000"/>
                <w:sz w:val="20"/>
                <w:szCs w:val="20"/>
              </w:rPr>
              <w:t>GDP</w:t>
            </w:r>
          </w:p>
        </w:tc>
        <w:tc>
          <w:tcPr>
            <w:tcW w:w="1260" w:type="dxa"/>
            <w:tcBorders>
              <w:top w:val="nil"/>
              <w:left w:val="nil"/>
              <w:bottom w:val="single" w:sz="4" w:space="0" w:color="auto"/>
              <w:right w:val="nil"/>
            </w:tcBorders>
            <w:shd w:val="clear" w:color="000000" w:fill="FFFFFF"/>
            <w:noWrap/>
            <w:vAlign w:val="bottom"/>
            <w:hideMark/>
          </w:tcPr>
          <w:p w14:paraId="1768224F" w14:textId="33FE00AA"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2,6</w:t>
            </w:r>
          </w:p>
        </w:tc>
        <w:tc>
          <w:tcPr>
            <w:tcW w:w="1980" w:type="dxa"/>
            <w:tcBorders>
              <w:top w:val="nil"/>
              <w:left w:val="nil"/>
              <w:bottom w:val="single" w:sz="4" w:space="0" w:color="auto"/>
              <w:right w:val="single" w:sz="4" w:space="0" w:color="auto"/>
            </w:tcBorders>
            <w:shd w:val="clear" w:color="000000" w:fill="FFFFFF"/>
            <w:noWrap/>
            <w:vAlign w:val="bottom"/>
            <w:hideMark/>
          </w:tcPr>
          <w:p w14:paraId="10F8DC03" w14:textId="062909A4" w:rsidR="005B19D9" w:rsidRDefault="005B19D9" w:rsidP="005B19D9">
            <w:pPr>
              <w:jc w:val="center"/>
              <w:rPr>
                <w:rFonts w:ascii="Calibri" w:hAnsi="Calibri" w:cs="Calibri"/>
                <w:color w:val="000000"/>
                <w:sz w:val="20"/>
                <w:szCs w:val="20"/>
              </w:rPr>
            </w:pPr>
          </w:p>
        </w:tc>
        <w:tc>
          <w:tcPr>
            <w:tcW w:w="1080" w:type="dxa"/>
            <w:tcBorders>
              <w:top w:val="nil"/>
              <w:left w:val="nil"/>
              <w:bottom w:val="single" w:sz="4" w:space="0" w:color="auto"/>
              <w:right w:val="nil"/>
            </w:tcBorders>
            <w:shd w:val="clear" w:color="000000" w:fill="FFFFFF"/>
            <w:noWrap/>
            <w:vAlign w:val="bottom"/>
            <w:hideMark/>
          </w:tcPr>
          <w:p w14:paraId="361D121E" w14:textId="013481BB"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2,3</w:t>
            </w:r>
          </w:p>
        </w:tc>
        <w:tc>
          <w:tcPr>
            <w:tcW w:w="1980" w:type="dxa"/>
            <w:tcBorders>
              <w:top w:val="nil"/>
              <w:left w:val="nil"/>
              <w:bottom w:val="single" w:sz="4" w:space="0" w:color="auto"/>
              <w:right w:val="single" w:sz="4" w:space="0" w:color="auto"/>
            </w:tcBorders>
            <w:shd w:val="clear" w:color="000000" w:fill="FFFFFF"/>
            <w:noWrap/>
            <w:vAlign w:val="bottom"/>
            <w:hideMark/>
          </w:tcPr>
          <w:p w14:paraId="144CD720" w14:textId="1F12FBA0" w:rsidR="005B19D9" w:rsidRDefault="005B19D9" w:rsidP="005B19D9">
            <w:pPr>
              <w:jc w:val="center"/>
              <w:rPr>
                <w:rFonts w:ascii="Calibri" w:hAnsi="Calibri" w:cs="Calibri"/>
                <w:color w:val="000000"/>
                <w:sz w:val="20"/>
                <w:szCs w:val="20"/>
              </w:rPr>
            </w:pPr>
          </w:p>
        </w:tc>
      </w:tr>
    </w:tbl>
    <w:p w14:paraId="68ED2418" w14:textId="58DED315" w:rsidR="00405BD8" w:rsidRDefault="003D44CE" w:rsidP="00227B47">
      <w:pPr>
        <w:keepLines/>
        <w:widowControl w:val="0"/>
        <w:rPr>
          <w:rFonts w:ascii="Palatino Linotype" w:hAnsi="Palatino Linotype" w:cstheme="minorHAnsi"/>
          <w:sz w:val="18"/>
          <w:szCs w:val="18"/>
        </w:rPr>
      </w:pPr>
      <w:r>
        <w:rPr>
          <w:rFonts w:ascii="Palatino Linotype" w:hAnsi="Palatino Linotype" w:cstheme="minorHAnsi"/>
          <w:sz w:val="18"/>
          <w:szCs w:val="18"/>
        </w:rPr>
        <w:t xml:space="preserve">Source: </w:t>
      </w:r>
      <w:proofErr w:type="spellStart"/>
      <w:r>
        <w:rPr>
          <w:rFonts w:ascii="Palatino Linotype" w:hAnsi="Palatino Linotype" w:cstheme="minorHAnsi"/>
          <w:sz w:val="18"/>
          <w:szCs w:val="18"/>
        </w:rPr>
        <w:t>TurkStat</w:t>
      </w:r>
      <w:proofErr w:type="spellEnd"/>
      <w:r>
        <w:rPr>
          <w:rFonts w:ascii="Palatino Linotype" w:hAnsi="Palatino Linotype" w:cstheme="minorHAnsi"/>
          <w:sz w:val="18"/>
          <w:szCs w:val="18"/>
        </w:rPr>
        <w:t>, Betam</w:t>
      </w:r>
    </w:p>
    <w:p w14:paraId="06E46BDB" w14:textId="77777777" w:rsidR="00311EFF" w:rsidRPr="00227B47" w:rsidRDefault="00311EFF" w:rsidP="00227B47">
      <w:pPr>
        <w:pStyle w:val="NormalWeb"/>
        <w:spacing w:before="0" w:beforeAutospacing="0" w:after="0" w:afterAutospacing="0" w:line="360" w:lineRule="auto"/>
        <w:ind w:right="79"/>
        <w:jc w:val="both"/>
        <w:rPr>
          <w:rFonts w:ascii="Palatino Linotype" w:hAnsi="Palatino Linotype" w:cstheme="minorHAnsi"/>
          <w:strike/>
          <w:sz w:val="22"/>
          <w:szCs w:val="22"/>
        </w:rPr>
      </w:pPr>
    </w:p>
    <w:p w14:paraId="0616481E" w14:textId="3EF90BEE" w:rsidR="00732DA5" w:rsidRPr="00CC0355" w:rsidRDefault="006C3EE6" w:rsidP="00227B47">
      <w:pPr>
        <w:keepNext/>
        <w:ind w:right="79"/>
        <w:jc w:val="both"/>
        <w:rPr>
          <w:rFonts w:ascii="Palatino Linotype" w:hAnsi="Palatino Linotype" w:cstheme="minorHAnsi"/>
          <w:b/>
          <w:bCs/>
          <w:sz w:val="22"/>
          <w:szCs w:val="22"/>
        </w:rPr>
      </w:pPr>
      <w:r>
        <w:rPr>
          <w:rFonts w:ascii="Palatino Linotype" w:hAnsi="Palatino Linotype" w:cstheme="minorHAnsi"/>
          <w:b/>
          <w:bCs/>
          <w:sz w:val="22"/>
          <w:szCs w:val="22"/>
        </w:rPr>
        <w:t>Table 2: Quarterly growth rates and contributions to growth of GDP components, 2026 Q1 and 2026 Q2 (seasonally and calendar-adjusted)</w:t>
      </w:r>
    </w:p>
    <w:tbl>
      <w:tblPr>
        <w:tblW w:w="8890" w:type="dxa"/>
        <w:tblCellMar>
          <w:left w:w="70" w:type="dxa"/>
          <w:right w:w="70" w:type="dxa"/>
        </w:tblCellMar>
        <w:tblLook w:val="04A0" w:firstRow="1" w:lastRow="0" w:firstColumn="1" w:lastColumn="0" w:noHBand="0" w:noVBand="1"/>
      </w:tblPr>
      <w:tblGrid>
        <w:gridCol w:w="2590"/>
        <w:gridCol w:w="1260"/>
        <w:gridCol w:w="1980"/>
        <w:gridCol w:w="1080"/>
        <w:gridCol w:w="1980"/>
      </w:tblGrid>
      <w:tr w:rsidR="004360BE" w14:paraId="0B569F4A" w14:textId="77777777" w:rsidTr="00227B47">
        <w:trPr>
          <w:trHeight w:val="282"/>
        </w:trPr>
        <w:tc>
          <w:tcPr>
            <w:tcW w:w="2590" w:type="dxa"/>
            <w:tcBorders>
              <w:top w:val="single" w:sz="4" w:space="0" w:color="auto"/>
              <w:left w:val="single" w:sz="4" w:space="0" w:color="auto"/>
              <w:bottom w:val="nil"/>
              <w:right w:val="single" w:sz="4" w:space="0" w:color="auto"/>
            </w:tcBorders>
            <w:shd w:val="clear" w:color="000000" w:fill="FFFFFF"/>
            <w:noWrap/>
            <w:vAlign w:val="bottom"/>
            <w:hideMark/>
          </w:tcPr>
          <w:p w14:paraId="4C2C57A8" w14:textId="77777777" w:rsidR="004360BE" w:rsidRDefault="004360BE" w:rsidP="004360BE">
            <w:pPr>
              <w:rPr>
                <w:rFonts w:ascii="Calibri" w:hAnsi="Calibri" w:cs="Calibri"/>
                <w:b/>
                <w:bCs/>
                <w:color w:val="000000"/>
                <w:sz w:val="20"/>
                <w:szCs w:val="20"/>
              </w:rPr>
            </w:pPr>
            <w:r>
              <w:rPr>
                <w:rFonts w:ascii="Calibri" w:hAnsi="Calibri" w:cs="Calibri"/>
                <w:b/>
                <w:bCs/>
                <w:color w:val="000000"/>
                <w:sz w:val="20"/>
                <w:szCs w:val="20"/>
              </w:rPr>
              <w:t> </w:t>
            </w:r>
          </w:p>
        </w:tc>
        <w:tc>
          <w:tcPr>
            <w:tcW w:w="3240"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5C2B9342" w14:textId="7CA185B8" w:rsidR="004360BE" w:rsidRDefault="004360BE" w:rsidP="004360BE">
            <w:pPr>
              <w:jc w:val="center"/>
              <w:rPr>
                <w:rFonts w:ascii="Calibri" w:hAnsi="Calibri" w:cs="Calibri"/>
                <w:b/>
                <w:bCs/>
                <w:color w:val="000000"/>
                <w:sz w:val="20"/>
                <w:szCs w:val="20"/>
              </w:rPr>
            </w:pPr>
            <w:r>
              <w:rPr>
                <w:rFonts w:ascii="Calibri" w:hAnsi="Calibri" w:cs="Calibri"/>
                <w:b/>
                <w:bCs/>
                <w:color w:val="000000"/>
                <w:sz w:val="20"/>
                <w:szCs w:val="20"/>
              </w:rPr>
              <w:t>2026Q1</w:t>
            </w:r>
          </w:p>
        </w:tc>
        <w:tc>
          <w:tcPr>
            <w:tcW w:w="3060"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0EBD32E8" w14:textId="52502150" w:rsidR="004360BE" w:rsidRDefault="004360BE" w:rsidP="004360BE">
            <w:pPr>
              <w:jc w:val="center"/>
              <w:rPr>
                <w:rFonts w:ascii="Calibri" w:hAnsi="Calibri" w:cs="Calibri"/>
                <w:b/>
                <w:bCs/>
                <w:color w:val="000000"/>
                <w:sz w:val="20"/>
                <w:szCs w:val="20"/>
              </w:rPr>
            </w:pPr>
            <w:r>
              <w:rPr>
                <w:rFonts w:ascii="Calibri" w:hAnsi="Calibri" w:cs="Calibri"/>
                <w:b/>
                <w:bCs/>
                <w:color w:val="000000"/>
                <w:sz w:val="20"/>
                <w:szCs w:val="20"/>
              </w:rPr>
              <w:t>2026Q2</w:t>
            </w:r>
          </w:p>
        </w:tc>
      </w:tr>
      <w:tr w:rsidR="002D0856" w14:paraId="5D1A18FC" w14:textId="77777777" w:rsidTr="00227B47">
        <w:trPr>
          <w:trHeight w:val="282"/>
        </w:trPr>
        <w:tc>
          <w:tcPr>
            <w:tcW w:w="2590" w:type="dxa"/>
            <w:tcBorders>
              <w:top w:val="nil"/>
              <w:left w:val="single" w:sz="4" w:space="0" w:color="auto"/>
              <w:bottom w:val="single" w:sz="4" w:space="0" w:color="auto"/>
              <w:right w:val="single" w:sz="4" w:space="0" w:color="auto"/>
            </w:tcBorders>
            <w:shd w:val="clear" w:color="000000" w:fill="FFFFFF"/>
            <w:noWrap/>
            <w:vAlign w:val="bottom"/>
            <w:hideMark/>
          </w:tcPr>
          <w:p w14:paraId="1529856B" w14:textId="77777777" w:rsidR="002D0856" w:rsidRDefault="002D0856">
            <w:pPr>
              <w:rPr>
                <w:rFonts w:ascii="Calibri" w:hAnsi="Calibri" w:cs="Calibri"/>
                <w:b/>
                <w:bCs/>
                <w:color w:val="000000"/>
                <w:sz w:val="20"/>
                <w:szCs w:val="20"/>
              </w:rPr>
            </w:pPr>
            <w:r>
              <w:rPr>
                <w:rFonts w:ascii="Calibri" w:hAnsi="Calibri" w:cs="Calibri"/>
                <w:b/>
                <w:bCs/>
                <w:color w:val="000000"/>
                <w:sz w:val="20"/>
                <w:szCs w:val="20"/>
              </w:rPr>
              <w:t> </w:t>
            </w:r>
          </w:p>
        </w:tc>
        <w:tc>
          <w:tcPr>
            <w:tcW w:w="1260" w:type="dxa"/>
            <w:tcBorders>
              <w:top w:val="nil"/>
              <w:left w:val="nil"/>
              <w:bottom w:val="nil"/>
              <w:right w:val="nil"/>
            </w:tcBorders>
            <w:shd w:val="clear" w:color="000000" w:fill="FFFFFF"/>
            <w:noWrap/>
            <w:vAlign w:val="bottom"/>
            <w:hideMark/>
          </w:tcPr>
          <w:p w14:paraId="74F021CD" w14:textId="77777777" w:rsidR="002D0856" w:rsidRPr="00D266AE" w:rsidRDefault="002D0856">
            <w:pPr>
              <w:jc w:val="center"/>
              <w:rPr>
                <w:rFonts w:ascii="Calibri" w:hAnsi="Calibri" w:cs="Calibri"/>
                <w:b/>
                <w:bCs/>
                <w:color w:val="000000"/>
                <w:sz w:val="20"/>
                <w:szCs w:val="20"/>
              </w:rPr>
            </w:pPr>
            <w:r>
              <w:rPr>
                <w:rFonts w:ascii="Calibri" w:hAnsi="Calibri" w:cs="Calibri"/>
                <w:b/>
                <w:bCs/>
                <w:color w:val="000000"/>
                <w:sz w:val="20"/>
                <w:szCs w:val="20"/>
              </w:rPr>
              <w:t>Change (%)</w:t>
            </w:r>
          </w:p>
        </w:tc>
        <w:tc>
          <w:tcPr>
            <w:tcW w:w="1980" w:type="dxa"/>
            <w:tcBorders>
              <w:top w:val="nil"/>
              <w:left w:val="nil"/>
              <w:bottom w:val="nil"/>
              <w:right w:val="single" w:sz="4" w:space="0" w:color="auto"/>
            </w:tcBorders>
            <w:shd w:val="clear" w:color="000000" w:fill="FFFFFF"/>
            <w:noWrap/>
            <w:vAlign w:val="bottom"/>
            <w:hideMark/>
          </w:tcPr>
          <w:p w14:paraId="3B4D9DB3" w14:textId="62A22421" w:rsidR="002D0856" w:rsidRPr="00D266AE" w:rsidRDefault="002D0856">
            <w:pPr>
              <w:jc w:val="center"/>
              <w:rPr>
                <w:rFonts w:ascii="Calibri" w:hAnsi="Calibri" w:cs="Calibri"/>
                <w:b/>
                <w:bCs/>
                <w:color w:val="000000"/>
                <w:sz w:val="20"/>
                <w:szCs w:val="20"/>
              </w:rPr>
            </w:pPr>
            <w:r>
              <w:rPr>
                <w:rFonts w:ascii="Calibri" w:hAnsi="Calibri" w:cs="Calibri"/>
                <w:b/>
                <w:bCs/>
                <w:color w:val="000000"/>
                <w:sz w:val="20"/>
                <w:szCs w:val="20"/>
              </w:rPr>
              <w:t>Contribution (pp)</w:t>
            </w:r>
          </w:p>
        </w:tc>
        <w:tc>
          <w:tcPr>
            <w:tcW w:w="1080" w:type="dxa"/>
            <w:tcBorders>
              <w:top w:val="nil"/>
              <w:left w:val="nil"/>
              <w:bottom w:val="nil"/>
              <w:right w:val="nil"/>
            </w:tcBorders>
            <w:shd w:val="clear" w:color="000000" w:fill="FFFFFF"/>
            <w:noWrap/>
            <w:vAlign w:val="bottom"/>
            <w:hideMark/>
          </w:tcPr>
          <w:p w14:paraId="2BA7A8FB" w14:textId="77777777" w:rsidR="002D0856" w:rsidRPr="00D266AE" w:rsidRDefault="002D0856">
            <w:pPr>
              <w:jc w:val="center"/>
              <w:rPr>
                <w:rFonts w:ascii="Calibri" w:hAnsi="Calibri" w:cs="Calibri"/>
                <w:b/>
                <w:bCs/>
                <w:color w:val="000000"/>
                <w:sz w:val="20"/>
                <w:szCs w:val="20"/>
              </w:rPr>
            </w:pPr>
            <w:r>
              <w:rPr>
                <w:rFonts w:ascii="Calibri" w:hAnsi="Calibri" w:cs="Calibri"/>
                <w:b/>
                <w:bCs/>
                <w:color w:val="000000"/>
                <w:sz w:val="20"/>
                <w:szCs w:val="20"/>
              </w:rPr>
              <w:t>Change (%)</w:t>
            </w:r>
          </w:p>
        </w:tc>
        <w:tc>
          <w:tcPr>
            <w:tcW w:w="1980" w:type="dxa"/>
            <w:tcBorders>
              <w:top w:val="nil"/>
              <w:left w:val="nil"/>
              <w:bottom w:val="nil"/>
              <w:right w:val="single" w:sz="4" w:space="0" w:color="auto"/>
            </w:tcBorders>
            <w:shd w:val="clear" w:color="000000" w:fill="FFFFFF"/>
            <w:noWrap/>
            <w:vAlign w:val="bottom"/>
            <w:hideMark/>
          </w:tcPr>
          <w:p w14:paraId="5A0A6D90" w14:textId="344782B2" w:rsidR="002D0856" w:rsidRDefault="002D0856">
            <w:pPr>
              <w:jc w:val="center"/>
              <w:rPr>
                <w:rFonts w:ascii="Calibri" w:hAnsi="Calibri" w:cs="Calibri"/>
                <w:b/>
                <w:bCs/>
                <w:color w:val="000000"/>
                <w:sz w:val="20"/>
                <w:szCs w:val="20"/>
              </w:rPr>
            </w:pPr>
            <w:r>
              <w:rPr>
                <w:rFonts w:ascii="Calibri" w:hAnsi="Calibri" w:cs="Calibri"/>
                <w:b/>
                <w:bCs/>
                <w:color w:val="000000"/>
                <w:sz w:val="20"/>
                <w:szCs w:val="20"/>
              </w:rPr>
              <w:t>Contribution (pp)</w:t>
            </w:r>
          </w:p>
        </w:tc>
      </w:tr>
      <w:tr w:rsidR="005B19D9" w14:paraId="21BB0FD1" w14:textId="77777777" w:rsidTr="00227B47">
        <w:trPr>
          <w:trHeight w:val="282"/>
        </w:trPr>
        <w:tc>
          <w:tcPr>
            <w:tcW w:w="2590" w:type="dxa"/>
            <w:tcBorders>
              <w:top w:val="nil"/>
              <w:left w:val="single" w:sz="4" w:space="0" w:color="auto"/>
              <w:bottom w:val="nil"/>
              <w:right w:val="nil"/>
            </w:tcBorders>
            <w:shd w:val="clear" w:color="000000" w:fill="FFFFFF"/>
            <w:noWrap/>
            <w:vAlign w:val="bottom"/>
            <w:hideMark/>
          </w:tcPr>
          <w:p w14:paraId="4D3D560F" w14:textId="77777777" w:rsidR="005B19D9" w:rsidRDefault="005B19D9" w:rsidP="005B19D9">
            <w:pPr>
              <w:rPr>
                <w:rFonts w:ascii="Calibri" w:hAnsi="Calibri" w:cs="Calibri"/>
                <w:b/>
                <w:bCs/>
                <w:color w:val="000000"/>
                <w:sz w:val="20"/>
                <w:szCs w:val="20"/>
              </w:rPr>
            </w:pPr>
            <w:r>
              <w:rPr>
                <w:rFonts w:ascii="Calibri" w:hAnsi="Calibri" w:cs="Calibri"/>
                <w:b/>
                <w:bCs/>
                <w:color w:val="000000"/>
                <w:sz w:val="20"/>
                <w:szCs w:val="20"/>
              </w:rPr>
              <w:t>Private Consumption</w:t>
            </w:r>
          </w:p>
        </w:tc>
        <w:tc>
          <w:tcPr>
            <w:tcW w:w="1260" w:type="dxa"/>
            <w:tcBorders>
              <w:top w:val="single" w:sz="4" w:space="0" w:color="auto"/>
              <w:left w:val="single" w:sz="4" w:space="0" w:color="auto"/>
              <w:bottom w:val="nil"/>
              <w:right w:val="nil"/>
            </w:tcBorders>
            <w:shd w:val="clear" w:color="000000" w:fill="FFFFFF"/>
            <w:noWrap/>
            <w:vAlign w:val="bottom"/>
            <w:hideMark/>
          </w:tcPr>
          <w:p w14:paraId="451B6779" w14:textId="27CA92D1"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-0,1</w:t>
            </w:r>
          </w:p>
        </w:tc>
        <w:tc>
          <w:tcPr>
            <w:tcW w:w="1980" w:type="dxa"/>
            <w:tcBorders>
              <w:top w:val="single" w:sz="4" w:space="0" w:color="auto"/>
              <w:left w:val="nil"/>
              <w:bottom w:val="nil"/>
              <w:right w:val="single" w:sz="4" w:space="0" w:color="auto"/>
            </w:tcBorders>
            <w:shd w:val="clear" w:color="000000" w:fill="FFFFFF"/>
            <w:noWrap/>
            <w:vAlign w:val="bottom"/>
            <w:hideMark/>
          </w:tcPr>
          <w:p w14:paraId="475D679F" w14:textId="4D665CC1"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-0,1</w:t>
            </w:r>
          </w:p>
        </w:tc>
        <w:tc>
          <w:tcPr>
            <w:tcW w:w="1080" w:type="dxa"/>
            <w:tcBorders>
              <w:top w:val="single" w:sz="4" w:space="0" w:color="auto"/>
              <w:left w:val="nil"/>
              <w:bottom w:val="nil"/>
              <w:right w:val="nil"/>
            </w:tcBorders>
            <w:shd w:val="clear" w:color="000000" w:fill="FFFFFF"/>
            <w:noWrap/>
            <w:vAlign w:val="bottom"/>
            <w:hideMark/>
          </w:tcPr>
          <w:p w14:paraId="655D105B" w14:textId="2905A262"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-1,3</w:t>
            </w:r>
          </w:p>
        </w:tc>
        <w:tc>
          <w:tcPr>
            <w:tcW w:w="1980" w:type="dxa"/>
            <w:tcBorders>
              <w:top w:val="single" w:sz="4" w:space="0" w:color="auto"/>
              <w:left w:val="nil"/>
              <w:bottom w:val="nil"/>
              <w:right w:val="single" w:sz="4" w:space="0" w:color="auto"/>
            </w:tcBorders>
            <w:shd w:val="clear" w:color="000000" w:fill="FFFFFF"/>
            <w:noWrap/>
            <w:vAlign w:val="bottom"/>
            <w:hideMark/>
          </w:tcPr>
          <w:p w14:paraId="3E496BD8" w14:textId="422AE962"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-0,7</w:t>
            </w:r>
          </w:p>
        </w:tc>
      </w:tr>
      <w:tr w:rsidR="005B19D9" w14:paraId="75F86F83" w14:textId="77777777" w:rsidTr="00227B47">
        <w:trPr>
          <w:trHeight w:val="282"/>
        </w:trPr>
        <w:tc>
          <w:tcPr>
            <w:tcW w:w="2590" w:type="dxa"/>
            <w:tcBorders>
              <w:top w:val="nil"/>
              <w:left w:val="single" w:sz="4" w:space="0" w:color="auto"/>
              <w:bottom w:val="nil"/>
              <w:right w:val="nil"/>
            </w:tcBorders>
            <w:shd w:val="clear" w:color="000000" w:fill="FFFFFF"/>
            <w:noWrap/>
            <w:vAlign w:val="bottom"/>
            <w:hideMark/>
          </w:tcPr>
          <w:p w14:paraId="205A904E" w14:textId="77777777" w:rsidR="005B19D9" w:rsidRDefault="005B19D9" w:rsidP="005B19D9">
            <w:pPr>
              <w:rPr>
                <w:rFonts w:ascii="Calibri" w:hAnsi="Calibri" w:cs="Calibri"/>
                <w:b/>
                <w:bCs/>
                <w:color w:val="000000"/>
                <w:sz w:val="20"/>
                <w:szCs w:val="20"/>
              </w:rPr>
            </w:pPr>
            <w:r>
              <w:rPr>
                <w:rFonts w:ascii="Calibri" w:hAnsi="Calibri" w:cs="Calibri"/>
                <w:b/>
                <w:bCs/>
                <w:color w:val="000000"/>
                <w:sz w:val="20"/>
                <w:szCs w:val="20"/>
              </w:rPr>
              <w:t>Government Consumption</w:t>
            </w:r>
          </w:p>
        </w:tc>
        <w:tc>
          <w:tcPr>
            <w:tcW w:w="1260" w:type="dxa"/>
            <w:tcBorders>
              <w:top w:val="nil"/>
              <w:left w:val="single" w:sz="4" w:space="0" w:color="auto"/>
              <w:bottom w:val="nil"/>
              <w:right w:val="nil"/>
            </w:tcBorders>
            <w:shd w:val="clear" w:color="000000" w:fill="FFFFFF"/>
            <w:noWrap/>
            <w:vAlign w:val="bottom"/>
            <w:hideMark/>
          </w:tcPr>
          <w:p w14:paraId="4D5ECFD6" w14:textId="048926F3"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1,3</w:t>
            </w:r>
          </w:p>
        </w:tc>
        <w:tc>
          <w:tcPr>
            <w:tcW w:w="1980" w:type="dxa"/>
            <w:tcBorders>
              <w:top w:val="nil"/>
              <w:left w:val="nil"/>
              <w:bottom w:val="nil"/>
              <w:right w:val="single" w:sz="4" w:space="0" w:color="auto"/>
            </w:tcBorders>
            <w:shd w:val="clear" w:color="000000" w:fill="FFFFFF"/>
            <w:noWrap/>
            <w:vAlign w:val="bottom"/>
            <w:hideMark/>
          </w:tcPr>
          <w:p w14:paraId="495813DE" w14:textId="705FBB89"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0,2</w:t>
            </w:r>
          </w:p>
        </w:tc>
        <w:tc>
          <w:tcPr>
            <w:tcW w:w="1080" w:type="dxa"/>
            <w:tcBorders>
              <w:top w:val="nil"/>
              <w:left w:val="nil"/>
              <w:bottom w:val="nil"/>
              <w:right w:val="nil"/>
            </w:tcBorders>
            <w:shd w:val="clear" w:color="000000" w:fill="FFFFFF"/>
            <w:noWrap/>
            <w:vAlign w:val="bottom"/>
            <w:hideMark/>
          </w:tcPr>
          <w:p w14:paraId="52FEFE4B" w14:textId="5C7C5D7F"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-2,0</w:t>
            </w:r>
          </w:p>
        </w:tc>
        <w:tc>
          <w:tcPr>
            <w:tcW w:w="1980" w:type="dxa"/>
            <w:tcBorders>
              <w:top w:val="nil"/>
              <w:left w:val="nil"/>
              <w:bottom w:val="nil"/>
              <w:right w:val="single" w:sz="4" w:space="0" w:color="auto"/>
            </w:tcBorders>
            <w:shd w:val="clear" w:color="000000" w:fill="FFFFFF"/>
            <w:noWrap/>
            <w:vAlign w:val="bottom"/>
            <w:hideMark/>
          </w:tcPr>
          <w:p w14:paraId="1B6E6A80" w14:textId="040A9885"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-0,3</w:t>
            </w:r>
          </w:p>
        </w:tc>
      </w:tr>
      <w:tr w:rsidR="005B19D9" w14:paraId="35AD8372" w14:textId="77777777" w:rsidTr="00227B47">
        <w:trPr>
          <w:trHeight w:val="282"/>
        </w:trPr>
        <w:tc>
          <w:tcPr>
            <w:tcW w:w="2590" w:type="dxa"/>
            <w:tcBorders>
              <w:top w:val="nil"/>
              <w:left w:val="single" w:sz="4" w:space="0" w:color="auto"/>
              <w:bottom w:val="nil"/>
              <w:right w:val="nil"/>
            </w:tcBorders>
            <w:shd w:val="clear" w:color="000000" w:fill="FFFFFF"/>
            <w:noWrap/>
            <w:vAlign w:val="bottom"/>
            <w:hideMark/>
          </w:tcPr>
          <w:p w14:paraId="56DAEB93" w14:textId="77777777" w:rsidR="005B19D9" w:rsidRDefault="005B19D9" w:rsidP="005B19D9">
            <w:pPr>
              <w:rPr>
                <w:rFonts w:ascii="Calibri" w:hAnsi="Calibri" w:cs="Calibri"/>
                <w:b/>
                <w:bCs/>
                <w:color w:val="000000"/>
                <w:sz w:val="20"/>
                <w:szCs w:val="20"/>
              </w:rPr>
            </w:pPr>
            <w:r>
              <w:rPr>
                <w:rFonts w:ascii="Calibri" w:hAnsi="Calibri" w:cs="Calibri"/>
                <w:b/>
                <w:bCs/>
                <w:color w:val="000000"/>
                <w:sz w:val="20"/>
                <w:szCs w:val="20"/>
              </w:rPr>
              <w:t>Investment</w:t>
            </w:r>
          </w:p>
        </w:tc>
        <w:tc>
          <w:tcPr>
            <w:tcW w:w="1260" w:type="dxa"/>
            <w:tcBorders>
              <w:top w:val="nil"/>
              <w:left w:val="single" w:sz="4" w:space="0" w:color="auto"/>
              <w:bottom w:val="nil"/>
              <w:right w:val="nil"/>
            </w:tcBorders>
            <w:shd w:val="clear" w:color="000000" w:fill="FFFFFF"/>
            <w:noWrap/>
            <w:vAlign w:val="bottom"/>
            <w:hideMark/>
          </w:tcPr>
          <w:p w14:paraId="278C5154" w14:textId="34C86EAB"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-2,0</w:t>
            </w:r>
          </w:p>
        </w:tc>
        <w:tc>
          <w:tcPr>
            <w:tcW w:w="1980" w:type="dxa"/>
            <w:tcBorders>
              <w:top w:val="nil"/>
              <w:left w:val="nil"/>
              <w:bottom w:val="nil"/>
              <w:right w:val="single" w:sz="4" w:space="0" w:color="auto"/>
            </w:tcBorders>
            <w:shd w:val="clear" w:color="000000" w:fill="FFFFFF"/>
            <w:noWrap/>
            <w:vAlign w:val="bottom"/>
            <w:hideMark/>
          </w:tcPr>
          <w:p w14:paraId="4D18BEB5" w14:textId="29FB2A72"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-0,7</w:t>
            </w:r>
          </w:p>
        </w:tc>
        <w:tc>
          <w:tcPr>
            <w:tcW w:w="1080" w:type="dxa"/>
            <w:tcBorders>
              <w:top w:val="nil"/>
              <w:left w:val="nil"/>
              <w:bottom w:val="nil"/>
              <w:right w:val="nil"/>
            </w:tcBorders>
            <w:shd w:val="clear" w:color="000000" w:fill="FFFFFF"/>
            <w:noWrap/>
            <w:vAlign w:val="bottom"/>
            <w:hideMark/>
          </w:tcPr>
          <w:p w14:paraId="495912A0" w14:textId="207B3E3A"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0,0</w:t>
            </w:r>
          </w:p>
        </w:tc>
        <w:tc>
          <w:tcPr>
            <w:tcW w:w="1980" w:type="dxa"/>
            <w:tcBorders>
              <w:top w:val="nil"/>
              <w:left w:val="nil"/>
              <w:bottom w:val="nil"/>
              <w:right w:val="single" w:sz="4" w:space="0" w:color="auto"/>
            </w:tcBorders>
            <w:shd w:val="clear" w:color="000000" w:fill="FFFFFF"/>
            <w:noWrap/>
            <w:vAlign w:val="bottom"/>
            <w:hideMark/>
          </w:tcPr>
          <w:p w14:paraId="792C5B0A" w14:textId="61BB46D4"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0,0</w:t>
            </w:r>
          </w:p>
        </w:tc>
      </w:tr>
      <w:tr w:rsidR="005B19D9" w14:paraId="5F160692" w14:textId="77777777" w:rsidTr="00227B47">
        <w:trPr>
          <w:trHeight w:val="282"/>
        </w:trPr>
        <w:tc>
          <w:tcPr>
            <w:tcW w:w="2590" w:type="dxa"/>
            <w:tcBorders>
              <w:top w:val="nil"/>
              <w:left w:val="single" w:sz="4" w:space="0" w:color="auto"/>
              <w:bottom w:val="nil"/>
              <w:right w:val="nil"/>
            </w:tcBorders>
            <w:shd w:val="clear" w:color="000000" w:fill="FFFFFF"/>
            <w:noWrap/>
            <w:vAlign w:val="bottom"/>
            <w:hideMark/>
          </w:tcPr>
          <w:p w14:paraId="5C988D25" w14:textId="77777777" w:rsidR="005B19D9" w:rsidRDefault="005B19D9" w:rsidP="005B19D9">
            <w:pPr>
              <w:rPr>
                <w:rFonts w:ascii="Calibri" w:hAnsi="Calibri" w:cs="Calibri"/>
                <w:b/>
                <w:bCs/>
                <w:color w:val="000000"/>
                <w:sz w:val="20"/>
                <w:szCs w:val="20"/>
              </w:rPr>
            </w:pPr>
            <w:r>
              <w:rPr>
                <w:rFonts w:ascii="Calibri" w:hAnsi="Calibri" w:cs="Calibri"/>
                <w:b/>
                <w:bCs/>
                <w:color w:val="000000"/>
                <w:sz w:val="20"/>
                <w:szCs w:val="20"/>
              </w:rPr>
              <w:t>Inventory Changes</w:t>
            </w:r>
          </w:p>
        </w:tc>
        <w:tc>
          <w:tcPr>
            <w:tcW w:w="1260" w:type="dxa"/>
            <w:tcBorders>
              <w:top w:val="nil"/>
              <w:left w:val="single" w:sz="4" w:space="0" w:color="auto"/>
              <w:bottom w:val="nil"/>
              <w:right w:val="nil"/>
            </w:tcBorders>
            <w:shd w:val="clear" w:color="000000" w:fill="FFFFFF"/>
            <w:noWrap/>
            <w:vAlign w:val="bottom"/>
            <w:hideMark/>
          </w:tcPr>
          <w:p w14:paraId="636BB163" w14:textId="5F31123E" w:rsidR="005B19D9" w:rsidRDefault="005B19D9" w:rsidP="005B19D9">
            <w:pPr>
              <w:jc w:val="center"/>
              <w:rPr>
                <w:rFonts w:ascii="Calibri" w:hAnsi="Calibri" w:cs="Calibri"/>
                <w:color w:val="000000"/>
                <w:sz w:val="20"/>
                <w:szCs w:val="20"/>
              </w:rPr>
            </w:pPr>
          </w:p>
        </w:tc>
        <w:tc>
          <w:tcPr>
            <w:tcW w:w="1980" w:type="dxa"/>
            <w:tcBorders>
              <w:top w:val="nil"/>
              <w:left w:val="nil"/>
              <w:bottom w:val="nil"/>
              <w:right w:val="single" w:sz="4" w:space="0" w:color="auto"/>
            </w:tcBorders>
            <w:shd w:val="clear" w:color="000000" w:fill="FFFFFF"/>
            <w:noWrap/>
            <w:vAlign w:val="bottom"/>
            <w:hideMark/>
          </w:tcPr>
          <w:p w14:paraId="358100DA" w14:textId="529D5E95"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1,6</w:t>
            </w:r>
          </w:p>
        </w:tc>
        <w:tc>
          <w:tcPr>
            <w:tcW w:w="1080" w:type="dxa"/>
            <w:tcBorders>
              <w:top w:val="nil"/>
              <w:left w:val="nil"/>
              <w:bottom w:val="nil"/>
              <w:right w:val="nil"/>
            </w:tcBorders>
            <w:shd w:val="clear" w:color="000000" w:fill="FFFFFF"/>
            <w:noWrap/>
            <w:vAlign w:val="bottom"/>
            <w:hideMark/>
          </w:tcPr>
          <w:p w14:paraId="310A7587" w14:textId="615415DE" w:rsidR="005B19D9" w:rsidRDefault="005B19D9" w:rsidP="005B19D9">
            <w:pPr>
              <w:jc w:val="center"/>
              <w:rPr>
                <w:rFonts w:ascii="Calibri" w:hAnsi="Calibri" w:cs="Calibri"/>
                <w:color w:val="000000"/>
                <w:sz w:val="20"/>
                <w:szCs w:val="20"/>
              </w:rPr>
            </w:pPr>
          </w:p>
        </w:tc>
        <w:tc>
          <w:tcPr>
            <w:tcW w:w="1980" w:type="dxa"/>
            <w:tcBorders>
              <w:top w:val="nil"/>
              <w:left w:val="nil"/>
              <w:bottom w:val="nil"/>
              <w:right w:val="single" w:sz="4" w:space="0" w:color="auto"/>
            </w:tcBorders>
            <w:shd w:val="clear" w:color="000000" w:fill="FFFFFF"/>
            <w:noWrap/>
            <w:vAlign w:val="bottom"/>
            <w:hideMark/>
          </w:tcPr>
          <w:p w14:paraId="794B76B5" w14:textId="603424E4"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0,3</w:t>
            </w:r>
          </w:p>
        </w:tc>
      </w:tr>
      <w:tr w:rsidR="005B19D9" w14:paraId="61505D27" w14:textId="77777777" w:rsidTr="00227B47">
        <w:trPr>
          <w:trHeight w:val="282"/>
        </w:trPr>
        <w:tc>
          <w:tcPr>
            <w:tcW w:w="2590" w:type="dxa"/>
            <w:tcBorders>
              <w:top w:val="nil"/>
              <w:left w:val="single" w:sz="4" w:space="0" w:color="auto"/>
              <w:bottom w:val="nil"/>
              <w:right w:val="nil"/>
            </w:tcBorders>
            <w:shd w:val="clear" w:color="000000" w:fill="FFFFFF"/>
            <w:noWrap/>
            <w:vAlign w:val="bottom"/>
            <w:hideMark/>
          </w:tcPr>
          <w:p w14:paraId="6B0702F3" w14:textId="77777777" w:rsidR="005B19D9" w:rsidRDefault="005B19D9" w:rsidP="005B19D9">
            <w:pPr>
              <w:rPr>
                <w:rFonts w:ascii="Calibri" w:hAnsi="Calibri" w:cs="Calibri"/>
                <w:b/>
                <w:bCs/>
                <w:color w:val="000000"/>
                <w:sz w:val="20"/>
                <w:szCs w:val="20"/>
              </w:rPr>
            </w:pPr>
            <w:r>
              <w:rPr>
                <w:rFonts w:ascii="Calibri" w:hAnsi="Calibri" w:cs="Calibri"/>
                <w:b/>
                <w:bCs/>
                <w:color w:val="000000"/>
                <w:sz w:val="20"/>
                <w:szCs w:val="20"/>
              </w:rPr>
              <w:t>Exports</w:t>
            </w:r>
          </w:p>
        </w:tc>
        <w:tc>
          <w:tcPr>
            <w:tcW w:w="1260" w:type="dxa"/>
            <w:tcBorders>
              <w:top w:val="nil"/>
              <w:left w:val="single" w:sz="4" w:space="0" w:color="auto"/>
              <w:bottom w:val="nil"/>
              <w:right w:val="nil"/>
            </w:tcBorders>
            <w:shd w:val="clear" w:color="000000" w:fill="FFFFFF"/>
            <w:noWrap/>
            <w:vAlign w:val="bottom"/>
            <w:hideMark/>
          </w:tcPr>
          <w:p w14:paraId="07092469" w14:textId="5A59DE27"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-7,0</w:t>
            </w:r>
          </w:p>
        </w:tc>
        <w:tc>
          <w:tcPr>
            <w:tcW w:w="1980" w:type="dxa"/>
            <w:tcBorders>
              <w:top w:val="nil"/>
              <w:left w:val="nil"/>
              <w:bottom w:val="nil"/>
              <w:right w:val="single" w:sz="4" w:space="0" w:color="auto"/>
            </w:tcBorders>
            <w:shd w:val="clear" w:color="000000" w:fill="FFFFFF"/>
            <w:noWrap/>
            <w:vAlign w:val="bottom"/>
            <w:hideMark/>
          </w:tcPr>
          <w:p w14:paraId="04C674A3" w14:textId="24908131"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-1,6</w:t>
            </w:r>
          </w:p>
        </w:tc>
        <w:tc>
          <w:tcPr>
            <w:tcW w:w="1080" w:type="dxa"/>
            <w:tcBorders>
              <w:top w:val="nil"/>
              <w:left w:val="nil"/>
              <w:bottom w:val="nil"/>
              <w:right w:val="nil"/>
            </w:tcBorders>
            <w:shd w:val="clear" w:color="000000" w:fill="FFFFFF"/>
            <w:noWrap/>
            <w:vAlign w:val="bottom"/>
            <w:hideMark/>
          </w:tcPr>
          <w:p w14:paraId="4C75564C" w14:textId="10D5E4E5"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6,2</w:t>
            </w:r>
          </w:p>
        </w:tc>
        <w:tc>
          <w:tcPr>
            <w:tcW w:w="1980" w:type="dxa"/>
            <w:tcBorders>
              <w:top w:val="nil"/>
              <w:left w:val="nil"/>
              <w:bottom w:val="nil"/>
              <w:right w:val="single" w:sz="4" w:space="0" w:color="auto"/>
            </w:tcBorders>
            <w:shd w:val="clear" w:color="000000" w:fill="FFFFFF"/>
            <w:noWrap/>
            <w:vAlign w:val="bottom"/>
            <w:hideMark/>
          </w:tcPr>
          <w:p w14:paraId="4C7C8D95" w14:textId="3669C383"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1,4</w:t>
            </w:r>
          </w:p>
        </w:tc>
      </w:tr>
      <w:tr w:rsidR="005B19D9" w14:paraId="2390423C" w14:textId="77777777" w:rsidTr="00227B47">
        <w:trPr>
          <w:trHeight w:val="282"/>
        </w:trPr>
        <w:tc>
          <w:tcPr>
            <w:tcW w:w="2590" w:type="dxa"/>
            <w:tcBorders>
              <w:top w:val="nil"/>
              <w:left w:val="single" w:sz="4" w:space="0" w:color="auto"/>
              <w:bottom w:val="nil"/>
              <w:right w:val="nil"/>
            </w:tcBorders>
            <w:shd w:val="clear" w:color="000000" w:fill="FFFFFF"/>
            <w:noWrap/>
            <w:vAlign w:val="bottom"/>
            <w:hideMark/>
          </w:tcPr>
          <w:p w14:paraId="63127AB5" w14:textId="77777777" w:rsidR="005B19D9" w:rsidRDefault="005B19D9" w:rsidP="005B19D9">
            <w:pPr>
              <w:rPr>
                <w:rFonts w:ascii="Calibri" w:hAnsi="Calibri" w:cs="Calibri"/>
                <w:b/>
                <w:bCs/>
                <w:color w:val="000000"/>
                <w:sz w:val="20"/>
                <w:szCs w:val="20"/>
              </w:rPr>
            </w:pPr>
            <w:r>
              <w:rPr>
                <w:rFonts w:ascii="Calibri" w:hAnsi="Calibri" w:cs="Calibri"/>
                <w:b/>
                <w:bCs/>
                <w:color w:val="000000"/>
                <w:sz w:val="20"/>
                <w:szCs w:val="20"/>
              </w:rPr>
              <w:t>Imports</w:t>
            </w:r>
          </w:p>
        </w:tc>
        <w:tc>
          <w:tcPr>
            <w:tcW w:w="1260" w:type="dxa"/>
            <w:tcBorders>
              <w:top w:val="nil"/>
              <w:left w:val="single" w:sz="4" w:space="0" w:color="auto"/>
              <w:bottom w:val="nil"/>
              <w:right w:val="nil"/>
            </w:tcBorders>
            <w:shd w:val="clear" w:color="000000" w:fill="FFFFFF"/>
            <w:noWrap/>
            <w:vAlign w:val="bottom"/>
            <w:hideMark/>
          </w:tcPr>
          <w:p w14:paraId="56FA4DEA" w14:textId="144C8AB4"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-3,4</w:t>
            </w:r>
          </w:p>
        </w:tc>
        <w:tc>
          <w:tcPr>
            <w:tcW w:w="1980" w:type="dxa"/>
            <w:tcBorders>
              <w:top w:val="nil"/>
              <w:left w:val="nil"/>
              <w:bottom w:val="nil"/>
              <w:right w:val="single" w:sz="4" w:space="0" w:color="auto"/>
            </w:tcBorders>
            <w:shd w:val="clear" w:color="000000" w:fill="FFFFFF"/>
            <w:noWrap/>
            <w:vAlign w:val="bottom"/>
            <w:hideMark/>
          </w:tcPr>
          <w:p w14:paraId="5B8BF3E1" w14:textId="45841C06"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0,8</w:t>
            </w:r>
          </w:p>
        </w:tc>
        <w:tc>
          <w:tcPr>
            <w:tcW w:w="1080" w:type="dxa"/>
            <w:tcBorders>
              <w:top w:val="nil"/>
              <w:left w:val="nil"/>
              <w:bottom w:val="nil"/>
              <w:right w:val="nil"/>
            </w:tcBorders>
            <w:shd w:val="clear" w:color="000000" w:fill="FFFFFF"/>
            <w:noWrap/>
            <w:vAlign w:val="bottom"/>
            <w:hideMark/>
          </w:tcPr>
          <w:p w14:paraId="2317F1D5" w14:textId="7D8D2F7B"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-1,8</w:t>
            </w:r>
          </w:p>
        </w:tc>
        <w:tc>
          <w:tcPr>
            <w:tcW w:w="1980" w:type="dxa"/>
            <w:tcBorders>
              <w:top w:val="nil"/>
              <w:left w:val="nil"/>
              <w:bottom w:val="nil"/>
              <w:right w:val="single" w:sz="4" w:space="0" w:color="auto"/>
            </w:tcBorders>
            <w:shd w:val="clear" w:color="000000" w:fill="FFFFFF"/>
            <w:noWrap/>
            <w:vAlign w:val="bottom"/>
            <w:hideMark/>
          </w:tcPr>
          <w:p w14:paraId="68A52BDA" w14:textId="00E22E8F"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0,4</w:t>
            </w:r>
          </w:p>
        </w:tc>
      </w:tr>
      <w:tr w:rsidR="005B19D9" w14:paraId="688B1B2F" w14:textId="77777777" w:rsidTr="00227B47">
        <w:trPr>
          <w:trHeight w:val="300"/>
        </w:trPr>
        <w:tc>
          <w:tcPr>
            <w:tcW w:w="2590" w:type="dxa"/>
            <w:tcBorders>
              <w:top w:val="nil"/>
              <w:left w:val="single" w:sz="4" w:space="0" w:color="auto"/>
              <w:bottom w:val="single" w:sz="4" w:space="0" w:color="auto"/>
              <w:right w:val="nil"/>
            </w:tcBorders>
            <w:shd w:val="clear" w:color="000000" w:fill="FFFFFF"/>
            <w:noWrap/>
            <w:vAlign w:val="bottom"/>
            <w:hideMark/>
          </w:tcPr>
          <w:p w14:paraId="7049AAD2" w14:textId="77777777" w:rsidR="005B19D9" w:rsidRDefault="005B19D9" w:rsidP="005B19D9">
            <w:pPr>
              <w:rPr>
                <w:rFonts w:ascii="Calibri" w:hAnsi="Calibri" w:cs="Calibri"/>
                <w:b/>
                <w:bCs/>
                <w:color w:val="000000"/>
                <w:sz w:val="20"/>
                <w:szCs w:val="20"/>
              </w:rPr>
            </w:pPr>
            <w:r>
              <w:rPr>
                <w:rFonts w:ascii="Calibri" w:hAnsi="Calibri" w:cs="Calibri"/>
                <w:b/>
                <w:bCs/>
                <w:color w:val="000000"/>
                <w:sz w:val="20"/>
                <w:szCs w:val="20"/>
              </w:rPr>
              <w:t>GDP</w:t>
            </w:r>
          </w:p>
        </w:tc>
        <w:tc>
          <w:tcPr>
            <w:tcW w:w="1260" w:type="dxa"/>
            <w:tcBorders>
              <w:top w:val="nil"/>
              <w:left w:val="single" w:sz="4" w:space="0" w:color="auto"/>
              <w:bottom w:val="single" w:sz="4" w:space="0" w:color="auto"/>
              <w:right w:val="nil"/>
            </w:tcBorders>
            <w:shd w:val="clear" w:color="000000" w:fill="FFFFFF"/>
            <w:noWrap/>
            <w:vAlign w:val="bottom"/>
            <w:hideMark/>
          </w:tcPr>
          <w:p w14:paraId="552B2EE0" w14:textId="08B2CE3B"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0,3</w:t>
            </w:r>
          </w:p>
        </w:tc>
        <w:tc>
          <w:tcPr>
            <w:tcW w:w="1980" w:type="dxa"/>
            <w:tcBorders>
              <w:top w:val="nil"/>
              <w:left w:val="nil"/>
              <w:bottom w:val="single" w:sz="4" w:space="0" w:color="auto"/>
              <w:right w:val="single" w:sz="4" w:space="0" w:color="auto"/>
            </w:tcBorders>
            <w:shd w:val="clear" w:color="000000" w:fill="FFFFFF"/>
            <w:noWrap/>
            <w:vAlign w:val="bottom"/>
            <w:hideMark/>
          </w:tcPr>
          <w:p w14:paraId="74B2397D" w14:textId="5D80BE13" w:rsidR="005B19D9" w:rsidRDefault="005B19D9" w:rsidP="005B19D9">
            <w:pPr>
              <w:jc w:val="center"/>
              <w:rPr>
                <w:rFonts w:ascii="Calibri" w:hAnsi="Calibri" w:cs="Calibri"/>
                <w:color w:val="000000"/>
                <w:sz w:val="20"/>
                <w:szCs w:val="20"/>
              </w:rPr>
            </w:pPr>
          </w:p>
        </w:tc>
        <w:tc>
          <w:tcPr>
            <w:tcW w:w="1080" w:type="dxa"/>
            <w:tcBorders>
              <w:top w:val="nil"/>
              <w:left w:val="nil"/>
              <w:bottom w:val="single" w:sz="4" w:space="0" w:color="auto"/>
              <w:right w:val="nil"/>
            </w:tcBorders>
            <w:shd w:val="clear" w:color="000000" w:fill="FFFFFF"/>
            <w:noWrap/>
            <w:vAlign w:val="bottom"/>
            <w:hideMark/>
          </w:tcPr>
          <w:p w14:paraId="745462BF" w14:textId="2AE35031" w:rsidR="005B19D9" w:rsidRDefault="005B19D9" w:rsidP="005B19D9">
            <w:pPr>
              <w:jc w:val="center"/>
              <w:rPr>
                <w:rFonts w:ascii="Calibri" w:hAnsi="Calibri" w:cs="Calibri"/>
                <w:color w:val="000000"/>
                <w:sz w:val="20"/>
                <w:szCs w:val="20"/>
              </w:rPr>
            </w:pPr>
            <w:r>
              <w:rPr>
                <w:rFonts w:ascii="Calibri" w:hAnsi="Calibri" w:cs="Calibri"/>
                <w:color w:val="000000"/>
                <w:sz w:val="20"/>
                <w:szCs w:val="20"/>
              </w:rPr>
              <w:t>1,1</w:t>
            </w:r>
          </w:p>
        </w:tc>
        <w:tc>
          <w:tcPr>
            <w:tcW w:w="1980" w:type="dxa"/>
            <w:tcBorders>
              <w:top w:val="nil"/>
              <w:left w:val="nil"/>
              <w:bottom w:val="single" w:sz="4" w:space="0" w:color="auto"/>
              <w:right w:val="single" w:sz="4" w:space="0" w:color="auto"/>
            </w:tcBorders>
            <w:shd w:val="clear" w:color="000000" w:fill="FFFFFF"/>
            <w:noWrap/>
            <w:vAlign w:val="bottom"/>
            <w:hideMark/>
          </w:tcPr>
          <w:p w14:paraId="645D40C8" w14:textId="66F5B74A" w:rsidR="005B19D9" w:rsidRDefault="005B19D9" w:rsidP="005B19D9">
            <w:pPr>
              <w:jc w:val="center"/>
              <w:rPr>
                <w:rFonts w:ascii="Calibri" w:hAnsi="Calibri" w:cs="Calibri"/>
                <w:color w:val="000000"/>
                <w:sz w:val="20"/>
                <w:szCs w:val="20"/>
              </w:rPr>
            </w:pPr>
          </w:p>
        </w:tc>
      </w:tr>
    </w:tbl>
    <w:p w14:paraId="04FC8E76" w14:textId="758E56B3" w:rsidR="00F46A54" w:rsidRPr="00CC0355" w:rsidRDefault="003D44CE" w:rsidP="00227B47">
      <w:pPr>
        <w:keepLines/>
        <w:widowControl w:val="0"/>
        <w:rPr>
          <w:rFonts w:ascii="Palatino Linotype" w:hAnsi="Palatino Linotype" w:cstheme="minorHAnsi"/>
          <w:sz w:val="18"/>
          <w:szCs w:val="18"/>
        </w:rPr>
      </w:pPr>
      <w:r>
        <w:rPr>
          <w:rFonts w:ascii="Palatino Linotype" w:hAnsi="Palatino Linotype" w:cstheme="minorHAnsi"/>
          <w:sz w:val="18"/>
          <w:szCs w:val="18"/>
        </w:rPr>
        <w:t xml:space="preserve">Source: </w:t>
      </w:r>
      <w:proofErr w:type="spellStart"/>
      <w:r>
        <w:rPr>
          <w:rFonts w:ascii="Palatino Linotype" w:hAnsi="Palatino Linotype" w:cstheme="minorHAnsi"/>
          <w:sz w:val="18"/>
          <w:szCs w:val="18"/>
        </w:rPr>
        <w:t>TurkStat</w:t>
      </w:r>
      <w:proofErr w:type="spellEnd"/>
      <w:r>
        <w:rPr>
          <w:rFonts w:ascii="Palatino Linotype" w:hAnsi="Palatino Linotype" w:cstheme="minorHAnsi"/>
          <w:sz w:val="18"/>
          <w:szCs w:val="18"/>
        </w:rPr>
        <w:t>, Betam</w:t>
      </w:r>
    </w:p>
    <w:p w14:paraId="0E158720" w14:textId="7F0DB63D" w:rsidR="00E41A80" w:rsidRPr="000B09B0" w:rsidRDefault="00457E4E" w:rsidP="00056403">
      <w:pPr>
        <w:spacing w:after="160" w:line="259" w:lineRule="auto"/>
        <w:rPr>
          <w:rFonts w:ascii="Palatino Linotype" w:hAnsi="Palatino Linotype" w:cstheme="minorBidi"/>
          <w:b/>
          <w:bCs/>
          <w:sz w:val="22"/>
          <w:szCs w:val="22"/>
        </w:rPr>
      </w:pPr>
      <w:bookmarkStart w:id="6" w:name="OLE_LINK23"/>
      <w:bookmarkStart w:id="7" w:name="OLE_LINK27"/>
      <w:bookmarkStart w:id="8" w:name="OLE_LINK28"/>
      <w:proofErr w:type="spellStart"/>
      <w:r>
        <w:rPr>
          <w:rFonts w:ascii="Palatino Linotype" w:hAnsi="Palatino Linotype" w:cstheme="minorBidi"/>
          <w:b/>
          <w:bCs/>
          <w:sz w:val="22"/>
          <w:szCs w:val="22"/>
        </w:rPr>
        <w:lastRenderedPageBreak/>
        <w:t>Investment</w:t>
      </w:r>
      <w:proofErr w:type="spellEnd"/>
      <w:r>
        <w:rPr>
          <w:rFonts w:ascii="Palatino Linotype" w:hAnsi="Palatino Linotype" w:cstheme="minorBidi"/>
          <w:b/>
          <w:bCs/>
          <w:sz w:val="22"/>
          <w:szCs w:val="22"/>
        </w:rPr>
        <w:t xml:space="preserve"> </w:t>
      </w:r>
      <w:proofErr w:type="spellStart"/>
      <w:r>
        <w:rPr>
          <w:rFonts w:ascii="Palatino Linotype" w:hAnsi="Palatino Linotype" w:cstheme="minorBidi"/>
          <w:b/>
          <w:bCs/>
          <w:sz w:val="22"/>
          <w:szCs w:val="22"/>
        </w:rPr>
        <w:t>slowdown</w:t>
      </w:r>
      <w:proofErr w:type="spellEnd"/>
      <w:r>
        <w:rPr>
          <w:rFonts w:ascii="Palatino Linotype" w:hAnsi="Palatino Linotype" w:cstheme="minorBidi"/>
          <w:b/>
          <w:bCs/>
          <w:sz w:val="22"/>
          <w:szCs w:val="22"/>
        </w:rPr>
        <w:t xml:space="preserve"> </w:t>
      </w:r>
      <w:proofErr w:type="spellStart"/>
      <w:r>
        <w:rPr>
          <w:rFonts w:ascii="Palatino Linotype" w:hAnsi="Palatino Linotype" w:cstheme="minorBidi"/>
          <w:b/>
          <w:bCs/>
          <w:sz w:val="22"/>
          <w:szCs w:val="22"/>
        </w:rPr>
        <w:t>continues</w:t>
      </w:r>
      <w:proofErr w:type="spellEnd"/>
    </w:p>
    <w:p w14:paraId="3684515C" w14:textId="441E1230" w:rsidR="00E41A80" w:rsidRDefault="00145995" w:rsidP="00EA6DD4">
      <w:pPr>
        <w:pStyle w:val="NormalWeb"/>
        <w:spacing w:before="0" w:beforeAutospacing="0" w:after="0" w:afterAutospacing="0" w:line="360" w:lineRule="auto"/>
        <w:ind w:right="77"/>
        <w:jc w:val="both"/>
        <w:rPr>
          <w:rFonts w:ascii="Palatino Linotype" w:hAnsi="Palatino Linotype" w:cstheme="minorHAnsi"/>
          <w:sz w:val="22"/>
          <w:szCs w:val="22"/>
        </w:rPr>
      </w:pPr>
      <w:r>
        <w:rPr>
          <w:rFonts w:ascii="Palatino Linotype" w:hAnsi="Palatino Linotype" w:cstheme="minorHAnsi"/>
          <w:sz w:val="22"/>
          <w:szCs w:val="22"/>
        </w:rPr>
        <w:t>The strong investment growth observed in the 2024 and 2025 growth assessments continued in 2026, albeit at a slower pace. Investment rose by 0.6% year-on-year in the second quarter of 2026 and contributed 0.2 percentage points to growth (Table 1). On a quarterly basis, investment remained unchanged, and its contribution to growth was zero. In the first quarter of 2026, investment had contracted by 2% relative to the fourth quarter of 2025 (Table 2).</w:t>
      </w:r>
      <w:bookmarkStart w:id="9" w:name="OLE_LINK26"/>
      <w:bookmarkEnd w:id="6"/>
    </w:p>
    <w:p w14:paraId="0B0CA252" w14:textId="77777777" w:rsidR="00FE7D5B" w:rsidRDefault="00FE7D5B" w:rsidP="00FE7D5B">
      <w:pPr>
        <w:pStyle w:val="NormalWeb"/>
        <w:spacing w:before="0" w:beforeAutospacing="0" w:after="0" w:afterAutospacing="0" w:line="360" w:lineRule="auto"/>
        <w:ind w:right="77"/>
        <w:rPr>
          <w:rFonts w:ascii="Palatino Linotype" w:eastAsia="Palatino Linotype" w:hAnsi="Palatino Linotype" w:cs="Palatino Linotype"/>
          <w:b/>
          <w:bCs/>
          <w:sz w:val="22"/>
          <w:szCs w:val="22"/>
        </w:rPr>
      </w:pPr>
    </w:p>
    <w:p w14:paraId="12726C49" w14:textId="77777777" w:rsidR="00FE7D5B" w:rsidRPr="000B09B0" w:rsidRDefault="00FE7D5B" w:rsidP="00FE7D5B">
      <w:pPr>
        <w:pStyle w:val="NormalWeb"/>
        <w:spacing w:before="0" w:beforeAutospacing="0" w:after="0" w:afterAutospacing="0" w:line="360" w:lineRule="auto"/>
        <w:ind w:right="77"/>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The impact of inventory changes diminished</w:t>
      </w:r>
      <w:r>
        <w:rPr>
          <w:rFonts w:eastAsia="Palatino Linotype" w:cs="Palatino Linotype"/>
          <w:vertAlign w:val="superscript"/>
        </w:rPr>
        <w:footnoteReference w:id="4"/>
      </w:r>
    </w:p>
    <w:p w14:paraId="4AB0D6EE" w14:textId="77777777" w:rsidR="00FE7D5B" w:rsidRPr="006B1AFE" w:rsidRDefault="00FE7D5B" w:rsidP="00FE7D5B">
      <w:pPr>
        <w:pStyle w:val="NormalWeb"/>
        <w:spacing w:before="0" w:beforeAutospacing="0" w:after="0" w:afterAutospacing="0" w:line="360" w:lineRule="auto"/>
        <w:ind w:right="77"/>
        <w:jc w:val="both"/>
        <w:rPr>
          <w:rFonts w:ascii="Palatino Linotype" w:hAnsi="Palatino Linotype" w:cstheme="minorHAnsi"/>
          <w:sz w:val="22"/>
          <w:szCs w:val="22"/>
        </w:rPr>
      </w:pPr>
      <w:bookmarkStart w:id="12" w:name="OLE_LINK7"/>
      <w:bookmarkStart w:id="13" w:name="OLE_LINK8"/>
      <w:r>
        <w:rPr>
          <w:rFonts w:ascii="Palatino Linotype" w:hAnsi="Palatino Linotype" w:cstheme="minorHAnsi"/>
          <w:sz w:val="22"/>
          <w:szCs w:val="22"/>
        </w:rPr>
        <w:t>According to seasonally and calendar-adjusted data, inventory changes contributed 0.3 percentage points to quarterly growth in the second quarter of 2026, compared with 1.6 percentage points in the first quarter (Table 2). This technical adjustment had prevented growth from turning negative in the first quarter. In the second quarter, however, the contribution of inventory changes approached zero. Having been a principal driver of annual growth with a contribution of 1.7 percentage points in the previous quarter, inventory changes reduced annual growth by 0.3 percentage points this quarter (Table 1).</w:t>
      </w:r>
      <w:bookmarkEnd w:id="12"/>
      <w:bookmarkEnd w:id="13"/>
      <w:r>
        <w:rPr>
          <w:rFonts w:ascii="Palatino Linotype" w:hAnsi="Palatino Linotype" w:cstheme="minorHAnsi"/>
          <w:sz w:val="22"/>
          <w:szCs w:val="22"/>
        </w:rPr>
        <w:t xml:space="preserve"> </w:t>
      </w:r>
    </w:p>
    <w:p w14:paraId="07A200A4" w14:textId="77777777" w:rsidR="00FE7D5B" w:rsidRPr="00EA6DD4" w:rsidRDefault="00FE7D5B" w:rsidP="00EA6DD4">
      <w:pPr>
        <w:pStyle w:val="NormalWeb"/>
        <w:spacing w:before="0" w:beforeAutospacing="0" w:after="0" w:afterAutospacing="0" w:line="360" w:lineRule="auto"/>
        <w:ind w:right="77"/>
        <w:jc w:val="both"/>
        <w:rPr>
          <w:rFonts w:ascii="Palatino Linotype" w:hAnsi="Palatino Linotype" w:cstheme="minorHAnsi"/>
          <w:sz w:val="22"/>
          <w:szCs w:val="22"/>
        </w:rPr>
      </w:pPr>
    </w:p>
    <w:p w14:paraId="0D31FEE2" w14:textId="1EC9EF4A" w:rsidR="00E41A80" w:rsidRPr="000B09B0" w:rsidRDefault="00457E4E" w:rsidP="00E41A80">
      <w:pPr>
        <w:pStyle w:val="NormalWeb"/>
        <w:spacing w:before="0" w:beforeAutospacing="0" w:after="0" w:afterAutospacing="0" w:line="360" w:lineRule="auto"/>
        <w:ind w:right="77"/>
        <w:rPr>
          <w:rFonts w:ascii="Palatino Linotype" w:hAnsi="Palatino Linotype" w:cstheme="minorBidi"/>
          <w:b/>
          <w:bCs/>
          <w:sz w:val="22"/>
          <w:szCs w:val="22"/>
        </w:rPr>
      </w:pPr>
      <w:bookmarkStart w:id="14" w:name="OLE_LINK11"/>
      <w:bookmarkStart w:id="15" w:name="OLE_LINK12"/>
      <w:r>
        <w:rPr>
          <w:rFonts w:ascii="Palatino Linotype" w:hAnsi="Palatino Linotype" w:cstheme="minorBidi"/>
          <w:b/>
          <w:bCs/>
          <w:sz w:val="22"/>
          <w:szCs w:val="22"/>
        </w:rPr>
        <w:t>Foreign trade makes a positive contribution</w:t>
      </w:r>
    </w:p>
    <w:p w14:paraId="2951D1D9" w14:textId="335C582F" w:rsidR="00E41A80" w:rsidRPr="005E0D21" w:rsidRDefault="00E41A80" w:rsidP="00E41A80">
      <w:pPr>
        <w:pStyle w:val="NormalWeb"/>
        <w:spacing w:before="0" w:beforeAutospacing="0" w:after="0" w:afterAutospacing="0" w:line="360" w:lineRule="auto"/>
        <w:ind w:right="77"/>
        <w:jc w:val="both"/>
        <w:rPr>
          <w:rFonts w:ascii="Palatino Linotype" w:hAnsi="Palatino Linotype" w:cstheme="minorHAnsi"/>
          <w:sz w:val="22"/>
          <w:szCs w:val="22"/>
        </w:rPr>
      </w:pPr>
      <w:r>
        <w:rPr>
          <w:rFonts w:ascii="Palatino Linotype" w:hAnsi="Palatino Linotype" w:cstheme="minorHAnsi"/>
          <w:sz w:val="22"/>
          <w:szCs w:val="22"/>
        </w:rPr>
        <w:t>Seasonally and calendar-adjusted data indicate that exports rose by 6.2% and imports declined by 1.8% compared with the previous quarter in the second quarter of 2026. Exports added 1.4 percentage points to quarterly growth (Table 2). On an annual basis, exports fell by 3.4% while imports declined by 6.4%. Consequently, net foreign trade made an important positive contribution to growth in the second quarter, both year-on-year (0.9 percentage points) and quarter-on-quarter (1.8 percentage points) (Table 1).</w:t>
      </w:r>
      <w:bookmarkStart w:id="16" w:name="OLE_LINK13"/>
      <w:bookmarkStart w:id="17" w:name="OLE_LINK14"/>
      <w:bookmarkEnd w:id="9"/>
      <w:bookmarkEnd w:id="14"/>
      <w:bookmarkEnd w:id="15"/>
      <w:bookmarkEnd w:id="16"/>
      <w:bookmarkEnd w:id="17"/>
    </w:p>
    <w:p w14:paraId="75704DAE" w14:textId="77777777" w:rsidR="007D2AD4" w:rsidRDefault="007D2AD4" w:rsidP="008F1741">
      <w:pPr>
        <w:pStyle w:val="NormalWeb"/>
        <w:spacing w:before="0" w:beforeAutospacing="0" w:after="0" w:afterAutospacing="0" w:line="360" w:lineRule="auto"/>
        <w:ind w:right="77"/>
        <w:rPr>
          <w:rFonts w:ascii="Palatino Linotype" w:hAnsi="Palatino Linotype" w:cstheme="minorHAnsi"/>
          <w:b/>
          <w:bCs/>
          <w:sz w:val="22"/>
          <w:szCs w:val="22"/>
        </w:rPr>
      </w:pPr>
    </w:p>
    <w:p w14:paraId="2F18D650" w14:textId="77777777" w:rsidR="00227B47" w:rsidRDefault="00227B47" w:rsidP="008F1741">
      <w:pPr>
        <w:pStyle w:val="NormalWeb"/>
        <w:spacing w:before="0" w:beforeAutospacing="0" w:after="0" w:afterAutospacing="0" w:line="360" w:lineRule="auto"/>
        <w:ind w:right="77"/>
        <w:rPr>
          <w:rFonts w:ascii="Palatino Linotype" w:hAnsi="Palatino Linotype" w:cstheme="minorHAnsi"/>
          <w:b/>
          <w:bCs/>
          <w:sz w:val="22"/>
          <w:szCs w:val="22"/>
        </w:rPr>
      </w:pPr>
    </w:p>
    <w:p w14:paraId="19F93BD0" w14:textId="77777777" w:rsidR="00227B47" w:rsidRDefault="00227B47" w:rsidP="008F1741">
      <w:pPr>
        <w:pStyle w:val="NormalWeb"/>
        <w:spacing w:before="0" w:beforeAutospacing="0" w:after="0" w:afterAutospacing="0" w:line="360" w:lineRule="auto"/>
        <w:ind w:right="77"/>
        <w:rPr>
          <w:rFonts w:ascii="Palatino Linotype" w:hAnsi="Palatino Linotype" w:cstheme="minorHAnsi"/>
          <w:b/>
          <w:bCs/>
          <w:sz w:val="22"/>
          <w:szCs w:val="22"/>
        </w:rPr>
      </w:pPr>
    </w:p>
    <w:p w14:paraId="764A27C2" w14:textId="2382A92F" w:rsidR="0062671A" w:rsidRPr="00245B1A" w:rsidRDefault="0062671A" w:rsidP="008F1741">
      <w:pPr>
        <w:pStyle w:val="NormalWeb"/>
        <w:spacing w:before="0" w:beforeAutospacing="0" w:after="0" w:afterAutospacing="0" w:line="360" w:lineRule="auto"/>
        <w:ind w:right="77"/>
        <w:rPr>
          <w:rFonts w:ascii="Palatino Linotype" w:hAnsi="Palatino Linotype" w:cstheme="minorHAnsi"/>
          <w:b/>
          <w:bCs/>
          <w:sz w:val="22"/>
          <w:szCs w:val="22"/>
        </w:rPr>
      </w:pPr>
      <w:r>
        <w:rPr>
          <w:rFonts w:ascii="Palatino Linotype" w:hAnsi="Palatino Linotype" w:cstheme="minorHAnsi"/>
          <w:b/>
          <w:bCs/>
          <w:sz w:val="22"/>
          <w:szCs w:val="22"/>
        </w:rPr>
        <w:lastRenderedPageBreak/>
        <w:t>Government consumption turns negative</w:t>
      </w:r>
    </w:p>
    <w:p w14:paraId="46CE47D0" w14:textId="69697060" w:rsidR="00BD0800" w:rsidRPr="00245B1A" w:rsidRDefault="009C4B9E" w:rsidP="00BD6EC8">
      <w:pPr>
        <w:pStyle w:val="NormalWeb"/>
        <w:spacing w:before="0" w:beforeAutospacing="0" w:after="0" w:afterAutospacing="0" w:line="360" w:lineRule="auto"/>
        <w:ind w:right="77"/>
        <w:jc w:val="both"/>
        <w:rPr>
          <w:rFonts w:ascii="Palatino Linotype" w:hAnsi="Palatino Linotype" w:cstheme="minorHAnsi"/>
          <w:sz w:val="22"/>
          <w:szCs w:val="22"/>
        </w:rPr>
      </w:pPr>
      <w:r>
        <w:rPr>
          <w:rFonts w:ascii="Palatino Linotype" w:hAnsi="Palatino Linotype" w:cstheme="minorHAnsi"/>
          <w:sz w:val="22"/>
          <w:szCs w:val="22"/>
        </w:rPr>
        <w:t>According to seasonally and calendar-adjusted data, government consumption fell by 2% quarter-on-quarter in the second quarter of 2026, subtracting 0.3 percentage points from growth (Table 2). Government spending declined by 1.8% year-on-year and reduced growth by 0.2 percentage points (Table 1).</w:t>
      </w:r>
    </w:p>
    <w:bookmarkEnd w:id="7"/>
    <w:bookmarkEnd w:id="8"/>
    <w:p w14:paraId="37BD54F0" w14:textId="77777777" w:rsidR="007D2AD4" w:rsidRDefault="007D2AD4" w:rsidP="00BD0800">
      <w:pPr>
        <w:pStyle w:val="NormalWeb"/>
        <w:spacing w:before="0" w:beforeAutospacing="0" w:after="0" w:afterAutospacing="0" w:line="360" w:lineRule="auto"/>
        <w:ind w:right="77"/>
        <w:rPr>
          <w:rFonts w:ascii="Palatino Linotype" w:eastAsia="Palatino Linotype" w:hAnsi="Palatino Linotype" w:cs="Palatino Linotype"/>
          <w:b/>
          <w:bCs/>
          <w:sz w:val="22"/>
          <w:szCs w:val="22"/>
        </w:rPr>
      </w:pPr>
    </w:p>
    <w:p w14:paraId="4C5F10E3" w14:textId="7EBBEB0B" w:rsidR="00955E90" w:rsidRPr="000B09B0" w:rsidRDefault="0043384F" w:rsidP="002427A5">
      <w:pPr>
        <w:spacing w:after="160" w:line="259" w:lineRule="auto"/>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Growth outlook</w:t>
      </w:r>
    </w:p>
    <w:p w14:paraId="729340D7" w14:textId="0F65C3BF" w:rsidR="00661E32" w:rsidRDefault="00661E32" w:rsidP="007475CB">
      <w:pPr>
        <w:pStyle w:val="NormalWeb"/>
        <w:spacing w:before="0" w:beforeAutospacing="0" w:after="240" w:afterAutospacing="0" w:line="360" w:lineRule="auto"/>
        <w:ind w:right="79"/>
        <w:jc w:val="both"/>
        <w:rPr>
          <w:rFonts w:ascii="Palatino Linotype" w:hAnsi="Palatino Linotype" w:cstheme="minorHAnsi"/>
          <w:sz w:val="22"/>
          <w:szCs w:val="22"/>
        </w:rPr>
      </w:pPr>
      <w:r>
        <w:rPr>
          <w:rFonts w:ascii="Palatino Linotype" w:hAnsi="Palatino Linotype" w:cstheme="minorHAnsi"/>
          <w:sz w:val="22"/>
          <w:szCs w:val="22"/>
        </w:rPr>
        <w:t xml:space="preserve">As Figure 2 shows, quarterly growth momentum recovered significantly in the second quarter, but annual growth slowed from 2.6% to 2.3%. The main reason for the annual slowdown was the decline in the contribution of private consumption, from 2.9 to 1.8 percentage points. Despite its quarterly recovery, the annual contribution of exports remained negative at -0.8 percentage points, while the positive annual contribution of net foreign trade (0.9 percentage points) primarily reflected the sharp contraction in imports. Thus, the annual slowdown points to weakness in domestic demand rather than foreign trade. The quarterly picture is the opposite: the recovery came almost entirely from foreign trade (a net contribution of 1.8 percentage points), while domestic demand components weakened, including private consumption (-0.7 percentage points), government consumption (-0.3 percentage points), and inventory changes (0.3 percentage points, down from 1.6 percentage points in the previous quarter). Growth in the second half of 2026 will depend largely on whether the decline in private consumption persists and whether the sharp increase in exports merely offsets the large decline in the preceding quarter—in other words, whether it is temporary.  </w:t>
      </w:r>
      <w:r w:rsidR="00FE7D5B">
        <w:rPr>
          <w:rFonts w:ascii="Palatino Linotype" w:hAnsi="Palatino Linotype" w:cstheme="minorHAnsi"/>
          <w:sz w:val="22"/>
          <w:szCs w:val="22"/>
        </w:rPr>
        <w:t xml:space="preserve"> </w:t>
      </w:r>
    </w:p>
    <w:p w14:paraId="699E2D0D" w14:textId="77777777" w:rsidR="00227B47" w:rsidRDefault="00227B47" w:rsidP="00661E32">
      <w:pPr>
        <w:spacing w:after="160" w:line="259" w:lineRule="auto"/>
        <w:rPr>
          <w:rFonts w:ascii="Palatino Linotype" w:hAnsi="Palatino Linotype" w:cstheme="minorHAnsi"/>
          <w:b/>
          <w:bCs/>
          <w:sz w:val="22"/>
          <w:szCs w:val="22"/>
        </w:rPr>
      </w:pPr>
    </w:p>
    <w:p w14:paraId="6A402AF4" w14:textId="77777777" w:rsidR="00227B47" w:rsidRDefault="00227B47" w:rsidP="00661E32">
      <w:pPr>
        <w:spacing w:after="160" w:line="259" w:lineRule="auto"/>
        <w:rPr>
          <w:rFonts w:ascii="Palatino Linotype" w:hAnsi="Palatino Linotype" w:cstheme="minorHAnsi"/>
          <w:b/>
          <w:bCs/>
          <w:sz w:val="22"/>
          <w:szCs w:val="22"/>
        </w:rPr>
      </w:pPr>
    </w:p>
    <w:p w14:paraId="78F17A23" w14:textId="77777777" w:rsidR="00227B47" w:rsidRDefault="00227B47" w:rsidP="00661E32">
      <w:pPr>
        <w:spacing w:after="160" w:line="259" w:lineRule="auto"/>
        <w:rPr>
          <w:rFonts w:ascii="Palatino Linotype" w:hAnsi="Palatino Linotype" w:cstheme="minorHAnsi"/>
          <w:b/>
          <w:bCs/>
          <w:sz w:val="22"/>
          <w:szCs w:val="22"/>
        </w:rPr>
      </w:pPr>
    </w:p>
    <w:p w14:paraId="689E19E4" w14:textId="77777777" w:rsidR="00227B47" w:rsidRDefault="00227B47" w:rsidP="00661E32">
      <w:pPr>
        <w:spacing w:after="160" w:line="259" w:lineRule="auto"/>
        <w:rPr>
          <w:rFonts w:ascii="Palatino Linotype" w:hAnsi="Palatino Linotype" w:cstheme="minorHAnsi"/>
          <w:b/>
          <w:bCs/>
          <w:sz w:val="22"/>
          <w:szCs w:val="22"/>
        </w:rPr>
      </w:pPr>
    </w:p>
    <w:p w14:paraId="7E1830DC" w14:textId="77777777" w:rsidR="00227B47" w:rsidRDefault="00227B47" w:rsidP="00661E32">
      <w:pPr>
        <w:spacing w:after="160" w:line="259" w:lineRule="auto"/>
        <w:rPr>
          <w:rFonts w:ascii="Palatino Linotype" w:hAnsi="Palatino Linotype" w:cstheme="minorHAnsi"/>
          <w:b/>
          <w:bCs/>
          <w:sz w:val="22"/>
          <w:szCs w:val="22"/>
        </w:rPr>
      </w:pPr>
    </w:p>
    <w:p w14:paraId="7B1EF8A4" w14:textId="77777777" w:rsidR="00227B47" w:rsidRDefault="00227B47" w:rsidP="00661E32">
      <w:pPr>
        <w:spacing w:after="160" w:line="259" w:lineRule="auto"/>
        <w:rPr>
          <w:rFonts w:ascii="Palatino Linotype" w:hAnsi="Palatino Linotype" w:cstheme="minorHAnsi"/>
          <w:b/>
          <w:bCs/>
          <w:sz w:val="22"/>
          <w:szCs w:val="22"/>
        </w:rPr>
      </w:pPr>
    </w:p>
    <w:p w14:paraId="1A6B279F" w14:textId="77777777" w:rsidR="00227B47" w:rsidRDefault="00227B47" w:rsidP="00661E32">
      <w:pPr>
        <w:spacing w:after="160" w:line="259" w:lineRule="auto"/>
        <w:rPr>
          <w:rFonts w:ascii="Palatino Linotype" w:hAnsi="Palatino Linotype" w:cstheme="minorHAnsi"/>
          <w:b/>
          <w:bCs/>
          <w:sz w:val="22"/>
          <w:szCs w:val="22"/>
        </w:rPr>
      </w:pPr>
    </w:p>
    <w:p w14:paraId="2CECF811" w14:textId="6E35A0EA" w:rsidR="00DF08BD" w:rsidRPr="00661E32" w:rsidRDefault="00E85F3F" w:rsidP="00661E32">
      <w:pPr>
        <w:spacing w:after="160" w:line="259" w:lineRule="auto"/>
        <w:rPr>
          <w:rFonts w:ascii="Palatino Linotype" w:hAnsi="Palatino Linotype" w:cstheme="minorHAnsi"/>
          <w:b/>
          <w:bCs/>
          <w:sz w:val="22"/>
          <w:szCs w:val="22"/>
        </w:rPr>
      </w:pPr>
      <w:proofErr w:type="spellStart"/>
      <w:r>
        <w:rPr>
          <w:rFonts w:ascii="Palatino Linotype" w:hAnsi="Palatino Linotype" w:cstheme="minorHAnsi"/>
          <w:b/>
          <w:bCs/>
          <w:sz w:val="22"/>
          <w:szCs w:val="22"/>
        </w:rPr>
        <w:lastRenderedPageBreak/>
        <w:t>Figure</w:t>
      </w:r>
      <w:proofErr w:type="spellEnd"/>
      <w:r>
        <w:rPr>
          <w:rFonts w:ascii="Palatino Linotype" w:hAnsi="Palatino Linotype" w:cstheme="minorHAnsi"/>
          <w:b/>
          <w:bCs/>
          <w:sz w:val="22"/>
          <w:szCs w:val="22"/>
        </w:rPr>
        <w:t xml:space="preserve"> 2: GDP </w:t>
      </w:r>
      <w:proofErr w:type="spellStart"/>
      <w:r>
        <w:rPr>
          <w:rFonts w:ascii="Palatino Linotype" w:hAnsi="Palatino Linotype" w:cstheme="minorHAnsi"/>
          <w:b/>
          <w:bCs/>
          <w:sz w:val="22"/>
          <w:szCs w:val="22"/>
        </w:rPr>
        <w:t>growth</w:t>
      </w:r>
      <w:proofErr w:type="spellEnd"/>
      <w:r>
        <w:rPr>
          <w:rFonts w:ascii="Palatino Linotype" w:hAnsi="Palatino Linotype" w:cstheme="minorHAnsi"/>
          <w:b/>
          <w:bCs/>
          <w:sz w:val="22"/>
          <w:szCs w:val="22"/>
        </w:rPr>
        <w:t xml:space="preserve"> </w:t>
      </w:r>
      <w:proofErr w:type="spellStart"/>
      <w:r>
        <w:rPr>
          <w:rFonts w:ascii="Palatino Linotype" w:hAnsi="Palatino Linotype" w:cstheme="minorHAnsi"/>
          <w:b/>
          <w:bCs/>
          <w:sz w:val="22"/>
          <w:szCs w:val="22"/>
        </w:rPr>
        <w:t>rates</w:t>
      </w:r>
      <w:proofErr w:type="spellEnd"/>
      <w:r>
        <w:rPr>
          <w:rFonts w:ascii="Palatino Linotype" w:hAnsi="Palatino Linotype" w:cstheme="minorHAnsi"/>
          <w:b/>
          <w:bCs/>
          <w:sz w:val="22"/>
          <w:szCs w:val="22"/>
        </w:rPr>
        <w:t xml:space="preserve"> compared with the previous quarter and the same quarter of the previous year</w:t>
      </w:r>
    </w:p>
    <w:p w14:paraId="57F2934C" w14:textId="7F58E4C1" w:rsidR="005B19D9" w:rsidRDefault="005B19D9" w:rsidP="00406AC1">
      <w:pPr>
        <w:pStyle w:val="NormalWeb"/>
        <w:spacing w:before="0" w:beforeAutospacing="0" w:after="0" w:afterAutospacing="0" w:line="360" w:lineRule="auto"/>
        <w:ind w:right="77"/>
        <w:jc w:val="both"/>
        <w:rPr>
          <w:rFonts w:ascii="Palatino Linotype" w:hAnsi="Palatino Linotype" w:cstheme="minorHAnsi"/>
          <w:sz w:val="18"/>
          <w:szCs w:val="18"/>
        </w:rPr>
      </w:pPr>
      <w:r>
        <w:rPr>
          <w:noProof/>
          <w:lang w:val="en-GB" w:eastAsia="en-GB"/>
        </w:rPr>
        <w:drawing>
          <wp:inline distT="0" distB="0" distL="0" distR="0" wp14:anchorId="104CBB39" wp14:editId="1B04EDFF">
            <wp:extent cx="5760720" cy="2821305"/>
            <wp:effectExtent l="0" t="0" r="17780" b="10795"/>
            <wp:docPr id="1393492278" name="Chart 1">
              <a:extLst xmlns:a="http://schemas.openxmlformats.org/drawingml/2006/main">
                <a:ext uri="{FF2B5EF4-FFF2-40B4-BE49-F238E27FC236}">
                  <a16:creationId xmlns:a16="http://schemas.microsoft.com/office/drawing/2014/main" id="{BDCA91F5-5855-4672-95AE-1C9133146D56}"/>
                </a:ext>
                <a:ext uri="{147F2762-F138-4A5C-976F-8EAC2B608ADB}">
                  <a16:predDERef xmlns:a16="http://schemas.microsoft.com/office/drawing/2014/main" pred="{32C7A0A2-29DE-49BD-AB51-7F52B7E745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9047BBA" w14:textId="7B8592AE" w:rsidR="001A080D" w:rsidRPr="00D25778" w:rsidRDefault="00062A8A" w:rsidP="004360BE">
      <w:pPr>
        <w:pStyle w:val="NormalWeb"/>
        <w:spacing w:before="0" w:beforeAutospacing="0" w:after="0" w:afterAutospacing="0" w:line="360" w:lineRule="auto"/>
        <w:ind w:right="77"/>
        <w:jc w:val="both"/>
        <w:rPr>
          <w:rFonts w:ascii="Palatino Linotype" w:hAnsi="Palatino Linotype" w:cstheme="minorHAnsi"/>
          <w:noProof/>
          <w:sz w:val="18"/>
          <w:szCs w:val="18"/>
        </w:rPr>
      </w:pPr>
      <w:r>
        <w:rPr>
          <w:rFonts w:ascii="Palatino Linotype" w:hAnsi="Palatino Linotype" w:cstheme="minorHAnsi"/>
          <w:sz w:val="18"/>
          <w:szCs w:val="18"/>
        </w:rPr>
        <w:t>Source: TurkStat, Betam</w:t>
      </w:r>
    </w:p>
    <w:sectPr w:rsidR="001A080D" w:rsidRPr="00D25778" w:rsidSect="005047E6">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8585FE" w14:textId="77777777" w:rsidR="00E72B21" w:rsidRDefault="00E72B21" w:rsidP="00DA0C5D">
      <w:r>
        <w:separator/>
      </w:r>
    </w:p>
  </w:endnote>
  <w:endnote w:type="continuationSeparator" w:id="0">
    <w:p w14:paraId="168F7906" w14:textId="77777777" w:rsidR="00E72B21" w:rsidRDefault="00E72B21" w:rsidP="00DA0C5D">
      <w:r>
        <w:continuationSeparator/>
      </w:r>
    </w:p>
  </w:endnote>
  <w:endnote w:type="continuationNotice" w:id="1">
    <w:p w14:paraId="6028F949" w14:textId="77777777" w:rsidR="00E72B21" w:rsidRDefault="00E72B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Yu Gothic Light">
    <w:panose1 w:val="020B03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Yu Mincho">
    <w:panose1 w:val="020204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89491006"/>
      <w:docPartObj>
        <w:docPartGallery w:val="Page Numbers (Bottom of Page)"/>
        <w:docPartUnique/>
      </w:docPartObj>
    </w:sdtPr>
    <w:sdtEndPr>
      <w:rPr>
        <w:noProof/>
      </w:rPr>
    </w:sdtEndPr>
    <w:sdtContent>
      <w:p w14:paraId="4958D66D" w14:textId="4FBAB67D" w:rsidR="002C542E" w:rsidRDefault="002C542E">
        <w:pPr>
          <w:pStyle w:val="Footer"/>
          <w:jc w:val="center"/>
        </w:pPr>
        <w:r>
          <w:fldChar w:fldCharType="begin"/>
        </w:r>
        <w:r>
          <w:instrText xml:space="preserve"> PAGE   \* MERGEFORMAT </w:instrText>
        </w:r>
        <w:r>
          <w:fldChar w:fldCharType="separate"/>
        </w:r>
        <w:r w:rsidR="006A0DEA">
          <w:rPr>
            <w:noProof/>
          </w:rPr>
          <w:t>4</w:t>
        </w:r>
        <w:r>
          <w:rPr>
            <w:noProof/>
          </w:rPr>
          <w:fldChar w:fldCharType="end"/>
        </w:r>
      </w:p>
    </w:sdtContent>
  </w:sdt>
  <w:p w14:paraId="19293457" w14:textId="77777777" w:rsidR="009030D2" w:rsidRDefault="009030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3DE686" w14:textId="77777777" w:rsidR="00E72B21" w:rsidRDefault="00E72B21" w:rsidP="00DA0C5D">
      <w:r>
        <w:separator/>
      </w:r>
    </w:p>
  </w:footnote>
  <w:footnote w:type="continuationSeparator" w:id="0">
    <w:p w14:paraId="7181F896" w14:textId="77777777" w:rsidR="00E72B21" w:rsidRDefault="00E72B21" w:rsidP="00DA0C5D">
      <w:r>
        <w:continuationSeparator/>
      </w:r>
    </w:p>
  </w:footnote>
  <w:footnote w:type="continuationNotice" w:id="1">
    <w:p w14:paraId="559290B0" w14:textId="77777777" w:rsidR="00E72B21" w:rsidRDefault="00E72B21"/>
  </w:footnote>
  <w:footnote w:id="2">
    <w:p w14:paraId="6D61CC27" w14:textId="37D9E46D" w:rsidR="00C32789" w:rsidRPr="006F4B75" w:rsidRDefault="00C32789" w:rsidP="00173671">
      <w:pPr>
        <w:pStyle w:val="FootnoteText"/>
        <w:jc w:val="both"/>
        <w:rPr>
          <w:lang w:val="en-US"/>
        </w:rPr>
      </w:pPr>
      <w:r>
        <w:rPr>
          <w:rStyle w:val="FootnoteReference"/>
        </w:rPr>
        <w:footnoteRef/>
      </w:r>
      <w:r w:rsidR="001866FC">
        <w:t xml:space="preserve"> </w:t>
      </w:r>
      <w:r w:rsidRPr="001866FC">
        <w:rPr>
          <w:rFonts w:ascii="Palatino Linotype" w:hAnsi="Palatino Linotype"/>
          <w:sz w:val="18"/>
          <w:szCs w:val="18"/>
        </w:rPr>
        <w:t>Betam</w:t>
      </w:r>
      <w:r w:rsidR="006F4B75">
        <w:rPr>
          <w:rFonts w:ascii="Palatino Linotype" w:hAnsi="Palatino Linotype"/>
          <w:sz w:val="18"/>
          <w:szCs w:val="18"/>
        </w:rPr>
        <w:t xml:space="preserve">, </w:t>
      </w:r>
      <w:proofErr w:type="spellStart"/>
      <w:r w:rsidR="006F4B75">
        <w:rPr>
          <w:rFonts w:ascii="Palatino Linotype" w:hAnsi="Palatino Linotype"/>
          <w:sz w:val="18"/>
          <w:szCs w:val="18"/>
        </w:rPr>
        <w:t>seyfettin.gursel</w:t>
      </w:r>
      <w:proofErr w:type="spellEnd"/>
      <w:r w:rsidR="006F4B75">
        <w:rPr>
          <w:rFonts w:ascii="Palatino Linotype" w:hAnsi="Palatino Linotype"/>
          <w:sz w:val="18"/>
          <w:szCs w:val="18"/>
          <w:lang w:val="en-US"/>
        </w:rPr>
        <w:t>@bau.edu.tr</w:t>
      </w:r>
    </w:p>
  </w:footnote>
  <w:footnote w:id="3">
    <w:p w14:paraId="5BE1DCEB" w14:textId="0BD036B4" w:rsidR="001537D8" w:rsidRDefault="001537D8" w:rsidP="00173671">
      <w:pPr>
        <w:pStyle w:val="FootnoteText"/>
        <w:jc w:val="both"/>
      </w:pPr>
      <w:r>
        <w:rPr>
          <w:rStyle w:val="FootnoteReference"/>
        </w:rPr>
        <w:footnoteRef/>
      </w:r>
      <w:r w:rsidR="001866FC">
        <w:t xml:space="preserve"> </w:t>
      </w:r>
      <w:r w:rsidRPr="001866FC">
        <w:rPr>
          <w:rFonts w:ascii="Palatino Linotype" w:hAnsi="Palatino Linotype"/>
          <w:sz w:val="18"/>
          <w:szCs w:val="18"/>
        </w:rPr>
        <w:t>Betam,</w:t>
      </w:r>
      <w:r w:rsidR="00302EDD">
        <w:rPr>
          <w:rFonts w:ascii="Palatino Linotype" w:hAnsi="Palatino Linotype"/>
          <w:sz w:val="18"/>
          <w:szCs w:val="18"/>
        </w:rPr>
        <w:t xml:space="preserve"> </w:t>
      </w:r>
      <w:r w:rsidR="006A51CC">
        <w:rPr>
          <w:rFonts w:ascii="Palatino Linotype" w:hAnsi="Palatino Linotype"/>
          <w:sz w:val="18"/>
          <w:szCs w:val="18"/>
        </w:rPr>
        <w:t>saliha.tanriverdi</w:t>
      </w:r>
      <w:r w:rsidR="004D4272" w:rsidRPr="001866FC">
        <w:rPr>
          <w:rFonts w:ascii="Palatino Linotype" w:hAnsi="Palatino Linotype"/>
          <w:sz w:val="18"/>
          <w:szCs w:val="18"/>
        </w:rPr>
        <w:t>@bau.edu.tr</w:t>
      </w:r>
      <w:r>
        <w:t xml:space="preserve"> </w:t>
      </w:r>
    </w:p>
  </w:footnote>
  <w:footnote w:id="4">
    <w:p w14:paraId="7D323AF4" w14:textId="77777777" w:rsidR="00FE7D5B" w:rsidRPr="00E22DFD" w:rsidRDefault="00FE7D5B" w:rsidP="00FE7D5B">
      <w:pPr>
        <w:pStyle w:val="FootnoteText"/>
        <w:jc w:val="both"/>
        <w:rPr>
          <w:rFonts w:ascii="Palatino Linotype" w:hAnsi="Palatino Linotype"/>
          <w:sz w:val="18"/>
          <w:szCs w:val="18"/>
        </w:rPr>
      </w:pPr>
      <w:r w:rsidRPr="00E22DFD">
        <w:rPr>
          <w:rStyle w:val="FootnoteReference"/>
          <w:rFonts w:ascii="Palatino Linotype" w:hAnsi="Palatino Linotype"/>
          <w:sz w:val="18"/>
          <w:szCs w:val="18"/>
        </w:rPr>
        <w:footnoteRef/>
      </w:r>
      <w:r w:rsidRPr="00E22DFD">
        <w:rPr>
          <w:rFonts w:ascii="Palatino Linotype" w:hAnsi="Palatino Linotype"/>
          <w:sz w:val="18"/>
          <w:szCs w:val="18"/>
        </w:rPr>
        <w:t xml:space="preserve"> “TÜİK yeni milli gelir serilerini hesaplarken zincirleme hacim endeksi yöntemini kullanıyor. Zincirleme yöntemde hem </w:t>
      </w:r>
      <w:proofErr w:type="spellStart"/>
      <w:r w:rsidRPr="00E22DFD">
        <w:rPr>
          <w:rFonts w:ascii="Palatino Linotype" w:hAnsi="Palatino Linotype"/>
          <w:sz w:val="18"/>
          <w:szCs w:val="18"/>
        </w:rPr>
        <w:t>TurkStat</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uses</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the</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chain-linked</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volume</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index</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method</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to</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calculate</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the</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new</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national</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accounts</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series</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Because</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this</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method</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entails</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non-additivity</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and</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no</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chain-linked</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index</w:t>
      </w:r>
      <w:proofErr w:type="spellEnd"/>
      <w:r w:rsidRPr="00E22DFD">
        <w:rPr>
          <w:rFonts w:ascii="Palatino Linotype" w:hAnsi="Palatino Linotype"/>
          <w:sz w:val="18"/>
          <w:szCs w:val="18"/>
        </w:rPr>
        <w:t xml:space="preserve"> can be </w:t>
      </w:r>
      <w:proofErr w:type="spellStart"/>
      <w:r w:rsidRPr="00E22DFD">
        <w:rPr>
          <w:rFonts w:ascii="Palatino Linotype" w:hAnsi="Palatino Linotype"/>
          <w:sz w:val="18"/>
          <w:szCs w:val="18"/>
        </w:rPr>
        <w:t>derived</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for</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the</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changes</w:t>
      </w:r>
      <w:proofErr w:type="spellEnd"/>
      <w:r w:rsidRPr="00E22DFD">
        <w:rPr>
          <w:rFonts w:ascii="Palatino Linotype" w:hAnsi="Palatino Linotype"/>
          <w:sz w:val="18"/>
          <w:szCs w:val="18"/>
        </w:rPr>
        <w:t xml:space="preserve"> in </w:t>
      </w:r>
      <w:proofErr w:type="spellStart"/>
      <w:r w:rsidRPr="00E22DFD">
        <w:rPr>
          <w:rFonts w:ascii="Palatino Linotype" w:hAnsi="Palatino Linotype"/>
          <w:sz w:val="18"/>
          <w:szCs w:val="18"/>
        </w:rPr>
        <w:t>inventories</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component</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the</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contribution</w:t>
      </w:r>
      <w:proofErr w:type="spellEnd"/>
      <w:r w:rsidRPr="00E22DFD">
        <w:rPr>
          <w:rFonts w:ascii="Palatino Linotype" w:hAnsi="Palatino Linotype"/>
          <w:sz w:val="18"/>
          <w:szCs w:val="18"/>
        </w:rPr>
        <w:t xml:space="preserve"> of </w:t>
      </w:r>
      <w:proofErr w:type="spellStart"/>
      <w:r w:rsidRPr="00E22DFD">
        <w:rPr>
          <w:rFonts w:ascii="Palatino Linotype" w:hAnsi="Palatino Linotype"/>
          <w:sz w:val="18"/>
          <w:szCs w:val="18"/>
        </w:rPr>
        <w:t>inventory</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changes</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to</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growth</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cannot</w:t>
      </w:r>
      <w:proofErr w:type="spellEnd"/>
      <w:r w:rsidRPr="00E22DFD">
        <w:rPr>
          <w:rFonts w:ascii="Palatino Linotype" w:hAnsi="Palatino Linotype"/>
          <w:sz w:val="18"/>
          <w:szCs w:val="18"/>
        </w:rPr>
        <w:t xml:space="preserve"> be </w:t>
      </w:r>
      <w:proofErr w:type="spellStart"/>
      <w:r w:rsidRPr="00E22DFD">
        <w:rPr>
          <w:rFonts w:ascii="Palatino Linotype" w:hAnsi="Palatino Linotype"/>
          <w:sz w:val="18"/>
          <w:szCs w:val="18"/>
        </w:rPr>
        <w:t>calculated</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directly</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Our</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research</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note</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discusses</w:t>
      </w:r>
      <w:proofErr w:type="spellEnd"/>
      <w:r w:rsidRPr="00E22DFD">
        <w:rPr>
          <w:rFonts w:ascii="Palatino Linotype" w:hAnsi="Palatino Linotype"/>
          <w:sz w:val="18"/>
          <w:szCs w:val="18"/>
        </w:rPr>
        <w:t xml:space="preserve"> in </w:t>
      </w:r>
      <w:proofErr w:type="spellStart"/>
      <w:r w:rsidRPr="00E22DFD">
        <w:rPr>
          <w:rFonts w:ascii="Palatino Linotype" w:hAnsi="Palatino Linotype"/>
          <w:sz w:val="18"/>
          <w:szCs w:val="18"/>
        </w:rPr>
        <w:t>detail</w:t>
      </w:r>
      <w:proofErr w:type="spellEnd"/>
      <w:r w:rsidRPr="00E22DFD">
        <w:rPr>
          <w:rFonts w:ascii="Palatino Linotype" w:hAnsi="Palatino Linotype"/>
          <w:sz w:val="18"/>
          <w:szCs w:val="18"/>
        </w:rPr>
        <w:t xml:space="preserve"> how </w:t>
      </w:r>
      <w:proofErr w:type="spellStart"/>
      <w:r w:rsidRPr="00E22DFD">
        <w:rPr>
          <w:rFonts w:ascii="Palatino Linotype" w:hAnsi="Palatino Linotype"/>
          <w:sz w:val="18"/>
          <w:szCs w:val="18"/>
        </w:rPr>
        <w:t>to</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calculate</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this</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contribution</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under</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the</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chain-linked</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volume</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index</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approach</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see</w:t>
      </w:r>
      <w:proofErr w:type="spellEnd"/>
      <w:r w:rsidRPr="00E22DFD">
        <w:rPr>
          <w:rFonts w:ascii="Palatino Linotype" w:hAnsi="Palatino Linotype"/>
          <w:sz w:val="18"/>
          <w:szCs w:val="18"/>
        </w:rPr>
        <w:t xml:space="preserve"> Betam </w:t>
      </w:r>
      <w:proofErr w:type="spellStart"/>
      <w:r w:rsidRPr="00E22DFD">
        <w:rPr>
          <w:rFonts w:ascii="Palatino Linotype" w:hAnsi="Palatino Linotype"/>
          <w:sz w:val="18"/>
          <w:szCs w:val="18"/>
        </w:rPr>
        <w:t>Research</w:t>
      </w:r>
      <w:proofErr w:type="spellEnd"/>
      <w:r w:rsidRPr="00E22DFD">
        <w:rPr>
          <w:rFonts w:ascii="Palatino Linotype" w:hAnsi="Palatino Linotype"/>
          <w:sz w:val="18"/>
          <w:szCs w:val="18"/>
        </w:rPr>
        <w:t xml:space="preserve"> </w:t>
      </w:r>
      <w:proofErr w:type="spellStart"/>
      <w:r w:rsidRPr="00E22DFD">
        <w:rPr>
          <w:rFonts w:ascii="Palatino Linotype" w:hAnsi="Palatino Linotype"/>
          <w:sz w:val="18"/>
          <w:szCs w:val="18"/>
        </w:rPr>
        <w:t>Note</w:t>
      </w:r>
      <w:proofErr w:type="spellEnd"/>
      <w:r w:rsidRPr="00E22DFD">
        <w:rPr>
          <w:rFonts w:ascii="Palatino Linotype" w:hAnsi="Palatino Linotype"/>
          <w:sz w:val="18"/>
          <w:szCs w:val="18"/>
        </w:rPr>
        <w:t xml:space="preserve"> 17/217).</w:t>
      </w:r>
      <w:bookmarkStart w:id="10" w:name="OLE_LINK3"/>
      <w:bookmarkStart w:id="11" w:name="OLE_LINK4"/>
      <w:bookmarkEnd w:id="10"/>
      <w:bookmarkEnd w:id="11"/>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9850D03"/>
    <w:multiLevelType w:val="hybridMultilevel"/>
    <w:tmpl w:val="ABAEA2D4"/>
    <w:lvl w:ilvl="0" w:tplc="D6BC705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2270955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A2MzQ1MzcytDQzNrBU0lEKTi0uzszPAykwrwUAwfjx3ywAAAA="/>
  </w:docVars>
  <w:rsids>
    <w:rsidRoot w:val="00D07713"/>
    <w:rsid w:val="0000013E"/>
    <w:rsid w:val="00000824"/>
    <w:rsid w:val="0000228F"/>
    <w:rsid w:val="0000232E"/>
    <w:rsid w:val="00002E42"/>
    <w:rsid w:val="00003CEF"/>
    <w:rsid w:val="000055F7"/>
    <w:rsid w:val="00007BF3"/>
    <w:rsid w:val="00007C3F"/>
    <w:rsid w:val="0001081A"/>
    <w:rsid w:val="00010B90"/>
    <w:rsid w:val="00010DAB"/>
    <w:rsid w:val="00013768"/>
    <w:rsid w:val="0001392F"/>
    <w:rsid w:val="000141C7"/>
    <w:rsid w:val="0001486D"/>
    <w:rsid w:val="00015F47"/>
    <w:rsid w:val="00016D27"/>
    <w:rsid w:val="00017B51"/>
    <w:rsid w:val="00020306"/>
    <w:rsid w:val="00021CFC"/>
    <w:rsid w:val="00022596"/>
    <w:rsid w:val="00022EB1"/>
    <w:rsid w:val="00023740"/>
    <w:rsid w:val="00023B97"/>
    <w:rsid w:val="0002466A"/>
    <w:rsid w:val="00024FE0"/>
    <w:rsid w:val="00030A2C"/>
    <w:rsid w:val="000314B6"/>
    <w:rsid w:val="0003173A"/>
    <w:rsid w:val="00032741"/>
    <w:rsid w:val="00034933"/>
    <w:rsid w:val="00036770"/>
    <w:rsid w:val="00037728"/>
    <w:rsid w:val="000404B3"/>
    <w:rsid w:val="0004087D"/>
    <w:rsid w:val="00041FB7"/>
    <w:rsid w:val="00042210"/>
    <w:rsid w:val="0004390D"/>
    <w:rsid w:val="00044AF3"/>
    <w:rsid w:val="00044D9E"/>
    <w:rsid w:val="00045626"/>
    <w:rsid w:val="0004588B"/>
    <w:rsid w:val="000478DA"/>
    <w:rsid w:val="00047A79"/>
    <w:rsid w:val="00050D2C"/>
    <w:rsid w:val="00052012"/>
    <w:rsid w:val="0005290F"/>
    <w:rsid w:val="000529F2"/>
    <w:rsid w:val="00052B86"/>
    <w:rsid w:val="00053AAA"/>
    <w:rsid w:val="00054943"/>
    <w:rsid w:val="00054D9E"/>
    <w:rsid w:val="00055EA1"/>
    <w:rsid w:val="000561F7"/>
    <w:rsid w:val="00056403"/>
    <w:rsid w:val="0005747B"/>
    <w:rsid w:val="00057F8E"/>
    <w:rsid w:val="00062A8A"/>
    <w:rsid w:val="00063B28"/>
    <w:rsid w:val="000641A8"/>
    <w:rsid w:val="000652B6"/>
    <w:rsid w:val="00066842"/>
    <w:rsid w:val="00067288"/>
    <w:rsid w:val="0006775B"/>
    <w:rsid w:val="00070018"/>
    <w:rsid w:val="000714BA"/>
    <w:rsid w:val="000719F5"/>
    <w:rsid w:val="000725DB"/>
    <w:rsid w:val="00073415"/>
    <w:rsid w:val="000753CE"/>
    <w:rsid w:val="00077CA8"/>
    <w:rsid w:val="00077F9D"/>
    <w:rsid w:val="00080211"/>
    <w:rsid w:val="00080336"/>
    <w:rsid w:val="000838DE"/>
    <w:rsid w:val="00085271"/>
    <w:rsid w:val="00086C64"/>
    <w:rsid w:val="00087011"/>
    <w:rsid w:val="000876CE"/>
    <w:rsid w:val="00087C70"/>
    <w:rsid w:val="000905E5"/>
    <w:rsid w:val="00091F3E"/>
    <w:rsid w:val="0009328A"/>
    <w:rsid w:val="00094206"/>
    <w:rsid w:val="00094647"/>
    <w:rsid w:val="0009673D"/>
    <w:rsid w:val="00096CDA"/>
    <w:rsid w:val="00097794"/>
    <w:rsid w:val="000978C8"/>
    <w:rsid w:val="000A05ED"/>
    <w:rsid w:val="000A1122"/>
    <w:rsid w:val="000A3019"/>
    <w:rsid w:val="000A4FA7"/>
    <w:rsid w:val="000A612E"/>
    <w:rsid w:val="000B09B0"/>
    <w:rsid w:val="000B0D12"/>
    <w:rsid w:val="000B0FC1"/>
    <w:rsid w:val="000B45D6"/>
    <w:rsid w:val="000B6CAD"/>
    <w:rsid w:val="000B75BE"/>
    <w:rsid w:val="000C0E23"/>
    <w:rsid w:val="000C12C0"/>
    <w:rsid w:val="000C1672"/>
    <w:rsid w:val="000C5C80"/>
    <w:rsid w:val="000C5EAB"/>
    <w:rsid w:val="000C634D"/>
    <w:rsid w:val="000D5974"/>
    <w:rsid w:val="000D5FD3"/>
    <w:rsid w:val="000D6E6C"/>
    <w:rsid w:val="000D70D1"/>
    <w:rsid w:val="000E1802"/>
    <w:rsid w:val="000E2388"/>
    <w:rsid w:val="000E2F54"/>
    <w:rsid w:val="000E3436"/>
    <w:rsid w:val="000E445D"/>
    <w:rsid w:val="000F0B6B"/>
    <w:rsid w:val="000F2C7A"/>
    <w:rsid w:val="000F34BE"/>
    <w:rsid w:val="000F378E"/>
    <w:rsid w:val="000F38B6"/>
    <w:rsid w:val="000F431C"/>
    <w:rsid w:val="000F6529"/>
    <w:rsid w:val="000F75B9"/>
    <w:rsid w:val="001004FF"/>
    <w:rsid w:val="0010209C"/>
    <w:rsid w:val="001020C4"/>
    <w:rsid w:val="001035A0"/>
    <w:rsid w:val="00111CED"/>
    <w:rsid w:val="0011291D"/>
    <w:rsid w:val="00112AEA"/>
    <w:rsid w:val="00115F49"/>
    <w:rsid w:val="0011613D"/>
    <w:rsid w:val="001165B4"/>
    <w:rsid w:val="001167EB"/>
    <w:rsid w:val="00117128"/>
    <w:rsid w:val="001226D6"/>
    <w:rsid w:val="001239FD"/>
    <w:rsid w:val="0012464E"/>
    <w:rsid w:val="00124B0C"/>
    <w:rsid w:val="0012527F"/>
    <w:rsid w:val="00125770"/>
    <w:rsid w:val="00126200"/>
    <w:rsid w:val="001264BF"/>
    <w:rsid w:val="001270D3"/>
    <w:rsid w:val="0012777A"/>
    <w:rsid w:val="00127E4D"/>
    <w:rsid w:val="00130D73"/>
    <w:rsid w:val="00131C5C"/>
    <w:rsid w:val="00132910"/>
    <w:rsid w:val="00132F7E"/>
    <w:rsid w:val="00134BE8"/>
    <w:rsid w:val="001365DD"/>
    <w:rsid w:val="0013699E"/>
    <w:rsid w:val="00137467"/>
    <w:rsid w:val="00140468"/>
    <w:rsid w:val="00141EDB"/>
    <w:rsid w:val="00143F17"/>
    <w:rsid w:val="0014542A"/>
    <w:rsid w:val="00145995"/>
    <w:rsid w:val="00150FFB"/>
    <w:rsid w:val="0015176F"/>
    <w:rsid w:val="001527FA"/>
    <w:rsid w:val="001531B2"/>
    <w:rsid w:val="001537D8"/>
    <w:rsid w:val="001540B7"/>
    <w:rsid w:val="00156849"/>
    <w:rsid w:val="00156D41"/>
    <w:rsid w:val="00157070"/>
    <w:rsid w:val="001570F3"/>
    <w:rsid w:val="0016084A"/>
    <w:rsid w:val="00160880"/>
    <w:rsid w:val="001648AB"/>
    <w:rsid w:val="00166779"/>
    <w:rsid w:val="00173671"/>
    <w:rsid w:val="00173752"/>
    <w:rsid w:val="00173CB3"/>
    <w:rsid w:val="0017424F"/>
    <w:rsid w:val="001744CD"/>
    <w:rsid w:val="00175FC8"/>
    <w:rsid w:val="00177002"/>
    <w:rsid w:val="001777A4"/>
    <w:rsid w:val="001804D3"/>
    <w:rsid w:val="00183AFA"/>
    <w:rsid w:val="00183D5C"/>
    <w:rsid w:val="00184174"/>
    <w:rsid w:val="00184B02"/>
    <w:rsid w:val="001851FE"/>
    <w:rsid w:val="001855BC"/>
    <w:rsid w:val="001866FC"/>
    <w:rsid w:val="00190944"/>
    <w:rsid w:val="00190CDF"/>
    <w:rsid w:val="00190F8D"/>
    <w:rsid w:val="0019364D"/>
    <w:rsid w:val="00194FF2"/>
    <w:rsid w:val="001978A0"/>
    <w:rsid w:val="001A080D"/>
    <w:rsid w:val="001A1825"/>
    <w:rsid w:val="001A18B0"/>
    <w:rsid w:val="001A42FF"/>
    <w:rsid w:val="001A5699"/>
    <w:rsid w:val="001B06E6"/>
    <w:rsid w:val="001B371C"/>
    <w:rsid w:val="001B3A44"/>
    <w:rsid w:val="001B584B"/>
    <w:rsid w:val="001B5FA8"/>
    <w:rsid w:val="001C2763"/>
    <w:rsid w:val="001C2C68"/>
    <w:rsid w:val="001C342D"/>
    <w:rsid w:val="001C41BB"/>
    <w:rsid w:val="001C566F"/>
    <w:rsid w:val="001C65BF"/>
    <w:rsid w:val="001C7370"/>
    <w:rsid w:val="001C77F0"/>
    <w:rsid w:val="001D0150"/>
    <w:rsid w:val="001D13E5"/>
    <w:rsid w:val="001D2107"/>
    <w:rsid w:val="001D36E7"/>
    <w:rsid w:val="001D37D1"/>
    <w:rsid w:val="001D420E"/>
    <w:rsid w:val="001D5B02"/>
    <w:rsid w:val="001D6465"/>
    <w:rsid w:val="001D7073"/>
    <w:rsid w:val="001D7474"/>
    <w:rsid w:val="001D7513"/>
    <w:rsid w:val="001E181B"/>
    <w:rsid w:val="001E2682"/>
    <w:rsid w:val="001E2E49"/>
    <w:rsid w:val="001E3320"/>
    <w:rsid w:val="001E349F"/>
    <w:rsid w:val="001E44F8"/>
    <w:rsid w:val="001E495B"/>
    <w:rsid w:val="001E514D"/>
    <w:rsid w:val="001E7126"/>
    <w:rsid w:val="001E72E4"/>
    <w:rsid w:val="001E7D73"/>
    <w:rsid w:val="001F0FFC"/>
    <w:rsid w:val="001F12E3"/>
    <w:rsid w:val="001F1554"/>
    <w:rsid w:val="001F1CCF"/>
    <w:rsid w:val="001F2DE9"/>
    <w:rsid w:val="001F4A7A"/>
    <w:rsid w:val="001F4E3D"/>
    <w:rsid w:val="001F5399"/>
    <w:rsid w:val="001F5841"/>
    <w:rsid w:val="001F7023"/>
    <w:rsid w:val="001F729E"/>
    <w:rsid w:val="001F7B1D"/>
    <w:rsid w:val="001F7BC7"/>
    <w:rsid w:val="00200BCB"/>
    <w:rsid w:val="00201554"/>
    <w:rsid w:val="00201E79"/>
    <w:rsid w:val="00202302"/>
    <w:rsid w:val="002034A9"/>
    <w:rsid w:val="00204FB4"/>
    <w:rsid w:val="00205844"/>
    <w:rsid w:val="00206F72"/>
    <w:rsid w:val="002076D8"/>
    <w:rsid w:val="0021038D"/>
    <w:rsid w:val="002106DF"/>
    <w:rsid w:val="00211E95"/>
    <w:rsid w:val="00212579"/>
    <w:rsid w:val="00212782"/>
    <w:rsid w:val="00213402"/>
    <w:rsid w:val="002136B9"/>
    <w:rsid w:val="00214268"/>
    <w:rsid w:val="00214914"/>
    <w:rsid w:val="00214B5E"/>
    <w:rsid w:val="00215BC7"/>
    <w:rsid w:val="002176BD"/>
    <w:rsid w:val="00217A5A"/>
    <w:rsid w:val="00220425"/>
    <w:rsid w:val="00224895"/>
    <w:rsid w:val="0022537C"/>
    <w:rsid w:val="0022637C"/>
    <w:rsid w:val="0022673E"/>
    <w:rsid w:val="002270D8"/>
    <w:rsid w:val="00227B47"/>
    <w:rsid w:val="00232635"/>
    <w:rsid w:val="002334DD"/>
    <w:rsid w:val="002343A8"/>
    <w:rsid w:val="00235DBE"/>
    <w:rsid w:val="00236258"/>
    <w:rsid w:val="00236A94"/>
    <w:rsid w:val="0023713A"/>
    <w:rsid w:val="002372CB"/>
    <w:rsid w:val="002427A5"/>
    <w:rsid w:val="00242C10"/>
    <w:rsid w:val="00242F55"/>
    <w:rsid w:val="00244CF8"/>
    <w:rsid w:val="00245261"/>
    <w:rsid w:val="00245B1A"/>
    <w:rsid w:val="00247A3C"/>
    <w:rsid w:val="0025111C"/>
    <w:rsid w:val="00251690"/>
    <w:rsid w:val="00253E19"/>
    <w:rsid w:val="002561CB"/>
    <w:rsid w:val="00256FE3"/>
    <w:rsid w:val="00263C3E"/>
    <w:rsid w:val="00265553"/>
    <w:rsid w:val="00265568"/>
    <w:rsid w:val="002655E5"/>
    <w:rsid w:val="002663FD"/>
    <w:rsid w:val="00267F48"/>
    <w:rsid w:val="00270A75"/>
    <w:rsid w:val="00270E2B"/>
    <w:rsid w:val="002714F9"/>
    <w:rsid w:val="002729B4"/>
    <w:rsid w:val="002755D9"/>
    <w:rsid w:val="00275745"/>
    <w:rsid w:val="0027649A"/>
    <w:rsid w:val="002769F8"/>
    <w:rsid w:val="00277FED"/>
    <w:rsid w:val="002804E5"/>
    <w:rsid w:val="0028053F"/>
    <w:rsid w:val="00282242"/>
    <w:rsid w:val="002829BC"/>
    <w:rsid w:val="00282C5D"/>
    <w:rsid w:val="002836D7"/>
    <w:rsid w:val="00284401"/>
    <w:rsid w:val="00284764"/>
    <w:rsid w:val="002847DE"/>
    <w:rsid w:val="0028498B"/>
    <w:rsid w:val="00287B00"/>
    <w:rsid w:val="00287D00"/>
    <w:rsid w:val="0029215C"/>
    <w:rsid w:val="00295671"/>
    <w:rsid w:val="00295E9A"/>
    <w:rsid w:val="0029623C"/>
    <w:rsid w:val="0029624E"/>
    <w:rsid w:val="002A018C"/>
    <w:rsid w:val="002A037D"/>
    <w:rsid w:val="002A07A9"/>
    <w:rsid w:val="002A16BA"/>
    <w:rsid w:val="002A20F3"/>
    <w:rsid w:val="002A2C66"/>
    <w:rsid w:val="002A40B6"/>
    <w:rsid w:val="002A738E"/>
    <w:rsid w:val="002A7C37"/>
    <w:rsid w:val="002B2172"/>
    <w:rsid w:val="002B2A1B"/>
    <w:rsid w:val="002B3C10"/>
    <w:rsid w:val="002B4A1A"/>
    <w:rsid w:val="002C00A1"/>
    <w:rsid w:val="002C0F1D"/>
    <w:rsid w:val="002C16BE"/>
    <w:rsid w:val="002C4AF2"/>
    <w:rsid w:val="002C4CC7"/>
    <w:rsid w:val="002C4E2F"/>
    <w:rsid w:val="002C542E"/>
    <w:rsid w:val="002C57C6"/>
    <w:rsid w:val="002C5C24"/>
    <w:rsid w:val="002C64BB"/>
    <w:rsid w:val="002C7A07"/>
    <w:rsid w:val="002D0856"/>
    <w:rsid w:val="002D0F16"/>
    <w:rsid w:val="002D1797"/>
    <w:rsid w:val="002D4002"/>
    <w:rsid w:val="002D4D2D"/>
    <w:rsid w:val="002E1F54"/>
    <w:rsid w:val="002E3A79"/>
    <w:rsid w:val="002E526F"/>
    <w:rsid w:val="002E6C96"/>
    <w:rsid w:val="002F1503"/>
    <w:rsid w:val="002F2245"/>
    <w:rsid w:val="002F26B4"/>
    <w:rsid w:val="002F2D70"/>
    <w:rsid w:val="002F3163"/>
    <w:rsid w:val="002F63B2"/>
    <w:rsid w:val="0030250D"/>
    <w:rsid w:val="00302EDD"/>
    <w:rsid w:val="00303768"/>
    <w:rsid w:val="003061DC"/>
    <w:rsid w:val="00306FF4"/>
    <w:rsid w:val="003079ED"/>
    <w:rsid w:val="00310007"/>
    <w:rsid w:val="00310C5C"/>
    <w:rsid w:val="00311EFF"/>
    <w:rsid w:val="003122C3"/>
    <w:rsid w:val="00312D61"/>
    <w:rsid w:val="00314264"/>
    <w:rsid w:val="003142E3"/>
    <w:rsid w:val="0031652F"/>
    <w:rsid w:val="003172DB"/>
    <w:rsid w:val="0031731B"/>
    <w:rsid w:val="00320281"/>
    <w:rsid w:val="0032176F"/>
    <w:rsid w:val="00321D78"/>
    <w:rsid w:val="0032280F"/>
    <w:rsid w:val="0032324A"/>
    <w:rsid w:val="0032427F"/>
    <w:rsid w:val="0032487F"/>
    <w:rsid w:val="00324C51"/>
    <w:rsid w:val="00326195"/>
    <w:rsid w:val="0032630C"/>
    <w:rsid w:val="00326678"/>
    <w:rsid w:val="003279ED"/>
    <w:rsid w:val="00327CFB"/>
    <w:rsid w:val="00330240"/>
    <w:rsid w:val="00330F33"/>
    <w:rsid w:val="00334DFF"/>
    <w:rsid w:val="00334E27"/>
    <w:rsid w:val="0033649B"/>
    <w:rsid w:val="00336634"/>
    <w:rsid w:val="0034184B"/>
    <w:rsid w:val="00344A74"/>
    <w:rsid w:val="00351F12"/>
    <w:rsid w:val="003521D3"/>
    <w:rsid w:val="00354009"/>
    <w:rsid w:val="003569A9"/>
    <w:rsid w:val="00357BC6"/>
    <w:rsid w:val="00357CFF"/>
    <w:rsid w:val="00357ECA"/>
    <w:rsid w:val="00360632"/>
    <w:rsid w:val="00362359"/>
    <w:rsid w:val="003645F9"/>
    <w:rsid w:val="00364AAB"/>
    <w:rsid w:val="00370403"/>
    <w:rsid w:val="00370A07"/>
    <w:rsid w:val="00370C4D"/>
    <w:rsid w:val="00370FEE"/>
    <w:rsid w:val="003712A7"/>
    <w:rsid w:val="00375ACF"/>
    <w:rsid w:val="00375EB0"/>
    <w:rsid w:val="003771C7"/>
    <w:rsid w:val="003776CD"/>
    <w:rsid w:val="003777B5"/>
    <w:rsid w:val="00377868"/>
    <w:rsid w:val="003800CF"/>
    <w:rsid w:val="0038057D"/>
    <w:rsid w:val="00382D1A"/>
    <w:rsid w:val="00382EE8"/>
    <w:rsid w:val="003856F4"/>
    <w:rsid w:val="00385A29"/>
    <w:rsid w:val="00385C7B"/>
    <w:rsid w:val="003864E6"/>
    <w:rsid w:val="00390C2E"/>
    <w:rsid w:val="0039364A"/>
    <w:rsid w:val="003967B5"/>
    <w:rsid w:val="00396FCD"/>
    <w:rsid w:val="003A1AFE"/>
    <w:rsid w:val="003A1B40"/>
    <w:rsid w:val="003A488B"/>
    <w:rsid w:val="003A4C32"/>
    <w:rsid w:val="003A5499"/>
    <w:rsid w:val="003A7596"/>
    <w:rsid w:val="003B1061"/>
    <w:rsid w:val="003B1DCA"/>
    <w:rsid w:val="003B2008"/>
    <w:rsid w:val="003B2D0B"/>
    <w:rsid w:val="003B42D2"/>
    <w:rsid w:val="003B44F9"/>
    <w:rsid w:val="003B5340"/>
    <w:rsid w:val="003B61AA"/>
    <w:rsid w:val="003C09C5"/>
    <w:rsid w:val="003C15C6"/>
    <w:rsid w:val="003C16BF"/>
    <w:rsid w:val="003C22D7"/>
    <w:rsid w:val="003C267D"/>
    <w:rsid w:val="003C2891"/>
    <w:rsid w:val="003C65A1"/>
    <w:rsid w:val="003D1EFE"/>
    <w:rsid w:val="003D3279"/>
    <w:rsid w:val="003D3CC0"/>
    <w:rsid w:val="003D4202"/>
    <w:rsid w:val="003D44CE"/>
    <w:rsid w:val="003D4627"/>
    <w:rsid w:val="003D6A00"/>
    <w:rsid w:val="003E0AEA"/>
    <w:rsid w:val="003E1EED"/>
    <w:rsid w:val="003E3299"/>
    <w:rsid w:val="003E4033"/>
    <w:rsid w:val="003E5C0F"/>
    <w:rsid w:val="003E774E"/>
    <w:rsid w:val="003F00A9"/>
    <w:rsid w:val="003F1276"/>
    <w:rsid w:val="003F48CF"/>
    <w:rsid w:val="003F4E89"/>
    <w:rsid w:val="003F62A8"/>
    <w:rsid w:val="003F6BFA"/>
    <w:rsid w:val="00400651"/>
    <w:rsid w:val="004017B2"/>
    <w:rsid w:val="00401813"/>
    <w:rsid w:val="004040C3"/>
    <w:rsid w:val="004048F5"/>
    <w:rsid w:val="00405BD8"/>
    <w:rsid w:val="00406AC1"/>
    <w:rsid w:val="0040718F"/>
    <w:rsid w:val="00407C84"/>
    <w:rsid w:val="00411A1B"/>
    <w:rsid w:val="004126A2"/>
    <w:rsid w:val="00414976"/>
    <w:rsid w:val="00416A4B"/>
    <w:rsid w:val="00417BAD"/>
    <w:rsid w:val="00417F6E"/>
    <w:rsid w:val="004230CD"/>
    <w:rsid w:val="00423F84"/>
    <w:rsid w:val="00424382"/>
    <w:rsid w:val="00425011"/>
    <w:rsid w:val="0042530D"/>
    <w:rsid w:val="00430276"/>
    <w:rsid w:val="00430AA7"/>
    <w:rsid w:val="00431236"/>
    <w:rsid w:val="004316F0"/>
    <w:rsid w:val="00431C38"/>
    <w:rsid w:val="00432B76"/>
    <w:rsid w:val="0043384F"/>
    <w:rsid w:val="00433A75"/>
    <w:rsid w:val="00434406"/>
    <w:rsid w:val="00435806"/>
    <w:rsid w:val="004360BE"/>
    <w:rsid w:val="00437803"/>
    <w:rsid w:val="004426B4"/>
    <w:rsid w:val="004435E3"/>
    <w:rsid w:val="00443C08"/>
    <w:rsid w:val="00443D50"/>
    <w:rsid w:val="004445A3"/>
    <w:rsid w:val="0044498D"/>
    <w:rsid w:val="00444FC5"/>
    <w:rsid w:val="00445C96"/>
    <w:rsid w:val="00445D9F"/>
    <w:rsid w:val="00447743"/>
    <w:rsid w:val="00450756"/>
    <w:rsid w:val="00450CEA"/>
    <w:rsid w:val="0045146C"/>
    <w:rsid w:val="00451A8A"/>
    <w:rsid w:val="00451AAD"/>
    <w:rsid w:val="0045499E"/>
    <w:rsid w:val="0045586B"/>
    <w:rsid w:val="004574B5"/>
    <w:rsid w:val="00457E4E"/>
    <w:rsid w:val="004623F2"/>
    <w:rsid w:val="00462ED3"/>
    <w:rsid w:val="00464333"/>
    <w:rsid w:val="004647F0"/>
    <w:rsid w:val="004656BC"/>
    <w:rsid w:val="0046651A"/>
    <w:rsid w:val="0047041F"/>
    <w:rsid w:val="00476131"/>
    <w:rsid w:val="00476E22"/>
    <w:rsid w:val="00477AED"/>
    <w:rsid w:val="00480684"/>
    <w:rsid w:val="004834F0"/>
    <w:rsid w:val="00483EC5"/>
    <w:rsid w:val="0048406B"/>
    <w:rsid w:val="0048730C"/>
    <w:rsid w:val="0048774D"/>
    <w:rsid w:val="00490AAE"/>
    <w:rsid w:val="00491A9B"/>
    <w:rsid w:val="00492020"/>
    <w:rsid w:val="004922EF"/>
    <w:rsid w:val="00492E7A"/>
    <w:rsid w:val="004931A5"/>
    <w:rsid w:val="00494926"/>
    <w:rsid w:val="004950F8"/>
    <w:rsid w:val="00496A92"/>
    <w:rsid w:val="00497044"/>
    <w:rsid w:val="00497231"/>
    <w:rsid w:val="004A045A"/>
    <w:rsid w:val="004A1A4D"/>
    <w:rsid w:val="004A21DB"/>
    <w:rsid w:val="004A5DBE"/>
    <w:rsid w:val="004B0D97"/>
    <w:rsid w:val="004B130D"/>
    <w:rsid w:val="004B2DAB"/>
    <w:rsid w:val="004B5355"/>
    <w:rsid w:val="004B5B3E"/>
    <w:rsid w:val="004B6E05"/>
    <w:rsid w:val="004B7166"/>
    <w:rsid w:val="004C548E"/>
    <w:rsid w:val="004C6ADE"/>
    <w:rsid w:val="004C74E9"/>
    <w:rsid w:val="004D1A55"/>
    <w:rsid w:val="004D1FAD"/>
    <w:rsid w:val="004D2CC0"/>
    <w:rsid w:val="004D2E16"/>
    <w:rsid w:val="004D34F7"/>
    <w:rsid w:val="004D4272"/>
    <w:rsid w:val="004D4EE0"/>
    <w:rsid w:val="004D626D"/>
    <w:rsid w:val="004D6586"/>
    <w:rsid w:val="004D6ECD"/>
    <w:rsid w:val="004D764F"/>
    <w:rsid w:val="004E0098"/>
    <w:rsid w:val="004E085E"/>
    <w:rsid w:val="004E0CE7"/>
    <w:rsid w:val="004E0D77"/>
    <w:rsid w:val="004E115D"/>
    <w:rsid w:val="004E324B"/>
    <w:rsid w:val="004E5018"/>
    <w:rsid w:val="004E78AD"/>
    <w:rsid w:val="004F0543"/>
    <w:rsid w:val="004F10AB"/>
    <w:rsid w:val="004F4BDC"/>
    <w:rsid w:val="004F54AE"/>
    <w:rsid w:val="004F7F5D"/>
    <w:rsid w:val="0050008F"/>
    <w:rsid w:val="00501199"/>
    <w:rsid w:val="005020BC"/>
    <w:rsid w:val="005029B2"/>
    <w:rsid w:val="00502B3A"/>
    <w:rsid w:val="00502D9E"/>
    <w:rsid w:val="005033DB"/>
    <w:rsid w:val="005047E6"/>
    <w:rsid w:val="00505041"/>
    <w:rsid w:val="00505D2D"/>
    <w:rsid w:val="00506253"/>
    <w:rsid w:val="00507586"/>
    <w:rsid w:val="00510883"/>
    <w:rsid w:val="00510A73"/>
    <w:rsid w:val="00510E16"/>
    <w:rsid w:val="00511C6E"/>
    <w:rsid w:val="0051280A"/>
    <w:rsid w:val="00513359"/>
    <w:rsid w:val="005150C1"/>
    <w:rsid w:val="005204CE"/>
    <w:rsid w:val="00521326"/>
    <w:rsid w:val="005225E0"/>
    <w:rsid w:val="00524360"/>
    <w:rsid w:val="00524F9F"/>
    <w:rsid w:val="00530A3C"/>
    <w:rsid w:val="00530B9F"/>
    <w:rsid w:val="0053582F"/>
    <w:rsid w:val="0053586E"/>
    <w:rsid w:val="00537BE1"/>
    <w:rsid w:val="0054145E"/>
    <w:rsid w:val="00542345"/>
    <w:rsid w:val="005431B9"/>
    <w:rsid w:val="005438B0"/>
    <w:rsid w:val="00544773"/>
    <w:rsid w:val="00545103"/>
    <w:rsid w:val="005470D4"/>
    <w:rsid w:val="00547ED5"/>
    <w:rsid w:val="00551589"/>
    <w:rsid w:val="005600E7"/>
    <w:rsid w:val="00560478"/>
    <w:rsid w:val="00560CD9"/>
    <w:rsid w:val="005629A0"/>
    <w:rsid w:val="00566F35"/>
    <w:rsid w:val="00570C1B"/>
    <w:rsid w:val="00572FD8"/>
    <w:rsid w:val="00573377"/>
    <w:rsid w:val="005748A8"/>
    <w:rsid w:val="00574EAC"/>
    <w:rsid w:val="00575EF2"/>
    <w:rsid w:val="005769BD"/>
    <w:rsid w:val="0058118D"/>
    <w:rsid w:val="005824BD"/>
    <w:rsid w:val="00583962"/>
    <w:rsid w:val="0058588C"/>
    <w:rsid w:val="00586424"/>
    <w:rsid w:val="005947A9"/>
    <w:rsid w:val="005A11A1"/>
    <w:rsid w:val="005A2246"/>
    <w:rsid w:val="005A3A4D"/>
    <w:rsid w:val="005A3B33"/>
    <w:rsid w:val="005A5AE7"/>
    <w:rsid w:val="005A611C"/>
    <w:rsid w:val="005A617F"/>
    <w:rsid w:val="005B0EEA"/>
    <w:rsid w:val="005B0FF1"/>
    <w:rsid w:val="005B19D9"/>
    <w:rsid w:val="005B22EB"/>
    <w:rsid w:val="005B35F3"/>
    <w:rsid w:val="005B3B05"/>
    <w:rsid w:val="005B40EC"/>
    <w:rsid w:val="005B6518"/>
    <w:rsid w:val="005B67B3"/>
    <w:rsid w:val="005C00FE"/>
    <w:rsid w:val="005C08B0"/>
    <w:rsid w:val="005C1B9B"/>
    <w:rsid w:val="005C2F2D"/>
    <w:rsid w:val="005C33D9"/>
    <w:rsid w:val="005C4B8A"/>
    <w:rsid w:val="005C51D9"/>
    <w:rsid w:val="005C6245"/>
    <w:rsid w:val="005C6EB6"/>
    <w:rsid w:val="005D00FB"/>
    <w:rsid w:val="005D0E8C"/>
    <w:rsid w:val="005D1F23"/>
    <w:rsid w:val="005D2580"/>
    <w:rsid w:val="005D27F8"/>
    <w:rsid w:val="005D2979"/>
    <w:rsid w:val="005D3C96"/>
    <w:rsid w:val="005D4126"/>
    <w:rsid w:val="005D5858"/>
    <w:rsid w:val="005D601F"/>
    <w:rsid w:val="005D72F5"/>
    <w:rsid w:val="005D7F3E"/>
    <w:rsid w:val="005E0D21"/>
    <w:rsid w:val="005E2717"/>
    <w:rsid w:val="005E458B"/>
    <w:rsid w:val="005E49F0"/>
    <w:rsid w:val="005E64E2"/>
    <w:rsid w:val="005E67C0"/>
    <w:rsid w:val="005E77BF"/>
    <w:rsid w:val="005F0C29"/>
    <w:rsid w:val="005F0FF9"/>
    <w:rsid w:val="005F26AF"/>
    <w:rsid w:val="005F6244"/>
    <w:rsid w:val="005F63C3"/>
    <w:rsid w:val="005F69B2"/>
    <w:rsid w:val="005F7787"/>
    <w:rsid w:val="005F7E5E"/>
    <w:rsid w:val="00602C2B"/>
    <w:rsid w:val="0060593A"/>
    <w:rsid w:val="00607E5C"/>
    <w:rsid w:val="00610889"/>
    <w:rsid w:val="00610D70"/>
    <w:rsid w:val="00611B7A"/>
    <w:rsid w:val="0061333E"/>
    <w:rsid w:val="0061365F"/>
    <w:rsid w:val="006138F0"/>
    <w:rsid w:val="00613D1F"/>
    <w:rsid w:val="0061410A"/>
    <w:rsid w:val="006145E6"/>
    <w:rsid w:val="0061732D"/>
    <w:rsid w:val="00625B95"/>
    <w:rsid w:val="0062628E"/>
    <w:rsid w:val="0062671A"/>
    <w:rsid w:val="006268DA"/>
    <w:rsid w:val="006277D9"/>
    <w:rsid w:val="006279B9"/>
    <w:rsid w:val="00631D5B"/>
    <w:rsid w:val="00631DB2"/>
    <w:rsid w:val="00632221"/>
    <w:rsid w:val="006324E3"/>
    <w:rsid w:val="00632CF6"/>
    <w:rsid w:val="00636F71"/>
    <w:rsid w:val="0063715C"/>
    <w:rsid w:val="00637DF8"/>
    <w:rsid w:val="0064012D"/>
    <w:rsid w:val="00641831"/>
    <w:rsid w:val="00642408"/>
    <w:rsid w:val="0064287A"/>
    <w:rsid w:val="00642AA7"/>
    <w:rsid w:val="00643113"/>
    <w:rsid w:val="006432C9"/>
    <w:rsid w:val="006439C5"/>
    <w:rsid w:val="00643F5D"/>
    <w:rsid w:val="0064483B"/>
    <w:rsid w:val="00644A1E"/>
    <w:rsid w:val="00644A63"/>
    <w:rsid w:val="00645147"/>
    <w:rsid w:val="00646879"/>
    <w:rsid w:val="00647318"/>
    <w:rsid w:val="0064747F"/>
    <w:rsid w:val="00647792"/>
    <w:rsid w:val="00650BB3"/>
    <w:rsid w:val="00653968"/>
    <w:rsid w:val="00653B30"/>
    <w:rsid w:val="00653DF4"/>
    <w:rsid w:val="006549E3"/>
    <w:rsid w:val="00654A8F"/>
    <w:rsid w:val="00655938"/>
    <w:rsid w:val="00655B95"/>
    <w:rsid w:val="00657B23"/>
    <w:rsid w:val="00661E32"/>
    <w:rsid w:val="00663306"/>
    <w:rsid w:val="00666235"/>
    <w:rsid w:val="006668BE"/>
    <w:rsid w:val="0067008D"/>
    <w:rsid w:val="0067066F"/>
    <w:rsid w:val="00670BB4"/>
    <w:rsid w:val="006761BB"/>
    <w:rsid w:val="0067693E"/>
    <w:rsid w:val="00680AE4"/>
    <w:rsid w:val="00680E36"/>
    <w:rsid w:val="00681022"/>
    <w:rsid w:val="006813D8"/>
    <w:rsid w:val="00681AD9"/>
    <w:rsid w:val="006825C1"/>
    <w:rsid w:val="0068354F"/>
    <w:rsid w:val="0069267E"/>
    <w:rsid w:val="00692908"/>
    <w:rsid w:val="00693FB8"/>
    <w:rsid w:val="00694B4D"/>
    <w:rsid w:val="00694F52"/>
    <w:rsid w:val="00695471"/>
    <w:rsid w:val="006A0C4F"/>
    <w:rsid w:val="006A0DEA"/>
    <w:rsid w:val="006A201E"/>
    <w:rsid w:val="006A308B"/>
    <w:rsid w:val="006A51CC"/>
    <w:rsid w:val="006B0633"/>
    <w:rsid w:val="006B1AFE"/>
    <w:rsid w:val="006B3CCF"/>
    <w:rsid w:val="006B5B6C"/>
    <w:rsid w:val="006B6C5D"/>
    <w:rsid w:val="006C122C"/>
    <w:rsid w:val="006C169A"/>
    <w:rsid w:val="006C1ABC"/>
    <w:rsid w:val="006C35FC"/>
    <w:rsid w:val="006C3EE6"/>
    <w:rsid w:val="006C49A7"/>
    <w:rsid w:val="006D02FD"/>
    <w:rsid w:val="006D1DD6"/>
    <w:rsid w:val="006D209A"/>
    <w:rsid w:val="006D32A0"/>
    <w:rsid w:val="006D40AC"/>
    <w:rsid w:val="006D419B"/>
    <w:rsid w:val="006D48CF"/>
    <w:rsid w:val="006D507A"/>
    <w:rsid w:val="006D5AD4"/>
    <w:rsid w:val="006D5EB5"/>
    <w:rsid w:val="006E07BA"/>
    <w:rsid w:val="006E09D6"/>
    <w:rsid w:val="006E116C"/>
    <w:rsid w:val="006E2065"/>
    <w:rsid w:val="006E7998"/>
    <w:rsid w:val="006F0FC6"/>
    <w:rsid w:val="006F1912"/>
    <w:rsid w:val="006F2CD8"/>
    <w:rsid w:val="006F469E"/>
    <w:rsid w:val="006F49E7"/>
    <w:rsid w:val="006F4B75"/>
    <w:rsid w:val="006F5E82"/>
    <w:rsid w:val="006F615A"/>
    <w:rsid w:val="006F6CBE"/>
    <w:rsid w:val="006F78AE"/>
    <w:rsid w:val="00700983"/>
    <w:rsid w:val="007011B6"/>
    <w:rsid w:val="007014CD"/>
    <w:rsid w:val="0070188F"/>
    <w:rsid w:val="007038BC"/>
    <w:rsid w:val="00707FAA"/>
    <w:rsid w:val="00707FBD"/>
    <w:rsid w:val="00711A8A"/>
    <w:rsid w:val="00712535"/>
    <w:rsid w:val="00713427"/>
    <w:rsid w:val="007135FC"/>
    <w:rsid w:val="00713C66"/>
    <w:rsid w:val="00715A66"/>
    <w:rsid w:val="0071724C"/>
    <w:rsid w:val="007201BD"/>
    <w:rsid w:val="00720250"/>
    <w:rsid w:val="00721715"/>
    <w:rsid w:val="007224AF"/>
    <w:rsid w:val="0072403D"/>
    <w:rsid w:val="00724E7C"/>
    <w:rsid w:val="00725F5E"/>
    <w:rsid w:val="00726531"/>
    <w:rsid w:val="00727B57"/>
    <w:rsid w:val="00731521"/>
    <w:rsid w:val="00731C9B"/>
    <w:rsid w:val="00732DA5"/>
    <w:rsid w:val="00734701"/>
    <w:rsid w:val="00734A5C"/>
    <w:rsid w:val="00734C55"/>
    <w:rsid w:val="007360F8"/>
    <w:rsid w:val="0074084C"/>
    <w:rsid w:val="00741EA6"/>
    <w:rsid w:val="0074205B"/>
    <w:rsid w:val="007442F6"/>
    <w:rsid w:val="007468E9"/>
    <w:rsid w:val="007475CB"/>
    <w:rsid w:val="007504CD"/>
    <w:rsid w:val="0075142F"/>
    <w:rsid w:val="00751F72"/>
    <w:rsid w:val="00752DC5"/>
    <w:rsid w:val="007531E4"/>
    <w:rsid w:val="0075460E"/>
    <w:rsid w:val="00755D4C"/>
    <w:rsid w:val="00757AAC"/>
    <w:rsid w:val="00760406"/>
    <w:rsid w:val="00760788"/>
    <w:rsid w:val="00761147"/>
    <w:rsid w:val="00761711"/>
    <w:rsid w:val="00761E4E"/>
    <w:rsid w:val="007635D7"/>
    <w:rsid w:val="0076407C"/>
    <w:rsid w:val="00765445"/>
    <w:rsid w:val="007672BB"/>
    <w:rsid w:val="00767713"/>
    <w:rsid w:val="0077111C"/>
    <w:rsid w:val="007715F2"/>
    <w:rsid w:val="0077169A"/>
    <w:rsid w:val="0077267F"/>
    <w:rsid w:val="00773A17"/>
    <w:rsid w:val="00773D8B"/>
    <w:rsid w:val="00775433"/>
    <w:rsid w:val="00775CAF"/>
    <w:rsid w:val="00776789"/>
    <w:rsid w:val="00777594"/>
    <w:rsid w:val="00777AEF"/>
    <w:rsid w:val="00780731"/>
    <w:rsid w:val="00782733"/>
    <w:rsid w:val="00783CD4"/>
    <w:rsid w:val="007908BD"/>
    <w:rsid w:val="0079216E"/>
    <w:rsid w:val="00792837"/>
    <w:rsid w:val="00792F4E"/>
    <w:rsid w:val="00793512"/>
    <w:rsid w:val="00793D58"/>
    <w:rsid w:val="00794EEB"/>
    <w:rsid w:val="00796867"/>
    <w:rsid w:val="00797437"/>
    <w:rsid w:val="007A0B34"/>
    <w:rsid w:val="007A0DBE"/>
    <w:rsid w:val="007A10D2"/>
    <w:rsid w:val="007A1767"/>
    <w:rsid w:val="007A28DD"/>
    <w:rsid w:val="007A3181"/>
    <w:rsid w:val="007A5AC1"/>
    <w:rsid w:val="007A5FB1"/>
    <w:rsid w:val="007A79C7"/>
    <w:rsid w:val="007B1D6E"/>
    <w:rsid w:val="007B25E9"/>
    <w:rsid w:val="007B3734"/>
    <w:rsid w:val="007B3FC0"/>
    <w:rsid w:val="007B5A28"/>
    <w:rsid w:val="007B70AD"/>
    <w:rsid w:val="007C1995"/>
    <w:rsid w:val="007C1F6A"/>
    <w:rsid w:val="007C27FB"/>
    <w:rsid w:val="007C379C"/>
    <w:rsid w:val="007C462A"/>
    <w:rsid w:val="007C47CA"/>
    <w:rsid w:val="007C7030"/>
    <w:rsid w:val="007C7A46"/>
    <w:rsid w:val="007D2341"/>
    <w:rsid w:val="007D2AD4"/>
    <w:rsid w:val="007D3E14"/>
    <w:rsid w:val="007D4168"/>
    <w:rsid w:val="007D4953"/>
    <w:rsid w:val="007E7D29"/>
    <w:rsid w:val="007F13C1"/>
    <w:rsid w:val="007F13F2"/>
    <w:rsid w:val="007F39BB"/>
    <w:rsid w:val="007F3B7C"/>
    <w:rsid w:val="007F3C9B"/>
    <w:rsid w:val="007F3FEB"/>
    <w:rsid w:val="00802F39"/>
    <w:rsid w:val="008063E6"/>
    <w:rsid w:val="00806989"/>
    <w:rsid w:val="00806C7C"/>
    <w:rsid w:val="00807438"/>
    <w:rsid w:val="00810D9B"/>
    <w:rsid w:val="0081114C"/>
    <w:rsid w:val="00812C6D"/>
    <w:rsid w:val="00813308"/>
    <w:rsid w:val="00813BDA"/>
    <w:rsid w:val="008151D2"/>
    <w:rsid w:val="0081589C"/>
    <w:rsid w:val="00817A10"/>
    <w:rsid w:val="00820175"/>
    <w:rsid w:val="00820839"/>
    <w:rsid w:val="00820FBB"/>
    <w:rsid w:val="008221DF"/>
    <w:rsid w:val="008270C6"/>
    <w:rsid w:val="008275A8"/>
    <w:rsid w:val="00827E73"/>
    <w:rsid w:val="00830B62"/>
    <w:rsid w:val="00830C93"/>
    <w:rsid w:val="00830FDA"/>
    <w:rsid w:val="008312F9"/>
    <w:rsid w:val="00832402"/>
    <w:rsid w:val="00833C00"/>
    <w:rsid w:val="00833C34"/>
    <w:rsid w:val="008343C5"/>
    <w:rsid w:val="00835D87"/>
    <w:rsid w:val="0083655C"/>
    <w:rsid w:val="00836718"/>
    <w:rsid w:val="00837B95"/>
    <w:rsid w:val="00841E4C"/>
    <w:rsid w:val="0084215B"/>
    <w:rsid w:val="00843A6D"/>
    <w:rsid w:val="00844C00"/>
    <w:rsid w:val="00844C47"/>
    <w:rsid w:val="0084500C"/>
    <w:rsid w:val="00845815"/>
    <w:rsid w:val="00845A54"/>
    <w:rsid w:val="0084623F"/>
    <w:rsid w:val="008469D3"/>
    <w:rsid w:val="0084758E"/>
    <w:rsid w:val="008505DA"/>
    <w:rsid w:val="00852673"/>
    <w:rsid w:val="008549A0"/>
    <w:rsid w:val="00856A3C"/>
    <w:rsid w:val="00856B55"/>
    <w:rsid w:val="008611BF"/>
    <w:rsid w:val="0086495E"/>
    <w:rsid w:val="00865CE6"/>
    <w:rsid w:val="00866E5B"/>
    <w:rsid w:val="0086705F"/>
    <w:rsid w:val="00867DEE"/>
    <w:rsid w:val="0087023B"/>
    <w:rsid w:val="00870486"/>
    <w:rsid w:val="00870A3F"/>
    <w:rsid w:val="00874EB4"/>
    <w:rsid w:val="008753B3"/>
    <w:rsid w:val="008758C1"/>
    <w:rsid w:val="00877E97"/>
    <w:rsid w:val="00880210"/>
    <w:rsid w:val="0088079F"/>
    <w:rsid w:val="00881E18"/>
    <w:rsid w:val="00882151"/>
    <w:rsid w:val="0088270D"/>
    <w:rsid w:val="00884819"/>
    <w:rsid w:val="008858AB"/>
    <w:rsid w:val="00885F5C"/>
    <w:rsid w:val="0089048A"/>
    <w:rsid w:val="008914E6"/>
    <w:rsid w:val="0089158B"/>
    <w:rsid w:val="00893320"/>
    <w:rsid w:val="0089335E"/>
    <w:rsid w:val="008945AE"/>
    <w:rsid w:val="008949E0"/>
    <w:rsid w:val="00895516"/>
    <w:rsid w:val="008A2B29"/>
    <w:rsid w:val="008A3594"/>
    <w:rsid w:val="008A3BD9"/>
    <w:rsid w:val="008A49D1"/>
    <w:rsid w:val="008A6F03"/>
    <w:rsid w:val="008A7237"/>
    <w:rsid w:val="008B0385"/>
    <w:rsid w:val="008B135D"/>
    <w:rsid w:val="008B205A"/>
    <w:rsid w:val="008B29F8"/>
    <w:rsid w:val="008B5865"/>
    <w:rsid w:val="008B6FC3"/>
    <w:rsid w:val="008C0820"/>
    <w:rsid w:val="008C1653"/>
    <w:rsid w:val="008C2BC5"/>
    <w:rsid w:val="008C2BEB"/>
    <w:rsid w:val="008C32EA"/>
    <w:rsid w:val="008C51B5"/>
    <w:rsid w:val="008C51CA"/>
    <w:rsid w:val="008C56F9"/>
    <w:rsid w:val="008C628A"/>
    <w:rsid w:val="008C70C5"/>
    <w:rsid w:val="008C73E6"/>
    <w:rsid w:val="008D11CA"/>
    <w:rsid w:val="008D1D0A"/>
    <w:rsid w:val="008D34F0"/>
    <w:rsid w:val="008D5917"/>
    <w:rsid w:val="008D6DC6"/>
    <w:rsid w:val="008D7288"/>
    <w:rsid w:val="008D7843"/>
    <w:rsid w:val="008D7AA2"/>
    <w:rsid w:val="008E1CF4"/>
    <w:rsid w:val="008E3AE9"/>
    <w:rsid w:val="008E4870"/>
    <w:rsid w:val="008E4EEA"/>
    <w:rsid w:val="008E5BA2"/>
    <w:rsid w:val="008E6170"/>
    <w:rsid w:val="008F0316"/>
    <w:rsid w:val="008F10DA"/>
    <w:rsid w:val="008F1741"/>
    <w:rsid w:val="008F1F85"/>
    <w:rsid w:val="008F2BCD"/>
    <w:rsid w:val="008F37D3"/>
    <w:rsid w:val="00900E1A"/>
    <w:rsid w:val="00903000"/>
    <w:rsid w:val="009030D2"/>
    <w:rsid w:val="009032F9"/>
    <w:rsid w:val="00905619"/>
    <w:rsid w:val="00907B62"/>
    <w:rsid w:val="00910FB0"/>
    <w:rsid w:val="00911980"/>
    <w:rsid w:val="009128A0"/>
    <w:rsid w:val="00912A8A"/>
    <w:rsid w:val="009145CD"/>
    <w:rsid w:val="00914D26"/>
    <w:rsid w:val="00916142"/>
    <w:rsid w:val="0091617E"/>
    <w:rsid w:val="00916533"/>
    <w:rsid w:val="00916C78"/>
    <w:rsid w:val="009171AF"/>
    <w:rsid w:val="00917330"/>
    <w:rsid w:val="00917ED3"/>
    <w:rsid w:val="009204AA"/>
    <w:rsid w:val="0092053F"/>
    <w:rsid w:val="00920DA2"/>
    <w:rsid w:val="0092162F"/>
    <w:rsid w:val="0092349F"/>
    <w:rsid w:val="009247BA"/>
    <w:rsid w:val="00924CD9"/>
    <w:rsid w:val="00927D28"/>
    <w:rsid w:val="00933D1D"/>
    <w:rsid w:val="0093554D"/>
    <w:rsid w:val="00935D6E"/>
    <w:rsid w:val="00936595"/>
    <w:rsid w:val="009400E0"/>
    <w:rsid w:val="00940150"/>
    <w:rsid w:val="00940DA9"/>
    <w:rsid w:val="00941E44"/>
    <w:rsid w:val="0094295F"/>
    <w:rsid w:val="00943DB5"/>
    <w:rsid w:val="00943DE8"/>
    <w:rsid w:val="00944ED5"/>
    <w:rsid w:val="00944FB4"/>
    <w:rsid w:val="009455F2"/>
    <w:rsid w:val="00945950"/>
    <w:rsid w:val="00950149"/>
    <w:rsid w:val="009504DA"/>
    <w:rsid w:val="0095079F"/>
    <w:rsid w:val="00950B9D"/>
    <w:rsid w:val="00954846"/>
    <w:rsid w:val="0095529F"/>
    <w:rsid w:val="0095536D"/>
    <w:rsid w:val="00955C0A"/>
    <w:rsid w:val="00955DC8"/>
    <w:rsid w:val="00955E90"/>
    <w:rsid w:val="00956853"/>
    <w:rsid w:val="00957FE5"/>
    <w:rsid w:val="00961692"/>
    <w:rsid w:val="00961F5B"/>
    <w:rsid w:val="00963B04"/>
    <w:rsid w:val="00964A85"/>
    <w:rsid w:val="0096516A"/>
    <w:rsid w:val="009663D6"/>
    <w:rsid w:val="00966A14"/>
    <w:rsid w:val="00967571"/>
    <w:rsid w:val="00970950"/>
    <w:rsid w:val="0097116F"/>
    <w:rsid w:val="009815B6"/>
    <w:rsid w:val="00981F3D"/>
    <w:rsid w:val="00981FBB"/>
    <w:rsid w:val="00982B22"/>
    <w:rsid w:val="0098310A"/>
    <w:rsid w:val="00983612"/>
    <w:rsid w:val="009858E9"/>
    <w:rsid w:val="0098616F"/>
    <w:rsid w:val="0099008F"/>
    <w:rsid w:val="00990A16"/>
    <w:rsid w:val="00990E34"/>
    <w:rsid w:val="0099357E"/>
    <w:rsid w:val="00994CDA"/>
    <w:rsid w:val="00996151"/>
    <w:rsid w:val="00996EBD"/>
    <w:rsid w:val="00997694"/>
    <w:rsid w:val="00997713"/>
    <w:rsid w:val="00997B92"/>
    <w:rsid w:val="00997C54"/>
    <w:rsid w:val="009A292D"/>
    <w:rsid w:val="009A3D0F"/>
    <w:rsid w:val="009A61BE"/>
    <w:rsid w:val="009A71AF"/>
    <w:rsid w:val="009B0685"/>
    <w:rsid w:val="009B1546"/>
    <w:rsid w:val="009B16AD"/>
    <w:rsid w:val="009B2A01"/>
    <w:rsid w:val="009B2E56"/>
    <w:rsid w:val="009B3197"/>
    <w:rsid w:val="009B385A"/>
    <w:rsid w:val="009B4BE2"/>
    <w:rsid w:val="009B50E4"/>
    <w:rsid w:val="009B5177"/>
    <w:rsid w:val="009B651F"/>
    <w:rsid w:val="009B7422"/>
    <w:rsid w:val="009C067C"/>
    <w:rsid w:val="009C082A"/>
    <w:rsid w:val="009C0F0E"/>
    <w:rsid w:val="009C39E4"/>
    <w:rsid w:val="009C40EF"/>
    <w:rsid w:val="009C4B9E"/>
    <w:rsid w:val="009C5BA8"/>
    <w:rsid w:val="009C66C3"/>
    <w:rsid w:val="009C67CB"/>
    <w:rsid w:val="009D1AC7"/>
    <w:rsid w:val="009D4C7F"/>
    <w:rsid w:val="009D62AC"/>
    <w:rsid w:val="009D71BF"/>
    <w:rsid w:val="009E0348"/>
    <w:rsid w:val="009E25DA"/>
    <w:rsid w:val="009E35D9"/>
    <w:rsid w:val="009E4A1F"/>
    <w:rsid w:val="009E5241"/>
    <w:rsid w:val="009E5A32"/>
    <w:rsid w:val="009E68C6"/>
    <w:rsid w:val="009E77DC"/>
    <w:rsid w:val="009F23C4"/>
    <w:rsid w:val="009F2483"/>
    <w:rsid w:val="009F42CC"/>
    <w:rsid w:val="009F4574"/>
    <w:rsid w:val="009F603E"/>
    <w:rsid w:val="009F6C5C"/>
    <w:rsid w:val="009F75B1"/>
    <w:rsid w:val="009F7F15"/>
    <w:rsid w:val="00A00A3F"/>
    <w:rsid w:val="00A0130D"/>
    <w:rsid w:val="00A01C9D"/>
    <w:rsid w:val="00A03316"/>
    <w:rsid w:val="00A043BB"/>
    <w:rsid w:val="00A0483D"/>
    <w:rsid w:val="00A04EFA"/>
    <w:rsid w:val="00A06706"/>
    <w:rsid w:val="00A06A3E"/>
    <w:rsid w:val="00A076DB"/>
    <w:rsid w:val="00A10891"/>
    <w:rsid w:val="00A109C3"/>
    <w:rsid w:val="00A15DC3"/>
    <w:rsid w:val="00A16ACF"/>
    <w:rsid w:val="00A16BB2"/>
    <w:rsid w:val="00A17472"/>
    <w:rsid w:val="00A2147D"/>
    <w:rsid w:val="00A222CA"/>
    <w:rsid w:val="00A22E43"/>
    <w:rsid w:val="00A250C7"/>
    <w:rsid w:val="00A251CD"/>
    <w:rsid w:val="00A25823"/>
    <w:rsid w:val="00A25D4F"/>
    <w:rsid w:val="00A2601A"/>
    <w:rsid w:val="00A27141"/>
    <w:rsid w:val="00A303D5"/>
    <w:rsid w:val="00A3095F"/>
    <w:rsid w:val="00A310EA"/>
    <w:rsid w:val="00A322AA"/>
    <w:rsid w:val="00A327F6"/>
    <w:rsid w:val="00A34DB9"/>
    <w:rsid w:val="00A35731"/>
    <w:rsid w:val="00A40E31"/>
    <w:rsid w:val="00A444F9"/>
    <w:rsid w:val="00A446F8"/>
    <w:rsid w:val="00A449FC"/>
    <w:rsid w:val="00A44AB6"/>
    <w:rsid w:val="00A46C4A"/>
    <w:rsid w:val="00A479E8"/>
    <w:rsid w:val="00A50FB7"/>
    <w:rsid w:val="00A527AC"/>
    <w:rsid w:val="00A55021"/>
    <w:rsid w:val="00A6009C"/>
    <w:rsid w:val="00A60B49"/>
    <w:rsid w:val="00A611F1"/>
    <w:rsid w:val="00A6165E"/>
    <w:rsid w:val="00A6376F"/>
    <w:rsid w:val="00A648DB"/>
    <w:rsid w:val="00A675D3"/>
    <w:rsid w:val="00A67929"/>
    <w:rsid w:val="00A67F1D"/>
    <w:rsid w:val="00A719DB"/>
    <w:rsid w:val="00A72E1B"/>
    <w:rsid w:val="00A73EA9"/>
    <w:rsid w:val="00A744E9"/>
    <w:rsid w:val="00A750AB"/>
    <w:rsid w:val="00A7662B"/>
    <w:rsid w:val="00A80BBA"/>
    <w:rsid w:val="00A81A40"/>
    <w:rsid w:val="00A83037"/>
    <w:rsid w:val="00A842EA"/>
    <w:rsid w:val="00A8572B"/>
    <w:rsid w:val="00A85894"/>
    <w:rsid w:val="00A86808"/>
    <w:rsid w:val="00A874DA"/>
    <w:rsid w:val="00A90B4F"/>
    <w:rsid w:val="00A90F77"/>
    <w:rsid w:val="00A9178C"/>
    <w:rsid w:val="00A92286"/>
    <w:rsid w:val="00A9270B"/>
    <w:rsid w:val="00A9286D"/>
    <w:rsid w:val="00A94E9C"/>
    <w:rsid w:val="00A9700D"/>
    <w:rsid w:val="00AA12E1"/>
    <w:rsid w:val="00AA1706"/>
    <w:rsid w:val="00AA44FD"/>
    <w:rsid w:val="00AA678E"/>
    <w:rsid w:val="00AB1006"/>
    <w:rsid w:val="00AB36F7"/>
    <w:rsid w:val="00AB5197"/>
    <w:rsid w:val="00AB65FC"/>
    <w:rsid w:val="00AC2B3D"/>
    <w:rsid w:val="00AC2CCA"/>
    <w:rsid w:val="00AC40A4"/>
    <w:rsid w:val="00AC59ED"/>
    <w:rsid w:val="00AC689E"/>
    <w:rsid w:val="00AC7102"/>
    <w:rsid w:val="00AC7EB8"/>
    <w:rsid w:val="00AD01B6"/>
    <w:rsid w:val="00AD2D9B"/>
    <w:rsid w:val="00AD7ADC"/>
    <w:rsid w:val="00AE1B50"/>
    <w:rsid w:val="00AE29C6"/>
    <w:rsid w:val="00AE37EB"/>
    <w:rsid w:val="00AE59EE"/>
    <w:rsid w:val="00AF2318"/>
    <w:rsid w:val="00AF35DD"/>
    <w:rsid w:val="00AF3D11"/>
    <w:rsid w:val="00AF429C"/>
    <w:rsid w:val="00AF71B0"/>
    <w:rsid w:val="00B008D0"/>
    <w:rsid w:val="00B01508"/>
    <w:rsid w:val="00B01533"/>
    <w:rsid w:val="00B02076"/>
    <w:rsid w:val="00B02D74"/>
    <w:rsid w:val="00B116CA"/>
    <w:rsid w:val="00B119E3"/>
    <w:rsid w:val="00B17241"/>
    <w:rsid w:val="00B172E7"/>
    <w:rsid w:val="00B17A6D"/>
    <w:rsid w:val="00B17B6A"/>
    <w:rsid w:val="00B2040D"/>
    <w:rsid w:val="00B2307D"/>
    <w:rsid w:val="00B24D13"/>
    <w:rsid w:val="00B25D14"/>
    <w:rsid w:val="00B26EA0"/>
    <w:rsid w:val="00B26FF9"/>
    <w:rsid w:val="00B27A27"/>
    <w:rsid w:val="00B27C9F"/>
    <w:rsid w:val="00B31727"/>
    <w:rsid w:val="00B31FC9"/>
    <w:rsid w:val="00B32129"/>
    <w:rsid w:val="00B34132"/>
    <w:rsid w:val="00B35751"/>
    <w:rsid w:val="00B35FDB"/>
    <w:rsid w:val="00B365E9"/>
    <w:rsid w:val="00B366B7"/>
    <w:rsid w:val="00B36BFA"/>
    <w:rsid w:val="00B407CD"/>
    <w:rsid w:val="00B45DFF"/>
    <w:rsid w:val="00B4685F"/>
    <w:rsid w:val="00B510B9"/>
    <w:rsid w:val="00B52948"/>
    <w:rsid w:val="00B56D03"/>
    <w:rsid w:val="00B606FC"/>
    <w:rsid w:val="00B6163A"/>
    <w:rsid w:val="00B61D3D"/>
    <w:rsid w:val="00B62037"/>
    <w:rsid w:val="00B67769"/>
    <w:rsid w:val="00B703DE"/>
    <w:rsid w:val="00B72658"/>
    <w:rsid w:val="00B72927"/>
    <w:rsid w:val="00B74387"/>
    <w:rsid w:val="00B752BD"/>
    <w:rsid w:val="00B757D8"/>
    <w:rsid w:val="00B76782"/>
    <w:rsid w:val="00B76C30"/>
    <w:rsid w:val="00B82B92"/>
    <w:rsid w:val="00B83B0D"/>
    <w:rsid w:val="00B83B33"/>
    <w:rsid w:val="00B90874"/>
    <w:rsid w:val="00B92DF9"/>
    <w:rsid w:val="00B92E7B"/>
    <w:rsid w:val="00B9319A"/>
    <w:rsid w:val="00B95E66"/>
    <w:rsid w:val="00B96009"/>
    <w:rsid w:val="00B96161"/>
    <w:rsid w:val="00B96DDB"/>
    <w:rsid w:val="00BA1266"/>
    <w:rsid w:val="00BA3C62"/>
    <w:rsid w:val="00BA5C29"/>
    <w:rsid w:val="00BA5FF0"/>
    <w:rsid w:val="00BA6343"/>
    <w:rsid w:val="00BA7E44"/>
    <w:rsid w:val="00BA7E74"/>
    <w:rsid w:val="00BB011A"/>
    <w:rsid w:val="00BB05D5"/>
    <w:rsid w:val="00BB0912"/>
    <w:rsid w:val="00BB208E"/>
    <w:rsid w:val="00BB27EB"/>
    <w:rsid w:val="00BB3448"/>
    <w:rsid w:val="00BB3CF6"/>
    <w:rsid w:val="00BB3FE6"/>
    <w:rsid w:val="00BB5725"/>
    <w:rsid w:val="00BC1EF8"/>
    <w:rsid w:val="00BC3613"/>
    <w:rsid w:val="00BC42E1"/>
    <w:rsid w:val="00BC71D9"/>
    <w:rsid w:val="00BD00B2"/>
    <w:rsid w:val="00BD0800"/>
    <w:rsid w:val="00BD3B96"/>
    <w:rsid w:val="00BD51DF"/>
    <w:rsid w:val="00BD5C34"/>
    <w:rsid w:val="00BD6621"/>
    <w:rsid w:val="00BD6EC8"/>
    <w:rsid w:val="00BD7ACC"/>
    <w:rsid w:val="00BD7F4E"/>
    <w:rsid w:val="00BE0415"/>
    <w:rsid w:val="00BE06CE"/>
    <w:rsid w:val="00BE1622"/>
    <w:rsid w:val="00BE280E"/>
    <w:rsid w:val="00BE5BD1"/>
    <w:rsid w:val="00BE6B05"/>
    <w:rsid w:val="00BE6CCA"/>
    <w:rsid w:val="00BE7C49"/>
    <w:rsid w:val="00BF1EC4"/>
    <w:rsid w:val="00BF4F25"/>
    <w:rsid w:val="00BF59B3"/>
    <w:rsid w:val="00BF69CA"/>
    <w:rsid w:val="00BF7DA2"/>
    <w:rsid w:val="00C027D4"/>
    <w:rsid w:val="00C066D2"/>
    <w:rsid w:val="00C10F5A"/>
    <w:rsid w:val="00C116E8"/>
    <w:rsid w:val="00C11B5A"/>
    <w:rsid w:val="00C126FC"/>
    <w:rsid w:val="00C1422A"/>
    <w:rsid w:val="00C14C86"/>
    <w:rsid w:val="00C157AD"/>
    <w:rsid w:val="00C167CC"/>
    <w:rsid w:val="00C16B82"/>
    <w:rsid w:val="00C21163"/>
    <w:rsid w:val="00C21BB8"/>
    <w:rsid w:val="00C21E02"/>
    <w:rsid w:val="00C2295B"/>
    <w:rsid w:val="00C271EE"/>
    <w:rsid w:val="00C271FA"/>
    <w:rsid w:val="00C32789"/>
    <w:rsid w:val="00C34C5C"/>
    <w:rsid w:val="00C34D9B"/>
    <w:rsid w:val="00C35660"/>
    <w:rsid w:val="00C411D5"/>
    <w:rsid w:val="00C43EBE"/>
    <w:rsid w:val="00C46CB1"/>
    <w:rsid w:val="00C5056E"/>
    <w:rsid w:val="00C50FD5"/>
    <w:rsid w:val="00C51BB1"/>
    <w:rsid w:val="00C53444"/>
    <w:rsid w:val="00C56C6E"/>
    <w:rsid w:val="00C575C9"/>
    <w:rsid w:val="00C57749"/>
    <w:rsid w:val="00C60221"/>
    <w:rsid w:val="00C60FB5"/>
    <w:rsid w:val="00C6130D"/>
    <w:rsid w:val="00C6689E"/>
    <w:rsid w:val="00C67B75"/>
    <w:rsid w:val="00C71FB7"/>
    <w:rsid w:val="00C7220A"/>
    <w:rsid w:val="00C73CC1"/>
    <w:rsid w:val="00C7426A"/>
    <w:rsid w:val="00C742C7"/>
    <w:rsid w:val="00C75096"/>
    <w:rsid w:val="00C754E1"/>
    <w:rsid w:val="00C757D6"/>
    <w:rsid w:val="00C7698F"/>
    <w:rsid w:val="00C80462"/>
    <w:rsid w:val="00C807B2"/>
    <w:rsid w:val="00C813E4"/>
    <w:rsid w:val="00C82B14"/>
    <w:rsid w:val="00C850EC"/>
    <w:rsid w:val="00C86475"/>
    <w:rsid w:val="00C87C00"/>
    <w:rsid w:val="00C9003F"/>
    <w:rsid w:val="00C900F9"/>
    <w:rsid w:val="00C9036E"/>
    <w:rsid w:val="00C957E5"/>
    <w:rsid w:val="00C97FD1"/>
    <w:rsid w:val="00CA0882"/>
    <w:rsid w:val="00CA234B"/>
    <w:rsid w:val="00CA772C"/>
    <w:rsid w:val="00CA77D7"/>
    <w:rsid w:val="00CA7D4F"/>
    <w:rsid w:val="00CB0E7B"/>
    <w:rsid w:val="00CB1AD7"/>
    <w:rsid w:val="00CB1F15"/>
    <w:rsid w:val="00CB3462"/>
    <w:rsid w:val="00CB4102"/>
    <w:rsid w:val="00CB41BA"/>
    <w:rsid w:val="00CB62F9"/>
    <w:rsid w:val="00CB72D1"/>
    <w:rsid w:val="00CB767C"/>
    <w:rsid w:val="00CB76B6"/>
    <w:rsid w:val="00CC0355"/>
    <w:rsid w:val="00CC1FD7"/>
    <w:rsid w:val="00CC2AF9"/>
    <w:rsid w:val="00CC3A3A"/>
    <w:rsid w:val="00CC3EAD"/>
    <w:rsid w:val="00CC44D3"/>
    <w:rsid w:val="00CC4C99"/>
    <w:rsid w:val="00CC5784"/>
    <w:rsid w:val="00CC79C0"/>
    <w:rsid w:val="00CC7EF6"/>
    <w:rsid w:val="00CD01B5"/>
    <w:rsid w:val="00CD1A86"/>
    <w:rsid w:val="00CD2067"/>
    <w:rsid w:val="00CD2C46"/>
    <w:rsid w:val="00CD37C9"/>
    <w:rsid w:val="00CD49E9"/>
    <w:rsid w:val="00CD4E6F"/>
    <w:rsid w:val="00CD6778"/>
    <w:rsid w:val="00CD6CE4"/>
    <w:rsid w:val="00CD6CF2"/>
    <w:rsid w:val="00CD6D68"/>
    <w:rsid w:val="00CE0B83"/>
    <w:rsid w:val="00CE2DF7"/>
    <w:rsid w:val="00CE6E39"/>
    <w:rsid w:val="00CF1F31"/>
    <w:rsid w:val="00CF365B"/>
    <w:rsid w:val="00CF5053"/>
    <w:rsid w:val="00CF506B"/>
    <w:rsid w:val="00CF5773"/>
    <w:rsid w:val="00CF7180"/>
    <w:rsid w:val="00CF7798"/>
    <w:rsid w:val="00D00754"/>
    <w:rsid w:val="00D0155A"/>
    <w:rsid w:val="00D01A3E"/>
    <w:rsid w:val="00D0727A"/>
    <w:rsid w:val="00D07713"/>
    <w:rsid w:val="00D10C44"/>
    <w:rsid w:val="00D1282D"/>
    <w:rsid w:val="00D136A7"/>
    <w:rsid w:val="00D147ED"/>
    <w:rsid w:val="00D1686E"/>
    <w:rsid w:val="00D23363"/>
    <w:rsid w:val="00D24254"/>
    <w:rsid w:val="00D2454F"/>
    <w:rsid w:val="00D255C4"/>
    <w:rsid w:val="00D25778"/>
    <w:rsid w:val="00D257C1"/>
    <w:rsid w:val="00D26301"/>
    <w:rsid w:val="00D266AE"/>
    <w:rsid w:val="00D32C5D"/>
    <w:rsid w:val="00D336A0"/>
    <w:rsid w:val="00D34702"/>
    <w:rsid w:val="00D3553D"/>
    <w:rsid w:val="00D3771C"/>
    <w:rsid w:val="00D417C5"/>
    <w:rsid w:val="00D430ED"/>
    <w:rsid w:val="00D4385D"/>
    <w:rsid w:val="00D43C22"/>
    <w:rsid w:val="00D4418E"/>
    <w:rsid w:val="00D44562"/>
    <w:rsid w:val="00D45167"/>
    <w:rsid w:val="00D4574F"/>
    <w:rsid w:val="00D463B7"/>
    <w:rsid w:val="00D4648E"/>
    <w:rsid w:val="00D46884"/>
    <w:rsid w:val="00D468FA"/>
    <w:rsid w:val="00D4719D"/>
    <w:rsid w:val="00D50220"/>
    <w:rsid w:val="00D50428"/>
    <w:rsid w:val="00D51BB3"/>
    <w:rsid w:val="00D52EA8"/>
    <w:rsid w:val="00D53424"/>
    <w:rsid w:val="00D54395"/>
    <w:rsid w:val="00D60463"/>
    <w:rsid w:val="00D60AAF"/>
    <w:rsid w:val="00D60D3E"/>
    <w:rsid w:val="00D617A2"/>
    <w:rsid w:val="00D63430"/>
    <w:rsid w:val="00D64700"/>
    <w:rsid w:val="00D64ADA"/>
    <w:rsid w:val="00D65AAD"/>
    <w:rsid w:val="00D67F66"/>
    <w:rsid w:val="00D713C3"/>
    <w:rsid w:val="00D71D22"/>
    <w:rsid w:val="00D732A9"/>
    <w:rsid w:val="00D7363D"/>
    <w:rsid w:val="00D7468B"/>
    <w:rsid w:val="00D76361"/>
    <w:rsid w:val="00D803A1"/>
    <w:rsid w:val="00D81D89"/>
    <w:rsid w:val="00D83AB7"/>
    <w:rsid w:val="00D8482B"/>
    <w:rsid w:val="00D8592B"/>
    <w:rsid w:val="00D875B3"/>
    <w:rsid w:val="00D90931"/>
    <w:rsid w:val="00D91919"/>
    <w:rsid w:val="00D92A1A"/>
    <w:rsid w:val="00D9362E"/>
    <w:rsid w:val="00D94A3B"/>
    <w:rsid w:val="00D95031"/>
    <w:rsid w:val="00D95EA2"/>
    <w:rsid w:val="00D9649B"/>
    <w:rsid w:val="00D976E9"/>
    <w:rsid w:val="00DA0C5D"/>
    <w:rsid w:val="00DA1849"/>
    <w:rsid w:val="00DA1AC1"/>
    <w:rsid w:val="00DA4C48"/>
    <w:rsid w:val="00DA5524"/>
    <w:rsid w:val="00DA618C"/>
    <w:rsid w:val="00DA6E52"/>
    <w:rsid w:val="00DA7F08"/>
    <w:rsid w:val="00DB274A"/>
    <w:rsid w:val="00DB27CB"/>
    <w:rsid w:val="00DB320D"/>
    <w:rsid w:val="00DB4A16"/>
    <w:rsid w:val="00DB5024"/>
    <w:rsid w:val="00DB5518"/>
    <w:rsid w:val="00DB5EFB"/>
    <w:rsid w:val="00DB6C1E"/>
    <w:rsid w:val="00DC0056"/>
    <w:rsid w:val="00DC0B1C"/>
    <w:rsid w:val="00DC2AAD"/>
    <w:rsid w:val="00DC2C8D"/>
    <w:rsid w:val="00DC2DF9"/>
    <w:rsid w:val="00DC4167"/>
    <w:rsid w:val="00DC51C1"/>
    <w:rsid w:val="00DC6FC3"/>
    <w:rsid w:val="00DD00FB"/>
    <w:rsid w:val="00DD1374"/>
    <w:rsid w:val="00DD2D75"/>
    <w:rsid w:val="00DD4D85"/>
    <w:rsid w:val="00DD5ECD"/>
    <w:rsid w:val="00DD65C3"/>
    <w:rsid w:val="00DD6EE1"/>
    <w:rsid w:val="00DE251C"/>
    <w:rsid w:val="00DE57B8"/>
    <w:rsid w:val="00DE613A"/>
    <w:rsid w:val="00DF08BD"/>
    <w:rsid w:val="00DF1057"/>
    <w:rsid w:val="00DF44DE"/>
    <w:rsid w:val="00DF5012"/>
    <w:rsid w:val="00DF51D0"/>
    <w:rsid w:val="00DF6327"/>
    <w:rsid w:val="00E00E60"/>
    <w:rsid w:val="00E03417"/>
    <w:rsid w:val="00E03972"/>
    <w:rsid w:val="00E04EFE"/>
    <w:rsid w:val="00E055CA"/>
    <w:rsid w:val="00E05DE7"/>
    <w:rsid w:val="00E0602A"/>
    <w:rsid w:val="00E0647D"/>
    <w:rsid w:val="00E07DD7"/>
    <w:rsid w:val="00E109EA"/>
    <w:rsid w:val="00E1203D"/>
    <w:rsid w:val="00E122C5"/>
    <w:rsid w:val="00E13456"/>
    <w:rsid w:val="00E14637"/>
    <w:rsid w:val="00E17CED"/>
    <w:rsid w:val="00E21E9E"/>
    <w:rsid w:val="00E2254F"/>
    <w:rsid w:val="00E22DFD"/>
    <w:rsid w:val="00E23E54"/>
    <w:rsid w:val="00E24D8F"/>
    <w:rsid w:val="00E25A25"/>
    <w:rsid w:val="00E25E04"/>
    <w:rsid w:val="00E265D5"/>
    <w:rsid w:val="00E26B09"/>
    <w:rsid w:val="00E27199"/>
    <w:rsid w:val="00E306CB"/>
    <w:rsid w:val="00E34383"/>
    <w:rsid w:val="00E3778C"/>
    <w:rsid w:val="00E37C95"/>
    <w:rsid w:val="00E40827"/>
    <w:rsid w:val="00E40BEF"/>
    <w:rsid w:val="00E40CBC"/>
    <w:rsid w:val="00E40DD5"/>
    <w:rsid w:val="00E41840"/>
    <w:rsid w:val="00E41A80"/>
    <w:rsid w:val="00E431D7"/>
    <w:rsid w:val="00E4681E"/>
    <w:rsid w:val="00E471CC"/>
    <w:rsid w:val="00E500FB"/>
    <w:rsid w:val="00E5060B"/>
    <w:rsid w:val="00E540BC"/>
    <w:rsid w:val="00E565C5"/>
    <w:rsid w:val="00E57043"/>
    <w:rsid w:val="00E5723B"/>
    <w:rsid w:val="00E6119A"/>
    <w:rsid w:val="00E631F0"/>
    <w:rsid w:val="00E634D2"/>
    <w:rsid w:val="00E63F6E"/>
    <w:rsid w:val="00E64271"/>
    <w:rsid w:val="00E658A1"/>
    <w:rsid w:val="00E65A9D"/>
    <w:rsid w:val="00E662EF"/>
    <w:rsid w:val="00E66594"/>
    <w:rsid w:val="00E667CB"/>
    <w:rsid w:val="00E66F64"/>
    <w:rsid w:val="00E67DCD"/>
    <w:rsid w:val="00E7272A"/>
    <w:rsid w:val="00E72925"/>
    <w:rsid w:val="00E72B21"/>
    <w:rsid w:val="00E7345F"/>
    <w:rsid w:val="00E750CC"/>
    <w:rsid w:val="00E77CAA"/>
    <w:rsid w:val="00E82940"/>
    <w:rsid w:val="00E83A84"/>
    <w:rsid w:val="00E85F3F"/>
    <w:rsid w:val="00E91593"/>
    <w:rsid w:val="00E92CAC"/>
    <w:rsid w:val="00E93ADB"/>
    <w:rsid w:val="00E94716"/>
    <w:rsid w:val="00EA0452"/>
    <w:rsid w:val="00EA0ED2"/>
    <w:rsid w:val="00EA2492"/>
    <w:rsid w:val="00EA64AF"/>
    <w:rsid w:val="00EA6DD4"/>
    <w:rsid w:val="00EA7527"/>
    <w:rsid w:val="00EA7C2D"/>
    <w:rsid w:val="00EB2C83"/>
    <w:rsid w:val="00EB3A96"/>
    <w:rsid w:val="00EB476F"/>
    <w:rsid w:val="00EB52B3"/>
    <w:rsid w:val="00EB5882"/>
    <w:rsid w:val="00EB7361"/>
    <w:rsid w:val="00EB7390"/>
    <w:rsid w:val="00EC1186"/>
    <w:rsid w:val="00EC136E"/>
    <w:rsid w:val="00EC2814"/>
    <w:rsid w:val="00EC37CB"/>
    <w:rsid w:val="00EC52FE"/>
    <w:rsid w:val="00EC59BA"/>
    <w:rsid w:val="00EC7241"/>
    <w:rsid w:val="00EC7D8F"/>
    <w:rsid w:val="00ED05FF"/>
    <w:rsid w:val="00ED0762"/>
    <w:rsid w:val="00ED07F9"/>
    <w:rsid w:val="00ED1313"/>
    <w:rsid w:val="00ED266F"/>
    <w:rsid w:val="00ED2FFE"/>
    <w:rsid w:val="00ED3807"/>
    <w:rsid w:val="00ED5E21"/>
    <w:rsid w:val="00ED61A8"/>
    <w:rsid w:val="00ED7062"/>
    <w:rsid w:val="00ED7C24"/>
    <w:rsid w:val="00ED7C53"/>
    <w:rsid w:val="00EE0633"/>
    <w:rsid w:val="00EE086D"/>
    <w:rsid w:val="00EE150B"/>
    <w:rsid w:val="00EE1BE5"/>
    <w:rsid w:val="00EE4425"/>
    <w:rsid w:val="00EE4795"/>
    <w:rsid w:val="00EE5E74"/>
    <w:rsid w:val="00EF09A7"/>
    <w:rsid w:val="00EF0DDA"/>
    <w:rsid w:val="00EF1154"/>
    <w:rsid w:val="00EF1E78"/>
    <w:rsid w:val="00EF29EC"/>
    <w:rsid w:val="00EF37F0"/>
    <w:rsid w:val="00EF4737"/>
    <w:rsid w:val="00EF6FEB"/>
    <w:rsid w:val="00EF7154"/>
    <w:rsid w:val="00F0076E"/>
    <w:rsid w:val="00F00B96"/>
    <w:rsid w:val="00F00FB7"/>
    <w:rsid w:val="00F022E0"/>
    <w:rsid w:val="00F0425A"/>
    <w:rsid w:val="00F0654E"/>
    <w:rsid w:val="00F07437"/>
    <w:rsid w:val="00F07BC3"/>
    <w:rsid w:val="00F1125F"/>
    <w:rsid w:val="00F118B1"/>
    <w:rsid w:val="00F11E6D"/>
    <w:rsid w:val="00F12F32"/>
    <w:rsid w:val="00F136EE"/>
    <w:rsid w:val="00F15A67"/>
    <w:rsid w:val="00F165EE"/>
    <w:rsid w:val="00F22A71"/>
    <w:rsid w:val="00F24C99"/>
    <w:rsid w:val="00F25256"/>
    <w:rsid w:val="00F259FE"/>
    <w:rsid w:val="00F27D86"/>
    <w:rsid w:val="00F30329"/>
    <w:rsid w:val="00F30CFB"/>
    <w:rsid w:val="00F31077"/>
    <w:rsid w:val="00F31726"/>
    <w:rsid w:val="00F31E52"/>
    <w:rsid w:val="00F320E7"/>
    <w:rsid w:val="00F32A84"/>
    <w:rsid w:val="00F33EED"/>
    <w:rsid w:val="00F3508B"/>
    <w:rsid w:val="00F36F06"/>
    <w:rsid w:val="00F41B64"/>
    <w:rsid w:val="00F41E19"/>
    <w:rsid w:val="00F4227E"/>
    <w:rsid w:val="00F43521"/>
    <w:rsid w:val="00F43C5B"/>
    <w:rsid w:val="00F441A2"/>
    <w:rsid w:val="00F44E44"/>
    <w:rsid w:val="00F453E2"/>
    <w:rsid w:val="00F46A54"/>
    <w:rsid w:val="00F47801"/>
    <w:rsid w:val="00F50705"/>
    <w:rsid w:val="00F5130C"/>
    <w:rsid w:val="00F524F5"/>
    <w:rsid w:val="00F5534B"/>
    <w:rsid w:val="00F63CEC"/>
    <w:rsid w:val="00F63DCE"/>
    <w:rsid w:val="00F646E5"/>
    <w:rsid w:val="00F65C09"/>
    <w:rsid w:val="00F676BF"/>
    <w:rsid w:val="00F67A16"/>
    <w:rsid w:val="00F67B66"/>
    <w:rsid w:val="00F7049F"/>
    <w:rsid w:val="00F70EC7"/>
    <w:rsid w:val="00F71F60"/>
    <w:rsid w:val="00F72AAB"/>
    <w:rsid w:val="00F7384F"/>
    <w:rsid w:val="00F75FED"/>
    <w:rsid w:val="00F80CE2"/>
    <w:rsid w:val="00F80F23"/>
    <w:rsid w:val="00F823F7"/>
    <w:rsid w:val="00F83779"/>
    <w:rsid w:val="00F85F95"/>
    <w:rsid w:val="00F87405"/>
    <w:rsid w:val="00F9160B"/>
    <w:rsid w:val="00F939BE"/>
    <w:rsid w:val="00F94070"/>
    <w:rsid w:val="00F94113"/>
    <w:rsid w:val="00F9530C"/>
    <w:rsid w:val="00F955C9"/>
    <w:rsid w:val="00F96D44"/>
    <w:rsid w:val="00F9745E"/>
    <w:rsid w:val="00F97520"/>
    <w:rsid w:val="00FA1A2D"/>
    <w:rsid w:val="00FA206C"/>
    <w:rsid w:val="00FA2070"/>
    <w:rsid w:val="00FA34AD"/>
    <w:rsid w:val="00FA63BA"/>
    <w:rsid w:val="00FA662C"/>
    <w:rsid w:val="00FA7FAC"/>
    <w:rsid w:val="00FB3FBF"/>
    <w:rsid w:val="00FB5611"/>
    <w:rsid w:val="00FB6066"/>
    <w:rsid w:val="00FB701E"/>
    <w:rsid w:val="00FC00B2"/>
    <w:rsid w:val="00FC0F20"/>
    <w:rsid w:val="00FC1D95"/>
    <w:rsid w:val="00FC5B54"/>
    <w:rsid w:val="00FD2267"/>
    <w:rsid w:val="00FD35CE"/>
    <w:rsid w:val="00FD575D"/>
    <w:rsid w:val="00FD7B4A"/>
    <w:rsid w:val="00FE2B4A"/>
    <w:rsid w:val="00FE2EDF"/>
    <w:rsid w:val="00FE385C"/>
    <w:rsid w:val="00FE720B"/>
    <w:rsid w:val="00FE7D5B"/>
    <w:rsid w:val="00FE7DE5"/>
    <w:rsid w:val="00FF0884"/>
    <w:rsid w:val="00FF13E3"/>
    <w:rsid w:val="00FF2649"/>
    <w:rsid w:val="00FF7C43"/>
    <w:rsid w:val="03557780"/>
    <w:rsid w:val="161DEB7A"/>
    <w:rsid w:val="2A3270FE"/>
    <w:rsid w:val="2D9D1309"/>
    <w:rsid w:val="3117203B"/>
    <w:rsid w:val="395F93F0"/>
    <w:rsid w:val="3A5672DA"/>
    <w:rsid w:val="4853BCFF"/>
    <w:rsid w:val="625ADE89"/>
    <w:rsid w:val="647E4B57"/>
    <w:rsid w:val="65A2823C"/>
    <w:rsid w:val="75C7ED0D"/>
    <w:rsid w:val="7B7B39BC"/>
    <w:rsid w:val="7F592662"/>
  </w:rsids>
  <m:mathPr>
    <m:mathFont m:val="Cambria Math"/>
    <m:brkBin m:val="before"/>
    <m:brkBinSub m:val="--"/>
    <m:smallFrac/>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CC77F0"/>
  <w15:docId w15:val="{F865171B-9053-4B24-A9AA-D46657531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imes New Roman" w:hAnsi="Times New Roman"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7713"/>
    <w:pPr>
      <w:spacing w:after="0" w:line="240" w:lineRule="auto"/>
    </w:pPr>
    <w:rPr>
      <w:rFonts w:ascii="Times New Roman"/>
      <w:sz w:val="24"/>
      <w:szCs w:val="24"/>
      <w:lang w:val="tr-TR" w:eastAsia="tr-TR"/>
    </w:rPr>
  </w:style>
  <w:style w:type="paragraph" w:styleId="Heading1">
    <w:name w:val="heading 1"/>
    <w:basedOn w:val="Normal"/>
    <w:next w:val="Normal"/>
    <w:link w:val="Heading1Char"/>
    <w:uiPriority w:val="99"/>
    <w:qFormat/>
    <w:rsid w:val="00D07713"/>
    <w:pPr>
      <w:keepNext/>
      <w:tabs>
        <w:tab w:val="num" w:pos="432"/>
      </w:tabs>
      <w:suppressAutoHyphens/>
      <w:ind w:left="432" w:hanging="432"/>
      <w:jc w:val="center"/>
      <w:outlineLvl w:val="0"/>
    </w:pPr>
    <w:rPr>
      <w:rFonts w:ascii="Arial" w:hAnsi="Arial" w:cs="Arial"/>
      <w:b/>
      <w:bCs/>
      <w:sz w:val="18"/>
      <w:szCs w:val="18"/>
      <w:lang w:eastAsia="ar-SA"/>
    </w:rPr>
  </w:style>
  <w:style w:type="paragraph" w:styleId="Heading2">
    <w:name w:val="heading 2"/>
    <w:basedOn w:val="Normal"/>
    <w:next w:val="Normal"/>
    <w:link w:val="Heading2Char"/>
    <w:uiPriority w:val="99"/>
    <w:qFormat/>
    <w:rsid w:val="00D07713"/>
    <w:pPr>
      <w:keepNext/>
      <w:tabs>
        <w:tab w:val="num" w:pos="576"/>
      </w:tabs>
      <w:suppressAutoHyphens/>
      <w:spacing w:before="240" w:after="60"/>
      <w:ind w:left="576" w:hanging="576"/>
      <w:outlineLvl w:val="1"/>
    </w:pPr>
    <w:rPr>
      <w:rFonts w:ascii="Arial" w:hAnsi="Arial" w:cs="Arial"/>
      <w:b/>
      <w:bCs/>
      <w:i/>
      <w:iCs/>
      <w:sz w:val="28"/>
      <w:szCs w:val="28"/>
      <w:lang w:val="en-GB" w:eastAsia="ar-SA"/>
    </w:rPr>
  </w:style>
  <w:style w:type="paragraph" w:styleId="Heading3">
    <w:name w:val="heading 3"/>
    <w:basedOn w:val="Normal"/>
    <w:next w:val="Normal"/>
    <w:link w:val="Heading3Char"/>
    <w:uiPriority w:val="99"/>
    <w:unhideWhenUsed/>
    <w:qFormat/>
    <w:rsid w:val="00D07713"/>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D07713"/>
    <w:rPr>
      <w:rFonts w:ascii="Arial" w:hAnsi="Arial" w:cs="Arial"/>
      <w:b/>
      <w:bCs/>
      <w:sz w:val="18"/>
      <w:szCs w:val="18"/>
      <w:lang w:val="tr-TR" w:eastAsia="ar-SA"/>
    </w:rPr>
  </w:style>
  <w:style w:type="character" w:customStyle="1" w:styleId="Heading2Char">
    <w:name w:val="Heading 2 Char"/>
    <w:basedOn w:val="DefaultParagraphFont"/>
    <w:link w:val="Heading2"/>
    <w:uiPriority w:val="99"/>
    <w:rsid w:val="00D07713"/>
    <w:rPr>
      <w:rFonts w:ascii="Arial" w:hAnsi="Arial" w:cs="Arial"/>
      <w:b/>
      <w:bCs/>
      <w:i/>
      <w:iCs/>
      <w:sz w:val="28"/>
      <w:szCs w:val="28"/>
      <w:lang w:val="en-GB" w:eastAsia="ar-SA"/>
    </w:rPr>
  </w:style>
  <w:style w:type="character" w:customStyle="1" w:styleId="Heading3Char">
    <w:name w:val="Heading 3 Char"/>
    <w:basedOn w:val="DefaultParagraphFont"/>
    <w:link w:val="Heading3"/>
    <w:uiPriority w:val="9"/>
    <w:semiHidden/>
    <w:rsid w:val="00D07713"/>
    <w:rPr>
      <w:rFonts w:asciiTheme="majorHAnsi" w:eastAsiaTheme="majorEastAsia" w:hAnsiTheme="majorHAnsi" w:cstheme="majorBidi"/>
      <w:color w:val="1F3763" w:themeColor="accent1" w:themeShade="7F"/>
      <w:sz w:val="24"/>
      <w:szCs w:val="24"/>
      <w:lang w:val="tr-TR"/>
    </w:rPr>
  </w:style>
  <w:style w:type="paragraph" w:styleId="ListParagraph">
    <w:name w:val="List Paragraph"/>
    <w:basedOn w:val="Normal"/>
    <w:uiPriority w:val="34"/>
    <w:qFormat/>
    <w:rsid w:val="001C65BF"/>
    <w:pPr>
      <w:ind w:left="720"/>
      <w:contextualSpacing/>
    </w:pPr>
  </w:style>
  <w:style w:type="character" w:styleId="Hyperlink">
    <w:name w:val="Hyperlink"/>
    <w:basedOn w:val="DefaultParagraphFont"/>
    <w:uiPriority w:val="99"/>
    <w:unhideWhenUsed/>
    <w:rsid w:val="001C65BF"/>
    <w:rPr>
      <w:color w:val="0563C1" w:themeColor="hyperlink"/>
      <w:u w:val="single"/>
    </w:rPr>
  </w:style>
  <w:style w:type="character" w:customStyle="1" w:styleId="Mention1">
    <w:name w:val="Mention1"/>
    <w:basedOn w:val="DefaultParagraphFont"/>
    <w:uiPriority w:val="99"/>
    <w:semiHidden/>
    <w:unhideWhenUsed/>
    <w:rsid w:val="001C65BF"/>
    <w:rPr>
      <w:color w:val="2B579A"/>
      <w:shd w:val="clear" w:color="auto" w:fill="E6E6E6"/>
    </w:rPr>
  </w:style>
  <w:style w:type="paragraph" w:styleId="NormalWeb">
    <w:name w:val="Normal (Web)"/>
    <w:basedOn w:val="Normal"/>
    <w:uiPriority w:val="99"/>
    <w:rsid w:val="006C3EE6"/>
    <w:pPr>
      <w:spacing w:before="100" w:beforeAutospacing="1" w:after="100" w:afterAutospacing="1"/>
    </w:pPr>
  </w:style>
  <w:style w:type="character" w:customStyle="1" w:styleId="UnresolvedMention1">
    <w:name w:val="Unresolved Mention1"/>
    <w:basedOn w:val="DefaultParagraphFont"/>
    <w:uiPriority w:val="99"/>
    <w:semiHidden/>
    <w:unhideWhenUsed/>
    <w:rsid w:val="00DA0C5D"/>
    <w:rPr>
      <w:color w:val="808080"/>
      <w:shd w:val="clear" w:color="auto" w:fill="E6E6E6"/>
    </w:rPr>
  </w:style>
  <w:style w:type="paragraph" w:styleId="FootnoteText">
    <w:name w:val="footnote text"/>
    <w:basedOn w:val="Normal"/>
    <w:link w:val="FootnoteTextChar"/>
    <w:uiPriority w:val="99"/>
    <w:semiHidden/>
    <w:unhideWhenUsed/>
    <w:rsid w:val="00DA0C5D"/>
    <w:rPr>
      <w:sz w:val="20"/>
      <w:szCs w:val="20"/>
    </w:rPr>
  </w:style>
  <w:style w:type="character" w:customStyle="1" w:styleId="FootnoteTextChar">
    <w:name w:val="Footnote Text Char"/>
    <w:basedOn w:val="DefaultParagraphFont"/>
    <w:link w:val="FootnoteText"/>
    <w:uiPriority w:val="99"/>
    <w:semiHidden/>
    <w:rsid w:val="00DA0C5D"/>
    <w:rPr>
      <w:rFonts w:ascii="Times New Roman"/>
      <w:sz w:val="20"/>
      <w:szCs w:val="20"/>
      <w:lang w:val="tr-TR" w:eastAsia="tr-TR"/>
    </w:rPr>
  </w:style>
  <w:style w:type="character" w:styleId="FootnoteReference">
    <w:name w:val="footnote reference"/>
    <w:basedOn w:val="DefaultParagraphFont"/>
    <w:uiPriority w:val="99"/>
    <w:semiHidden/>
    <w:unhideWhenUsed/>
    <w:rsid w:val="00DA0C5D"/>
    <w:rPr>
      <w:vertAlign w:val="superscript"/>
    </w:rPr>
  </w:style>
  <w:style w:type="paragraph" w:styleId="BalloonText">
    <w:name w:val="Balloon Text"/>
    <w:basedOn w:val="Normal"/>
    <w:link w:val="BalloonTextChar"/>
    <w:uiPriority w:val="99"/>
    <w:semiHidden/>
    <w:unhideWhenUsed/>
    <w:rsid w:val="00845A54"/>
    <w:rPr>
      <w:rFonts w:ascii="Tahoma" w:hAnsi="Tahoma" w:cs="Tahoma"/>
      <w:sz w:val="16"/>
      <w:szCs w:val="16"/>
    </w:rPr>
  </w:style>
  <w:style w:type="character" w:customStyle="1" w:styleId="BalloonTextChar">
    <w:name w:val="Balloon Text Char"/>
    <w:basedOn w:val="DefaultParagraphFont"/>
    <w:link w:val="BalloonText"/>
    <w:uiPriority w:val="99"/>
    <w:semiHidden/>
    <w:rsid w:val="00845A54"/>
    <w:rPr>
      <w:rFonts w:ascii="Tahoma" w:hAnsi="Tahoma" w:cs="Tahoma"/>
      <w:sz w:val="16"/>
      <w:szCs w:val="16"/>
      <w:lang w:val="tr-TR" w:eastAsia="tr-TR"/>
    </w:rPr>
  </w:style>
  <w:style w:type="character" w:styleId="CommentReference">
    <w:name w:val="annotation reference"/>
    <w:basedOn w:val="DefaultParagraphFont"/>
    <w:uiPriority w:val="99"/>
    <w:semiHidden/>
    <w:unhideWhenUsed/>
    <w:rsid w:val="00492020"/>
    <w:rPr>
      <w:sz w:val="16"/>
      <w:szCs w:val="16"/>
    </w:rPr>
  </w:style>
  <w:style w:type="paragraph" w:styleId="CommentText">
    <w:name w:val="annotation text"/>
    <w:basedOn w:val="Normal"/>
    <w:link w:val="CommentTextChar"/>
    <w:uiPriority w:val="99"/>
    <w:semiHidden/>
    <w:unhideWhenUsed/>
    <w:rsid w:val="00492020"/>
    <w:rPr>
      <w:sz w:val="20"/>
      <w:szCs w:val="20"/>
    </w:rPr>
  </w:style>
  <w:style w:type="character" w:customStyle="1" w:styleId="CommentTextChar">
    <w:name w:val="Comment Text Char"/>
    <w:basedOn w:val="DefaultParagraphFont"/>
    <w:link w:val="CommentText"/>
    <w:uiPriority w:val="99"/>
    <w:semiHidden/>
    <w:rsid w:val="00492020"/>
    <w:rPr>
      <w:rFonts w:ascii="Times New Roman"/>
      <w:sz w:val="20"/>
      <w:szCs w:val="20"/>
      <w:lang w:val="tr-TR" w:eastAsia="tr-TR"/>
    </w:rPr>
  </w:style>
  <w:style w:type="paragraph" w:styleId="CommentSubject">
    <w:name w:val="annotation subject"/>
    <w:basedOn w:val="CommentText"/>
    <w:next w:val="CommentText"/>
    <w:link w:val="CommentSubjectChar"/>
    <w:uiPriority w:val="99"/>
    <w:semiHidden/>
    <w:unhideWhenUsed/>
    <w:rsid w:val="00492020"/>
    <w:rPr>
      <w:b/>
      <w:bCs/>
    </w:rPr>
  </w:style>
  <w:style w:type="character" w:customStyle="1" w:styleId="CommentSubjectChar">
    <w:name w:val="Comment Subject Char"/>
    <w:basedOn w:val="CommentTextChar"/>
    <w:link w:val="CommentSubject"/>
    <w:uiPriority w:val="99"/>
    <w:semiHidden/>
    <w:rsid w:val="00492020"/>
    <w:rPr>
      <w:rFonts w:ascii="Times New Roman"/>
      <w:b/>
      <w:bCs/>
      <w:sz w:val="20"/>
      <w:szCs w:val="20"/>
      <w:lang w:val="tr-TR" w:eastAsia="tr-TR"/>
    </w:rPr>
  </w:style>
  <w:style w:type="paragraph" w:styleId="Header">
    <w:name w:val="header"/>
    <w:basedOn w:val="Normal"/>
    <w:link w:val="HeaderChar"/>
    <w:uiPriority w:val="99"/>
    <w:unhideWhenUsed/>
    <w:rsid w:val="009030D2"/>
    <w:pPr>
      <w:tabs>
        <w:tab w:val="center" w:pos="4536"/>
        <w:tab w:val="right" w:pos="9072"/>
      </w:tabs>
    </w:pPr>
  </w:style>
  <w:style w:type="character" w:customStyle="1" w:styleId="HeaderChar">
    <w:name w:val="Header Char"/>
    <w:basedOn w:val="DefaultParagraphFont"/>
    <w:link w:val="Header"/>
    <w:uiPriority w:val="99"/>
    <w:rsid w:val="009030D2"/>
    <w:rPr>
      <w:rFonts w:ascii="Times New Roman"/>
      <w:sz w:val="24"/>
      <w:szCs w:val="24"/>
      <w:lang w:val="tr-TR" w:eastAsia="tr-TR"/>
    </w:rPr>
  </w:style>
  <w:style w:type="paragraph" w:styleId="Footer">
    <w:name w:val="footer"/>
    <w:basedOn w:val="Normal"/>
    <w:link w:val="FooterChar"/>
    <w:uiPriority w:val="99"/>
    <w:unhideWhenUsed/>
    <w:rsid w:val="009030D2"/>
    <w:pPr>
      <w:tabs>
        <w:tab w:val="center" w:pos="4536"/>
        <w:tab w:val="right" w:pos="9072"/>
      </w:tabs>
    </w:pPr>
  </w:style>
  <w:style w:type="character" w:customStyle="1" w:styleId="FooterChar">
    <w:name w:val="Footer Char"/>
    <w:basedOn w:val="DefaultParagraphFont"/>
    <w:link w:val="Footer"/>
    <w:uiPriority w:val="99"/>
    <w:rsid w:val="009030D2"/>
    <w:rPr>
      <w:rFonts w:ascii="Times New Roman"/>
      <w:sz w:val="24"/>
      <w:szCs w:val="24"/>
      <w:lang w:val="tr-TR" w:eastAsia="tr-TR"/>
    </w:rPr>
  </w:style>
  <w:style w:type="character" w:styleId="Strong">
    <w:name w:val="Strong"/>
    <w:basedOn w:val="DefaultParagraphFont"/>
    <w:uiPriority w:val="22"/>
    <w:qFormat/>
    <w:rsid w:val="00B96DDB"/>
    <w:rPr>
      <w:b/>
      <w:bCs/>
    </w:rPr>
  </w:style>
  <w:style w:type="paragraph" w:customStyle="1" w:styleId="font-claude-response-body">
    <w:name w:val="font-claude-response-body"/>
    <w:basedOn w:val="Normal"/>
    <w:rsid w:val="000B09B0"/>
    <w:pPr>
      <w:spacing w:before="100" w:beforeAutospacing="1" w:after="100" w:afterAutospacing="1"/>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721704">
      <w:bodyDiv w:val="1"/>
      <w:marLeft w:val="0"/>
      <w:marRight w:val="0"/>
      <w:marTop w:val="0"/>
      <w:marBottom w:val="0"/>
      <w:divBdr>
        <w:top w:val="none" w:sz="0" w:space="0" w:color="auto"/>
        <w:left w:val="none" w:sz="0" w:space="0" w:color="auto"/>
        <w:bottom w:val="none" w:sz="0" w:space="0" w:color="auto"/>
        <w:right w:val="none" w:sz="0" w:space="0" w:color="auto"/>
      </w:divBdr>
    </w:div>
    <w:div w:id="20085449">
      <w:bodyDiv w:val="1"/>
      <w:marLeft w:val="0"/>
      <w:marRight w:val="0"/>
      <w:marTop w:val="0"/>
      <w:marBottom w:val="0"/>
      <w:divBdr>
        <w:top w:val="none" w:sz="0" w:space="0" w:color="auto"/>
        <w:left w:val="none" w:sz="0" w:space="0" w:color="auto"/>
        <w:bottom w:val="none" w:sz="0" w:space="0" w:color="auto"/>
        <w:right w:val="none" w:sz="0" w:space="0" w:color="auto"/>
      </w:divBdr>
    </w:div>
    <w:div w:id="46809400">
      <w:bodyDiv w:val="1"/>
      <w:marLeft w:val="0"/>
      <w:marRight w:val="0"/>
      <w:marTop w:val="0"/>
      <w:marBottom w:val="0"/>
      <w:divBdr>
        <w:top w:val="none" w:sz="0" w:space="0" w:color="auto"/>
        <w:left w:val="none" w:sz="0" w:space="0" w:color="auto"/>
        <w:bottom w:val="none" w:sz="0" w:space="0" w:color="auto"/>
        <w:right w:val="none" w:sz="0" w:space="0" w:color="auto"/>
      </w:divBdr>
    </w:div>
    <w:div w:id="99107687">
      <w:bodyDiv w:val="1"/>
      <w:marLeft w:val="0"/>
      <w:marRight w:val="0"/>
      <w:marTop w:val="0"/>
      <w:marBottom w:val="0"/>
      <w:divBdr>
        <w:top w:val="none" w:sz="0" w:space="0" w:color="auto"/>
        <w:left w:val="none" w:sz="0" w:space="0" w:color="auto"/>
        <w:bottom w:val="none" w:sz="0" w:space="0" w:color="auto"/>
        <w:right w:val="none" w:sz="0" w:space="0" w:color="auto"/>
      </w:divBdr>
    </w:div>
    <w:div w:id="105931333">
      <w:bodyDiv w:val="1"/>
      <w:marLeft w:val="0"/>
      <w:marRight w:val="0"/>
      <w:marTop w:val="0"/>
      <w:marBottom w:val="0"/>
      <w:divBdr>
        <w:top w:val="none" w:sz="0" w:space="0" w:color="auto"/>
        <w:left w:val="none" w:sz="0" w:space="0" w:color="auto"/>
        <w:bottom w:val="none" w:sz="0" w:space="0" w:color="auto"/>
        <w:right w:val="none" w:sz="0" w:space="0" w:color="auto"/>
      </w:divBdr>
    </w:div>
    <w:div w:id="197401709">
      <w:bodyDiv w:val="1"/>
      <w:marLeft w:val="0"/>
      <w:marRight w:val="0"/>
      <w:marTop w:val="0"/>
      <w:marBottom w:val="0"/>
      <w:divBdr>
        <w:top w:val="none" w:sz="0" w:space="0" w:color="auto"/>
        <w:left w:val="none" w:sz="0" w:space="0" w:color="auto"/>
        <w:bottom w:val="none" w:sz="0" w:space="0" w:color="auto"/>
        <w:right w:val="none" w:sz="0" w:space="0" w:color="auto"/>
      </w:divBdr>
    </w:div>
    <w:div w:id="197817056">
      <w:bodyDiv w:val="1"/>
      <w:marLeft w:val="0"/>
      <w:marRight w:val="0"/>
      <w:marTop w:val="0"/>
      <w:marBottom w:val="0"/>
      <w:divBdr>
        <w:top w:val="none" w:sz="0" w:space="0" w:color="auto"/>
        <w:left w:val="none" w:sz="0" w:space="0" w:color="auto"/>
        <w:bottom w:val="none" w:sz="0" w:space="0" w:color="auto"/>
        <w:right w:val="none" w:sz="0" w:space="0" w:color="auto"/>
      </w:divBdr>
    </w:div>
    <w:div w:id="202257109">
      <w:bodyDiv w:val="1"/>
      <w:marLeft w:val="0"/>
      <w:marRight w:val="0"/>
      <w:marTop w:val="0"/>
      <w:marBottom w:val="0"/>
      <w:divBdr>
        <w:top w:val="none" w:sz="0" w:space="0" w:color="auto"/>
        <w:left w:val="none" w:sz="0" w:space="0" w:color="auto"/>
        <w:bottom w:val="none" w:sz="0" w:space="0" w:color="auto"/>
        <w:right w:val="none" w:sz="0" w:space="0" w:color="auto"/>
      </w:divBdr>
    </w:div>
    <w:div w:id="202835374">
      <w:bodyDiv w:val="1"/>
      <w:marLeft w:val="0"/>
      <w:marRight w:val="0"/>
      <w:marTop w:val="0"/>
      <w:marBottom w:val="0"/>
      <w:divBdr>
        <w:top w:val="none" w:sz="0" w:space="0" w:color="auto"/>
        <w:left w:val="none" w:sz="0" w:space="0" w:color="auto"/>
        <w:bottom w:val="none" w:sz="0" w:space="0" w:color="auto"/>
        <w:right w:val="none" w:sz="0" w:space="0" w:color="auto"/>
      </w:divBdr>
    </w:div>
    <w:div w:id="213126316">
      <w:bodyDiv w:val="1"/>
      <w:marLeft w:val="0"/>
      <w:marRight w:val="0"/>
      <w:marTop w:val="0"/>
      <w:marBottom w:val="0"/>
      <w:divBdr>
        <w:top w:val="none" w:sz="0" w:space="0" w:color="auto"/>
        <w:left w:val="none" w:sz="0" w:space="0" w:color="auto"/>
        <w:bottom w:val="none" w:sz="0" w:space="0" w:color="auto"/>
        <w:right w:val="none" w:sz="0" w:space="0" w:color="auto"/>
      </w:divBdr>
    </w:div>
    <w:div w:id="220138851">
      <w:bodyDiv w:val="1"/>
      <w:marLeft w:val="0"/>
      <w:marRight w:val="0"/>
      <w:marTop w:val="0"/>
      <w:marBottom w:val="0"/>
      <w:divBdr>
        <w:top w:val="none" w:sz="0" w:space="0" w:color="auto"/>
        <w:left w:val="none" w:sz="0" w:space="0" w:color="auto"/>
        <w:bottom w:val="none" w:sz="0" w:space="0" w:color="auto"/>
        <w:right w:val="none" w:sz="0" w:space="0" w:color="auto"/>
      </w:divBdr>
      <w:divsChild>
        <w:div w:id="1110706717">
          <w:marLeft w:val="0"/>
          <w:marRight w:val="0"/>
          <w:marTop w:val="0"/>
          <w:marBottom w:val="0"/>
          <w:divBdr>
            <w:top w:val="none" w:sz="0" w:space="0" w:color="auto"/>
            <w:left w:val="none" w:sz="0" w:space="0" w:color="auto"/>
            <w:bottom w:val="none" w:sz="0" w:space="0" w:color="auto"/>
            <w:right w:val="none" w:sz="0" w:space="0" w:color="auto"/>
          </w:divBdr>
        </w:div>
      </w:divsChild>
    </w:div>
    <w:div w:id="222954893">
      <w:bodyDiv w:val="1"/>
      <w:marLeft w:val="0"/>
      <w:marRight w:val="0"/>
      <w:marTop w:val="0"/>
      <w:marBottom w:val="0"/>
      <w:divBdr>
        <w:top w:val="none" w:sz="0" w:space="0" w:color="auto"/>
        <w:left w:val="none" w:sz="0" w:space="0" w:color="auto"/>
        <w:bottom w:val="none" w:sz="0" w:space="0" w:color="auto"/>
        <w:right w:val="none" w:sz="0" w:space="0" w:color="auto"/>
      </w:divBdr>
    </w:div>
    <w:div w:id="249626825">
      <w:bodyDiv w:val="1"/>
      <w:marLeft w:val="0"/>
      <w:marRight w:val="0"/>
      <w:marTop w:val="0"/>
      <w:marBottom w:val="0"/>
      <w:divBdr>
        <w:top w:val="none" w:sz="0" w:space="0" w:color="auto"/>
        <w:left w:val="none" w:sz="0" w:space="0" w:color="auto"/>
        <w:bottom w:val="none" w:sz="0" w:space="0" w:color="auto"/>
        <w:right w:val="none" w:sz="0" w:space="0" w:color="auto"/>
      </w:divBdr>
    </w:div>
    <w:div w:id="310717646">
      <w:bodyDiv w:val="1"/>
      <w:marLeft w:val="0"/>
      <w:marRight w:val="0"/>
      <w:marTop w:val="0"/>
      <w:marBottom w:val="0"/>
      <w:divBdr>
        <w:top w:val="none" w:sz="0" w:space="0" w:color="auto"/>
        <w:left w:val="none" w:sz="0" w:space="0" w:color="auto"/>
        <w:bottom w:val="none" w:sz="0" w:space="0" w:color="auto"/>
        <w:right w:val="none" w:sz="0" w:space="0" w:color="auto"/>
      </w:divBdr>
    </w:div>
    <w:div w:id="414401070">
      <w:bodyDiv w:val="1"/>
      <w:marLeft w:val="0"/>
      <w:marRight w:val="0"/>
      <w:marTop w:val="0"/>
      <w:marBottom w:val="0"/>
      <w:divBdr>
        <w:top w:val="none" w:sz="0" w:space="0" w:color="auto"/>
        <w:left w:val="none" w:sz="0" w:space="0" w:color="auto"/>
        <w:bottom w:val="none" w:sz="0" w:space="0" w:color="auto"/>
        <w:right w:val="none" w:sz="0" w:space="0" w:color="auto"/>
      </w:divBdr>
    </w:div>
    <w:div w:id="470834030">
      <w:bodyDiv w:val="1"/>
      <w:marLeft w:val="0"/>
      <w:marRight w:val="0"/>
      <w:marTop w:val="0"/>
      <w:marBottom w:val="0"/>
      <w:divBdr>
        <w:top w:val="none" w:sz="0" w:space="0" w:color="auto"/>
        <w:left w:val="none" w:sz="0" w:space="0" w:color="auto"/>
        <w:bottom w:val="none" w:sz="0" w:space="0" w:color="auto"/>
        <w:right w:val="none" w:sz="0" w:space="0" w:color="auto"/>
      </w:divBdr>
    </w:div>
    <w:div w:id="480317060">
      <w:bodyDiv w:val="1"/>
      <w:marLeft w:val="0"/>
      <w:marRight w:val="0"/>
      <w:marTop w:val="0"/>
      <w:marBottom w:val="0"/>
      <w:divBdr>
        <w:top w:val="none" w:sz="0" w:space="0" w:color="auto"/>
        <w:left w:val="none" w:sz="0" w:space="0" w:color="auto"/>
        <w:bottom w:val="none" w:sz="0" w:space="0" w:color="auto"/>
        <w:right w:val="none" w:sz="0" w:space="0" w:color="auto"/>
      </w:divBdr>
      <w:divsChild>
        <w:div w:id="893853675">
          <w:marLeft w:val="0"/>
          <w:marRight w:val="0"/>
          <w:marTop w:val="0"/>
          <w:marBottom w:val="0"/>
          <w:divBdr>
            <w:top w:val="none" w:sz="0" w:space="0" w:color="auto"/>
            <w:left w:val="none" w:sz="0" w:space="0" w:color="auto"/>
            <w:bottom w:val="none" w:sz="0" w:space="0" w:color="auto"/>
            <w:right w:val="none" w:sz="0" w:space="0" w:color="auto"/>
          </w:divBdr>
        </w:div>
      </w:divsChild>
    </w:div>
    <w:div w:id="504173187">
      <w:bodyDiv w:val="1"/>
      <w:marLeft w:val="0"/>
      <w:marRight w:val="0"/>
      <w:marTop w:val="0"/>
      <w:marBottom w:val="0"/>
      <w:divBdr>
        <w:top w:val="none" w:sz="0" w:space="0" w:color="auto"/>
        <w:left w:val="none" w:sz="0" w:space="0" w:color="auto"/>
        <w:bottom w:val="none" w:sz="0" w:space="0" w:color="auto"/>
        <w:right w:val="none" w:sz="0" w:space="0" w:color="auto"/>
      </w:divBdr>
    </w:div>
    <w:div w:id="520171166">
      <w:bodyDiv w:val="1"/>
      <w:marLeft w:val="0"/>
      <w:marRight w:val="0"/>
      <w:marTop w:val="0"/>
      <w:marBottom w:val="0"/>
      <w:divBdr>
        <w:top w:val="none" w:sz="0" w:space="0" w:color="auto"/>
        <w:left w:val="none" w:sz="0" w:space="0" w:color="auto"/>
        <w:bottom w:val="none" w:sz="0" w:space="0" w:color="auto"/>
        <w:right w:val="none" w:sz="0" w:space="0" w:color="auto"/>
      </w:divBdr>
    </w:div>
    <w:div w:id="556550228">
      <w:bodyDiv w:val="1"/>
      <w:marLeft w:val="0"/>
      <w:marRight w:val="0"/>
      <w:marTop w:val="0"/>
      <w:marBottom w:val="0"/>
      <w:divBdr>
        <w:top w:val="none" w:sz="0" w:space="0" w:color="auto"/>
        <w:left w:val="none" w:sz="0" w:space="0" w:color="auto"/>
        <w:bottom w:val="none" w:sz="0" w:space="0" w:color="auto"/>
        <w:right w:val="none" w:sz="0" w:space="0" w:color="auto"/>
      </w:divBdr>
    </w:div>
    <w:div w:id="568543380">
      <w:bodyDiv w:val="1"/>
      <w:marLeft w:val="0"/>
      <w:marRight w:val="0"/>
      <w:marTop w:val="0"/>
      <w:marBottom w:val="0"/>
      <w:divBdr>
        <w:top w:val="none" w:sz="0" w:space="0" w:color="auto"/>
        <w:left w:val="none" w:sz="0" w:space="0" w:color="auto"/>
        <w:bottom w:val="none" w:sz="0" w:space="0" w:color="auto"/>
        <w:right w:val="none" w:sz="0" w:space="0" w:color="auto"/>
      </w:divBdr>
      <w:divsChild>
        <w:div w:id="1655405871">
          <w:marLeft w:val="0"/>
          <w:marRight w:val="0"/>
          <w:marTop w:val="0"/>
          <w:marBottom w:val="0"/>
          <w:divBdr>
            <w:top w:val="none" w:sz="0" w:space="0" w:color="auto"/>
            <w:left w:val="none" w:sz="0" w:space="0" w:color="auto"/>
            <w:bottom w:val="none" w:sz="0" w:space="0" w:color="auto"/>
            <w:right w:val="none" w:sz="0" w:space="0" w:color="auto"/>
          </w:divBdr>
        </w:div>
      </w:divsChild>
    </w:div>
    <w:div w:id="584613792">
      <w:bodyDiv w:val="1"/>
      <w:marLeft w:val="0"/>
      <w:marRight w:val="0"/>
      <w:marTop w:val="0"/>
      <w:marBottom w:val="0"/>
      <w:divBdr>
        <w:top w:val="none" w:sz="0" w:space="0" w:color="auto"/>
        <w:left w:val="none" w:sz="0" w:space="0" w:color="auto"/>
        <w:bottom w:val="none" w:sz="0" w:space="0" w:color="auto"/>
        <w:right w:val="none" w:sz="0" w:space="0" w:color="auto"/>
      </w:divBdr>
    </w:div>
    <w:div w:id="592318087">
      <w:bodyDiv w:val="1"/>
      <w:marLeft w:val="0"/>
      <w:marRight w:val="0"/>
      <w:marTop w:val="0"/>
      <w:marBottom w:val="0"/>
      <w:divBdr>
        <w:top w:val="none" w:sz="0" w:space="0" w:color="auto"/>
        <w:left w:val="none" w:sz="0" w:space="0" w:color="auto"/>
        <w:bottom w:val="none" w:sz="0" w:space="0" w:color="auto"/>
        <w:right w:val="none" w:sz="0" w:space="0" w:color="auto"/>
      </w:divBdr>
    </w:div>
    <w:div w:id="663625836">
      <w:bodyDiv w:val="1"/>
      <w:marLeft w:val="0"/>
      <w:marRight w:val="0"/>
      <w:marTop w:val="0"/>
      <w:marBottom w:val="0"/>
      <w:divBdr>
        <w:top w:val="none" w:sz="0" w:space="0" w:color="auto"/>
        <w:left w:val="none" w:sz="0" w:space="0" w:color="auto"/>
        <w:bottom w:val="none" w:sz="0" w:space="0" w:color="auto"/>
        <w:right w:val="none" w:sz="0" w:space="0" w:color="auto"/>
      </w:divBdr>
    </w:div>
    <w:div w:id="675696798">
      <w:bodyDiv w:val="1"/>
      <w:marLeft w:val="0"/>
      <w:marRight w:val="0"/>
      <w:marTop w:val="0"/>
      <w:marBottom w:val="0"/>
      <w:divBdr>
        <w:top w:val="none" w:sz="0" w:space="0" w:color="auto"/>
        <w:left w:val="none" w:sz="0" w:space="0" w:color="auto"/>
        <w:bottom w:val="none" w:sz="0" w:space="0" w:color="auto"/>
        <w:right w:val="none" w:sz="0" w:space="0" w:color="auto"/>
      </w:divBdr>
    </w:div>
    <w:div w:id="684596504">
      <w:bodyDiv w:val="1"/>
      <w:marLeft w:val="0"/>
      <w:marRight w:val="0"/>
      <w:marTop w:val="0"/>
      <w:marBottom w:val="0"/>
      <w:divBdr>
        <w:top w:val="none" w:sz="0" w:space="0" w:color="auto"/>
        <w:left w:val="none" w:sz="0" w:space="0" w:color="auto"/>
        <w:bottom w:val="none" w:sz="0" w:space="0" w:color="auto"/>
        <w:right w:val="none" w:sz="0" w:space="0" w:color="auto"/>
      </w:divBdr>
    </w:div>
    <w:div w:id="729614903">
      <w:bodyDiv w:val="1"/>
      <w:marLeft w:val="0"/>
      <w:marRight w:val="0"/>
      <w:marTop w:val="0"/>
      <w:marBottom w:val="0"/>
      <w:divBdr>
        <w:top w:val="none" w:sz="0" w:space="0" w:color="auto"/>
        <w:left w:val="none" w:sz="0" w:space="0" w:color="auto"/>
        <w:bottom w:val="none" w:sz="0" w:space="0" w:color="auto"/>
        <w:right w:val="none" w:sz="0" w:space="0" w:color="auto"/>
      </w:divBdr>
    </w:div>
    <w:div w:id="749355561">
      <w:bodyDiv w:val="1"/>
      <w:marLeft w:val="0"/>
      <w:marRight w:val="0"/>
      <w:marTop w:val="0"/>
      <w:marBottom w:val="0"/>
      <w:divBdr>
        <w:top w:val="none" w:sz="0" w:space="0" w:color="auto"/>
        <w:left w:val="none" w:sz="0" w:space="0" w:color="auto"/>
        <w:bottom w:val="none" w:sz="0" w:space="0" w:color="auto"/>
        <w:right w:val="none" w:sz="0" w:space="0" w:color="auto"/>
      </w:divBdr>
    </w:div>
    <w:div w:id="789515289">
      <w:bodyDiv w:val="1"/>
      <w:marLeft w:val="0"/>
      <w:marRight w:val="0"/>
      <w:marTop w:val="0"/>
      <w:marBottom w:val="0"/>
      <w:divBdr>
        <w:top w:val="none" w:sz="0" w:space="0" w:color="auto"/>
        <w:left w:val="none" w:sz="0" w:space="0" w:color="auto"/>
        <w:bottom w:val="none" w:sz="0" w:space="0" w:color="auto"/>
        <w:right w:val="none" w:sz="0" w:space="0" w:color="auto"/>
      </w:divBdr>
    </w:div>
    <w:div w:id="794177967">
      <w:bodyDiv w:val="1"/>
      <w:marLeft w:val="0"/>
      <w:marRight w:val="0"/>
      <w:marTop w:val="0"/>
      <w:marBottom w:val="0"/>
      <w:divBdr>
        <w:top w:val="none" w:sz="0" w:space="0" w:color="auto"/>
        <w:left w:val="none" w:sz="0" w:space="0" w:color="auto"/>
        <w:bottom w:val="none" w:sz="0" w:space="0" w:color="auto"/>
        <w:right w:val="none" w:sz="0" w:space="0" w:color="auto"/>
      </w:divBdr>
    </w:div>
    <w:div w:id="854539308">
      <w:bodyDiv w:val="1"/>
      <w:marLeft w:val="0"/>
      <w:marRight w:val="0"/>
      <w:marTop w:val="0"/>
      <w:marBottom w:val="0"/>
      <w:divBdr>
        <w:top w:val="none" w:sz="0" w:space="0" w:color="auto"/>
        <w:left w:val="none" w:sz="0" w:space="0" w:color="auto"/>
        <w:bottom w:val="none" w:sz="0" w:space="0" w:color="auto"/>
        <w:right w:val="none" w:sz="0" w:space="0" w:color="auto"/>
      </w:divBdr>
      <w:divsChild>
        <w:div w:id="279142828">
          <w:marLeft w:val="0"/>
          <w:marRight w:val="0"/>
          <w:marTop w:val="0"/>
          <w:marBottom w:val="0"/>
          <w:divBdr>
            <w:top w:val="none" w:sz="0" w:space="0" w:color="auto"/>
            <w:left w:val="none" w:sz="0" w:space="0" w:color="auto"/>
            <w:bottom w:val="none" w:sz="0" w:space="0" w:color="auto"/>
            <w:right w:val="none" w:sz="0" w:space="0" w:color="auto"/>
          </w:divBdr>
        </w:div>
      </w:divsChild>
    </w:div>
    <w:div w:id="907037378">
      <w:bodyDiv w:val="1"/>
      <w:marLeft w:val="0"/>
      <w:marRight w:val="0"/>
      <w:marTop w:val="0"/>
      <w:marBottom w:val="0"/>
      <w:divBdr>
        <w:top w:val="none" w:sz="0" w:space="0" w:color="auto"/>
        <w:left w:val="none" w:sz="0" w:space="0" w:color="auto"/>
        <w:bottom w:val="none" w:sz="0" w:space="0" w:color="auto"/>
        <w:right w:val="none" w:sz="0" w:space="0" w:color="auto"/>
      </w:divBdr>
    </w:div>
    <w:div w:id="916472813">
      <w:bodyDiv w:val="1"/>
      <w:marLeft w:val="0"/>
      <w:marRight w:val="0"/>
      <w:marTop w:val="0"/>
      <w:marBottom w:val="0"/>
      <w:divBdr>
        <w:top w:val="none" w:sz="0" w:space="0" w:color="auto"/>
        <w:left w:val="none" w:sz="0" w:space="0" w:color="auto"/>
        <w:bottom w:val="none" w:sz="0" w:space="0" w:color="auto"/>
        <w:right w:val="none" w:sz="0" w:space="0" w:color="auto"/>
      </w:divBdr>
    </w:div>
    <w:div w:id="916864096">
      <w:bodyDiv w:val="1"/>
      <w:marLeft w:val="0"/>
      <w:marRight w:val="0"/>
      <w:marTop w:val="0"/>
      <w:marBottom w:val="0"/>
      <w:divBdr>
        <w:top w:val="none" w:sz="0" w:space="0" w:color="auto"/>
        <w:left w:val="none" w:sz="0" w:space="0" w:color="auto"/>
        <w:bottom w:val="none" w:sz="0" w:space="0" w:color="auto"/>
        <w:right w:val="none" w:sz="0" w:space="0" w:color="auto"/>
      </w:divBdr>
    </w:div>
    <w:div w:id="953171385">
      <w:bodyDiv w:val="1"/>
      <w:marLeft w:val="0"/>
      <w:marRight w:val="0"/>
      <w:marTop w:val="0"/>
      <w:marBottom w:val="0"/>
      <w:divBdr>
        <w:top w:val="none" w:sz="0" w:space="0" w:color="auto"/>
        <w:left w:val="none" w:sz="0" w:space="0" w:color="auto"/>
        <w:bottom w:val="none" w:sz="0" w:space="0" w:color="auto"/>
        <w:right w:val="none" w:sz="0" w:space="0" w:color="auto"/>
      </w:divBdr>
    </w:div>
    <w:div w:id="957295569">
      <w:bodyDiv w:val="1"/>
      <w:marLeft w:val="0"/>
      <w:marRight w:val="0"/>
      <w:marTop w:val="0"/>
      <w:marBottom w:val="0"/>
      <w:divBdr>
        <w:top w:val="none" w:sz="0" w:space="0" w:color="auto"/>
        <w:left w:val="none" w:sz="0" w:space="0" w:color="auto"/>
        <w:bottom w:val="none" w:sz="0" w:space="0" w:color="auto"/>
        <w:right w:val="none" w:sz="0" w:space="0" w:color="auto"/>
      </w:divBdr>
    </w:div>
    <w:div w:id="963079509">
      <w:bodyDiv w:val="1"/>
      <w:marLeft w:val="0"/>
      <w:marRight w:val="0"/>
      <w:marTop w:val="0"/>
      <w:marBottom w:val="0"/>
      <w:divBdr>
        <w:top w:val="none" w:sz="0" w:space="0" w:color="auto"/>
        <w:left w:val="none" w:sz="0" w:space="0" w:color="auto"/>
        <w:bottom w:val="none" w:sz="0" w:space="0" w:color="auto"/>
        <w:right w:val="none" w:sz="0" w:space="0" w:color="auto"/>
      </w:divBdr>
    </w:div>
    <w:div w:id="1003507363">
      <w:bodyDiv w:val="1"/>
      <w:marLeft w:val="0"/>
      <w:marRight w:val="0"/>
      <w:marTop w:val="0"/>
      <w:marBottom w:val="0"/>
      <w:divBdr>
        <w:top w:val="none" w:sz="0" w:space="0" w:color="auto"/>
        <w:left w:val="none" w:sz="0" w:space="0" w:color="auto"/>
        <w:bottom w:val="none" w:sz="0" w:space="0" w:color="auto"/>
        <w:right w:val="none" w:sz="0" w:space="0" w:color="auto"/>
      </w:divBdr>
    </w:div>
    <w:div w:id="1039205501">
      <w:bodyDiv w:val="1"/>
      <w:marLeft w:val="0"/>
      <w:marRight w:val="0"/>
      <w:marTop w:val="0"/>
      <w:marBottom w:val="0"/>
      <w:divBdr>
        <w:top w:val="none" w:sz="0" w:space="0" w:color="auto"/>
        <w:left w:val="none" w:sz="0" w:space="0" w:color="auto"/>
        <w:bottom w:val="none" w:sz="0" w:space="0" w:color="auto"/>
        <w:right w:val="none" w:sz="0" w:space="0" w:color="auto"/>
      </w:divBdr>
    </w:div>
    <w:div w:id="1076124176">
      <w:bodyDiv w:val="1"/>
      <w:marLeft w:val="0"/>
      <w:marRight w:val="0"/>
      <w:marTop w:val="0"/>
      <w:marBottom w:val="0"/>
      <w:divBdr>
        <w:top w:val="none" w:sz="0" w:space="0" w:color="auto"/>
        <w:left w:val="none" w:sz="0" w:space="0" w:color="auto"/>
        <w:bottom w:val="none" w:sz="0" w:space="0" w:color="auto"/>
        <w:right w:val="none" w:sz="0" w:space="0" w:color="auto"/>
      </w:divBdr>
    </w:div>
    <w:div w:id="1105732338">
      <w:bodyDiv w:val="1"/>
      <w:marLeft w:val="0"/>
      <w:marRight w:val="0"/>
      <w:marTop w:val="0"/>
      <w:marBottom w:val="0"/>
      <w:divBdr>
        <w:top w:val="none" w:sz="0" w:space="0" w:color="auto"/>
        <w:left w:val="none" w:sz="0" w:space="0" w:color="auto"/>
        <w:bottom w:val="none" w:sz="0" w:space="0" w:color="auto"/>
        <w:right w:val="none" w:sz="0" w:space="0" w:color="auto"/>
      </w:divBdr>
    </w:div>
    <w:div w:id="1112165418">
      <w:bodyDiv w:val="1"/>
      <w:marLeft w:val="0"/>
      <w:marRight w:val="0"/>
      <w:marTop w:val="0"/>
      <w:marBottom w:val="0"/>
      <w:divBdr>
        <w:top w:val="none" w:sz="0" w:space="0" w:color="auto"/>
        <w:left w:val="none" w:sz="0" w:space="0" w:color="auto"/>
        <w:bottom w:val="none" w:sz="0" w:space="0" w:color="auto"/>
        <w:right w:val="none" w:sz="0" w:space="0" w:color="auto"/>
      </w:divBdr>
    </w:div>
    <w:div w:id="1231381574">
      <w:bodyDiv w:val="1"/>
      <w:marLeft w:val="0"/>
      <w:marRight w:val="0"/>
      <w:marTop w:val="0"/>
      <w:marBottom w:val="0"/>
      <w:divBdr>
        <w:top w:val="none" w:sz="0" w:space="0" w:color="auto"/>
        <w:left w:val="none" w:sz="0" w:space="0" w:color="auto"/>
        <w:bottom w:val="none" w:sz="0" w:space="0" w:color="auto"/>
        <w:right w:val="none" w:sz="0" w:space="0" w:color="auto"/>
      </w:divBdr>
    </w:div>
    <w:div w:id="1236628815">
      <w:bodyDiv w:val="1"/>
      <w:marLeft w:val="0"/>
      <w:marRight w:val="0"/>
      <w:marTop w:val="0"/>
      <w:marBottom w:val="0"/>
      <w:divBdr>
        <w:top w:val="none" w:sz="0" w:space="0" w:color="auto"/>
        <w:left w:val="none" w:sz="0" w:space="0" w:color="auto"/>
        <w:bottom w:val="none" w:sz="0" w:space="0" w:color="auto"/>
        <w:right w:val="none" w:sz="0" w:space="0" w:color="auto"/>
      </w:divBdr>
    </w:div>
    <w:div w:id="1254630808">
      <w:bodyDiv w:val="1"/>
      <w:marLeft w:val="0"/>
      <w:marRight w:val="0"/>
      <w:marTop w:val="0"/>
      <w:marBottom w:val="0"/>
      <w:divBdr>
        <w:top w:val="none" w:sz="0" w:space="0" w:color="auto"/>
        <w:left w:val="none" w:sz="0" w:space="0" w:color="auto"/>
        <w:bottom w:val="none" w:sz="0" w:space="0" w:color="auto"/>
        <w:right w:val="none" w:sz="0" w:space="0" w:color="auto"/>
      </w:divBdr>
    </w:div>
    <w:div w:id="1282493043">
      <w:bodyDiv w:val="1"/>
      <w:marLeft w:val="0"/>
      <w:marRight w:val="0"/>
      <w:marTop w:val="0"/>
      <w:marBottom w:val="0"/>
      <w:divBdr>
        <w:top w:val="none" w:sz="0" w:space="0" w:color="auto"/>
        <w:left w:val="none" w:sz="0" w:space="0" w:color="auto"/>
        <w:bottom w:val="none" w:sz="0" w:space="0" w:color="auto"/>
        <w:right w:val="none" w:sz="0" w:space="0" w:color="auto"/>
      </w:divBdr>
    </w:div>
    <w:div w:id="1298225399">
      <w:bodyDiv w:val="1"/>
      <w:marLeft w:val="0"/>
      <w:marRight w:val="0"/>
      <w:marTop w:val="0"/>
      <w:marBottom w:val="0"/>
      <w:divBdr>
        <w:top w:val="none" w:sz="0" w:space="0" w:color="auto"/>
        <w:left w:val="none" w:sz="0" w:space="0" w:color="auto"/>
        <w:bottom w:val="none" w:sz="0" w:space="0" w:color="auto"/>
        <w:right w:val="none" w:sz="0" w:space="0" w:color="auto"/>
      </w:divBdr>
    </w:div>
    <w:div w:id="1327326070">
      <w:bodyDiv w:val="1"/>
      <w:marLeft w:val="0"/>
      <w:marRight w:val="0"/>
      <w:marTop w:val="0"/>
      <w:marBottom w:val="0"/>
      <w:divBdr>
        <w:top w:val="none" w:sz="0" w:space="0" w:color="auto"/>
        <w:left w:val="none" w:sz="0" w:space="0" w:color="auto"/>
        <w:bottom w:val="none" w:sz="0" w:space="0" w:color="auto"/>
        <w:right w:val="none" w:sz="0" w:space="0" w:color="auto"/>
      </w:divBdr>
    </w:div>
    <w:div w:id="1356690300">
      <w:bodyDiv w:val="1"/>
      <w:marLeft w:val="0"/>
      <w:marRight w:val="0"/>
      <w:marTop w:val="0"/>
      <w:marBottom w:val="0"/>
      <w:divBdr>
        <w:top w:val="none" w:sz="0" w:space="0" w:color="auto"/>
        <w:left w:val="none" w:sz="0" w:space="0" w:color="auto"/>
        <w:bottom w:val="none" w:sz="0" w:space="0" w:color="auto"/>
        <w:right w:val="none" w:sz="0" w:space="0" w:color="auto"/>
      </w:divBdr>
      <w:divsChild>
        <w:div w:id="1991858288">
          <w:marLeft w:val="0"/>
          <w:marRight w:val="0"/>
          <w:marTop w:val="0"/>
          <w:marBottom w:val="0"/>
          <w:divBdr>
            <w:top w:val="none" w:sz="0" w:space="0" w:color="auto"/>
            <w:left w:val="none" w:sz="0" w:space="0" w:color="auto"/>
            <w:bottom w:val="none" w:sz="0" w:space="0" w:color="auto"/>
            <w:right w:val="none" w:sz="0" w:space="0" w:color="auto"/>
          </w:divBdr>
        </w:div>
      </w:divsChild>
    </w:div>
    <w:div w:id="1362439212">
      <w:bodyDiv w:val="1"/>
      <w:marLeft w:val="0"/>
      <w:marRight w:val="0"/>
      <w:marTop w:val="0"/>
      <w:marBottom w:val="0"/>
      <w:divBdr>
        <w:top w:val="none" w:sz="0" w:space="0" w:color="auto"/>
        <w:left w:val="none" w:sz="0" w:space="0" w:color="auto"/>
        <w:bottom w:val="none" w:sz="0" w:space="0" w:color="auto"/>
        <w:right w:val="none" w:sz="0" w:space="0" w:color="auto"/>
      </w:divBdr>
    </w:div>
    <w:div w:id="1375738626">
      <w:bodyDiv w:val="1"/>
      <w:marLeft w:val="0"/>
      <w:marRight w:val="0"/>
      <w:marTop w:val="0"/>
      <w:marBottom w:val="0"/>
      <w:divBdr>
        <w:top w:val="none" w:sz="0" w:space="0" w:color="auto"/>
        <w:left w:val="none" w:sz="0" w:space="0" w:color="auto"/>
        <w:bottom w:val="none" w:sz="0" w:space="0" w:color="auto"/>
        <w:right w:val="none" w:sz="0" w:space="0" w:color="auto"/>
      </w:divBdr>
    </w:div>
    <w:div w:id="1395008810">
      <w:bodyDiv w:val="1"/>
      <w:marLeft w:val="0"/>
      <w:marRight w:val="0"/>
      <w:marTop w:val="0"/>
      <w:marBottom w:val="0"/>
      <w:divBdr>
        <w:top w:val="none" w:sz="0" w:space="0" w:color="auto"/>
        <w:left w:val="none" w:sz="0" w:space="0" w:color="auto"/>
        <w:bottom w:val="none" w:sz="0" w:space="0" w:color="auto"/>
        <w:right w:val="none" w:sz="0" w:space="0" w:color="auto"/>
      </w:divBdr>
    </w:div>
    <w:div w:id="1421830693">
      <w:bodyDiv w:val="1"/>
      <w:marLeft w:val="0"/>
      <w:marRight w:val="0"/>
      <w:marTop w:val="0"/>
      <w:marBottom w:val="0"/>
      <w:divBdr>
        <w:top w:val="none" w:sz="0" w:space="0" w:color="auto"/>
        <w:left w:val="none" w:sz="0" w:space="0" w:color="auto"/>
        <w:bottom w:val="none" w:sz="0" w:space="0" w:color="auto"/>
        <w:right w:val="none" w:sz="0" w:space="0" w:color="auto"/>
      </w:divBdr>
    </w:div>
    <w:div w:id="1489588039">
      <w:bodyDiv w:val="1"/>
      <w:marLeft w:val="0"/>
      <w:marRight w:val="0"/>
      <w:marTop w:val="0"/>
      <w:marBottom w:val="0"/>
      <w:divBdr>
        <w:top w:val="none" w:sz="0" w:space="0" w:color="auto"/>
        <w:left w:val="none" w:sz="0" w:space="0" w:color="auto"/>
        <w:bottom w:val="none" w:sz="0" w:space="0" w:color="auto"/>
        <w:right w:val="none" w:sz="0" w:space="0" w:color="auto"/>
      </w:divBdr>
    </w:div>
    <w:div w:id="1499613935">
      <w:bodyDiv w:val="1"/>
      <w:marLeft w:val="0"/>
      <w:marRight w:val="0"/>
      <w:marTop w:val="0"/>
      <w:marBottom w:val="0"/>
      <w:divBdr>
        <w:top w:val="none" w:sz="0" w:space="0" w:color="auto"/>
        <w:left w:val="none" w:sz="0" w:space="0" w:color="auto"/>
        <w:bottom w:val="none" w:sz="0" w:space="0" w:color="auto"/>
        <w:right w:val="none" w:sz="0" w:space="0" w:color="auto"/>
      </w:divBdr>
    </w:div>
    <w:div w:id="1527257007">
      <w:bodyDiv w:val="1"/>
      <w:marLeft w:val="0"/>
      <w:marRight w:val="0"/>
      <w:marTop w:val="0"/>
      <w:marBottom w:val="0"/>
      <w:divBdr>
        <w:top w:val="none" w:sz="0" w:space="0" w:color="auto"/>
        <w:left w:val="none" w:sz="0" w:space="0" w:color="auto"/>
        <w:bottom w:val="none" w:sz="0" w:space="0" w:color="auto"/>
        <w:right w:val="none" w:sz="0" w:space="0" w:color="auto"/>
      </w:divBdr>
    </w:div>
    <w:div w:id="1528835180">
      <w:bodyDiv w:val="1"/>
      <w:marLeft w:val="0"/>
      <w:marRight w:val="0"/>
      <w:marTop w:val="0"/>
      <w:marBottom w:val="0"/>
      <w:divBdr>
        <w:top w:val="none" w:sz="0" w:space="0" w:color="auto"/>
        <w:left w:val="none" w:sz="0" w:space="0" w:color="auto"/>
        <w:bottom w:val="none" w:sz="0" w:space="0" w:color="auto"/>
        <w:right w:val="none" w:sz="0" w:space="0" w:color="auto"/>
      </w:divBdr>
    </w:div>
    <w:div w:id="1569539164">
      <w:bodyDiv w:val="1"/>
      <w:marLeft w:val="0"/>
      <w:marRight w:val="0"/>
      <w:marTop w:val="0"/>
      <w:marBottom w:val="0"/>
      <w:divBdr>
        <w:top w:val="none" w:sz="0" w:space="0" w:color="auto"/>
        <w:left w:val="none" w:sz="0" w:space="0" w:color="auto"/>
        <w:bottom w:val="none" w:sz="0" w:space="0" w:color="auto"/>
        <w:right w:val="none" w:sz="0" w:space="0" w:color="auto"/>
      </w:divBdr>
    </w:div>
    <w:div w:id="1592397191">
      <w:bodyDiv w:val="1"/>
      <w:marLeft w:val="0"/>
      <w:marRight w:val="0"/>
      <w:marTop w:val="0"/>
      <w:marBottom w:val="0"/>
      <w:divBdr>
        <w:top w:val="none" w:sz="0" w:space="0" w:color="auto"/>
        <w:left w:val="none" w:sz="0" w:space="0" w:color="auto"/>
        <w:bottom w:val="none" w:sz="0" w:space="0" w:color="auto"/>
        <w:right w:val="none" w:sz="0" w:space="0" w:color="auto"/>
      </w:divBdr>
    </w:div>
    <w:div w:id="1595549677">
      <w:bodyDiv w:val="1"/>
      <w:marLeft w:val="0"/>
      <w:marRight w:val="0"/>
      <w:marTop w:val="0"/>
      <w:marBottom w:val="0"/>
      <w:divBdr>
        <w:top w:val="none" w:sz="0" w:space="0" w:color="auto"/>
        <w:left w:val="none" w:sz="0" w:space="0" w:color="auto"/>
        <w:bottom w:val="none" w:sz="0" w:space="0" w:color="auto"/>
        <w:right w:val="none" w:sz="0" w:space="0" w:color="auto"/>
      </w:divBdr>
    </w:div>
    <w:div w:id="1617179927">
      <w:bodyDiv w:val="1"/>
      <w:marLeft w:val="0"/>
      <w:marRight w:val="0"/>
      <w:marTop w:val="0"/>
      <w:marBottom w:val="0"/>
      <w:divBdr>
        <w:top w:val="none" w:sz="0" w:space="0" w:color="auto"/>
        <w:left w:val="none" w:sz="0" w:space="0" w:color="auto"/>
        <w:bottom w:val="none" w:sz="0" w:space="0" w:color="auto"/>
        <w:right w:val="none" w:sz="0" w:space="0" w:color="auto"/>
      </w:divBdr>
    </w:div>
    <w:div w:id="1627272725">
      <w:bodyDiv w:val="1"/>
      <w:marLeft w:val="0"/>
      <w:marRight w:val="0"/>
      <w:marTop w:val="0"/>
      <w:marBottom w:val="0"/>
      <w:divBdr>
        <w:top w:val="none" w:sz="0" w:space="0" w:color="auto"/>
        <w:left w:val="none" w:sz="0" w:space="0" w:color="auto"/>
        <w:bottom w:val="none" w:sz="0" w:space="0" w:color="auto"/>
        <w:right w:val="none" w:sz="0" w:space="0" w:color="auto"/>
      </w:divBdr>
    </w:div>
    <w:div w:id="1662006261">
      <w:bodyDiv w:val="1"/>
      <w:marLeft w:val="0"/>
      <w:marRight w:val="0"/>
      <w:marTop w:val="0"/>
      <w:marBottom w:val="0"/>
      <w:divBdr>
        <w:top w:val="none" w:sz="0" w:space="0" w:color="auto"/>
        <w:left w:val="none" w:sz="0" w:space="0" w:color="auto"/>
        <w:bottom w:val="none" w:sz="0" w:space="0" w:color="auto"/>
        <w:right w:val="none" w:sz="0" w:space="0" w:color="auto"/>
      </w:divBdr>
    </w:div>
    <w:div w:id="1664891248">
      <w:bodyDiv w:val="1"/>
      <w:marLeft w:val="0"/>
      <w:marRight w:val="0"/>
      <w:marTop w:val="0"/>
      <w:marBottom w:val="0"/>
      <w:divBdr>
        <w:top w:val="none" w:sz="0" w:space="0" w:color="auto"/>
        <w:left w:val="none" w:sz="0" w:space="0" w:color="auto"/>
        <w:bottom w:val="none" w:sz="0" w:space="0" w:color="auto"/>
        <w:right w:val="none" w:sz="0" w:space="0" w:color="auto"/>
      </w:divBdr>
    </w:div>
    <w:div w:id="1692684345">
      <w:bodyDiv w:val="1"/>
      <w:marLeft w:val="0"/>
      <w:marRight w:val="0"/>
      <w:marTop w:val="0"/>
      <w:marBottom w:val="0"/>
      <w:divBdr>
        <w:top w:val="none" w:sz="0" w:space="0" w:color="auto"/>
        <w:left w:val="none" w:sz="0" w:space="0" w:color="auto"/>
        <w:bottom w:val="none" w:sz="0" w:space="0" w:color="auto"/>
        <w:right w:val="none" w:sz="0" w:space="0" w:color="auto"/>
      </w:divBdr>
    </w:div>
    <w:div w:id="1701661388">
      <w:bodyDiv w:val="1"/>
      <w:marLeft w:val="0"/>
      <w:marRight w:val="0"/>
      <w:marTop w:val="0"/>
      <w:marBottom w:val="0"/>
      <w:divBdr>
        <w:top w:val="none" w:sz="0" w:space="0" w:color="auto"/>
        <w:left w:val="none" w:sz="0" w:space="0" w:color="auto"/>
        <w:bottom w:val="none" w:sz="0" w:space="0" w:color="auto"/>
        <w:right w:val="none" w:sz="0" w:space="0" w:color="auto"/>
      </w:divBdr>
    </w:div>
    <w:div w:id="1771776266">
      <w:bodyDiv w:val="1"/>
      <w:marLeft w:val="0"/>
      <w:marRight w:val="0"/>
      <w:marTop w:val="0"/>
      <w:marBottom w:val="0"/>
      <w:divBdr>
        <w:top w:val="none" w:sz="0" w:space="0" w:color="auto"/>
        <w:left w:val="none" w:sz="0" w:space="0" w:color="auto"/>
        <w:bottom w:val="none" w:sz="0" w:space="0" w:color="auto"/>
        <w:right w:val="none" w:sz="0" w:space="0" w:color="auto"/>
      </w:divBdr>
    </w:div>
    <w:div w:id="1783305359">
      <w:bodyDiv w:val="1"/>
      <w:marLeft w:val="0"/>
      <w:marRight w:val="0"/>
      <w:marTop w:val="0"/>
      <w:marBottom w:val="0"/>
      <w:divBdr>
        <w:top w:val="none" w:sz="0" w:space="0" w:color="auto"/>
        <w:left w:val="none" w:sz="0" w:space="0" w:color="auto"/>
        <w:bottom w:val="none" w:sz="0" w:space="0" w:color="auto"/>
        <w:right w:val="none" w:sz="0" w:space="0" w:color="auto"/>
      </w:divBdr>
    </w:div>
    <w:div w:id="1790081860">
      <w:bodyDiv w:val="1"/>
      <w:marLeft w:val="0"/>
      <w:marRight w:val="0"/>
      <w:marTop w:val="0"/>
      <w:marBottom w:val="0"/>
      <w:divBdr>
        <w:top w:val="none" w:sz="0" w:space="0" w:color="auto"/>
        <w:left w:val="none" w:sz="0" w:space="0" w:color="auto"/>
        <w:bottom w:val="none" w:sz="0" w:space="0" w:color="auto"/>
        <w:right w:val="none" w:sz="0" w:space="0" w:color="auto"/>
      </w:divBdr>
    </w:div>
    <w:div w:id="1814328797">
      <w:bodyDiv w:val="1"/>
      <w:marLeft w:val="0"/>
      <w:marRight w:val="0"/>
      <w:marTop w:val="0"/>
      <w:marBottom w:val="0"/>
      <w:divBdr>
        <w:top w:val="none" w:sz="0" w:space="0" w:color="auto"/>
        <w:left w:val="none" w:sz="0" w:space="0" w:color="auto"/>
        <w:bottom w:val="none" w:sz="0" w:space="0" w:color="auto"/>
        <w:right w:val="none" w:sz="0" w:space="0" w:color="auto"/>
      </w:divBdr>
      <w:divsChild>
        <w:div w:id="1884512219">
          <w:marLeft w:val="0"/>
          <w:marRight w:val="0"/>
          <w:marTop w:val="0"/>
          <w:marBottom w:val="0"/>
          <w:divBdr>
            <w:top w:val="none" w:sz="0" w:space="0" w:color="auto"/>
            <w:left w:val="none" w:sz="0" w:space="0" w:color="auto"/>
            <w:bottom w:val="none" w:sz="0" w:space="0" w:color="auto"/>
            <w:right w:val="none" w:sz="0" w:space="0" w:color="auto"/>
          </w:divBdr>
        </w:div>
      </w:divsChild>
    </w:div>
    <w:div w:id="1831364171">
      <w:bodyDiv w:val="1"/>
      <w:marLeft w:val="0"/>
      <w:marRight w:val="0"/>
      <w:marTop w:val="0"/>
      <w:marBottom w:val="0"/>
      <w:divBdr>
        <w:top w:val="none" w:sz="0" w:space="0" w:color="auto"/>
        <w:left w:val="none" w:sz="0" w:space="0" w:color="auto"/>
        <w:bottom w:val="none" w:sz="0" w:space="0" w:color="auto"/>
        <w:right w:val="none" w:sz="0" w:space="0" w:color="auto"/>
      </w:divBdr>
    </w:div>
    <w:div w:id="1879394879">
      <w:bodyDiv w:val="1"/>
      <w:marLeft w:val="0"/>
      <w:marRight w:val="0"/>
      <w:marTop w:val="0"/>
      <w:marBottom w:val="0"/>
      <w:divBdr>
        <w:top w:val="none" w:sz="0" w:space="0" w:color="auto"/>
        <w:left w:val="none" w:sz="0" w:space="0" w:color="auto"/>
        <w:bottom w:val="none" w:sz="0" w:space="0" w:color="auto"/>
        <w:right w:val="none" w:sz="0" w:space="0" w:color="auto"/>
      </w:divBdr>
    </w:div>
    <w:div w:id="1895895227">
      <w:bodyDiv w:val="1"/>
      <w:marLeft w:val="0"/>
      <w:marRight w:val="0"/>
      <w:marTop w:val="0"/>
      <w:marBottom w:val="0"/>
      <w:divBdr>
        <w:top w:val="none" w:sz="0" w:space="0" w:color="auto"/>
        <w:left w:val="none" w:sz="0" w:space="0" w:color="auto"/>
        <w:bottom w:val="none" w:sz="0" w:space="0" w:color="auto"/>
        <w:right w:val="none" w:sz="0" w:space="0" w:color="auto"/>
      </w:divBdr>
    </w:div>
    <w:div w:id="1900938190">
      <w:bodyDiv w:val="1"/>
      <w:marLeft w:val="0"/>
      <w:marRight w:val="0"/>
      <w:marTop w:val="0"/>
      <w:marBottom w:val="0"/>
      <w:divBdr>
        <w:top w:val="none" w:sz="0" w:space="0" w:color="auto"/>
        <w:left w:val="none" w:sz="0" w:space="0" w:color="auto"/>
        <w:bottom w:val="none" w:sz="0" w:space="0" w:color="auto"/>
        <w:right w:val="none" w:sz="0" w:space="0" w:color="auto"/>
      </w:divBdr>
    </w:div>
    <w:div w:id="1901404717">
      <w:bodyDiv w:val="1"/>
      <w:marLeft w:val="0"/>
      <w:marRight w:val="0"/>
      <w:marTop w:val="0"/>
      <w:marBottom w:val="0"/>
      <w:divBdr>
        <w:top w:val="none" w:sz="0" w:space="0" w:color="auto"/>
        <w:left w:val="none" w:sz="0" w:space="0" w:color="auto"/>
        <w:bottom w:val="none" w:sz="0" w:space="0" w:color="auto"/>
        <w:right w:val="none" w:sz="0" w:space="0" w:color="auto"/>
      </w:divBdr>
    </w:div>
    <w:div w:id="1922791543">
      <w:bodyDiv w:val="1"/>
      <w:marLeft w:val="0"/>
      <w:marRight w:val="0"/>
      <w:marTop w:val="0"/>
      <w:marBottom w:val="0"/>
      <w:divBdr>
        <w:top w:val="none" w:sz="0" w:space="0" w:color="auto"/>
        <w:left w:val="none" w:sz="0" w:space="0" w:color="auto"/>
        <w:bottom w:val="none" w:sz="0" w:space="0" w:color="auto"/>
        <w:right w:val="none" w:sz="0" w:space="0" w:color="auto"/>
      </w:divBdr>
    </w:div>
    <w:div w:id="1923486722">
      <w:bodyDiv w:val="1"/>
      <w:marLeft w:val="0"/>
      <w:marRight w:val="0"/>
      <w:marTop w:val="0"/>
      <w:marBottom w:val="0"/>
      <w:divBdr>
        <w:top w:val="none" w:sz="0" w:space="0" w:color="auto"/>
        <w:left w:val="none" w:sz="0" w:space="0" w:color="auto"/>
        <w:bottom w:val="none" w:sz="0" w:space="0" w:color="auto"/>
        <w:right w:val="none" w:sz="0" w:space="0" w:color="auto"/>
      </w:divBdr>
    </w:div>
    <w:div w:id="1931503990">
      <w:bodyDiv w:val="1"/>
      <w:marLeft w:val="0"/>
      <w:marRight w:val="0"/>
      <w:marTop w:val="0"/>
      <w:marBottom w:val="0"/>
      <w:divBdr>
        <w:top w:val="none" w:sz="0" w:space="0" w:color="auto"/>
        <w:left w:val="none" w:sz="0" w:space="0" w:color="auto"/>
        <w:bottom w:val="none" w:sz="0" w:space="0" w:color="auto"/>
        <w:right w:val="none" w:sz="0" w:space="0" w:color="auto"/>
      </w:divBdr>
    </w:div>
    <w:div w:id="1958877341">
      <w:bodyDiv w:val="1"/>
      <w:marLeft w:val="0"/>
      <w:marRight w:val="0"/>
      <w:marTop w:val="0"/>
      <w:marBottom w:val="0"/>
      <w:divBdr>
        <w:top w:val="none" w:sz="0" w:space="0" w:color="auto"/>
        <w:left w:val="none" w:sz="0" w:space="0" w:color="auto"/>
        <w:bottom w:val="none" w:sz="0" w:space="0" w:color="auto"/>
        <w:right w:val="none" w:sz="0" w:space="0" w:color="auto"/>
      </w:divBdr>
    </w:div>
    <w:div w:id="1984043899">
      <w:bodyDiv w:val="1"/>
      <w:marLeft w:val="0"/>
      <w:marRight w:val="0"/>
      <w:marTop w:val="0"/>
      <w:marBottom w:val="0"/>
      <w:divBdr>
        <w:top w:val="none" w:sz="0" w:space="0" w:color="auto"/>
        <w:left w:val="none" w:sz="0" w:space="0" w:color="auto"/>
        <w:bottom w:val="none" w:sz="0" w:space="0" w:color="auto"/>
        <w:right w:val="none" w:sz="0" w:space="0" w:color="auto"/>
      </w:divBdr>
    </w:div>
    <w:div w:id="1990090732">
      <w:bodyDiv w:val="1"/>
      <w:marLeft w:val="0"/>
      <w:marRight w:val="0"/>
      <w:marTop w:val="0"/>
      <w:marBottom w:val="0"/>
      <w:divBdr>
        <w:top w:val="none" w:sz="0" w:space="0" w:color="auto"/>
        <w:left w:val="none" w:sz="0" w:space="0" w:color="auto"/>
        <w:bottom w:val="none" w:sz="0" w:space="0" w:color="auto"/>
        <w:right w:val="none" w:sz="0" w:space="0" w:color="auto"/>
      </w:divBdr>
    </w:div>
    <w:div w:id="2070761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Users\salihaergun\Downloads\buy_deg_tablolar%20(7).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1663342615976441E-2"/>
          <c:y val="4.1997354497354498E-2"/>
          <c:w val="0.91265290118616127"/>
          <c:h val="0.7164814814814815"/>
        </c:manualLayout>
      </c:layout>
      <c:barChart>
        <c:barDir val="col"/>
        <c:grouping val="clustered"/>
        <c:varyColors val="0"/>
        <c:ser>
          <c:idx val="0"/>
          <c:order val="0"/>
          <c:tx>
            <c:strRef>
              <c:f>'2026Q2'!$E$35</c:f>
              <c:strCache>
                <c:ptCount val="1"/>
                <c:pt idx="0">
                  <c:v>Annual change</c:v>
                </c:pt>
              </c:strCache>
            </c:strRef>
          </c:tx>
          <c:spPr>
            <a:solidFill>
              <a:schemeClr val="accent1"/>
            </a:solidFill>
            <a:ln>
              <a:noFill/>
            </a:ln>
            <a:effectLst/>
          </c:spPr>
          <c:invertIfNegative val="0"/>
          <c:dLbls>
            <c:dLbl>
              <c:idx val="25"/>
              <c:layout>
                <c:manualLayout>
                  <c:x val="-5.2358217965376729E-2"/>
                  <c:y val="-8.3994708994709066E-2"/>
                </c:manualLayout>
              </c:layout>
              <c:spPr>
                <a:noFill/>
                <a:ln>
                  <a:solidFill>
                    <a:schemeClr val="accent1"/>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accent1"/>
                      </a:solidFill>
                      <a:latin typeface="+mn-lt"/>
                      <a:ea typeface="+mn-ea"/>
                      <a:cs typeface="+mn-cs"/>
                    </a:defRPr>
                  </a:pPr>
                  <a:endParaRPr lang="en-US"/>
                </a:p>
              </c:txPr>
              <c:showLegendKey val="0"/>
              <c:showVal val="1"/>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0-26B4-DC4D-97BE-CD18988210D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'2026Q2'!$A$56:$A$81</c:f>
              <c:strCache>
                <c:ptCount val="26"/>
                <c:pt idx="0">
                  <c:v>2020Q1</c:v>
                </c:pt>
                <c:pt idx="1">
                  <c:v>2020Q2</c:v>
                </c:pt>
                <c:pt idx="2">
                  <c:v>2020Q3</c:v>
                </c:pt>
                <c:pt idx="3">
                  <c:v>2020Q4</c:v>
                </c:pt>
                <c:pt idx="4">
                  <c:v>2021Q1</c:v>
                </c:pt>
                <c:pt idx="5">
                  <c:v>2021Q2</c:v>
                </c:pt>
                <c:pt idx="6">
                  <c:v>2021Q3</c:v>
                </c:pt>
                <c:pt idx="7">
                  <c:v>2021Q4</c:v>
                </c:pt>
                <c:pt idx="8">
                  <c:v>2022Q1</c:v>
                </c:pt>
                <c:pt idx="9">
                  <c:v>2022Q2</c:v>
                </c:pt>
                <c:pt idx="10">
                  <c:v>2022Q3</c:v>
                </c:pt>
                <c:pt idx="11">
                  <c:v>2022Q4</c:v>
                </c:pt>
                <c:pt idx="12">
                  <c:v>2023Q1</c:v>
                </c:pt>
                <c:pt idx="13">
                  <c:v>2023Q2</c:v>
                </c:pt>
                <c:pt idx="14">
                  <c:v>2023Q3</c:v>
                </c:pt>
                <c:pt idx="15">
                  <c:v>2023Q4</c:v>
                </c:pt>
                <c:pt idx="16">
                  <c:v>2024Q1</c:v>
                </c:pt>
                <c:pt idx="17">
                  <c:v>2024Q2</c:v>
                </c:pt>
                <c:pt idx="18">
                  <c:v>2024Q3</c:v>
                </c:pt>
                <c:pt idx="19">
                  <c:v>2024Q4</c:v>
                </c:pt>
                <c:pt idx="20">
                  <c:v>2025Q1</c:v>
                </c:pt>
                <c:pt idx="21">
                  <c:v>2025Q2</c:v>
                </c:pt>
                <c:pt idx="22">
                  <c:v>2025Q3</c:v>
                </c:pt>
                <c:pt idx="23">
                  <c:v>2025Q4</c:v>
                </c:pt>
                <c:pt idx="24">
                  <c:v>2026Q1</c:v>
                </c:pt>
                <c:pt idx="25">
                  <c:v>2026Q2</c:v>
                </c:pt>
              </c:strCache>
            </c:strRef>
          </c:cat>
          <c:val>
            <c:numRef>
              <c:f>'2026Q2'!$E$56:$E$81</c:f>
              <c:numCache>
                <c:formatCode>0.0</c:formatCode>
                <c:ptCount val="26"/>
                <c:pt idx="0">
                  <c:v>4.2797572789965654</c:v>
                </c:pt>
                <c:pt idx="1">
                  <c:v>-10.175316414427183</c:v>
                </c:pt>
                <c:pt idx="2">
                  <c:v>6.4111192617388513</c:v>
                </c:pt>
                <c:pt idx="3">
                  <c:v>6.0196232043504327</c:v>
                </c:pt>
                <c:pt idx="4">
                  <c:v>7.964352141198372</c:v>
                </c:pt>
                <c:pt idx="5">
                  <c:v>22.39034185348001</c:v>
                </c:pt>
                <c:pt idx="6">
                  <c:v>8.1745751047599171</c:v>
                </c:pt>
                <c:pt idx="7">
                  <c:v>10.416045724310873</c:v>
                </c:pt>
                <c:pt idx="8">
                  <c:v>7.8205187171919599</c:v>
                </c:pt>
                <c:pt idx="9">
                  <c:v>7.5515681058191841</c:v>
                </c:pt>
                <c:pt idx="10">
                  <c:v>4.1273193217609805</c:v>
                </c:pt>
                <c:pt idx="11">
                  <c:v>3.0745459987924439</c:v>
                </c:pt>
                <c:pt idx="12">
                  <c:v>3.9602884674929673</c:v>
                </c:pt>
                <c:pt idx="13">
                  <c:v>4.6011817170339198</c:v>
                </c:pt>
                <c:pt idx="14">
                  <c:v>6.5002265430257555</c:v>
                </c:pt>
                <c:pt idx="15">
                  <c:v>4.9092433870538299</c:v>
                </c:pt>
                <c:pt idx="16">
                  <c:v>5.4310136020774946</c:v>
                </c:pt>
                <c:pt idx="17">
                  <c:v>2.420076877557964</c:v>
                </c:pt>
                <c:pt idx="18">
                  <c:v>2.9640503926363193</c:v>
                </c:pt>
                <c:pt idx="19">
                  <c:v>3.3222850845222363</c:v>
                </c:pt>
                <c:pt idx="20">
                  <c:v>2.5777895384236471</c:v>
                </c:pt>
                <c:pt idx="21">
                  <c:v>4.8448678581599403</c:v>
                </c:pt>
                <c:pt idx="22">
                  <c:v>3.9342386724389833</c:v>
                </c:pt>
                <c:pt idx="23">
                  <c:v>3.5409874837429633</c:v>
                </c:pt>
                <c:pt idx="24">
                  <c:v>2.6023141888454449</c:v>
                </c:pt>
                <c:pt idx="25">
                  <c:v>2.3220601922913531</c:v>
                </c:pt>
              </c:numCache>
            </c:numRef>
          </c:val>
          <c:extLst>
            <c:ext xmlns:c16="http://schemas.microsoft.com/office/drawing/2014/chart" uri="{C3380CC4-5D6E-409C-BE32-E72D297353CC}">
              <c16:uniqueId val="{00000001-26B4-DC4D-97BE-CD18988210D0}"/>
            </c:ext>
          </c:extLst>
        </c:ser>
        <c:dLbls>
          <c:showLegendKey val="0"/>
          <c:showVal val="0"/>
          <c:showCatName val="0"/>
          <c:showSerName val="0"/>
          <c:showPercent val="0"/>
          <c:showBubbleSize val="0"/>
        </c:dLbls>
        <c:gapWidth val="75"/>
        <c:overlap val="-25"/>
        <c:axId val="38164736"/>
        <c:axId val="38170624"/>
      </c:barChart>
      <c:lineChart>
        <c:grouping val="standard"/>
        <c:varyColors val="0"/>
        <c:ser>
          <c:idx val="1"/>
          <c:order val="1"/>
          <c:tx>
            <c:strRef>
              <c:f>'2026Q2'!$F$35</c:f>
              <c:strCache>
                <c:ptCount val="1"/>
                <c:pt idx="0">
                  <c:v>Quarterly change</c:v>
                </c:pt>
              </c:strCache>
            </c:strRef>
          </c:tx>
          <c:spPr>
            <a:ln w="25400" cap="rnd">
              <a:solidFill>
                <a:schemeClr val="tx1"/>
              </a:solidFill>
              <a:round/>
            </a:ln>
            <a:effectLst/>
          </c:spPr>
          <c:marker>
            <c:symbol val="none"/>
          </c:marker>
          <c:dLbls>
            <c:dLbl>
              <c:idx val="25"/>
              <c:layout>
                <c:manualLayout>
                  <c:x val="-4.487847254175148E-2"/>
                  <c:y val="0.11835618085618078"/>
                </c:manualLayout>
              </c:layout>
              <c:showLegendKey val="0"/>
              <c:showVal val="1"/>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2-26B4-DC4D-97BE-CD18988210D0}"/>
                </c:ext>
              </c:extLst>
            </c:dLbl>
            <c:spPr>
              <a:noFill/>
              <a:ln>
                <a:solidFill>
                  <a:schemeClr val="tx1"/>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'2026Q2'!$A$56:$A$81</c:f>
              <c:strCache>
                <c:ptCount val="26"/>
                <c:pt idx="0">
                  <c:v>2020Q1</c:v>
                </c:pt>
                <c:pt idx="1">
                  <c:v>2020Q2</c:v>
                </c:pt>
                <c:pt idx="2">
                  <c:v>2020Q3</c:v>
                </c:pt>
                <c:pt idx="3">
                  <c:v>2020Q4</c:v>
                </c:pt>
                <c:pt idx="4">
                  <c:v>2021Q1</c:v>
                </c:pt>
                <c:pt idx="5">
                  <c:v>2021Q2</c:v>
                </c:pt>
                <c:pt idx="6">
                  <c:v>2021Q3</c:v>
                </c:pt>
                <c:pt idx="7">
                  <c:v>2021Q4</c:v>
                </c:pt>
                <c:pt idx="8">
                  <c:v>2022Q1</c:v>
                </c:pt>
                <c:pt idx="9">
                  <c:v>2022Q2</c:v>
                </c:pt>
                <c:pt idx="10">
                  <c:v>2022Q3</c:v>
                </c:pt>
                <c:pt idx="11">
                  <c:v>2022Q4</c:v>
                </c:pt>
                <c:pt idx="12">
                  <c:v>2023Q1</c:v>
                </c:pt>
                <c:pt idx="13">
                  <c:v>2023Q2</c:v>
                </c:pt>
                <c:pt idx="14">
                  <c:v>2023Q3</c:v>
                </c:pt>
                <c:pt idx="15">
                  <c:v>2023Q4</c:v>
                </c:pt>
                <c:pt idx="16">
                  <c:v>2024Q1</c:v>
                </c:pt>
                <c:pt idx="17">
                  <c:v>2024Q2</c:v>
                </c:pt>
                <c:pt idx="18">
                  <c:v>2024Q3</c:v>
                </c:pt>
                <c:pt idx="19">
                  <c:v>2024Q4</c:v>
                </c:pt>
                <c:pt idx="20">
                  <c:v>2025Q1</c:v>
                </c:pt>
                <c:pt idx="21">
                  <c:v>2025Q2</c:v>
                </c:pt>
                <c:pt idx="22">
                  <c:v>2025Q3</c:v>
                </c:pt>
                <c:pt idx="23">
                  <c:v>2025Q4</c:v>
                </c:pt>
                <c:pt idx="24">
                  <c:v>2026Q1</c:v>
                </c:pt>
                <c:pt idx="25">
                  <c:v>2026Q2</c:v>
                </c:pt>
              </c:strCache>
            </c:strRef>
          </c:cat>
          <c:val>
            <c:numRef>
              <c:f>'2026Q2'!$F$56:$F$81</c:f>
              <c:numCache>
                <c:formatCode>0.0</c:formatCode>
                <c:ptCount val="26"/>
                <c:pt idx="0">
                  <c:v>0.35286258974236429</c:v>
                </c:pt>
                <c:pt idx="1">
                  <c:v>-10.380578678922669</c:v>
                </c:pt>
                <c:pt idx="2">
                  <c:v>15.675092418965519</c:v>
                </c:pt>
                <c:pt idx="3">
                  <c:v>1.268656260331924</c:v>
                </c:pt>
                <c:pt idx="4">
                  <c:v>2.6806047492270446</c:v>
                </c:pt>
                <c:pt idx="5">
                  <c:v>1.602507988647206</c:v>
                </c:pt>
                <c:pt idx="6">
                  <c:v>3.510023365435555</c:v>
                </c:pt>
                <c:pt idx="7">
                  <c:v>1.8347026354190721</c:v>
                </c:pt>
                <c:pt idx="8">
                  <c:v>-0.29435935945170133</c:v>
                </c:pt>
                <c:pt idx="9">
                  <c:v>1.6802493732398727</c:v>
                </c:pt>
                <c:pt idx="10">
                  <c:v>0.90209803946115219</c:v>
                </c:pt>
                <c:pt idx="11">
                  <c:v>0.97180644314180942</c:v>
                </c:pt>
                <c:pt idx="12">
                  <c:v>-0.77925124669850909</c:v>
                </c:pt>
                <c:pt idx="13">
                  <c:v>4.7484332091224157</c:v>
                </c:pt>
                <c:pt idx="14">
                  <c:v>0.77907908929997216</c:v>
                </c:pt>
                <c:pt idx="15">
                  <c:v>0.67017455973632512</c:v>
                </c:pt>
                <c:pt idx="16">
                  <c:v>1.0235370544005251</c:v>
                </c:pt>
                <c:pt idx="17">
                  <c:v>-0.20469293862696025</c:v>
                </c:pt>
                <c:pt idx="18">
                  <c:v>0.56151973436866509</c:v>
                </c:pt>
                <c:pt idx="19">
                  <c:v>1.5962954505003069</c:v>
                </c:pt>
                <c:pt idx="20">
                  <c:v>0.92530434129409755</c:v>
                </c:pt>
                <c:pt idx="21">
                  <c:v>1.1510874241443592</c:v>
                </c:pt>
                <c:pt idx="22">
                  <c:v>0.84210047347270667</c:v>
                </c:pt>
                <c:pt idx="23">
                  <c:v>0.26706620837533279</c:v>
                </c:pt>
                <c:pt idx="24">
                  <c:v>0.30818863215746894</c:v>
                </c:pt>
                <c:pt idx="25">
                  <c:v>1.1190248083140508</c:v>
                </c:pt>
              </c:numCache>
            </c:numRef>
          </c:val>
          <c:smooth val="0"/>
          <c:extLst>
            <c:ext xmlns:c16="http://schemas.microsoft.com/office/drawing/2014/chart" uri="{C3380CC4-5D6E-409C-BE32-E72D297353CC}">
              <c16:uniqueId val="{00000003-26B4-DC4D-97BE-CD18988210D0}"/>
            </c:ext>
          </c:extLst>
        </c:ser>
        <c:dLbls>
          <c:showLegendKey val="0"/>
          <c:showVal val="0"/>
          <c:showCatName val="0"/>
          <c:showSerName val="0"/>
          <c:showPercent val="0"/>
          <c:showBubbleSize val="0"/>
        </c:dLbls>
        <c:marker val="1"/>
        <c:smooth val="0"/>
        <c:axId val="38164736"/>
        <c:axId val="38170624"/>
      </c:lineChart>
      <c:catAx>
        <c:axId val="38164736"/>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b"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170624"/>
        <c:crosses val="autoZero"/>
        <c:auto val="1"/>
        <c:lblAlgn val="ctr"/>
        <c:lblOffset val="100"/>
        <c:noMultiLvlLbl val="0"/>
      </c:catAx>
      <c:valAx>
        <c:axId val="3817062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1647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192CDA151078BE4DB52CE2A0BF05C16B" ma:contentTypeVersion="16" ma:contentTypeDescription="Yeni belge oluşturun." ma:contentTypeScope="" ma:versionID="2464b6872367c00d340570baff9db5d5">
  <xsd:schema xmlns:xsd="http://www.w3.org/2001/XMLSchema" xmlns:xs="http://www.w3.org/2001/XMLSchema" xmlns:p="http://schemas.microsoft.com/office/2006/metadata/properties" xmlns:ns1="http://schemas.microsoft.com/sharepoint/v3" xmlns:ns3="6a91392b-4aab-4a5a-8abc-e018e4ed1710" xmlns:ns4="a948c1a1-7427-4f82-bcc1-319815582633" targetNamespace="http://schemas.microsoft.com/office/2006/metadata/properties" ma:root="true" ma:fieldsID="e643b129f10375a8b0d74e30ffdaf847" ns1:_="" ns3:_="" ns4:_="">
    <xsd:import namespace="http://schemas.microsoft.com/sharepoint/v3"/>
    <xsd:import namespace="6a91392b-4aab-4a5a-8abc-e018e4ed1710"/>
    <xsd:import namespace="a948c1a1-7427-4f82-bcc1-31981558263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Birleşik Uygunluk İlkesi Özellikleri" ma:hidden="true" ma:internalName="_ip_UnifiedCompliancePolicyProperties">
      <xsd:simpleType>
        <xsd:restriction base="dms:Note"/>
      </xsd:simpleType>
    </xsd:element>
    <xsd:element name="_ip_UnifiedCompliancePolicyUIAction" ma:index="23" nillable="true" ma:displayName="Birleşik Uygunluk İlkesi UI Eylemi"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91392b-4aab-4a5a-8abc-e018e4ed17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948c1a1-7427-4f82-bcc1-319815582633" elementFormDefault="qualified">
    <xsd:import namespace="http://schemas.microsoft.com/office/2006/documentManagement/types"/>
    <xsd:import namespace="http://schemas.microsoft.com/office/infopath/2007/PartnerControls"/>
    <xsd:element name="SharedWithUsers" ma:index="10"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Ayrıntıları ile Paylaşıldı" ma:internalName="SharedWithDetails" ma:readOnly="true">
      <xsd:simpleType>
        <xsd:restriction base="dms:Note">
          <xsd:maxLength value="255"/>
        </xsd:restriction>
      </xsd:simpleType>
    </xsd:element>
    <xsd:element name="SharingHintHash" ma:index="12" nillable="true" ma:displayName="İpucu Paylaşımı Karması"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4E19B37-448A-4262-8F52-E69973EE84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a91392b-4aab-4a5a-8abc-e018e4ed1710"/>
    <ds:schemaRef ds:uri="a948c1a1-7427-4f82-bcc1-3198155826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221789-BCA5-4A13-AA4D-381144116B42}">
  <ds:schemaRefs>
    <ds:schemaRef ds:uri="http://schemas.openxmlformats.org/officeDocument/2006/bibliography"/>
  </ds:schemaRefs>
</ds:datastoreItem>
</file>

<file path=customXml/itemProps3.xml><?xml version="1.0" encoding="utf-8"?>
<ds:datastoreItem xmlns:ds="http://schemas.openxmlformats.org/officeDocument/2006/customXml" ds:itemID="{F37626F8-431B-4CF4-A81B-FBECE9A7C923}">
  <ds:schemaRefs>
    <ds:schemaRef ds:uri="http://schemas.microsoft.com/sharepoint/v3/contenttype/forms"/>
  </ds:schemaRefs>
</ds:datastoreItem>
</file>

<file path=customXml/itemProps4.xml><?xml version="1.0" encoding="utf-8"?>
<ds:datastoreItem xmlns:ds="http://schemas.openxmlformats.org/officeDocument/2006/customXml" ds:itemID="{B13C4E5F-EF7F-4EBF-974F-0DFE5C48456B}">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5</Pages>
  <Words>956</Words>
  <Characters>5455</Characters>
  <Application>Microsoft Office Word</Application>
  <DocSecurity>0</DocSecurity>
  <Lines>45</Lines>
  <Paragraphs>12</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Ozan BAKIS</dc:creator>
  <cp:lastModifiedBy>Saliha TANRIVERDI</cp:lastModifiedBy>
  <cp:revision>10</cp:revision>
  <cp:lastPrinted>2025-06-04T21:46:00Z</cp:lastPrinted>
  <dcterms:created xsi:type="dcterms:W3CDTF">2026-09-05T08:06:00Z</dcterms:created>
  <dcterms:modified xsi:type="dcterms:W3CDTF">2026-10-13T12:35:00Z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0x010100192CDA151078BE4DB52CE2A0BF05C16B</vt:lpwstr>
  </property>
  <property fmtid="{D5CDD505-2E9C-101B-9397-08002B2CF9AE}" pid="3" name="GrammarlyDocumentId">
    <vt:lpwstr>05ff900d17ec4dc20a9e3178f868bd795b7c805421972546187020e574589791</vt:lpwstr>
  </property>
</Properties>
</file>