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745BEF" w14:textId="55C4350A" w:rsidR="00D07713" w:rsidRPr="002C08F1" w:rsidRDefault="00245B1A">
      <w:pPr>
        <w:rPr>
          <w:rFonts w:ascii="Palatino Linotype" w:hAnsi="Palatino Linotype" w:cstheme="minorHAnsi"/>
          <w:lang w:val="en-US"/>
        </w:rPr>
      </w:pPr>
      <w:r w:rsidRPr="002C08F1">
        <w:rPr>
          <w:rFonts w:ascii="Palatino Linotype" w:hAnsi="Palatino Linotype" w:cstheme="minorHAnsi"/>
          <w:noProof/>
          <w:lang w:val="en-US" w:eastAsia="en-GB"/>
        </w:rPr>
        <mc:AlternateContent>
          <mc:Choice Requires="wps">
            <w:drawing>
              <wp:anchor distT="0" distB="0" distL="114935" distR="114935" simplePos="0" relativeHeight="251658241" behindDoc="0" locked="0" layoutInCell="1" allowOverlap="1" wp14:anchorId="1A71AF94" wp14:editId="5995FB28">
                <wp:simplePos x="0" y="0"/>
                <wp:positionH relativeFrom="column">
                  <wp:posOffset>1797013</wp:posOffset>
                </wp:positionH>
                <wp:positionV relativeFrom="paragraph">
                  <wp:posOffset>-294603</wp:posOffset>
                </wp:positionV>
                <wp:extent cx="3819525" cy="6477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647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AAA76D" w14:textId="77777777" w:rsidR="00D07713" w:rsidRDefault="00D07713" w:rsidP="00D07713">
                            <w:pPr>
                              <w:pStyle w:val="Heading1"/>
                              <w:rPr>
                                <w:rFonts w:ascii="Times New Roman" w:hAnsi="Times New Roman" w:cs="Times New Roman"/>
                                <w:sz w:val="40"/>
                                <w:szCs w:val="40"/>
                              </w:rPr>
                            </w:pPr>
                            <w:r>
                              <w:rPr>
                                <w:rFonts w:ascii="Times New Roman" w:hAnsi="Times New Roman" w:cs="Times New Roman"/>
                                <w:sz w:val="40"/>
                                <w:szCs w:val="40"/>
                              </w:rPr>
                              <w:t>Growth Assessment:</w:t>
                            </w:r>
                          </w:p>
                          <w:p w14:paraId="28E5CBD4" w14:textId="31D29017" w:rsidR="00D07713" w:rsidRPr="00526178" w:rsidRDefault="001537D8" w:rsidP="00D07713">
                            <w:pPr>
                              <w:pStyle w:val="Heading1"/>
                              <w:rPr>
                                <w:b w:val="0"/>
                                <w:bCs w:val="0"/>
                                <w:i/>
                                <w:iCs/>
                              </w:rPr>
                            </w:pPr>
                            <w:r>
                              <w:rPr>
                                <w:rFonts w:ascii="Times New Roman" w:hAnsi="Times New Roman" w:cs="Times New Roman"/>
                                <w:sz w:val="40"/>
                                <w:szCs w:val="40"/>
                              </w:rPr>
                              <w:t>2026 Q1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71AF94" id="_x0000_t202" coordsize="21600,21600" o:spt="202" path="m,l,21600r21600,l21600,xe">
                <v:stroke joinstyle="miter"/>
                <v:path gradientshapeok="t" o:connecttype="rect"/>
              </v:shapetype>
              <v:shape id="Text Box 2" o:spid="_x0000_s1026" type="#_x0000_t202" style="position:absolute;margin-left:141.5pt;margin-top:-23.2pt;width:300.75pt;height:51pt;z-index:251658241;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L6YM9QEAANcDAAAOAAAAZHJzL2Uyb0RvYy54bWysU9tu2zAMfR+wfxD0vjjJ1suMOEWXIsOA rhvQ7QNkWb5gsqiRSuzu60fJcbrL2zA/CBQpHpKHx5ubsbfiaJA6cIVcLZZSGKeh6lxTyK9f9q+u paCgXKUsOFPIJ0PyZvvyxWbwuVlDC7YyKBjEUT74QrYh+DzLSLemV7QAbxwHa8BeBb5ik1WoBkbv bbZeLi+zAbDyCNoQsfduCsptwq9ro8OnuiYThC0k9xbSieks45ltNypvUPm206c21D900avOcdEz 1J0KShyw+wuq7zQCQR0WGvoM6rrTJs3A06yWf0zz2Cpv0ixMDvkzTfT/YPXD8dF/RhHGdzDyAtMQ 5O9BfyPhYNcq15hbRBhaoyouvIqUZYOn/JQaqaacIkg5fISKl6wOARLQWGMfWeE5BaPzAp7OpJsx CM3O19ertxfrCyk0xy7fXF0t01Yylc/ZHim8N9CLaBQSeakJXR3vKcRuVD4/icUIbFftO2vTBZty Z1EcFQtgn74p1/pWTd65HE1PE95vGNZFJAcRcyoXPYmDOPZEQBjLkYORixKqJ2YDYVIb/x1stIA/ pBhYaYWk7weFRgr7wTGjUZazgbNRzoZymlMLGaSYzF2Y5Hvw2DUtI087c3DLrNddIuS5i1OfrJ40 10npUZ6/3tOr5/9x+xMAAP//AwBQSwMEFAAGAAgAAAAhAAp05bHkAAAADwEAAA8AAABkcnMvZG93 bnJldi54bWxMj8FOwzAQRO9I/IO1SNxahzQJbhqnglZwRYRKvbrJNo4Sr6PYbcPfY05wWWm0uzPz iu1sBnbFyXWWJDwtI2BItW06aiUcvt4WApjziho1WEIJ3+hgW97fFSpv7I0+8Vr5lgUTcrmSoL0f c85drdEot7QjUtid7WSUD3JqeTOpWzA3A4+jKONGdRQStBpxp7Huq4uRsPqIn4/uvdrvxiOue+Fe +zNpKR8f5v0mjJcNMI+z//uAX4bQH8pQ7GQv1Dg2SIjFKgB5CYskS4CFCyGSFNhJQppmwMuC/+co fwAAAP//AwBQSwECLQAUAAYACAAAACEAtoM4kv4AAADhAQAAEwAAAAAAAAAAAAAAAAAAAAAAW0Nv bnRlbnRfVHlwZXNdLnhtbFBLAQItABQABgAIAAAAIQA4/SH/1gAAAJQBAAALAAAAAAAAAAAAAAAA AC8BAABfcmVscy8ucmVsc1BLAQItABQABgAIAAAAIQBmL6YM9QEAANcDAAAOAAAAAAAAAAAAAAAA AC4CAABkcnMvZTJvRG9jLnhtbFBLAQItABQABgAIAAAAIQAKdOWx5AAAAA8BAAAPAAAAAAAAAAAA AAAAAE8EAABkcnMvZG93bnJldi54bWxQSwUGAAAAAAQABADzAAAAYAUAAAAA " stroked="f">
                <v:fill opacity="0"/>
                <v:textbox inset="0,0,0,0">
                  <w:txbxContent>
                    <w:p w14:paraId="37AAA76D" w14:textId="77777777" w:rsidR="00D07713" w:rsidRDefault="00D07713" w:rsidP="00D07713">
                      <w:pPr>
                        <w:pStyle w:val="Heading1"/>
                        <w:rPr>
                          <w:rFonts w:ascii="Times New Roman" w:hAnsi="Times New Roman" w:cs="Times New Roman"/>
                          <w:sz w:val="40"/>
                          <w:szCs w:val="40"/>
                        </w:rPr>
                      </w:pPr>
                      <w:r>
                        <w:rPr>
                          <w:rFonts w:ascii="Times New Roman" w:hAnsi="Times New Roman" w:cs="Times New Roman"/>
                          <w:sz w:val="40"/>
                          <w:szCs w:val="40"/>
                        </w:rPr>
                        <w:t xml:space="preserve">Growth Assessment:</w:t>
                      </w:r>
                    </w:p>
                    <w:p w14:paraId="28E5CBD4" w14:textId="31D29017" w:rsidR="00D07713" w:rsidRPr="00526178" w:rsidRDefault="001537D8" w:rsidP="00D07713">
                      <w:pPr>
                        <w:pStyle w:val="Heading1"/>
                        <w:rPr>
                          <w:b w:val="0"/>
                          <w:bCs w:val="0"/>
                          <w:i/>
                          <w:iCs/>
                        </w:rPr>
                      </w:pPr>
                      <w:r>
                        <w:rPr>
                          <w:rFonts w:ascii="Times New Roman" w:hAnsi="Times New Roman" w:cs="Times New Roman"/>
                          <w:sz w:val="40"/>
                          <w:szCs w:val="40"/>
                        </w:rPr>
                        <w:t xml:space="preserve">2026 Q1</w:t>
                      </w:r>
                    </w:p>
                  </w:txbxContent>
                </v:textbox>
              </v:shape>
            </w:pict>
          </mc:Fallback>
        </mc:AlternateContent>
      </w:r>
      <w:r w:rsidRPr="002C08F1">
        <w:rPr>
          <w:noProof/>
          <w:lang w:val="en-US" w:eastAsia="en-GB"/>
        </w:rPr>
        <w:drawing>
          <wp:anchor distT="0" distB="0" distL="114300" distR="114300" simplePos="0" relativeHeight="251659266" behindDoc="1" locked="0" layoutInCell="1" allowOverlap="1" wp14:anchorId="75ACD14E" wp14:editId="77F1B9E2">
            <wp:simplePos x="0" y="0"/>
            <wp:positionH relativeFrom="column">
              <wp:posOffset>-658495</wp:posOffset>
            </wp:positionH>
            <wp:positionV relativeFrom="paragraph">
              <wp:posOffset>-685388</wp:posOffset>
            </wp:positionV>
            <wp:extent cx="7141135" cy="1674312"/>
            <wp:effectExtent l="12700" t="12700" r="9525" b="15240"/>
            <wp:wrapNone/>
            <wp:docPr id="1597556025" name="Resim 1" descr="A close-up of a rainbow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56025" name="Resim 1" descr="A close-up of a rainbow  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68453" cy="1704163"/>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A2A657A" w14:textId="5BF14AB3" w:rsidR="00D07713" w:rsidRPr="002C08F1" w:rsidRDefault="00D07713" w:rsidP="009E4A1F">
      <w:pPr>
        <w:spacing w:line="288" w:lineRule="auto"/>
        <w:ind w:right="-319"/>
        <w:outlineLvl w:val="0"/>
        <w:rPr>
          <w:rFonts w:ascii="Palatino Linotype" w:hAnsi="Palatino Linotype" w:cstheme="minorHAnsi"/>
          <w:lang w:val="en-US"/>
        </w:rPr>
      </w:pPr>
    </w:p>
    <w:p w14:paraId="48D1A525" w14:textId="05487E48" w:rsidR="009E4A1F" w:rsidRPr="002C08F1" w:rsidRDefault="009E4A1F" w:rsidP="009E4A1F">
      <w:pPr>
        <w:spacing w:line="288" w:lineRule="auto"/>
        <w:ind w:right="-319"/>
        <w:outlineLvl w:val="0"/>
        <w:rPr>
          <w:rFonts w:ascii="Palatino Linotype" w:hAnsi="Palatino Linotype" w:cstheme="minorHAnsi"/>
          <w:b/>
          <w:bCs/>
          <w:sz w:val="28"/>
          <w:szCs w:val="28"/>
          <w:lang w:val="en-US"/>
        </w:rPr>
      </w:pPr>
    </w:p>
    <w:p w14:paraId="6ED00D96" w14:textId="1C87C430" w:rsidR="00245B1A" w:rsidRPr="002C08F1" w:rsidRDefault="00245B1A" w:rsidP="0002466A">
      <w:pPr>
        <w:spacing w:line="288" w:lineRule="auto"/>
        <w:ind w:right="-319"/>
        <w:jc w:val="center"/>
        <w:outlineLvl w:val="0"/>
        <w:rPr>
          <w:rFonts w:ascii="Palatino Linotype" w:hAnsi="Palatino Linotype" w:cstheme="minorHAnsi"/>
          <w:b/>
          <w:bCs/>
          <w:sz w:val="28"/>
          <w:szCs w:val="28"/>
          <w:lang w:val="en-US"/>
        </w:rPr>
      </w:pPr>
      <w:r w:rsidRPr="002C08F1">
        <w:rPr>
          <w:noProof/>
          <w:lang w:val="en-US" w:eastAsia="en-GB"/>
        </w:rPr>
        <mc:AlternateContent>
          <mc:Choice Requires="wps">
            <w:drawing>
              <wp:anchor distT="0" distB="0" distL="114935" distR="114935" simplePos="0" relativeHeight="251661314" behindDoc="0" locked="0" layoutInCell="1" allowOverlap="1" wp14:anchorId="445C63A7" wp14:editId="4A18F059">
                <wp:simplePos x="0" y="0"/>
                <wp:positionH relativeFrom="margin">
                  <wp:posOffset>5143500</wp:posOffset>
                </wp:positionH>
                <wp:positionV relativeFrom="page">
                  <wp:posOffset>1678329</wp:posOffset>
                </wp:positionV>
                <wp:extent cx="1224706" cy="216000"/>
                <wp:effectExtent l="0" t="0" r="0" b="0"/>
                <wp:wrapNone/>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24706" cy="216000"/>
                        </a:xfrm>
                        <a:prstGeom prst="rect">
                          <a:avLst/>
                        </a:prstGeom>
                        <a:solidFill>
                          <a:srgbClr val="FFFFFF">
                            <a:alpha val="0"/>
                          </a:srgbClr>
                        </a:solidFill>
                        <a:ln>
                          <a:noFill/>
                        </a:ln>
                      </wps:spPr>
                      <wps:txbx>
                        <w:txbxContent>
                          <w:p w14:paraId="7C2CA3C4" w14:textId="008297F0" w:rsidR="00245B1A" w:rsidRPr="00F458F8" w:rsidRDefault="001165B4" w:rsidP="00245B1A">
                            <w:pPr>
                              <w:jc w:val="center"/>
                              <w:rPr>
                                <w:b/>
                                <w:bCs/>
                                <w:color w:val="FFFFFF" w:themeColor="background1"/>
                              </w:rPr>
                            </w:pPr>
                            <w:r>
                              <w:rPr>
                                <w:b/>
                                <w:bCs/>
                                <w:color w:val="FFFFFF" w:themeColor="background1"/>
                              </w:rPr>
                              <w:t xml:space="preserve">21 </w:t>
                            </w:r>
                            <w:r w:rsidR="00145995">
                              <w:rPr>
                                <w:b/>
                                <w:bCs/>
                                <w:color w:val="FFFFFF" w:themeColor="background1"/>
                              </w:rPr>
                              <w:t>July 2026</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C63A7" id="_x0000_t202" coordsize="21600,21600" o:spt="202" path="m,l,21600r21600,l21600,xe">
                <v:stroke joinstyle="miter"/>
                <v:path gradientshapeok="t" o:connecttype="rect"/>
              </v:shapetype>
              <v:shape id="Metin Kutusu 18" o:spid="_x0000_s1027" type="#_x0000_t202" style="position:absolute;left:0;text-align:left;margin-left:405pt;margin-top:132.15pt;width:96.45pt;height:17pt;flip:y;z-index:251661314;visibility:visible;mso-wrap-style:square;mso-width-percent:0;mso-height-percent:0;mso-wrap-distance-left:9.05pt;mso-wrap-distance-top:0;mso-wrap-distance-right:9.0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" stroked="f">
                <v:fill opacity="0"/>
                <v:textbox inset="0,0,0,0">
                  <w:txbxContent>
                    <w:p w14:paraId="7C2CA3C4" w14:textId="008297F0" w:rsidR="00245B1A" w:rsidRPr="00F458F8" w:rsidRDefault="001165B4" w:rsidP="00245B1A">
                      <w:pPr>
                        <w:jc w:val="center"/>
                        <w:rPr>
                          <w:b/>
                          <w:bCs/>
                          <w:color w:val="FFFFFF" w:themeColor="background1"/>
                        </w:rPr>
                      </w:pPr>
                      <w:r>
                        <w:rPr>
                          <w:b/>
                          <w:bCs/>
                          <w:color w:val="FFFFFF" w:themeColor="background1"/>
                        </w:rPr>
                        <w:t xml:space="preserve">21 </w:t>
                      </w:r>
                      <w:r w:rsidR="00145995">
                        <w:rPr>
                          <w:b/>
                          <w:bCs/>
                          <w:color w:val="FFFFFF" w:themeColor="background1"/>
                        </w:rPr>
                        <w:t>July 2026</w:t>
                      </w:r>
                    </w:p>
                  </w:txbxContent>
                </v:textbox>
                <w10:wrap anchorx="margin" anchory="page"/>
              </v:shape>
            </w:pict>
          </mc:Fallback>
        </mc:AlternateContent>
      </w:r>
      <w:r w:rsidRPr="002C08F1">
        <w:rPr>
          <w:rFonts w:ascii="Palatino Linotype" w:hAnsi="Palatino Linotype" w:cstheme="minorHAnsi"/>
          <w:b/>
          <w:bCs/>
          <w:sz w:val="28"/>
          <w:szCs w:val="28"/>
          <w:lang w:val="en-US"/>
        </w:rPr>
        <w:t xml:space="preserve"> </w:t>
      </w:r>
    </w:p>
    <w:p w14:paraId="05B02CBB" w14:textId="2D2E617D" w:rsidR="00245B1A" w:rsidRPr="002C08F1" w:rsidRDefault="00245B1A" w:rsidP="0002466A">
      <w:pPr>
        <w:spacing w:line="288" w:lineRule="auto"/>
        <w:ind w:right="-319"/>
        <w:jc w:val="center"/>
        <w:outlineLvl w:val="0"/>
        <w:rPr>
          <w:rFonts w:ascii="Palatino Linotype" w:hAnsi="Palatino Linotype" w:cstheme="minorHAnsi"/>
          <w:b/>
          <w:bCs/>
          <w:sz w:val="28"/>
          <w:szCs w:val="28"/>
          <w:lang w:val="en-US"/>
        </w:rPr>
      </w:pPr>
    </w:p>
    <w:p w14:paraId="161E7805" w14:textId="2506128E" w:rsidR="00EA6DD4" w:rsidRPr="002C08F1" w:rsidRDefault="00EA6DD4" w:rsidP="004623F2">
      <w:pPr>
        <w:spacing w:line="288" w:lineRule="auto"/>
        <w:ind w:right="-319"/>
        <w:jc w:val="center"/>
        <w:outlineLvl w:val="0"/>
        <w:rPr>
          <w:rFonts w:ascii="Palatino Linotype" w:hAnsi="Palatino Linotype" w:cstheme="minorHAnsi"/>
          <w:b/>
          <w:bCs/>
          <w:sz w:val="22"/>
          <w:szCs w:val="22"/>
          <w:lang w:val="en-US"/>
        </w:rPr>
      </w:pPr>
      <w:r w:rsidRPr="002C08F1">
        <w:rPr>
          <w:rFonts w:ascii="Palatino Linotype" w:hAnsi="Palatino Linotype" w:cstheme="minorHAnsi"/>
          <w:b/>
          <w:bCs/>
          <w:sz w:val="22"/>
          <w:szCs w:val="22"/>
          <w:lang w:val="en-US"/>
        </w:rPr>
        <w:t>GROWTH STALLED IN THE FIRST QUARTER</w:t>
      </w:r>
    </w:p>
    <w:p w14:paraId="75029FBC" w14:textId="77777777" w:rsidR="00EA6DD4" w:rsidRPr="002C08F1" w:rsidRDefault="00EA6DD4" w:rsidP="004623F2">
      <w:pPr>
        <w:spacing w:line="288" w:lineRule="auto"/>
        <w:ind w:right="-319"/>
        <w:jc w:val="center"/>
        <w:outlineLvl w:val="0"/>
        <w:rPr>
          <w:rFonts w:ascii="Palatino Linotype" w:hAnsi="Palatino Linotype" w:cstheme="minorHAnsi"/>
          <w:b/>
          <w:bCs/>
          <w:sz w:val="22"/>
          <w:szCs w:val="22"/>
          <w:lang w:val="en-US"/>
        </w:rPr>
      </w:pPr>
    </w:p>
    <w:p w14:paraId="428E7403" w14:textId="60898856" w:rsidR="00D07713" w:rsidRPr="002C08F1" w:rsidRDefault="006F4B75" w:rsidP="004623F2">
      <w:pPr>
        <w:spacing w:line="288" w:lineRule="auto"/>
        <w:ind w:right="-319"/>
        <w:jc w:val="center"/>
        <w:outlineLvl w:val="0"/>
        <w:rPr>
          <w:rFonts w:ascii="Palatino Linotype" w:hAnsi="Palatino Linotype" w:cstheme="minorHAnsi"/>
          <w:lang w:val="en-US"/>
        </w:rPr>
      </w:pPr>
      <w:r w:rsidRPr="002C08F1">
        <w:rPr>
          <w:rFonts w:ascii="Palatino Linotype" w:hAnsi="Palatino Linotype" w:cstheme="minorHAnsi"/>
          <w:b/>
          <w:bCs/>
          <w:sz w:val="22"/>
          <w:szCs w:val="22"/>
          <w:lang w:val="en-US"/>
        </w:rPr>
        <w:t>Seyfettin Gürsel and Saliha Tanrıverdi</w:t>
      </w:r>
      <w:r w:rsidRPr="002C08F1">
        <w:rPr>
          <w:rStyle w:val="FootnoteReference"/>
          <w:rFonts w:ascii="Palatino Linotype" w:hAnsi="Palatino Linotype" w:cstheme="minorHAnsi"/>
          <w:b/>
          <w:bCs/>
          <w:sz w:val="22"/>
          <w:szCs w:val="22"/>
          <w:lang w:val="en-US"/>
        </w:rPr>
        <w:footnoteReference w:id="2"/>
      </w:r>
      <w:r w:rsidRPr="002C08F1">
        <w:rPr>
          <w:rStyle w:val="FootnoteReference"/>
          <w:rFonts w:ascii="Palatino Linotype" w:hAnsi="Palatino Linotype" w:cstheme="minorHAnsi"/>
          <w:b/>
          <w:bCs/>
          <w:sz w:val="22"/>
          <w:szCs w:val="22"/>
          <w:lang w:val="en-US"/>
        </w:rPr>
        <w:footnoteReference w:id="3"/>
      </w:r>
    </w:p>
    <w:p w14:paraId="6E057918" w14:textId="77777777" w:rsidR="00405BD8" w:rsidRPr="002C08F1" w:rsidRDefault="00405BD8" w:rsidP="00751F72">
      <w:pPr>
        <w:jc w:val="center"/>
        <w:rPr>
          <w:rFonts w:ascii="Palatino Linotype" w:hAnsi="Palatino Linotype" w:cstheme="minorHAnsi"/>
          <w:b/>
          <w:sz w:val="22"/>
          <w:szCs w:val="22"/>
          <w:lang w:val="en-US"/>
        </w:rPr>
      </w:pPr>
    </w:p>
    <w:p w14:paraId="2F0E4C03" w14:textId="77777777" w:rsidR="00C34D9B" w:rsidRPr="002C08F1" w:rsidRDefault="00D257C1" w:rsidP="00C34D9B">
      <w:pPr>
        <w:spacing w:line="360" w:lineRule="auto"/>
        <w:jc w:val="center"/>
        <w:rPr>
          <w:rFonts w:ascii="Palatino Linotype" w:hAnsi="Palatino Linotype" w:cstheme="minorHAnsi"/>
          <w:b/>
          <w:sz w:val="22"/>
          <w:szCs w:val="22"/>
          <w:lang w:val="en-US"/>
        </w:rPr>
      </w:pPr>
      <w:r w:rsidRPr="002C08F1">
        <w:rPr>
          <w:rFonts w:ascii="Palatino Linotype" w:hAnsi="Palatino Linotype" w:cstheme="minorHAnsi"/>
          <w:b/>
          <w:sz w:val="22"/>
          <w:szCs w:val="22"/>
          <w:lang w:val="en-US"/>
        </w:rPr>
        <w:t>Executive Summary</w:t>
      </w:r>
      <w:bookmarkStart w:id="0" w:name="OLE_LINK5"/>
      <w:bookmarkStart w:id="1" w:name="OLE_LINK6"/>
    </w:p>
    <w:p w14:paraId="2AB983CC" w14:textId="39619428" w:rsidR="000B09B0" w:rsidRPr="002C08F1" w:rsidRDefault="00034933" w:rsidP="000B09B0">
      <w:pPr>
        <w:spacing w:line="360" w:lineRule="auto"/>
        <w:jc w:val="both"/>
        <w:rPr>
          <w:rFonts w:ascii="Palatino Linotype" w:hAnsi="Palatino Linotype" w:cstheme="minorHAnsi"/>
          <w:sz w:val="22"/>
          <w:szCs w:val="22"/>
          <w:lang w:val="en-US"/>
        </w:rPr>
      </w:pPr>
      <w:r w:rsidRPr="002C08F1">
        <w:rPr>
          <w:rFonts w:ascii="Palatino Linotype" w:hAnsi="Palatino Linotype" w:cstheme="minorHAnsi"/>
          <w:sz w:val="22"/>
          <w:szCs w:val="22"/>
          <w:lang w:val="en-US"/>
        </w:rPr>
        <w:t xml:space="preserve">The Turkish economy grew by 2.5% year-on-year and 0.1% quarter-on-quarter in the first quarter of 2026 (Figure 2). As in the fourth quarter of 2025, private consumption made the largest contribution to economic growth in the first quarter of 2026. Quarterly growth in private consumption slowed from 4.2% to 0.1%. With an annual increase of 4.8%, private consumption alone accounted for 2.7 percentage points of overall growth. Government consumption also increased both year-on-year and quarter-on-quarter. Investment rose by 3% year-on-year, contributing 0.9 percentage points to growth, but declined by 2.2% quarter-on-quarter, reducing growth by 0.7 percentage points. Foreign trade components also weakened on both an annual and a quarterly basis. </w:t>
      </w:r>
      <w:proofErr w:type="gramStart"/>
      <w:r w:rsidRPr="002C08F1">
        <w:rPr>
          <w:rFonts w:ascii="Palatino Linotype" w:hAnsi="Palatino Linotype" w:cstheme="minorHAnsi"/>
          <w:sz w:val="22"/>
          <w:szCs w:val="22"/>
          <w:lang w:val="en-US"/>
        </w:rPr>
        <w:t>In particular, a</w:t>
      </w:r>
      <w:proofErr w:type="gramEnd"/>
      <w:r w:rsidRPr="002C08F1">
        <w:rPr>
          <w:rFonts w:ascii="Palatino Linotype" w:hAnsi="Palatino Linotype" w:cstheme="minorHAnsi"/>
          <w:sz w:val="22"/>
          <w:szCs w:val="22"/>
          <w:lang w:val="en-US"/>
        </w:rPr>
        <w:t xml:space="preserve"> 12.7% year-on-year contraction in exports reduced growth by 3.3 percentage points. Without the 1.1-percentage-point contribution from changes in inventories, quarterly growth would have been negative. Looking ahead, the trajectory of growth will depend on the Central Bank of the Republic of Türkiye (CBRT) monetary policy stance and whether the momentum in private consumption can be sustained.</w:t>
      </w:r>
    </w:p>
    <w:p w14:paraId="3BE9A8BD" w14:textId="77777777" w:rsidR="00F41B64" w:rsidRPr="002C08F1" w:rsidRDefault="00F41B64" w:rsidP="000B09B0">
      <w:pPr>
        <w:spacing w:line="360" w:lineRule="auto"/>
        <w:jc w:val="both"/>
        <w:rPr>
          <w:rFonts w:ascii="Palatino Linotype" w:hAnsi="Palatino Linotype" w:cstheme="minorHAnsi"/>
          <w:sz w:val="22"/>
          <w:szCs w:val="22"/>
          <w:lang w:val="en-US"/>
        </w:rPr>
      </w:pPr>
    </w:p>
    <w:p w14:paraId="77877646" w14:textId="77777777" w:rsidR="00F41B64" w:rsidRPr="002C08F1" w:rsidRDefault="00F41B64" w:rsidP="00F41B64">
      <w:pPr>
        <w:pStyle w:val="NormalWeb"/>
        <w:spacing w:before="0" w:beforeAutospacing="0" w:after="0" w:afterAutospacing="0" w:line="360" w:lineRule="auto"/>
        <w:ind w:right="77"/>
        <w:rPr>
          <w:rFonts w:ascii="Palatino Linotype" w:hAnsi="Palatino Linotype" w:cstheme="minorBidi"/>
          <w:b/>
          <w:bCs/>
          <w:sz w:val="22"/>
          <w:szCs w:val="22"/>
          <w:lang w:val="en-US"/>
        </w:rPr>
      </w:pPr>
      <w:r w:rsidRPr="002C08F1">
        <w:rPr>
          <w:rFonts w:ascii="Palatino Linotype" w:hAnsi="Palatino Linotype" w:cstheme="minorBidi"/>
          <w:b/>
          <w:bCs/>
          <w:sz w:val="22"/>
          <w:szCs w:val="22"/>
          <w:lang w:val="en-US"/>
        </w:rPr>
        <w:t>Private consumption continues to contribute, but loses momentum</w:t>
      </w:r>
    </w:p>
    <w:p w14:paraId="0DFB2A03" w14:textId="386394AF" w:rsidR="00F41B64" w:rsidRPr="002C08F1" w:rsidRDefault="00F41B64" w:rsidP="007D2AD4">
      <w:pPr>
        <w:pStyle w:val="NormalWeb"/>
        <w:spacing w:before="0" w:beforeAutospacing="0" w:after="0" w:afterAutospacing="0" w:line="360" w:lineRule="auto"/>
        <w:ind w:right="77"/>
        <w:jc w:val="both"/>
        <w:rPr>
          <w:rFonts w:ascii="Palatino Linotype" w:hAnsi="Palatino Linotype" w:cstheme="minorHAnsi"/>
          <w:sz w:val="22"/>
          <w:szCs w:val="22"/>
          <w:lang w:val="en-US"/>
        </w:rPr>
      </w:pPr>
      <w:r w:rsidRPr="002C08F1">
        <w:rPr>
          <w:rFonts w:ascii="Palatino Linotype" w:hAnsi="Palatino Linotype" w:cstheme="minorHAnsi"/>
          <w:sz w:val="22"/>
          <w:szCs w:val="22"/>
          <w:lang w:val="en-US"/>
        </w:rPr>
        <w:t xml:space="preserve">According to seasonally and calendar-adjusted figures, private consumption increased by 4.8% year-on-year in the first quarter of 2026, contributing 2.7 percentage points to annual growth. In the fourth quarter, private consumption had grown by 5.2% year-on-year (Table 1). Compared with the previous quarter, private consumption rose by 0.1%, adding 0.1 </w:t>
      </w:r>
      <w:r w:rsidRPr="002C08F1">
        <w:rPr>
          <w:rFonts w:ascii="Palatino Linotype" w:hAnsi="Palatino Linotype" w:cstheme="minorHAnsi"/>
          <w:sz w:val="22"/>
          <w:szCs w:val="22"/>
          <w:lang w:val="en-US"/>
        </w:rPr>
        <w:lastRenderedPageBreak/>
        <w:t>percentage points to quarterly growth. By contrast, private consumption had increased by 4.2% between the third and fourth quarters (Table 2). Although private consumption growth appears to have slowed in the first quarter of 2026, it continued to make a positive contribution.</w:t>
      </w:r>
      <w:bookmarkStart w:id="2" w:name="OLE_LINK21"/>
      <w:bookmarkStart w:id="3" w:name="OLE_LINK22"/>
      <w:bookmarkEnd w:id="2"/>
      <w:bookmarkEnd w:id="3"/>
    </w:p>
    <w:p w14:paraId="71A7C2C9" w14:textId="5DF4ECAD" w:rsidR="00B72927" w:rsidRPr="002C08F1" w:rsidRDefault="00646879" w:rsidP="00E41A80">
      <w:pPr>
        <w:spacing w:before="120" w:after="120" w:line="259" w:lineRule="auto"/>
        <w:rPr>
          <w:rFonts w:ascii="Palatino Linotype" w:hAnsi="Palatino Linotype" w:cstheme="minorHAnsi"/>
          <w:b/>
          <w:bCs/>
          <w:sz w:val="22"/>
          <w:szCs w:val="22"/>
          <w:lang w:val="en-US"/>
        </w:rPr>
      </w:pPr>
      <w:r w:rsidRPr="002C08F1">
        <w:rPr>
          <w:rFonts w:ascii="Palatino Linotype" w:hAnsi="Palatino Linotype" w:cstheme="minorHAnsi"/>
          <w:b/>
          <w:bCs/>
          <w:sz w:val="22"/>
          <w:szCs w:val="22"/>
          <w:lang w:val="en-US"/>
        </w:rPr>
        <w:t>Figure 1: Contributions of GDP components to year-on-year growth (left panel) and their growth rates (right panel), 2026 Q1</w:t>
      </w:r>
      <w:bookmarkEnd w:id="0"/>
      <w:bookmarkEnd w:id="1"/>
    </w:p>
    <w:p w14:paraId="40B3114D" w14:textId="0F69E48B" w:rsidR="00406AC1" w:rsidRPr="002C08F1" w:rsidRDefault="00406AC1" w:rsidP="00406AC1">
      <w:pPr>
        <w:rPr>
          <w:lang w:val="en-US" w:eastAsia="en-US"/>
        </w:rPr>
      </w:pPr>
      <w:r w:rsidRPr="002C08F1">
        <w:rPr>
          <w:noProof/>
          <w:lang w:val="en-US" w:eastAsia="en-GB"/>
        </w:rPr>
        <w:drawing>
          <wp:inline distT="0" distB="0" distL="0" distR="0" wp14:anchorId="57EDA82E" wp14:editId="732AA442">
            <wp:extent cx="2844000" cy="1980000"/>
            <wp:effectExtent l="0" t="0" r="1270" b="1270"/>
            <wp:docPr id="1681438583" name="Picture 6" descr="A graph of different colored bar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1438583" name="Picture 6" descr="A graph of different colored bars  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4000" cy="1980000"/>
                    </a:xfrm>
                    <a:prstGeom prst="rect">
                      <a:avLst/>
                    </a:prstGeom>
                    <a:noFill/>
                    <a:ln>
                      <a:noFill/>
                    </a:ln>
                  </pic:spPr>
                </pic:pic>
              </a:graphicData>
            </a:graphic>
          </wp:inline>
        </w:drawing>
      </w:r>
      <w:r w:rsidRPr="002C08F1">
        <w:rPr>
          <w:lang w:val="en-US"/>
        </w:rPr>
        <w:t xml:space="preserve"> </w:t>
      </w:r>
      <w:r w:rsidRPr="002C08F1">
        <w:rPr>
          <w:noProof/>
          <w:lang w:val="en-US" w:eastAsia="en-GB"/>
        </w:rPr>
        <w:drawing>
          <wp:inline distT="0" distB="0" distL="0" distR="0" wp14:anchorId="47346928" wp14:editId="498CF23E">
            <wp:extent cx="2844000" cy="1980000"/>
            <wp:effectExtent l="0" t="0" r="1270" b="1270"/>
            <wp:docPr id="941234697" name="Picture 7" descr="A graph with numbers and a red rectangle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1234697" name="Picture 7" descr="A graph with numbers and a red rectangle  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4000" cy="1980000"/>
                    </a:xfrm>
                    <a:prstGeom prst="rect">
                      <a:avLst/>
                    </a:prstGeom>
                    <a:noFill/>
                    <a:ln>
                      <a:noFill/>
                    </a:ln>
                  </pic:spPr>
                </pic:pic>
              </a:graphicData>
            </a:graphic>
          </wp:inline>
        </w:drawing>
      </w:r>
    </w:p>
    <w:p w14:paraId="087463AA" w14:textId="0F45AF04" w:rsidR="006C3EE6" w:rsidRPr="002C08F1" w:rsidRDefault="00C1422A" w:rsidP="00245B1A">
      <w:pPr>
        <w:ind w:right="567"/>
        <w:jc w:val="both"/>
        <w:rPr>
          <w:rFonts w:ascii="Palatino Linotype" w:hAnsi="Palatino Linotype" w:cstheme="minorHAnsi"/>
          <w:sz w:val="16"/>
          <w:szCs w:val="16"/>
          <w:lang w:val="en-US"/>
        </w:rPr>
      </w:pPr>
      <w:r w:rsidRPr="002C08F1">
        <w:rPr>
          <w:rFonts w:ascii="Palatino Linotype" w:hAnsi="Palatino Linotype" w:cstheme="minorHAnsi"/>
          <w:sz w:val="18"/>
          <w:szCs w:val="18"/>
          <w:lang w:val="en-US"/>
        </w:rPr>
        <w:t xml:space="preserve">Source: </w:t>
      </w:r>
      <w:proofErr w:type="spellStart"/>
      <w:r w:rsidRPr="002C08F1">
        <w:rPr>
          <w:rFonts w:ascii="Palatino Linotype" w:hAnsi="Palatino Linotype" w:cstheme="minorHAnsi"/>
          <w:sz w:val="18"/>
          <w:szCs w:val="18"/>
          <w:lang w:val="en-US"/>
        </w:rPr>
        <w:t>TurkStat</w:t>
      </w:r>
      <w:proofErr w:type="spellEnd"/>
      <w:r w:rsidRPr="002C08F1">
        <w:rPr>
          <w:rFonts w:ascii="Palatino Linotype" w:hAnsi="Palatino Linotype" w:cstheme="minorHAnsi"/>
          <w:sz w:val="18"/>
          <w:szCs w:val="18"/>
          <w:lang w:val="en-US"/>
        </w:rPr>
        <w:t>, Betam.</w:t>
      </w:r>
    </w:p>
    <w:p w14:paraId="3B7896BC" w14:textId="77777777" w:rsidR="00DB0998" w:rsidRPr="002C08F1" w:rsidRDefault="00DB0998" w:rsidP="002C08F1">
      <w:pPr>
        <w:pStyle w:val="NormalWeb"/>
        <w:spacing w:before="0" w:beforeAutospacing="0" w:after="0" w:afterAutospacing="0" w:line="276" w:lineRule="auto"/>
        <w:ind w:right="79"/>
        <w:jc w:val="both"/>
        <w:rPr>
          <w:rFonts w:ascii="Palatino Linotype" w:hAnsi="Palatino Linotype" w:cstheme="minorHAnsi"/>
          <w:sz w:val="22"/>
          <w:szCs w:val="22"/>
          <w:lang w:val="en-US"/>
        </w:rPr>
      </w:pPr>
    </w:p>
    <w:p w14:paraId="45426CB6" w14:textId="77777777" w:rsidR="00DB0998" w:rsidRPr="002C08F1" w:rsidRDefault="00DB0998" w:rsidP="002C08F1">
      <w:pPr>
        <w:keepNext/>
        <w:spacing w:after="120"/>
        <w:ind w:right="79"/>
        <w:jc w:val="both"/>
        <w:rPr>
          <w:rFonts w:ascii="Palatino Linotype" w:hAnsi="Palatino Linotype" w:cstheme="minorHAnsi"/>
          <w:b/>
          <w:bCs/>
          <w:sz w:val="22"/>
          <w:szCs w:val="22"/>
          <w:lang w:val="en-US"/>
        </w:rPr>
      </w:pPr>
      <w:r w:rsidRPr="002C08F1">
        <w:rPr>
          <w:rFonts w:ascii="Palatino Linotype" w:hAnsi="Palatino Linotype" w:cstheme="minorHAnsi"/>
          <w:b/>
          <w:bCs/>
          <w:sz w:val="22"/>
          <w:szCs w:val="22"/>
          <w:lang w:val="en-US"/>
        </w:rPr>
        <w:t>Table 1: Year-on-year growth rates and contributions to growth of GDP components, 2025 Q4 and 2026 Q1</w:t>
      </w:r>
      <w:bookmarkStart w:id="4" w:name="OLE_LINK1"/>
      <w:bookmarkStart w:id="5" w:name="OLE_LINK2"/>
      <w:bookmarkEnd w:id="4"/>
      <w:bookmarkEnd w:id="5"/>
    </w:p>
    <w:tbl>
      <w:tblPr>
        <w:tblW w:w="8540" w:type="dxa"/>
        <w:tblCellMar>
          <w:left w:w="70" w:type="dxa"/>
          <w:right w:w="70" w:type="dxa"/>
        </w:tblCellMar>
        <w:tblLook w:val="04A0" w:firstRow="1" w:lastRow="0" w:firstColumn="1" w:lastColumn="0" w:noHBand="0" w:noVBand="1"/>
      </w:tblPr>
      <w:tblGrid>
        <w:gridCol w:w="2590"/>
        <w:gridCol w:w="1115"/>
        <w:gridCol w:w="1788"/>
        <w:gridCol w:w="1259"/>
        <w:gridCol w:w="1788"/>
      </w:tblGrid>
      <w:tr w:rsidR="00DB0998" w:rsidRPr="002C08F1" w14:paraId="5E67C891" w14:textId="77777777" w:rsidTr="002C08F1">
        <w:trPr>
          <w:trHeight w:val="282"/>
        </w:trPr>
        <w:tc>
          <w:tcPr>
            <w:tcW w:w="2590" w:type="dxa"/>
            <w:tcBorders>
              <w:top w:val="single" w:sz="4" w:space="0" w:color="auto"/>
              <w:left w:val="single" w:sz="4" w:space="0" w:color="auto"/>
              <w:bottom w:val="nil"/>
              <w:right w:val="single" w:sz="4" w:space="0" w:color="auto"/>
            </w:tcBorders>
            <w:shd w:val="clear" w:color="000000" w:fill="FFFFFF"/>
            <w:noWrap/>
            <w:vAlign w:val="bottom"/>
            <w:hideMark/>
          </w:tcPr>
          <w:p w14:paraId="20515969"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 </w:t>
            </w:r>
          </w:p>
        </w:tc>
        <w:tc>
          <w:tcPr>
            <w:tcW w:w="2903"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6BDFDC12" w14:textId="77777777" w:rsidR="00DB0998" w:rsidRPr="002C08F1" w:rsidRDefault="00DB0998" w:rsidP="005D6A74">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2025Q4</w:t>
            </w:r>
          </w:p>
        </w:tc>
        <w:tc>
          <w:tcPr>
            <w:tcW w:w="304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060A90F5" w14:textId="77777777" w:rsidR="00DB0998" w:rsidRPr="002C08F1" w:rsidRDefault="00DB0998" w:rsidP="005D6A74">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2026Q1</w:t>
            </w:r>
          </w:p>
        </w:tc>
      </w:tr>
      <w:tr w:rsidR="00DB0998" w:rsidRPr="002C08F1" w14:paraId="749C4B4B" w14:textId="77777777" w:rsidTr="002C08F1">
        <w:trPr>
          <w:trHeight w:val="282"/>
        </w:trPr>
        <w:tc>
          <w:tcPr>
            <w:tcW w:w="2590" w:type="dxa"/>
            <w:tcBorders>
              <w:top w:val="nil"/>
              <w:left w:val="single" w:sz="4" w:space="0" w:color="auto"/>
              <w:bottom w:val="single" w:sz="4" w:space="0" w:color="auto"/>
              <w:right w:val="single" w:sz="4" w:space="0" w:color="auto"/>
            </w:tcBorders>
            <w:shd w:val="clear" w:color="000000" w:fill="FFFFFF"/>
            <w:noWrap/>
            <w:vAlign w:val="bottom"/>
            <w:hideMark/>
          </w:tcPr>
          <w:p w14:paraId="4E863A0B"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 </w:t>
            </w:r>
          </w:p>
        </w:tc>
        <w:tc>
          <w:tcPr>
            <w:tcW w:w="1115" w:type="dxa"/>
            <w:tcBorders>
              <w:top w:val="nil"/>
              <w:left w:val="nil"/>
              <w:bottom w:val="single" w:sz="4" w:space="0" w:color="auto"/>
              <w:right w:val="nil"/>
            </w:tcBorders>
            <w:shd w:val="clear" w:color="000000" w:fill="FFFFFF"/>
            <w:noWrap/>
            <w:vAlign w:val="bottom"/>
            <w:hideMark/>
          </w:tcPr>
          <w:p w14:paraId="0E6D89E5" w14:textId="77777777" w:rsidR="00DB0998" w:rsidRPr="002C08F1" w:rsidRDefault="00DB0998" w:rsidP="005D6A74">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Change (%)</w:t>
            </w:r>
          </w:p>
        </w:tc>
        <w:tc>
          <w:tcPr>
            <w:tcW w:w="1788" w:type="dxa"/>
            <w:tcBorders>
              <w:top w:val="nil"/>
              <w:left w:val="nil"/>
              <w:bottom w:val="nil"/>
              <w:right w:val="single" w:sz="4" w:space="0" w:color="auto"/>
            </w:tcBorders>
            <w:shd w:val="clear" w:color="000000" w:fill="FFFFFF"/>
            <w:noWrap/>
            <w:vAlign w:val="bottom"/>
            <w:hideMark/>
          </w:tcPr>
          <w:p w14:paraId="1B4FDE20" w14:textId="77777777" w:rsidR="00DB0998" w:rsidRPr="002C08F1" w:rsidRDefault="00DB0998" w:rsidP="005D6A74">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Contribution (pp)</w:t>
            </w:r>
          </w:p>
        </w:tc>
        <w:tc>
          <w:tcPr>
            <w:tcW w:w="1259" w:type="dxa"/>
            <w:tcBorders>
              <w:top w:val="nil"/>
              <w:left w:val="nil"/>
              <w:bottom w:val="nil"/>
              <w:right w:val="nil"/>
            </w:tcBorders>
            <w:shd w:val="clear" w:color="000000" w:fill="FFFFFF"/>
            <w:noWrap/>
            <w:vAlign w:val="bottom"/>
            <w:hideMark/>
          </w:tcPr>
          <w:p w14:paraId="6209337C" w14:textId="77777777" w:rsidR="00DB0998" w:rsidRPr="002C08F1" w:rsidRDefault="00DB0998" w:rsidP="005D6A74">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Change (%)</w:t>
            </w:r>
          </w:p>
        </w:tc>
        <w:tc>
          <w:tcPr>
            <w:tcW w:w="1788" w:type="dxa"/>
            <w:tcBorders>
              <w:top w:val="nil"/>
              <w:left w:val="nil"/>
              <w:bottom w:val="nil"/>
              <w:right w:val="single" w:sz="4" w:space="0" w:color="auto"/>
            </w:tcBorders>
            <w:shd w:val="clear" w:color="000000" w:fill="FFFFFF"/>
            <w:noWrap/>
            <w:vAlign w:val="bottom"/>
            <w:hideMark/>
          </w:tcPr>
          <w:p w14:paraId="16090F4A" w14:textId="77777777" w:rsidR="00DB0998" w:rsidRPr="002C08F1" w:rsidRDefault="00DB0998" w:rsidP="005D6A74">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Contribution (pp)</w:t>
            </w:r>
          </w:p>
        </w:tc>
      </w:tr>
      <w:tr w:rsidR="00DB0998" w:rsidRPr="002C08F1" w14:paraId="7B5F16AF" w14:textId="77777777" w:rsidTr="002C08F1">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2B016C0A"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Private consumption</w:t>
            </w:r>
          </w:p>
        </w:tc>
        <w:tc>
          <w:tcPr>
            <w:tcW w:w="1115" w:type="dxa"/>
            <w:tcBorders>
              <w:top w:val="nil"/>
              <w:left w:val="nil"/>
              <w:bottom w:val="nil"/>
              <w:right w:val="nil"/>
            </w:tcBorders>
            <w:shd w:val="clear" w:color="000000" w:fill="FFFFFF"/>
            <w:noWrap/>
            <w:vAlign w:val="bottom"/>
            <w:hideMark/>
          </w:tcPr>
          <w:p w14:paraId="709A95C5"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5,2</w:t>
            </w:r>
          </w:p>
        </w:tc>
        <w:tc>
          <w:tcPr>
            <w:tcW w:w="1788" w:type="dxa"/>
            <w:tcBorders>
              <w:top w:val="single" w:sz="4" w:space="0" w:color="auto"/>
              <w:left w:val="nil"/>
              <w:bottom w:val="nil"/>
              <w:right w:val="single" w:sz="4" w:space="0" w:color="auto"/>
            </w:tcBorders>
            <w:shd w:val="clear" w:color="000000" w:fill="FFFFFF"/>
            <w:noWrap/>
            <w:vAlign w:val="bottom"/>
            <w:hideMark/>
          </w:tcPr>
          <w:p w14:paraId="7570941C"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2,9</w:t>
            </w:r>
          </w:p>
        </w:tc>
        <w:tc>
          <w:tcPr>
            <w:tcW w:w="1259" w:type="dxa"/>
            <w:tcBorders>
              <w:top w:val="single" w:sz="4" w:space="0" w:color="auto"/>
              <w:left w:val="nil"/>
              <w:bottom w:val="nil"/>
              <w:right w:val="nil"/>
            </w:tcBorders>
            <w:shd w:val="clear" w:color="000000" w:fill="FFFFFF"/>
            <w:noWrap/>
            <w:vAlign w:val="bottom"/>
            <w:hideMark/>
          </w:tcPr>
          <w:p w14:paraId="7AEEE596"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4,8</w:t>
            </w:r>
          </w:p>
        </w:tc>
        <w:tc>
          <w:tcPr>
            <w:tcW w:w="1788" w:type="dxa"/>
            <w:tcBorders>
              <w:top w:val="single" w:sz="4" w:space="0" w:color="auto"/>
              <w:left w:val="nil"/>
              <w:bottom w:val="nil"/>
              <w:right w:val="single" w:sz="4" w:space="0" w:color="auto"/>
            </w:tcBorders>
            <w:shd w:val="clear" w:color="000000" w:fill="FFFFFF"/>
            <w:noWrap/>
            <w:vAlign w:val="bottom"/>
            <w:hideMark/>
          </w:tcPr>
          <w:p w14:paraId="39EAAF97"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2,7</w:t>
            </w:r>
          </w:p>
        </w:tc>
      </w:tr>
      <w:tr w:rsidR="00DB0998" w:rsidRPr="002C08F1" w14:paraId="27B1BFE7" w14:textId="77777777" w:rsidTr="002C08F1">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09F627D2"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Government consumption</w:t>
            </w:r>
          </w:p>
        </w:tc>
        <w:tc>
          <w:tcPr>
            <w:tcW w:w="1115" w:type="dxa"/>
            <w:tcBorders>
              <w:top w:val="nil"/>
              <w:left w:val="nil"/>
              <w:bottom w:val="nil"/>
              <w:right w:val="nil"/>
            </w:tcBorders>
            <w:shd w:val="clear" w:color="000000" w:fill="FFFFFF"/>
            <w:noWrap/>
            <w:vAlign w:val="bottom"/>
            <w:hideMark/>
          </w:tcPr>
          <w:p w14:paraId="43625AA9"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-0,9</w:t>
            </w:r>
          </w:p>
        </w:tc>
        <w:tc>
          <w:tcPr>
            <w:tcW w:w="1788" w:type="dxa"/>
            <w:tcBorders>
              <w:top w:val="nil"/>
              <w:left w:val="nil"/>
              <w:bottom w:val="nil"/>
              <w:right w:val="single" w:sz="4" w:space="0" w:color="auto"/>
            </w:tcBorders>
            <w:shd w:val="clear" w:color="000000" w:fill="FFFFFF"/>
            <w:noWrap/>
            <w:vAlign w:val="bottom"/>
            <w:hideMark/>
          </w:tcPr>
          <w:p w14:paraId="2F3CE827"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-0,1</w:t>
            </w:r>
          </w:p>
        </w:tc>
        <w:tc>
          <w:tcPr>
            <w:tcW w:w="1259" w:type="dxa"/>
            <w:tcBorders>
              <w:top w:val="nil"/>
              <w:left w:val="nil"/>
              <w:bottom w:val="nil"/>
              <w:right w:val="nil"/>
            </w:tcBorders>
            <w:shd w:val="clear" w:color="000000" w:fill="FFFFFF"/>
            <w:noWrap/>
            <w:vAlign w:val="bottom"/>
            <w:hideMark/>
          </w:tcPr>
          <w:p w14:paraId="4EA2E314"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2,1</w:t>
            </w:r>
          </w:p>
        </w:tc>
        <w:tc>
          <w:tcPr>
            <w:tcW w:w="1788" w:type="dxa"/>
            <w:tcBorders>
              <w:top w:val="nil"/>
              <w:left w:val="nil"/>
              <w:bottom w:val="nil"/>
              <w:right w:val="single" w:sz="4" w:space="0" w:color="auto"/>
            </w:tcBorders>
            <w:shd w:val="clear" w:color="000000" w:fill="FFFFFF"/>
            <w:noWrap/>
            <w:vAlign w:val="bottom"/>
            <w:hideMark/>
          </w:tcPr>
          <w:p w14:paraId="59EE57F9"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0,3</w:t>
            </w:r>
          </w:p>
        </w:tc>
      </w:tr>
      <w:tr w:rsidR="00DB0998" w:rsidRPr="002C08F1" w14:paraId="6F23018B" w14:textId="77777777" w:rsidTr="002C08F1">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691BCF97"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Investment</w:t>
            </w:r>
          </w:p>
        </w:tc>
        <w:tc>
          <w:tcPr>
            <w:tcW w:w="1115" w:type="dxa"/>
            <w:tcBorders>
              <w:top w:val="nil"/>
              <w:left w:val="nil"/>
              <w:bottom w:val="nil"/>
              <w:right w:val="nil"/>
            </w:tcBorders>
            <w:shd w:val="clear" w:color="000000" w:fill="FFFFFF"/>
            <w:noWrap/>
            <w:vAlign w:val="bottom"/>
            <w:hideMark/>
          </w:tcPr>
          <w:p w14:paraId="6AF7C96A"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5,4</w:t>
            </w:r>
          </w:p>
        </w:tc>
        <w:tc>
          <w:tcPr>
            <w:tcW w:w="1788" w:type="dxa"/>
            <w:tcBorders>
              <w:top w:val="nil"/>
              <w:left w:val="nil"/>
              <w:bottom w:val="nil"/>
              <w:right w:val="single" w:sz="4" w:space="0" w:color="auto"/>
            </w:tcBorders>
            <w:shd w:val="clear" w:color="000000" w:fill="FFFFFF"/>
            <w:noWrap/>
            <w:vAlign w:val="bottom"/>
            <w:hideMark/>
          </w:tcPr>
          <w:p w14:paraId="3EF6E77C"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1,7</w:t>
            </w:r>
          </w:p>
        </w:tc>
        <w:tc>
          <w:tcPr>
            <w:tcW w:w="1259" w:type="dxa"/>
            <w:tcBorders>
              <w:top w:val="nil"/>
              <w:left w:val="nil"/>
              <w:bottom w:val="nil"/>
              <w:right w:val="nil"/>
            </w:tcBorders>
            <w:shd w:val="clear" w:color="000000" w:fill="FFFFFF"/>
            <w:noWrap/>
            <w:vAlign w:val="bottom"/>
            <w:hideMark/>
          </w:tcPr>
          <w:p w14:paraId="211B632E"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3,0</w:t>
            </w:r>
          </w:p>
        </w:tc>
        <w:tc>
          <w:tcPr>
            <w:tcW w:w="1788" w:type="dxa"/>
            <w:tcBorders>
              <w:top w:val="nil"/>
              <w:left w:val="nil"/>
              <w:bottom w:val="nil"/>
              <w:right w:val="single" w:sz="4" w:space="0" w:color="auto"/>
            </w:tcBorders>
            <w:shd w:val="clear" w:color="000000" w:fill="FFFFFF"/>
            <w:noWrap/>
            <w:vAlign w:val="bottom"/>
            <w:hideMark/>
          </w:tcPr>
          <w:p w14:paraId="32B89B1A"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0,9</w:t>
            </w:r>
          </w:p>
        </w:tc>
      </w:tr>
      <w:tr w:rsidR="00DB0998" w:rsidRPr="002C08F1" w14:paraId="5E00231E" w14:textId="77777777" w:rsidTr="002C08F1">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2CFF2E2E"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Inventory changes</w:t>
            </w:r>
          </w:p>
        </w:tc>
        <w:tc>
          <w:tcPr>
            <w:tcW w:w="1115" w:type="dxa"/>
            <w:tcBorders>
              <w:top w:val="nil"/>
              <w:left w:val="nil"/>
              <w:bottom w:val="nil"/>
              <w:right w:val="nil"/>
            </w:tcBorders>
            <w:shd w:val="clear" w:color="000000" w:fill="FFFFFF"/>
            <w:noWrap/>
            <w:vAlign w:val="bottom"/>
            <w:hideMark/>
          </w:tcPr>
          <w:p w14:paraId="549B57C7" w14:textId="77777777" w:rsidR="00DB0998" w:rsidRPr="002C08F1" w:rsidRDefault="00DB0998" w:rsidP="005D6A74">
            <w:pPr>
              <w:jc w:val="center"/>
              <w:rPr>
                <w:rFonts w:ascii="Calibri" w:hAnsi="Calibri" w:cs="Calibri"/>
                <w:color w:val="000000"/>
                <w:sz w:val="20"/>
                <w:szCs w:val="20"/>
                <w:lang w:val="en-US"/>
              </w:rPr>
            </w:pPr>
          </w:p>
        </w:tc>
        <w:tc>
          <w:tcPr>
            <w:tcW w:w="1788" w:type="dxa"/>
            <w:tcBorders>
              <w:top w:val="nil"/>
              <w:left w:val="nil"/>
              <w:bottom w:val="nil"/>
              <w:right w:val="single" w:sz="4" w:space="0" w:color="auto"/>
            </w:tcBorders>
            <w:shd w:val="clear" w:color="000000" w:fill="FFFFFF"/>
            <w:noWrap/>
            <w:vAlign w:val="bottom"/>
            <w:hideMark/>
          </w:tcPr>
          <w:p w14:paraId="6683488E"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0,0</w:t>
            </w:r>
          </w:p>
        </w:tc>
        <w:tc>
          <w:tcPr>
            <w:tcW w:w="1259" w:type="dxa"/>
            <w:tcBorders>
              <w:top w:val="nil"/>
              <w:left w:val="nil"/>
              <w:bottom w:val="nil"/>
              <w:right w:val="nil"/>
            </w:tcBorders>
            <w:shd w:val="clear" w:color="000000" w:fill="FFFFFF"/>
            <w:noWrap/>
            <w:vAlign w:val="bottom"/>
            <w:hideMark/>
          </w:tcPr>
          <w:p w14:paraId="55835291" w14:textId="77777777" w:rsidR="00DB0998" w:rsidRPr="002C08F1" w:rsidRDefault="00DB0998" w:rsidP="005D6A74">
            <w:pPr>
              <w:jc w:val="center"/>
              <w:rPr>
                <w:rFonts w:ascii="Calibri" w:hAnsi="Calibri" w:cs="Calibri"/>
                <w:color w:val="000000"/>
                <w:sz w:val="20"/>
                <w:szCs w:val="20"/>
                <w:lang w:val="en-US"/>
              </w:rPr>
            </w:pPr>
          </w:p>
        </w:tc>
        <w:tc>
          <w:tcPr>
            <w:tcW w:w="1788" w:type="dxa"/>
            <w:tcBorders>
              <w:top w:val="nil"/>
              <w:left w:val="nil"/>
              <w:bottom w:val="nil"/>
              <w:right w:val="single" w:sz="4" w:space="0" w:color="auto"/>
            </w:tcBorders>
            <w:shd w:val="clear" w:color="000000" w:fill="FFFFFF"/>
            <w:noWrap/>
            <w:vAlign w:val="bottom"/>
            <w:hideMark/>
          </w:tcPr>
          <w:p w14:paraId="2A035C7E"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1,6</w:t>
            </w:r>
          </w:p>
        </w:tc>
      </w:tr>
      <w:tr w:rsidR="00DB0998" w:rsidRPr="002C08F1" w14:paraId="51BA6D4F" w14:textId="77777777" w:rsidTr="002C08F1">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46500B77"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Exports</w:t>
            </w:r>
          </w:p>
        </w:tc>
        <w:tc>
          <w:tcPr>
            <w:tcW w:w="1115" w:type="dxa"/>
            <w:tcBorders>
              <w:top w:val="nil"/>
              <w:left w:val="nil"/>
              <w:bottom w:val="nil"/>
              <w:right w:val="nil"/>
            </w:tcBorders>
            <w:shd w:val="clear" w:color="000000" w:fill="FFFFFF"/>
            <w:noWrap/>
            <w:vAlign w:val="bottom"/>
            <w:hideMark/>
          </w:tcPr>
          <w:p w14:paraId="07D4BEB5"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-2,3</w:t>
            </w:r>
          </w:p>
        </w:tc>
        <w:tc>
          <w:tcPr>
            <w:tcW w:w="1788" w:type="dxa"/>
            <w:tcBorders>
              <w:top w:val="nil"/>
              <w:left w:val="nil"/>
              <w:bottom w:val="nil"/>
              <w:right w:val="single" w:sz="4" w:space="0" w:color="auto"/>
            </w:tcBorders>
            <w:shd w:val="clear" w:color="000000" w:fill="FFFFFF"/>
            <w:noWrap/>
            <w:vAlign w:val="bottom"/>
            <w:hideMark/>
          </w:tcPr>
          <w:p w14:paraId="07A4DD81"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-0,5</w:t>
            </w:r>
          </w:p>
        </w:tc>
        <w:tc>
          <w:tcPr>
            <w:tcW w:w="1259" w:type="dxa"/>
            <w:tcBorders>
              <w:top w:val="nil"/>
              <w:left w:val="nil"/>
              <w:bottom w:val="nil"/>
              <w:right w:val="nil"/>
            </w:tcBorders>
            <w:shd w:val="clear" w:color="000000" w:fill="FFFFFF"/>
            <w:noWrap/>
            <w:vAlign w:val="bottom"/>
            <w:hideMark/>
          </w:tcPr>
          <w:p w14:paraId="5AD256BC"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-12,7</w:t>
            </w:r>
          </w:p>
        </w:tc>
        <w:tc>
          <w:tcPr>
            <w:tcW w:w="1788" w:type="dxa"/>
            <w:tcBorders>
              <w:top w:val="nil"/>
              <w:left w:val="nil"/>
              <w:bottom w:val="nil"/>
              <w:right w:val="single" w:sz="4" w:space="0" w:color="auto"/>
            </w:tcBorders>
            <w:shd w:val="clear" w:color="000000" w:fill="FFFFFF"/>
            <w:noWrap/>
            <w:vAlign w:val="bottom"/>
            <w:hideMark/>
          </w:tcPr>
          <w:p w14:paraId="52563EF7"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-3,3</w:t>
            </w:r>
          </w:p>
        </w:tc>
      </w:tr>
      <w:tr w:rsidR="00DB0998" w:rsidRPr="002C08F1" w14:paraId="2E9D45C9" w14:textId="77777777" w:rsidTr="002C08F1">
        <w:trPr>
          <w:trHeight w:val="282"/>
        </w:trPr>
        <w:tc>
          <w:tcPr>
            <w:tcW w:w="2590" w:type="dxa"/>
            <w:tcBorders>
              <w:top w:val="nil"/>
              <w:left w:val="single" w:sz="4" w:space="0" w:color="auto"/>
              <w:bottom w:val="nil"/>
              <w:right w:val="single" w:sz="4" w:space="0" w:color="auto"/>
            </w:tcBorders>
            <w:shd w:val="clear" w:color="000000" w:fill="FFFFFF"/>
            <w:noWrap/>
            <w:vAlign w:val="bottom"/>
            <w:hideMark/>
          </w:tcPr>
          <w:p w14:paraId="780058E5"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Imports</w:t>
            </w:r>
          </w:p>
        </w:tc>
        <w:tc>
          <w:tcPr>
            <w:tcW w:w="1115" w:type="dxa"/>
            <w:tcBorders>
              <w:top w:val="nil"/>
              <w:left w:val="nil"/>
              <w:bottom w:val="nil"/>
              <w:right w:val="nil"/>
            </w:tcBorders>
            <w:shd w:val="clear" w:color="000000" w:fill="FFFFFF"/>
            <w:noWrap/>
            <w:vAlign w:val="bottom"/>
            <w:hideMark/>
          </w:tcPr>
          <w:p w14:paraId="405F4A4B"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3,8</w:t>
            </w:r>
          </w:p>
        </w:tc>
        <w:tc>
          <w:tcPr>
            <w:tcW w:w="1788" w:type="dxa"/>
            <w:tcBorders>
              <w:top w:val="nil"/>
              <w:left w:val="nil"/>
              <w:bottom w:val="nil"/>
              <w:right w:val="single" w:sz="4" w:space="0" w:color="auto"/>
            </w:tcBorders>
            <w:shd w:val="clear" w:color="000000" w:fill="FFFFFF"/>
            <w:noWrap/>
            <w:vAlign w:val="bottom"/>
            <w:hideMark/>
          </w:tcPr>
          <w:p w14:paraId="22B1F7E3"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-0,6</w:t>
            </w:r>
          </w:p>
        </w:tc>
        <w:tc>
          <w:tcPr>
            <w:tcW w:w="1259" w:type="dxa"/>
            <w:tcBorders>
              <w:top w:val="nil"/>
              <w:left w:val="nil"/>
              <w:bottom w:val="nil"/>
              <w:right w:val="nil"/>
            </w:tcBorders>
            <w:shd w:val="clear" w:color="000000" w:fill="FFFFFF"/>
            <w:noWrap/>
            <w:vAlign w:val="bottom"/>
            <w:hideMark/>
          </w:tcPr>
          <w:p w14:paraId="207F94BC"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-2,0</w:t>
            </w:r>
          </w:p>
        </w:tc>
        <w:tc>
          <w:tcPr>
            <w:tcW w:w="1788" w:type="dxa"/>
            <w:tcBorders>
              <w:top w:val="nil"/>
              <w:left w:val="nil"/>
              <w:bottom w:val="nil"/>
              <w:right w:val="single" w:sz="4" w:space="0" w:color="auto"/>
            </w:tcBorders>
            <w:shd w:val="clear" w:color="000000" w:fill="FFFFFF"/>
            <w:noWrap/>
            <w:vAlign w:val="bottom"/>
            <w:hideMark/>
          </w:tcPr>
          <w:p w14:paraId="5979BEE5"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0,3</w:t>
            </w:r>
          </w:p>
        </w:tc>
      </w:tr>
      <w:tr w:rsidR="00DB0998" w:rsidRPr="002C08F1" w14:paraId="779F3CE2" w14:textId="77777777" w:rsidTr="002C08F1">
        <w:trPr>
          <w:trHeight w:val="300"/>
        </w:trPr>
        <w:tc>
          <w:tcPr>
            <w:tcW w:w="2590" w:type="dxa"/>
            <w:tcBorders>
              <w:top w:val="nil"/>
              <w:left w:val="single" w:sz="4" w:space="0" w:color="auto"/>
              <w:bottom w:val="single" w:sz="4" w:space="0" w:color="auto"/>
              <w:right w:val="single" w:sz="4" w:space="0" w:color="auto"/>
            </w:tcBorders>
            <w:shd w:val="clear" w:color="000000" w:fill="FFFFFF"/>
            <w:noWrap/>
            <w:vAlign w:val="bottom"/>
            <w:hideMark/>
          </w:tcPr>
          <w:p w14:paraId="628B0DC1" w14:textId="77777777" w:rsidR="00DB0998" w:rsidRPr="002C08F1" w:rsidRDefault="00DB0998" w:rsidP="005D6A74">
            <w:pPr>
              <w:rPr>
                <w:rFonts w:ascii="Calibri" w:hAnsi="Calibri" w:cs="Calibri"/>
                <w:b/>
                <w:bCs/>
                <w:color w:val="000000"/>
                <w:sz w:val="20"/>
                <w:szCs w:val="20"/>
                <w:lang w:val="en-US"/>
              </w:rPr>
            </w:pPr>
            <w:r w:rsidRPr="002C08F1">
              <w:rPr>
                <w:rFonts w:ascii="Calibri" w:hAnsi="Calibri" w:cs="Calibri"/>
                <w:b/>
                <w:bCs/>
                <w:color w:val="000000"/>
                <w:sz w:val="20"/>
                <w:szCs w:val="20"/>
                <w:lang w:val="en-US"/>
              </w:rPr>
              <w:t>GDP</w:t>
            </w:r>
          </w:p>
        </w:tc>
        <w:tc>
          <w:tcPr>
            <w:tcW w:w="1115" w:type="dxa"/>
            <w:tcBorders>
              <w:top w:val="nil"/>
              <w:left w:val="nil"/>
              <w:bottom w:val="single" w:sz="4" w:space="0" w:color="auto"/>
              <w:right w:val="nil"/>
            </w:tcBorders>
            <w:shd w:val="clear" w:color="000000" w:fill="FFFFFF"/>
            <w:noWrap/>
            <w:vAlign w:val="bottom"/>
            <w:hideMark/>
          </w:tcPr>
          <w:p w14:paraId="0B9B87DF"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3,4</w:t>
            </w:r>
          </w:p>
        </w:tc>
        <w:tc>
          <w:tcPr>
            <w:tcW w:w="1788" w:type="dxa"/>
            <w:tcBorders>
              <w:top w:val="nil"/>
              <w:left w:val="nil"/>
              <w:bottom w:val="single" w:sz="4" w:space="0" w:color="auto"/>
              <w:right w:val="single" w:sz="4" w:space="0" w:color="auto"/>
            </w:tcBorders>
            <w:shd w:val="clear" w:color="000000" w:fill="FFFFFF"/>
            <w:noWrap/>
            <w:vAlign w:val="bottom"/>
            <w:hideMark/>
          </w:tcPr>
          <w:p w14:paraId="68B838EC" w14:textId="77777777" w:rsidR="00DB0998" w:rsidRPr="002C08F1" w:rsidRDefault="00DB0998" w:rsidP="005D6A74">
            <w:pPr>
              <w:jc w:val="center"/>
              <w:rPr>
                <w:rFonts w:ascii="Calibri" w:hAnsi="Calibri" w:cs="Calibri"/>
                <w:color w:val="000000"/>
                <w:sz w:val="20"/>
                <w:szCs w:val="20"/>
                <w:lang w:val="en-US"/>
              </w:rPr>
            </w:pPr>
          </w:p>
        </w:tc>
        <w:tc>
          <w:tcPr>
            <w:tcW w:w="1259" w:type="dxa"/>
            <w:tcBorders>
              <w:top w:val="nil"/>
              <w:left w:val="nil"/>
              <w:bottom w:val="single" w:sz="4" w:space="0" w:color="auto"/>
              <w:right w:val="nil"/>
            </w:tcBorders>
            <w:shd w:val="clear" w:color="000000" w:fill="FFFFFF"/>
            <w:noWrap/>
            <w:vAlign w:val="bottom"/>
            <w:hideMark/>
          </w:tcPr>
          <w:p w14:paraId="7E6C9770" w14:textId="77777777" w:rsidR="00DB0998" w:rsidRPr="002C08F1" w:rsidRDefault="00DB0998" w:rsidP="005D6A74">
            <w:pPr>
              <w:jc w:val="center"/>
              <w:rPr>
                <w:rFonts w:ascii="Calibri" w:hAnsi="Calibri" w:cs="Calibri"/>
                <w:color w:val="000000"/>
                <w:sz w:val="20"/>
                <w:szCs w:val="20"/>
                <w:lang w:val="en-US"/>
              </w:rPr>
            </w:pPr>
            <w:r w:rsidRPr="002C08F1">
              <w:rPr>
                <w:rFonts w:ascii="Calibri" w:hAnsi="Calibri" w:cs="Calibri"/>
                <w:color w:val="000000"/>
                <w:sz w:val="20"/>
                <w:szCs w:val="20"/>
                <w:lang w:val="en-US"/>
              </w:rPr>
              <w:t>2,5</w:t>
            </w:r>
          </w:p>
        </w:tc>
        <w:tc>
          <w:tcPr>
            <w:tcW w:w="1788" w:type="dxa"/>
            <w:tcBorders>
              <w:top w:val="nil"/>
              <w:left w:val="nil"/>
              <w:bottom w:val="single" w:sz="4" w:space="0" w:color="auto"/>
              <w:right w:val="single" w:sz="4" w:space="0" w:color="auto"/>
            </w:tcBorders>
            <w:shd w:val="clear" w:color="000000" w:fill="FFFFFF"/>
            <w:noWrap/>
            <w:vAlign w:val="bottom"/>
            <w:hideMark/>
          </w:tcPr>
          <w:p w14:paraId="26FA9E7F" w14:textId="77777777" w:rsidR="00DB0998" w:rsidRPr="002C08F1" w:rsidRDefault="00DB0998" w:rsidP="005D6A74">
            <w:pPr>
              <w:jc w:val="center"/>
              <w:rPr>
                <w:rFonts w:ascii="Calibri" w:hAnsi="Calibri" w:cs="Calibri"/>
                <w:color w:val="000000"/>
                <w:sz w:val="20"/>
                <w:szCs w:val="20"/>
                <w:lang w:val="en-US"/>
              </w:rPr>
            </w:pPr>
          </w:p>
        </w:tc>
      </w:tr>
    </w:tbl>
    <w:p w14:paraId="32EFA6A2" w14:textId="77777777" w:rsidR="00DB0998" w:rsidRPr="002C08F1" w:rsidRDefault="00DB0998" w:rsidP="002C08F1">
      <w:pPr>
        <w:keepLines/>
        <w:widowControl w:val="0"/>
        <w:rPr>
          <w:rFonts w:ascii="Palatino Linotype" w:hAnsi="Palatino Linotype" w:cstheme="minorHAnsi"/>
          <w:sz w:val="18"/>
          <w:szCs w:val="18"/>
          <w:lang w:val="en-US"/>
        </w:rPr>
      </w:pPr>
      <w:r w:rsidRPr="002C08F1">
        <w:rPr>
          <w:rFonts w:ascii="Palatino Linotype" w:hAnsi="Palatino Linotype" w:cstheme="minorHAnsi"/>
          <w:sz w:val="18"/>
          <w:szCs w:val="18"/>
          <w:lang w:val="en-US"/>
        </w:rPr>
        <w:t xml:space="preserve">Source: </w:t>
      </w:r>
      <w:proofErr w:type="spellStart"/>
      <w:r w:rsidRPr="002C08F1">
        <w:rPr>
          <w:rFonts w:ascii="Palatino Linotype" w:hAnsi="Palatino Linotype" w:cstheme="minorHAnsi"/>
          <w:sz w:val="18"/>
          <w:szCs w:val="18"/>
          <w:lang w:val="en-US"/>
        </w:rPr>
        <w:t>TurkStat</w:t>
      </w:r>
      <w:proofErr w:type="spellEnd"/>
      <w:r w:rsidRPr="002C08F1">
        <w:rPr>
          <w:rFonts w:ascii="Palatino Linotype" w:hAnsi="Palatino Linotype" w:cstheme="minorHAnsi"/>
          <w:sz w:val="18"/>
          <w:szCs w:val="18"/>
          <w:lang w:val="en-US"/>
        </w:rPr>
        <w:t>, Betam</w:t>
      </w:r>
    </w:p>
    <w:p w14:paraId="0EA0C20A" w14:textId="77777777" w:rsidR="00DB0998" w:rsidRPr="002C08F1" w:rsidRDefault="00DB0998" w:rsidP="002C08F1">
      <w:pPr>
        <w:pStyle w:val="NormalWeb"/>
        <w:spacing w:before="0" w:beforeAutospacing="0" w:after="0" w:afterAutospacing="0" w:line="360" w:lineRule="auto"/>
        <w:ind w:right="77"/>
        <w:jc w:val="both"/>
        <w:rPr>
          <w:rFonts w:ascii="Palatino Linotype" w:hAnsi="Palatino Linotype" w:cstheme="minorHAnsi"/>
          <w:sz w:val="22"/>
          <w:szCs w:val="22"/>
          <w:lang w:val="en-US"/>
        </w:rPr>
      </w:pPr>
    </w:p>
    <w:p w14:paraId="0616481E" w14:textId="1CB95FE6" w:rsidR="00732DA5" w:rsidRPr="002C08F1" w:rsidRDefault="006C3EE6" w:rsidP="002C08F1">
      <w:pPr>
        <w:keepNext/>
        <w:spacing w:after="120"/>
        <w:ind w:right="79"/>
        <w:jc w:val="both"/>
        <w:rPr>
          <w:rFonts w:ascii="Palatino Linotype" w:hAnsi="Palatino Linotype" w:cstheme="minorHAnsi"/>
          <w:b/>
          <w:bCs/>
          <w:sz w:val="22"/>
          <w:szCs w:val="22"/>
          <w:lang w:val="en-US"/>
        </w:rPr>
      </w:pPr>
      <w:r w:rsidRPr="002C08F1">
        <w:rPr>
          <w:rFonts w:ascii="Palatino Linotype" w:hAnsi="Palatino Linotype" w:cstheme="minorHAnsi"/>
          <w:b/>
          <w:bCs/>
          <w:sz w:val="22"/>
          <w:szCs w:val="22"/>
          <w:lang w:val="en-US"/>
        </w:rPr>
        <w:t>Table 2: Quarter-on-quarter growth rates and contributions to growth of GDP components, 2025 Q4 and 2026 Q1 (seasonally and calendar-adjusted)</w:t>
      </w:r>
    </w:p>
    <w:tbl>
      <w:tblPr>
        <w:tblW w:w="8530" w:type="dxa"/>
        <w:tblCellMar>
          <w:left w:w="70" w:type="dxa"/>
          <w:right w:w="70" w:type="dxa"/>
        </w:tblCellMar>
        <w:tblLook w:val="04A0" w:firstRow="1" w:lastRow="0" w:firstColumn="1" w:lastColumn="0" w:noHBand="0" w:noVBand="1"/>
      </w:tblPr>
      <w:tblGrid>
        <w:gridCol w:w="2590"/>
        <w:gridCol w:w="1080"/>
        <w:gridCol w:w="1980"/>
        <w:gridCol w:w="1080"/>
        <w:gridCol w:w="1800"/>
      </w:tblGrid>
      <w:tr w:rsidR="004360BE" w:rsidRPr="002C08F1" w14:paraId="0B569F4A" w14:textId="77777777" w:rsidTr="002C08F1">
        <w:trPr>
          <w:trHeight w:val="282"/>
        </w:trPr>
        <w:tc>
          <w:tcPr>
            <w:tcW w:w="2590" w:type="dxa"/>
            <w:tcBorders>
              <w:top w:val="single" w:sz="4" w:space="0" w:color="auto"/>
              <w:left w:val="single" w:sz="4" w:space="0" w:color="auto"/>
              <w:bottom w:val="nil"/>
              <w:right w:val="single" w:sz="4" w:space="0" w:color="auto"/>
            </w:tcBorders>
            <w:shd w:val="clear" w:color="000000" w:fill="FFFFFF"/>
            <w:noWrap/>
            <w:vAlign w:val="bottom"/>
            <w:hideMark/>
          </w:tcPr>
          <w:p w14:paraId="4C2C57A8" w14:textId="77777777" w:rsidR="004360BE" w:rsidRPr="002C08F1" w:rsidRDefault="004360BE" w:rsidP="004360BE">
            <w:pPr>
              <w:rPr>
                <w:rFonts w:ascii="Calibri" w:hAnsi="Calibri" w:cs="Calibri"/>
                <w:b/>
                <w:bCs/>
                <w:color w:val="000000"/>
                <w:sz w:val="20"/>
                <w:szCs w:val="20"/>
                <w:lang w:val="en-US"/>
              </w:rPr>
            </w:pPr>
            <w:r w:rsidRPr="002C08F1">
              <w:rPr>
                <w:rFonts w:ascii="Calibri" w:hAnsi="Calibri" w:cs="Calibri"/>
                <w:b/>
                <w:bCs/>
                <w:color w:val="000000"/>
                <w:sz w:val="20"/>
                <w:szCs w:val="20"/>
                <w:lang w:val="en-US"/>
              </w:rPr>
              <w:t> </w:t>
            </w:r>
          </w:p>
        </w:tc>
        <w:tc>
          <w:tcPr>
            <w:tcW w:w="3060"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5C2B9342" w14:textId="247229D4" w:rsidR="004360BE" w:rsidRPr="002C08F1" w:rsidRDefault="004360BE" w:rsidP="004360BE">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2025Q4</w:t>
            </w:r>
          </w:p>
        </w:tc>
        <w:tc>
          <w:tcPr>
            <w:tcW w:w="2880"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0EBD32E8" w14:textId="2D48FE58" w:rsidR="004360BE" w:rsidRPr="002C08F1" w:rsidRDefault="004360BE" w:rsidP="004360BE">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2026Q1</w:t>
            </w:r>
          </w:p>
        </w:tc>
      </w:tr>
      <w:tr w:rsidR="002D0856" w:rsidRPr="002C08F1" w14:paraId="5D1A18FC" w14:textId="77777777" w:rsidTr="002C08F1">
        <w:trPr>
          <w:trHeight w:val="282"/>
        </w:trPr>
        <w:tc>
          <w:tcPr>
            <w:tcW w:w="2590" w:type="dxa"/>
            <w:tcBorders>
              <w:top w:val="nil"/>
              <w:left w:val="single" w:sz="4" w:space="0" w:color="auto"/>
              <w:bottom w:val="single" w:sz="4" w:space="0" w:color="auto"/>
              <w:right w:val="single" w:sz="4" w:space="0" w:color="auto"/>
            </w:tcBorders>
            <w:shd w:val="clear" w:color="000000" w:fill="FFFFFF"/>
            <w:noWrap/>
            <w:vAlign w:val="bottom"/>
            <w:hideMark/>
          </w:tcPr>
          <w:p w14:paraId="1529856B" w14:textId="77777777" w:rsidR="002D0856" w:rsidRPr="002C08F1" w:rsidRDefault="002D0856">
            <w:pPr>
              <w:rPr>
                <w:rFonts w:ascii="Calibri" w:hAnsi="Calibri" w:cs="Calibri"/>
                <w:b/>
                <w:bCs/>
                <w:color w:val="000000"/>
                <w:sz w:val="20"/>
                <w:szCs w:val="20"/>
                <w:lang w:val="en-US"/>
              </w:rPr>
            </w:pPr>
            <w:r w:rsidRPr="002C08F1">
              <w:rPr>
                <w:rFonts w:ascii="Calibri" w:hAnsi="Calibri" w:cs="Calibri"/>
                <w:b/>
                <w:bCs/>
                <w:color w:val="000000"/>
                <w:sz w:val="20"/>
                <w:szCs w:val="20"/>
                <w:lang w:val="en-US"/>
              </w:rPr>
              <w:t> </w:t>
            </w:r>
          </w:p>
        </w:tc>
        <w:tc>
          <w:tcPr>
            <w:tcW w:w="1080" w:type="dxa"/>
            <w:tcBorders>
              <w:top w:val="nil"/>
              <w:left w:val="nil"/>
              <w:bottom w:val="nil"/>
              <w:right w:val="nil"/>
            </w:tcBorders>
            <w:shd w:val="clear" w:color="000000" w:fill="FFFFFF"/>
            <w:noWrap/>
            <w:vAlign w:val="bottom"/>
            <w:hideMark/>
          </w:tcPr>
          <w:p w14:paraId="74F021CD" w14:textId="77777777" w:rsidR="002D0856" w:rsidRPr="002C08F1" w:rsidRDefault="002D0856">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Change (%)</w:t>
            </w:r>
          </w:p>
        </w:tc>
        <w:tc>
          <w:tcPr>
            <w:tcW w:w="1980" w:type="dxa"/>
            <w:tcBorders>
              <w:top w:val="nil"/>
              <w:left w:val="nil"/>
              <w:bottom w:val="nil"/>
              <w:right w:val="single" w:sz="4" w:space="0" w:color="auto"/>
            </w:tcBorders>
            <w:shd w:val="clear" w:color="000000" w:fill="FFFFFF"/>
            <w:noWrap/>
            <w:vAlign w:val="bottom"/>
            <w:hideMark/>
          </w:tcPr>
          <w:p w14:paraId="3B4D9DB3" w14:textId="62A22421" w:rsidR="002D0856" w:rsidRPr="002C08F1" w:rsidRDefault="002D0856">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Contribution (pp)</w:t>
            </w:r>
          </w:p>
        </w:tc>
        <w:tc>
          <w:tcPr>
            <w:tcW w:w="1080" w:type="dxa"/>
            <w:tcBorders>
              <w:top w:val="nil"/>
              <w:left w:val="nil"/>
              <w:bottom w:val="nil"/>
              <w:right w:val="nil"/>
            </w:tcBorders>
            <w:shd w:val="clear" w:color="000000" w:fill="FFFFFF"/>
            <w:noWrap/>
            <w:vAlign w:val="bottom"/>
            <w:hideMark/>
          </w:tcPr>
          <w:p w14:paraId="2BA7A8FB" w14:textId="77777777" w:rsidR="002D0856" w:rsidRPr="002C08F1" w:rsidRDefault="002D0856">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Change (%)</w:t>
            </w:r>
          </w:p>
        </w:tc>
        <w:tc>
          <w:tcPr>
            <w:tcW w:w="1800" w:type="dxa"/>
            <w:tcBorders>
              <w:top w:val="nil"/>
              <w:left w:val="nil"/>
              <w:bottom w:val="nil"/>
              <w:right w:val="single" w:sz="4" w:space="0" w:color="auto"/>
            </w:tcBorders>
            <w:shd w:val="clear" w:color="000000" w:fill="FFFFFF"/>
            <w:noWrap/>
            <w:vAlign w:val="bottom"/>
            <w:hideMark/>
          </w:tcPr>
          <w:p w14:paraId="5A0A6D90" w14:textId="344782B2" w:rsidR="002D0856" w:rsidRPr="002C08F1" w:rsidRDefault="002D0856">
            <w:pPr>
              <w:jc w:val="center"/>
              <w:rPr>
                <w:rFonts w:ascii="Calibri" w:hAnsi="Calibri" w:cs="Calibri"/>
                <w:b/>
                <w:bCs/>
                <w:color w:val="000000"/>
                <w:sz w:val="20"/>
                <w:szCs w:val="20"/>
                <w:lang w:val="en-US"/>
              </w:rPr>
            </w:pPr>
            <w:r w:rsidRPr="002C08F1">
              <w:rPr>
                <w:rFonts w:ascii="Calibri" w:hAnsi="Calibri" w:cs="Calibri"/>
                <w:b/>
                <w:bCs/>
                <w:color w:val="000000"/>
                <w:sz w:val="20"/>
                <w:szCs w:val="20"/>
                <w:lang w:val="en-US"/>
              </w:rPr>
              <w:t>Contribution (pp)</w:t>
            </w:r>
          </w:p>
        </w:tc>
      </w:tr>
      <w:tr w:rsidR="00406AC1" w:rsidRPr="002C08F1" w14:paraId="21BB0FD1" w14:textId="77777777" w:rsidTr="002C08F1">
        <w:trPr>
          <w:trHeight w:val="282"/>
        </w:trPr>
        <w:tc>
          <w:tcPr>
            <w:tcW w:w="2590" w:type="dxa"/>
            <w:tcBorders>
              <w:top w:val="nil"/>
              <w:left w:val="single" w:sz="4" w:space="0" w:color="auto"/>
              <w:bottom w:val="nil"/>
              <w:right w:val="nil"/>
            </w:tcBorders>
            <w:shd w:val="clear" w:color="000000" w:fill="FFFFFF"/>
            <w:noWrap/>
            <w:vAlign w:val="bottom"/>
            <w:hideMark/>
          </w:tcPr>
          <w:p w14:paraId="4D3D560F" w14:textId="77777777" w:rsidR="00406AC1" w:rsidRPr="002C08F1" w:rsidRDefault="00406AC1" w:rsidP="00406AC1">
            <w:pPr>
              <w:rPr>
                <w:rFonts w:ascii="Calibri" w:hAnsi="Calibri" w:cs="Calibri"/>
                <w:b/>
                <w:bCs/>
                <w:color w:val="000000"/>
                <w:sz w:val="20"/>
                <w:szCs w:val="20"/>
                <w:lang w:val="en-US"/>
              </w:rPr>
            </w:pPr>
            <w:r w:rsidRPr="002C08F1">
              <w:rPr>
                <w:rFonts w:ascii="Calibri" w:hAnsi="Calibri" w:cs="Calibri"/>
                <w:b/>
                <w:bCs/>
                <w:color w:val="000000"/>
                <w:sz w:val="20"/>
                <w:szCs w:val="20"/>
                <w:lang w:val="en-US"/>
              </w:rPr>
              <w:t>Private consumption</w:t>
            </w:r>
          </w:p>
        </w:tc>
        <w:tc>
          <w:tcPr>
            <w:tcW w:w="1080" w:type="dxa"/>
            <w:tcBorders>
              <w:top w:val="single" w:sz="4" w:space="0" w:color="auto"/>
              <w:left w:val="single" w:sz="4" w:space="0" w:color="auto"/>
              <w:bottom w:val="nil"/>
              <w:right w:val="nil"/>
            </w:tcBorders>
            <w:shd w:val="clear" w:color="000000" w:fill="FFFFFF"/>
            <w:noWrap/>
            <w:vAlign w:val="bottom"/>
            <w:hideMark/>
          </w:tcPr>
          <w:p w14:paraId="451B6779" w14:textId="6BF55BE8"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4,2</w:t>
            </w:r>
          </w:p>
        </w:tc>
        <w:tc>
          <w:tcPr>
            <w:tcW w:w="1980" w:type="dxa"/>
            <w:tcBorders>
              <w:top w:val="single" w:sz="4" w:space="0" w:color="auto"/>
              <w:left w:val="nil"/>
              <w:bottom w:val="nil"/>
              <w:right w:val="single" w:sz="4" w:space="0" w:color="auto"/>
            </w:tcBorders>
            <w:shd w:val="clear" w:color="000000" w:fill="FFFFFF"/>
            <w:noWrap/>
            <w:vAlign w:val="bottom"/>
            <w:hideMark/>
          </w:tcPr>
          <w:p w14:paraId="475D679F" w14:textId="5D40066B"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2,3</w:t>
            </w:r>
          </w:p>
        </w:tc>
        <w:tc>
          <w:tcPr>
            <w:tcW w:w="1080" w:type="dxa"/>
            <w:tcBorders>
              <w:top w:val="single" w:sz="4" w:space="0" w:color="auto"/>
              <w:left w:val="nil"/>
              <w:bottom w:val="nil"/>
              <w:right w:val="nil"/>
            </w:tcBorders>
            <w:shd w:val="clear" w:color="000000" w:fill="FFFFFF"/>
            <w:noWrap/>
            <w:vAlign w:val="bottom"/>
            <w:hideMark/>
          </w:tcPr>
          <w:p w14:paraId="655D105B" w14:textId="36CD664B"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0,1</w:t>
            </w:r>
          </w:p>
        </w:tc>
        <w:tc>
          <w:tcPr>
            <w:tcW w:w="1800" w:type="dxa"/>
            <w:tcBorders>
              <w:top w:val="single" w:sz="4" w:space="0" w:color="auto"/>
              <w:left w:val="nil"/>
              <w:bottom w:val="nil"/>
              <w:right w:val="single" w:sz="4" w:space="0" w:color="auto"/>
            </w:tcBorders>
            <w:shd w:val="clear" w:color="000000" w:fill="FFFFFF"/>
            <w:noWrap/>
            <w:vAlign w:val="bottom"/>
            <w:hideMark/>
          </w:tcPr>
          <w:p w14:paraId="3E496BD8" w14:textId="4CC4C38B"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0,1</w:t>
            </w:r>
          </w:p>
        </w:tc>
      </w:tr>
      <w:tr w:rsidR="00406AC1" w:rsidRPr="002C08F1" w14:paraId="75F86F83" w14:textId="77777777" w:rsidTr="002C08F1">
        <w:trPr>
          <w:trHeight w:val="282"/>
        </w:trPr>
        <w:tc>
          <w:tcPr>
            <w:tcW w:w="2590" w:type="dxa"/>
            <w:tcBorders>
              <w:top w:val="nil"/>
              <w:left w:val="single" w:sz="4" w:space="0" w:color="auto"/>
              <w:bottom w:val="nil"/>
              <w:right w:val="nil"/>
            </w:tcBorders>
            <w:shd w:val="clear" w:color="000000" w:fill="FFFFFF"/>
            <w:noWrap/>
            <w:vAlign w:val="bottom"/>
            <w:hideMark/>
          </w:tcPr>
          <w:p w14:paraId="205A904E" w14:textId="77777777" w:rsidR="00406AC1" w:rsidRPr="002C08F1" w:rsidRDefault="00406AC1" w:rsidP="00406AC1">
            <w:pPr>
              <w:rPr>
                <w:rFonts w:ascii="Calibri" w:hAnsi="Calibri" w:cs="Calibri"/>
                <w:b/>
                <w:bCs/>
                <w:color w:val="000000"/>
                <w:sz w:val="20"/>
                <w:szCs w:val="20"/>
                <w:lang w:val="en-US"/>
              </w:rPr>
            </w:pPr>
            <w:r w:rsidRPr="002C08F1">
              <w:rPr>
                <w:rFonts w:ascii="Calibri" w:hAnsi="Calibri" w:cs="Calibri"/>
                <w:b/>
                <w:bCs/>
                <w:color w:val="000000"/>
                <w:sz w:val="20"/>
                <w:szCs w:val="20"/>
                <w:lang w:val="en-US"/>
              </w:rPr>
              <w:t>Government consumption</w:t>
            </w:r>
          </w:p>
        </w:tc>
        <w:tc>
          <w:tcPr>
            <w:tcW w:w="1080" w:type="dxa"/>
            <w:tcBorders>
              <w:top w:val="nil"/>
              <w:left w:val="single" w:sz="4" w:space="0" w:color="auto"/>
              <w:bottom w:val="nil"/>
              <w:right w:val="nil"/>
            </w:tcBorders>
            <w:shd w:val="clear" w:color="000000" w:fill="FFFFFF"/>
            <w:noWrap/>
            <w:vAlign w:val="bottom"/>
            <w:hideMark/>
          </w:tcPr>
          <w:p w14:paraId="4D5ECFD6" w14:textId="7C2E21EE"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-1,7</w:t>
            </w:r>
          </w:p>
        </w:tc>
        <w:tc>
          <w:tcPr>
            <w:tcW w:w="1980" w:type="dxa"/>
            <w:tcBorders>
              <w:top w:val="nil"/>
              <w:left w:val="nil"/>
              <w:bottom w:val="nil"/>
              <w:right w:val="single" w:sz="4" w:space="0" w:color="auto"/>
            </w:tcBorders>
            <w:shd w:val="clear" w:color="000000" w:fill="FFFFFF"/>
            <w:noWrap/>
            <w:vAlign w:val="bottom"/>
            <w:hideMark/>
          </w:tcPr>
          <w:p w14:paraId="495813DE" w14:textId="5FF035BF"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-0,2</w:t>
            </w:r>
          </w:p>
        </w:tc>
        <w:tc>
          <w:tcPr>
            <w:tcW w:w="1080" w:type="dxa"/>
            <w:tcBorders>
              <w:top w:val="nil"/>
              <w:left w:val="nil"/>
              <w:bottom w:val="nil"/>
              <w:right w:val="nil"/>
            </w:tcBorders>
            <w:shd w:val="clear" w:color="000000" w:fill="FFFFFF"/>
            <w:noWrap/>
            <w:vAlign w:val="bottom"/>
            <w:hideMark/>
          </w:tcPr>
          <w:p w14:paraId="52FEFE4B" w14:textId="5838A4D5"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3,3</w:t>
            </w:r>
          </w:p>
        </w:tc>
        <w:tc>
          <w:tcPr>
            <w:tcW w:w="1800" w:type="dxa"/>
            <w:tcBorders>
              <w:top w:val="nil"/>
              <w:left w:val="nil"/>
              <w:bottom w:val="nil"/>
              <w:right w:val="single" w:sz="4" w:space="0" w:color="auto"/>
            </w:tcBorders>
            <w:shd w:val="clear" w:color="000000" w:fill="FFFFFF"/>
            <w:noWrap/>
            <w:vAlign w:val="bottom"/>
            <w:hideMark/>
          </w:tcPr>
          <w:p w14:paraId="1B6E6A80" w14:textId="1598B7AD"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0,5</w:t>
            </w:r>
          </w:p>
        </w:tc>
      </w:tr>
      <w:tr w:rsidR="00406AC1" w:rsidRPr="002C08F1" w14:paraId="35AD8372" w14:textId="77777777" w:rsidTr="002C08F1">
        <w:trPr>
          <w:trHeight w:val="282"/>
        </w:trPr>
        <w:tc>
          <w:tcPr>
            <w:tcW w:w="2590" w:type="dxa"/>
            <w:tcBorders>
              <w:top w:val="nil"/>
              <w:left w:val="single" w:sz="4" w:space="0" w:color="auto"/>
              <w:bottom w:val="nil"/>
              <w:right w:val="nil"/>
            </w:tcBorders>
            <w:shd w:val="clear" w:color="000000" w:fill="FFFFFF"/>
            <w:noWrap/>
            <w:vAlign w:val="bottom"/>
            <w:hideMark/>
          </w:tcPr>
          <w:p w14:paraId="56DAEB93" w14:textId="77777777" w:rsidR="00406AC1" w:rsidRPr="002C08F1" w:rsidRDefault="00406AC1" w:rsidP="00406AC1">
            <w:pPr>
              <w:rPr>
                <w:rFonts w:ascii="Calibri" w:hAnsi="Calibri" w:cs="Calibri"/>
                <w:b/>
                <w:bCs/>
                <w:color w:val="000000"/>
                <w:sz w:val="20"/>
                <w:szCs w:val="20"/>
                <w:lang w:val="en-US"/>
              </w:rPr>
            </w:pPr>
            <w:r w:rsidRPr="002C08F1">
              <w:rPr>
                <w:rFonts w:ascii="Calibri" w:hAnsi="Calibri" w:cs="Calibri"/>
                <w:b/>
                <w:bCs/>
                <w:color w:val="000000"/>
                <w:sz w:val="20"/>
                <w:szCs w:val="20"/>
                <w:lang w:val="en-US"/>
              </w:rPr>
              <w:t>Investment</w:t>
            </w:r>
          </w:p>
        </w:tc>
        <w:tc>
          <w:tcPr>
            <w:tcW w:w="1080" w:type="dxa"/>
            <w:tcBorders>
              <w:top w:val="nil"/>
              <w:left w:val="single" w:sz="4" w:space="0" w:color="auto"/>
              <w:bottom w:val="nil"/>
              <w:right w:val="nil"/>
            </w:tcBorders>
            <w:shd w:val="clear" w:color="000000" w:fill="FFFFFF"/>
            <w:noWrap/>
            <w:vAlign w:val="bottom"/>
            <w:hideMark/>
          </w:tcPr>
          <w:p w14:paraId="278C5154" w14:textId="72DB1A30"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-0,3</w:t>
            </w:r>
          </w:p>
        </w:tc>
        <w:tc>
          <w:tcPr>
            <w:tcW w:w="1980" w:type="dxa"/>
            <w:tcBorders>
              <w:top w:val="nil"/>
              <w:left w:val="nil"/>
              <w:bottom w:val="nil"/>
              <w:right w:val="single" w:sz="4" w:space="0" w:color="auto"/>
            </w:tcBorders>
            <w:shd w:val="clear" w:color="000000" w:fill="FFFFFF"/>
            <w:noWrap/>
            <w:vAlign w:val="bottom"/>
            <w:hideMark/>
          </w:tcPr>
          <w:p w14:paraId="4D18BEB5" w14:textId="48116FB5"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-0,1</w:t>
            </w:r>
          </w:p>
        </w:tc>
        <w:tc>
          <w:tcPr>
            <w:tcW w:w="1080" w:type="dxa"/>
            <w:tcBorders>
              <w:top w:val="nil"/>
              <w:left w:val="nil"/>
              <w:bottom w:val="nil"/>
              <w:right w:val="nil"/>
            </w:tcBorders>
            <w:shd w:val="clear" w:color="000000" w:fill="FFFFFF"/>
            <w:noWrap/>
            <w:vAlign w:val="bottom"/>
            <w:hideMark/>
          </w:tcPr>
          <w:p w14:paraId="495912A0" w14:textId="2AC6F179"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-2,2</w:t>
            </w:r>
          </w:p>
        </w:tc>
        <w:tc>
          <w:tcPr>
            <w:tcW w:w="1800" w:type="dxa"/>
            <w:tcBorders>
              <w:top w:val="nil"/>
              <w:left w:val="nil"/>
              <w:bottom w:val="nil"/>
              <w:right w:val="single" w:sz="4" w:space="0" w:color="auto"/>
            </w:tcBorders>
            <w:shd w:val="clear" w:color="000000" w:fill="FFFFFF"/>
            <w:noWrap/>
            <w:vAlign w:val="bottom"/>
            <w:hideMark/>
          </w:tcPr>
          <w:p w14:paraId="792C5B0A" w14:textId="523F3DC2"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-0,7</w:t>
            </w:r>
          </w:p>
        </w:tc>
      </w:tr>
      <w:tr w:rsidR="00406AC1" w:rsidRPr="002C08F1" w14:paraId="5F160692" w14:textId="77777777" w:rsidTr="002C08F1">
        <w:trPr>
          <w:trHeight w:val="282"/>
        </w:trPr>
        <w:tc>
          <w:tcPr>
            <w:tcW w:w="2590" w:type="dxa"/>
            <w:tcBorders>
              <w:top w:val="nil"/>
              <w:left w:val="single" w:sz="4" w:space="0" w:color="auto"/>
              <w:bottom w:val="nil"/>
              <w:right w:val="nil"/>
            </w:tcBorders>
            <w:shd w:val="clear" w:color="000000" w:fill="FFFFFF"/>
            <w:noWrap/>
            <w:vAlign w:val="bottom"/>
            <w:hideMark/>
          </w:tcPr>
          <w:p w14:paraId="5C988D25" w14:textId="77777777" w:rsidR="00406AC1" w:rsidRPr="002C08F1" w:rsidRDefault="00406AC1" w:rsidP="00406AC1">
            <w:pPr>
              <w:rPr>
                <w:rFonts w:ascii="Calibri" w:hAnsi="Calibri" w:cs="Calibri"/>
                <w:b/>
                <w:bCs/>
                <w:color w:val="000000"/>
                <w:sz w:val="20"/>
                <w:szCs w:val="20"/>
                <w:lang w:val="en-US"/>
              </w:rPr>
            </w:pPr>
            <w:r w:rsidRPr="002C08F1">
              <w:rPr>
                <w:rFonts w:ascii="Calibri" w:hAnsi="Calibri" w:cs="Calibri"/>
                <w:b/>
                <w:bCs/>
                <w:color w:val="000000"/>
                <w:sz w:val="20"/>
                <w:szCs w:val="20"/>
                <w:lang w:val="en-US"/>
              </w:rPr>
              <w:t>Inventory changes</w:t>
            </w:r>
          </w:p>
        </w:tc>
        <w:tc>
          <w:tcPr>
            <w:tcW w:w="1080" w:type="dxa"/>
            <w:tcBorders>
              <w:top w:val="nil"/>
              <w:left w:val="single" w:sz="4" w:space="0" w:color="auto"/>
              <w:bottom w:val="nil"/>
              <w:right w:val="nil"/>
            </w:tcBorders>
            <w:shd w:val="clear" w:color="000000" w:fill="FFFFFF"/>
            <w:noWrap/>
            <w:vAlign w:val="bottom"/>
            <w:hideMark/>
          </w:tcPr>
          <w:p w14:paraId="636BB163" w14:textId="5F31123E" w:rsidR="00406AC1" w:rsidRPr="002C08F1" w:rsidRDefault="00406AC1" w:rsidP="00406AC1">
            <w:pPr>
              <w:jc w:val="center"/>
              <w:rPr>
                <w:rFonts w:ascii="Calibri" w:hAnsi="Calibri" w:cs="Calibri"/>
                <w:color w:val="000000"/>
                <w:sz w:val="20"/>
                <w:szCs w:val="20"/>
                <w:lang w:val="en-US"/>
              </w:rPr>
            </w:pPr>
          </w:p>
        </w:tc>
        <w:tc>
          <w:tcPr>
            <w:tcW w:w="1980" w:type="dxa"/>
            <w:tcBorders>
              <w:top w:val="nil"/>
              <w:left w:val="nil"/>
              <w:bottom w:val="nil"/>
              <w:right w:val="single" w:sz="4" w:space="0" w:color="auto"/>
            </w:tcBorders>
            <w:shd w:val="clear" w:color="000000" w:fill="FFFFFF"/>
            <w:noWrap/>
            <w:vAlign w:val="bottom"/>
            <w:hideMark/>
          </w:tcPr>
          <w:p w14:paraId="358100DA" w14:textId="234320F5"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0,8</w:t>
            </w:r>
          </w:p>
        </w:tc>
        <w:tc>
          <w:tcPr>
            <w:tcW w:w="1080" w:type="dxa"/>
            <w:tcBorders>
              <w:top w:val="nil"/>
              <w:left w:val="nil"/>
              <w:bottom w:val="nil"/>
              <w:right w:val="nil"/>
            </w:tcBorders>
            <w:shd w:val="clear" w:color="000000" w:fill="FFFFFF"/>
            <w:noWrap/>
            <w:vAlign w:val="bottom"/>
            <w:hideMark/>
          </w:tcPr>
          <w:p w14:paraId="310A7587" w14:textId="615415DE" w:rsidR="00406AC1" w:rsidRPr="002C08F1" w:rsidRDefault="00406AC1" w:rsidP="00406AC1">
            <w:pPr>
              <w:jc w:val="center"/>
              <w:rPr>
                <w:rFonts w:ascii="Calibri" w:hAnsi="Calibri" w:cs="Calibri"/>
                <w:color w:val="000000"/>
                <w:sz w:val="20"/>
                <w:szCs w:val="20"/>
                <w:lang w:val="en-US"/>
              </w:rPr>
            </w:pPr>
          </w:p>
        </w:tc>
        <w:tc>
          <w:tcPr>
            <w:tcW w:w="1800" w:type="dxa"/>
            <w:tcBorders>
              <w:top w:val="nil"/>
              <w:left w:val="nil"/>
              <w:bottom w:val="nil"/>
              <w:right w:val="single" w:sz="4" w:space="0" w:color="auto"/>
            </w:tcBorders>
            <w:shd w:val="clear" w:color="000000" w:fill="FFFFFF"/>
            <w:noWrap/>
            <w:vAlign w:val="bottom"/>
            <w:hideMark/>
          </w:tcPr>
          <w:p w14:paraId="794B76B5" w14:textId="7F2175D3"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1,1</w:t>
            </w:r>
          </w:p>
        </w:tc>
      </w:tr>
      <w:tr w:rsidR="00406AC1" w:rsidRPr="002C08F1" w14:paraId="61505D27" w14:textId="77777777" w:rsidTr="002C08F1">
        <w:trPr>
          <w:trHeight w:val="282"/>
        </w:trPr>
        <w:tc>
          <w:tcPr>
            <w:tcW w:w="2590" w:type="dxa"/>
            <w:tcBorders>
              <w:top w:val="nil"/>
              <w:left w:val="single" w:sz="4" w:space="0" w:color="auto"/>
              <w:bottom w:val="nil"/>
              <w:right w:val="nil"/>
            </w:tcBorders>
            <w:shd w:val="clear" w:color="000000" w:fill="FFFFFF"/>
            <w:noWrap/>
            <w:vAlign w:val="bottom"/>
            <w:hideMark/>
          </w:tcPr>
          <w:p w14:paraId="6B0702F3" w14:textId="77777777" w:rsidR="00406AC1" w:rsidRPr="002C08F1" w:rsidRDefault="00406AC1" w:rsidP="00406AC1">
            <w:pPr>
              <w:rPr>
                <w:rFonts w:ascii="Calibri" w:hAnsi="Calibri" w:cs="Calibri"/>
                <w:b/>
                <w:bCs/>
                <w:color w:val="000000"/>
                <w:sz w:val="20"/>
                <w:szCs w:val="20"/>
                <w:lang w:val="en-US"/>
              </w:rPr>
            </w:pPr>
            <w:r w:rsidRPr="002C08F1">
              <w:rPr>
                <w:rFonts w:ascii="Calibri" w:hAnsi="Calibri" w:cs="Calibri"/>
                <w:b/>
                <w:bCs/>
                <w:color w:val="000000"/>
                <w:sz w:val="20"/>
                <w:szCs w:val="20"/>
                <w:lang w:val="en-US"/>
              </w:rPr>
              <w:t>Exports</w:t>
            </w:r>
          </w:p>
        </w:tc>
        <w:tc>
          <w:tcPr>
            <w:tcW w:w="1080" w:type="dxa"/>
            <w:tcBorders>
              <w:top w:val="nil"/>
              <w:left w:val="single" w:sz="4" w:space="0" w:color="auto"/>
              <w:bottom w:val="nil"/>
              <w:right w:val="nil"/>
            </w:tcBorders>
            <w:shd w:val="clear" w:color="000000" w:fill="FFFFFF"/>
            <w:noWrap/>
            <w:vAlign w:val="bottom"/>
            <w:hideMark/>
          </w:tcPr>
          <w:p w14:paraId="07092469" w14:textId="6A8B1A25"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-4,5</w:t>
            </w:r>
          </w:p>
        </w:tc>
        <w:tc>
          <w:tcPr>
            <w:tcW w:w="1980" w:type="dxa"/>
            <w:tcBorders>
              <w:top w:val="nil"/>
              <w:left w:val="nil"/>
              <w:bottom w:val="nil"/>
              <w:right w:val="single" w:sz="4" w:space="0" w:color="auto"/>
            </w:tcBorders>
            <w:shd w:val="clear" w:color="000000" w:fill="FFFFFF"/>
            <w:noWrap/>
            <w:vAlign w:val="bottom"/>
            <w:hideMark/>
          </w:tcPr>
          <w:p w14:paraId="04C674A3" w14:textId="7157CFD3"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-1,2</w:t>
            </w:r>
          </w:p>
        </w:tc>
        <w:tc>
          <w:tcPr>
            <w:tcW w:w="1080" w:type="dxa"/>
            <w:tcBorders>
              <w:top w:val="nil"/>
              <w:left w:val="nil"/>
              <w:bottom w:val="nil"/>
              <w:right w:val="nil"/>
            </w:tcBorders>
            <w:shd w:val="clear" w:color="000000" w:fill="FFFFFF"/>
            <w:noWrap/>
            <w:vAlign w:val="bottom"/>
            <w:hideMark/>
          </w:tcPr>
          <w:p w14:paraId="4C75564C" w14:textId="5CB28F45"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-7,5</w:t>
            </w:r>
          </w:p>
        </w:tc>
        <w:tc>
          <w:tcPr>
            <w:tcW w:w="1800" w:type="dxa"/>
            <w:tcBorders>
              <w:top w:val="nil"/>
              <w:left w:val="nil"/>
              <w:bottom w:val="nil"/>
              <w:right w:val="single" w:sz="4" w:space="0" w:color="auto"/>
            </w:tcBorders>
            <w:shd w:val="clear" w:color="000000" w:fill="FFFFFF"/>
            <w:noWrap/>
            <w:vAlign w:val="bottom"/>
            <w:hideMark/>
          </w:tcPr>
          <w:p w14:paraId="4C7C8D95" w14:textId="324A5864"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-1,7</w:t>
            </w:r>
          </w:p>
        </w:tc>
      </w:tr>
      <w:tr w:rsidR="00406AC1" w:rsidRPr="002C08F1" w14:paraId="2390423C" w14:textId="77777777" w:rsidTr="002C08F1">
        <w:trPr>
          <w:trHeight w:val="282"/>
        </w:trPr>
        <w:tc>
          <w:tcPr>
            <w:tcW w:w="2590" w:type="dxa"/>
            <w:tcBorders>
              <w:top w:val="nil"/>
              <w:left w:val="single" w:sz="4" w:space="0" w:color="auto"/>
              <w:bottom w:val="nil"/>
              <w:right w:val="nil"/>
            </w:tcBorders>
            <w:shd w:val="clear" w:color="000000" w:fill="FFFFFF"/>
            <w:noWrap/>
            <w:vAlign w:val="bottom"/>
            <w:hideMark/>
          </w:tcPr>
          <w:p w14:paraId="63127AB5" w14:textId="77777777" w:rsidR="00406AC1" w:rsidRPr="002C08F1" w:rsidRDefault="00406AC1" w:rsidP="00406AC1">
            <w:pPr>
              <w:rPr>
                <w:rFonts w:ascii="Calibri" w:hAnsi="Calibri" w:cs="Calibri"/>
                <w:b/>
                <w:bCs/>
                <w:color w:val="000000"/>
                <w:sz w:val="20"/>
                <w:szCs w:val="20"/>
                <w:lang w:val="en-US"/>
              </w:rPr>
            </w:pPr>
            <w:r w:rsidRPr="002C08F1">
              <w:rPr>
                <w:rFonts w:ascii="Calibri" w:hAnsi="Calibri" w:cs="Calibri"/>
                <w:b/>
                <w:bCs/>
                <w:color w:val="000000"/>
                <w:sz w:val="20"/>
                <w:szCs w:val="20"/>
                <w:lang w:val="en-US"/>
              </w:rPr>
              <w:t>Imports</w:t>
            </w:r>
          </w:p>
        </w:tc>
        <w:tc>
          <w:tcPr>
            <w:tcW w:w="1080" w:type="dxa"/>
            <w:tcBorders>
              <w:top w:val="nil"/>
              <w:left w:val="single" w:sz="4" w:space="0" w:color="auto"/>
              <w:bottom w:val="nil"/>
              <w:right w:val="nil"/>
            </w:tcBorders>
            <w:shd w:val="clear" w:color="000000" w:fill="FFFFFF"/>
            <w:noWrap/>
            <w:vAlign w:val="bottom"/>
            <w:hideMark/>
          </w:tcPr>
          <w:p w14:paraId="56FA4DEA" w14:textId="1CC3FF60"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4,3</w:t>
            </w:r>
          </w:p>
        </w:tc>
        <w:tc>
          <w:tcPr>
            <w:tcW w:w="1980" w:type="dxa"/>
            <w:tcBorders>
              <w:top w:val="nil"/>
              <w:left w:val="nil"/>
              <w:bottom w:val="nil"/>
              <w:right w:val="single" w:sz="4" w:space="0" w:color="auto"/>
            </w:tcBorders>
            <w:shd w:val="clear" w:color="000000" w:fill="FFFFFF"/>
            <w:noWrap/>
            <w:vAlign w:val="bottom"/>
            <w:hideMark/>
          </w:tcPr>
          <w:p w14:paraId="5B8BF3E1" w14:textId="039220EA"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-1,1</w:t>
            </w:r>
          </w:p>
        </w:tc>
        <w:tc>
          <w:tcPr>
            <w:tcW w:w="1080" w:type="dxa"/>
            <w:tcBorders>
              <w:top w:val="nil"/>
              <w:left w:val="nil"/>
              <w:bottom w:val="nil"/>
              <w:right w:val="nil"/>
            </w:tcBorders>
            <w:shd w:val="clear" w:color="000000" w:fill="FFFFFF"/>
            <w:noWrap/>
            <w:vAlign w:val="bottom"/>
            <w:hideMark/>
          </w:tcPr>
          <w:p w14:paraId="2317F1D5" w14:textId="219F1E36"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-3,9</w:t>
            </w:r>
          </w:p>
        </w:tc>
        <w:tc>
          <w:tcPr>
            <w:tcW w:w="1800" w:type="dxa"/>
            <w:tcBorders>
              <w:top w:val="nil"/>
              <w:left w:val="nil"/>
              <w:bottom w:val="nil"/>
              <w:right w:val="single" w:sz="4" w:space="0" w:color="auto"/>
            </w:tcBorders>
            <w:shd w:val="clear" w:color="000000" w:fill="FFFFFF"/>
            <w:noWrap/>
            <w:vAlign w:val="bottom"/>
            <w:hideMark/>
          </w:tcPr>
          <w:p w14:paraId="68A52BDA" w14:textId="4DF09C8C"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1,0</w:t>
            </w:r>
          </w:p>
        </w:tc>
      </w:tr>
      <w:tr w:rsidR="00406AC1" w:rsidRPr="002C08F1" w14:paraId="688B1B2F" w14:textId="77777777" w:rsidTr="002C08F1">
        <w:trPr>
          <w:trHeight w:val="300"/>
        </w:trPr>
        <w:tc>
          <w:tcPr>
            <w:tcW w:w="2590" w:type="dxa"/>
            <w:tcBorders>
              <w:top w:val="nil"/>
              <w:left w:val="single" w:sz="4" w:space="0" w:color="auto"/>
              <w:bottom w:val="single" w:sz="4" w:space="0" w:color="auto"/>
              <w:right w:val="nil"/>
            </w:tcBorders>
            <w:shd w:val="clear" w:color="000000" w:fill="FFFFFF"/>
            <w:noWrap/>
            <w:vAlign w:val="bottom"/>
            <w:hideMark/>
          </w:tcPr>
          <w:p w14:paraId="7049AAD2" w14:textId="77777777" w:rsidR="00406AC1" w:rsidRPr="002C08F1" w:rsidRDefault="00406AC1" w:rsidP="00406AC1">
            <w:pPr>
              <w:rPr>
                <w:rFonts w:ascii="Calibri" w:hAnsi="Calibri" w:cs="Calibri"/>
                <w:b/>
                <w:bCs/>
                <w:color w:val="000000"/>
                <w:sz w:val="20"/>
                <w:szCs w:val="20"/>
                <w:lang w:val="en-US"/>
              </w:rPr>
            </w:pPr>
            <w:r w:rsidRPr="002C08F1">
              <w:rPr>
                <w:rFonts w:ascii="Calibri" w:hAnsi="Calibri" w:cs="Calibri"/>
                <w:b/>
                <w:bCs/>
                <w:color w:val="000000"/>
                <w:sz w:val="20"/>
                <w:szCs w:val="20"/>
                <w:lang w:val="en-US"/>
              </w:rPr>
              <w:t>GDP</w:t>
            </w:r>
          </w:p>
        </w:tc>
        <w:tc>
          <w:tcPr>
            <w:tcW w:w="1080" w:type="dxa"/>
            <w:tcBorders>
              <w:top w:val="nil"/>
              <w:left w:val="single" w:sz="4" w:space="0" w:color="auto"/>
              <w:bottom w:val="single" w:sz="4" w:space="0" w:color="auto"/>
              <w:right w:val="nil"/>
            </w:tcBorders>
            <w:shd w:val="clear" w:color="000000" w:fill="FFFFFF"/>
            <w:noWrap/>
            <w:vAlign w:val="bottom"/>
            <w:hideMark/>
          </w:tcPr>
          <w:p w14:paraId="552B2EE0" w14:textId="35A6DD33"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0,4</w:t>
            </w:r>
          </w:p>
        </w:tc>
        <w:tc>
          <w:tcPr>
            <w:tcW w:w="1980" w:type="dxa"/>
            <w:tcBorders>
              <w:top w:val="nil"/>
              <w:left w:val="nil"/>
              <w:bottom w:val="single" w:sz="4" w:space="0" w:color="auto"/>
              <w:right w:val="single" w:sz="4" w:space="0" w:color="auto"/>
            </w:tcBorders>
            <w:shd w:val="clear" w:color="000000" w:fill="FFFFFF"/>
            <w:noWrap/>
            <w:vAlign w:val="bottom"/>
            <w:hideMark/>
          </w:tcPr>
          <w:p w14:paraId="74B2397D" w14:textId="5D80BE13" w:rsidR="00406AC1" w:rsidRPr="002C08F1" w:rsidRDefault="00406AC1" w:rsidP="00406AC1">
            <w:pPr>
              <w:jc w:val="center"/>
              <w:rPr>
                <w:rFonts w:ascii="Calibri" w:hAnsi="Calibri" w:cs="Calibri"/>
                <w:color w:val="000000"/>
                <w:sz w:val="20"/>
                <w:szCs w:val="20"/>
                <w:lang w:val="en-US"/>
              </w:rPr>
            </w:pPr>
          </w:p>
        </w:tc>
        <w:tc>
          <w:tcPr>
            <w:tcW w:w="1080" w:type="dxa"/>
            <w:tcBorders>
              <w:top w:val="nil"/>
              <w:left w:val="nil"/>
              <w:bottom w:val="single" w:sz="4" w:space="0" w:color="auto"/>
              <w:right w:val="nil"/>
            </w:tcBorders>
            <w:shd w:val="clear" w:color="000000" w:fill="FFFFFF"/>
            <w:noWrap/>
            <w:vAlign w:val="bottom"/>
            <w:hideMark/>
          </w:tcPr>
          <w:p w14:paraId="745462BF" w14:textId="7E28313C" w:rsidR="00406AC1" w:rsidRPr="002C08F1" w:rsidRDefault="00406AC1" w:rsidP="00406AC1">
            <w:pPr>
              <w:jc w:val="center"/>
              <w:rPr>
                <w:rFonts w:ascii="Calibri" w:hAnsi="Calibri" w:cs="Calibri"/>
                <w:color w:val="000000"/>
                <w:sz w:val="20"/>
                <w:szCs w:val="20"/>
                <w:lang w:val="en-US"/>
              </w:rPr>
            </w:pPr>
            <w:r w:rsidRPr="002C08F1">
              <w:rPr>
                <w:rFonts w:ascii="Calibri" w:hAnsi="Calibri" w:cs="Calibri"/>
                <w:color w:val="000000"/>
                <w:sz w:val="20"/>
                <w:szCs w:val="20"/>
                <w:lang w:val="en-US"/>
              </w:rPr>
              <w:t>0,1</w:t>
            </w:r>
          </w:p>
        </w:tc>
        <w:tc>
          <w:tcPr>
            <w:tcW w:w="1800" w:type="dxa"/>
            <w:tcBorders>
              <w:top w:val="nil"/>
              <w:left w:val="nil"/>
              <w:bottom w:val="single" w:sz="4" w:space="0" w:color="auto"/>
              <w:right w:val="single" w:sz="4" w:space="0" w:color="auto"/>
            </w:tcBorders>
            <w:shd w:val="clear" w:color="000000" w:fill="FFFFFF"/>
            <w:noWrap/>
            <w:vAlign w:val="bottom"/>
            <w:hideMark/>
          </w:tcPr>
          <w:p w14:paraId="645D40C8" w14:textId="66F5B74A" w:rsidR="00406AC1" w:rsidRPr="002C08F1" w:rsidRDefault="00406AC1" w:rsidP="00406AC1">
            <w:pPr>
              <w:jc w:val="center"/>
              <w:rPr>
                <w:rFonts w:ascii="Calibri" w:hAnsi="Calibri" w:cs="Calibri"/>
                <w:color w:val="000000"/>
                <w:sz w:val="20"/>
                <w:szCs w:val="20"/>
                <w:lang w:val="en-US"/>
              </w:rPr>
            </w:pPr>
          </w:p>
        </w:tc>
      </w:tr>
    </w:tbl>
    <w:p w14:paraId="04FC8E76" w14:textId="758E56B3" w:rsidR="00F46A54" w:rsidRPr="002C08F1" w:rsidRDefault="003D44CE" w:rsidP="002C08F1">
      <w:pPr>
        <w:keepLines/>
        <w:widowControl w:val="0"/>
        <w:rPr>
          <w:rFonts w:ascii="Palatino Linotype" w:hAnsi="Palatino Linotype" w:cstheme="minorHAnsi"/>
          <w:sz w:val="18"/>
          <w:szCs w:val="18"/>
          <w:lang w:val="en-US"/>
        </w:rPr>
      </w:pPr>
      <w:r w:rsidRPr="002C08F1">
        <w:rPr>
          <w:rFonts w:ascii="Palatino Linotype" w:hAnsi="Palatino Linotype" w:cstheme="minorHAnsi"/>
          <w:sz w:val="18"/>
          <w:szCs w:val="18"/>
          <w:lang w:val="en-US"/>
        </w:rPr>
        <w:t xml:space="preserve">Source: </w:t>
      </w:r>
      <w:proofErr w:type="spellStart"/>
      <w:r w:rsidRPr="002C08F1">
        <w:rPr>
          <w:rFonts w:ascii="Palatino Linotype" w:hAnsi="Palatino Linotype" w:cstheme="minorHAnsi"/>
          <w:sz w:val="18"/>
          <w:szCs w:val="18"/>
          <w:lang w:val="en-US"/>
        </w:rPr>
        <w:t>TurkStat</w:t>
      </w:r>
      <w:proofErr w:type="spellEnd"/>
      <w:r w:rsidRPr="002C08F1">
        <w:rPr>
          <w:rFonts w:ascii="Palatino Linotype" w:hAnsi="Palatino Linotype" w:cstheme="minorHAnsi"/>
          <w:sz w:val="18"/>
          <w:szCs w:val="18"/>
          <w:lang w:val="en-US"/>
        </w:rPr>
        <w:t>, Betam</w:t>
      </w:r>
    </w:p>
    <w:p w14:paraId="6E743763" w14:textId="77777777" w:rsidR="002C08F1" w:rsidRPr="002C08F1" w:rsidRDefault="002C08F1" w:rsidP="002C08F1">
      <w:pPr>
        <w:pStyle w:val="NormalWeb"/>
        <w:spacing w:before="0" w:beforeAutospacing="0" w:after="0" w:afterAutospacing="0" w:line="360" w:lineRule="auto"/>
        <w:ind w:right="77"/>
        <w:rPr>
          <w:rFonts w:ascii="Palatino Linotype" w:hAnsi="Palatino Linotype" w:cstheme="minorBidi"/>
          <w:b/>
          <w:bCs/>
          <w:sz w:val="22"/>
          <w:szCs w:val="22"/>
          <w:lang w:val="en-US"/>
        </w:rPr>
      </w:pPr>
      <w:bookmarkStart w:id="6" w:name="OLE_LINK27"/>
      <w:bookmarkStart w:id="7" w:name="OLE_LINK28"/>
      <w:r w:rsidRPr="002C08F1">
        <w:rPr>
          <w:rFonts w:ascii="Palatino Linotype" w:hAnsi="Palatino Linotype" w:cstheme="minorBidi"/>
          <w:b/>
          <w:bCs/>
          <w:sz w:val="22"/>
          <w:szCs w:val="22"/>
          <w:lang w:val="en-US"/>
        </w:rPr>
        <w:lastRenderedPageBreak/>
        <w:t>Signs of a slowdown in investment</w:t>
      </w:r>
    </w:p>
    <w:p w14:paraId="7B7DC27A" w14:textId="77777777" w:rsidR="002C08F1" w:rsidRPr="002C08F1" w:rsidRDefault="002C08F1" w:rsidP="002C08F1">
      <w:pPr>
        <w:pStyle w:val="NormalWeb"/>
        <w:spacing w:before="0" w:beforeAutospacing="0" w:after="0" w:afterAutospacing="0" w:line="360" w:lineRule="auto"/>
        <w:ind w:right="77"/>
        <w:jc w:val="both"/>
        <w:rPr>
          <w:rFonts w:ascii="Palatino Linotype" w:hAnsi="Palatino Linotype" w:cstheme="minorHAnsi"/>
          <w:sz w:val="22"/>
          <w:szCs w:val="22"/>
          <w:lang w:val="en-US"/>
        </w:rPr>
      </w:pPr>
      <w:r w:rsidRPr="002C08F1">
        <w:rPr>
          <w:rFonts w:ascii="Palatino Linotype" w:hAnsi="Palatino Linotype" w:cstheme="minorHAnsi"/>
          <w:sz w:val="22"/>
          <w:szCs w:val="22"/>
          <w:lang w:val="en-US"/>
        </w:rPr>
        <w:t>The strong growth in investment highlighted in the growth assessments for 2024 and 2025 continued in 2026, albeit at a slower pace. Investment increased by 3% year-on-year in the first quarter of 2026, contributing 0.9 percentage points to growth (Table 1). On a quarterly basis, however, investment fell by 2.2% relative to the previous quarter, reducing the growth rate by 0.7 percentage points. In the fourth quarter, investment growth relative to the third quarter had been -0.3% (Table 2).</w:t>
      </w:r>
    </w:p>
    <w:p w14:paraId="229AC9B8" w14:textId="77777777" w:rsidR="002C08F1" w:rsidRPr="002C08F1" w:rsidRDefault="002C08F1" w:rsidP="002C08F1">
      <w:pPr>
        <w:pStyle w:val="NormalWeb"/>
        <w:spacing w:before="0" w:beforeAutospacing="0" w:after="0" w:afterAutospacing="0" w:line="360" w:lineRule="auto"/>
        <w:ind w:right="77"/>
        <w:rPr>
          <w:rFonts w:ascii="Palatino Linotype" w:hAnsi="Palatino Linotype" w:cstheme="minorBidi"/>
          <w:b/>
          <w:bCs/>
          <w:sz w:val="22"/>
          <w:szCs w:val="22"/>
          <w:lang w:val="en-US"/>
        </w:rPr>
      </w:pPr>
      <w:bookmarkStart w:id="8" w:name="OLE_LINK26"/>
      <w:bookmarkStart w:id="9" w:name="OLE_LINK11"/>
      <w:bookmarkStart w:id="10" w:name="OLE_LINK12"/>
    </w:p>
    <w:p w14:paraId="27395403" w14:textId="77777777" w:rsidR="002C08F1" w:rsidRPr="002C08F1" w:rsidRDefault="002C08F1" w:rsidP="002C08F1">
      <w:pPr>
        <w:pStyle w:val="NormalWeb"/>
        <w:spacing w:before="0" w:beforeAutospacing="0" w:after="0" w:afterAutospacing="0" w:line="360" w:lineRule="auto"/>
        <w:ind w:right="77"/>
        <w:rPr>
          <w:rFonts w:ascii="Palatino Linotype" w:hAnsi="Palatino Linotype" w:cstheme="minorBidi"/>
          <w:b/>
          <w:bCs/>
          <w:sz w:val="22"/>
          <w:szCs w:val="22"/>
          <w:lang w:val="en-US"/>
        </w:rPr>
      </w:pPr>
      <w:r w:rsidRPr="002C08F1">
        <w:rPr>
          <w:rFonts w:ascii="Palatino Linotype" w:hAnsi="Palatino Linotype" w:cstheme="minorBidi"/>
          <w:b/>
          <w:bCs/>
          <w:sz w:val="22"/>
          <w:szCs w:val="22"/>
          <w:lang w:val="en-US"/>
        </w:rPr>
        <w:t>Foreign trade subtracted 3 percentage points from growth</w:t>
      </w:r>
    </w:p>
    <w:p w14:paraId="5D58CB75" w14:textId="77777777" w:rsidR="002C08F1" w:rsidRPr="002C08F1" w:rsidRDefault="002C08F1" w:rsidP="002C08F1">
      <w:pPr>
        <w:pStyle w:val="NormalWeb"/>
        <w:spacing w:before="0" w:beforeAutospacing="0" w:after="0" w:afterAutospacing="0" w:line="360" w:lineRule="auto"/>
        <w:ind w:right="77"/>
        <w:jc w:val="both"/>
        <w:rPr>
          <w:rFonts w:ascii="Palatino Linotype" w:hAnsi="Palatino Linotype" w:cstheme="minorHAnsi"/>
          <w:sz w:val="22"/>
          <w:szCs w:val="22"/>
          <w:lang w:val="en-US"/>
        </w:rPr>
      </w:pPr>
      <w:r w:rsidRPr="002C08F1">
        <w:rPr>
          <w:rFonts w:ascii="Palatino Linotype" w:hAnsi="Palatino Linotype" w:cstheme="minorHAnsi"/>
          <w:sz w:val="22"/>
          <w:szCs w:val="22"/>
          <w:lang w:val="en-US"/>
        </w:rPr>
        <w:t>Seasonally and calendar-adjusted figures for the first quarter of 2026 show that exports fell by 7.5% and imports by 3.9% compared with the previous quarter. Exports reduced quarterly growth by 1.7 percentage points (Table 2). On an annual basis, exports declined by 12.7% and imports by 2%. As a result, the annual contribution of net exports (-3 percentage points) almost entirely offset the combined positive contribution of private consumption, government consumption and investment (3.9 percentage points) (Table 1).</w:t>
      </w:r>
      <w:bookmarkStart w:id="11" w:name="OLE_LINK13"/>
      <w:bookmarkStart w:id="12" w:name="OLE_LINK14"/>
      <w:r w:rsidRPr="002C08F1">
        <w:rPr>
          <w:rFonts w:ascii="Palatino Linotype" w:hAnsi="Palatino Linotype" w:cstheme="minorHAnsi"/>
          <w:sz w:val="22"/>
          <w:szCs w:val="22"/>
          <w:lang w:val="en-US"/>
        </w:rPr>
        <w:t xml:space="preserve"> </w:t>
      </w:r>
      <w:bookmarkEnd w:id="8"/>
      <w:bookmarkEnd w:id="9"/>
      <w:bookmarkEnd w:id="10"/>
      <w:bookmarkEnd w:id="11"/>
      <w:bookmarkEnd w:id="12"/>
    </w:p>
    <w:p w14:paraId="5323F8F8" w14:textId="77777777" w:rsidR="00DB0998" w:rsidRPr="002C08F1" w:rsidRDefault="00DB0998" w:rsidP="008F1741">
      <w:pPr>
        <w:pStyle w:val="NormalWeb"/>
        <w:spacing w:before="0" w:beforeAutospacing="0" w:after="0" w:afterAutospacing="0" w:line="360" w:lineRule="auto"/>
        <w:ind w:right="77"/>
        <w:rPr>
          <w:rFonts w:ascii="Palatino Linotype" w:hAnsi="Palatino Linotype" w:cstheme="minorHAnsi"/>
          <w:b/>
          <w:bCs/>
          <w:sz w:val="22"/>
          <w:szCs w:val="22"/>
          <w:lang w:val="en-US"/>
        </w:rPr>
      </w:pPr>
    </w:p>
    <w:p w14:paraId="764A27C2" w14:textId="3F7A5537" w:rsidR="0062671A" w:rsidRPr="002C08F1" w:rsidRDefault="0062671A" w:rsidP="008F1741">
      <w:pPr>
        <w:pStyle w:val="NormalWeb"/>
        <w:spacing w:before="0" w:beforeAutospacing="0" w:after="0" w:afterAutospacing="0" w:line="360" w:lineRule="auto"/>
        <w:ind w:right="77"/>
        <w:rPr>
          <w:rFonts w:ascii="Palatino Linotype" w:hAnsi="Palatino Linotype" w:cstheme="minorHAnsi"/>
          <w:b/>
          <w:bCs/>
          <w:sz w:val="22"/>
          <w:szCs w:val="22"/>
          <w:lang w:val="en-US"/>
        </w:rPr>
      </w:pPr>
      <w:r w:rsidRPr="002C08F1">
        <w:rPr>
          <w:rFonts w:ascii="Palatino Linotype" w:hAnsi="Palatino Linotype" w:cstheme="minorHAnsi"/>
          <w:b/>
          <w:bCs/>
          <w:sz w:val="22"/>
          <w:szCs w:val="22"/>
          <w:lang w:val="en-US"/>
        </w:rPr>
        <w:t>Government consumption provides the most stable support to growth</w:t>
      </w:r>
    </w:p>
    <w:p w14:paraId="46CE47D0" w14:textId="780FEDB0" w:rsidR="00BD0800" w:rsidRPr="002C08F1" w:rsidRDefault="009C4B9E" w:rsidP="00BD6EC8">
      <w:pPr>
        <w:pStyle w:val="NormalWeb"/>
        <w:spacing w:before="0" w:beforeAutospacing="0" w:after="0" w:afterAutospacing="0" w:line="360" w:lineRule="auto"/>
        <w:ind w:right="77"/>
        <w:jc w:val="both"/>
        <w:rPr>
          <w:rFonts w:ascii="Palatino Linotype" w:hAnsi="Palatino Linotype" w:cstheme="minorHAnsi"/>
          <w:sz w:val="22"/>
          <w:szCs w:val="22"/>
          <w:lang w:val="en-US"/>
        </w:rPr>
      </w:pPr>
      <w:r w:rsidRPr="002C08F1">
        <w:rPr>
          <w:rFonts w:ascii="Palatino Linotype" w:hAnsi="Palatino Linotype" w:cstheme="minorHAnsi"/>
          <w:sz w:val="22"/>
          <w:szCs w:val="22"/>
          <w:lang w:val="en-US"/>
        </w:rPr>
        <w:t>According to seasonally and calendar-adjusted figures, government consumption increased by 3.3% quarter-on-quarter in the first quarter of 2026, contributing 0.5 percentage points to growth (Table 2). Government consumption rose by 2.1% year-on-year in the first quarter of 2026, adding 0.3 percentage points to growth (Table 1).</w:t>
      </w:r>
    </w:p>
    <w:bookmarkEnd w:id="6"/>
    <w:bookmarkEnd w:id="7"/>
    <w:p w14:paraId="37BD54F0" w14:textId="77777777" w:rsidR="007D2AD4" w:rsidRPr="002C08F1" w:rsidRDefault="007D2AD4" w:rsidP="00BD0800">
      <w:pPr>
        <w:pStyle w:val="NormalWeb"/>
        <w:spacing w:before="0" w:beforeAutospacing="0" w:after="0" w:afterAutospacing="0" w:line="360" w:lineRule="auto"/>
        <w:ind w:right="77"/>
        <w:rPr>
          <w:rFonts w:ascii="Palatino Linotype" w:eastAsia="Palatino Linotype" w:hAnsi="Palatino Linotype" w:cs="Palatino Linotype"/>
          <w:b/>
          <w:bCs/>
          <w:sz w:val="22"/>
          <w:szCs w:val="22"/>
          <w:lang w:val="en-US"/>
        </w:rPr>
      </w:pPr>
    </w:p>
    <w:p w14:paraId="2E93A2FD" w14:textId="28F5D456" w:rsidR="00BD0800" w:rsidRPr="002C08F1" w:rsidRDefault="0062671A" w:rsidP="00BD0800">
      <w:pPr>
        <w:pStyle w:val="NormalWeb"/>
        <w:spacing w:before="0" w:beforeAutospacing="0" w:after="0" w:afterAutospacing="0" w:line="360" w:lineRule="auto"/>
        <w:ind w:right="77"/>
        <w:rPr>
          <w:rFonts w:ascii="Palatino Linotype" w:eastAsia="Palatino Linotype" w:hAnsi="Palatino Linotype" w:cs="Palatino Linotype"/>
          <w:b/>
          <w:bCs/>
          <w:sz w:val="22"/>
          <w:szCs w:val="22"/>
          <w:lang w:val="en-US"/>
        </w:rPr>
      </w:pPr>
      <w:r w:rsidRPr="002C08F1">
        <w:rPr>
          <w:rFonts w:ascii="Palatino Linotype" w:eastAsia="Palatino Linotype" w:hAnsi="Palatino Linotype" w:cs="Palatino Linotype"/>
          <w:b/>
          <w:bCs/>
          <w:sz w:val="22"/>
          <w:szCs w:val="22"/>
          <w:lang w:val="en-US"/>
        </w:rPr>
        <w:t>Without inventory changes, growth would have been negative</w:t>
      </w:r>
      <w:r w:rsidR="00457E4E" w:rsidRPr="002C08F1">
        <w:rPr>
          <w:rFonts w:eastAsia="Palatino Linotype" w:cs="Palatino Linotype"/>
          <w:vertAlign w:val="superscript"/>
          <w:lang w:val="en-US"/>
        </w:rPr>
        <w:footnoteReference w:id="4"/>
      </w:r>
    </w:p>
    <w:p w14:paraId="70BC446D" w14:textId="783A29D5" w:rsidR="00B96DDB" w:rsidRPr="002C08F1" w:rsidRDefault="00BD0800" w:rsidP="001035A0">
      <w:pPr>
        <w:pStyle w:val="NormalWeb"/>
        <w:spacing w:before="0" w:beforeAutospacing="0" w:after="0" w:afterAutospacing="0" w:line="360" w:lineRule="auto"/>
        <w:ind w:right="77"/>
        <w:jc w:val="both"/>
        <w:rPr>
          <w:rFonts w:ascii="Palatino Linotype" w:hAnsi="Palatino Linotype" w:cstheme="minorHAnsi"/>
          <w:sz w:val="22"/>
          <w:szCs w:val="22"/>
          <w:lang w:val="en-US"/>
        </w:rPr>
      </w:pPr>
      <w:bookmarkStart w:id="15" w:name="OLE_LINK7"/>
      <w:bookmarkStart w:id="16" w:name="OLE_LINK8"/>
      <w:r w:rsidRPr="002C08F1">
        <w:rPr>
          <w:rFonts w:ascii="Palatino Linotype" w:hAnsi="Palatino Linotype" w:cstheme="minorHAnsi"/>
          <w:sz w:val="22"/>
          <w:szCs w:val="22"/>
          <w:lang w:val="en-US"/>
        </w:rPr>
        <w:t xml:space="preserve">According to seasonally and calendar-adjusted data, changes in inventories added 0.8 percentage points to quarterly growth in the fourth quarter of 2025 and 1.1 percentage points in the first quarter of 2026 (Table 2). These technical adjustments prevented growth from turning negative in the last two quarters. While inventory changes had no effect on </w:t>
      </w:r>
      <w:r w:rsidRPr="002C08F1">
        <w:rPr>
          <w:rFonts w:ascii="Palatino Linotype" w:hAnsi="Palatino Linotype" w:cstheme="minorHAnsi"/>
          <w:sz w:val="22"/>
          <w:szCs w:val="22"/>
          <w:lang w:val="en-US"/>
        </w:rPr>
        <w:lastRenderedPageBreak/>
        <w:t>annual growth in the previous quarter, they added 1.6 percentage points to annual growth this quarter (Table 1).</w:t>
      </w:r>
      <w:bookmarkEnd w:id="15"/>
      <w:bookmarkEnd w:id="16"/>
      <w:r w:rsidRPr="002C08F1">
        <w:rPr>
          <w:rFonts w:ascii="Palatino Linotype" w:hAnsi="Palatino Linotype" w:cstheme="minorHAnsi"/>
          <w:sz w:val="22"/>
          <w:szCs w:val="22"/>
          <w:lang w:val="en-US"/>
        </w:rPr>
        <w:t xml:space="preserve"> </w:t>
      </w:r>
    </w:p>
    <w:p w14:paraId="5B5EB19E" w14:textId="77777777" w:rsidR="002C08F1" w:rsidRPr="002C08F1" w:rsidRDefault="002C08F1" w:rsidP="00B366B7">
      <w:pPr>
        <w:pStyle w:val="NormalWeb"/>
        <w:spacing w:before="0" w:beforeAutospacing="0" w:after="0" w:afterAutospacing="0" w:line="360" w:lineRule="auto"/>
        <w:ind w:right="77"/>
        <w:rPr>
          <w:rFonts w:ascii="Palatino Linotype" w:eastAsia="Palatino Linotype" w:hAnsi="Palatino Linotype" w:cs="Palatino Linotype"/>
          <w:b/>
          <w:bCs/>
          <w:sz w:val="22"/>
          <w:szCs w:val="22"/>
          <w:lang w:val="en-US"/>
        </w:rPr>
      </w:pPr>
    </w:p>
    <w:p w14:paraId="4C5F10E3" w14:textId="1F6AB2EB" w:rsidR="00955E90" w:rsidRPr="002C08F1" w:rsidRDefault="004F0543" w:rsidP="00B366B7">
      <w:pPr>
        <w:pStyle w:val="NormalWeb"/>
        <w:spacing w:before="0" w:beforeAutospacing="0" w:after="0" w:afterAutospacing="0" w:line="360" w:lineRule="auto"/>
        <w:ind w:right="77"/>
        <w:rPr>
          <w:rFonts w:ascii="Palatino Linotype" w:eastAsia="Palatino Linotype" w:hAnsi="Palatino Linotype" w:cs="Palatino Linotype"/>
          <w:b/>
          <w:bCs/>
          <w:sz w:val="22"/>
          <w:szCs w:val="22"/>
          <w:lang w:val="en-US"/>
        </w:rPr>
      </w:pPr>
      <w:r w:rsidRPr="002C08F1">
        <w:rPr>
          <w:rFonts w:ascii="Palatino Linotype" w:eastAsia="Palatino Linotype" w:hAnsi="Palatino Linotype" w:cs="Palatino Linotype"/>
          <w:b/>
          <w:bCs/>
          <w:sz w:val="22"/>
          <w:szCs w:val="22"/>
          <w:lang w:val="en-US"/>
        </w:rPr>
        <w:t>The outlook for growth</w:t>
      </w:r>
    </w:p>
    <w:p w14:paraId="3947ECFA" w14:textId="091CC17D" w:rsidR="001B06E6" w:rsidRPr="002C08F1" w:rsidRDefault="00905619" w:rsidP="75C7ED0D">
      <w:pPr>
        <w:pStyle w:val="NormalWeb"/>
        <w:spacing w:before="0" w:beforeAutospacing="0" w:after="0" w:afterAutospacing="0" w:line="360" w:lineRule="auto"/>
        <w:ind w:right="77"/>
        <w:jc w:val="both"/>
        <w:rPr>
          <w:rFonts w:ascii="Palatino Linotype" w:hAnsi="Palatino Linotype" w:cstheme="minorHAnsi"/>
          <w:sz w:val="22"/>
          <w:szCs w:val="22"/>
          <w:lang w:val="en-US"/>
        </w:rPr>
      </w:pPr>
      <w:r w:rsidRPr="002C08F1">
        <w:rPr>
          <w:rFonts w:ascii="Palatino Linotype" w:hAnsi="Palatino Linotype" w:cstheme="minorHAnsi"/>
          <w:sz w:val="22"/>
          <w:szCs w:val="22"/>
          <w:lang w:val="en-US"/>
        </w:rPr>
        <w:t>As shown in Figure 2, quarterly growth momentum slowed throughout 2025, while annual growth recovered relative to the preceding year. As 2026 began, the recovery in annual growth observed in 2025 appeared to have faded. Quarterly growth, meanwhile, came close to zero. Although private consumption, government consumption and investment continued to make positive contributions to annual growth in the first quarter of 2026, the contraction in foreign trade weighed substantially on growth. Looking at the quarterly components reveals a striking picture specific to this quarter</w:t>
      </w:r>
      <w:r w:rsidR="00C12117">
        <w:rPr>
          <w:rFonts w:ascii="Palatino Linotype" w:hAnsi="Palatino Linotype" w:cstheme="minorHAnsi"/>
          <w:sz w:val="22"/>
          <w:szCs w:val="22"/>
          <w:lang w:val="en-US"/>
        </w:rPr>
        <w:t>.</w:t>
      </w:r>
      <w:r w:rsidRPr="002C08F1">
        <w:rPr>
          <w:rFonts w:ascii="Palatino Linotype" w:hAnsi="Palatino Linotype" w:cstheme="minorHAnsi"/>
          <w:sz w:val="22"/>
          <w:szCs w:val="22"/>
          <w:lang w:val="en-US"/>
        </w:rPr>
        <w:t xml:space="preserve"> </w:t>
      </w:r>
      <w:r w:rsidR="00C12117">
        <w:rPr>
          <w:rFonts w:ascii="Palatino Linotype" w:hAnsi="Palatino Linotype" w:cstheme="minorHAnsi"/>
          <w:sz w:val="22"/>
          <w:szCs w:val="22"/>
          <w:lang w:val="en-US"/>
        </w:rPr>
        <w:t>T</w:t>
      </w:r>
      <w:r w:rsidRPr="002C08F1">
        <w:rPr>
          <w:rFonts w:ascii="Palatino Linotype" w:hAnsi="Palatino Linotype" w:cstheme="minorHAnsi"/>
          <w:sz w:val="22"/>
          <w:szCs w:val="22"/>
          <w:lang w:val="en-US"/>
        </w:rPr>
        <w:t xml:space="preserve">he contribution of private consumption declined from 2.3 percentage points in the previous quarter to 0.1 percentage points, while investment, which fell by 2.2% compared with the previous quarter, contributed -0.7 percentage points. Quarterly growth was sustained largely by government consumption, which grew by 3.3% and contributed 0.5 percentage points, and especially by changes in inventories (1.1 percentage points). Without the latter, quarterly growth would have been negative. </w:t>
      </w:r>
    </w:p>
    <w:p w14:paraId="78F60D4F" w14:textId="77777777" w:rsidR="007D2AD4" w:rsidRPr="002C08F1" w:rsidRDefault="007D2AD4" w:rsidP="75C7ED0D">
      <w:pPr>
        <w:pStyle w:val="NormalWeb"/>
        <w:spacing w:before="0" w:beforeAutospacing="0" w:after="0" w:afterAutospacing="0" w:line="360" w:lineRule="auto"/>
        <w:ind w:right="77"/>
        <w:jc w:val="both"/>
        <w:rPr>
          <w:rFonts w:ascii="Palatino Linotype" w:hAnsi="Palatino Linotype" w:cstheme="minorHAnsi"/>
          <w:sz w:val="22"/>
          <w:szCs w:val="22"/>
          <w:lang w:val="en-US"/>
        </w:rPr>
      </w:pPr>
    </w:p>
    <w:p w14:paraId="760FF81E" w14:textId="261321B4" w:rsidR="007D2AD4" w:rsidRPr="002C08F1" w:rsidRDefault="00905619" w:rsidP="00DF08BD">
      <w:pPr>
        <w:pStyle w:val="NormalWeb"/>
        <w:spacing w:before="0" w:beforeAutospacing="0" w:after="0" w:afterAutospacing="0" w:line="360" w:lineRule="auto"/>
        <w:ind w:right="77"/>
        <w:jc w:val="both"/>
        <w:rPr>
          <w:rFonts w:ascii="Palatino Linotype" w:hAnsi="Palatino Linotype" w:cstheme="minorHAnsi"/>
          <w:sz w:val="22"/>
          <w:szCs w:val="22"/>
          <w:lang w:val="en-US"/>
        </w:rPr>
      </w:pPr>
      <w:r w:rsidRPr="002C08F1">
        <w:rPr>
          <w:rFonts w:ascii="Palatino Linotype" w:hAnsi="Palatino Linotype" w:cstheme="minorHAnsi"/>
          <w:sz w:val="22"/>
          <w:szCs w:val="22"/>
          <w:lang w:val="en-US"/>
        </w:rPr>
        <w:t xml:space="preserve">The sharp loss of momentum in private consumption in the first quarter of 2026 compared with previous quarters suggests that the revival supported by lower lending rates and promotional financing opportunities may not be lasting. The substantial contraction in exports for two consecutive quarters points to structural factors rather than a purely cyclical movement, such as the real appreciation of the Turkish lira, weaker industrial demand in the EU, or sector-specific and geopolitical effects. The contributions of both private consumption and exports to growth have declined markedly in recent years: the annual contribution of private consumption fell from around 9–10 percentage points in 2022 to 2.7 percentage points in the first quarter of 2026, while exports experienced a similarly large deterioration, turning into a negative contribution. The weakening of these two components has largely been offset by the technical and temporary support of changes in inventories; the sustainability of this support warrants close monitoring. The pace of monetary tightening by </w:t>
      </w:r>
      <w:r w:rsidRPr="002C08F1">
        <w:rPr>
          <w:rFonts w:ascii="Palatino Linotype" w:hAnsi="Palatino Linotype" w:cstheme="minorHAnsi"/>
          <w:sz w:val="22"/>
          <w:szCs w:val="22"/>
          <w:lang w:val="en-US"/>
        </w:rPr>
        <w:lastRenderedPageBreak/>
        <w:t>the CBRT and developments in credit conditions will remain key determinants of growth performance in 2026.</w:t>
      </w:r>
      <w:r w:rsidR="00134BE8" w:rsidRPr="002C08F1">
        <w:rPr>
          <w:rFonts w:ascii="Palatino Linotype" w:hAnsi="Palatino Linotype" w:cstheme="minorHAnsi"/>
          <w:sz w:val="22"/>
          <w:szCs w:val="22"/>
          <w:lang w:val="en-US"/>
        </w:rPr>
        <w:t xml:space="preserve"> </w:t>
      </w:r>
    </w:p>
    <w:p w14:paraId="5DAE9D8B" w14:textId="77777777" w:rsidR="007D2AD4" w:rsidRPr="002C08F1" w:rsidRDefault="007D2AD4" w:rsidP="00DF08BD">
      <w:pPr>
        <w:pStyle w:val="NormalWeb"/>
        <w:spacing w:before="0" w:beforeAutospacing="0" w:after="0" w:afterAutospacing="0" w:line="360" w:lineRule="auto"/>
        <w:ind w:right="77"/>
        <w:jc w:val="both"/>
        <w:rPr>
          <w:rFonts w:ascii="Palatino Linotype" w:hAnsi="Palatino Linotype" w:cstheme="minorHAnsi"/>
          <w:b/>
          <w:bCs/>
          <w:sz w:val="22"/>
          <w:szCs w:val="22"/>
          <w:lang w:val="en-US"/>
        </w:rPr>
      </w:pPr>
    </w:p>
    <w:p w14:paraId="2CECF811" w14:textId="2E58A18B" w:rsidR="00DF08BD" w:rsidRPr="002C08F1" w:rsidRDefault="00E85F3F" w:rsidP="00DF08BD">
      <w:pPr>
        <w:pStyle w:val="NormalWeb"/>
        <w:spacing w:before="0" w:beforeAutospacing="0" w:after="0" w:afterAutospacing="0" w:line="360" w:lineRule="auto"/>
        <w:ind w:right="77"/>
        <w:jc w:val="both"/>
        <w:rPr>
          <w:rFonts w:ascii="Palatino Linotype" w:hAnsi="Palatino Linotype" w:cstheme="minorHAnsi"/>
          <w:b/>
          <w:bCs/>
          <w:vanish/>
          <w:sz w:val="22"/>
          <w:szCs w:val="22"/>
          <w:lang w:val="en-US"/>
          <w:specVanish/>
        </w:rPr>
      </w:pPr>
      <w:r w:rsidRPr="002C08F1">
        <w:rPr>
          <w:rFonts w:ascii="Palatino Linotype" w:hAnsi="Palatino Linotype" w:cstheme="minorHAnsi"/>
          <w:b/>
          <w:bCs/>
          <w:sz w:val="22"/>
          <w:szCs w:val="22"/>
          <w:lang w:val="en-US"/>
        </w:rPr>
        <w:t>Figure 2: GDP growth rates relative to the previous quarter and the same quarter of the previous year</w:t>
      </w:r>
    </w:p>
    <w:p w14:paraId="19F577E0" w14:textId="71D9C9E0" w:rsidR="003A4C32" w:rsidRPr="002C08F1" w:rsidRDefault="003A4C32" w:rsidP="00DF08BD">
      <w:pPr>
        <w:pStyle w:val="NormalWeb"/>
        <w:spacing w:before="0" w:beforeAutospacing="0" w:after="0" w:afterAutospacing="0" w:line="360" w:lineRule="auto"/>
        <w:ind w:right="77"/>
        <w:jc w:val="both"/>
        <w:rPr>
          <w:rFonts w:ascii="Palatino Linotype" w:hAnsi="Palatino Linotype" w:cstheme="minorHAnsi"/>
          <w:sz w:val="18"/>
          <w:szCs w:val="18"/>
          <w:lang w:val="en-US"/>
        </w:rPr>
      </w:pPr>
    </w:p>
    <w:p w14:paraId="6616F549" w14:textId="745F6F23" w:rsidR="00406AC1" w:rsidRPr="002C08F1" w:rsidRDefault="00406AC1" w:rsidP="00406AC1">
      <w:pPr>
        <w:pStyle w:val="NormalWeb"/>
        <w:spacing w:before="0" w:beforeAutospacing="0" w:after="0" w:afterAutospacing="0" w:line="360" w:lineRule="auto"/>
        <w:ind w:right="77"/>
        <w:jc w:val="both"/>
        <w:rPr>
          <w:rFonts w:ascii="Palatino Linotype" w:hAnsi="Palatino Linotype" w:cstheme="minorHAnsi"/>
          <w:sz w:val="18"/>
          <w:szCs w:val="18"/>
          <w:lang w:val="en-US"/>
        </w:rPr>
      </w:pPr>
      <w:r w:rsidRPr="002C08F1">
        <w:rPr>
          <w:noProof/>
          <w:lang w:val="en-US" w:eastAsia="en-GB"/>
        </w:rPr>
        <w:drawing>
          <wp:inline distT="0" distB="0" distL="0" distR="0" wp14:anchorId="2DD52A7A" wp14:editId="322A31EF">
            <wp:extent cx="5760720" cy="2631657"/>
            <wp:effectExtent l="0" t="0" r="17780" b="10160"/>
            <wp:docPr id="122954304" name="Chart 1">
              <a:extLst xmlns:a="http://schemas.openxmlformats.org/drawingml/2006/main">
                <a:ext uri="{FF2B5EF4-FFF2-40B4-BE49-F238E27FC236}">
                  <a16:creationId xmlns:a16="http://schemas.microsoft.com/office/drawing/2014/main" id="{B8A97ED8-39A6-4857-9F33-3E562FFF4819}"/>
                </a:ext>
                <a:ext uri="{147F2762-F138-4A5C-976F-8EAC2B608ADB}">
                  <a16:predDERef xmlns:a16="http://schemas.microsoft.com/office/drawing/2014/main" pred="{1AB8DFF6-C85C-455A-814A-D552470285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047BBA" w14:textId="7B8592AE" w:rsidR="001A080D" w:rsidRPr="002C08F1" w:rsidRDefault="00062A8A" w:rsidP="004360BE">
      <w:pPr>
        <w:pStyle w:val="NormalWeb"/>
        <w:spacing w:before="0" w:beforeAutospacing="0" w:after="0" w:afterAutospacing="0" w:line="360" w:lineRule="auto"/>
        <w:ind w:right="77"/>
        <w:jc w:val="both"/>
        <w:rPr>
          <w:rFonts w:ascii="Palatino Linotype" w:hAnsi="Palatino Linotype" w:cstheme="minorHAnsi"/>
          <w:noProof/>
          <w:sz w:val="18"/>
          <w:szCs w:val="18"/>
          <w:lang w:val="en-US"/>
        </w:rPr>
      </w:pPr>
      <w:r w:rsidRPr="002C08F1">
        <w:rPr>
          <w:rFonts w:ascii="Palatino Linotype" w:hAnsi="Palatino Linotype" w:cstheme="minorHAnsi"/>
          <w:sz w:val="18"/>
          <w:szCs w:val="18"/>
          <w:lang w:val="en-US"/>
        </w:rPr>
        <w:t xml:space="preserve">Source: </w:t>
      </w:r>
      <w:proofErr w:type="spellStart"/>
      <w:r w:rsidRPr="002C08F1">
        <w:rPr>
          <w:rFonts w:ascii="Palatino Linotype" w:hAnsi="Palatino Linotype" w:cstheme="minorHAnsi"/>
          <w:sz w:val="18"/>
          <w:szCs w:val="18"/>
          <w:lang w:val="en-US"/>
        </w:rPr>
        <w:t>TurkStat</w:t>
      </w:r>
      <w:proofErr w:type="spellEnd"/>
      <w:r w:rsidRPr="002C08F1">
        <w:rPr>
          <w:rFonts w:ascii="Palatino Linotype" w:hAnsi="Palatino Linotype" w:cstheme="minorHAnsi"/>
          <w:sz w:val="18"/>
          <w:szCs w:val="18"/>
          <w:lang w:val="en-US"/>
        </w:rPr>
        <w:t>, Betam</w:t>
      </w:r>
    </w:p>
    <w:sectPr w:rsidR="001A080D" w:rsidRPr="002C08F1" w:rsidSect="005047E6">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8AC928" w14:textId="77777777" w:rsidR="00373217" w:rsidRDefault="00373217" w:rsidP="00DA0C5D">
      <w:r>
        <w:separator/>
      </w:r>
    </w:p>
  </w:endnote>
  <w:endnote w:type="continuationSeparator" w:id="0">
    <w:p w14:paraId="2FB899B3" w14:textId="77777777" w:rsidR="00373217" w:rsidRDefault="00373217" w:rsidP="00DA0C5D">
      <w:r>
        <w:continuationSeparator/>
      </w:r>
    </w:p>
  </w:endnote>
  <w:endnote w:type="continuationNotice" w:id="1">
    <w:p w14:paraId="443B50DD" w14:textId="77777777" w:rsidR="00373217" w:rsidRDefault="003732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Yu Mincho">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9491006"/>
      <w:docPartObj>
        <w:docPartGallery w:val="Page Numbers (Bottom of Page)"/>
        <w:docPartUnique/>
      </w:docPartObj>
    </w:sdtPr>
    <w:sdtEndPr>
      <w:rPr>
        <w:noProof/>
      </w:rPr>
    </w:sdtEndPr>
    <w:sdtContent>
      <w:p w14:paraId="4958D66D" w14:textId="4FBAB67D" w:rsidR="002C542E" w:rsidRDefault="002C542E">
        <w:pPr>
          <w:pStyle w:val="Footer"/>
          <w:jc w:val="center"/>
        </w:pPr>
        <w:r>
          <w:fldChar w:fldCharType="begin"/>
        </w:r>
        <w:r>
          <w:instrText xml:space="preserve"> PAGE   \* MERGEFORMAT </w:instrText>
        </w:r>
        <w:r>
          <w:fldChar w:fldCharType="separate"/>
        </w:r>
        <w:r w:rsidR="007D2AD4">
          <w:rPr>
            <w:noProof/>
          </w:rPr>
          <w:t>5</w:t>
        </w:r>
        <w:r>
          <w:rPr>
            <w:noProof/>
          </w:rPr>
          <w:fldChar w:fldCharType="end"/>
        </w:r>
      </w:p>
    </w:sdtContent>
  </w:sdt>
  <w:p w14:paraId="19293457" w14:textId="77777777" w:rsidR="009030D2" w:rsidRDefault="00903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1B3D0E" w14:textId="77777777" w:rsidR="00373217" w:rsidRDefault="00373217" w:rsidP="00DA0C5D">
      <w:r>
        <w:separator/>
      </w:r>
    </w:p>
  </w:footnote>
  <w:footnote w:type="continuationSeparator" w:id="0">
    <w:p w14:paraId="3E5A3DB7" w14:textId="77777777" w:rsidR="00373217" w:rsidRDefault="00373217" w:rsidP="00DA0C5D">
      <w:r>
        <w:continuationSeparator/>
      </w:r>
    </w:p>
  </w:footnote>
  <w:footnote w:type="continuationNotice" w:id="1">
    <w:p w14:paraId="07668C78" w14:textId="77777777" w:rsidR="00373217" w:rsidRDefault="00373217"/>
  </w:footnote>
  <w:footnote w:id="2">
    <w:p w14:paraId="6D61CC27" w14:textId="37D9E46D" w:rsidR="00C32789" w:rsidRPr="006F4B75" w:rsidRDefault="00C32789" w:rsidP="00173671">
      <w:pPr>
        <w:pStyle w:val="FootnoteText"/>
        <w:jc w:val="both"/>
        <w:rPr>
          <w:lang w:val="en-US"/>
        </w:rPr>
      </w:pPr>
      <w:r>
        <w:rPr>
          <w:rStyle w:val="FootnoteReference"/>
        </w:rPr>
        <w:footnoteRef/>
      </w:r>
      <w:r w:rsidR="001866FC">
        <w:t xml:space="preserve"> </w:t>
      </w:r>
      <w:r w:rsidRPr="001866FC">
        <w:rPr>
          <w:rFonts w:ascii="Palatino Linotype" w:hAnsi="Palatino Linotype"/>
          <w:sz w:val="18"/>
          <w:szCs w:val="18"/>
        </w:rPr>
        <w:t>Betam</w:t>
      </w:r>
      <w:r w:rsidR="006F4B75">
        <w:rPr>
          <w:rFonts w:ascii="Palatino Linotype" w:hAnsi="Palatino Linotype"/>
          <w:sz w:val="18"/>
          <w:szCs w:val="18"/>
        </w:rPr>
        <w:t xml:space="preserve">, </w:t>
      </w:r>
      <w:proofErr w:type="spellStart"/>
      <w:r w:rsidR="006F4B75">
        <w:rPr>
          <w:rFonts w:ascii="Palatino Linotype" w:hAnsi="Palatino Linotype"/>
          <w:sz w:val="18"/>
          <w:szCs w:val="18"/>
        </w:rPr>
        <w:t>seyfettin.gursel</w:t>
      </w:r>
      <w:proofErr w:type="spellEnd"/>
      <w:r w:rsidR="006F4B75">
        <w:rPr>
          <w:rFonts w:ascii="Palatino Linotype" w:hAnsi="Palatino Linotype"/>
          <w:sz w:val="18"/>
          <w:szCs w:val="18"/>
          <w:lang w:val="en-US"/>
        </w:rPr>
        <w:t>@bau.edu.tr</w:t>
      </w:r>
    </w:p>
  </w:footnote>
  <w:footnote w:id="3">
    <w:p w14:paraId="5BE1DCEB" w14:textId="0BD036B4" w:rsidR="001537D8" w:rsidRDefault="001537D8" w:rsidP="00173671">
      <w:pPr>
        <w:pStyle w:val="FootnoteText"/>
        <w:jc w:val="both"/>
      </w:pPr>
      <w:r>
        <w:rPr>
          <w:rStyle w:val="FootnoteReference"/>
        </w:rPr>
        <w:footnoteRef/>
      </w:r>
      <w:r w:rsidR="001866FC">
        <w:t xml:space="preserve"> </w:t>
      </w:r>
      <w:r w:rsidRPr="001866FC">
        <w:rPr>
          <w:rFonts w:ascii="Palatino Linotype" w:hAnsi="Palatino Linotype"/>
          <w:sz w:val="18"/>
          <w:szCs w:val="18"/>
        </w:rPr>
        <w:t>Betam,</w:t>
      </w:r>
      <w:r w:rsidR="00302EDD">
        <w:rPr>
          <w:rFonts w:ascii="Palatino Linotype" w:hAnsi="Palatino Linotype"/>
          <w:sz w:val="18"/>
          <w:szCs w:val="18"/>
        </w:rPr>
        <w:t xml:space="preserve"> </w:t>
      </w:r>
      <w:r w:rsidR="006A51CC">
        <w:rPr>
          <w:rFonts w:ascii="Palatino Linotype" w:hAnsi="Palatino Linotype"/>
          <w:sz w:val="18"/>
          <w:szCs w:val="18"/>
        </w:rPr>
        <w:t>saliha.tanriverdi</w:t>
      </w:r>
      <w:r w:rsidR="004D4272" w:rsidRPr="001866FC">
        <w:rPr>
          <w:rFonts w:ascii="Palatino Linotype" w:hAnsi="Palatino Linotype"/>
          <w:sz w:val="18"/>
          <w:szCs w:val="18"/>
        </w:rPr>
        <w:t>@bau.edu.tr</w:t>
      </w:r>
      <w:r>
        <w:t xml:space="preserve"> </w:t>
      </w:r>
    </w:p>
  </w:footnote>
  <w:footnote w:id="4">
    <w:p w14:paraId="728C91E1" w14:textId="77777777" w:rsidR="00BD0800" w:rsidRPr="00E22DFD" w:rsidRDefault="00BD0800" w:rsidP="00BD0800">
      <w:pPr>
        <w:pStyle w:val="FootnoteText"/>
        <w:jc w:val="both"/>
        <w:rPr>
          <w:rFonts w:ascii="Palatino Linotype" w:hAnsi="Palatino Linotype"/>
          <w:sz w:val="18"/>
          <w:szCs w:val="18"/>
        </w:rPr>
      </w:pPr>
      <w:r w:rsidRPr="00E22DFD">
        <w:rPr>
          <w:rStyle w:val="FootnoteReference"/>
          <w:rFonts w:ascii="Palatino Linotype" w:hAnsi="Palatino Linotype"/>
          <w:sz w:val="18"/>
          <w:szCs w:val="18"/>
        </w:rPr>
        <w:footnoteRef/>
      </w:r>
      <w:r w:rsidRPr="00E22DFD">
        <w:rPr>
          <w:rFonts w:ascii="Palatino Linotype" w:hAnsi="Palatino Linotype"/>
          <w:sz w:val="18"/>
          <w:szCs w:val="18"/>
        </w:rPr>
        <w:t>TurkStat uses the chain-linked volume index method to calculate its new national accounts series. Under this method, the contribution of changes in inventories to growth cannot be readily calculated because chain-linking creates a non-additivity problem and a chained index cannot be derived for the “changes in inventories” component. We discussed in detail how to calculate the contribution of inventory changes to growth under the chain-linked volume index approach in our research note (see Betam Research Note 17/217).</w:t>
      </w:r>
      <w:bookmarkStart w:id="13" w:name="OLE_LINK3"/>
      <w:bookmarkStart w:id="14" w:name="OLE_LINK4"/>
      <w:bookmarkEnd w:id="13"/>
      <w:bookmarkEnd w:id="1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850D03"/>
    <w:multiLevelType w:val="hybridMultilevel"/>
    <w:tmpl w:val="ABAEA2D4"/>
    <w:lvl w:ilvl="0" w:tplc="D6BC705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97842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2MzQ1MzcytDQzNrBU0lEKTi0uzszPAykwrwUAwfjx3ywAAAA="/>
  </w:docVars>
  <w:rsids>
    <w:rsidRoot w:val="00D07713"/>
    <w:rsid w:val="0000013E"/>
    <w:rsid w:val="00000824"/>
    <w:rsid w:val="0000228F"/>
    <w:rsid w:val="0000232E"/>
    <w:rsid w:val="00002E42"/>
    <w:rsid w:val="000055F7"/>
    <w:rsid w:val="00007BF3"/>
    <w:rsid w:val="00007C3F"/>
    <w:rsid w:val="0001081A"/>
    <w:rsid w:val="00010B90"/>
    <w:rsid w:val="00010DAB"/>
    <w:rsid w:val="00013768"/>
    <w:rsid w:val="0001392F"/>
    <w:rsid w:val="000141C7"/>
    <w:rsid w:val="0001486D"/>
    <w:rsid w:val="00015F47"/>
    <w:rsid w:val="00016D27"/>
    <w:rsid w:val="00017B51"/>
    <w:rsid w:val="00020306"/>
    <w:rsid w:val="00021CFC"/>
    <w:rsid w:val="00022596"/>
    <w:rsid w:val="00022EB1"/>
    <w:rsid w:val="00023740"/>
    <w:rsid w:val="00023B97"/>
    <w:rsid w:val="0002466A"/>
    <w:rsid w:val="00024FE0"/>
    <w:rsid w:val="00030A2C"/>
    <w:rsid w:val="000314B6"/>
    <w:rsid w:val="0003173A"/>
    <w:rsid w:val="00032741"/>
    <w:rsid w:val="00034933"/>
    <w:rsid w:val="00036770"/>
    <w:rsid w:val="00037728"/>
    <w:rsid w:val="000404B3"/>
    <w:rsid w:val="0004087D"/>
    <w:rsid w:val="00041FB7"/>
    <w:rsid w:val="00042210"/>
    <w:rsid w:val="0004390D"/>
    <w:rsid w:val="00044AF3"/>
    <w:rsid w:val="00044D9E"/>
    <w:rsid w:val="00045626"/>
    <w:rsid w:val="0004588B"/>
    <w:rsid w:val="00047A79"/>
    <w:rsid w:val="00050D2C"/>
    <w:rsid w:val="00052012"/>
    <w:rsid w:val="0005290F"/>
    <w:rsid w:val="000529F2"/>
    <w:rsid w:val="00052B86"/>
    <w:rsid w:val="00053AAA"/>
    <w:rsid w:val="00054943"/>
    <w:rsid w:val="00054D9E"/>
    <w:rsid w:val="00055EA1"/>
    <w:rsid w:val="000561F7"/>
    <w:rsid w:val="0005747B"/>
    <w:rsid w:val="00057F8E"/>
    <w:rsid w:val="00062A8A"/>
    <w:rsid w:val="00063B28"/>
    <w:rsid w:val="000641A8"/>
    <w:rsid w:val="000652B6"/>
    <w:rsid w:val="00066842"/>
    <w:rsid w:val="00067288"/>
    <w:rsid w:val="0006775B"/>
    <w:rsid w:val="00070018"/>
    <w:rsid w:val="000714BA"/>
    <w:rsid w:val="000719F5"/>
    <w:rsid w:val="000725DB"/>
    <w:rsid w:val="00073415"/>
    <w:rsid w:val="000753CE"/>
    <w:rsid w:val="00077CA8"/>
    <w:rsid w:val="00077F9D"/>
    <w:rsid w:val="00080211"/>
    <w:rsid w:val="00080336"/>
    <w:rsid w:val="00085271"/>
    <w:rsid w:val="00086C64"/>
    <w:rsid w:val="00087011"/>
    <w:rsid w:val="000876CE"/>
    <w:rsid w:val="00087C70"/>
    <w:rsid w:val="000905E5"/>
    <w:rsid w:val="00091F3E"/>
    <w:rsid w:val="0009328A"/>
    <w:rsid w:val="00094206"/>
    <w:rsid w:val="00094647"/>
    <w:rsid w:val="0009673D"/>
    <w:rsid w:val="00096CDA"/>
    <w:rsid w:val="00097794"/>
    <w:rsid w:val="000978C8"/>
    <w:rsid w:val="000A05ED"/>
    <w:rsid w:val="000A1122"/>
    <w:rsid w:val="000A3019"/>
    <w:rsid w:val="000A4FA7"/>
    <w:rsid w:val="000A612E"/>
    <w:rsid w:val="000B09B0"/>
    <w:rsid w:val="000B0D12"/>
    <w:rsid w:val="000B0FC1"/>
    <w:rsid w:val="000B45D6"/>
    <w:rsid w:val="000B6CAD"/>
    <w:rsid w:val="000B75BE"/>
    <w:rsid w:val="000C0E23"/>
    <w:rsid w:val="000C12C0"/>
    <w:rsid w:val="000C1672"/>
    <w:rsid w:val="000C5C80"/>
    <w:rsid w:val="000C5EAB"/>
    <w:rsid w:val="000C634D"/>
    <w:rsid w:val="000D5974"/>
    <w:rsid w:val="000D5FD3"/>
    <w:rsid w:val="000D6E6C"/>
    <w:rsid w:val="000D70D1"/>
    <w:rsid w:val="000E1802"/>
    <w:rsid w:val="000E2388"/>
    <w:rsid w:val="000E2F54"/>
    <w:rsid w:val="000E3436"/>
    <w:rsid w:val="000E445D"/>
    <w:rsid w:val="000F0B6B"/>
    <w:rsid w:val="000F2C7A"/>
    <w:rsid w:val="000F34BE"/>
    <w:rsid w:val="000F378E"/>
    <w:rsid w:val="000F38B6"/>
    <w:rsid w:val="000F431C"/>
    <w:rsid w:val="000F6529"/>
    <w:rsid w:val="000F75B9"/>
    <w:rsid w:val="001004FF"/>
    <w:rsid w:val="0010209C"/>
    <w:rsid w:val="001020C4"/>
    <w:rsid w:val="001035A0"/>
    <w:rsid w:val="00111CED"/>
    <w:rsid w:val="0011291D"/>
    <w:rsid w:val="00112AEA"/>
    <w:rsid w:val="00115F49"/>
    <w:rsid w:val="0011613D"/>
    <w:rsid w:val="001165B4"/>
    <w:rsid w:val="001167EB"/>
    <w:rsid w:val="00117128"/>
    <w:rsid w:val="001226D6"/>
    <w:rsid w:val="001239FD"/>
    <w:rsid w:val="00124B0C"/>
    <w:rsid w:val="0012527F"/>
    <w:rsid w:val="00125770"/>
    <w:rsid w:val="00126200"/>
    <w:rsid w:val="001264BF"/>
    <w:rsid w:val="001270D3"/>
    <w:rsid w:val="0012777A"/>
    <w:rsid w:val="00127E4D"/>
    <w:rsid w:val="00130D73"/>
    <w:rsid w:val="00131C5C"/>
    <w:rsid w:val="00132910"/>
    <w:rsid w:val="00132F7E"/>
    <w:rsid w:val="00134BE8"/>
    <w:rsid w:val="001365DD"/>
    <w:rsid w:val="0013699E"/>
    <w:rsid w:val="00137467"/>
    <w:rsid w:val="00140468"/>
    <w:rsid w:val="00141EDB"/>
    <w:rsid w:val="00143F17"/>
    <w:rsid w:val="0014542A"/>
    <w:rsid w:val="00145995"/>
    <w:rsid w:val="00150FFB"/>
    <w:rsid w:val="0015176F"/>
    <w:rsid w:val="001527FA"/>
    <w:rsid w:val="001531B2"/>
    <w:rsid w:val="001537D8"/>
    <w:rsid w:val="001540B7"/>
    <w:rsid w:val="00156849"/>
    <w:rsid w:val="00156D41"/>
    <w:rsid w:val="00157070"/>
    <w:rsid w:val="001570F3"/>
    <w:rsid w:val="0016084A"/>
    <w:rsid w:val="00160880"/>
    <w:rsid w:val="001648AB"/>
    <w:rsid w:val="00166779"/>
    <w:rsid w:val="00173671"/>
    <w:rsid w:val="00173752"/>
    <w:rsid w:val="00173CB3"/>
    <w:rsid w:val="0017424F"/>
    <w:rsid w:val="001744CD"/>
    <w:rsid w:val="00175FC8"/>
    <w:rsid w:val="00177002"/>
    <w:rsid w:val="001777A4"/>
    <w:rsid w:val="001804D3"/>
    <w:rsid w:val="00183AFA"/>
    <w:rsid w:val="00183D5C"/>
    <w:rsid w:val="00184174"/>
    <w:rsid w:val="00184B02"/>
    <w:rsid w:val="001851FE"/>
    <w:rsid w:val="001855BC"/>
    <w:rsid w:val="001866FC"/>
    <w:rsid w:val="00190944"/>
    <w:rsid w:val="00190CDF"/>
    <w:rsid w:val="00190F8D"/>
    <w:rsid w:val="0019364D"/>
    <w:rsid w:val="00194FF2"/>
    <w:rsid w:val="001978A0"/>
    <w:rsid w:val="001A080D"/>
    <w:rsid w:val="001A1825"/>
    <w:rsid w:val="001A18B0"/>
    <w:rsid w:val="001A42FF"/>
    <w:rsid w:val="001A5699"/>
    <w:rsid w:val="001B06E6"/>
    <w:rsid w:val="001B371C"/>
    <w:rsid w:val="001B3A44"/>
    <w:rsid w:val="001B584B"/>
    <w:rsid w:val="001B5FA8"/>
    <w:rsid w:val="001C2763"/>
    <w:rsid w:val="001C2C68"/>
    <w:rsid w:val="001C342D"/>
    <w:rsid w:val="001C41BB"/>
    <w:rsid w:val="001C566F"/>
    <w:rsid w:val="001C65BF"/>
    <w:rsid w:val="001C7370"/>
    <w:rsid w:val="001C77F0"/>
    <w:rsid w:val="001D0150"/>
    <w:rsid w:val="001D13E5"/>
    <w:rsid w:val="001D2107"/>
    <w:rsid w:val="001D36E7"/>
    <w:rsid w:val="001D37D1"/>
    <w:rsid w:val="001D420E"/>
    <w:rsid w:val="001D5B02"/>
    <w:rsid w:val="001D6465"/>
    <w:rsid w:val="001D7073"/>
    <w:rsid w:val="001D7513"/>
    <w:rsid w:val="001E181B"/>
    <w:rsid w:val="001E2682"/>
    <w:rsid w:val="001E2E49"/>
    <w:rsid w:val="001E3320"/>
    <w:rsid w:val="001E349F"/>
    <w:rsid w:val="001E44F8"/>
    <w:rsid w:val="001E495B"/>
    <w:rsid w:val="001E514D"/>
    <w:rsid w:val="001E7126"/>
    <w:rsid w:val="001E72E4"/>
    <w:rsid w:val="001E7D73"/>
    <w:rsid w:val="001F0FFC"/>
    <w:rsid w:val="001F12E3"/>
    <w:rsid w:val="001F1554"/>
    <w:rsid w:val="001F1CCF"/>
    <w:rsid w:val="001F2DE9"/>
    <w:rsid w:val="001F4A7A"/>
    <w:rsid w:val="001F4E3D"/>
    <w:rsid w:val="001F5399"/>
    <w:rsid w:val="001F5841"/>
    <w:rsid w:val="001F7023"/>
    <w:rsid w:val="001F729E"/>
    <w:rsid w:val="001F7B1D"/>
    <w:rsid w:val="001F7BC7"/>
    <w:rsid w:val="00200BCB"/>
    <w:rsid w:val="00201554"/>
    <w:rsid w:val="00201E79"/>
    <w:rsid w:val="00202302"/>
    <w:rsid w:val="002034A9"/>
    <w:rsid w:val="00204FB4"/>
    <w:rsid w:val="00205844"/>
    <w:rsid w:val="00206F72"/>
    <w:rsid w:val="002076D8"/>
    <w:rsid w:val="0021038D"/>
    <w:rsid w:val="002106DF"/>
    <w:rsid w:val="00211E95"/>
    <w:rsid w:val="00212579"/>
    <w:rsid w:val="00212782"/>
    <w:rsid w:val="00213402"/>
    <w:rsid w:val="002136B9"/>
    <w:rsid w:val="00214268"/>
    <w:rsid w:val="00214914"/>
    <w:rsid w:val="00214B5E"/>
    <w:rsid w:val="00215BC7"/>
    <w:rsid w:val="002176BD"/>
    <w:rsid w:val="00217A5A"/>
    <w:rsid w:val="00220425"/>
    <w:rsid w:val="00224895"/>
    <w:rsid w:val="0022537C"/>
    <w:rsid w:val="0022637C"/>
    <w:rsid w:val="0022673E"/>
    <w:rsid w:val="002270D8"/>
    <w:rsid w:val="00232635"/>
    <w:rsid w:val="002334DD"/>
    <w:rsid w:val="002343A8"/>
    <w:rsid w:val="00235DBE"/>
    <w:rsid w:val="00236258"/>
    <w:rsid w:val="0023713A"/>
    <w:rsid w:val="002372CB"/>
    <w:rsid w:val="00242C10"/>
    <w:rsid w:val="00242F55"/>
    <w:rsid w:val="00244CF8"/>
    <w:rsid w:val="00245261"/>
    <w:rsid w:val="00245B1A"/>
    <w:rsid w:val="00247A3C"/>
    <w:rsid w:val="0025111C"/>
    <w:rsid w:val="00251690"/>
    <w:rsid w:val="00253E19"/>
    <w:rsid w:val="002561CB"/>
    <w:rsid w:val="00256FE3"/>
    <w:rsid w:val="00263C3E"/>
    <w:rsid w:val="00265553"/>
    <w:rsid w:val="00265568"/>
    <w:rsid w:val="002655E5"/>
    <w:rsid w:val="002663FD"/>
    <w:rsid w:val="00267F48"/>
    <w:rsid w:val="00270A75"/>
    <w:rsid w:val="00270E2B"/>
    <w:rsid w:val="002714F9"/>
    <w:rsid w:val="002729B4"/>
    <w:rsid w:val="002755D9"/>
    <w:rsid w:val="00275745"/>
    <w:rsid w:val="0027649A"/>
    <w:rsid w:val="002769F8"/>
    <w:rsid w:val="00277FED"/>
    <w:rsid w:val="002804E5"/>
    <w:rsid w:val="0028053F"/>
    <w:rsid w:val="00282242"/>
    <w:rsid w:val="002829BC"/>
    <w:rsid w:val="00282C5D"/>
    <w:rsid w:val="002836D7"/>
    <w:rsid w:val="00284401"/>
    <w:rsid w:val="00284764"/>
    <w:rsid w:val="002847DE"/>
    <w:rsid w:val="0028498B"/>
    <w:rsid w:val="00287B00"/>
    <w:rsid w:val="00287D00"/>
    <w:rsid w:val="0029215C"/>
    <w:rsid w:val="00295671"/>
    <w:rsid w:val="00295E9A"/>
    <w:rsid w:val="0029623C"/>
    <w:rsid w:val="0029624E"/>
    <w:rsid w:val="002A018C"/>
    <w:rsid w:val="002A037D"/>
    <w:rsid w:val="002A07A9"/>
    <w:rsid w:val="002A16BA"/>
    <w:rsid w:val="002A20F3"/>
    <w:rsid w:val="002A2C66"/>
    <w:rsid w:val="002A40B6"/>
    <w:rsid w:val="002A738E"/>
    <w:rsid w:val="002A7C37"/>
    <w:rsid w:val="002B2172"/>
    <w:rsid w:val="002B2A1B"/>
    <w:rsid w:val="002B3C10"/>
    <w:rsid w:val="002B4A1A"/>
    <w:rsid w:val="002C00A1"/>
    <w:rsid w:val="002C08F1"/>
    <w:rsid w:val="002C0F1D"/>
    <w:rsid w:val="002C16BE"/>
    <w:rsid w:val="002C4AF2"/>
    <w:rsid w:val="002C4CC7"/>
    <w:rsid w:val="002C4E2F"/>
    <w:rsid w:val="002C542E"/>
    <w:rsid w:val="002C57C6"/>
    <w:rsid w:val="002C5C24"/>
    <w:rsid w:val="002C64BB"/>
    <w:rsid w:val="002C7A07"/>
    <w:rsid w:val="002D0856"/>
    <w:rsid w:val="002D0F16"/>
    <w:rsid w:val="002D1797"/>
    <w:rsid w:val="002D4002"/>
    <w:rsid w:val="002D4D2D"/>
    <w:rsid w:val="002E1F54"/>
    <w:rsid w:val="002E3A79"/>
    <w:rsid w:val="002E526F"/>
    <w:rsid w:val="002E6C96"/>
    <w:rsid w:val="002F1503"/>
    <w:rsid w:val="002F2245"/>
    <w:rsid w:val="002F26B4"/>
    <w:rsid w:val="002F2D70"/>
    <w:rsid w:val="002F3163"/>
    <w:rsid w:val="002F63B2"/>
    <w:rsid w:val="0030250D"/>
    <w:rsid w:val="00302EDD"/>
    <w:rsid w:val="00303768"/>
    <w:rsid w:val="003061DC"/>
    <w:rsid w:val="00306FF4"/>
    <w:rsid w:val="003079ED"/>
    <w:rsid w:val="00310007"/>
    <w:rsid w:val="00310C5C"/>
    <w:rsid w:val="00311EFF"/>
    <w:rsid w:val="003122C3"/>
    <w:rsid w:val="00312D61"/>
    <w:rsid w:val="00314264"/>
    <w:rsid w:val="003142E3"/>
    <w:rsid w:val="0031652F"/>
    <w:rsid w:val="003172DB"/>
    <w:rsid w:val="0031731B"/>
    <w:rsid w:val="00320281"/>
    <w:rsid w:val="0032176F"/>
    <w:rsid w:val="00321D78"/>
    <w:rsid w:val="0032280F"/>
    <w:rsid w:val="0032324A"/>
    <w:rsid w:val="0032427F"/>
    <w:rsid w:val="0032487F"/>
    <w:rsid w:val="00324C51"/>
    <w:rsid w:val="00326195"/>
    <w:rsid w:val="00326678"/>
    <w:rsid w:val="003279ED"/>
    <w:rsid w:val="00327CFB"/>
    <w:rsid w:val="00330240"/>
    <w:rsid w:val="00330F33"/>
    <w:rsid w:val="00334DFF"/>
    <w:rsid w:val="00334E27"/>
    <w:rsid w:val="0033649B"/>
    <w:rsid w:val="00336634"/>
    <w:rsid w:val="0034184B"/>
    <w:rsid w:val="00344A74"/>
    <w:rsid w:val="00351F12"/>
    <w:rsid w:val="003521D3"/>
    <w:rsid w:val="00354009"/>
    <w:rsid w:val="003569A9"/>
    <w:rsid w:val="00357BC6"/>
    <w:rsid w:val="00357CFF"/>
    <w:rsid w:val="00357ECA"/>
    <w:rsid w:val="00360632"/>
    <w:rsid w:val="00362359"/>
    <w:rsid w:val="003645F9"/>
    <w:rsid w:val="00364AAB"/>
    <w:rsid w:val="00370403"/>
    <w:rsid w:val="00370A07"/>
    <w:rsid w:val="00370FEE"/>
    <w:rsid w:val="003712A7"/>
    <w:rsid w:val="00373217"/>
    <w:rsid w:val="00375ACF"/>
    <w:rsid w:val="00375EB0"/>
    <w:rsid w:val="003771C7"/>
    <w:rsid w:val="003776CD"/>
    <w:rsid w:val="003777B5"/>
    <w:rsid w:val="00377868"/>
    <w:rsid w:val="003800CF"/>
    <w:rsid w:val="0038057D"/>
    <w:rsid w:val="00382D1A"/>
    <w:rsid w:val="00382EE8"/>
    <w:rsid w:val="003856F4"/>
    <w:rsid w:val="00385A29"/>
    <w:rsid w:val="00385C7B"/>
    <w:rsid w:val="003864E6"/>
    <w:rsid w:val="00390C2E"/>
    <w:rsid w:val="0039364A"/>
    <w:rsid w:val="003967B5"/>
    <w:rsid w:val="003A1AFE"/>
    <w:rsid w:val="003A1B40"/>
    <w:rsid w:val="003A488B"/>
    <w:rsid w:val="003A4C32"/>
    <w:rsid w:val="003A5499"/>
    <w:rsid w:val="003A7596"/>
    <w:rsid w:val="003B1061"/>
    <w:rsid w:val="003B1DCA"/>
    <w:rsid w:val="003B2008"/>
    <w:rsid w:val="003B2D0B"/>
    <w:rsid w:val="003B42D2"/>
    <w:rsid w:val="003B44F9"/>
    <w:rsid w:val="003B5340"/>
    <w:rsid w:val="003B61AA"/>
    <w:rsid w:val="003C09C5"/>
    <w:rsid w:val="003C15C6"/>
    <w:rsid w:val="003C16BF"/>
    <w:rsid w:val="003C22D7"/>
    <w:rsid w:val="003C267D"/>
    <w:rsid w:val="003C2891"/>
    <w:rsid w:val="003C65A1"/>
    <w:rsid w:val="003D1EFE"/>
    <w:rsid w:val="003D3279"/>
    <w:rsid w:val="003D3CC0"/>
    <w:rsid w:val="003D4202"/>
    <w:rsid w:val="003D44CE"/>
    <w:rsid w:val="003D4627"/>
    <w:rsid w:val="003D6A00"/>
    <w:rsid w:val="003E0AEA"/>
    <w:rsid w:val="003E1EED"/>
    <w:rsid w:val="003E3299"/>
    <w:rsid w:val="003E4033"/>
    <w:rsid w:val="003E5C0F"/>
    <w:rsid w:val="003E774E"/>
    <w:rsid w:val="003F00A9"/>
    <w:rsid w:val="003F1276"/>
    <w:rsid w:val="003F48CF"/>
    <w:rsid w:val="003F4E89"/>
    <w:rsid w:val="003F62A8"/>
    <w:rsid w:val="003F6BFA"/>
    <w:rsid w:val="00400651"/>
    <w:rsid w:val="004017B2"/>
    <w:rsid w:val="00401813"/>
    <w:rsid w:val="004040C3"/>
    <w:rsid w:val="004048F5"/>
    <w:rsid w:val="00405BD8"/>
    <w:rsid w:val="00406AC1"/>
    <w:rsid w:val="0040718F"/>
    <w:rsid w:val="00407C84"/>
    <w:rsid w:val="00411A1B"/>
    <w:rsid w:val="004126A2"/>
    <w:rsid w:val="00414976"/>
    <w:rsid w:val="00416A4B"/>
    <w:rsid w:val="00417BAD"/>
    <w:rsid w:val="00417F6E"/>
    <w:rsid w:val="004230CD"/>
    <w:rsid w:val="00423F84"/>
    <w:rsid w:val="00424382"/>
    <w:rsid w:val="0042530D"/>
    <w:rsid w:val="00430276"/>
    <w:rsid w:val="00430AA7"/>
    <w:rsid w:val="00431236"/>
    <w:rsid w:val="004316F0"/>
    <w:rsid w:val="00431C38"/>
    <w:rsid w:val="00432B76"/>
    <w:rsid w:val="00433A75"/>
    <w:rsid w:val="00434406"/>
    <w:rsid w:val="00435806"/>
    <w:rsid w:val="004360BE"/>
    <w:rsid w:val="00437803"/>
    <w:rsid w:val="004426B4"/>
    <w:rsid w:val="004435E3"/>
    <w:rsid w:val="00443C08"/>
    <w:rsid w:val="00443D50"/>
    <w:rsid w:val="004445A3"/>
    <w:rsid w:val="0044498D"/>
    <w:rsid w:val="00444FC5"/>
    <w:rsid w:val="00445C96"/>
    <w:rsid w:val="00445D9F"/>
    <w:rsid w:val="00447743"/>
    <w:rsid w:val="00450756"/>
    <w:rsid w:val="00450CEA"/>
    <w:rsid w:val="0045146C"/>
    <w:rsid w:val="00451A8A"/>
    <w:rsid w:val="00451AAD"/>
    <w:rsid w:val="0045499E"/>
    <w:rsid w:val="0045586B"/>
    <w:rsid w:val="004574B5"/>
    <w:rsid w:val="00457E4E"/>
    <w:rsid w:val="004623F2"/>
    <w:rsid w:val="00462ED3"/>
    <w:rsid w:val="00464333"/>
    <w:rsid w:val="004647F0"/>
    <w:rsid w:val="004656BC"/>
    <w:rsid w:val="0046651A"/>
    <w:rsid w:val="0047041F"/>
    <w:rsid w:val="00476131"/>
    <w:rsid w:val="00476E22"/>
    <w:rsid w:val="00477AED"/>
    <w:rsid w:val="00480684"/>
    <w:rsid w:val="004834F0"/>
    <w:rsid w:val="00483EC5"/>
    <w:rsid w:val="0048406B"/>
    <w:rsid w:val="0048730C"/>
    <w:rsid w:val="0048774D"/>
    <w:rsid w:val="00490AAE"/>
    <w:rsid w:val="00491A9B"/>
    <w:rsid w:val="00492020"/>
    <w:rsid w:val="004922EF"/>
    <w:rsid w:val="00492E7A"/>
    <w:rsid w:val="004931A5"/>
    <w:rsid w:val="00494926"/>
    <w:rsid w:val="004950F8"/>
    <w:rsid w:val="00496A92"/>
    <w:rsid w:val="00497044"/>
    <w:rsid w:val="00497231"/>
    <w:rsid w:val="004A045A"/>
    <w:rsid w:val="004A1A4D"/>
    <w:rsid w:val="004A21DB"/>
    <w:rsid w:val="004B0D97"/>
    <w:rsid w:val="004B130D"/>
    <w:rsid w:val="004B2DAB"/>
    <w:rsid w:val="004B5355"/>
    <w:rsid w:val="004B5B3E"/>
    <w:rsid w:val="004B6E05"/>
    <w:rsid w:val="004B7166"/>
    <w:rsid w:val="004C548E"/>
    <w:rsid w:val="004C6ADE"/>
    <w:rsid w:val="004C74E9"/>
    <w:rsid w:val="004D1A55"/>
    <w:rsid w:val="004D1FAD"/>
    <w:rsid w:val="004D2CC0"/>
    <w:rsid w:val="004D2E16"/>
    <w:rsid w:val="004D34F7"/>
    <w:rsid w:val="004D4272"/>
    <w:rsid w:val="004D4EE0"/>
    <w:rsid w:val="004D626D"/>
    <w:rsid w:val="004D6586"/>
    <w:rsid w:val="004D6ECD"/>
    <w:rsid w:val="004D764F"/>
    <w:rsid w:val="004E0098"/>
    <w:rsid w:val="004E085E"/>
    <w:rsid w:val="004E0CE7"/>
    <w:rsid w:val="004E0D77"/>
    <w:rsid w:val="004E115D"/>
    <w:rsid w:val="004E324B"/>
    <w:rsid w:val="004E5018"/>
    <w:rsid w:val="004E78AD"/>
    <w:rsid w:val="004F0543"/>
    <w:rsid w:val="004F10AB"/>
    <w:rsid w:val="004F4BDC"/>
    <w:rsid w:val="004F54AE"/>
    <w:rsid w:val="004F7F5D"/>
    <w:rsid w:val="0050008F"/>
    <w:rsid w:val="00501199"/>
    <w:rsid w:val="005020BC"/>
    <w:rsid w:val="00502B3A"/>
    <w:rsid w:val="00502D9E"/>
    <w:rsid w:val="005033DB"/>
    <w:rsid w:val="005047E6"/>
    <w:rsid w:val="00505041"/>
    <w:rsid w:val="00505D2D"/>
    <w:rsid w:val="00506253"/>
    <w:rsid w:val="00507586"/>
    <w:rsid w:val="00510883"/>
    <w:rsid w:val="00510A73"/>
    <w:rsid w:val="00510E16"/>
    <w:rsid w:val="00511C6E"/>
    <w:rsid w:val="0051280A"/>
    <w:rsid w:val="00513359"/>
    <w:rsid w:val="005150C1"/>
    <w:rsid w:val="005204CE"/>
    <w:rsid w:val="00521326"/>
    <w:rsid w:val="005225E0"/>
    <w:rsid w:val="00524360"/>
    <w:rsid w:val="00524F9F"/>
    <w:rsid w:val="00530A3C"/>
    <w:rsid w:val="00530B9F"/>
    <w:rsid w:val="0053582F"/>
    <w:rsid w:val="0053586E"/>
    <w:rsid w:val="00537BE1"/>
    <w:rsid w:val="0054145E"/>
    <w:rsid w:val="00542345"/>
    <w:rsid w:val="005431B9"/>
    <w:rsid w:val="005438B0"/>
    <w:rsid w:val="00544773"/>
    <w:rsid w:val="00545103"/>
    <w:rsid w:val="005470D4"/>
    <w:rsid w:val="00547ED5"/>
    <w:rsid w:val="00551589"/>
    <w:rsid w:val="005600E7"/>
    <w:rsid w:val="00560478"/>
    <w:rsid w:val="00560CD9"/>
    <w:rsid w:val="00566F35"/>
    <w:rsid w:val="00570C1B"/>
    <w:rsid w:val="00572FD8"/>
    <w:rsid w:val="00573377"/>
    <w:rsid w:val="005748A8"/>
    <w:rsid w:val="00575EF2"/>
    <w:rsid w:val="005769BD"/>
    <w:rsid w:val="0058118D"/>
    <w:rsid w:val="005824BD"/>
    <w:rsid w:val="00583962"/>
    <w:rsid w:val="0058588C"/>
    <w:rsid w:val="00586424"/>
    <w:rsid w:val="005947A9"/>
    <w:rsid w:val="005A11A1"/>
    <w:rsid w:val="005A2246"/>
    <w:rsid w:val="005A3A4D"/>
    <w:rsid w:val="005A3B33"/>
    <w:rsid w:val="005A5AE7"/>
    <w:rsid w:val="005A611C"/>
    <w:rsid w:val="005A617F"/>
    <w:rsid w:val="005B0EEA"/>
    <w:rsid w:val="005B0FF1"/>
    <w:rsid w:val="005B22EB"/>
    <w:rsid w:val="005B35F3"/>
    <w:rsid w:val="005B3B05"/>
    <w:rsid w:val="005B40EC"/>
    <w:rsid w:val="005B6518"/>
    <w:rsid w:val="005B67B3"/>
    <w:rsid w:val="005C00FE"/>
    <w:rsid w:val="005C08B0"/>
    <w:rsid w:val="005C1B9B"/>
    <w:rsid w:val="005C2F2D"/>
    <w:rsid w:val="005C4B8A"/>
    <w:rsid w:val="005C51D9"/>
    <w:rsid w:val="005C6245"/>
    <w:rsid w:val="005C6EB6"/>
    <w:rsid w:val="005D00FB"/>
    <w:rsid w:val="005D0E8C"/>
    <w:rsid w:val="005D1F23"/>
    <w:rsid w:val="005D2580"/>
    <w:rsid w:val="005D27F8"/>
    <w:rsid w:val="005D2979"/>
    <w:rsid w:val="005D3C96"/>
    <w:rsid w:val="005D4126"/>
    <w:rsid w:val="005D5858"/>
    <w:rsid w:val="005D601F"/>
    <w:rsid w:val="005D72F5"/>
    <w:rsid w:val="005D7F3E"/>
    <w:rsid w:val="005E0D21"/>
    <w:rsid w:val="005E2717"/>
    <w:rsid w:val="005E458B"/>
    <w:rsid w:val="005E49F0"/>
    <w:rsid w:val="005E64E2"/>
    <w:rsid w:val="005E67C0"/>
    <w:rsid w:val="005E77BF"/>
    <w:rsid w:val="005F0C29"/>
    <w:rsid w:val="005F0FF9"/>
    <w:rsid w:val="005F26AF"/>
    <w:rsid w:val="005F6244"/>
    <w:rsid w:val="005F63C3"/>
    <w:rsid w:val="005F69B2"/>
    <w:rsid w:val="005F7787"/>
    <w:rsid w:val="005F7E5E"/>
    <w:rsid w:val="00602C2B"/>
    <w:rsid w:val="0060593A"/>
    <w:rsid w:val="00607E5C"/>
    <w:rsid w:val="00610889"/>
    <w:rsid w:val="00610D70"/>
    <w:rsid w:val="00611B7A"/>
    <w:rsid w:val="0061333E"/>
    <w:rsid w:val="0061365F"/>
    <w:rsid w:val="006138F0"/>
    <w:rsid w:val="00613D1F"/>
    <w:rsid w:val="0061410A"/>
    <w:rsid w:val="006145E6"/>
    <w:rsid w:val="0061732D"/>
    <w:rsid w:val="00625B95"/>
    <w:rsid w:val="0062628E"/>
    <w:rsid w:val="0062671A"/>
    <w:rsid w:val="006268DA"/>
    <w:rsid w:val="006277D9"/>
    <w:rsid w:val="006279B9"/>
    <w:rsid w:val="00631D5B"/>
    <w:rsid w:val="00631DB2"/>
    <w:rsid w:val="00632221"/>
    <w:rsid w:val="006324E3"/>
    <w:rsid w:val="00632CF6"/>
    <w:rsid w:val="00636F71"/>
    <w:rsid w:val="0063715C"/>
    <w:rsid w:val="00637DF8"/>
    <w:rsid w:val="0064012D"/>
    <w:rsid w:val="00641831"/>
    <w:rsid w:val="00642408"/>
    <w:rsid w:val="0064287A"/>
    <w:rsid w:val="00642AA7"/>
    <w:rsid w:val="00643113"/>
    <w:rsid w:val="006432C9"/>
    <w:rsid w:val="006439C5"/>
    <w:rsid w:val="00643F5D"/>
    <w:rsid w:val="0064483B"/>
    <w:rsid w:val="00644A1E"/>
    <w:rsid w:val="00645147"/>
    <w:rsid w:val="00646879"/>
    <w:rsid w:val="00647318"/>
    <w:rsid w:val="0064747F"/>
    <w:rsid w:val="00647792"/>
    <w:rsid w:val="00650BB3"/>
    <w:rsid w:val="00653968"/>
    <w:rsid w:val="00653B30"/>
    <w:rsid w:val="00653DF4"/>
    <w:rsid w:val="006549E3"/>
    <w:rsid w:val="00654A8F"/>
    <w:rsid w:val="00655938"/>
    <w:rsid w:val="00655B95"/>
    <w:rsid w:val="00657B23"/>
    <w:rsid w:val="00663306"/>
    <w:rsid w:val="00666235"/>
    <w:rsid w:val="006668BE"/>
    <w:rsid w:val="0067008D"/>
    <w:rsid w:val="0067066F"/>
    <w:rsid w:val="00670BB4"/>
    <w:rsid w:val="006761BB"/>
    <w:rsid w:val="0067693E"/>
    <w:rsid w:val="00680AE4"/>
    <w:rsid w:val="00680E36"/>
    <w:rsid w:val="00681022"/>
    <w:rsid w:val="006813D8"/>
    <w:rsid w:val="00681AD9"/>
    <w:rsid w:val="006825C1"/>
    <w:rsid w:val="0068354F"/>
    <w:rsid w:val="0069267E"/>
    <w:rsid w:val="00692908"/>
    <w:rsid w:val="00693FB8"/>
    <w:rsid w:val="00694B4D"/>
    <w:rsid w:val="00694F52"/>
    <w:rsid w:val="00695471"/>
    <w:rsid w:val="006A0C4F"/>
    <w:rsid w:val="006A201E"/>
    <w:rsid w:val="006A308B"/>
    <w:rsid w:val="006A51CC"/>
    <w:rsid w:val="006B0633"/>
    <w:rsid w:val="006B1AFE"/>
    <w:rsid w:val="006B3CCF"/>
    <w:rsid w:val="006B5B6C"/>
    <w:rsid w:val="006B6C5D"/>
    <w:rsid w:val="006C122C"/>
    <w:rsid w:val="006C169A"/>
    <w:rsid w:val="006C1ABC"/>
    <w:rsid w:val="006C35FC"/>
    <w:rsid w:val="006C3EE6"/>
    <w:rsid w:val="006C49A7"/>
    <w:rsid w:val="006D02FD"/>
    <w:rsid w:val="006D1DD6"/>
    <w:rsid w:val="006D209A"/>
    <w:rsid w:val="006D32A0"/>
    <w:rsid w:val="006D40AC"/>
    <w:rsid w:val="006D419B"/>
    <w:rsid w:val="006D48CF"/>
    <w:rsid w:val="006D507A"/>
    <w:rsid w:val="006D5AD4"/>
    <w:rsid w:val="006D5EB5"/>
    <w:rsid w:val="006E07BA"/>
    <w:rsid w:val="006E09D6"/>
    <w:rsid w:val="006E116C"/>
    <w:rsid w:val="006E2065"/>
    <w:rsid w:val="006E7998"/>
    <w:rsid w:val="006F0FC6"/>
    <w:rsid w:val="006F1912"/>
    <w:rsid w:val="006F2CD8"/>
    <w:rsid w:val="006F469E"/>
    <w:rsid w:val="006F49E7"/>
    <w:rsid w:val="006F4B75"/>
    <w:rsid w:val="006F5E82"/>
    <w:rsid w:val="006F615A"/>
    <w:rsid w:val="006F6CBE"/>
    <w:rsid w:val="006F78AE"/>
    <w:rsid w:val="00700983"/>
    <w:rsid w:val="007011B6"/>
    <w:rsid w:val="007014CD"/>
    <w:rsid w:val="0070188F"/>
    <w:rsid w:val="007038BC"/>
    <w:rsid w:val="00707FAA"/>
    <w:rsid w:val="00707FBD"/>
    <w:rsid w:val="00711A8A"/>
    <w:rsid w:val="00712535"/>
    <w:rsid w:val="00713427"/>
    <w:rsid w:val="007135FC"/>
    <w:rsid w:val="00713C66"/>
    <w:rsid w:val="00715A66"/>
    <w:rsid w:val="0071724C"/>
    <w:rsid w:val="007201BD"/>
    <w:rsid w:val="00720250"/>
    <w:rsid w:val="00721715"/>
    <w:rsid w:val="007224AF"/>
    <w:rsid w:val="0072403D"/>
    <w:rsid w:val="00724E7C"/>
    <w:rsid w:val="00725F5E"/>
    <w:rsid w:val="00726531"/>
    <w:rsid w:val="00727B57"/>
    <w:rsid w:val="00731521"/>
    <w:rsid w:val="00731C9B"/>
    <w:rsid w:val="00732DA5"/>
    <w:rsid w:val="00734701"/>
    <w:rsid w:val="00734A5C"/>
    <w:rsid w:val="00734C55"/>
    <w:rsid w:val="007360F8"/>
    <w:rsid w:val="0074084C"/>
    <w:rsid w:val="00741EA6"/>
    <w:rsid w:val="0074205B"/>
    <w:rsid w:val="007442F6"/>
    <w:rsid w:val="007468E9"/>
    <w:rsid w:val="007504CD"/>
    <w:rsid w:val="0075142F"/>
    <w:rsid w:val="00751F72"/>
    <w:rsid w:val="00752DC5"/>
    <w:rsid w:val="007531E4"/>
    <w:rsid w:val="0075460E"/>
    <w:rsid w:val="00755D4C"/>
    <w:rsid w:val="00757AAC"/>
    <w:rsid w:val="00760406"/>
    <w:rsid w:val="00760788"/>
    <w:rsid w:val="00761147"/>
    <w:rsid w:val="00761711"/>
    <w:rsid w:val="00761E4E"/>
    <w:rsid w:val="007635D7"/>
    <w:rsid w:val="0076407C"/>
    <w:rsid w:val="00765445"/>
    <w:rsid w:val="007672BB"/>
    <w:rsid w:val="00767713"/>
    <w:rsid w:val="0077111C"/>
    <w:rsid w:val="007715F2"/>
    <w:rsid w:val="0077267F"/>
    <w:rsid w:val="00773A17"/>
    <w:rsid w:val="00773D8B"/>
    <w:rsid w:val="00775433"/>
    <w:rsid w:val="00775CAF"/>
    <w:rsid w:val="00776789"/>
    <w:rsid w:val="00777594"/>
    <w:rsid w:val="00777AEF"/>
    <w:rsid w:val="00780731"/>
    <w:rsid w:val="00782733"/>
    <w:rsid w:val="00783CD4"/>
    <w:rsid w:val="007908BD"/>
    <w:rsid w:val="0079216E"/>
    <w:rsid w:val="00792837"/>
    <w:rsid w:val="00792F4E"/>
    <w:rsid w:val="00793512"/>
    <w:rsid w:val="00793D58"/>
    <w:rsid w:val="00794EEB"/>
    <w:rsid w:val="00796867"/>
    <w:rsid w:val="00797437"/>
    <w:rsid w:val="007A0B34"/>
    <w:rsid w:val="007A0DBE"/>
    <w:rsid w:val="007A10D2"/>
    <w:rsid w:val="007A1767"/>
    <w:rsid w:val="007A28DD"/>
    <w:rsid w:val="007A3181"/>
    <w:rsid w:val="007A5AC1"/>
    <w:rsid w:val="007A5FB1"/>
    <w:rsid w:val="007A79C7"/>
    <w:rsid w:val="007B1D6E"/>
    <w:rsid w:val="007B25E9"/>
    <w:rsid w:val="007B3734"/>
    <w:rsid w:val="007B3FC0"/>
    <w:rsid w:val="007B5A28"/>
    <w:rsid w:val="007B70AD"/>
    <w:rsid w:val="007C1995"/>
    <w:rsid w:val="007C1F6A"/>
    <w:rsid w:val="007C27FB"/>
    <w:rsid w:val="007C379C"/>
    <w:rsid w:val="007C462A"/>
    <w:rsid w:val="007C47CA"/>
    <w:rsid w:val="007C7030"/>
    <w:rsid w:val="007C7A46"/>
    <w:rsid w:val="007D2341"/>
    <w:rsid w:val="007D2AD4"/>
    <w:rsid w:val="007D4168"/>
    <w:rsid w:val="007D4953"/>
    <w:rsid w:val="007E7D29"/>
    <w:rsid w:val="007F13C1"/>
    <w:rsid w:val="007F13F2"/>
    <w:rsid w:val="007F39BB"/>
    <w:rsid w:val="007F3B7C"/>
    <w:rsid w:val="007F3C9B"/>
    <w:rsid w:val="007F3FEB"/>
    <w:rsid w:val="00802F39"/>
    <w:rsid w:val="008063E6"/>
    <w:rsid w:val="00806989"/>
    <w:rsid w:val="00806C7C"/>
    <w:rsid w:val="00810D9B"/>
    <w:rsid w:val="0081114C"/>
    <w:rsid w:val="00812C6D"/>
    <w:rsid w:val="00813308"/>
    <w:rsid w:val="00813BDA"/>
    <w:rsid w:val="008151D2"/>
    <w:rsid w:val="0081589C"/>
    <w:rsid w:val="00817A10"/>
    <w:rsid w:val="00820175"/>
    <w:rsid w:val="00820839"/>
    <w:rsid w:val="00820FBB"/>
    <w:rsid w:val="008221DF"/>
    <w:rsid w:val="008270C6"/>
    <w:rsid w:val="008275A8"/>
    <w:rsid w:val="00827E73"/>
    <w:rsid w:val="00830B62"/>
    <w:rsid w:val="00830C93"/>
    <w:rsid w:val="00830FDA"/>
    <w:rsid w:val="008312F9"/>
    <w:rsid w:val="00832402"/>
    <w:rsid w:val="00833C00"/>
    <w:rsid w:val="00833C34"/>
    <w:rsid w:val="008343C5"/>
    <w:rsid w:val="00835D87"/>
    <w:rsid w:val="0083655C"/>
    <w:rsid w:val="00836718"/>
    <w:rsid w:val="00837B95"/>
    <w:rsid w:val="00841E4C"/>
    <w:rsid w:val="0084215B"/>
    <w:rsid w:val="00843A6D"/>
    <w:rsid w:val="00844C00"/>
    <w:rsid w:val="00844C47"/>
    <w:rsid w:val="0084500C"/>
    <w:rsid w:val="00845815"/>
    <w:rsid w:val="00845A54"/>
    <w:rsid w:val="0084623F"/>
    <w:rsid w:val="008469D3"/>
    <w:rsid w:val="0084758E"/>
    <w:rsid w:val="008505DA"/>
    <w:rsid w:val="00852673"/>
    <w:rsid w:val="008549A0"/>
    <w:rsid w:val="00856A3C"/>
    <w:rsid w:val="00856B55"/>
    <w:rsid w:val="008611BF"/>
    <w:rsid w:val="0086495E"/>
    <w:rsid w:val="00865CE6"/>
    <w:rsid w:val="00866E5B"/>
    <w:rsid w:val="0086705F"/>
    <w:rsid w:val="00867DEE"/>
    <w:rsid w:val="0087023B"/>
    <w:rsid w:val="00870486"/>
    <w:rsid w:val="00870A3F"/>
    <w:rsid w:val="00874EB4"/>
    <w:rsid w:val="008753B3"/>
    <w:rsid w:val="008758C1"/>
    <w:rsid w:val="00877E97"/>
    <w:rsid w:val="00880210"/>
    <w:rsid w:val="0088079F"/>
    <w:rsid w:val="00881E18"/>
    <w:rsid w:val="00882151"/>
    <w:rsid w:val="0088270D"/>
    <w:rsid w:val="00884819"/>
    <w:rsid w:val="008858AB"/>
    <w:rsid w:val="00885F5C"/>
    <w:rsid w:val="0089048A"/>
    <w:rsid w:val="008914E6"/>
    <w:rsid w:val="0089158B"/>
    <w:rsid w:val="00893320"/>
    <w:rsid w:val="0089335E"/>
    <w:rsid w:val="008945AE"/>
    <w:rsid w:val="008949E0"/>
    <w:rsid w:val="00895516"/>
    <w:rsid w:val="008A2B29"/>
    <w:rsid w:val="008A3594"/>
    <w:rsid w:val="008A3BD9"/>
    <w:rsid w:val="008A49D1"/>
    <w:rsid w:val="008A6F03"/>
    <w:rsid w:val="008A7237"/>
    <w:rsid w:val="008B0385"/>
    <w:rsid w:val="008B135D"/>
    <w:rsid w:val="008B205A"/>
    <w:rsid w:val="008B29F8"/>
    <w:rsid w:val="008B5865"/>
    <w:rsid w:val="008B6FC3"/>
    <w:rsid w:val="008C0820"/>
    <w:rsid w:val="008C1653"/>
    <w:rsid w:val="008C2BC5"/>
    <w:rsid w:val="008C2BEB"/>
    <w:rsid w:val="008C32EA"/>
    <w:rsid w:val="008C51B5"/>
    <w:rsid w:val="008C51CA"/>
    <w:rsid w:val="008C56F9"/>
    <w:rsid w:val="008C628A"/>
    <w:rsid w:val="008C70C5"/>
    <w:rsid w:val="008C73E6"/>
    <w:rsid w:val="008D11CA"/>
    <w:rsid w:val="008D1D0A"/>
    <w:rsid w:val="008D34F0"/>
    <w:rsid w:val="008D5917"/>
    <w:rsid w:val="008D6DC6"/>
    <w:rsid w:val="008D7288"/>
    <w:rsid w:val="008D7843"/>
    <w:rsid w:val="008D7AA2"/>
    <w:rsid w:val="008E1CF4"/>
    <w:rsid w:val="008E3AE9"/>
    <w:rsid w:val="008E4870"/>
    <w:rsid w:val="008E4EEA"/>
    <w:rsid w:val="008E5BA2"/>
    <w:rsid w:val="008E6170"/>
    <w:rsid w:val="008F0316"/>
    <w:rsid w:val="008F10DA"/>
    <w:rsid w:val="008F1741"/>
    <w:rsid w:val="008F1F85"/>
    <w:rsid w:val="008F2BCD"/>
    <w:rsid w:val="008F37D3"/>
    <w:rsid w:val="00900E1A"/>
    <w:rsid w:val="00903000"/>
    <w:rsid w:val="009030D2"/>
    <w:rsid w:val="009032F9"/>
    <w:rsid w:val="00905619"/>
    <w:rsid w:val="00907B62"/>
    <w:rsid w:val="00910FB0"/>
    <w:rsid w:val="00911980"/>
    <w:rsid w:val="009128A0"/>
    <w:rsid w:val="00912A8A"/>
    <w:rsid w:val="009145CD"/>
    <w:rsid w:val="00914D26"/>
    <w:rsid w:val="00916142"/>
    <w:rsid w:val="0091617E"/>
    <w:rsid w:val="00916533"/>
    <w:rsid w:val="00916C78"/>
    <w:rsid w:val="009171AF"/>
    <w:rsid w:val="00917330"/>
    <w:rsid w:val="00917ED3"/>
    <w:rsid w:val="009204AA"/>
    <w:rsid w:val="0092053F"/>
    <w:rsid w:val="00920DA2"/>
    <w:rsid w:val="0092162F"/>
    <w:rsid w:val="0092349F"/>
    <w:rsid w:val="009247BA"/>
    <w:rsid w:val="00924CD9"/>
    <w:rsid w:val="00927D28"/>
    <w:rsid w:val="00933D1D"/>
    <w:rsid w:val="0093554D"/>
    <w:rsid w:val="00935D6E"/>
    <w:rsid w:val="00936595"/>
    <w:rsid w:val="009400E0"/>
    <w:rsid w:val="00940150"/>
    <w:rsid w:val="00940DA9"/>
    <w:rsid w:val="00941E44"/>
    <w:rsid w:val="0094295F"/>
    <w:rsid w:val="00943DB5"/>
    <w:rsid w:val="00943DE8"/>
    <w:rsid w:val="00944ED5"/>
    <w:rsid w:val="00944FB4"/>
    <w:rsid w:val="009455F2"/>
    <w:rsid w:val="00945950"/>
    <w:rsid w:val="00950149"/>
    <w:rsid w:val="009504DA"/>
    <w:rsid w:val="0095079F"/>
    <w:rsid w:val="00950B9D"/>
    <w:rsid w:val="00954846"/>
    <w:rsid w:val="0095529F"/>
    <w:rsid w:val="0095536D"/>
    <w:rsid w:val="00955C0A"/>
    <w:rsid w:val="00955DC8"/>
    <w:rsid w:val="00955E90"/>
    <w:rsid w:val="00956853"/>
    <w:rsid w:val="00957FE5"/>
    <w:rsid w:val="00961692"/>
    <w:rsid w:val="00961F5B"/>
    <w:rsid w:val="00963B04"/>
    <w:rsid w:val="00964A85"/>
    <w:rsid w:val="0096516A"/>
    <w:rsid w:val="009663D6"/>
    <w:rsid w:val="00966A14"/>
    <w:rsid w:val="00967571"/>
    <w:rsid w:val="00970950"/>
    <w:rsid w:val="0097116F"/>
    <w:rsid w:val="009815B6"/>
    <w:rsid w:val="00981F3D"/>
    <w:rsid w:val="00981FBB"/>
    <w:rsid w:val="00982B22"/>
    <w:rsid w:val="0098310A"/>
    <w:rsid w:val="00983612"/>
    <w:rsid w:val="009858E9"/>
    <w:rsid w:val="0098616F"/>
    <w:rsid w:val="0099008F"/>
    <w:rsid w:val="00990A16"/>
    <w:rsid w:val="00990E34"/>
    <w:rsid w:val="0099357E"/>
    <w:rsid w:val="00994CDA"/>
    <w:rsid w:val="00996151"/>
    <w:rsid w:val="00996EBD"/>
    <w:rsid w:val="00997694"/>
    <w:rsid w:val="00997713"/>
    <w:rsid w:val="00997B92"/>
    <w:rsid w:val="00997C54"/>
    <w:rsid w:val="009A292D"/>
    <w:rsid w:val="009A3D0F"/>
    <w:rsid w:val="009A61BE"/>
    <w:rsid w:val="009A71AF"/>
    <w:rsid w:val="009B0685"/>
    <w:rsid w:val="009B1546"/>
    <w:rsid w:val="009B16AD"/>
    <w:rsid w:val="009B2A01"/>
    <w:rsid w:val="009B2E56"/>
    <w:rsid w:val="009B3197"/>
    <w:rsid w:val="009B385A"/>
    <w:rsid w:val="009B4BE2"/>
    <w:rsid w:val="009B50E4"/>
    <w:rsid w:val="009B5177"/>
    <w:rsid w:val="009B651F"/>
    <w:rsid w:val="009B7422"/>
    <w:rsid w:val="009C067C"/>
    <w:rsid w:val="009C082A"/>
    <w:rsid w:val="009C0F0E"/>
    <w:rsid w:val="009C39E4"/>
    <w:rsid w:val="009C40EF"/>
    <w:rsid w:val="009C4B9E"/>
    <w:rsid w:val="009C5BA8"/>
    <w:rsid w:val="009C66C3"/>
    <w:rsid w:val="009C67CB"/>
    <w:rsid w:val="009D1AC7"/>
    <w:rsid w:val="009D4C7F"/>
    <w:rsid w:val="009D62AC"/>
    <w:rsid w:val="009D71BF"/>
    <w:rsid w:val="009E0348"/>
    <w:rsid w:val="009E25DA"/>
    <w:rsid w:val="009E35D9"/>
    <w:rsid w:val="009E4A1F"/>
    <w:rsid w:val="009E5241"/>
    <w:rsid w:val="009E5A32"/>
    <w:rsid w:val="009E68C6"/>
    <w:rsid w:val="009E77DC"/>
    <w:rsid w:val="009F23C4"/>
    <w:rsid w:val="009F2483"/>
    <w:rsid w:val="009F42CC"/>
    <w:rsid w:val="009F4574"/>
    <w:rsid w:val="009F603E"/>
    <w:rsid w:val="009F6C5C"/>
    <w:rsid w:val="009F75B1"/>
    <w:rsid w:val="009F7F15"/>
    <w:rsid w:val="00A00A3F"/>
    <w:rsid w:val="00A0130D"/>
    <w:rsid w:val="00A01C9D"/>
    <w:rsid w:val="00A03316"/>
    <w:rsid w:val="00A043BB"/>
    <w:rsid w:val="00A0483D"/>
    <w:rsid w:val="00A04EFA"/>
    <w:rsid w:val="00A06706"/>
    <w:rsid w:val="00A06A3E"/>
    <w:rsid w:val="00A076DB"/>
    <w:rsid w:val="00A10891"/>
    <w:rsid w:val="00A109C3"/>
    <w:rsid w:val="00A15DC3"/>
    <w:rsid w:val="00A16ACF"/>
    <w:rsid w:val="00A16BB2"/>
    <w:rsid w:val="00A17472"/>
    <w:rsid w:val="00A2147D"/>
    <w:rsid w:val="00A222CA"/>
    <w:rsid w:val="00A22E43"/>
    <w:rsid w:val="00A250C7"/>
    <w:rsid w:val="00A251CD"/>
    <w:rsid w:val="00A25823"/>
    <w:rsid w:val="00A25D4F"/>
    <w:rsid w:val="00A2601A"/>
    <w:rsid w:val="00A27141"/>
    <w:rsid w:val="00A303D5"/>
    <w:rsid w:val="00A3095F"/>
    <w:rsid w:val="00A310EA"/>
    <w:rsid w:val="00A322AA"/>
    <w:rsid w:val="00A327F6"/>
    <w:rsid w:val="00A34DB9"/>
    <w:rsid w:val="00A35731"/>
    <w:rsid w:val="00A40E31"/>
    <w:rsid w:val="00A444F9"/>
    <w:rsid w:val="00A446F8"/>
    <w:rsid w:val="00A449FC"/>
    <w:rsid w:val="00A44AB6"/>
    <w:rsid w:val="00A46C4A"/>
    <w:rsid w:val="00A479E8"/>
    <w:rsid w:val="00A50FB7"/>
    <w:rsid w:val="00A527AC"/>
    <w:rsid w:val="00A55021"/>
    <w:rsid w:val="00A6009C"/>
    <w:rsid w:val="00A60B49"/>
    <w:rsid w:val="00A611F1"/>
    <w:rsid w:val="00A6165E"/>
    <w:rsid w:val="00A6376F"/>
    <w:rsid w:val="00A648DB"/>
    <w:rsid w:val="00A675D3"/>
    <w:rsid w:val="00A67929"/>
    <w:rsid w:val="00A67F1D"/>
    <w:rsid w:val="00A719DB"/>
    <w:rsid w:val="00A72E1B"/>
    <w:rsid w:val="00A73EA9"/>
    <w:rsid w:val="00A744E9"/>
    <w:rsid w:val="00A750AB"/>
    <w:rsid w:val="00A7662B"/>
    <w:rsid w:val="00A80BBA"/>
    <w:rsid w:val="00A81A40"/>
    <w:rsid w:val="00A83037"/>
    <w:rsid w:val="00A842EA"/>
    <w:rsid w:val="00A8572B"/>
    <w:rsid w:val="00A85894"/>
    <w:rsid w:val="00A86808"/>
    <w:rsid w:val="00A874DA"/>
    <w:rsid w:val="00A90B4F"/>
    <w:rsid w:val="00A90F77"/>
    <w:rsid w:val="00A9178C"/>
    <w:rsid w:val="00A92286"/>
    <w:rsid w:val="00A9270B"/>
    <w:rsid w:val="00A9286D"/>
    <w:rsid w:val="00A94E9C"/>
    <w:rsid w:val="00A9700D"/>
    <w:rsid w:val="00AA12E1"/>
    <w:rsid w:val="00AA1706"/>
    <w:rsid w:val="00AA44FD"/>
    <w:rsid w:val="00AA678E"/>
    <w:rsid w:val="00AB1006"/>
    <w:rsid w:val="00AB36F7"/>
    <w:rsid w:val="00AB5197"/>
    <w:rsid w:val="00AB65FC"/>
    <w:rsid w:val="00AC2B3D"/>
    <w:rsid w:val="00AC2CCA"/>
    <w:rsid w:val="00AC40A4"/>
    <w:rsid w:val="00AC59ED"/>
    <w:rsid w:val="00AC689E"/>
    <w:rsid w:val="00AC7102"/>
    <w:rsid w:val="00AC7EB8"/>
    <w:rsid w:val="00AD01B6"/>
    <w:rsid w:val="00AD2D9B"/>
    <w:rsid w:val="00AD7ADC"/>
    <w:rsid w:val="00AE1B50"/>
    <w:rsid w:val="00AE29C6"/>
    <w:rsid w:val="00AE37EB"/>
    <w:rsid w:val="00AE59EE"/>
    <w:rsid w:val="00AF2318"/>
    <w:rsid w:val="00AF35DD"/>
    <w:rsid w:val="00AF3D11"/>
    <w:rsid w:val="00AF429C"/>
    <w:rsid w:val="00B008D0"/>
    <w:rsid w:val="00B01508"/>
    <w:rsid w:val="00B01533"/>
    <w:rsid w:val="00B02076"/>
    <w:rsid w:val="00B02D74"/>
    <w:rsid w:val="00B116CA"/>
    <w:rsid w:val="00B119E3"/>
    <w:rsid w:val="00B17241"/>
    <w:rsid w:val="00B172E7"/>
    <w:rsid w:val="00B17A6D"/>
    <w:rsid w:val="00B17B6A"/>
    <w:rsid w:val="00B2040D"/>
    <w:rsid w:val="00B2307D"/>
    <w:rsid w:val="00B24D13"/>
    <w:rsid w:val="00B25D14"/>
    <w:rsid w:val="00B26EA0"/>
    <w:rsid w:val="00B26FF9"/>
    <w:rsid w:val="00B27C9F"/>
    <w:rsid w:val="00B31727"/>
    <w:rsid w:val="00B31FC9"/>
    <w:rsid w:val="00B32129"/>
    <w:rsid w:val="00B34132"/>
    <w:rsid w:val="00B35751"/>
    <w:rsid w:val="00B35FDB"/>
    <w:rsid w:val="00B365E9"/>
    <w:rsid w:val="00B366B7"/>
    <w:rsid w:val="00B36BFA"/>
    <w:rsid w:val="00B407CD"/>
    <w:rsid w:val="00B45DFF"/>
    <w:rsid w:val="00B4685F"/>
    <w:rsid w:val="00B510B9"/>
    <w:rsid w:val="00B52948"/>
    <w:rsid w:val="00B56D03"/>
    <w:rsid w:val="00B606FC"/>
    <w:rsid w:val="00B6163A"/>
    <w:rsid w:val="00B61D3D"/>
    <w:rsid w:val="00B62037"/>
    <w:rsid w:val="00B67769"/>
    <w:rsid w:val="00B703DE"/>
    <w:rsid w:val="00B72658"/>
    <w:rsid w:val="00B72927"/>
    <w:rsid w:val="00B74387"/>
    <w:rsid w:val="00B752BD"/>
    <w:rsid w:val="00B757D8"/>
    <w:rsid w:val="00B76782"/>
    <w:rsid w:val="00B76C30"/>
    <w:rsid w:val="00B82B92"/>
    <w:rsid w:val="00B83B0D"/>
    <w:rsid w:val="00B83B33"/>
    <w:rsid w:val="00B90874"/>
    <w:rsid w:val="00B92DF9"/>
    <w:rsid w:val="00B92E7B"/>
    <w:rsid w:val="00B9319A"/>
    <w:rsid w:val="00B95E66"/>
    <w:rsid w:val="00B96009"/>
    <w:rsid w:val="00B96161"/>
    <w:rsid w:val="00B96DDB"/>
    <w:rsid w:val="00BA1266"/>
    <w:rsid w:val="00BA3C62"/>
    <w:rsid w:val="00BA5C29"/>
    <w:rsid w:val="00BA5FF0"/>
    <w:rsid w:val="00BA6343"/>
    <w:rsid w:val="00BA7E44"/>
    <w:rsid w:val="00BA7E74"/>
    <w:rsid w:val="00BB011A"/>
    <w:rsid w:val="00BB05D5"/>
    <w:rsid w:val="00BB0912"/>
    <w:rsid w:val="00BB208E"/>
    <w:rsid w:val="00BB27EB"/>
    <w:rsid w:val="00BB3448"/>
    <w:rsid w:val="00BB3CF6"/>
    <w:rsid w:val="00BB3FE6"/>
    <w:rsid w:val="00BB5725"/>
    <w:rsid w:val="00BC1EF8"/>
    <w:rsid w:val="00BC3613"/>
    <w:rsid w:val="00BC42E1"/>
    <w:rsid w:val="00BC71D9"/>
    <w:rsid w:val="00BD00B2"/>
    <w:rsid w:val="00BD0800"/>
    <w:rsid w:val="00BD3B96"/>
    <w:rsid w:val="00BD51DF"/>
    <w:rsid w:val="00BD5C34"/>
    <w:rsid w:val="00BD6621"/>
    <w:rsid w:val="00BD6EC8"/>
    <w:rsid w:val="00BD7ACC"/>
    <w:rsid w:val="00BD7F4E"/>
    <w:rsid w:val="00BE0415"/>
    <w:rsid w:val="00BE06CE"/>
    <w:rsid w:val="00BE1622"/>
    <w:rsid w:val="00BE280E"/>
    <w:rsid w:val="00BE5BD1"/>
    <w:rsid w:val="00BE6B05"/>
    <w:rsid w:val="00BE6CCA"/>
    <w:rsid w:val="00BE7C49"/>
    <w:rsid w:val="00BF1EC4"/>
    <w:rsid w:val="00BF4F25"/>
    <w:rsid w:val="00BF59B3"/>
    <w:rsid w:val="00BF69CA"/>
    <w:rsid w:val="00BF7DA2"/>
    <w:rsid w:val="00C027D4"/>
    <w:rsid w:val="00C066D2"/>
    <w:rsid w:val="00C10F5A"/>
    <w:rsid w:val="00C116E8"/>
    <w:rsid w:val="00C11B5A"/>
    <w:rsid w:val="00C12117"/>
    <w:rsid w:val="00C126FC"/>
    <w:rsid w:val="00C1422A"/>
    <w:rsid w:val="00C14C86"/>
    <w:rsid w:val="00C157AD"/>
    <w:rsid w:val="00C167CC"/>
    <w:rsid w:val="00C16B82"/>
    <w:rsid w:val="00C21163"/>
    <w:rsid w:val="00C21BB8"/>
    <w:rsid w:val="00C21E02"/>
    <w:rsid w:val="00C2295B"/>
    <w:rsid w:val="00C271EE"/>
    <w:rsid w:val="00C271FA"/>
    <w:rsid w:val="00C32789"/>
    <w:rsid w:val="00C34C5C"/>
    <w:rsid w:val="00C34D9B"/>
    <w:rsid w:val="00C35660"/>
    <w:rsid w:val="00C411D5"/>
    <w:rsid w:val="00C43EBE"/>
    <w:rsid w:val="00C46CB1"/>
    <w:rsid w:val="00C5056E"/>
    <w:rsid w:val="00C50FD5"/>
    <w:rsid w:val="00C51BB1"/>
    <w:rsid w:val="00C53444"/>
    <w:rsid w:val="00C56C6E"/>
    <w:rsid w:val="00C575C9"/>
    <w:rsid w:val="00C57749"/>
    <w:rsid w:val="00C60221"/>
    <w:rsid w:val="00C60FB5"/>
    <w:rsid w:val="00C6130D"/>
    <w:rsid w:val="00C6689E"/>
    <w:rsid w:val="00C67B75"/>
    <w:rsid w:val="00C71FB7"/>
    <w:rsid w:val="00C7220A"/>
    <w:rsid w:val="00C73CC1"/>
    <w:rsid w:val="00C7426A"/>
    <w:rsid w:val="00C742C7"/>
    <w:rsid w:val="00C75096"/>
    <w:rsid w:val="00C754E1"/>
    <w:rsid w:val="00C757D6"/>
    <w:rsid w:val="00C7698F"/>
    <w:rsid w:val="00C80462"/>
    <w:rsid w:val="00C807B2"/>
    <w:rsid w:val="00C813E4"/>
    <w:rsid w:val="00C82B14"/>
    <w:rsid w:val="00C850EC"/>
    <w:rsid w:val="00C86475"/>
    <w:rsid w:val="00C87C00"/>
    <w:rsid w:val="00C9003F"/>
    <w:rsid w:val="00C900F9"/>
    <w:rsid w:val="00C9036E"/>
    <w:rsid w:val="00C957E5"/>
    <w:rsid w:val="00C97FD1"/>
    <w:rsid w:val="00CA234B"/>
    <w:rsid w:val="00CA77D7"/>
    <w:rsid w:val="00CA7D4F"/>
    <w:rsid w:val="00CB0E7B"/>
    <w:rsid w:val="00CB1AD7"/>
    <w:rsid w:val="00CB1F15"/>
    <w:rsid w:val="00CB3462"/>
    <w:rsid w:val="00CB4102"/>
    <w:rsid w:val="00CB41BA"/>
    <w:rsid w:val="00CB62F9"/>
    <w:rsid w:val="00CB72D1"/>
    <w:rsid w:val="00CB767C"/>
    <w:rsid w:val="00CB76B6"/>
    <w:rsid w:val="00CC0355"/>
    <w:rsid w:val="00CC1FD7"/>
    <w:rsid w:val="00CC2AF9"/>
    <w:rsid w:val="00CC3A3A"/>
    <w:rsid w:val="00CC3EAD"/>
    <w:rsid w:val="00CC44D3"/>
    <w:rsid w:val="00CC4C99"/>
    <w:rsid w:val="00CC5784"/>
    <w:rsid w:val="00CC79C0"/>
    <w:rsid w:val="00CC7EF6"/>
    <w:rsid w:val="00CD01B5"/>
    <w:rsid w:val="00CD1A86"/>
    <w:rsid w:val="00CD2067"/>
    <w:rsid w:val="00CD2C46"/>
    <w:rsid w:val="00CD37C9"/>
    <w:rsid w:val="00CD49E9"/>
    <w:rsid w:val="00CD4E6F"/>
    <w:rsid w:val="00CD6778"/>
    <w:rsid w:val="00CD6CE4"/>
    <w:rsid w:val="00CD6CF2"/>
    <w:rsid w:val="00CD6D68"/>
    <w:rsid w:val="00CE0B83"/>
    <w:rsid w:val="00CE2DF7"/>
    <w:rsid w:val="00CE6E39"/>
    <w:rsid w:val="00CF1F31"/>
    <w:rsid w:val="00CF365B"/>
    <w:rsid w:val="00CF5053"/>
    <w:rsid w:val="00CF506B"/>
    <w:rsid w:val="00CF5773"/>
    <w:rsid w:val="00CF7180"/>
    <w:rsid w:val="00CF7798"/>
    <w:rsid w:val="00D00754"/>
    <w:rsid w:val="00D0155A"/>
    <w:rsid w:val="00D01A3E"/>
    <w:rsid w:val="00D0727A"/>
    <w:rsid w:val="00D07713"/>
    <w:rsid w:val="00D10C44"/>
    <w:rsid w:val="00D1282D"/>
    <w:rsid w:val="00D136A7"/>
    <w:rsid w:val="00D147ED"/>
    <w:rsid w:val="00D1686E"/>
    <w:rsid w:val="00D23363"/>
    <w:rsid w:val="00D24254"/>
    <w:rsid w:val="00D2454F"/>
    <w:rsid w:val="00D255C4"/>
    <w:rsid w:val="00D25778"/>
    <w:rsid w:val="00D257C1"/>
    <w:rsid w:val="00D26301"/>
    <w:rsid w:val="00D266AE"/>
    <w:rsid w:val="00D32C5D"/>
    <w:rsid w:val="00D336A0"/>
    <w:rsid w:val="00D34702"/>
    <w:rsid w:val="00D3553D"/>
    <w:rsid w:val="00D3771C"/>
    <w:rsid w:val="00D417C5"/>
    <w:rsid w:val="00D430ED"/>
    <w:rsid w:val="00D4385D"/>
    <w:rsid w:val="00D43C22"/>
    <w:rsid w:val="00D4418E"/>
    <w:rsid w:val="00D44562"/>
    <w:rsid w:val="00D45167"/>
    <w:rsid w:val="00D4574F"/>
    <w:rsid w:val="00D463B7"/>
    <w:rsid w:val="00D4648E"/>
    <w:rsid w:val="00D46884"/>
    <w:rsid w:val="00D468FA"/>
    <w:rsid w:val="00D4719D"/>
    <w:rsid w:val="00D50220"/>
    <w:rsid w:val="00D50428"/>
    <w:rsid w:val="00D51BB3"/>
    <w:rsid w:val="00D52EA8"/>
    <w:rsid w:val="00D53424"/>
    <w:rsid w:val="00D54395"/>
    <w:rsid w:val="00D60463"/>
    <w:rsid w:val="00D60AAF"/>
    <w:rsid w:val="00D60D3E"/>
    <w:rsid w:val="00D617A2"/>
    <w:rsid w:val="00D63430"/>
    <w:rsid w:val="00D64700"/>
    <w:rsid w:val="00D64ADA"/>
    <w:rsid w:val="00D65AAD"/>
    <w:rsid w:val="00D67F66"/>
    <w:rsid w:val="00D713C3"/>
    <w:rsid w:val="00D71D22"/>
    <w:rsid w:val="00D732A9"/>
    <w:rsid w:val="00D7363D"/>
    <w:rsid w:val="00D76361"/>
    <w:rsid w:val="00D803A1"/>
    <w:rsid w:val="00D81D89"/>
    <w:rsid w:val="00D83AB7"/>
    <w:rsid w:val="00D8482B"/>
    <w:rsid w:val="00D8592B"/>
    <w:rsid w:val="00D875B3"/>
    <w:rsid w:val="00D90931"/>
    <w:rsid w:val="00D91919"/>
    <w:rsid w:val="00D92A1A"/>
    <w:rsid w:val="00D9362E"/>
    <w:rsid w:val="00D94A3B"/>
    <w:rsid w:val="00D95031"/>
    <w:rsid w:val="00D95EA2"/>
    <w:rsid w:val="00D9649B"/>
    <w:rsid w:val="00D976E9"/>
    <w:rsid w:val="00DA0C5D"/>
    <w:rsid w:val="00DA1849"/>
    <w:rsid w:val="00DA1AC1"/>
    <w:rsid w:val="00DA4C48"/>
    <w:rsid w:val="00DA5524"/>
    <w:rsid w:val="00DA618C"/>
    <w:rsid w:val="00DA6E52"/>
    <w:rsid w:val="00DA7F08"/>
    <w:rsid w:val="00DB0998"/>
    <w:rsid w:val="00DB274A"/>
    <w:rsid w:val="00DB27CB"/>
    <w:rsid w:val="00DB320D"/>
    <w:rsid w:val="00DB4A16"/>
    <w:rsid w:val="00DB5024"/>
    <w:rsid w:val="00DB5518"/>
    <w:rsid w:val="00DB5EFB"/>
    <w:rsid w:val="00DB6C1E"/>
    <w:rsid w:val="00DC0056"/>
    <w:rsid w:val="00DC0B1C"/>
    <w:rsid w:val="00DC2AAD"/>
    <w:rsid w:val="00DC2C8D"/>
    <w:rsid w:val="00DC2DF9"/>
    <w:rsid w:val="00DC4167"/>
    <w:rsid w:val="00DC51C1"/>
    <w:rsid w:val="00DC6FC3"/>
    <w:rsid w:val="00DD00FB"/>
    <w:rsid w:val="00DD1374"/>
    <w:rsid w:val="00DD2D75"/>
    <w:rsid w:val="00DD4D85"/>
    <w:rsid w:val="00DD5ECD"/>
    <w:rsid w:val="00DD65C3"/>
    <w:rsid w:val="00DD6EE1"/>
    <w:rsid w:val="00DE251C"/>
    <w:rsid w:val="00DE57B8"/>
    <w:rsid w:val="00DE613A"/>
    <w:rsid w:val="00DF08BD"/>
    <w:rsid w:val="00DF1057"/>
    <w:rsid w:val="00DF44DE"/>
    <w:rsid w:val="00DF5012"/>
    <w:rsid w:val="00DF51D0"/>
    <w:rsid w:val="00DF6327"/>
    <w:rsid w:val="00E00E60"/>
    <w:rsid w:val="00E03417"/>
    <w:rsid w:val="00E03972"/>
    <w:rsid w:val="00E04EFE"/>
    <w:rsid w:val="00E055CA"/>
    <w:rsid w:val="00E05DE7"/>
    <w:rsid w:val="00E0602A"/>
    <w:rsid w:val="00E0647D"/>
    <w:rsid w:val="00E07DD7"/>
    <w:rsid w:val="00E109EA"/>
    <w:rsid w:val="00E1203D"/>
    <w:rsid w:val="00E122C5"/>
    <w:rsid w:val="00E13456"/>
    <w:rsid w:val="00E14637"/>
    <w:rsid w:val="00E17CED"/>
    <w:rsid w:val="00E21E9E"/>
    <w:rsid w:val="00E2254F"/>
    <w:rsid w:val="00E22DFD"/>
    <w:rsid w:val="00E23E54"/>
    <w:rsid w:val="00E24D8F"/>
    <w:rsid w:val="00E25A25"/>
    <w:rsid w:val="00E25E04"/>
    <w:rsid w:val="00E265D5"/>
    <w:rsid w:val="00E26B09"/>
    <w:rsid w:val="00E27199"/>
    <w:rsid w:val="00E306CB"/>
    <w:rsid w:val="00E34383"/>
    <w:rsid w:val="00E3778C"/>
    <w:rsid w:val="00E37C95"/>
    <w:rsid w:val="00E40827"/>
    <w:rsid w:val="00E40BEF"/>
    <w:rsid w:val="00E40CBC"/>
    <w:rsid w:val="00E40DD5"/>
    <w:rsid w:val="00E41840"/>
    <w:rsid w:val="00E41A80"/>
    <w:rsid w:val="00E431D7"/>
    <w:rsid w:val="00E4681E"/>
    <w:rsid w:val="00E471CC"/>
    <w:rsid w:val="00E500FB"/>
    <w:rsid w:val="00E5060B"/>
    <w:rsid w:val="00E540BC"/>
    <w:rsid w:val="00E565C5"/>
    <w:rsid w:val="00E57043"/>
    <w:rsid w:val="00E5723B"/>
    <w:rsid w:val="00E6119A"/>
    <w:rsid w:val="00E631F0"/>
    <w:rsid w:val="00E634D2"/>
    <w:rsid w:val="00E63F6E"/>
    <w:rsid w:val="00E64271"/>
    <w:rsid w:val="00E658A1"/>
    <w:rsid w:val="00E662EF"/>
    <w:rsid w:val="00E66594"/>
    <w:rsid w:val="00E667CB"/>
    <w:rsid w:val="00E66F64"/>
    <w:rsid w:val="00E67DCD"/>
    <w:rsid w:val="00E7272A"/>
    <w:rsid w:val="00E72925"/>
    <w:rsid w:val="00E7345F"/>
    <w:rsid w:val="00E750CC"/>
    <w:rsid w:val="00E77CAA"/>
    <w:rsid w:val="00E82940"/>
    <w:rsid w:val="00E83A84"/>
    <w:rsid w:val="00E85F3F"/>
    <w:rsid w:val="00E91593"/>
    <w:rsid w:val="00E92CAC"/>
    <w:rsid w:val="00E93ADB"/>
    <w:rsid w:val="00E94716"/>
    <w:rsid w:val="00EA0452"/>
    <w:rsid w:val="00EA0ED2"/>
    <w:rsid w:val="00EA2492"/>
    <w:rsid w:val="00EA64AF"/>
    <w:rsid w:val="00EA6DD4"/>
    <w:rsid w:val="00EA7527"/>
    <w:rsid w:val="00EA7C2D"/>
    <w:rsid w:val="00EB2C83"/>
    <w:rsid w:val="00EB3A96"/>
    <w:rsid w:val="00EB476F"/>
    <w:rsid w:val="00EB52B3"/>
    <w:rsid w:val="00EB5882"/>
    <w:rsid w:val="00EB7361"/>
    <w:rsid w:val="00EB7390"/>
    <w:rsid w:val="00EC1186"/>
    <w:rsid w:val="00EC136E"/>
    <w:rsid w:val="00EC2814"/>
    <w:rsid w:val="00EC37CB"/>
    <w:rsid w:val="00EC52FE"/>
    <w:rsid w:val="00EC59BA"/>
    <w:rsid w:val="00EC7241"/>
    <w:rsid w:val="00ED05FF"/>
    <w:rsid w:val="00ED0762"/>
    <w:rsid w:val="00ED07F9"/>
    <w:rsid w:val="00ED1313"/>
    <w:rsid w:val="00ED266F"/>
    <w:rsid w:val="00ED2FFE"/>
    <w:rsid w:val="00ED3807"/>
    <w:rsid w:val="00ED5E21"/>
    <w:rsid w:val="00ED61A8"/>
    <w:rsid w:val="00ED7062"/>
    <w:rsid w:val="00ED7C24"/>
    <w:rsid w:val="00ED7C53"/>
    <w:rsid w:val="00EE0633"/>
    <w:rsid w:val="00EE086D"/>
    <w:rsid w:val="00EE150B"/>
    <w:rsid w:val="00EE1BE5"/>
    <w:rsid w:val="00EE4425"/>
    <w:rsid w:val="00EE4795"/>
    <w:rsid w:val="00EE5E74"/>
    <w:rsid w:val="00EF09A7"/>
    <w:rsid w:val="00EF0DDA"/>
    <w:rsid w:val="00EF1154"/>
    <w:rsid w:val="00EF1E78"/>
    <w:rsid w:val="00EF29EC"/>
    <w:rsid w:val="00EF37F0"/>
    <w:rsid w:val="00EF4737"/>
    <w:rsid w:val="00EF6FEB"/>
    <w:rsid w:val="00EF7154"/>
    <w:rsid w:val="00F0076E"/>
    <w:rsid w:val="00F00B96"/>
    <w:rsid w:val="00F00FB7"/>
    <w:rsid w:val="00F022E0"/>
    <w:rsid w:val="00F0425A"/>
    <w:rsid w:val="00F0654E"/>
    <w:rsid w:val="00F07437"/>
    <w:rsid w:val="00F07BC3"/>
    <w:rsid w:val="00F1125F"/>
    <w:rsid w:val="00F118B1"/>
    <w:rsid w:val="00F11E6D"/>
    <w:rsid w:val="00F12F32"/>
    <w:rsid w:val="00F136EE"/>
    <w:rsid w:val="00F15A67"/>
    <w:rsid w:val="00F165EE"/>
    <w:rsid w:val="00F22A71"/>
    <w:rsid w:val="00F24C99"/>
    <w:rsid w:val="00F25256"/>
    <w:rsid w:val="00F259FE"/>
    <w:rsid w:val="00F27D86"/>
    <w:rsid w:val="00F30329"/>
    <w:rsid w:val="00F30CFB"/>
    <w:rsid w:val="00F31077"/>
    <w:rsid w:val="00F31726"/>
    <w:rsid w:val="00F31E52"/>
    <w:rsid w:val="00F320E7"/>
    <w:rsid w:val="00F32A84"/>
    <w:rsid w:val="00F33EED"/>
    <w:rsid w:val="00F3508B"/>
    <w:rsid w:val="00F36F06"/>
    <w:rsid w:val="00F41B64"/>
    <w:rsid w:val="00F41E19"/>
    <w:rsid w:val="00F4227E"/>
    <w:rsid w:val="00F43521"/>
    <w:rsid w:val="00F43C5B"/>
    <w:rsid w:val="00F441A2"/>
    <w:rsid w:val="00F44E44"/>
    <w:rsid w:val="00F453E2"/>
    <w:rsid w:val="00F46A54"/>
    <w:rsid w:val="00F47801"/>
    <w:rsid w:val="00F50705"/>
    <w:rsid w:val="00F5130C"/>
    <w:rsid w:val="00F524F5"/>
    <w:rsid w:val="00F5534B"/>
    <w:rsid w:val="00F63CEC"/>
    <w:rsid w:val="00F63DCE"/>
    <w:rsid w:val="00F646E5"/>
    <w:rsid w:val="00F65C09"/>
    <w:rsid w:val="00F676BF"/>
    <w:rsid w:val="00F67A16"/>
    <w:rsid w:val="00F67B66"/>
    <w:rsid w:val="00F7049F"/>
    <w:rsid w:val="00F70EC7"/>
    <w:rsid w:val="00F71F60"/>
    <w:rsid w:val="00F72AAB"/>
    <w:rsid w:val="00F7384F"/>
    <w:rsid w:val="00F75FED"/>
    <w:rsid w:val="00F80CE2"/>
    <w:rsid w:val="00F80F23"/>
    <w:rsid w:val="00F823F7"/>
    <w:rsid w:val="00F83779"/>
    <w:rsid w:val="00F85F95"/>
    <w:rsid w:val="00F87405"/>
    <w:rsid w:val="00F9160B"/>
    <w:rsid w:val="00F939BE"/>
    <w:rsid w:val="00F94070"/>
    <w:rsid w:val="00F94113"/>
    <w:rsid w:val="00F9530C"/>
    <w:rsid w:val="00F955C9"/>
    <w:rsid w:val="00F96D44"/>
    <w:rsid w:val="00F9745E"/>
    <w:rsid w:val="00F97520"/>
    <w:rsid w:val="00FA1A2D"/>
    <w:rsid w:val="00FA206C"/>
    <w:rsid w:val="00FA2070"/>
    <w:rsid w:val="00FA34AD"/>
    <w:rsid w:val="00FA63BA"/>
    <w:rsid w:val="00FA662C"/>
    <w:rsid w:val="00FA7FAC"/>
    <w:rsid w:val="00FB3FBF"/>
    <w:rsid w:val="00FB5611"/>
    <w:rsid w:val="00FB6066"/>
    <w:rsid w:val="00FB701E"/>
    <w:rsid w:val="00FC00B2"/>
    <w:rsid w:val="00FC0F20"/>
    <w:rsid w:val="00FC1D95"/>
    <w:rsid w:val="00FC5B54"/>
    <w:rsid w:val="00FD2267"/>
    <w:rsid w:val="00FD35CE"/>
    <w:rsid w:val="00FD575D"/>
    <w:rsid w:val="00FD7B4A"/>
    <w:rsid w:val="00FE2B4A"/>
    <w:rsid w:val="00FE2EDF"/>
    <w:rsid w:val="00FE385C"/>
    <w:rsid w:val="00FE720B"/>
    <w:rsid w:val="00FE7DE5"/>
    <w:rsid w:val="00FF0884"/>
    <w:rsid w:val="00FF13E3"/>
    <w:rsid w:val="00FF2649"/>
    <w:rsid w:val="00FF7C43"/>
    <w:rsid w:val="03557780"/>
    <w:rsid w:val="161DEB7A"/>
    <w:rsid w:val="2A3270FE"/>
    <w:rsid w:val="2D9D1309"/>
    <w:rsid w:val="3117203B"/>
    <w:rsid w:val="395F93F0"/>
    <w:rsid w:val="3A5672DA"/>
    <w:rsid w:val="4853BCFF"/>
    <w:rsid w:val="625ADE89"/>
    <w:rsid w:val="647E4B57"/>
    <w:rsid w:val="65A2823C"/>
    <w:rsid w:val="75C7ED0D"/>
    <w:rsid w:val="7B7B39BC"/>
    <w:rsid w:val="7F592662"/>
  </w:rsids>
  <m:mathPr>
    <m:mathFont m:val="Cambria Math"/>
    <m:brkBin m:val="before"/>
    <m:brkBinSub m:val="--"/>
    <m:smallFrac/>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C77F0"/>
  <w15:docId w15:val="{8BABCD6E-E6CF-4C43-B4C1-A3ED51F2C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713"/>
    <w:pPr>
      <w:spacing w:after="0" w:line="240" w:lineRule="auto"/>
    </w:pPr>
    <w:rPr>
      <w:rFonts w:ascii="Times New Roman"/>
      <w:sz w:val="24"/>
      <w:szCs w:val="24"/>
      <w:lang w:val="tr-TR" w:eastAsia="tr-TR"/>
    </w:rPr>
  </w:style>
  <w:style w:type="paragraph" w:styleId="Heading1">
    <w:name w:val="heading 1"/>
    <w:basedOn w:val="Normal"/>
    <w:next w:val="Normal"/>
    <w:link w:val="Heading1Char"/>
    <w:uiPriority w:val="99"/>
    <w:qFormat/>
    <w:rsid w:val="00D07713"/>
    <w:pPr>
      <w:keepNext/>
      <w:tabs>
        <w:tab w:val="num" w:pos="432"/>
      </w:tabs>
      <w:suppressAutoHyphens/>
      <w:ind w:left="432" w:hanging="432"/>
      <w:jc w:val="center"/>
      <w:outlineLvl w:val="0"/>
    </w:pPr>
    <w:rPr>
      <w:rFonts w:ascii="Arial" w:hAnsi="Arial" w:cs="Arial"/>
      <w:b/>
      <w:bCs/>
      <w:sz w:val="18"/>
      <w:szCs w:val="18"/>
      <w:lang w:eastAsia="ar-SA"/>
    </w:rPr>
  </w:style>
  <w:style w:type="paragraph" w:styleId="Heading2">
    <w:name w:val="heading 2"/>
    <w:basedOn w:val="Normal"/>
    <w:next w:val="Normal"/>
    <w:link w:val="Heading2Char"/>
    <w:uiPriority w:val="99"/>
    <w:qFormat/>
    <w:rsid w:val="00D07713"/>
    <w:pPr>
      <w:keepNext/>
      <w:tabs>
        <w:tab w:val="num" w:pos="576"/>
      </w:tabs>
      <w:suppressAutoHyphens/>
      <w:spacing w:before="240" w:after="60"/>
      <w:ind w:left="576" w:hanging="576"/>
      <w:outlineLvl w:val="1"/>
    </w:pPr>
    <w:rPr>
      <w:rFonts w:ascii="Arial" w:hAnsi="Arial" w:cs="Arial"/>
      <w:b/>
      <w:bCs/>
      <w:i/>
      <w:iCs/>
      <w:sz w:val="28"/>
      <w:szCs w:val="28"/>
      <w:lang w:val="en-GB" w:eastAsia="ar-SA"/>
    </w:rPr>
  </w:style>
  <w:style w:type="paragraph" w:styleId="Heading3">
    <w:name w:val="heading 3"/>
    <w:basedOn w:val="Normal"/>
    <w:next w:val="Normal"/>
    <w:link w:val="Heading3Char"/>
    <w:uiPriority w:val="99"/>
    <w:unhideWhenUsed/>
    <w:qFormat/>
    <w:rsid w:val="00D0771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07713"/>
    <w:rPr>
      <w:rFonts w:ascii="Arial" w:hAnsi="Arial" w:cs="Arial"/>
      <w:b/>
      <w:bCs/>
      <w:sz w:val="18"/>
      <w:szCs w:val="18"/>
      <w:lang w:val="tr-TR" w:eastAsia="ar-SA"/>
    </w:rPr>
  </w:style>
  <w:style w:type="character" w:customStyle="1" w:styleId="Heading2Char">
    <w:name w:val="Heading 2 Char"/>
    <w:basedOn w:val="DefaultParagraphFont"/>
    <w:link w:val="Heading2"/>
    <w:uiPriority w:val="99"/>
    <w:rsid w:val="00D07713"/>
    <w:rPr>
      <w:rFonts w:ascii="Arial" w:hAnsi="Arial" w:cs="Arial"/>
      <w:b/>
      <w:bCs/>
      <w:i/>
      <w:iCs/>
      <w:sz w:val="28"/>
      <w:szCs w:val="28"/>
      <w:lang w:val="en-GB" w:eastAsia="ar-SA"/>
    </w:rPr>
  </w:style>
  <w:style w:type="character" w:customStyle="1" w:styleId="Heading3Char">
    <w:name w:val="Heading 3 Char"/>
    <w:basedOn w:val="DefaultParagraphFont"/>
    <w:link w:val="Heading3"/>
    <w:uiPriority w:val="9"/>
    <w:semiHidden/>
    <w:rsid w:val="00D07713"/>
    <w:rPr>
      <w:rFonts w:asciiTheme="majorHAnsi" w:eastAsiaTheme="majorEastAsia" w:hAnsiTheme="majorHAnsi" w:cstheme="majorBidi"/>
      <w:color w:val="1F3763" w:themeColor="accent1" w:themeShade="7F"/>
      <w:sz w:val="24"/>
      <w:szCs w:val="24"/>
      <w:lang w:val="tr-TR"/>
    </w:rPr>
  </w:style>
  <w:style w:type="paragraph" w:styleId="ListParagraph">
    <w:name w:val="List Paragraph"/>
    <w:basedOn w:val="Normal"/>
    <w:uiPriority w:val="34"/>
    <w:qFormat/>
    <w:rsid w:val="001C65BF"/>
    <w:pPr>
      <w:ind w:left="720"/>
      <w:contextualSpacing/>
    </w:pPr>
  </w:style>
  <w:style w:type="character" w:styleId="Hyperlink">
    <w:name w:val="Hyperlink"/>
    <w:basedOn w:val="DefaultParagraphFont"/>
    <w:uiPriority w:val="99"/>
    <w:unhideWhenUsed/>
    <w:rsid w:val="001C65BF"/>
    <w:rPr>
      <w:color w:val="0563C1" w:themeColor="hyperlink"/>
      <w:u w:val="single"/>
    </w:rPr>
  </w:style>
  <w:style w:type="character" w:customStyle="1" w:styleId="Mention1">
    <w:name w:val="Mention1"/>
    <w:basedOn w:val="DefaultParagraphFont"/>
    <w:uiPriority w:val="99"/>
    <w:semiHidden/>
    <w:unhideWhenUsed/>
    <w:rsid w:val="001C65BF"/>
    <w:rPr>
      <w:color w:val="2B579A"/>
      <w:shd w:val="clear" w:color="auto" w:fill="E6E6E6"/>
    </w:rPr>
  </w:style>
  <w:style w:type="paragraph" w:styleId="NormalWeb">
    <w:name w:val="Normal (Web)"/>
    <w:basedOn w:val="Normal"/>
    <w:uiPriority w:val="99"/>
    <w:rsid w:val="006C3EE6"/>
    <w:pPr>
      <w:spacing w:before="100" w:beforeAutospacing="1" w:after="100" w:afterAutospacing="1"/>
    </w:pPr>
  </w:style>
  <w:style w:type="character" w:customStyle="1" w:styleId="UnresolvedMention1">
    <w:name w:val="Unresolved Mention1"/>
    <w:basedOn w:val="DefaultParagraphFont"/>
    <w:uiPriority w:val="99"/>
    <w:semiHidden/>
    <w:unhideWhenUsed/>
    <w:rsid w:val="00DA0C5D"/>
    <w:rPr>
      <w:color w:val="808080"/>
      <w:shd w:val="clear" w:color="auto" w:fill="E6E6E6"/>
    </w:rPr>
  </w:style>
  <w:style w:type="paragraph" w:styleId="FootnoteText">
    <w:name w:val="footnote text"/>
    <w:basedOn w:val="Normal"/>
    <w:link w:val="FootnoteTextChar"/>
    <w:uiPriority w:val="99"/>
    <w:semiHidden/>
    <w:unhideWhenUsed/>
    <w:rsid w:val="00DA0C5D"/>
    <w:rPr>
      <w:sz w:val="20"/>
      <w:szCs w:val="20"/>
    </w:rPr>
  </w:style>
  <w:style w:type="character" w:customStyle="1" w:styleId="FootnoteTextChar">
    <w:name w:val="Footnote Text Char"/>
    <w:basedOn w:val="DefaultParagraphFont"/>
    <w:link w:val="FootnoteText"/>
    <w:uiPriority w:val="99"/>
    <w:semiHidden/>
    <w:rsid w:val="00DA0C5D"/>
    <w:rPr>
      <w:rFonts w:ascii="Times New Roman"/>
      <w:sz w:val="20"/>
      <w:szCs w:val="20"/>
      <w:lang w:val="tr-TR" w:eastAsia="tr-TR"/>
    </w:rPr>
  </w:style>
  <w:style w:type="character" w:styleId="FootnoteReference">
    <w:name w:val="footnote reference"/>
    <w:basedOn w:val="DefaultParagraphFont"/>
    <w:uiPriority w:val="99"/>
    <w:semiHidden/>
    <w:unhideWhenUsed/>
    <w:rsid w:val="00DA0C5D"/>
    <w:rPr>
      <w:vertAlign w:val="superscript"/>
    </w:rPr>
  </w:style>
  <w:style w:type="paragraph" w:styleId="BalloonText">
    <w:name w:val="Balloon Text"/>
    <w:basedOn w:val="Normal"/>
    <w:link w:val="BalloonTextChar"/>
    <w:uiPriority w:val="99"/>
    <w:semiHidden/>
    <w:unhideWhenUsed/>
    <w:rsid w:val="00845A54"/>
    <w:rPr>
      <w:rFonts w:ascii="Tahoma" w:hAnsi="Tahoma" w:cs="Tahoma"/>
      <w:sz w:val="16"/>
      <w:szCs w:val="16"/>
    </w:rPr>
  </w:style>
  <w:style w:type="character" w:customStyle="1" w:styleId="BalloonTextChar">
    <w:name w:val="Balloon Text Char"/>
    <w:basedOn w:val="DefaultParagraphFont"/>
    <w:link w:val="BalloonText"/>
    <w:uiPriority w:val="99"/>
    <w:semiHidden/>
    <w:rsid w:val="00845A54"/>
    <w:rPr>
      <w:rFonts w:ascii="Tahoma" w:hAnsi="Tahoma" w:cs="Tahoma"/>
      <w:sz w:val="16"/>
      <w:szCs w:val="16"/>
      <w:lang w:val="tr-TR" w:eastAsia="tr-TR"/>
    </w:rPr>
  </w:style>
  <w:style w:type="character" w:styleId="CommentReference">
    <w:name w:val="annotation reference"/>
    <w:basedOn w:val="DefaultParagraphFont"/>
    <w:uiPriority w:val="99"/>
    <w:semiHidden/>
    <w:unhideWhenUsed/>
    <w:rsid w:val="00492020"/>
    <w:rPr>
      <w:sz w:val="16"/>
      <w:szCs w:val="16"/>
    </w:rPr>
  </w:style>
  <w:style w:type="paragraph" w:styleId="CommentText">
    <w:name w:val="annotation text"/>
    <w:basedOn w:val="Normal"/>
    <w:link w:val="CommentTextChar"/>
    <w:uiPriority w:val="99"/>
    <w:semiHidden/>
    <w:unhideWhenUsed/>
    <w:rsid w:val="00492020"/>
    <w:rPr>
      <w:sz w:val="20"/>
      <w:szCs w:val="20"/>
    </w:rPr>
  </w:style>
  <w:style w:type="character" w:customStyle="1" w:styleId="CommentTextChar">
    <w:name w:val="Comment Text Char"/>
    <w:basedOn w:val="DefaultParagraphFont"/>
    <w:link w:val="CommentText"/>
    <w:uiPriority w:val="99"/>
    <w:semiHidden/>
    <w:rsid w:val="00492020"/>
    <w:rPr>
      <w:rFonts w:ascii="Times New Roman"/>
      <w:sz w:val="20"/>
      <w:szCs w:val="20"/>
      <w:lang w:val="tr-TR" w:eastAsia="tr-TR"/>
    </w:rPr>
  </w:style>
  <w:style w:type="paragraph" w:styleId="CommentSubject">
    <w:name w:val="annotation subject"/>
    <w:basedOn w:val="CommentText"/>
    <w:next w:val="CommentText"/>
    <w:link w:val="CommentSubjectChar"/>
    <w:uiPriority w:val="99"/>
    <w:semiHidden/>
    <w:unhideWhenUsed/>
    <w:rsid w:val="00492020"/>
    <w:rPr>
      <w:b/>
      <w:bCs/>
    </w:rPr>
  </w:style>
  <w:style w:type="character" w:customStyle="1" w:styleId="CommentSubjectChar">
    <w:name w:val="Comment Subject Char"/>
    <w:basedOn w:val="CommentTextChar"/>
    <w:link w:val="CommentSubject"/>
    <w:uiPriority w:val="99"/>
    <w:semiHidden/>
    <w:rsid w:val="00492020"/>
    <w:rPr>
      <w:rFonts w:ascii="Times New Roman"/>
      <w:b/>
      <w:bCs/>
      <w:sz w:val="20"/>
      <w:szCs w:val="20"/>
      <w:lang w:val="tr-TR" w:eastAsia="tr-TR"/>
    </w:rPr>
  </w:style>
  <w:style w:type="paragraph" w:styleId="Header">
    <w:name w:val="header"/>
    <w:basedOn w:val="Normal"/>
    <w:link w:val="HeaderChar"/>
    <w:uiPriority w:val="99"/>
    <w:unhideWhenUsed/>
    <w:rsid w:val="009030D2"/>
    <w:pPr>
      <w:tabs>
        <w:tab w:val="center" w:pos="4536"/>
        <w:tab w:val="right" w:pos="9072"/>
      </w:tabs>
    </w:pPr>
  </w:style>
  <w:style w:type="character" w:customStyle="1" w:styleId="HeaderChar">
    <w:name w:val="Header Char"/>
    <w:basedOn w:val="DefaultParagraphFont"/>
    <w:link w:val="Header"/>
    <w:uiPriority w:val="99"/>
    <w:rsid w:val="009030D2"/>
    <w:rPr>
      <w:rFonts w:ascii="Times New Roman"/>
      <w:sz w:val="24"/>
      <w:szCs w:val="24"/>
      <w:lang w:val="tr-TR" w:eastAsia="tr-TR"/>
    </w:rPr>
  </w:style>
  <w:style w:type="paragraph" w:styleId="Footer">
    <w:name w:val="footer"/>
    <w:basedOn w:val="Normal"/>
    <w:link w:val="FooterChar"/>
    <w:uiPriority w:val="99"/>
    <w:unhideWhenUsed/>
    <w:rsid w:val="009030D2"/>
    <w:pPr>
      <w:tabs>
        <w:tab w:val="center" w:pos="4536"/>
        <w:tab w:val="right" w:pos="9072"/>
      </w:tabs>
    </w:pPr>
  </w:style>
  <w:style w:type="character" w:customStyle="1" w:styleId="FooterChar">
    <w:name w:val="Footer Char"/>
    <w:basedOn w:val="DefaultParagraphFont"/>
    <w:link w:val="Footer"/>
    <w:uiPriority w:val="99"/>
    <w:rsid w:val="009030D2"/>
    <w:rPr>
      <w:rFonts w:ascii="Times New Roman"/>
      <w:sz w:val="24"/>
      <w:szCs w:val="24"/>
      <w:lang w:val="tr-TR" w:eastAsia="tr-TR"/>
    </w:rPr>
  </w:style>
  <w:style w:type="character" w:styleId="Strong">
    <w:name w:val="Strong"/>
    <w:basedOn w:val="DefaultParagraphFont"/>
    <w:uiPriority w:val="22"/>
    <w:qFormat/>
    <w:rsid w:val="00B96DDB"/>
    <w:rPr>
      <w:b/>
      <w:bCs/>
    </w:rPr>
  </w:style>
  <w:style w:type="paragraph" w:customStyle="1" w:styleId="font-claude-response-body">
    <w:name w:val="font-claude-response-body"/>
    <w:basedOn w:val="Normal"/>
    <w:rsid w:val="000B09B0"/>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21704">
      <w:bodyDiv w:val="1"/>
      <w:marLeft w:val="0"/>
      <w:marRight w:val="0"/>
      <w:marTop w:val="0"/>
      <w:marBottom w:val="0"/>
      <w:divBdr>
        <w:top w:val="none" w:sz="0" w:space="0" w:color="auto"/>
        <w:left w:val="none" w:sz="0" w:space="0" w:color="auto"/>
        <w:bottom w:val="none" w:sz="0" w:space="0" w:color="auto"/>
        <w:right w:val="none" w:sz="0" w:space="0" w:color="auto"/>
      </w:divBdr>
    </w:div>
    <w:div w:id="20085449">
      <w:bodyDiv w:val="1"/>
      <w:marLeft w:val="0"/>
      <w:marRight w:val="0"/>
      <w:marTop w:val="0"/>
      <w:marBottom w:val="0"/>
      <w:divBdr>
        <w:top w:val="none" w:sz="0" w:space="0" w:color="auto"/>
        <w:left w:val="none" w:sz="0" w:space="0" w:color="auto"/>
        <w:bottom w:val="none" w:sz="0" w:space="0" w:color="auto"/>
        <w:right w:val="none" w:sz="0" w:space="0" w:color="auto"/>
      </w:divBdr>
    </w:div>
    <w:div w:id="46809400">
      <w:bodyDiv w:val="1"/>
      <w:marLeft w:val="0"/>
      <w:marRight w:val="0"/>
      <w:marTop w:val="0"/>
      <w:marBottom w:val="0"/>
      <w:divBdr>
        <w:top w:val="none" w:sz="0" w:space="0" w:color="auto"/>
        <w:left w:val="none" w:sz="0" w:space="0" w:color="auto"/>
        <w:bottom w:val="none" w:sz="0" w:space="0" w:color="auto"/>
        <w:right w:val="none" w:sz="0" w:space="0" w:color="auto"/>
      </w:divBdr>
    </w:div>
    <w:div w:id="99107687">
      <w:bodyDiv w:val="1"/>
      <w:marLeft w:val="0"/>
      <w:marRight w:val="0"/>
      <w:marTop w:val="0"/>
      <w:marBottom w:val="0"/>
      <w:divBdr>
        <w:top w:val="none" w:sz="0" w:space="0" w:color="auto"/>
        <w:left w:val="none" w:sz="0" w:space="0" w:color="auto"/>
        <w:bottom w:val="none" w:sz="0" w:space="0" w:color="auto"/>
        <w:right w:val="none" w:sz="0" w:space="0" w:color="auto"/>
      </w:divBdr>
    </w:div>
    <w:div w:id="105931333">
      <w:bodyDiv w:val="1"/>
      <w:marLeft w:val="0"/>
      <w:marRight w:val="0"/>
      <w:marTop w:val="0"/>
      <w:marBottom w:val="0"/>
      <w:divBdr>
        <w:top w:val="none" w:sz="0" w:space="0" w:color="auto"/>
        <w:left w:val="none" w:sz="0" w:space="0" w:color="auto"/>
        <w:bottom w:val="none" w:sz="0" w:space="0" w:color="auto"/>
        <w:right w:val="none" w:sz="0" w:space="0" w:color="auto"/>
      </w:divBdr>
    </w:div>
    <w:div w:id="197401709">
      <w:bodyDiv w:val="1"/>
      <w:marLeft w:val="0"/>
      <w:marRight w:val="0"/>
      <w:marTop w:val="0"/>
      <w:marBottom w:val="0"/>
      <w:divBdr>
        <w:top w:val="none" w:sz="0" w:space="0" w:color="auto"/>
        <w:left w:val="none" w:sz="0" w:space="0" w:color="auto"/>
        <w:bottom w:val="none" w:sz="0" w:space="0" w:color="auto"/>
        <w:right w:val="none" w:sz="0" w:space="0" w:color="auto"/>
      </w:divBdr>
    </w:div>
    <w:div w:id="197817056">
      <w:bodyDiv w:val="1"/>
      <w:marLeft w:val="0"/>
      <w:marRight w:val="0"/>
      <w:marTop w:val="0"/>
      <w:marBottom w:val="0"/>
      <w:divBdr>
        <w:top w:val="none" w:sz="0" w:space="0" w:color="auto"/>
        <w:left w:val="none" w:sz="0" w:space="0" w:color="auto"/>
        <w:bottom w:val="none" w:sz="0" w:space="0" w:color="auto"/>
        <w:right w:val="none" w:sz="0" w:space="0" w:color="auto"/>
      </w:divBdr>
    </w:div>
    <w:div w:id="202257109">
      <w:bodyDiv w:val="1"/>
      <w:marLeft w:val="0"/>
      <w:marRight w:val="0"/>
      <w:marTop w:val="0"/>
      <w:marBottom w:val="0"/>
      <w:divBdr>
        <w:top w:val="none" w:sz="0" w:space="0" w:color="auto"/>
        <w:left w:val="none" w:sz="0" w:space="0" w:color="auto"/>
        <w:bottom w:val="none" w:sz="0" w:space="0" w:color="auto"/>
        <w:right w:val="none" w:sz="0" w:space="0" w:color="auto"/>
      </w:divBdr>
    </w:div>
    <w:div w:id="202835374">
      <w:bodyDiv w:val="1"/>
      <w:marLeft w:val="0"/>
      <w:marRight w:val="0"/>
      <w:marTop w:val="0"/>
      <w:marBottom w:val="0"/>
      <w:divBdr>
        <w:top w:val="none" w:sz="0" w:space="0" w:color="auto"/>
        <w:left w:val="none" w:sz="0" w:space="0" w:color="auto"/>
        <w:bottom w:val="none" w:sz="0" w:space="0" w:color="auto"/>
        <w:right w:val="none" w:sz="0" w:space="0" w:color="auto"/>
      </w:divBdr>
    </w:div>
    <w:div w:id="213126316">
      <w:bodyDiv w:val="1"/>
      <w:marLeft w:val="0"/>
      <w:marRight w:val="0"/>
      <w:marTop w:val="0"/>
      <w:marBottom w:val="0"/>
      <w:divBdr>
        <w:top w:val="none" w:sz="0" w:space="0" w:color="auto"/>
        <w:left w:val="none" w:sz="0" w:space="0" w:color="auto"/>
        <w:bottom w:val="none" w:sz="0" w:space="0" w:color="auto"/>
        <w:right w:val="none" w:sz="0" w:space="0" w:color="auto"/>
      </w:divBdr>
    </w:div>
    <w:div w:id="220138851">
      <w:bodyDiv w:val="1"/>
      <w:marLeft w:val="0"/>
      <w:marRight w:val="0"/>
      <w:marTop w:val="0"/>
      <w:marBottom w:val="0"/>
      <w:divBdr>
        <w:top w:val="none" w:sz="0" w:space="0" w:color="auto"/>
        <w:left w:val="none" w:sz="0" w:space="0" w:color="auto"/>
        <w:bottom w:val="none" w:sz="0" w:space="0" w:color="auto"/>
        <w:right w:val="none" w:sz="0" w:space="0" w:color="auto"/>
      </w:divBdr>
      <w:divsChild>
        <w:div w:id="1110706717">
          <w:marLeft w:val="0"/>
          <w:marRight w:val="0"/>
          <w:marTop w:val="0"/>
          <w:marBottom w:val="0"/>
          <w:divBdr>
            <w:top w:val="none" w:sz="0" w:space="0" w:color="auto"/>
            <w:left w:val="none" w:sz="0" w:space="0" w:color="auto"/>
            <w:bottom w:val="none" w:sz="0" w:space="0" w:color="auto"/>
            <w:right w:val="none" w:sz="0" w:space="0" w:color="auto"/>
          </w:divBdr>
        </w:div>
      </w:divsChild>
    </w:div>
    <w:div w:id="222954893">
      <w:bodyDiv w:val="1"/>
      <w:marLeft w:val="0"/>
      <w:marRight w:val="0"/>
      <w:marTop w:val="0"/>
      <w:marBottom w:val="0"/>
      <w:divBdr>
        <w:top w:val="none" w:sz="0" w:space="0" w:color="auto"/>
        <w:left w:val="none" w:sz="0" w:space="0" w:color="auto"/>
        <w:bottom w:val="none" w:sz="0" w:space="0" w:color="auto"/>
        <w:right w:val="none" w:sz="0" w:space="0" w:color="auto"/>
      </w:divBdr>
    </w:div>
    <w:div w:id="249626825">
      <w:bodyDiv w:val="1"/>
      <w:marLeft w:val="0"/>
      <w:marRight w:val="0"/>
      <w:marTop w:val="0"/>
      <w:marBottom w:val="0"/>
      <w:divBdr>
        <w:top w:val="none" w:sz="0" w:space="0" w:color="auto"/>
        <w:left w:val="none" w:sz="0" w:space="0" w:color="auto"/>
        <w:bottom w:val="none" w:sz="0" w:space="0" w:color="auto"/>
        <w:right w:val="none" w:sz="0" w:space="0" w:color="auto"/>
      </w:divBdr>
    </w:div>
    <w:div w:id="310717646">
      <w:bodyDiv w:val="1"/>
      <w:marLeft w:val="0"/>
      <w:marRight w:val="0"/>
      <w:marTop w:val="0"/>
      <w:marBottom w:val="0"/>
      <w:divBdr>
        <w:top w:val="none" w:sz="0" w:space="0" w:color="auto"/>
        <w:left w:val="none" w:sz="0" w:space="0" w:color="auto"/>
        <w:bottom w:val="none" w:sz="0" w:space="0" w:color="auto"/>
        <w:right w:val="none" w:sz="0" w:space="0" w:color="auto"/>
      </w:divBdr>
    </w:div>
    <w:div w:id="414401070">
      <w:bodyDiv w:val="1"/>
      <w:marLeft w:val="0"/>
      <w:marRight w:val="0"/>
      <w:marTop w:val="0"/>
      <w:marBottom w:val="0"/>
      <w:divBdr>
        <w:top w:val="none" w:sz="0" w:space="0" w:color="auto"/>
        <w:left w:val="none" w:sz="0" w:space="0" w:color="auto"/>
        <w:bottom w:val="none" w:sz="0" w:space="0" w:color="auto"/>
        <w:right w:val="none" w:sz="0" w:space="0" w:color="auto"/>
      </w:divBdr>
    </w:div>
    <w:div w:id="470834030">
      <w:bodyDiv w:val="1"/>
      <w:marLeft w:val="0"/>
      <w:marRight w:val="0"/>
      <w:marTop w:val="0"/>
      <w:marBottom w:val="0"/>
      <w:divBdr>
        <w:top w:val="none" w:sz="0" w:space="0" w:color="auto"/>
        <w:left w:val="none" w:sz="0" w:space="0" w:color="auto"/>
        <w:bottom w:val="none" w:sz="0" w:space="0" w:color="auto"/>
        <w:right w:val="none" w:sz="0" w:space="0" w:color="auto"/>
      </w:divBdr>
    </w:div>
    <w:div w:id="480317060">
      <w:bodyDiv w:val="1"/>
      <w:marLeft w:val="0"/>
      <w:marRight w:val="0"/>
      <w:marTop w:val="0"/>
      <w:marBottom w:val="0"/>
      <w:divBdr>
        <w:top w:val="none" w:sz="0" w:space="0" w:color="auto"/>
        <w:left w:val="none" w:sz="0" w:space="0" w:color="auto"/>
        <w:bottom w:val="none" w:sz="0" w:space="0" w:color="auto"/>
        <w:right w:val="none" w:sz="0" w:space="0" w:color="auto"/>
      </w:divBdr>
      <w:divsChild>
        <w:div w:id="893853675">
          <w:marLeft w:val="0"/>
          <w:marRight w:val="0"/>
          <w:marTop w:val="0"/>
          <w:marBottom w:val="0"/>
          <w:divBdr>
            <w:top w:val="none" w:sz="0" w:space="0" w:color="auto"/>
            <w:left w:val="none" w:sz="0" w:space="0" w:color="auto"/>
            <w:bottom w:val="none" w:sz="0" w:space="0" w:color="auto"/>
            <w:right w:val="none" w:sz="0" w:space="0" w:color="auto"/>
          </w:divBdr>
        </w:div>
      </w:divsChild>
    </w:div>
    <w:div w:id="504173187">
      <w:bodyDiv w:val="1"/>
      <w:marLeft w:val="0"/>
      <w:marRight w:val="0"/>
      <w:marTop w:val="0"/>
      <w:marBottom w:val="0"/>
      <w:divBdr>
        <w:top w:val="none" w:sz="0" w:space="0" w:color="auto"/>
        <w:left w:val="none" w:sz="0" w:space="0" w:color="auto"/>
        <w:bottom w:val="none" w:sz="0" w:space="0" w:color="auto"/>
        <w:right w:val="none" w:sz="0" w:space="0" w:color="auto"/>
      </w:divBdr>
    </w:div>
    <w:div w:id="520171166">
      <w:bodyDiv w:val="1"/>
      <w:marLeft w:val="0"/>
      <w:marRight w:val="0"/>
      <w:marTop w:val="0"/>
      <w:marBottom w:val="0"/>
      <w:divBdr>
        <w:top w:val="none" w:sz="0" w:space="0" w:color="auto"/>
        <w:left w:val="none" w:sz="0" w:space="0" w:color="auto"/>
        <w:bottom w:val="none" w:sz="0" w:space="0" w:color="auto"/>
        <w:right w:val="none" w:sz="0" w:space="0" w:color="auto"/>
      </w:divBdr>
    </w:div>
    <w:div w:id="556550228">
      <w:bodyDiv w:val="1"/>
      <w:marLeft w:val="0"/>
      <w:marRight w:val="0"/>
      <w:marTop w:val="0"/>
      <w:marBottom w:val="0"/>
      <w:divBdr>
        <w:top w:val="none" w:sz="0" w:space="0" w:color="auto"/>
        <w:left w:val="none" w:sz="0" w:space="0" w:color="auto"/>
        <w:bottom w:val="none" w:sz="0" w:space="0" w:color="auto"/>
        <w:right w:val="none" w:sz="0" w:space="0" w:color="auto"/>
      </w:divBdr>
    </w:div>
    <w:div w:id="568543380">
      <w:bodyDiv w:val="1"/>
      <w:marLeft w:val="0"/>
      <w:marRight w:val="0"/>
      <w:marTop w:val="0"/>
      <w:marBottom w:val="0"/>
      <w:divBdr>
        <w:top w:val="none" w:sz="0" w:space="0" w:color="auto"/>
        <w:left w:val="none" w:sz="0" w:space="0" w:color="auto"/>
        <w:bottom w:val="none" w:sz="0" w:space="0" w:color="auto"/>
        <w:right w:val="none" w:sz="0" w:space="0" w:color="auto"/>
      </w:divBdr>
      <w:divsChild>
        <w:div w:id="1655405871">
          <w:marLeft w:val="0"/>
          <w:marRight w:val="0"/>
          <w:marTop w:val="0"/>
          <w:marBottom w:val="0"/>
          <w:divBdr>
            <w:top w:val="none" w:sz="0" w:space="0" w:color="auto"/>
            <w:left w:val="none" w:sz="0" w:space="0" w:color="auto"/>
            <w:bottom w:val="none" w:sz="0" w:space="0" w:color="auto"/>
            <w:right w:val="none" w:sz="0" w:space="0" w:color="auto"/>
          </w:divBdr>
        </w:div>
      </w:divsChild>
    </w:div>
    <w:div w:id="584613792">
      <w:bodyDiv w:val="1"/>
      <w:marLeft w:val="0"/>
      <w:marRight w:val="0"/>
      <w:marTop w:val="0"/>
      <w:marBottom w:val="0"/>
      <w:divBdr>
        <w:top w:val="none" w:sz="0" w:space="0" w:color="auto"/>
        <w:left w:val="none" w:sz="0" w:space="0" w:color="auto"/>
        <w:bottom w:val="none" w:sz="0" w:space="0" w:color="auto"/>
        <w:right w:val="none" w:sz="0" w:space="0" w:color="auto"/>
      </w:divBdr>
    </w:div>
    <w:div w:id="592318087">
      <w:bodyDiv w:val="1"/>
      <w:marLeft w:val="0"/>
      <w:marRight w:val="0"/>
      <w:marTop w:val="0"/>
      <w:marBottom w:val="0"/>
      <w:divBdr>
        <w:top w:val="none" w:sz="0" w:space="0" w:color="auto"/>
        <w:left w:val="none" w:sz="0" w:space="0" w:color="auto"/>
        <w:bottom w:val="none" w:sz="0" w:space="0" w:color="auto"/>
        <w:right w:val="none" w:sz="0" w:space="0" w:color="auto"/>
      </w:divBdr>
    </w:div>
    <w:div w:id="663625836">
      <w:bodyDiv w:val="1"/>
      <w:marLeft w:val="0"/>
      <w:marRight w:val="0"/>
      <w:marTop w:val="0"/>
      <w:marBottom w:val="0"/>
      <w:divBdr>
        <w:top w:val="none" w:sz="0" w:space="0" w:color="auto"/>
        <w:left w:val="none" w:sz="0" w:space="0" w:color="auto"/>
        <w:bottom w:val="none" w:sz="0" w:space="0" w:color="auto"/>
        <w:right w:val="none" w:sz="0" w:space="0" w:color="auto"/>
      </w:divBdr>
    </w:div>
    <w:div w:id="675696798">
      <w:bodyDiv w:val="1"/>
      <w:marLeft w:val="0"/>
      <w:marRight w:val="0"/>
      <w:marTop w:val="0"/>
      <w:marBottom w:val="0"/>
      <w:divBdr>
        <w:top w:val="none" w:sz="0" w:space="0" w:color="auto"/>
        <w:left w:val="none" w:sz="0" w:space="0" w:color="auto"/>
        <w:bottom w:val="none" w:sz="0" w:space="0" w:color="auto"/>
        <w:right w:val="none" w:sz="0" w:space="0" w:color="auto"/>
      </w:divBdr>
    </w:div>
    <w:div w:id="684596504">
      <w:bodyDiv w:val="1"/>
      <w:marLeft w:val="0"/>
      <w:marRight w:val="0"/>
      <w:marTop w:val="0"/>
      <w:marBottom w:val="0"/>
      <w:divBdr>
        <w:top w:val="none" w:sz="0" w:space="0" w:color="auto"/>
        <w:left w:val="none" w:sz="0" w:space="0" w:color="auto"/>
        <w:bottom w:val="none" w:sz="0" w:space="0" w:color="auto"/>
        <w:right w:val="none" w:sz="0" w:space="0" w:color="auto"/>
      </w:divBdr>
    </w:div>
    <w:div w:id="729614903">
      <w:bodyDiv w:val="1"/>
      <w:marLeft w:val="0"/>
      <w:marRight w:val="0"/>
      <w:marTop w:val="0"/>
      <w:marBottom w:val="0"/>
      <w:divBdr>
        <w:top w:val="none" w:sz="0" w:space="0" w:color="auto"/>
        <w:left w:val="none" w:sz="0" w:space="0" w:color="auto"/>
        <w:bottom w:val="none" w:sz="0" w:space="0" w:color="auto"/>
        <w:right w:val="none" w:sz="0" w:space="0" w:color="auto"/>
      </w:divBdr>
    </w:div>
    <w:div w:id="749355561">
      <w:bodyDiv w:val="1"/>
      <w:marLeft w:val="0"/>
      <w:marRight w:val="0"/>
      <w:marTop w:val="0"/>
      <w:marBottom w:val="0"/>
      <w:divBdr>
        <w:top w:val="none" w:sz="0" w:space="0" w:color="auto"/>
        <w:left w:val="none" w:sz="0" w:space="0" w:color="auto"/>
        <w:bottom w:val="none" w:sz="0" w:space="0" w:color="auto"/>
        <w:right w:val="none" w:sz="0" w:space="0" w:color="auto"/>
      </w:divBdr>
    </w:div>
    <w:div w:id="789515289">
      <w:bodyDiv w:val="1"/>
      <w:marLeft w:val="0"/>
      <w:marRight w:val="0"/>
      <w:marTop w:val="0"/>
      <w:marBottom w:val="0"/>
      <w:divBdr>
        <w:top w:val="none" w:sz="0" w:space="0" w:color="auto"/>
        <w:left w:val="none" w:sz="0" w:space="0" w:color="auto"/>
        <w:bottom w:val="none" w:sz="0" w:space="0" w:color="auto"/>
        <w:right w:val="none" w:sz="0" w:space="0" w:color="auto"/>
      </w:divBdr>
    </w:div>
    <w:div w:id="794177967">
      <w:bodyDiv w:val="1"/>
      <w:marLeft w:val="0"/>
      <w:marRight w:val="0"/>
      <w:marTop w:val="0"/>
      <w:marBottom w:val="0"/>
      <w:divBdr>
        <w:top w:val="none" w:sz="0" w:space="0" w:color="auto"/>
        <w:left w:val="none" w:sz="0" w:space="0" w:color="auto"/>
        <w:bottom w:val="none" w:sz="0" w:space="0" w:color="auto"/>
        <w:right w:val="none" w:sz="0" w:space="0" w:color="auto"/>
      </w:divBdr>
    </w:div>
    <w:div w:id="854539308">
      <w:bodyDiv w:val="1"/>
      <w:marLeft w:val="0"/>
      <w:marRight w:val="0"/>
      <w:marTop w:val="0"/>
      <w:marBottom w:val="0"/>
      <w:divBdr>
        <w:top w:val="none" w:sz="0" w:space="0" w:color="auto"/>
        <w:left w:val="none" w:sz="0" w:space="0" w:color="auto"/>
        <w:bottom w:val="none" w:sz="0" w:space="0" w:color="auto"/>
        <w:right w:val="none" w:sz="0" w:space="0" w:color="auto"/>
      </w:divBdr>
      <w:divsChild>
        <w:div w:id="279142828">
          <w:marLeft w:val="0"/>
          <w:marRight w:val="0"/>
          <w:marTop w:val="0"/>
          <w:marBottom w:val="0"/>
          <w:divBdr>
            <w:top w:val="none" w:sz="0" w:space="0" w:color="auto"/>
            <w:left w:val="none" w:sz="0" w:space="0" w:color="auto"/>
            <w:bottom w:val="none" w:sz="0" w:space="0" w:color="auto"/>
            <w:right w:val="none" w:sz="0" w:space="0" w:color="auto"/>
          </w:divBdr>
        </w:div>
      </w:divsChild>
    </w:div>
    <w:div w:id="907037378">
      <w:bodyDiv w:val="1"/>
      <w:marLeft w:val="0"/>
      <w:marRight w:val="0"/>
      <w:marTop w:val="0"/>
      <w:marBottom w:val="0"/>
      <w:divBdr>
        <w:top w:val="none" w:sz="0" w:space="0" w:color="auto"/>
        <w:left w:val="none" w:sz="0" w:space="0" w:color="auto"/>
        <w:bottom w:val="none" w:sz="0" w:space="0" w:color="auto"/>
        <w:right w:val="none" w:sz="0" w:space="0" w:color="auto"/>
      </w:divBdr>
    </w:div>
    <w:div w:id="916472813">
      <w:bodyDiv w:val="1"/>
      <w:marLeft w:val="0"/>
      <w:marRight w:val="0"/>
      <w:marTop w:val="0"/>
      <w:marBottom w:val="0"/>
      <w:divBdr>
        <w:top w:val="none" w:sz="0" w:space="0" w:color="auto"/>
        <w:left w:val="none" w:sz="0" w:space="0" w:color="auto"/>
        <w:bottom w:val="none" w:sz="0" w:space="0" w:color="auto"/>
        <w:right w:val="none" w:sz="0" w:space="0" w:color="auto"/>
      </w:divBdr>
    </w:div>
    <w:div w:id="916864096">
      <w:bodyDiv w:val="1"/>
      <w:marLeft w:val="0"/>
      <w:marRight w:val="0"/>
      <w:marTop w:val="0"/>
      <w:marBottom w:val="0"/>
      <w:divBdr>
        <w:top w:val="none" w:sz="0" w:space="0" w:color="auto"/>
        <w:left w:val="none" w:sz="0" w:space="0" w:color="auto"/>
        <w:bottom w:val="none" w:sz="0" w:space="0" w:color="auto"/>
        <w:right w:val="none" w:sz="0" w:space="0" w:color="auto"/>
      </w:divBdr>
    </w:div>
    <w:div w:id="953171385">
      <w:bodyDiv w:val="1"/>
      <w:marLeft w:val="0"/>
      <w:marRight w:val="0"/>
      <w:marTop w:val="0"/>
      <w:marBottom w:val="0"/>
      <w:divBdr>
        <w:top w:val="none" w:sz="0" w:space="0" w:color="auto"/>
        <w:left w:val="none" w:sz="0" w:space="0" w:color="auto"/>
        <w:bottom w:val="none" w:sz="0" w:space="0" w:color="auto"/>
        <w:right w:val="none" w:sz="0" w:space="0" w:color="auto"/>
      </w:divBdr>
    </w:div>
    <w:div w:id="957295569">
      <w:bodyDiv w:val="1"/>
      <w:marLeft w:val="0"/>
      <w:marRight w:val="0"/>
      <w:marTop w:val="0"/>
      <w:marBottom w:val="0"/>
      <w:divBdr>
        <w:top w:val="none" w:sz="0" w:space="0" w:color="auto"/>
        <w:left w:val="none" w:sz="0" w:space="0" w:color="auto"/>
        <w:bottom w:val="none" w:sz="0" w:space="0" w:color="auto"/>
        <w:right w:val="none" w:sz="0" w:space="0" w:color="auto"/>
      </w:divBdr>
    </w:div>
    <w:div w:id="963079509">
      <w:bodyDiv w:val="1"/>
      <w:marLeft w:val="0"/>
      <w:marRight w:val="0"/>
      <w:marTop w:val="0"/>
      <w:marBottom w:val="0"/>
      <w:divBdr>
        <w:top w:val="none" w:sz="0" w:space="0" w:color="auto"/>
        <w:left w:val="none" w:sz="0" w:space="0" w:color="auto"/>
        <w:bottom w:val="none" w:sz="0" w:space="0" w:color="auto"/>
        <w:right w:val="none" w:sz="0" w:space="0" w:color="auto"/>
      </w:divBdr>
    </w:div>
    <w:div w:id="1003507363">
      <w:bodyDiv w:val="1"/>
      <w:marLeft w:val="0"/>
      <w:marRight w:val="0"/>
      <w:marTop w:val="0"/>
      <w:marBottom w:val="0"/>
      <w:divBdr>
        <w:top w:val="none" w:sz="0" w:space="0" w:color="auto"/>
        <w:left w:val="none" w:sz="0" w:space="0" w:color="auto"/>
        <w:bottom w:val="none" w:sz="0" w:space="0" w:color="auto"/>
        <w:right w:val="none" w:sz="0" w:space="0" w:color="auto"/>
      </w:divBdr>
    </w:div>
    <w:div w:id="1039205501">
      <w:bodyDiv w:val="1"/>
      <w:marLeft w:val="0"/>
      <w:marRight w:val="0"/>
      <w:marTop w:val="0"/>
      <w:marBottom w:val="0"/>
      <w:divBdr>
        <w:top w:val="none" w:sz="0" w:space="0" w:color="auto"/>
        <w:left w:val="none" w:sz="0" w:space="0" w:color="auto"/>
        <w:bottom w:val="none" w:sz="0" w:space="0" w:color="auto"/>
        <w:right w:val="none" w:sz="0" w:space="0" w:color="auto"/>
      </w:divBdr>
    </w:div>
    <w:div w:id="1076124176">
      <w:bodyDiv w:val="1"/>
      <w:marLeft w:val="0"/>
      <w:marRight w:val="0"/>
      <w:marTop w:val="0"/>
      <w:marBottom w:val="0"/>
      <w:divBdr>
        <w:top w:val="none" w:sz="0" w:space="0" w:color="auto"/>
        <w:left w:val="none" w:sz="0" w:space="0" w:color="auto"/>
        <w:bottom w:val="none" w:sz="0" w:space="0" w:color="auto"/>
        <w:right w:val="none" w:sz="0" w:space="0" w:color="auto"/>
      </w:divBdr>
    </w:div>
    <w:div w:id="1105732338">
      <w:bodyDiv w:val="1"/>
      <w:marLeft w:val="0"/>
      <w:marRight w:val="0"/>
      <w:marTop w:val="0"/>
      <w:marBottom w:val="0"/>
      <w:divBdr>
        <w:top w:val="none" w:sz="0" w:space="0" w:color="auto"/>
        <w:left w:val="none" w:sz="0" w:space="0" w:color="auto"/>
        <w:bottom w:val="none" w:sz="0" w:space="0" w:color="auto"/>
        <w:right w:val="none" w:sz="0" w:space="0" w:color="auto"/>
      </w:divBdr>
    </w:div>
    <w:div w:id="1112165418">
      <w:bodyDiv w:val="1"/>
      <w:marLeft w:val="0"/>
      <w:marRight w:val="0"/>
      <w:marTop w:val="0"/>
      <w:marBottom w:val="0"/>
      <w:divBdr>
        <w:top w:val="none" w:sz="0" w:space="0" w:color="auto"/>
        <w:left w:val="none" w:sz="0" w:space="0" w:color="auto"/>
        <w:bottom w:val="none" w:sz="0" w:space="0" w:color="auto"/>
        <w:right w:val="none" w:sz="0" w:space="0" w:color="auto"/>
      </w:divBdr>
    </w:div>
    <w:div w:id="1231381574">
      <w:bodyDiv w:val="1"/>
      <w:marLeft w:val="0"/>
      <w:marRight w:val="0"/>
      <w:marTop w:val="0"/>
      <w:marBottom w:val="0"/>
      <w:divBdr>
        <w:top w:val="none" w:sz="0" w:space="0" w:color="auto"/>
        <w:left w:val="none" w:sz="0" w:space="0" w:color="auto"/>
        <w:bottom w:val="none" w:sz="0" w:space="0" w:color="auto"/>
        <w:right w:val="none" w:sz="0" w:space="0" w:color="auto"/>
      </w:divBdr>
    </w:div>
    <w:div w:id="1236628815">
      <w:bodyDiv w:val="1"/>
      <w:marLeft w:val="0"/>
      <w:marRight w:val="0"/>
      <w:marTop w:val="0"/>
      <w:marBottom w:val="0"/>
      <w:divBdr>
        <w:top w:val="none" w:sz="0" w:space="0" w:color="auto"/>
        <w:left w:val="none" w:sz="0" w:space="0" w:color="auto"/>
        <w:bottom w:val="none" w:sz="0" w:space="0" w:color="auto"/>
        <w:right w:val="none" w:sz="0" w:space="0" w:color="auto"/>
      </w:divBdr>
    </w:div>
    <w:div w:id="1254630808">
      <w:bodyDiv w:val="1"/>
      <w:marLeft w:val="0"/>
      <w:marRight w:val="0"/>
      <w:marTop w:val="0"/>
      <w:marBottom w:val="0"/>
      <w:divBdr>
        <w:top w:val="none" w:sz="0" w:space="0" w:color="auto"/>
        <w:left w:val="none" w:sz="0" w:space="0" w:color="auto"/>
        <w:bottom w:val="none" w:sz="0" w:space="0" w:color="auto"/>
        <w:right w:val="none" w:sz="0" w:space="0" w:color="auto"/>
      </w:divBdr>
    </w:div>
    <w:div w:id="1282493043">
      <w:bodyDiv w:val="1"/>
      <w:marLeft w:val="0"/>
      <w:marRight w:val="0"/>
      <w:marTop w:val="0"/>
      <w:marBottom w:val="0"/>
      <w:divBdr>
        <w:top w:val="none" w:sz="0" w:space="0" w:color="auto"/>
        <w:left w:val="none" w:sz="0" w:space="0" w:color="auto"/>
        <w:bottom w:val="none" w:sz="0" w:space="0" w:color="auto"/>
        <w:right w:val="none" w:sz="0" w:space="0" w:color="auto"/>
      </w:divBdr>
    </w:div>
    <w:div w:id="1298225399">
      <w:bodyDiv w:val="1"/>
      <w:marLeft w:val="0"/>
      <w:marRight w:val="0"/>
      <w:marTop w:val="0"/>
      <w:marBottom w:val="0"/>
      <w:divBdr>
        <w:top w:val="none" w:sz="0" w:space="0" w:color="auto"/>
        <w:left w:val="none" w:sz="0" w:space="0" w:color="auto"/>
        <w:bottom w:val="none" w:sz="0" w:space="0" w:color="auto"/>
        <w:right w:val="none" w:sz="0" w:space="0" w:color="auto"/>
      </w:divBdr>
    </w:div>
    <w:div w:id="1327326070">
      <w:bodyDiv w:val="1"/>
      <w:marLeft w:val="0"/>
      <w:marRight w:val="0"/>
      <w:marTop w:val="0"/>
      <w:marBottom w:val="0"/>
      <w:divBdr>
        <w:top w:val="none" w:sz="0" w:space="0" w:color="auto"/>
        <w:left w:val="none" w:sz="0" w:space="0" w:color="auto"/>
        <w:bottom w:val="none" w:sz="0" w:space="0" w:color="auto"/>
        <w:right w:val="none" w:sz="0" w:space="0" w:color="auto"/>
      </w:divBdr>
    </w:div>
    <w:div w:id="1356690300">
      <w:bodyDiv w:val="1"/>
      <w:marLeft w:val="0"/>
      <w:marRight w:val="0"/>
      <w:marTop w:val="0"/>
      <w:marBottom w:val="0"/>
      <w:divBdr>
        <w:top w:val="none" w:sz="0" w:space="0" w:color="auto"/>
        <w:left w:val="none" w:sz="0" w:space="0" w:color="auto"/>
        <w:bottom w:val="none" w:sz="0" w:space="0" w:color="auto"/>
        <w:right w:val="none" w:sz="0" w:space="0" w:color="auto"/>
      </w:divBdr>
      <w:divsChild>
        <w:div w:id="1991858288">
          <w:marLeft w:val="0"/>
          <w:marRight w:val="0"/>
          <w:marTop w:val="0"/>
          <w:marBottom w:val="0"/>
          <w:divBdr>
            <w:top w:val="none" w:sz="0" w:space="0" w:color="auto"/>
            <w:left w:val="none" w:sz="0" w:space="0" w:color="auto"/>
            <w:bottom w:val="none" w:sz="0" w:space="0" w:color="auto"/>
            <w:right w:val="none" w:sz="0" w:space="0" w:color="auto"/>
          </w:divBdr>
        </w:div>
      </w:divsChild>
    </w:div>
    <w:div w:id="1362439212">
      <w:bodyDiv w:val="1"/>
      <w:marLeft w:val="0"/>
      <w:marRight w:val="0"/>
      <w:marTop w:val="0"/>
      <w:marBottom w:val="0"/>
      <w:divBdr>
        <w:top w:val="none" w:sz="0" w:space="0" w:color="auto"/>
        <w:left w:val="none" w:sz="0" w:space="0" w:color="auto"/>
        <w:bottom w:val="none" w:sz="0" w:space="0" w:color="auto"/>
        <w:right w:val="none" w:sz="0" w:space="0" w:color="auto"/>
      </w:divBdr>
    </w:div>
    <w:div w:id="1375738626">
      <w:bodyDiv w:val="1"/>
      <w:marLeft w:val="0"/>
      <w:marRight w:val="0"/>
      <w:marTop w:val="0"/>
      <w:marBottom w:val="0"/>
      <w:divBdr>
        <w:top w:val="none" w:sz="0" w:space="0" w:color="auto"/>
        <w:left w:val="none" w:sz="0" w:space="0" w:color="auto"/>
        <w:bottom w:val="none" w:sz="0" w:space="0" w:color="auto"/>
        <w:right w:val="none" w:sz="0" w:space="0" w:color="auto"/>
      </w:divBdr>
    </w:div>
    <w:div w:id="1395008810">
      <w:bodyDiv w:val="1"/>
      <w:marLeft w:val="0"/>
      <w:marRight w:val="0"/>
      <w:marTop w:val="0"/>
      <w:marBottom w:val="0"/>
      <w:divBdr>
        <w:top w:val="none" w:sz="0" w:space="0" w:color="auto"/>
        <w:left w:val="none" w:sz="0" w:space="0" w:color="auto"/>
        <w:bottom w:val="none" w:sz="0" w:space="0" w:color="auto"/>
        <w:right w:val="none" w:sz="0" w:space="0" w:color="auto"/>
      </w:divBdr>
    </w:div>
    <w:div w:id="1421830693">
      <w:bodyDiv w:val="1"/>
      <w:marLeft w:val="0"/>
      <w:marRight w:val="0"/>
      <w:marTop w:val="0"/>
      <w:marBottom w:val="0"/>
      <w:divBdr>
        <w:top w:val="none" w:sz="0" w:space="0" w:color="auto"/>
        <w:left w:val="none" w:sz="0" w:space="0" w:color="auto"/>
        <w:bottom w:val="none" w:sz="0" w:space="0" w:color="auto"/>
        <w:right w:val="none" w:sz="0" w:space="0" w:color="auto"/>
      </w:divBdr>
    </w:div>
    <w:div w:id="1489588039">
      <w:bodyDiv w:val="1"/>
      <w:marLeft w:val="0"/>
      <w:marRight w:val="0"/>
      <w:marTop w:val="0"/>
      <w:marBottom w:val="0"/>
      <w:divBdr>
        <w:top w:val="none" w:sz="0" w:space="0" w:color="auto"/>
        <w:left w:val="none" w:sz="0" w:space="0" w:color="auto"/>
        <w:bottom w:val="none" w:sz="0" w:space="0" w:color="auto"/>
        <w:right w:val="none" w:sz="0" w:space="0" w:color="auto"/>
      </w:divBdr>
    </w:div>
    <w:div w:id="1499613935">
      <w:bodyDiv w:val="1"/>
      <w:marLeft w:val="0"/>
      <w:marRight w:val="0"/>
      <w:marTop w:val="0"/>
      <w:marBottom w:val="0"/>
      <w:divBdr>
        <w:top w:val="none" w:sz="0" w:space="0" w:color="auto"/>
        <w:left w:val="none" w:sz="0" w:space="0" w:color="auto"/>
        <w:bottom w:val="none" w:sz="0" w:space="0" w:color="auto"/>
        <w:right w:val="none" w:sz="0" w:space="0" w:color="auto"/>
      </w:divBdr>
    </w:div>
    <w:div w:id="1527257007">
      <w:bodyDiv w:val="1"/>
      <w:marLeft w:val="0"/>
      <w:marRight w:val="0"/>
      <w:marTop w:val="0"/>
      <w:marBottom w:val="0"/>
      <w:divBdr>
        <w:top w:val="none" w:sz="0" w:space="0" w:color="auto"/>
        <w:left w:val="none" w:sz="0" w:space="0" w:color="auto"/>
        <w:bottom w:val="none" w:sz="0" w:space="0" w:color="auto"/>
        <w:right w:val="none" w:sz="0" w:space="0" w:color="auto"/>
      </w:divBdr>
    </w:div>
    <w:div w:id="1528835180">
      <w:bodyDiv w:val="1"/>
      <w:marLeft w:val="0"/>
      <w:marRight w:val="0"/>
      <w:marTop w:val="0"/>
      <w:marBottom w:val="0"/>
      <w:divBdr>
        <w:top w:val="none" w:sz="0" w:space="0" w:color="auto"/>
        <w:left w:val="none" w:sz="0" w:space="0" w:color="auto"/>
        <w:bottom w:val="none" w:sz="0" w:space="0" w:color="auto"/>
        <w:right w:val="none" w:sz="0" w:space="0" w:color="auto"/>
      </w:divBdr>
    </w:div>
    <w:div w:id="1569539164">
      <w:bodyDiv w:val="1"/>
      <w:marLeft w:val="0"/>
      <w:marRight w:val="0"/>
      <w:marTop w:val="0"/>
      <w:marBottom w:val="0"/>
      <w:divBdr>
        <w:top w:val="none" w:sz="0" w:space="0" w:color="auto"/>
        <w:left w:val="none" w:sz="0" w:space="0" w:color="auto"/>
        <w:bottom w:val="none" w:sz="0" w:space="0" w:color="auto"/>
        <w:right w:val="none" w:sz="0" w:space="0" w:color="auto"/>
      </w:divBdr>
    </w:div>
    <w:div w:id="1592397191">
      <w:bodyDiv w:val="1"/>
      <w:marLeft w:val="0"/>
      <w:marRight w:val="0"/>
      <w:marTop w:val="0"/>
      <w:marBottom w:val="0"/>
      <w:divBdr>
        <w:top w:val="none" w:sz="0" w:space="0" w:color="auto"/>
        <w:left w:val="none" w:sz="0" w:space="0" w:color="auto"/>
        <w:bottom w:val="none" w:sz="0" w:space="0" w:color="auto"/>
        <w:right w:val="none" w:sz="0" w:space="0" w:color="auto"/>
      </w:divBdr>
    </w:div>
    <w:div w:id="1595549677">
      <w:bodyDiv w:val="1"/>
      <w:marLeft w:val="0"/>
      <w:marRight w:val="0"/>
      <w:marTop w:val="0"/>
      <w:marBottom w:val="0"/>
      <w:divBdr>
        <w:top w:val="none" w:sz="0" w:space="0" w:color="auto"/>
        <w:left w:val="none" w:sz="0" w:space="0" w:color="auto"/>
        <w:bottom w:val="none" w:sz="0" w:space="0" w:color="auto"/>
        <w:right w:val="none" w:sz="0" w:space="0" w:color="auto"/>
      </w:divBdr>
    </w:div>
    <w:div w:id="1617179927">
      <w:bodyDiv w:val="1"/>
      <w:marLeft w:val="0"/>
      <w:marRight w:val="0"/>
      <w:marTop w:val="0"/>
      <w:marBottom w:val="0"/>
      <w:divBdr>
        <w:top w:val="none" w:sz="0" w:space="0" w:color="auto"/>
        <w:left w:val="none" w:sz="0" w:space="0" w:color="auto"/>
        <w:bottom w:val="none" w:sz="0" w:space="0" w:color="auto"/>
        <w:right w:val="none" w:sz="0" w:space="0" w:color="auto"/>
      </w:divBdr>
    </w:div>
    <w:div w:id="1627272725">
      <w:bodyDiv w:val="1"/>
      <w:marLeft w:val="0"/>
      <w:marRight w:val="0"/>
      <w:marTop w:val="0"/>
      <w:marBottom w:val="0"/>
      <w:divBdr>
        <w:top w:val="none" w:sz="0" w:space="0" w:color="auto"/>
        <w:left w:val="none" w:sz="0" w:space="0" w:color="auto"/>
        <w:bottom w:val="none" w:sz="0" w:space="0" w:color="auto"/>
        <w:right w:val="none" w:sz="0" w:space="0" w:color="auto"/>
      </w:divBdr>
    </w:div>
    <w:div w:id="1662006261">
      <w:bodyDiv w:val="1"/>
      <w:marLeft w:val="0"/>
      <w:marRight w:val="0"/>
      <w:marTop w:val="0"/>
      <w:marBottom w:val="0"/>
      <w:divBdr>
        <w:top w:val="none" w:sz="0" w:space="0" w:color="auto"/>
        <w:left w:val="none" w:sz="0" w:space="0" w:color="auto"/>
        <w:bottom w:val="none" w:sz="0" w:space="0" w:color="auto"/>
        <w:right w:val="none" w:sz="0" w:space="0" w:color="auto"/>
      </w:divBdr>
    </w:div>
    <w:div w:id="1664891248">
      <w:bodyDiv w:val="1"/>
      <w:marLeft w:val="0"/>
      <w:marRight w:val="0"/>
      <w:marTop w:val="0"/>
      <w:marBottom w:val="0"/>
      <w:divBdr>
        <w:top w:val="none" w:sz="0" w:space="0" w:color="auto"/>
        <w:left w:val="none" w:sz="0" w:space="0" w:color="auto"/>
        <w:bottom w:val="none" w:sz="0" w:space="0" w:color="auto"/>
        <w:right w:val="none" w:sz="0" w:space="0" w:color="auto"/>
      </w:divBdr>
    </w:div>
    <w:div w:id="1692684345">
      <w:bodyDiv w:val="1"/>
      <w:marLeft w:val="0"/>
      <w:marRight w:val="0"/>
      <w:marTop w:val="0"/>
      <w:marBottom w:val="0"/>
      <w:divBdr>
        <w:top w:val="none" w:sz="0" w:space="0" w:color="auto"/>
        <w:left w:val="none" w:sz="0" w:space="0" w:color="auto"/>
        <w:bottom w:val="none" w:sz="0" w:space="0" w:color="auto"/>
        <w:right w:val="none" w:sz="0" w:space="0" w:color="auto"/>
      </w:divBdr>
    </w:div>
    <w:div w:id="1701661388">
      <w:bodyDiv w:val="1"/>
      <w:marLeft w:val="0"/>
      <w:marRight w:val="0"/>
      <w:marTop w:val="0"/>
      <w:marBottom w:val="0"/>
      <w:divBdr>
        <w:top w:val="none" w:sz="0" w:space="0" w:color="auto"/>
        <w:left w:val="none" w:sz="0" w:space="0" w:color="auto"/>
        <w:bottom w:val="none" w:sz="0" w:space="0" w:color="auto"/>
        <w:right w:val="none" w:sz="0" w:space="0" w:color="auto"/>
      </w:divBdr>
    </w:div>
    <w:div w:id="1771776266">
      <w:bodyDiv w:val="1"/>
      <w:marLeft w:val="0"/>
      <w:marRight w:val="0"/>
      <w:marTop w:val="0"/>
      <w:marBottom w:val="0"/>
      <w:divBdr>
        <w:top w:val="none" w:sz="0" w:space="0" w:color="auto"/>
        <w:left w:val="none" w:sz="0" w:space="0" w:color="auto"/>
        <w:bottom w:val="none" w:sz="0" w:space="0" w:color="auto"/>
        <w:right w:val="none" w:sz="0" w:space="0" w:color="auto"/>
      </w:divBdr>
    </w:div>
    <w:div w:id="1783305359">
      <w:bodyDiv w:val="1"/>
      <w:marLeft w:val="0"/>
      <w:marRight w:val="0"/>
      <w:marTop w:val="0"/>
      <w:marBottom w:val="0"/>
      <w:divBdr>
        <w:top w:val="none" w:sz="0" w:space="0" w:color="auto"/>
        <w:left w:val="none" w:sz="0" w:space="0" w:color="auto"/>
        <w:bottom w:val="none" w:sz="0" w:space="0" w:color="auto"/>
        <w:right w:val="none" w:sz="0" w:space="0" w:color="auto"/>
      </w:divBdr>
    </w:div>
    <w:div w:id="1790081860">
      <w:bodyDiv w:val="1"/>
      <w:marLeft w:val="0"/>
      <w:marRight w:val="0"/>
      <w:marTop w:val="0"/>
      <w:marBottom w:val="0"/>
      <w:divBdr>
        <w:top w:val="none" w:sz="0" w:space="0" w:color="auto"/>
        <w:left w:val="none" w:sz="0" w:space="0" w:color="auto"/>
        <w:bottom w:val="none" w:sz="0" w:space="0" w:color="auto"/>
        <w:right w:val="none" w:sz="0" w:space="0" w:color="auto"/>
      </w:divBdr>
    </w:div>
    <w:div w:id="1814328797">
      <w:bodyDiv w:val="1"/>
      <w:marLeft w:val="0"/>
      <w:marRight w:val="0"/>
      <w:marTop w:val="0"/>
      <w:marBottom w:val="0"/>
      <w:divBdr>
        <w:top w:val="none" w:sz="0" w:space="0" w:color="auto"/>
        <w:left w:val="none" w:sz="0" w:space="0" w:color="auto"/>
        <w:bottom w:val="none" w:sz="0" w:space="0" w:color="auto"/>
        <w:right w:val="none" w:sz="0" w:space="0" w:color="auto"/>
      </w:divBdr>
      <w:divsChild>
        <w:div w:id="1884512219">
          <w:marLeft w:val="0"/>
          <w:marRight w:val="0"/>
          <w:marTop w:val="0"/>
          <w:marBottom w:val="0"/>
          <w:divBdr>
            <w:top w:val="none" w:sz="0" w:space="0" w:color="auto"/>
            <w:left w:val="none" w:sz="0" w:space="0" w:color="auto"/>
            <w:bottom w:val="none" w:sz="0" w:space="0" w:color="auto"/>
            <w:right w:val="none" w:sz="0" w:space="0" w:color="auto"/>
          </w:divBdr>
        </w:div>
      </w:divsChild>
    </w:div>
    <w:div w:id="1831364171">
      <w:bodyDiv w:val="1"/>
      <w:marLeft w:val="0"/>
      <w:marRight w:val="0"/>
      <w:marTop w:val="0"/>
      <w:marBottom w:val="0"/>
      <w:divBdr>
        <w:top w:val="none" w:sz="0" w:space="0" w:color="auto"/>
        <w:left w:val="none" w:sz="0" w:space="0" w:color="auto"/>
        <w:bottom w:val="none" w:sz="0" w:space="0" w:color="auto"/>
        <w:right w:val="none" w:sz="0" w:space="0" w:color="auto"/>
      </w:divBdr>
    </w:div>
    <w:div w:id="1879394879">
      <w:bodyDiv w:val="1"/>
      <w:marLeft w:val="0"/>
      <w:marRight w:val="0"/>
      <w:marTop w:val="0"/>
      <w:marBottom w:val="0"/>
      <w:divBdr>
        <w:top w:val="none" w:sz="0" w:space="0" w:color="auto"/>
        <w:left w:val="none" w:sz="0" w:space="0" w:color="auto"/>
        <w:bottom w:val="none" w:sz="0" w:space="0" w:color="auto"/>
        <w:right w:val="none" w:sz="0" w:space="0" w:color="auto"/>
      </w:divBdr>
    </w:div>
    <w:div w:id="1895895227">
      <w:bodyDiv w:val="1"/>
      <w:marLeft w:val="0"/>
      <w:marRight w:val="0"/>
      <w:marTop w:val="0"/>
      <w:marBottom w:val="0"/>
      <w:divBdr>
        <w:top w:val="none" w:sz="0" w:space="0" w:color="auto"/>
        <w:left w:val="none" w:sz="0" w:space="0" w:color="auto"/>
        <w:bottom w:val="none" w:sz="0" w:space="0" w:color="auto"/>
        <w:right w:val="none" w:sz="0" w:space="0" w:color="auto"/>
      </w:divBdr>
    </w:div>
    <w:div w:id="1900938190">
      <w:bodyDiv w:val="1"/>
      <w:marLeft w:val="0"/>
      <w:marRight w:val="0"/>
      <w:marTop w:val="0"/>
      <w:marBottom w:val="0"/>
      <w:divBdr>
        <w:top w:val="none" w:sz="0" w:space="0" w:color="auto"/>
        <w:left w:val="none" w:sz="0" w:space="0" w:color="auto"/>
        <w:bottom w:val="none" w:sz="0" w:space="0" w:color="auto"/>
        <w:right w:val="none" w:sz="0" w:space="0" w:color="auto"/>
      </w:divBdr>
    </w:div>
    <w:div w:id="1901404717">
      <w:bodyDiv w:val="1"/>
      <w:marLeft w:val="0"/>
      <w:marRight w:val="0"/>
      <w:marTop w:val="0"/>
      <w:marBottom w:val="0"/>
      <w:divBdr>
        <w:top w:val="none" w:sz="0" w:space="0" w:color="auto"/>
        <w:left w:val="none" w:sz="0" w:space="0" w:color="auto"/>
        <w:bottom w:val="none" w:sz="0" w:space="0" w:color="auto"/>
        <w:right w:val="none" w:sz="0" w:space="0" w:color="auto"/>
      </w:divBdr>
    </w:div>
    <w:div w:id="1922791543">
      <w:bodyDiv w:val="1"/>
      <w:marLeft w:val="0"/>
      <w:marRight w:val="0"/>
      <w:marTop w:val="0"/>
      <w:marBottom w:val="0"/>
      <w:divBdr>
        <w:top w:val="none" w:sz="0" w:space="0" w:color="auto"/>
        <w:left w:val="none" w:sz="0" w:space="0" w:color="auto"/>
        <w:bottom w:val="none" w:sz="0" w:space="0" w:color="auto"/>
        <w:right w:val="none" w:sz="0" w:space="0" w:color="auto"/>
      </w:divBdr>
    </w:div>
    <w:div w:id="1923486722">
      <w:bodyDiv w:val="1"/>
      <w:marLeft w:val="0"/>
      <w:marRight w:val="0"/>
      <w:marTop w:val="0"/>
      <w:marBottom w:val="0"/>
      <w:divBdr>
        <w:top w:val="none" w:sz="0" w:space="0" w:color="auto"/>
        <w:left w:val="none" w:sz="0" w:space="0" w:color="auto"/>
        <w:bottom w:val="none" w:sz="0" w:space="0" w:color="auto"/>
        <w:right w:val="none" w:sz="0" w:space="0" w:color="auto"/>
      </w:divBdr>
    </w:div>
    <w:div w:id="1931503990">
      <w:bodyDiv w:val="1"/>
      <w:marLeft w:val="0"/>
      <w:marRight w:val="0"/>
      <w:marTop w:val="0"/>
      <w:marBottom w:val="0"/>
      <w:divBdr>
        <w:top w:val="none" w:sz="0" w:space="0" w:color="auto"/>
        <w:left w:val="none" w:sz="0" w:space="0" w:color="auto"/>
        <w:bottom w:val="none" w:sz="0" w:space="0" w:color="auto"/>
        <w:right w:val="none" w:sz="0" w:space="0" w:color="auto"/>
      </w:divBdr>
    </w:div>
    <w:div w:id="1958877341">
      <w:bodyDiv w:val="1"/>
      <w:marLeft w:val="0"/>
      <w:marRight w:val="0"/>
      <w:marTop w:val="0"/>
      <w:marBottom w:val="0"/>
      <w:divBdr>
        <w:top w:val="none" w:sz="0" w:space="0" w:color="auto"/>
        <w:left w:val="none" w:sz="0" w:space="0" w:color="auto"/>
        <w:bottom w:val="none" w:sz="0" w:space="0" w:color="auto"/>
        <w:right w:val="none" w:sz="0" w:space="0" w:color="auto"/>
      </w:divBdr>
    </w:div>
    <w:div w:id="1984043899">
      <w:bodyDiv w:val="1"/>
      <w:marLeft w:val="0"/>
      <w:marRight w:val="0"/>
      <w:marTop w:val="0"/>
      <w:marBottom w:val="0"/>
      <w:divBdr>
        <w:top w:val="none" w:sz="0" w:space="0" w:color="auto"/>
        <w:left w:val="none" w:sz="0" w:space="0" w:color="auto"/>
        <w:bottom w:val="none" w:sz="0" w:space="0" w:color="auto"/>
        <w:right w:val="none" w:sz="0" w:space="0" w:color="auto"/>
      </w:divBdr>
    </w:div>
    <w:div w:id="1990090732">
      <w:bodyDiv w:val="1"/>
      <w:marLeft w:val="0"/>
      <w:marRight w:val="0"/>
      <w:marTop w:val="0"/>
      <w:marBottom w:val="0"/>
      <w:divBdr>
        <w:top w:val="none" w:sz="0" w:space="0" w:color="auto"/>
        <w:left w:val="none" w:sz="0" w:space="0" w:color="auto"/>
        <w:bottom w:val="none" w:sz="0" w:space="0" w:color="auto"/>
        <w:right w:val="none" w:sz="0" w:space="0" w:color="auto"/>
      </w:divBdr>
    </w:div>
    <w:div w:id="207076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Users\salihaergun\Downloads\buy_deg_tablolar%20(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663342615976441E-2"/>
          <c:y val="4.1997354497354498E-2"/>
          <c:w val="0.91265290118616127"/>
          <c:h val="0.7164814814814815"/>
        </c:manualLayout>
      </c:layout>
      <c:barChart>
        <c:barDir val="col"/>
        <c:grouping val="clustered"/>
        <c:varyColors val="0"/>
        <c:ser>
          <c:idx val="0"/>
          <c:order val="0"/>
          <c:tx>
            <c:strRef>
              <c:f>'2026Q1'!$E$34</c:f>
              <c:strCache>
                <c:ptCount val="1"/>
                <c:pt idx="0">
                  <c:v>Annual change</c:v>
                </c:pt>
              </c:strCache>
            </c:strRef>
          </c:tx>
          <c:spPr>
            <a:solidFill>
              <a:schemeClr val="accent1"/>
            </a:solidFill>
            <a:ln>
              <a:noFill/>
            </a:ln>
            <a:effectLst/>
          </c:spPr>
          <c:invertIfNegative val="0"/>
          <c:dLbls>
            <c:dLbl>
              <c:idx val="25"/>
              <c:layout>
                <c:manualLayout>
                  <c:x val="-5.0488281609470415E-2"/>
                  <c:y val="-6.490500240500241E-2"/>
                </c:manualLayout>
              </c:layout>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solidFill>
                      <a:latin typeface="+mn-lt"/>
                      <a:ea typeface="+mn-ea"/>
                      <a:cs typeface="+mn-cs"/>
                    </a:defRPr>
                  </a:pPr>
                  <a:endParaRPr lang="en-US"/>
                </a:p>
              </c:txP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C33A-2D48-9B6E-764FFEEB72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'2026Q1'!$A$54:$A$79</c:f>
              <c:strCache>
                <c:ptCount val="26"/>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strCache>
            </c:strRef>
          </c:cat>
          <c:val>
            <c:numRef>
              <c:f>'2026Q1'!$E$54:$E$79</c:f>
              <c:numCache>
                <c:formatCode>0.0</c:formatCode>
                <c:ptCount val="26"/>
                <c:pt idx="0">
                  <c:v>6.1542523091220325</c:v>
                </c:pt>
                <c:pt idx="1">
                  <c:v>4.2797572789965654</c:v>
                </c:pt>
                <c:pt idx="2">
                  <c:v>-10.175316414427183</c:v>
                </c:pt>
                <c:pt idx="3">
                  <c:v>6.4111192617388513</c:v>
                </c:pt>
                <c:pt idx="4">
                  <c:v>6.0196232043504327</c:v>
                </c:pt>
                <c:pt idx="5">
                  <c:v>7.964352141198372</c:v>
                </c:pt>
                <c:pt idx="6">
                  <c:v>22.39034185348001</c:v>
                </c:pt>
                <c:pt idx="7">
                  <c:v>8.1745751047599171</c:v>
                </c:pt>
                <c:pt idx="8">
                  <c:v>10.416045724310873</c:v>
                </c:pt>
                <c:pt idx="9">
                  <c:v>7.8205187171919599</c:v>
                </c:pt>
                <c:pt idx="10">
                  <c:v>7.5515681058191841</c:v>
                </c:pt>
                <c:pt idx="11">
                  <c:v>4.1273193217609805</c:v>
                </c:pt>
                <c:pt idx="12">
                  <c:v>3.0745459987924439</c:v>
                </c:pt>
                <c:pt idx="13">
                  <c:v>3.9602884674929673</c:v>
                </c:pt>
                <c:pt idx="14">
                  <c:v>4.6011817170339198</c:v>
                </c:pt>
                <c:pt idx="15">
                  <c:v>6.5002265430257555</c:v>
                </c:pt>
                <c:pt idx="16">
                  <c:v>4.9092433870538299</c:v>
                </c:pt>
                <c:pt idx="17">
                  <c:v>5.2657779910560532</c:v>
                </c:pt>
                <c:pt idx="18">
                  <c:v>2.250041555590987</c:v>
                </c:pt>
                <c:pt idx="19">
                  <c:v>2.8231225188739995</c:v>
                </c:pt>
                <c:pt idx="20">
                  <c:v>3.2003063139374621</c:v>
                </c:pt>
                <c:pt idx="21">
                  <c:v>2.4538221928084747</c:v>
                </c:pt>
                <c:pt idx="22">
                  <c:v>4.6533415987904503</c:v>
                </c:pt>
                <c:pt idx="23">
                  <c:v>3.8329950428036996</c:v>
                </c:pt>
                <c:pt idx="24">
                  <c:v>3.4207116593593767</c:v>
                </c:pt>
                <c:pt idx="25">
                  <c:v>2.4763302472630588</c:v>
                </c:pt>
              </c:numCache>
            </c:numRef>
          </c:val>
          <c:extLst>
            <c:ext xmlns:c16="http://schemas.microsoft.com/office/drawing/2014/chart" uri="{C3380CC4-5D6E-409C-BE32-E72D297353CC}">
              <c16:uniqueId val="{00000001-C33A-2D48-9B6E-764FFEEB72B6}"/>
            </c:ext>
          </c:extLst>
        </c:ser>
        <c:dLbls>
          <c:showLegendKey val="0"/>
          <c:showVal val="0"/>
          <c:showCatName val="0"/>
          <c:showSerName val="0"/>
          <c:showPercent val="0"/>
          <c:showBubbleSize val="0"/>
        </c:dLbls>
        <c:gapWidth val="75"/>
        <c:overlap val="-25"/>
        <c:axId val="234885504"/>
        <c:axId val="234887040"/>
      </c:barChart>
      <c:lineChart>
        <c:grouping val="standard"/>
        <c:varyColors val="0"/>
        <c:ser>
          <c:idx val="1"/>
          <c:order val="1"/>
          <c:tx>
            <c:strRef>
              <c:f>'2026Q1'!$F$34</c:f>
              <c:strCache>
                <c:ptCount val="1"/>
                <c:pt idx="0">
                  <c:v>Quarterly change</c:v>
                </c:pt>
              </c:strCache>
            </c:strRef>
          </c:tx>
          <c:spPr>
            <a:ln w="25400" cap="rnd">
              <a:solidFill>
                <a:schemeClr val="tx1"/>
              </a:solidFill>
              <a:round/>
            </a:ln>
            <a:effectLst/>
          </c:spPr>
          <c:marker>
            <c:symbol val="none"/>
          </c:marker>
          <c:dLbls>
            <c:dLbl>
              <c:idx val="25"/>
              <c:layout>
                <c:manualLayout>
                  <c:x val="-3.1788918050407303E-2"/>
                  <c:y val="9.9266474266474197E-2"/>
                </c:manualLayout>
              </c:layout>
              <c:spPr>
                <a:noFill/>
                <a:ln>
                  <a:solidFill>
                    <a:schemeClr val="accent6">
                      <a:lumMod val="50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C33A-2D48-9B6E-764FFEEB72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'2026Q1'!$A$54:$A$79</c:f>
              <c:strCache>
                <c:ptCount val="26"/>
                <c:pt idx="0">
                  <c:v>2019Q4</c:v>
                </c:pt>
                <c:pt idx="1">
                  <c:v>2020Q1</c:v>
                </c:pt>
                <c:pt idx="2">
                  <c:v>2020Q2</c:v>
                </c:pt>
                <c:pt idx="3">
                  <c:v>2020Q3</c:v>
                </c:pt>
                <c:pt idx="4">
                  <c:v>2020Q4</c:v>
                </c:pt>
                <c:pt idx="5">
                  <c:v>2021Q1</c:v>
                </c:pt>
                <c:pt idx="6">
                  <c:v>2021Q2</c:v>
                </c:pt>
                <c:pt idx="7">
                  <c:v>2021Q3</c:v>
                </c:pt>
                <c:pt idx="8">
                  <c:v>2021Q4</c:v>
                </c:pt>
                <c:pt idx="9">
                  <c:v>2022Q1</c:v>
                </c:pt>
                <c:pt idx="10">
                  <c:v>2022Q2</c:v>
                </c:pt>
                <c:pt idx="11">
                  <c:v>2022Q3</c:v>
                </c:pt>
                <c:pt idx="12">
                  <c:v>2022Q4</c:v>
                </c:pt>
                <c:pt idx="13">
                  <c:v>2023Q1</c:v>
                </c:pt>
                <c:pt idx="14">
                  <c:v>2023Q2</c:v>
                </c:pt>
                <c:pt idx="15">
                  <c:v>2023Q3</c:v>
                </c:pt>
                <c:pt idx="16">
                  <c:v>2023Q4</c:v>
                </c:pt>
                <c:pt idx="17">
                  <c:v>2024Q1</c:v>
                </c:pt>
                <c:pt idx="18">
                  <c:v>2024Q2</c:v>
                </c:pt>
                <c:pt idx="19">
                  <c:v>2024Q3</c:v>
                </c:pt>
                <c:pt idx="20">
                  <c:v>2024Q4</c:v>
                </c:pt>
                <c:pt idx="21">
                  <c:v>2025Q1</c:v>
                </c:pt>
                <c:pt idx="22">
                  <c:v>2025Q2</c:v>
                </c:pt>
                <c:pt idx="23">
                  <c:v>2025Q3</c:v>
                </c:pt>
                <c:pt idx="24">
                  <c:v>2025Q4</c:v>
                </c:pt>
                <c:pt idx="25">
                  <c:v>2026Q1</c:v>
                </c:pt>
              </c:strCache>
            </c:strRef>
          </c:cat>
          <c:val>
            <c:numRef>
              <c:f>'2026Q1'!$F$54:$F$79</c:f>
              <c:numCache>
                <c:formatCode>0.0</c:formatCode>
                <c:ptCount val="26"/>
                <c:pt idx="0">
                  <c:v>1.5625911417347815</c:v>
                </c:pt>
                <c:pt idx="1">
                  <c:v>0.35286258974236429</c:v>
                </c:pt>
                <c:pt idx="2">
                  <c:v>-10.380578678922669</c:v>
                </c:pt>
                <c:pt idx="3">
                  <c:v>15.675092418965519</c:v>
                </c:pt>
                <c:pt idx="4">
                  <c:v>1.268656260331924</c:v>
                </c:pt>
                <c:pt idx="5">
                  <c:v>2.6806047492270446</c:v>
                </c:pt>
                <c:pt idx="6">
                  <c:v>1.602507988647206</c:v>
                </c:pt>
                <c:pt idx="7">
                  <c:v>3.510023365435555</c:v>
                </c:pt>
                <c:pt idx="8">
                  <c:v>1.8347026354190721</c:v>
                </c:pt>
                <c:pt idx="9">
                  <c:v>-0.29435935945170133</c:v>
                </c:pt>
                <c:pt idx="10">
                  <c:v>1.6802493732398727</c:v>
                </c:pt>
                <c:pt idx="11">
                  <c:v>0.90209803946115219</c:v>
                </c:pt>
                <c:pt idx="12">
                  <c:v>0.97180644314180942</c:v>
                </c:pt>
                <c:pt idx="13">
                  <c:v>-0.77925124669850909</c:v>
                </c:pt>
                <c:pt idx="14">
                  <c:v>4.7484332091224157</c:v>
                </c:pt>
                <c:pt idx="15">
                  <c:v>0.77907908929997216</c:v>
                </c:pt>
                <c:pt idx="16">
                  <c:v>0.67017455973632512</c:v>
                </c:pt>
                <c:pt idx="17">
                  <c:v>0.85046440037492843</c:v>
                </c:pt>
                <c:pt idx="18">
                  <c:v>-0.12372870155209492</c:v>
                </c:pt>
                <c:pt idx="19">
                  <c:v>0.63082434345438365</c:v>
                </c:pt>
                <c:pt idx="20">
                  <c:v>1.3148071365124414</c:v>
                </c:pt>
                <c:pt idx="21">
                  <c:v>0.73742798875002791</c:v>
                </c:pt>
                <c:pt idx="22">
                  <c:v>1.2926166737164957</c:v>
                </c:pt>
                <c:pt idx="23">
                  <c:v>0.99917298118701314</c:v>
                </c:pt>
                <c:pt idx="24">
                  <c:v>0.38393606930828827</c:v>
                </c:pt>
                <c:pt idx="25">
                  <c:v>0.13130447100755394</c:v>
                </c:pt>
              </c:numCache>
            </c:numRef>
          </c:val>
          <c:smooth val="0"/>
          <c:extLst>
            <c:ext xmlns:c16="http://schemas.microsoft.com/office/drawing/2014/chart" uri="{C3380CC4-5D6E-409C-BE32-E72D297353CC}">
              <c16:uniqueId val="{00000003-C33A-2D48-9B6E-764FFEEB72B6}"/>
            </c:ext>
          </c:extLst>
        </c:ser>
        <c:dLbls>
          <c:showLegendKey val="0"/>
          <c:showVal val="0"/>
          <c:showCatName val="0"/>
          <c:showSerName val="0"/>
          <c:showPercent val="0"/>
          <c:showBubbleSize val="0"/>
        </c:dLbls>
        <c:marker val="1"/>
        <c:smooth val="0"/>
        <c:axId val="234885504"/>
        <c:axId val="234887040"/>
      </c:lineChart>
      <c:catAx>
        <c:axId val="23488550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4887040"/>
        <c:crosses val="autoZero"/>
        <c:auto val="1"/>
        <c:lblAlgn val="ctr"/>
        <c:lblOffset val="100"/>
        <c:noMultiLvlLbl val="0"/>
      </c:catAx>
      <c:valAx>
        <c:axId val="23488704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4885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192CDA151078BE4DB52CE2A0BF05C16B" ma:contentTypeVersion="16" ma:contentTypeDescription="Yeni belge oluşturun." ma:contentTypeScope="" ma:versionID="2464b6872367c00d340570baff9db5d5">
  <xsd:schema xmlns:xsd="http://www.w3.org/2001/XMLSchema" xmlns:xs="http://www.w3.org/2001/XMLSchema" xmlns:p="http://schemas.microsoft.com/office/2006/metadata/properties" xmlns:ns1="http://schemas.microsoft.com/sharepoint/v3" xmlns:ns3="6a91392b-4aab-4a5a-8abc-e018e4ed1710" xmlns:ns4="a948c1a1-7427-4f82-bcc1-319815582633" targetNamespace="http://schemas.microsoft.com/office/2006/metadata/properties" ma:root="true" ma:fieldsID="e643b129f10375a8b0d74e30ffdaf847" ns1:_="" ns3:_="" ns4:_="">
    <xsd:import namespace="http://schemas.microsoft.com/sharepoint/v3"/>
    <xsd:import namespace="6a91392b-4aab-4a5a-8abc-e018e4ed1710"/>
    <xsd:import namespace="a948c1a1-7427-4f82-bcc1-31981558263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irleşik Uygunluk İlkesi Özellikleri" ma:hidden="true" ma:internalName="_ip_UnifiedCompliancePolicyProperties">
      <xsd:simpleType>
        <xsd:restriction base="dms:Note"/>
      </xsd:simpleType>
    </xsd:element>
    <xsd:element name="_ip_UnifiedCompliancePolicyUIAction" ma:index="23" nillable="true" ma:displayName="Birleşik Uygunluk İlkesi UI Eylem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91392b-4aab-4a5a-8abc-e018e4ed1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48c1a1-7427-4f82-bcc1-319815582633" elementFormDefault="qualified">
    <xsd:import namespace="http://schemas.microsoft.com/office/2006/documentManagement/types"/>
    <xsd:import namespace="http://schemas.microsoft.com/office/infopath/2007/PartnerControls"/>
    <xsd:element name="SharedWithUsers" ma:index="10"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Ayrıntıları ile Paylaşıldı" ma:internalName="SharedWithDetails" ma:readOnly="true">
      <xsd:simpleType>
        <xsd:restriction base="dms:Note">
          <xsd:maxLength value="255"/>
        </xsd:restriction>
      </xsd:simpleType>
    </xsd:element>
    <xsd:element name="SharingHintHash" ma:index="12"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19B37-448A-4262-8F52-E69973EE8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91392b-4aab-4a5a-8abc-e018e4ed1710"/>
    <ds:schemaRef ds:uri="a948c1a1-7427-4f82-bcc1-319815582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DE6B34-8021-417E-B0C1-9AA53BB6F04C}">
  <ds:schemaRefs>
    <ds:schemaRef ds:uri="http://schemas.openxmlformats.org/officeDocument/2006/bibliography"/>
  </ds:schemaRefs>
</ds:datastoreItem>
</file>

<file path=customXml/itemProps3.xml><?xml version="1.0" encoding="utf-8"?>
<ds:datastoreItem xmlns:ds="http://schemas.openxmlformats.org/officeDocument/2006/customXml" ds:itemID="{B13C4E5F-EF7F-4EBF-974F-0DFE5C48456B}">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37626F8-431B-4CF4-A81B-FBECE9A7C9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1110</Words>
  <Characters>6329</Characters>
  <Application>Microsoft Office Word</Application>
  <DocSecurity>0</DocSecurity>
  <Lines>52</Lines>
  <Paragraphs>14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Ozan BAKIS</dc:creator>
  <cp:lastModifiedBy>Saliha TANRIVERDI</cp:lastModifiedBy>
  <cp:revision>8</cp:revision>
  <cp:lastPrinted>2025-06-04T21:46:00Z</cp:lastPrinted>
  <dcterms:created xsi:type="dcterms:W3CDTF">2026-07-19T09:09:00Z</dcterms:created>
  <dcterms:modified xsi:type="dcterms:W3CDTF">2026-10-13T12:23:00Z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0x010100192CDA151078BE4DB52CE2A0BF05C16B</vt:lpwstr>
  </property>
  <property fmtid="{D5CDD505-2E9C-101B-9397-08002B2CF9AE}" pid="3" name="GrammarlyDocumentId">
    <vt:lpwstr>05ff900d17ec4dc20a9e3178f868bd795b7c805421972546187020e574589791</vt:lpwstr>
  </property>
</Properties>
</file>