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45BEF" w14:textId="55C4350A" w:rsidR="00D07713" w:rsidRPr="00CC0355" w:rsidRDefault="00245B1A">
      <w:pPr>
        <w:rPr>
          <w:rFonts w:ascii="Palatino Linotype" w:hAnsi="Palatino Linotype" w:cstheme="minorHAnsi"/>
        </w:rPr>
      </w:pPr>
      <w:r>
        <w:rPr>
          <w:rFonts w:ascii="Palatino Linotype" w:hAnsi="Palatino Linotype" w:cstheme="minorHAnsi"/>
          <w:noProof/>
          <w:lang w:val="en-GB" w:eastAsia="en-GB"/>
        </w:rPr>
        <mc:AlternateContent>
          <mc:Choice Requires="wps">
            <w:drawing>
              <wp:anchor distT="0" distB="0" distL="114935" distR="114935" simplePos="0" relativeHeight="251658241" behindDoc="0" locked="0" layoutInCell="1" allowOverlap="1" wp14:anchorId="1A71AF94" wp14:editId="5995FB28">
                <wp:simplePos x="0" y="0"/>
                <wp:positionH relativeFrom="column">
                  <wp:posOffset>1797013</wp:posOffset>
                </wp:positionH>
                <wp:positionV relativeFrom="paragraph">
                  <wp:posOffset>-294603</wp:posOffset>
                </wp:positionV>
                <wp:extent cx="3819525" cy="6477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647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AA76D" w14:textId="77777777" w:rsidR="00D07713" w:rsidRDefault="00D07713" w:rsidP="00D07713">
                            <w:pPr>
                              <w:pStyle w:val="Balk1"/>
                              <w:rPr>
                                <w:rFonts w:ascii="Times New Roman" w:hAnsi="Times New Roman" w:cs="Times New Roman"/>
                                <w:sz w:val="40"/>
                                <w:szCs w:val="40"/>
                              </w:rPr>
                            </w:pPr>
                            <w:r>
                              <w:rPr>
                                <w:rFonts w:ascii="Times New Roman" w:hAnsi="Times New Roman" w:cs="Times New Roman"/>
                                <w:sz w:val="40"/>
                                <w:szCs w:val="40"/>
                              </w:rPr>
                              <w:t>Büyüme Değerlendirmesi:</w:t>
                            </w:r>
                          </w:p>
                          <w:p w14:paraId="28E5CBD4" w14:textId="5F7D9905" w:rsidR="00D07713" w:rsidRPr="00526178" w:rsidRDefault="001537D8" w:rsidP="00D07713">
                            <w:pPr>
                              <w:pStyle w:val="Balk1"/>
                              <w:rPr>
                                <w:b w:val="0"/>
                                <w:bCs w:val="0"/>
                                <w:i/>
                                <w:iCs/>
                              </w:rPr>
                            </w:pPr>
                            <w:r>
                              <w:rPr>
                                <w:rFonts w:ascii="Times New Roman" w:hAnsi="Times New Roman" w:cs="Times New Roman"/>
                                <w:sz w:val="40"/>
                                <w:szCs w:val="40"/>
                              </w:rPr>
                              <w:t>2026 2. Çeyrek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1AF94" id="_x0000_t202" coordsize="21600,21600" o:spt="202" path="m,l,21600r21600,l21600,xe">
                <v:stroke joinstyle="miter"/>
                <v:path gradientshapeok="t" o:connecttype="rect"/>
              </v:shapetype>
              <v:shape id="Text Box 2" o:spid="_x0000_s1026" type="#_x0000_t202" style="position:absolute;margin-left:141.5pt;margin-top:-23.2pt;width:300.75pt;height:51pt;z-index:25165824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" stroked="f">
                <v:fill opacity="0"/>
                <v:textbox inset="0,0,0,0">
                  <w:txbxContent>
                    <w:p w14:paraId="37AAA76D" w14:textId="77777777" w:rsidR="00D07713" w:rsidRDefault="00D07713" w:rsidP="00D07713">
                      <w:pPr>
                        <w:pStyle w:val="Balk1"/>
                        <w:rPr>
                          <w:rFonts w:ascii="Times New Roman" w:hAnsi="Times New Roman" w:cs="Times New Roman"/>
                          <w:sz w:val="40"/>
                          <w:szCs w:val="40"/>
                        </w:rPr>
                      </w:pPr>
                      <w:r>
                        <w:rPr>
                          <w:rFonts w:ascii="Times New Roman" w:hAnsi="Times New Roman" w:cs="Times New Roman"/>
                          <w:sz w:val="40"/>
                          <w:szCs w:val="40"/>
                        </w:rPr>
                        <w:t>Büyüme Değerlendirmesi:</w:t>
                      </w:r>
                    </w:p>
                    <w:p w14:paraId="28E5CBD4" w14:textId="5F7D9905" w:rsidR="00D07713" w:rsidRPr="00526178" w:rsidRDefault="001537D8" w:rsidP="00D07713">
                      <w:pPr>
                        <w:pStyle w:val="Balk1"/>
                        <w:rPr>
                          <w:b w:val="0"/>
                          <w:bCs w:val="0"/>
                          <w:i/>
                          <w:iCs/>
                        </w:rPr>
                      </w:pPr>
                      <w:r>
                        <w:rPr>
                          <w:rFonts w:ascii="Times New Roman" w:hAnsi="Times New Roman" w:cs="Times New Roman"/>
                          <w:sz w:val="40"/>
                          <w:szCs w:val="40"/>
                        </w:rPr>
                        <w:t>2026 2. Çeyrek</w:t>
                      </w:r>
                    </w:p>
                  </w:txbxContent>
                </v:textbox>
              </v:shape>
            </w:pict>
          </mc:Fallback>
        </mc:AlternateContent>
      </w:r>
      <w:r>
        <w:rPr>
          <w:noProof/>
          <w:lang w:val="en-GB" w:eastAsia="en-GB"/>
        </w:rPr>
        <w:drawing>
          <wp:anchor distT="0" distB="0" distL="114300" distR="114300" simplePos="0" relativeHeight="251659266" behindDoc="1" locked="0" layoutInCell="1" allowOverlap="1" wp14:anchorId="75ACD14E" wp14:editId="4A4A50EA">
            <wp:simplePos x="0" y="0"/>
            <wp:positionH relativeFrom="column">
              <wp:posOffset>-658495</wp:posOffset>
            </wp:positionH>
            <wp:positionV relativeFrom="paragraph">
              <wp:posOffset>-685388</wp:posOffset>
            </wp:positionV>
            <wp:extent cx="7141135" cy="1674312"/>
            <wp:effectExtent l="12700" t="12700" r="9525" b="15240"/>
            <wp:wrapNone/>
            <wp:docPr id="1597556025" name="Resim 1" descr="A close-up of a rainbow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56025" name="Resim 1" descr="A close-up of a rainbow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68453" cy="170416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A2A657A" w14:textId="5BF14AB3" w:rsidR="00D07713" w:rsidRDefault="00D07713" w:rsidP="009E4A1F">
      <w:pPr>
        <w:spacing w:line="288" w:lineRule="auto"/>
        <w:ind w:right="-319"/>
        <w:outlineLvl w:val="0"/>
        <w:rPr>
          <w:rFonts w:ascii="Palatino Linotype" w:hAnsi="Palatino Linotype" w:cstheme="minorHAnsi"/>
        </w:rPr>
      </w:pPr>
    </w:p>
    <w:p w14:paraId="48D1A525" w14:textId="05487E48" w:rsidR="009E4A1F" w:rsidRPr="00245B1A" w:rsidRDefault="009E4A1F" w:rsidP="009E4A1F">
      <w:pPr>
        <w:spacing w:line="288" w:lineRule="auto"/>
        <w:ind w:right="-319"/>
        <w:outlineLvl w:val="0"/>
        <w:rPr>
          <w:rFonts w:ascii="Palatino Linotype" w:hAnsi="Palatino Linotype" w:cstheme="minorHAnsi"/>
          <w:b/>
          <w:bCs/>
          <w:sz w:val="28"/>
          <w:szCs w:val="28"/>
        </w:rPr>
      </w:pPr>
    </w:p>
    <w:p w14:paraId="6ED00D96" w14:textId="1C87C430" w:rsidR="00245B1A" w:rsidRDefault="00245B1A" w:rsidP="0002466A">
      <w:pPr>
        <w:spacing w:line="288" w:lineRule="auto"/>
        <w:ind w:right="-319"/>
        <w:jc w:val="center"/>
        <w:outlineLvl w:val="0"/>
        <w:rPr>
          <w:rFonts w:ascii="Palatino Linotype" w:hAnsi="Palatino Linotype" w:cstheme="minorHAnsi"/>
          <w:b/>
          <w:bCs/>
          <w:sz w:val="28"/>
          <w:szCs w:val="28"/>
        </w:rPr>
      </w:pPr>
      <w:r>
        <w:rPr>
          <w:noProof/>
          <w:lang w:val="en-GB" w:eastAsia="en-GB"/>
        </w:rPr>
        <mc:AlternateContent>
          <mc:Choice Requires="wps">
            <w:drawing>
              <wp:anchor distT="0" distB="0" distL="114935" distR="114935" simplePos="0" relativeHeight="251661314" behindDoc="0" locked="0" layoutInCell="1" allowOverlap="1" wp14:anchorId="445C63A7" wp14:editId="4A18F059">
                <wp:simplePos x="0" y="0"/>
                <wp:positionH relativeFrom="margin">
                  <wp:posOffset>5143500</wp:posOffset>
                </wp:positionH>
                <wp:positionV relativeFrom="page">
                  <wp:posOffset>1678329</wp:posOffset>
                </wp:positionV>
                <wp:extent cx="1224706" cy="216000"/>
                <wp:effectExtent l="0" t="0" r="0" b="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24706" cy="216000"/>
                        </a:xfrm>
                        <a:prstGeom prst="rect">
                          <a:avLst/>
                        </a:prstGeom>
                        <a:solidFill>
                          <a:srgbClr val="FFFFFF">
                            <a:alpha val="0"/>
                          </a:srgbClr>
                        </a:solidFill>
                        <a:ln>
                          <a:noFill/>
                        </a:ln>
                      </wps:spPr>
                      <wps:txbx>
                        <w:txbxContent>
                          <w:p w14:paraId="7C2CA3C4" w14:textId="3B0953D9" w:rsidR="00245B1A" w:rsidRPr="00F458F8" w:rsidRDefault="005B19D9" w:rsidP="00245B1A">
                            <w:pPr>
                              <w:jc w:val="center"/>
                              <w:rPr>
                                <w:b/>
                                <w:bCs/>
                                <w:color w:val="FFFFFF" w:themeColor="background1"/>
                              </w:rPr>
                            </w:pPr>
                            <w:r>
                              <w:rPr>
                                <w:b/>
                                <w:bCs/>
                                <w:color w:val="FFFFFF" w:themeColor="background1"/>
                              </w:rPr>
                              <w:t>4 Eylül 2026</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C63A7" id="Metin Kutusu 18" o:spid="_x0000_s1027" type="#_x0000_t202" style="position:absolute;left:0;text-align:left;margin-left:405pt;margin-top:132.15pt;width:96.45pt;height:17pt;flip:y;z-index:251661314;visibility:visible;mso-wrap-style:square;mso-width-percent:0;mso-height-percent:0;mso-wrap-distance-left:9.05pt;mso-wrap-distance-top:0;mso-wrap-distance-right:9.0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" stroked="f">
                <v:fill opacity="0"/>
                <v:textbox inset="0,0,0,0">
                  <w:txbxContent>
                    <w:p w14:paraId="7C2CA3C4" w14:textId="3B0953D9" w:rsidR="00245B1A" w:rsidRPr="00F458F8" w:rsidRDefault="005B19D9" w:rsidP="00245B1A">
                      <w:pPr>
                        <w:jc w:val="center"/>
                        <w:rPr>
                          <w:b/>
                          <w:bCs/>
                          <w:color w:val="FFFFFF" w:themeColor="background1"/>
                        </w:rPr>
                      </w:pPr>
                      <w:r>
                        <w:rPr>
                          <w:b/>
                          <w:bCs/>
                          <w:color w:val="FFFFFF" w:themeColor="background1"/>
                        </w:rPr>
                        <w:t>4 Eylül 2026</w:t>
                      </w:r>
                    </w:p>
                  </w:txbxContent>
                </v:textbox>
                <w10:wrap anchorx="margin" anchory="page"/>
              </v:shape>
            </w:pict>
          </mc:Fallback>
        </mc:AlternateContent>
      </w:r>
      <w:r>
        <w:rPr>
          <w:rFonts w:ascii="Palatino Linotype" w:hAnsi="Palatino Linotype" w:cstheme="minorHAnsi"/>
          <w:b/>
          <w:bCs/>
          <w:sz w:val="28"/>
          <w:szCs w:val="28"/>
        </w:rPr>
        <w:t xml:space="preserve"> </w:t>
      </w:r>
    </w:p>
    <w:p w14:paraId="05B02CBB" w14:textId="2D2E617D" w:rsidR="00245B1A" w:rsidRDefault="00245B1A" w:rsidP="0002466A">
      <w:pPr>
        <w:spacing w:line="288" w:lineRule="auto"/>
        <w:ind w:right="-319"/>
        <w:jc w:val="center"/>
        <w:outlineLvl w:val="0"/>
        <w:rPr>
          <w:rFonts w:ascii="Palatino Linotype" w:hAnsi="Palatino Linotype" w:cstheme="minorHAnsi"/>
          <w:b/>
          <w:bCs/>
          <w:sz w:val="28"/>
          <w:szCs w:val="28"/>
        </w:rPr>
      </w:pPr>
    </w:p>
    <w:p w14:paraId="161E7805" w14:textId="2506128E" w:rsidR="00EA6DD4" w:rsidRDefault="00EA6DD4" w:rsidP="004623F2">
      <w:pPr>
        <w:spacing w:line="288" w:lineRule="auto"/>
        <w:ind w:right="-319"/>
        <w:jc w:val="center"/>
        <w:outlineLvl w:val="0"/>
        <w:rPr>
          <w:rFonts w:ascii="Palatino Linotype" w:hAnsi="Palatino Linotype" w:cstheme="minorHAnsi"/>
          <w:b/>
          <w:bCs/>
          <w:sz w:val="22"/>
          <w:szCs w:val="22"/>
        </w:rPr>
      </w:pPr>
      <w:r>
        <w:rPr>
          <w:rFonts w:ascii="Palatino Linotype" w:hAnsi="Palatino Linotype" w:cstheme="minorHAnsi"/>
          <w:b/>
          <w:bCs/>
          <w:sz w:val="22"/>
          <w:szCs w:val="22"/>
        </w:rPr>
        <w:t>BÜYÜME İKİNCİ ÇEYREKTE YAVAŞLADI</w:t>
      </w:r>
    </w:p>
    <w:p w14:paraId="75029FBC" w14:textId="77777777" w:rsidR="00EA6DD4" w:rsidRDefault="00EA6DD4" w:rsidP="004623F2">
      <w:pPr>
        <w:spacing w:line="288" w:lineRule="auto"/>
        <w:ind w:right="-319"/>
        <w:jc w:val="center"/>
        <w:outlineLvl w:val="0"/>
        <w:rPr>
          <w:rFonts w:ascii="Palatino Linotype" w:hAnsi="Palatino Linotype" w:cstheme="minorHAnsi"/>
          <w:b/>
          <w:bCs/>
          <w:sz w:val="22"/>
          <w:szCs w:val="22"/>
        </w:rPr>
      </w:pPr>
    </w:p>
    <w:p w14:paraId="428E7403" w14:textId="60898856" w:rsidR="00D07713" w:rsidRPr="00637DF8" w:rsidRDefault="006F4B75" w:rsidP="004623F2">
      <w:pPr>
        <w:spacing w:line="288" w:lineRule="auto"/>
        <w:ind w:right="-319"/>
        <w:jc w:val="center"/>
        <w:outlineLvl w:val="0"/>
        <w:rPr>
          <w:rFonts w:ascii="Palatino Linotype" w:hAnsi="Palatino Linotype" w:cstheme="minorHAnsi"/>
        </w:rPr>
      </w:pPr>
      <w:r>
        <w:rPr>
          <w:rFonts w:ascii="Palatino Linotype" w:hAnsi="Palatino Linotype" w:cstheme="minorHAnsi"/>
          <w:b/>
          <w:bCs/>
          <w:sz w:val="22"/>
          <w:szCs w:val="22"/>
        </w:rPr>
        <w:t>Seyfettin Gürsel</w:t>
      </w:r>
      <w:r>
        <w:rPr>
          <w:rStyle w:val="DipnotBavurusu"/>
          <w:rFonts w:ascii="Palatino Linotype" w:hAnsi="Palatino Linotype" w:cstheme="minorHAnsi"/>
          <w:b/>
          <w:bCs/>
          <w:sz w:val="22"/>
          <w:szCs w:val="22"/>
        </w:rPr>
        <w:footnoteReference w:id="2"/>
      </w:r>
      <w:r>
        <w:rPr>
          <w:rFonts w:ascii="Palatino Linotype" w:hAnsi="Palatino Linotype" w:cstheme="minorHAnsi"/>
          <w:b/>
          <w:bCs/>
          <w:sz w:val="22"/>
          <w:szCs w:val="22"/>
        </w:rPr>
        <w:t xml:space="preserve"> ve Saliha Tanrıverdi</w:t>
      </w:r>
      <w:r>
        <w:rPr>
          <w:rStyle w:val="DipnotBavurusu"/>
          <w:rFonts w:ascii="Palatino Linotype" w:hAnsi="Palatino Linotype" w:cstheme="minorHAnsi"/>
          <w:b/>
          <w:bCs/>
          <w:sz w:val="22"/>
          <w:szCs w:val="22"/>
        </w:rPr>
        <w:footnoteReference w:id="3"/>
      </w:r>
    </w:p>
    <w:p w14:paraId="6E057918" w14:textId="77777777" w:rsidR="00405BD8" w:rsidRPr="00637DF8" w:rsidRDefault="00405BD8" w:rsidP="00751F72">
      <w:pPr>
        <w:jc w:val="center"/>
        <w:rPr>
          <w:rFonts w:ascii="Palatino Linotype" w:hAnsi="Palatino Linotype" w:cstheme="minorHAnsi"/>
          <w:b/>
          <w:sz w:val="22"/>
          <w:szCs w:val="22"/>
        </w:rPr>
      </w:pPr>
    </w:p>
    <w:p w14:paraId="2F0E4C03" w14:textId="77777777" w:rsidR="00C34D9B" w:rsidRPr="00637DF8" w:rsidRDefault="00D257C1" w:rsidP="00C34D9B">
      <w:pPr>
        <w:spacing w:line="360" w:lineRule="auto"/>
        <w:jc w:val="center"/>
        <w:rPr>
          <w:rFonts w:ascii="Palatino Linotype" w:hAnsi="Palatino Linotype" w:cstheme="minorHAnsi"/>
          <w:b/>
          <w:sz w:val="22"/>
          <w:szCs w:val="22"/>
        </w:rPr>
      </w:pPr>
      <w:r>
        <w:rPr>
          <w:rFonts w:ascii="Palatino Linotype" w:hAnsi="Palatino Linotype" w:cstheme="minorHAnsi"/>
          <w:b/>
          <w:sz w:val="22"/>
          <w:szCs w:val="22"/>
        </w:rPr>
        <w:t>Yönetici Özeti</w:t>
      </w:r>
      <w:bookmarkStart w:id="0" w:name="OLE_LINK5"/>
      <w:bookmarkStart w:id="1" w:name="OLE_LINK6"/>
    </w:p>
    <w:p w14:paraId="3BE9A8BD" w14:textId="47D4F736" w:rsidR="00F41B64" w:rsidRDefault="00F41B64" w:rsidP="000B09B0">
      <w:pPr>
        <w:spacing w:line="360" w:lineRule="auto"/>
        <w:jc w:val="both"/>
        <w:rPr>
          <w:rFonts w:ascii="Palatino Linotype" w:hAnsi="Palatino Linotype" w:cstheme="minorHAnsi"/>
          <w:sz w:val="22"/>
          <w:szCs w:val="22"/>
        </w:rPr>
      </w:pPr>
      <w:r>
        <w:rPr>
          <w:rFonts w:ascii="Palatino Linotype" w:hAnsi="Palatino Linotype" w:cstheme="minorHAnsi"/>
          <w:sz w:val="22"/>
          <w:szCs w:val="22"/>
        </w:rPr>
        <w:t xml:space="preserve">Türkiye ekonomisi 2026 yılının ikinci çeyreğinde yıllık yüzde 2,3, çeyreklik bazda ise yüzde 1,1 büyüdü (Şekil 2). Birinci çeyrekte olduğu gibi ikinci çeyrekte de Türkiye ekonomisindeki </w:t>
      </w:r>
      <w:r w:rsidR="00B27A27" w:rsidRPr="006A0DEA">
        <w:rPr>
          <w:rFonts w:ascii="Palatino Linotype" w:hAnsi="Palatino Linotype" w:cstheme="minorHAnsi"/>
          <w:sz w:val="22"/>
          <w:szCs w:val="22"/>
        </w:rPr>
        <w:t>yıllık</w:t>
      </w:r>
      <w:r w:rsidR="00B27A27">
        <w:rPr>
          <w:rFonts w:ascii="Palatino Linotype" w:hAnsi="Palatino Linotype" w:cstheme="minorHAnsi"/>
          <w:sz w:val="22"/>
          <w:szCs w:val="22"/>
        </w:rPr>
        <w:t xml:space="preserve"> </w:t>
      </w:r>
      <w:r>
        <w:rPr>
          <w:rFonts w:ascii="Palatino Linotype" w:hAnsi="Palatino Linotype" w:cstheme="minorHAnsi"/>
          <w:sz w:val="22"/>
          <w:szCs w:val="22"/>
        </w:rPr>
        <w:t>büyümeye en büyük katkı özel tüketimden kaynaklandı</w:t>
      </w:r>
      <w:r w:rsidR="00D7468B">
        <w:rPr>
          <w:rFonts w:ascii="Palatino Linotype" w:hAnsi="Palatino Linotype" w:cstheme="minorHAnsi"/>
          <w:sz w:val="22"/>
          <w:szCs w:val="22"/>
        </w:rPr>
        <w:t xml:space="preserve">. Yıllık yüzde 3,5 artan özel tüketim, toplam büyümenin 1,8 puanını tek başına karşıladı. </w:t>
      </w:r>
      <w:r w:rsidR="00D7468B" w:rsidRPr="006A0DEA">
        <w:rPr>
          <w:rFonts w:ascii="Palatino Linotype" w:hAnsi="Palatino Linotype" w:cstheme="minorHAnsi"/>
          <w:sz w:val="22"/>
          <w:szCs w:val="22"/>
        </w:rPr>
        <w:t>Buna karşılık ö</w:t>
      </w:r>
      <w:r w:rsidRPr="006A0DEA">
        <w:rPr>
          <w:rFonts w:ascii="Palatino Linotype" w:hAnsi="Palatino Linotype" w:cstheme="minorHAnsi"/>
          <w:sz w:val="22"/>
          <w:szCs w:val="22"/>
        </w:rPr>
        <w:t>zel tüketimde</w:t>
      </w:r>
      <w:r w:rsidR="00B27A27" w:rsidRPr="006A0DEA">
        <w:rPr>
          <w:rFonts w:ascii="Palatino Linotype" w:hAnsi="Palatino Linotype" w:cstheme="minorHAnsi"/>
          <w:sz w:val="22"/>
          <w:szCs w:val="22"/>
        </w:rPr>
        <w:t xml:space="preserve"> önceki çeyreğe göre yüzde 1,3 oranında azalma </w:t>
      </w:r>
      <w:r w:rsidR="00D7468B" w:rsidRPr="006A0DEA">
        <w:rPr>
          <w:rFonts w:ascii="Palatino Linotype" w:hAnsi="Palatino Linotype" w:cstheme="minorHAnsi"/>
          <w:sz w:val="22"/>
          <w:szCs w:val="22"/>
        </w:rPr>
        <w:t xml:space="preserve">görülüyor. </w:t>
      </w:r>
      <w:r>
        <w:rPr>
          <w:rFonts w:ascii="Palatino Linotype" w:hAnsi="Palatino Linotype" w:cstheme="minorHAnsi"/>
          <w:sz w:val="22"/>
          <w:szCs w:val="22"/>
        </w:rPr>
        <w:t xml:space="preserve">Kamu tüketimi ise hem yıllık hem çeyreklik bazda geriledi. Yatırımlar yıllık bazda yüzde 0,6 artarak büyümeye 0,2 puan katkı yaparken </w:t>
      </w:r>
      <w:r w:rsidR="00574EAC" w:rsidRPr="006A0DEA">
        <w:rPr>
          <w:rFonts w:ascii="Palatino Linotype" w:hAnsi="Palatino Linotype" w:cstheme="minorHAnsi"/>
          <w:sz w:val="22"/>
          <w:szCs w:val="22"/>
        </w:rPr>
        <w:t>stok değişiminin katkısı -0,3 puan oldu.</w:t>
      </w:r>
      <w:r w:rsidR="00574EAC">
        <w:rPr>
          <w:rFonts w:ascii="Palatino Linotype" w:hAnsi="Palatino Linotype" w:cstheme="minorHAnsi"/>
          <w:sz w:val="22"/>
          <w:szCs w:val="22"/>
        </w:rPr>
        <w:t xml:space="preserve">  Ç</w:t>
      </w:r>
      <w:r>
        <w:rPr>
          <w:rFonts w:ascii="Palatino Linotype" w:hAnsi="Palatino Linotype" w:cstheme="minorHAnsi"/>
          <w:sz w:val="22"/>
          <w:szCs w:val="22"/>
        </w:rPr>
        <w:t xml:space="preserve">eyreklik bazda bir önceki çeyreğe kıyasla </w:t>
      </w:r>
      <w:r w:rsidR="00574EAC">
        <w:rPr>
          <w:rFonts w:ascii="Palatino Linotype" w:hAnsi="Palatino Linotype" w:cstheme="minorHAnsi"/>
          <w:sz w:val="22"/>
          <w:szCs w:val="22"/>
        </w:rPr>
        <w:t xml:space="preserve">yatırımlar değişim göstermeyerek </w:t>
      </w:r>
      <w:r>
        <w:rPr>
          <w:rFonts w:ascii="Palatino Linotype" w:hAnsi="Palatino Linotype" w:cstheme="minorHAnsi"/>
          <w:sz w:val="22"/>
          <w:szCs w:val="22"/>
        </w:rPr>
        <w:t xml:space="preserve">büyümeye </w:t>
      </w:r>
      <w:r w:rsidR="00056403">
        <w:rPr>
          <w:rFonts w:ascii="Palatino Linotype" w:hAnsi="Palatino Linotype" w:cstheme="minorHAnsi"/>
          <w:sz w:val="22"/>
          <w:szCs w:val="22"/>
        </w:rPr>
        <w:t>katkı</w:t>
      </w:r>
      <w:r w:rsidR="00574EAC">
        <w:rPr>
          <w:rFonts w:ascii="Palatino Linotype" w:hAnsi="Palatino Linotype" w:cstheme="minorHAnsi"/>
          <w:sz w:val="22"/>
          <w:szCs w:val="22"/>
        </w:rPr>
        <w:t xml:space="preserve"> yapmadı. </w:t>
      </w:r>
      <w:r w:rsidR="00574EAC" w:rsidRPr="006A0DEA">
        <w:rPr>
          <w:rFonts w:ascii="Palatino Linotype" w:hAnsi="Palatino Linotype" w:cstheme="minorHAnsi"/>
          <w:sz w:val="22"/>
          <w:szCs w:val="22"/>
        </w:rPr>
        <w:t>Stoklarda ise önceki çeyreğe kıyasla 0,3 puanlık artış gerçekleşti.</w:t>
      </w:r>
      <w:r>
        <w:rPr>
          <w:rFonts w:ascii="Palatino Linotype" w:hAnsi="Palatino Linotype" w:cstheme="minorHAnsi"/>
          <w:sz w:val="22"/>
          <w:szCs w:val="22"/>
        </w:rPr>
        <w:t xml:space="preserve"> Bu dönemde dış ticaret bileşenleri </w:t>
      </w:r>
      <w:r w:rsidR="00574EAC" w:rsidRPr="006A0DEA">
        <w:rPr>
          <w:rFonts w:ascii="Palatino Linotype" w:hAnsi="Palatino Linotype" w:cstheme="minorHAnsi"/>
          <w:sz w:val="22"/>
          <w:szCs w:val="22"/>
        </w:rPr>
        <w:t xml:space="preserve">çeyrekten çeyreğe </w:t>
      </w:r>
      <w:r w:rsidRPr="006A0DEA">
        <w:rPr>
          <w:rFonts w:ascii="Palatino Linotype" w:hAnsi="Palatino Linotype" w:cstheme="minorHAnsi"/>
          <w:sz w:val="22"/>
          <w:szCs w:val="22"/>
        </w:rPr>
        <w:t xml:space="preserve">güçlü bir </w:t>
      </w:r>
      <w:r w:rsidR="00574EAC" w:rsidRPr="006A0DEA">
        <w:rPr>
          <w:rFonts w:ascii="Palatino Linotype" w:hAnsi="Palatino Linotype" w:cstheme="minorHAnsi"/>
          <w:sz w:val="22"/>
          <w:szCs w:val="22"/>
        </w:rPr>
        <w:t>olumlu gelişme</w:t>
      </w:r>
      <w:r w:rsidR="00574EAC">
        <w:rPr>
          <w:rFonts w:ascii="Palatino Linotype" w:hAnsi="Palatino Linotype" w:cstheme="minorHAnsi"/>
          <w:sz w:val="22"/>
          <w:szCs w:val="22"/>
        </w:rPr>
        <w:t xml:space="preserve"> </w:t>
      </w:r>
      <w:r w:rsidR="00574EAC" w:rsidRPr="005629A0">
        <w:rPr>
          <w:rFonts w:ascii="Palatino Linotype" w:hAnsi="Palatino Linotype" w:cstheme="minorHAnsi"/>
          <w:sz w:val="22"/>
          <w:szCs w:val="22"/>
        </w:rPr>
        <w:t>sergiledi</w:t>
      </w:r>
      <w:r w:rsidRPr="005629A0">
        <w:rPr>
          <w:rFonts w:ascii="Palatino Linotype" w:hAnsi="Palatino Linotype" w:cstheme="minorHAnsi"/>
          <w:sz w:val="22"/>
          <w:szCs w:val="22"/>
        </w:rPr>
        <w:t xml:space="preserve">: ihracat </w:t>
      </w:r>
      <w:r w:rsidR="00370C4D" w:rsidRPr="005629A0">
        <w:rPr>
          <w:rFonts w:ascii="Palatino Linotype" w:hAnsi="Palatino Linotype" w:cstheme="minorHAnsi"/>
          <w:sz w:val="22"/>
          <w:szCs w:val="22"/>
        </w:rPr>
        <w:t xml:space="preserve">önceki çeyreğe kıyasla </w:t>
      </w:r>
      <w:r w:rsidRPr="005629A0">
        <w:rPr>
          <w:rFonts w:ascii="Palatino Linotype" w:hAnsi="Palatino Linotype" w:cstheme="minorHAnsi"/>
          <w:sz w:val="22"/>
          <w:szCs w:val="22"/>
        </w:rPr>
        <w:t xml:space="preserve">yüzde 6,2 artarken ithalat yüzde 1,8 geriledi ve net dış ticaretin katkısı 1,8 puana ulaştı. </w:t>
      </w:r>
      <w:r w:rsidR="00425011" w:rsidRPr="005629A0">
        <w:rPr>
          <w:rFonts w:ascii="Palatino Linotype" w:hAnsi="Palatino Linotype" w:cstheme="minorHAnsi"/>
          <w:sz w:val="22"/>
          <w:szCs w:val="22"/>
        </w:rPr>
        <w:t>Yıllık olarak ise ihracatta yüzde 3,4’lük, ithalatta da yüzde 6,4’lük daralma nedeniyle net dış ticaretin büyümeye yıllık katkısı 0,9 puan oldu.</w:t>
      </w:r>
      <w:r w:rsidR="00370C4D" w:rsidRPr="005629A0">
        <w:rPr>
          <w:rFonts w:ascii="Palatino Linotype" w:hAnsi="Palatino Linotype" w:cstheme="minorHAnsi"/>
          <w:sz w:val="22"/>
          <w:szCs w:val="22"/>
        </w:rPr>
        <w:t xml:space="preserve"> </w:t>
      </w:r>
      <w:r w:rsidRPr="005629A0">
        <w:rPr>
          <w:rFonts w:ascii="Palatino Linotype" w:hAnsi="Palatino Linotype" w:cstheme="minorHAnsi"/>
          <w:sz w:val="22"/>
          <w:szCs w:val="22"/>
        </w:rPr>
        <w:t>Önümüzdeki dönemde büyümenin seyri, TCMB’nin para politikası</w:t>
      </w:r>
      <w:r w:rsidR="00056403" w:rsidRPr="005629A0">
        <w:rPr>
          <w:rFonts w:ascii="Palatino Linotype" w:hAnsi="Palatino Linotype" w:cstheme="minorHAnsi"/>
          <w:sz w:val="22"/>
          <w:szCs w:val="22"/>
        </w:rPr>
        <w:t>na</w:t>
      </w:r>
      <w:r w:rsidRPr="005629A0">
        <w:rPr>
          <w:rFonts w:ascii="Palatino Linotype" w:hAnsi="Palatino Linotype" w:cstheme="minorHAnsi"/>
          <w:sz w:val="22"/>
          <w:szCs w:val="22"/>
        </w:rPr>
        <w:t>, özel tüketimdeki ivme kaybı</w:t>
      </w:r>
      <w:r w:rsidR="00370C4D" w:rsidRPr="005629A0">
        <w:rPr>
          <w:rFonts w:ascii="Palatino Linotype" w:hAnsi="Palatino Linotype" w:cstheme="minorHAnsi"/>
          <w:sz w:val="22"/>
          <w:szCs w:val="22"/>
        </w:rPr>
        <w:t xml:space="preserve"> ile</w:t>
      </w:r>
      <w:r w:rsidRPr="005629A0">
        <w:rPr>
          <w:rFonts w:ascii="Palatino Linotype" w:hAnsi="Palatino Linotype" w:cstheme="minorHAnsi"/>
          <w:sz w:val="22"/>
          <w:szCs w:val="22"/>
        </w:rPr>
        <w:t xml:space="preserve"> dış ticaretteki toparlanmanın</w:t>
      </w:r>
      <w:r>
        <w:rPr>
          <w:rFonts w:ascii="Palatino Linotype" w:hAnsi="Palatino Linotype" w:cstheme="minorHAnsi"/>
          <w:sz w:val="22"/>
          <w:szCs w:val="22"/>
        </w:rPr>
        <w:t xml:space="preserve"> kalıcılığına bağlı olacaktır.</w:t>
      </w:r>
    </w:p>
    <w:p w14:paraId="7466F816" w14:textId="77777777" w:rsidR="00056403" w:rsidRDefault="00056403" w:rsidP="00F41B64">
      <w:pPr>
        <w:pStyle w:val="NormalWeb"/>
        <w:spacing w:before="0" w:beforeAutospacing="0" w:after="0" w:afterAutospacing="0" w:line="360" w:lineRule="auto"/>
        <w:ind w:right="77"/>
        <w:rPr>
          <w:rFonts w:ascii="Palatino Linotype" w:hAnsi="Palatino Linotype" w:cstheme="minorBidi"/>
          <w:b/>
          <w:bCs/>
          <w:sz w:val="22"/>
          <w:szCs w:val="22"/>
        </w:rPr>
      </w:pPr>
    </w:p>
    <w:p w14:paraId="77877646" w14:textId="55568CDE" w:rsidR="00F41B64" w:rsidRPr="000B09B0" w:rsidRDefault="00F41B64" w:rsidP="00F41B64">
      <w:pPr>
        <w:pStyle w:val="NormalWeb"/>
        <w:spacing w:before="0" w:beforeAutospacing="0" w:after="0" w:afterAutospacing="0" w:line="360" w:lineRule="auto"/>
        <w:ind w:right="77"/>
        <w:rPr>
          <w:rFonts w:ascii="Palatino Linotype" w:hAnsi="Palatino Linotype" w:cstheme="minorBidi"/>
          <w:b/>
          <w:bCs/>
          <w:sz w:val="22"/>
          <w:szCs w:val="22"/>
        </w:rPr>
      </w:pPr>
      <w:r>
        <w:rPr>
          <w:rFonts w:ascii="Palatino Linotype" w:hAnsi="Palatino Linotype" w:cstheme="minorBidi"/>
          <w:b/>
          <w:bCs/>
          <w:sz w:val="22"/>
          <w:szCs w:val="22"/>
        </w:rPr>
        <w:t>Özel tüketimin katkısı sürüyor</w:t>
      </w:r>
    </w:p>
    <w:p w14:paraId="0DFB2A03" w14:textId="2D96F867" w:rsidR="00F41B64" w:rsidRPr="00396FCD" w:rsidRDefault="00F41B64" w:rsidP="007D2AD4">
      <w:pPr>
        <w:pStyle w:val="NormalWeb"/>
        <w:spacing w:before="0" w:beforeAutospacing="0" w:after="0" w:afterAutospacing="0" w:line="360" w:lineRule="auto"/>
        <w:ind w:right="77"/>
        <w:jc w:val="both"/>
        <w:rPr>
          <w:rFonts w:ascii="Palatino Linotype" w:hAnsi="Palatino Linotype" w:cstheme="minorHAnsi"/>
          <w:strike/>
          <w:sz w:val="22"/>
          <w:szCs w:val="22"/>
        </w:rPr>
      </w:pPr>
      <w:r>
        <w:rPr>
          <w:rFonts w:ascii="Palatino Linotype" w:hAnsi="Palatino Linotype" w:cstheme="minorHAnsi"/>
          <w:sz w:val="22"/>
          <w:szCs w:val="22"/>
        </w:rPr>
        <w:t xml:space="preserve">2026 yılının ikinci çeyreğinde </w:t>
      </w:r>
      <w:bookmarkStart w:id="2" w:name="OLE_LINK21"/>
      <w:bookmarkStart w:id="3" w:name="OLE_LINK22"/>
      <w:r>
        <w:rPr>
          <w:rFonts w:ascii="Palatino Linotype" w:hAnsi="Palatino Linotype" w:cstheme="minorHAnsi"/>
          <w:sz w:val="22"/>
          <w:szCs w:val="22"/>
        </w:rPr>
        <w:t xml:space="preserve">mevsim ve takvim etkilerinden arındırılmış rakamlara göre özel tüketim </w:t>
      </w:r>
      <w:bookmarkEnd w:id="2"/>
      <w:bookmarkEnd w:id="3"/>
      <w:r>
        <w:rPr>
          <w:rFonts w:ascii="Palatino Linotype" w:hAnsi="Palatino Linotype" w:cstheme="minorHAnsi"/>
          <w:sz w:val="22"/>
          <w:szCs w:val="22"/>
        </w:rPr>
        <w:t xml:space="preserve">geçen yılın aynı çeyreğine kıyasla yıllık yüzde 3,5 artarak yıllık büyümeye 1,8 puan katkı yaptı. Birinci çeyrekte özel tüketim yıllık yüzde 5,1 büyümüştü (Tablo 1). Bir </w:t>
      </w:r>
      <w:r>
        <w:rPr>
          <w:rFonts w:ascii="Palatino Linotype" w:hAnsi="Palatino Linotype" w:cstheme="minorHAnsi"/>
          <w:sz w:val="22"/>
          <w:szCs w:val="22"/>
        </w:rPr>
        <w:lastRenderedPageBreak/>
        <w:t>önceki çeyreğe göre ise özel tüketim yüzde 1,3 azalarak çeyreklik büyümey</w:t>
      </w:r>
      <w:r w:rsidR="00396FCD">
        <w:rPr>
          <w:rFonts w:ascii="Palatino Linotype" w:hAnsi="Palatino Linotype" w:cstheme="minorHAnsi"/>
          <w:sz w:val="22"/>
          <w:szCs w:val="22"/>
        </w:rPr>
        <w:t>i</w:t>
      </w:r>
      <w:r>
        <w:rPr>
          <w:rFonts w:ascii="Palatino Linotype" w:hAnsi="Palatino Linotype" w:cstheme="minorHAnsi"/>
          <w:sz w:val="22"/>
          <w:szCs w:val="22"/>
        </w:rPr>
        <w:t xml:space="preserve"> 0,7 puan </w:t>
      </w:r>
      <w:r w:rsidR="00396FCD" w:rsidRPr="006A0DEA">
        <w:rPr>
          <w:rFonts w:ascii="Palatino Linotype" w:hAnsi="Palatino Linotype" w:cstheme="minorHAnsi"/>
          <w:sz w:val="22"/>
          <w:szCs w:val="22"/>
        </w:rPr>
        <w:t>aşağıya çekti</w:t>
      </w:r>
      <w:r w:rsidRPr="006A0DEA">
        <w:rPr>
          <w:rFonts w:ascii="Palatino Linotype" w:hAnsi="Palatino Linotype" w:cstheme="minorHAnsi"/>
          <w:sz w:val="22"/>
          <w:szCs w:val="22"/>
        </w:rPr>
        <w:t>.</w:t>
      </w:r>
      <w:r>
        <w:rPr>
          <w:rFonts w:ascii="Palatino Linotype" w:hAnsi="Palatino Linotype" w:cstheme="minorHAnsi"/>
          <w:sz w:val="22"/>
          <w:szCs w:val="22"/>
        </w:rPr>
        <w:t xml:space="preserve"> 2025 dördüncü çeyrekten 2026 birinci çeyreğe ise özel tüketimde yüzde 0,1 azalış olmuştu (Tablo 2). </w:t>
      </w:r>
    </w:p>
    <w:p w14:paraId="71A7C2C9" w14:textId="5DF4ECAD" w:rsidR="00B72927" w:rsidRDefault="00646879" w:rsidP="00E41A80">
      <w:pPr>
        <w:spacing w:before="120" w:after="120" w:line="259" w:lineRule="auto"/>
        <w:rPr>
          <w:rFonts w:ascii="Palatino Linotype" w:hAnsi="Palatino Linotype" w:cstheme="minorHAnsi"/>
          <w:b/>
          <w:bCs/>
          <w:sz w:val="22"/>
          <w:szCs w:val="22"/>
        </w:rPr>
      </w:pPr>
      <w:r>
        <w:rPr>
          <w:rFonts w:ascii="Palatino Linotype" w:hAnsi="Palatino Linotype" w:cstheme="minorHAnsi"/>
          <w:b/>
          <w:bCs/>
          <w:sz w:val="22"/>
          <w:szCs w:val="22"/>
        </w:rPr>
        <w:t>Şekil 1: GSYH alt kalemlerinin 2026 2. çeyrekte bir önceki yılın aynı çeyreğine göre büyümeye katkıları (sol şekil) ve büyüme oranları (sağ şekil)</w:t>
      </w:r>
      <w:bookmarkEnd w:id="0"/>
      <w:bookmarkEnd w:id="1"/>
    </w:p>
    <w:p w14:paraId="552DDC7F" w14:textId="6C03EC8E" w:rsidR="005B19D9" w:rsidRDefault="005B19D9" w:rsidP="005B19D9">
      <w:pPr>
        <w:rPr>
          <w:lang w:eastAsia="en-US"/>
        </w:rPr>
      </w:pPr>
      <w:r>
        <w:rPr>
          <w:noProof/>
          <w:lang w:val="en-GB" w:eastAsia="en-GB"/>
        </w:rPr>
        <w:drawing>
          <wp:inline distT="0" distB="0" distL="0" distR="0" wp14:anchorId="3EBE56E8" wp14:editId="2CE541B9">
            <wp:extent cx="2728595" cy="2304000"/>
            <wp:effectExtent l="0" t="0" r="1905" b="0"/>
            <wp:docPr id="139248948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8595" cy="2304000"/>
                    </a:xfrm>
                    <a:prstGeom prst="rect">
                      <a:avLst/>
                    </a:prstGeom>
                    <a:noFill/>
                    <a:ln>
                      <a:noFill/>
                    </a:ln>
                  </pic:spPr>
                </pic:pic>
              </a:graphicData>
            </a:graphic>
          </wp:inline>
        </w:drawing>
      </w:r>
      <w:r>
        <w:rPr>
          <w:noProof/>
          <w:lang w:val="en-GB" w:eastAsia="en-GB"/>
        </w:rPr>
        <w:drawing>
          <wp:inline distT="0" distB="0" distL="0" distR="0" wp14:anchorId="69D61699" wp14:editId="5C2EF834">
            <wp:extent cx="2631641" cy="2304000"/>
            <wp:effectExtent l="0" t="0" r="0" b="0"/>
            <wp:docPr id="6669585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1641" cy="2304000"/>
                    </a:xfrm>
                    <a:prstGeom prst="rect">
                      <a:avLst/>
                    </a:prstGeom>
                    <a:noFill/>
                    <a:ln>
                      <a:noFill/>
                    </a:ln>
                  </pic:spPr>
                </pic:pic>
              </a:graphicData>
            </a:graphic>
          </wp:inline>
        </w:drawing>
      </w:r>
    </w:p>
    <w:p w14:paraId="087463AA" w14:textId="0F45AF04" w:rsidR="006C3EE6" w:rsidRDefault="00C1422A" w:rsidP="00245B1A">
      <w:pPr>
        <w:ind w:right="567"/>
        <w:jc w:val="both"/>
        <w:rPr>
          <w:rFonts w:ascii="Palatino Linotype" w:hAnsi="Palatino Linotype" w:cstheme="minorHAnsi"/>
          <w:sz w:val="16"/>
          <w:szCs w:val="16"/>
        </w:rPr>
      </w:pPr>
      <w:r>
        <w:rPr>
          <w:rFonts w:ascii="Palatino Linotype" w:hAnsi="Palatino Linotype" w:cstheme="minorHAnsi"/>
          <w:sz w:val="18"/>
          <w:szCs w:val="18"/>
        </w:rPr>
        <w:t>Kaynak: TÜİK, Betam</w:t>
      </w:r>
      <w:r>
        <w:rPr>
          <w:rFonts w:ascii="Palatino Linotype" w:hAnsi="Palatino Linotype" w:cstheme="minorHAnsi"/>
          <w:sz w:val="16"/>
          <w:szCs w:val="16"/>
        </w:rPr>
        <w:t xml:space="preserve">. </w:t>
      </w:r>
    </w:p>
    <w:p w14:paraId="0AF66471" w14:textId="7F39CA9F" w:rsidR="004647F0" w:rsidRDefault="006C3EE6" w:rsidP="007F3FEB">
      <w:pPr>
        <w:keepNext/>
        <w:spacing w:after="120"/>
        <w:ind w:right="79"/>
        <w:jc w:val="both"/>
        <w:rPr>
          <w:rFonts w:ascii="Palatino Linotype" w:hAnsi="Palatino Linotype" w:cstheme="minorHAnsi"/>
          <w:b/>
          <w:bCs/>
          <w:sz w:val="22"/>
          <w:szCs w:val="22"/>
        </w:rPr>
      </w:pPr>
      <w:r>
        <w:rPr>
          <w:rFonts w:ascii="Palatino Linotype" w:hAnsi="Palatino Linotype" w:cstheme="minorHAnsi"/>
          <w:b/>
          <w:bCs/>
          <w:sz w:val="22"/>
          <w:szCs w:val="22"/>
        </w:rPr>
        <w:t xml:space="preserve">Tablo 1: GSYH alt kalemlerinin </w:t>
      </w:r>
      <w:bookmarkStart w:id="4" w:name="OLE_LINK1"/>
      <w:bookmarkStart w:id="5" w:name="OLE_LINK2"/>
      <w:r>
        <w:rPr>
          <w:rFonts w:ascii="Palatino Linotype" w:hAnsi="Palatino Linotype" w:cstheme="minorHAnsi"/>
          <w:b/>
          <w:bCs/>
          <w:sz w:val="22"/>
          <w:szCs w:val="22"/>
        </w:rPr>
        <w:t>2026 1. ve 2026 2. çeyrekte</w:t>
      </w:r>
      <w:bookmarkEnd w:id="4"/>
      <w:bookmarkEnd w:id="5"/>
      <w:r>
        <w:rPr>
          <w:rFonts w:ascii="Palatino Linotype" w:hAnsi="Palatino Linotype" w:cstheme="minorHAnsi"/>
          <w:b/>
          <w:bCs/>
          <w:sz w:val="22"/>
          <w:szCs w:val="22"/>
        </w:rPr>
        <w:t xml:space="preserve"> bir önceki yılın aynı çeyreğine göre büyüme oranları ve büyümeye katkıları</w:t>
      </w:r>
    </w:p>
    <w:tbl>
      <w:tblPr>
        <w:tblW w:w="7574" w:type="dxa"/>
        <w:tblCellMar>
          <w:left w:w="70" w:type="dxa"/>
          <w:right w:w="70" w:type="dxa"/>
        </w:tblCellMar>
        <w:tblLook w:val="04A0" w:firstRow="1" w:lastRow="0" w:firstColumn="1" w:lastColumn="0" w:noHBand="0" w:noVBand="1"/>
      </w:tblPr>
      <w:tblGrid>
        <w:gridCol w:w="1480"/>
        <w:gridCol w:w="1259"/>
        <w:gridCol w:w="1788"/>
        <w:gridCol w:w="1259"/>
        <w:gridCol w:w="1788"/>
      </w:tblGrid>
      <w:tr w:rsidR="004360BE" w14:paraId="3C398ED5" w14:textId="77777777" w:rsidTr="00D266AE">
        <w:trPr>
          <w:trHeight w:val="282"/>
        </w:trPr>
        <w:tc>
          <w:tcPr>
            <w:tcW w:w="1480" w:type="dxa"/>
            <w:tcBorders>
              <w:top w:val="single" w:sz="4" w:space="0" w:color="auto"/>
              <w:left w:val="single" w:sz="4" w:space="0" w:color="auto"/>
              <w:bottom w:val="nil"/>
              <w:right w:val="single" w:sz="4" w:space="0" w:color="auto"/>
            </w:tcBorders>
            <w:shd w:val="clear" w:color="000000" w:fill="FFFFFF"/>
            <w:noWrap/>
            <w:vAlign w:val="bottom"/>
            <w:hideMark/>
          </w:tcPr>
          <w:p w14:paraId="6A9DF109" w14:textId="77777777" w:rsidR="004360BE" w:rsidRDefault="004360BE" w:rsidP="004360BE">
            <w:pPr>
              <w:rPr>
                <w:rFonts w:ascii="Calibri" w:hAnsi="Calibri" w:cs="Calibri"/>
                <w:b/>
                <w:bCs/>
                <w:color w:val="000000"/>
                <w:sz w:val="20"/>
                <w:szCs w:val="20"/>
              </w:rPr>
            </w:pPr>
            <w:r>
              <w:rPr>
                <w:rFonts w:ascii="Calibri" w:hAnsi="Calibri" w:cs="Calibri"/>
                <w:b/>
                <w:bCs/>
                <w:color w:val="000000"/>
                <w:sz w:val="20"/>
                <w:szCs w:val="20"/>
              </w:rPr>
              <w:t> </w:t>
            </w:r>
          </w:p>
        </w:tc>
        <w:tc>
          <w:tcPr>
            <w:tcW w:w="3047"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4834C85A" w14:textId="4CC2C532" w:rsidR="004360B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2026Q1</w:t>
            </w:r>
          </w:p>
        </w:tc>
        <w:tc>
          <w:tcPr>
            <w:tcW w:w="3047"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BF6F59F" w14:textId="5A84E67B" w:rsidR="004360B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2026Q2</w:t>
            </w:r>
          </w:p>
        </w:tc>
      </w:tr>
      <w:tr w:rsidR="004360BE" w14:paraId="7EF5F3CB" w14:textId="77777777" w:rsidTr="00D266AE">
        <w:trPr>
          <w:trHeight w:val="282"/>
        </w:trPr>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14:paraId="07295275" w14:textId="77777777" w:rsidR="004360BE" w:rsidRDefault="004360BE" w:rsidP="004360BE">
            <w:pPr>
              <w:rPr>
                <w:rFonts w:ascii="Calibri" w:hAnsi="Calibri" w:cs="Calibri"/>
                <w:b/>
                <w:bCs/>
                <w:color w:val="000000"/>
                <w:sz w:val="20"/>
                <w:szCs w:val="20"/>
              </w:rPr>
            </w:pPr>
            <w:r>
              <w:rPr>
                <w:rFonts w:ascii="Calibri" w:hAnsi="Calibri" w:cs="Calibri"/>
                <w:b/>
                <w:bCs/>
                <w:color w:val="000000"/>
                <w:sz w:val="20"/>
                <w:szCs w:val="20"/>
              </w:rPr>
              <w:t> </w:t>
            </w:r>
          </w:p>
        </w:tc>
        <w:tc>
          <w:tcPr>
            <w:tcW w:w="1259" w:type="dxa"/>
            <w:tcBorders>
              <w:top w:val="nil"/>
              <w:left w:val="nil"/>
              <w:bottom w:val="single" w:sz="4" w:space="0" w:color="auto"/>
              <w:right w:val="nil"/>
            </w:tcBorders>
            <w:shd w:val="clear" w:color="000000" w:fill="FFFFFF"/>
            <w:noWrap/>
            <w:vAlign w:val="bottom"/>
            <w:hideMark/>
          </w:tcPr>
          <w:p w14:paraId="574CF425" w14:textId="7B85C0F0" w:rsidR="004360BE" w:rsidRPr="00D266A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Değişim (%)</w:t>
            </w:r>
          </w:p>
        </w:tc>
        <w:tc>
          <w:tcPr>
            <w:tcW w:w="1788" w:type="dxa"/>
            <w:tcBorders>
              <w:top w:val="nil"/>
              <w:left w:val="nil"/>
              <w:bottom w:val="nil"/>
              <w:right w:val="single" w:sz="4" w:space="0" w:color="auto"/>
            </w:tcBorders>
            <w:shd w:val="clear" w:color="000000" w:fill="FFFFFF"/>
            <w:noWrap/>
            <w:vAlign w:val="bottom"/>
            <w:hideMark/>
          </w:tcPr>
          <w:p w14:paraId="3E3F1EA3" w14:textId="42F970DC" w:rsidR="004360BE" w:rsidRPr="00D266A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Katkı (yüzde puan)</w:t>
            </w:r>
          </w:p>
        </w:tc>
        <w:tc>
          <w:tcPr>
            <w:tcW w:w="1259" w:type="dxa"/>
            <w:tcBorders>
              <w:top w:val="nil"/>
              <w:left w:val="nil"/>
              <w:bottom w:val="nil"/>
              <w:right w:val="nil"/>
            </w:tcBorders>
            <w:shd w:val="clear" w:color="000000" w:fill="FFFFFF"/>
            <w:noWrap/>
            <w:vAlign w:val="bottom"/>
            <w:hideMark/>
          </w:tcPr>
          <w:p w14:paraId="16871BF9" w14:textId="70CAF9F6" w:rsidR="004360BE" w:rsidRPr="00D266A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Değişim (%)</w:t>
            </w:r>
          </w:p>
        </w:tc>
        <w:tc>
          <w:tcPr>
            <w:tcW w:w="1788" w:type="dxa"/>
            <w:tcBorders>
              <w:top w:val="nil"/>
              <w:left w:val="nil"/>
              <w:bottom w:val="nil"/>
              <w:right w:val="single" w:sz="4" w:space="0" w:color="auto"/>
            </w:tcBorders>
            <w:shd w:val="clear" w:color="000000" w:fill="FFFFFF"/>
            <w:noWrap/>
            <w:vAlign w:val="bottom"/>
            <w:hideMark/>
          </w:tcPr>
          <w:p w14:paraId="5848E13E" w14:textId="1E311767" w:rsidR="004360BE" w:rsidRPr="00D266A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Katkı (yüzde puan)</w:t>
            </w:r>
          </w:p>
        </w:tc>
      </w:tr>
      <w:tr w:rsidR="005B19D9" w14:paraId="2CC0141B" w14:textId="77777777" w:rsidTr="00D266AE">
        <w:trPr>
          <w:trHeight w:val="282"/>
        </w:trPr>
        <w:tc>
          <w:tcPr>
            <w:tcW w:w="1480" w:type="dxa"/>
            <w:tcBorders>
              <w:top w:val="nil"/>
              <w:left w:val="single" w:sz="4" w:space="0" w:color="auto"/>
              <w:bottom w:val="nil"/>
              <w:right w:val="single" w:sz="4" w:space="0" w:color="auto"/>
            </w:tcBorders>
            <w:shd w:val="clear" w:color="000000" w:fill="FFFFFF"/>
            <w:noWrap/>
            <w:vAlign w:val="bottom"/>
            <w:hideMark/>
          </w:tcPr>
          <w:p w14:paraId="3C969EA5"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Özel Tüketim</w:t>
            </w:r>
          </w:p>
        </w:tc>
        <w:tc>
          <w:tcPr>
            <w:tcW w:w="1259" w:type="dxa"/>
            <w:tcBorders>
              <w:top w:val="nil"/>
              <w:left w:val="nil"/>
              <w:bottom w:val="nil"/>
              <w:right w:val="nil"/>
            </w:tcBorders>
            <w:shd w:val="clear" w:color="000000" w:fill="FFFFFF"/>
            <w:noWrap/>
            <w:vAlign w:val="bottom"/>
            <w:hideMark/>
          </w:tcPr>
          <w:p w14:paraId="7950E8FE" w14:textId="6FE992A7"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5,1</w:t>
            </w:r>
          </w:p>
        </w:tc>
        <w:tc>
          <w:tcPr>
            <w:tcW w:w="1788" w:type="dxa"/>
            <w:tcBorders>
              <w:top w:val="single" w:sz="4" w:space="0" w:color="auto"/>
              <w:left w:val="nil"/>
              <w:bottom w:val="nil"/>
              <w:right w:val="single" w:sz="4" w:space="0" w:color="auto"/>
            </w:tcBorders>
            <w:shd w:val="clear" w:color="000000" w:fill="FFFFFF"/>
            <w:noWrap/>
            <w:vAlign w:val="bottom"/>
            <w:hideMark/>
          </w:tcPr>
          <w:p w14:paraId="30075C4C" w14:textId="2C9C0153"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2,9</w:t>
            </w:r>
          </w:p>
        </w:tc>
        <w:tc>
          <w:tcPr>
            <w:tcW w:w="1259" w:type="dxa"/>
            <w:tcBorders>
              <w:top w:val="single" w:sz="4" w:space="0" w:color="auto"/>
              <w:left w:val="nil"/>
              <w:bottom w:val="nil"/>
              <w:right w:val="nil"/>
            </w:tcBorders>
            <w:shd w:val="clear" w:color="000000" w:fill="FFFFFF"/>
            <w:noWrap/>
            <w:vAlign w:val="bottom"/>
            <w:hideMark/>
          </w:tcPr>
          <w:p w14:paraId="256CAB8C" w14:textId="22C63A3D"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3,5</w:t>
            </w:r>
          </w:p>
        </w:tc>
        <w:tc>
          <w:tcPr>
            <w:tcW w:w="1788" w:type="dxa"/>
            <w:tcBorders>
              <w:top w:val="single" w:sz="4" w:space="0" w:color="auto"/>
              <w:left w:val="nil"/>
              <w:bottom w:val="nil"/>
              <w:right w:val="single" w:sz="4" w:space="0" w:color="auto"/>
            </w:tcBorders>
            <w:shd w:val="clear" w:color="000000" w:fill="FFFFFF"/>
            <w:noWrap/>
            <w:vAlign w:val="bottom"/>
            <w:hideMark/>
          </w:tcPr>
          <w:p w14:paraId="54FDEED4" w14:textId="1D205C21"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1,8</w:t>
            </w:r>
          </w:p>
        </w:tc>
      </w:tr>
      <w:tr w:rsidR="005B19D9" w14:paraId="267E8017" w14:textId="77777777" w:rsidTr="00D266AE">
        <w:trPr>
          <w:trHeight w:val="282"/>
        </w:trPr>
        <w:tc>
          <w:tcPr>
            <w:tcW w:w="1480" w:type="dxa"/>
            <w:tcBorders>
              <w:top w:val="nil"/>
              <w:left w:val="single" w:sz="4" w:space="0" w:color="auto"/>
              <w:bottom w:val="nil"/>
              <w:right w:val="single" w:sz="4" w:space="0" w:color="auto"/>
            </w:tcBorders>
            <w:shd w:val="clear" w:color="000000" w:fill="FFFFFF"/>
            <w:noWrap/>
            <w:vAlign w:val="bottom"/>
            <w:hideMark/>
          </w:tcPr>
          <w:p w14:paraId="5FD02886"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Kamu Tüketimi</w:t>
            </w:r>
          </w:p>
        </w:tc>
        <w:tc>
          <w:tcPr>
            <w:tcW w:w="1259" w:type="dxa"/>
            <w:tcBorders>
              <w:top w:val="nil"/>
              <w:left w:val="nil"/>
              <w:bottom w:val="nil"/>
              <w:right w:val="nil"/>
            </w:tcBorders>
            <w:shd w:val="clear" w:color="000000" w:fill="FFFFFF"/>
            <w:noWrap/>
            <w:vAlign w:val="bottom"/>
            <w:hideMark/>
          </w:tcPr>
          <w:p w14:paraId="4FAF78EA" w14:textId="7878EFF2"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0,8</w:t>
            </w:r>
          </w:p>
        </w:tc>
        <w:tc>
          <w:tcPr>
            <w:tcW w:w="1788" w:type="dxa"/>
            <w:tcBorders>
              <w:top w:val="nil"/>
              <w:left w:val="nil"/>
              <w:bottom w:val="nil"/>
              <w:right w:val="single" w:sz="4" w:space="0" w:color="auto"/>
            </w:tcBorders>
            <w:shd w:val="clear" w:color="000000" w:fill="FFFFFF"/>
            <w:noWrap/>
            <w:vAlign w:val="bottom"/>
            <w:hideMark/>
          </w:tcPr>
          <w:p w14:paraId="19BE99DA" w14:textId="7D2DA35D"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0,1</w:t>
            </w:r>
          </w:p>
        </w:tc>
        <w:tc>
          <w:tcPr>
            <w:tcW w:w="1259" w:type="dxa"/>
            <w:tcBorders>
              <w:top w:val="nil"/>
              <w:left w:val="nil"/>
              <w:bottom w:val="nil"/>
              <w:right w:val="nil"/>
            </w:tcBorders>
            <w:shd w:val="clear" w:color="000000" w:fill="FFFFFF"/>
            <w:noWrap/>
            <w:vAlign w:val="bottom"/>
            <w:hideMark/>
          </w:tcPr>
          <w:p w14:paraId="402108CD" w14:textId="0C539635"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-1,8</w:t>
            </w:r>
          </w:p>
        </w:tc>
        <w:tc>
          <w:tcPr>
            <w:tcW w:w="1788" w:type="dxa"/>
            <w:tcBorders>
              <w:top w:val="nil"/>
              <w:left w:val="nil"/>
              <w:bottom w:val="nil"/>
              <w:right w:val="single" w:sz="4" w:space="0" w:color="auto"/>
            </w:tcBorders>
            <w:shd w:val="clear" w:color="000000" w:fill="FFFFFF"/>
            <w:noWrap/>
            <w:vAlign w:val="bottom"/>
            <w:hideMark/>
          </w:tcPr>
          <w:p w14:paraId="4E5B7AB0" w14:textId="501FC8F1"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-0,2</w:t>
            </w:r>
          </w:p>
        </w:tc>
      </w:tr>
      <w:tr w:rsidR="005B19D9" w14:paraId="71812687" w14:textId="77777777" w:rsidTr="00D266AE">
        <w:trPr>
          <w:trHeight w:val="282"/>
        </w:trPr>
        <w:tc>
          <w:tcPr>
            <w:tcW w:w="1480" w:type="dxa"/>
            <w:tcBorders>
              <w:top w:val="nil"/>
              <w:left w:val="single" w:sz="4" w:space="0" w:color="auto"/>
              <w:bottom w:val="nil"/>
              <w:right w:val="single" w:sz="4" w:space="0" w:color="auto"/>
            </w:tcBorders>
            <w:shd w:val="clear" w:color="000000" w:fill="FFFFFF"/>
            <w:noWrap/>
            <w:vAlign w:val="bottom"/>
            <w:hideMark/>
          </w:tcPr>
          <w:p w14:paraId="5E04B723"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Yatırım</w:t>
            </w:r>
          </w:p>
        </w:tc>
        <w:tc>
          <w:tcPr>
            <w:tcW w:w="1259" w:type="dxa"/>
            <w:tcBorders>
              <w:top w:val="nil"/>
              <w:left w:val="nil"/>
              <w:bottom w:val="nil"/>
              <w:right w:val="nil"/>
            </w:tcBorders>
            <w:shd w:val="clear" w:color="000000" w:fill="FFFFFF"/>
            <w:noWrap/>
            <w:vAlign w:val="bottom"/>
            <w:hideMark/>
          </w:tcPr>
          <w:p w14:paraId="75F2B02C" w14:textId="56FADEB5"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3,1</w:t>
            </w:r>
          </w:p>
        </w:tc>
        <w:tc>
          <w:tcPr>
            <w:tcW w:w="1788" w:type="dxa"/>
            <w:tcBorders>
              <w:top w:val="nil"/>
              <w:left w:val="nil"/>
              <w:bottom w:val="nil"/>
              <w:right w:val="single" w:sz="4" w:space="0" w:color="auto"/>
            </w:tcBorders>
            <w:shd w:val="clear" w:color="000000" w:fill="FFFFFF"/>
            <w:noWrap/>
            <w:vAlign w:val="bottom"/>
            <w:hideMark/>
          </w:tcPr>
          <w:p w14:paraId="7A5D8EDA" w14:textId="0CA54310"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1,0</w:t>
            </w:r>
          </w:p>
        </w:tc>
        <w:tc>
          <w:tcPr>
            <w:tcW w:w="1259" w:type="dxa"/>
            <w:tcBorders>
              <w:top w:val="nil"/>
              <w:left w:val="nil"/>
              <w:bottom w:val="nil"/>
              <w:right w:val="nil"/>
            </w:tcBorders>
            <w:shd w:val="clear" w:color="000000" w:fill="FFFFFF"/>
            <w:noWrap/>
            <w:vAlign w:val="bottom"/>
            <w:hideMark/>
          </w:tcPr>
          <w:p w14:paraId="723E3F99" w14:textId="1C9F003E"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0,6</w:t>
            </w:r>
          </w:p>
        </w:tc>
        <w:tc>
          <w:tcPr>
            <w:tcW w:w="1788" w:type="dxa"/>
            <w:tcBorders>
              <w:top w:val="nil"/>
              <w:left w:val="nil"/>
              <w:bottom w:val="nil"/>
              <w:right w:val="single" w:sz="4" w:space="0" w:color="auto"/>
            </w:tcBorders>
            <w:shd w:val="clear" w:color="000000" w:fill="FFFFFF"/>
            <w:noWrap/>
            <w:vAlign w:val="bottom"/>
            <w:hideMark/>
          </w:tcPr>
          <w:p w14:paraId="591ABAE7" w14:textId="1624232B"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0,2</w:t>
            </w:r>
          </w:p>
        </w:tc>
      </w:tr>
      <w:tr w:rsidR="005B19D9" w14:paraId="2DF782AD" w14:textId="77777777" w:rsidTr="00D266AE">
        <w:trPr>
          <w:trHeight w:val="282"/>
        </w:trPr>
        <w:tc>
          <w:tcPr>
            <w:tcW w:w="1480" w:type="dxa"/>
            <w:tcBorders>
              <w:top w:val="nil"/>
              <w:left w:val="single" w:sz="4" w:space="0" w:color="auto"/>
              <w:bottom w:val="nil"/>
              <w:right w:val="single" w:sz="4" w:space="0" w:color="auto"/>
            </w:tcBorders>
            <w:shd w:val="clear" w:color="000000" w:fill="FFFFFF"/>
            <w:noWrap/>
            <w:vAlign w:val="bottom"/>
            <w:hideMark/>
          </w:tcPr>
          <w:p w14:paraId="02AFF77E"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Stok Değişimi</w:t>
            </w:r>
          </w:p>
        </w:tc>
        <w:tc>
          <w:tcPr>
            <w:tcW w:w="1259" w:type="dxa"/>
            <w:tcBorders>
              <w:top w:val="nil"/>
              <w:left w:val="nil"/>
              <w:bottom w:val="nil"/>
              <w:right w:val="nil"/>
            </w:tcBorders>
            <w:shd w:val="clear" w:color="000000" w:fill="FFFFFF"/>
            <w:noWrap/>
            <w:vAlign w:val="bottom"/>
            <w:hideMark/>
          </w:tcPr>
          <w:p w14:paraId="33B6465C" w14:textId="2B4CD562" w:rsidR="005B19D9" w:rsidRDefault="005B19D9" w:rsidP="005B19D9">
            <w:pPr>
              <w:jc w:val="center"/>
              <w:rPr>
                <w:rFonts w:ascii="Calibri" w:hAnsi="Calibri" w:cs="Calibri"/>
                <w:color w:val="000000"/>
                <w:sz w:val="20"/>
                <w:szCs w:val="20"/>
              </w:rPr>
            </w:pPr>
          </w:p>
        </w:tc>
        <w:tc>
          <w:tcPr>
            <w:tcW w:w="1788" w:type="dxa"/>
            <w:tcBorders>
              <w:top w:val="nil"/>
              <w:left w:val="nil"/>
              <w:bottom w:val="nil"/>
              <w:right w:val="single" w:sz="4" w:space="0" w:color="auto"/>
            </w:tcBorders>
            <w:shd w:val="clear" w:color="000000" w:fill="FFFFFF"/>
            <w:noWrap/>
            <w:vAlign w:val="bottom"/>
            <w:hideMark/>
          </w:tcPr>
          <w:p w14:paraId="72B609FE" w14:textId="77E163EC"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1,7</w:t>
            </w:r>
          </w:p>
        </w:tc>
        <w:tc>
          <w:tcPr>
            <w:tcW w:w="1259" w:type="dxa"/>
            <w:tcBorders>
              <w:top w:val="nil"/>
              <w:left w:val="nil"/>
              <w:bottom w:val="nil"/>
              <w:right w:val="nil"/>
            </w:tcBorders>
            <w:shd w:val="clear" w:color="000000" w:fill="FFFFFF"/>
            <w:noWrap/>
            <w:vAlign w:val="bottom"/>
            <w:hideMark/>
          </w:tcPr>
          <w:p w14:paraId="4CAA4C8F" w14:textId="21BE9E22" w:rsidR="005B19D9" w:rsidRDefault="005B19D9" w:rsidP="005B19D9">
            <w:pPr>
              <w:jc w:val="center"/>
              <w:rPr>
                <w:rFonts w:ascii="Calibri" w:hAnsi="Calibri" w:cs="Calibri"/>
                <w:color w:val="000000"/>
                <w:sz w:val="20"/>
                <w:szCs w:val="20"/>
              </w:rPr>
            </w:pPr>
          </w:p>
        </w:tc>
        <w:tc>
          <w:tcPr>
            <w:tcW w:w="1788" w:type="dxa"/>
            <w:tcBorders>
              <w:top w:val="nil"/>
              <w:left w:val="nil"/>
              <w:bottom w:val="nil"/>
              <w:right w:val="single" w:sz="4" w:space="0" w:color="auto"/>
            </w:tcBorders>
            <w:shd w:val="clear" w:color="000000" w:fill="FFFFFF"/>
            <w:noWrap/>
            <w:vAlign w:val="bottom"/>
            <w:hideMark/>
          </w:tcPr>
          <w:p w14:paraId="3C47EA62" w14:textId="08F53719"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-0,3</w:t>
            </w:r>
          </w:p>
        </w:tc>
      </w:tr>
      <w:tr w:rsidR="005B19D9" w14:paraId="0784A44A" w14:textId="77777777" w:rsidTr="00D266AE">
        <w:trPr>
          <w:trHeight w:val="282"/>
        </w:trPr>
        <w:tc>
          <w:tcPr>
            <w:tcW w:w="1480" w:type="dxa"/>
            <w:tcBorders>
              <w:top w:val="nil"/>
              <w:left w:val="single" w:sz="4" w:space="0" w:color="auto"/>
              <w:bottom w:val="nil"/>
              <w:right w:val="single" w:sz="4" w:space="0" w:color="auto"/>
            </w:tcBorders>
            <w:shd w:val="clear" w:color="000000" w:fill="FFFFFF"/>
            <w:noWrap/>
            <w:vAlign w:val="bottom"/>
            <w:hideMark/>
          </w:tcPr>
          <w:p w14:paraId="0B5CEEDB"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İhracat</w:t>
            </w:r>
          </w:p>
        </w:tc>
        <w:tc>
          <w:tcPr>
            <w:tcW w:w="1259" w:type="dxa"/>
            <w:tcBorders>
              <w:top w:val="nil"/>
              <w:left w:val="nil"/>
              <w:bottom w:val="nil"/>
              <w:right w:val="nil"/>
            </w:tcBorders>
            <w:shd w:val="clear" w:color="000000" w:fill="FFFFFF"/>
            <w:noWrap/>
            <w:vAlign w:val="bottom"/>
            <w:hideMark/>
          </w:tcPr>
          <w:p w14:paraId="07441065" w14:textId="7D41AC13"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-12,7</w:t>
            </w:r>
          </w:p>
        </w:tc>
        <w:tc>
          <w:tcPr>
            <w:tcW w:w="1788" w:type="dxa"/>
            <w:tcBorders>
              <w:top w:val="nil"/>
              <w:left w:val="nil"/>
              <w:bottom w:val="nil"/>
              <w:right w:val="single" w:sz="4" w:space="0" w:color="auto"/>
            </w:tcBorders>
            <w:shd w:val="clear" w:color="000000" w:fill="FFFFFF"/>
            <w:noWrap/>
            <w:vAlign w:val="bottom"/>
            <w:hideMark/>
          </w:tcPr>
          <w:p w14:paraId="59359515" w14:textId="70197B35"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-3,3</w:t>
            </w:r>
          </w:p>
        </w:tc>
        <w:tc>
          <w:tcPr>
            <w:tcW w:w="1259" w:type="dxa"/>
            <w:tcBorders>
              <w:top w:val="nil"/>
              <w:left w:val="nil"/>
              <w:bottom w:val="nil"/>
              <w:right w:val="nil"/>
            </w:tcBorders>
            <w:shd w:val="clear" w:color="000000" w:fill="FFFFFF"/>
            <w:noWrap/>
            <w:vAlign w:val="bottom"/>
            <w:hideMark/>
          </w:tcPr>
          <w:p w14:paraId="77A52EC7" w14:textId="26D79440"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-3,4</w:t>
            </w:r>
          </w:p>
        </w:tc>
        <w:tc>
          <w:tcPr>
            <w:tcW w:w="1788" w:type="dxa"/>
            <w:tcBorders>
              <w:top w:val="nil"/>
              <w:left w:val="nil"/>
              <w:bottom w:val="nil"/>
              <w:right w:val="single" w:sz="4" w:space="0" w:color="auto"/>
            </w:tcBorders>
            <w:shd w:val="clear" w:color="000000" w:fill="FFFFFF"/>
            <w:noWrap/>
            <w:vAlign w:val="bottom"/>
            <w:hideMark/>
          </w:tcPr>
          <w:p w14:paraId="17007491" w14:textId="56825332"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-0,8</w:t>
            </w:r>
          </w:p>
        </w:tc>
      </w:tr>
      <w:tr w:rsidR="005B19D9" w14:paraId="7A68834D" w14:textId="77777777" w:rsidTr="00D266AE">
        <w:trPr>
          <w:trHeight w:val="282"/>
        </w:trPr>
        <w:tc>
          <w:tcPr>
            <w:tcW w:w="1480" w:type="dxa"/>
            <w:tcBorders>
              <w:top w:val="nil"/>
              <w:left w:val="single" w:sz="4" w:space="0" w:color="auto"/>
              <w:bottom w:val="nil"/>
              <w:right w:val="single" w:sz="4" w:space="0" w:color="auto"/>
            </w:tcBorders>
            <w:shd w:val="clear" w:color="000000" w:fill="FFFFFF"/>
            <w:noWrap/>
            <w:vAlign w:val="bottom"/>
            <w:hideMark/>
          </w:tcPr>
          <w:p w14:paraId="069F548C"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İthalat</w:t>
            </w:r>
          </w:p>
        </w:tc>
        <w:tc>
          <w:tcPr>
            <w:tcW w:w="1259" w:type="dxa"/>
            <w:tcBorders>
              <w:top w:val="nil"/>
              <w:left w:val="nil"/>
              <w:bottom w:val="nil"/>
              <w:right w:val="nil"/>
            </w:tcBorders>
            <w:shd w:val="clear" w:color="000000" w:fill="FFFFFF"/>
            <w:noWrap/>
            <w:vAlign w:val="bottom"/>
            <w:hideMark/>
          </w:tcPr>
          <w:p w14:paraId="297B3209" w14:textId="090C64AA"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-2,0</w:t>
            </w:r>
          </w:p>
        </w:tc>
        <w:tc>
          <w:tcPr>
            <w:tcW w:w="1788" w:type="dxa"/>
            <w:tcBorders>
              <w:top w:val="nil"/>
              <w:left w:val="nil"/>
              <w:bottom w:val="nil"/>
              <w:right w:val="single" w:sz="4" w:space="0" w:color="auto"/>
            </w:tcBorders>
            <w:shd w:val="clear" w:color="000000" w:fill="FFFFFF"/>
            <w:noWrap/>
            <w:vAlign w:val="bottom"/>
            <w:hideMark/>
          </w:tcPr>
          <w:p w14:paraId="763B5F6E" w14:textId="0183B1B4"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0,3</w:t>
            </w:r>
          </w:p>
        </w:tc>
        <w:tc>
          <w:tcPr>
            <w:tcW w:w="1259" w:type="dxa"/>
            <w:tcBorders>
              <w:top w:val="nil"/>
              <w:left w:val="nil"/>
              <w:bottom w:val="nil"/>
              <w:right w:val="nil"/>
            </w:tcBorders>
            <w:shd w:val="clear" w:color="000000" w:fill="FFFFFF"/>
            <w:noWrap/>
            <w:vAlign w:val="bottom"/>
            <w:hideMark/>
          </w:tcPr>
          <w:p w14:paraId="5EC8E8D5" w14:textId="53C57BBF"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-6,4</w:t>
            </w:r>
          </w:p>
        </w:tc>
        <w:tc>
          <w:tcPr>
            <w:tcW w:w="1788" w:type="dxa"/>
            <w:tcBorders>
              <w:top w:val="nil"/>
              <w:left w:val="nil"/>
              <w:bottom w:val="nil"/>
              <w:right w:val="single" w:sz="4" w:space="0" w:color="auto"/>
            </w:tcBorders>
            <w:shd w:val="clear" w:color="000000" w:fill="FFFFFF"/>
            <w:noWrap/>
            <w:vAlign w:val="bottom"/>
            <w:hideMark/>
          </w:tcPr>
          <w:p w14:paraId="5C99268B" w14:textId="7792FF4B"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1,7</w:t>
            </w:r>
          </w:p>
        </w:tc>
      </w:tr>
      <w:tr w:rsidR="005B19D9" w14:paraId="62E5B260" w14:textId="77777777" w:rsidTr="00D266AE">
        <w:trPr>
          <w:trHeight w:val="300"/>
        </w:trPr>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14:paraId="168214E4"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GSYH</w:t>
            </w:r>
          </w:p>
        </w:tc>
        <w:tc>
          <w:tcPr>
            <w:tcW w:w="1259" w:type="dxa"/>
            <w:tcBorders>
              <w:top w:val="nil"/>
              <w:left w:val="nil"/>
              <w:bottom w:val="single" w:sz="4" w:space="0" w:color="auto"/>
              <w:right w:val="nil"/>
            </w:tcBorders>
            <w:shd w:val="clear" w:color="000000" w:fill="FFFFFF"/>
            <w:noWrap/>
            <w:vAlign w:val="bottom"/>
            <w:hideMark/>
          </w:tcPr>
          <w:p w14:paraId="1768224F" w14:textId="33FE00AA"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2,6</w:t>
            </w:r>
          </w:p>
        </w:tc>
        <w:tc>
          <w:tcPr>
            <w:tcW w:w="1788" w:type="dxa"/>
            <w:tcBorders>
              <w:top w:val="nil"/>
              <w:left w:val="nil"/>
              <w:bottom w:val="single" w:sz="4" w:space="0" w:color="auto"/>
              <w:right w:val="single" w:sz="4" w:space="0" w:color="auto"/>
            </w:tcBorders>
            <w:shd w:val="clear" w:color="000000" w:fill="FFFFFF"/>
            <w:noWrap/>
            <w:vAlign w:val="bottom"/>
            <w:hideMark/>
          </w:tcPr>
          <w:p w14:paraId="10F8DC03" w14:textId="062909A4" w:rsidR="005B19D9" w:rsidRDefault="005B19D9" w:rsidP="005B19D9">
            <w:pPr>
              <w:jc w:val="center"/>
              <w:rPr>
                <w:rFonts w:ascii="Calibri" w:hAnsi="Calibri" w:cs="Calibri"/>
                <w:color w:val="000000"/>
                <w:sz w:val="20"/>
                <w:szCs w:val="20"/>
              </w:rPr>
            </w:pPr>
          </w:p>
        </w:tc>
        <w:tc>
          <w:tcPr>
            <w:tcW w:w="1259" w:type="dxa"/>
            <w:tcBorders>
              <w:top w:val="nil"/>
              <w:left w:val="nil"/>
              <w:bottom w:val="single" w:sz="4" w:space="0" w:color="auto"/>
              <w:right w:val="nil"/>
            </w:tcBorders>
            <w:shd w:val="clear" w:color="000000" w:fill="FFFFFF"/>
            <w:noWrap/>
            <w:vAlign w:val="bottom"/>
            <w:hideMark/>
          </w:tcPr>
          <w:p w14:paraId="361D121E" w14:textId="013481BB"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2,3</w:t>
            </w:r>
          </w:p>
        </w:tc>
        <w:tc>
          <w:tcPr>
            <w:tcW w:w="1788" w:type="dxa"/>
            <w:tcBorders>
              <w:top w:val="nil"/>
              <w:left w:val="nil"/>
              <w:bottom w:val="single" w:sz="4" w:space="0" w:color="auto"/>
              <w:right w:val="single" w:sz="4" w:space="0" w:color="auto"/>
            </w:tcBorders>
            <w:shd w:val="clear" w:color="000000" w:fill="FFFFFF"/>
            <w:noWrap/>
            <w:vAlign w:val="bottom"/>
            <w:hideMark/>
          </w:tcPr>
          <w:p w14:paraId="144CD720" w14:textId="1F12FBA0" w:rsidR="005B19D9" w:rsidRDefault="005B19D9" w:rsidP="005B19D9">
            <w:pPr>
              <w:jc w:val="center"/>
              <w:rPr>
                <w:rFonts w:ascii="Calibri" w:hAnsi="Calibri" w:cs="Calibri"/>
                <w:color w:val="000000"/>
                <w:sz w:val="20"/>
                <w:szCs w:val="20"/>
              </w:rPr>
            </w:pPr>
          </w:p>
        </w:tc>
      </w:tr>
    </w:tbl>
    <w:p w14:paraId="68ED2418" w14:textId="58DED315" w:rsidR="00405BD8" w:rsidRDefault="003D44CE" w:rsidP="003122C3">
      <w:pPr>
        <w:keepLines/>
        <w:widowControl w:val="0"/>
        <w:spacing w:before="120"/>
        <w:rPr>
          <w:rFonts w:ascii="Palatino Linotype" w:hAnsi="Palatino Linotype" w:cstheme="minorHAnsi"/>
          <w:sz w:val="18"/>
          <w:szCs w:val="18"/>
        </w:rPr>
      </w:pPr>
      <w:r>
        <w:rPr>
          <w:rFonts w:ascii="Palatino Linotype" w:hAnsi="Palatino Linotype" w:cstheme="minorHAnsi"/>
          <w:sz w:val="18"/>
          <w:szCs w:val="18"/>
        </w:rPr>
        <w:t>Kaynak: TÜİK, Betam</w:t>
      </w:r>
    </w:p>
    <w:p w14:paraId="06E46BDB" w14:textId="77777777" w:rsidR="00311EFF" w:rsidRPr="00CC0355" w:rsidRDefault="00311EFF" w:rsidP="00405BD8">
      <w:pPr>
        <w:keepLines/>
        <w:widowControl w:val="0"/>
        <w:rPr>
          <w:rFonts w:ascii="Palatino Linotype" w:hAnsi="Palatino Linotype" w:cstheme="minorHAnsi"/>
          <w:sz w:val="18"/>
          <w:szCs w:val="18"/>
        </w:rPr>
      </w:pPr>
    </w:p>
    <w:p w14:paraId="0616481E" w14:textId="3EF90BEE" w:rsidR="00732DA5" w:rsidRPr="00CC0355" w:rsidRDefault="006C3EE6" w:rsidP="005B19D9">
      <w:pPr>
        <w:keepNext/>
        <w:spacing w:after="120"/>
        <w:ind w:right="79"/>
        <w:jc w:val="both"/>
        <w:rPr>
          <w:rFonts w:ascii="Palatino Linotype" w:hAnsi="Palatino Linotype" w:cstheme="minorHAnsi"/>
          <w:b/>
          <w:bCs/>
          <w:sz w:val="22"/>
          <w:szCs w:val="22"/>
        </w:rPr>
      </w:pPr>
      <w:r>
        <w:rPr>
          <w:rFonts w:ascii="Palatino Linotype" w:hAnsi="Palatino Linotype" w:cstheme="minorHAnsi"/>
          <w:b/>
          <w:bCs/>
          <w:sz w:val="22"/>
          <w:szCs w:val="22"/>
        </w:rPr>
        <w:t xml:space="preserve">Tablo 2: GSYH </w:t>
      </w:r>
      <w:r>
        <w:rPr>
          <w:rFonts w:ascii="Palatino Linotype" w:hAnsi="Palatino Linotype" w:cstheme="minorHAnsi"/>
          <w:b/>
          <w:bCs/>
          <w:color w:val="000000" w:themeColor="text1"/>
          <w:sz w:val="22"/>
          <w:szCs w:val="22"/>
        </w:rPr>
        <w:t xml:space="preserve">alt </w:t>
      </w:r>
      <w:r>
        <w:rPr>
          <w:rFonts w:ascii="Palatino Linotype" w:hAnsi="Palatino Linotype" w:cstheme="minorHAnsi"/>
          <w:b/>
          <w:bCs/>
          <w:sz w:val="22"/>
          <w:szCs w:val="22"/>
        </w:rPr>
        <w:t>kalemlerinin 2026 1. ve 2026 2. çeyrekte bir önceki çeyreğe göre büyüme oranları ve büyümeye katkıları (mevsim ve takvim etkilerinden arındırılmış)</w:t>
      </w:r>
    </w:p>
    <w:tbl>
      <w:tblPr>
        <w:tblW w:w="7574" w:type="dxa"/>
        <w:tblCellMar>
          <w:left w:w="70" w:type="dxa"/>
          <w:right w:w="70" w:type="dxa"/>
        </w:tblCellMar>
        <w:tblLook w:val="04A0" w:firstRow="1" w:lastRow="0" w:firstColumn="1" w:lastColumn="0" w:noHBand="0" w:noVBand="1"/>
      </w:tblPr>
      <w:tblGrid>
        <w:gridCol w:w="1480"/>
        <w:gridCol w:w="1259"/>
        <w:gridCol w:w="1788"/>
        <w:gridCol w:w="1259"/>
        <w:gridCol w:w="1788"/>
      </w:tblGrid>
      <w:tr w:rsidR="004360BE" w14:paraId="0B569F4A" w14:textId="77777777" w:rsidTr="00D266AE">
        <w:trPr>
          <w:trHeight w:val="282"/>
        </w:trPr>
        <w:tc>
          <w:tcPr>
            <w:tcW w:w="1480" w:type="dxa"/>
            <w:tcBorders>
              <w:top w:val="single" w:sz="4" w:space="0" w:color="auto"/>
              <w:left w:val="single" w:sz="4" w:space="0" w:color="auto"/>
              <w:bottom w:val="nil"/>
              <w:right w:val="single" w:sz="4" w:space="0" w:color="auto"/>
            </w:tcBorders>
            <w:shd w:val="clear" w:color="000000" w:fill="FFFFFF"/>
            <w:noWrap/>
            <w:vAlign w:val="bottom"/>
            <w:hideMark/>
          </w:tcPr>
          <w:p w14:paraId="4C2C57A8" w14:textId="77777777" w:rsidR="004360BE" w:rsidRDefault="004360BE" w:rsidP="004360BE">
            <w:pPr>
              <w:rPr>
                <w:rFonts w:ascii="Calibri" w:hAnsi="Calibri" w:cs="Calibri"/>
                <w:b/>
                <w:bCs/>
                <w:color w:val="000000"/>
                <w:sz w:val="20"/>
                <w:szCs w:val="20"/>
              </w:rPr>
            </w:pPr>
            <w:r>
              <w:rPr>
                <w:rFonts w:ascii="Calibri" w:hAnsi="Calibri" w:cs="Calibri"/>
                <w:b/>
                <w:bCs/>
                <w:color w:val="000000"/>
                <w:sz w:val="20"/>
                <w:szCs w:val="20"/>
              </w:rPr>
              <w:t> </w:t>
            </w:r>
          </w:p>
        </w:tc>
        <w:tc>
          <w:tcPr>
            <w:tcW w:w="3047"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5C2B9342" w14:textId="7CA185B8" w:rsidR="004360B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2026Q1</w:t>
            </w:r>
          </w:p>
        </w:tc>
        <w:tc>
          <w:tcPr>
            <w:tcW w:w="3047"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0EBD32E8" w14:textId="52502150" w:rsidR="004360BE" w:rsidRDefault="004360BE" w:rsidP="004360BE">
            <w:pPr>
              <w:jc w:val="center"/>
              <w:rPr>
                <w:rFonts w:ascii="Calibri" w:hAnsi="Calibri" w:cs="Calibri"/>
                <w:b/>
                <w:bCs/>
                <w:color w:val="000000"/>
                <w:sz w:val="20"/>
                <w:szCs w:val="20"/>
              </w:rPr>
            </w:pPr>
            <w:r>
              <w:rPr>
                <w:rFonts w:ascii="Calibri" w:hAnsi="Calibri" w:cs="Calibri"/>
                <w:b/>
                <w:bCs/>
                <w:color w:val="000000"/>
                <w:sz w:val="20"/>
                <w:szCs w:val="20"/>
              </w:rPr>
              <w:t>2026Q2</w:t>
            </w:r>
          </w:p>
        </w:tc>
      </w:tr>
      <w:tr w:rsidR="002D0856" w14:paraId="5D1A18FC" w14:textId="77777777" w:rsidTr="00D266AE">
        <w:trPr>
          <w:trHeight w:val="282"/>
        </w:trPr>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14:paraId="1529856B" w14:textId="77777777" w:rsidR="002D0856" w:rsidRDefault="002D0856">
            <w:pPr>
              <w:rPr>
                <w:rFonts w:ascii="Calibri" w:hAnsi="Calibri" w:cs="Calibri"/>
                <w:b/>
                <w:bCs/>
                <w:color w:val="000000"/>
                <w:sz w:val="20"/>
                <w:szCs w:val="20"/>
              </w:rPr>
            </w:pPr>
            <w:r>
              <w:rPr>
                <w:rFonts w:ascii="Calibri" w:hAnsi="Calibri" w:cs="Calibri"/>
                <w:b/>
                <w:bCs/>
                <w:color w:val="000000"/>
                <w:sz w:val="20"/>
                <w:szCs w:val="20"/>
              </w:rPr>
              <w:t> </w:t>
            </w:r>
          </w:p>
        </w:tc>
        <w:tc>
          <w:tcPr>
            <w:tcW w:w="1259" w:type="dxa"/>
            <w:tcBorders>
              <w:top w:val="nil"/>
              <w:left w:val="nil"/>
              <w:bottom w:val="nil"/>
              <w:right w:val="nil"/>
            </w:tcBorders>
            <w:shd w:val="clear" w:color="000000" w:fill="FFFFFF"/>
            <w:noWrap/>
            <w:vAlign w:val="bottom"/>
            <w:hideMark/>
          </w:tcPr>
          <w:p w14:paraId="74F021CD" w14:textId="77777777" w:rsidR="002D0856" w:rsidRPr="00D266AE" w:rsidRDefault="002D0856">
            <w:pPr>
              <w:jc w:val="center"/>
              <w:rPr>
                <w:rFonts w:ascii="Calibri" w:hAnsi="Calibri" w:cs="Calibri"/>
                <w:b/>
                <w:bCs/>
                <w:color w:val="000000"/>
                <w:sz w:val="20"/>
                <w:szCs w:val="20"/>
              </w:rPr>
            </w:pPr>
            <w:r>
              <w:rPr>
                <w:rFonts w:ascii="Calibri" w:hAnsi="Calibri" w:cs="Calibri"/>
                <w:b/>
                <w:bCs/>
                <w:color w:val="000000"/>
                <w:sz w:val="20"/>
                <w:szCs w:val="20"/>
              </w:rPr>
              <w:t>Değişim (%)</w:t>
            </w:r>
          </w:p>
        </w:tc>
        <w:tc>
          <w:tcPr>
            <w:tcW w:w="1788" w:type="dxa"/>
            <w:tcBorders>
              <w:top w:val="nil"/>
              <w:left w:val="nil"/>
              <w:bottom w:val="nil"/>
              <w:right w:val="single" w:sz="4" w:space="0" w:color="auto"/>
            </w:tcBorders>
            <w:shd w:val="clear" w:color="000000" w:fill="FFFFFF"/>
            <w:noWrap/>
            <w:vAlign w:val="bottom"/>
            <w:hideMark/>
          </w:tcPr>
          <w:p w14:paraId="3B4D9DB3" w14:textId="62A22421" w:rsidR="002D0856" w:rsidRPr="00D266AE" w:rsidRDefault="002D0856">
            <w:pPr>
              <w:jc w:val="center"/>
              <w:rPr>
                <w:rFonts w:ascii="Calibri" w:hAnsi="Calibri" w:cs="Calibri"/>
                <w:b/>
                <w:bCs/>
                <w:color w:val="000000"/>
                <w:sz w:val="20"/>
                <w:szCs w:val="20"/>
              </w:rPr>
            </w:pPr>
            <w:r>
              <w:rPr>
                <w:rFonts w:ascii="Calibri" w:hAnsi="Calibri" w:cs="Calibri"/>
                <w:b/>
                <w:bCs/>
                <w:color w:val="000000"/>
                <w:sz w:val="20"/>
                <w:szCs w:val="20"/>
              </w:rPr>
              <w:t>Katkı (yüzde puan)</w:t>
            </w:r>
          </w:p>
        </w:tc>
        <w:tc>
          <w:tcPr>
            <w:tcW w:w="1259" w:type="dxa"/>
            <w:tcBorders>
              <w:top w:val="nil"/>
              <w:left w:val="nil"/>
              <w:bottom w:val="nil"/>
              <w:right w:val="nil"/>
            </w:tcBorders>
            <w:shd w:val="clear" w:color="000000" w:fill="FFFFFF"/>
            <w:noWrap/>
            <w:vAlign w:val="bottom"/>
            <w:hideMark/>
          </w:tcPr>
          <w:p w14:paraId="2BA7A8FB" w14:textId="77777777" w:rsidR="002D0856" w:rsidRPr="00D266AE" w:rsidRDefault="002D0856">
            <w:pPr>
              <w:jc w:val="center"/>
              <w:rPr>
                <w:rFonts w:ascii="Calibri" w:hAnsi="Calibri" w:cs="Calibri"/>
                <w:b/>
                <w:bCs/>
                <w:color w:val="000000"/>
                <w:sz w:val="20"/>
                <w:szCs w:val="20"/>
              </w:rPr>
            </w:pPr>
            <w:r>
              <w:rPr>
                <w:rFonts w:ascii="Calibri" w:hAnsi="Calibri" w:cs="Calibri"/>
                <w:b/>
                <w:bCs/>
                <w:color w:val="000000"/>
                <w:sz w:val="20"/>
                <w:szCs w:val="20"/>
              </w:rPr>
              <w:t>Değişim (%)</w:t>
            </w:r>
          </w:p>
        </w:tc>
        <w:tc>
          <w:tcPr>
            <w:tcW w:w="1788" w:type="dxa"/>
            <w:tcBorders>
              <w:top w:val="nil"/>
              <w:left w:val="nil"/>
              <w:bottom w:val="nil"/>
              <w:right w:val="single" w:sz="4" w:space="0" w:color="auto"/>
            </w:tcBorders>
            <w:shd w:val="clear" w:color="000000" w:fill="FFFFFF"/>
            <w:noWrap/>
            <w:vAlign w:val="bottom"/>
            <w:hideMark/>
          </w:tcPr>
          <w:p w14:paraId="5A0A6D90" w14:textId="344782B2" w:rsidR="002D0856" w:rsidRDefault="002D0856">
            <w:pPr>
              <w:jc w:val="center"/>
              <w:rPr>
                <w:rFonts w:ascii="Calibri" w:hAnsi="Calibri" w:cs="Calibri"/>
                <w:b/>
                <w:bCs/>
                <w:color w:val="000000"/>
                <w:sz w:val="20"/>
                <w:szCs w:val="20"/>
              </w:rPr>
            </w:pPr>
            <w:r>
              <w:rPr>
                <w:rFonts w:ascii="Calibri" w:hAnsi="Calibri" w:cs="Calibri"/>
                <w:b/>
                <w:bCs/>
                <w:color w:val="000000"/>
                <w:sz w:val="20"/>
                <w:szCs w:val="20"/>
              </w:rPr>
              <w:t>Katkı (yüzde puan)</w:t>
            </w:r>
          </w:p>
        </w:tc>
      </w:tr>
      <w:tr w:rsidR="005B19D9" w14:paraId="21BB0FD1" w14:textId="77777777" w:rsidTr="00D266AE">
        <w:trPr>
          <w:trHeight w:val="282"/>
        </w:trPr>
        <w:tc>
          <w:tcPr>
            <w:tcW w:w="1480" w:type="dxa"/>
            <w:tcBorders>
              <w:top w:val="nil"/>
              <w:left w:val="single" w:sz="4" w:space="0" w:color="auto"/>
              <w:bottom w:val="nil"/>
              <w:right w:val="nil"/>
            </w:tcBorders>
            <w:shd w:val="clear" w:color="000000" w:fill="FFFFFF"/>
            <w:noWrap/>
            <w:vAlign w:val="bottom"/>
            <w:hideMark/>
          </w:tcPr>
          <w:p w14:paraId="4D3D560F"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Özel Tüketim</w:t>
            </w:r>
          </w:p>
        </w:tc>
        <w:tc>
          <w:tcPr>
            <w:tcW w:w="1259" w:type="dxa"/>
            <w:tcBorders>
              <w:top w:val="single" w:sz="4" w:space="0" w:color="auto"/>
              <w:left w:val="single" w:sz="4" w:space="0" w:color="auto"/>
              <w:bottom w:val="nil"/>
              <w:right w:val="nil"/>
            </w:tcBorders>
            <w:shd w:val="clear" w:color="000000" w:fill="FFFFFF"/>
            <w:noWrap/>
            <w:vAlign w:val="bottom"/>
            <w:hideMark/>
          </w:tcPr>
          <w:p w14:paraId="451B6779" w14:textId="27CA92D1"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-0,1</w:t>
            </w:r>
          </w:p>
        </w:tc>
        <w:tc>
          <w:tcPr>
            <w:tcW w:w="1788" w:type="dxa"/>
            <w:tcBorders>
              <w:top w:val="single" w:sz="4" w:space="0" w:color="auto"/>
              <w:left w:val="nil"/>
              <w:bottom w:val="nil"/>
              <w:right w:val="single" w:sz="4" w:space="0" w:color="auto"/>
            </w:tcBorders>
            <w:shd w:val="clear" w:color="000000" w:fill="FFFFFF"/>
            <w:noWrap/>
            <w:vAlign w:val="bottom"/>
            <w:hideMark/>
          </w:tcPr>
          <w:p w14:paraId="475D679F" w14:textId="4D665CC1"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-0,1</w:t>
            </w:r>
          </w:p>
        </w:tc>
        <w:tc>
          <w:tcPr>
            <w:tcW w:w="1259" w:type="dxa"/>
            <w:tcBorders>
              <w:top w:val="single" w:sz="4" w:space="0" w:color="auto"/>
              <w:left w:val="nil"/>
              <w:bottom w:val="nil"/>
              <w:right w:val="nil"/>
            </w:tcBorders>
            <w:shd w:val="clear" w:color="000000" w:fill="FFFFFF"/>
            <w:noWrap/>
            <w:vAlign w:val="bottom"/>
            <w:hideMark/>
          </w:tcPr>
          <w:p w14:paraId="655D105B" w14:textId="2905A262"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-1,3</w:t>
            </w:r>
          </w:p>
        </w:tc>
        <w:tc>
          <w:tcPr>
            <w:tcW w:w="1788" w:type="dxa"/>
            <w:tcBorders>
              <w:top w:val="single" w:sz="4" w:space="0" w:color="auto"/>
              <w:left w:val="nil"/>
              <w:bottom w:val="nil"/>
              <w:right w:val="single" w:sz="4" w:space="0" w:color="auto"/>
            </w:tcBorders>
            <w:shd w:val="clear" w:color="000000" w:fill="FFFFFF"/>
            <w:noWrap/>
            <w:vAlign w:val="bottom"/>
            <w:hideMark/>
          </w:tcPr>
          <w:p w14:paraId="3E496BD8" w14:textId="422AE962"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-0,7</w:t>
            </w:r>
          </w:p>
        </w:tc>
      </w:tr>
      <w:tr w:rsidR="005B19D9" w14:paraId="75F86F83" w14:textId="77777777" w:rsidTr="00D266AE">
        <w:trPr>
          <w:trHeight w:val="282"/>
        </w:trPr>
        <w:tc>
          <w:tcPr>
            <w:tcW w:w="1480" w:type="dxa"/>
            <w:tcBorders>
              <w:top w:val="nil"/>
              <w:left w:val="single" w:sz="4" w:space="0" w:color="auto"/>
              <w:bottom w:val="nil"/>
              <w:right w:val="nil"/>
            </w:tcBorders>
            <w:shd w:val="clear" w:color="000000" w:fill="FFFFFF"/>
            <w:noWrap/>
            <w:vAlign w:val="bottom"/>
            <w:hideMark/>
          </w:tcPr>
          <w:p w14:paraId="205A904E"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Kamu Tüketimi</w:t>
            </w:r>
          </w:p>
        </w:tc>
        <w:tc>
          <w:tcPr>
            <w:tcW w:w="1259" w:type="dxa"/>
            <w:tcBorders>
              <w:top w:val="nil"/>
              <w:left w:val="single" w:sz="4" w:space="0" w:color="auto"/>
              <w:bottom w:val="nil"/>
              <w:right w:val="nil"/>
            </w:tcBorders>
            <w:shd w:val="clear" w:color="000000" w:fill="FFFFFF"/>
            <w:noWrap/>
            <w:vAlign w:val="bottom"/>
            <w:hideMark/>
          </w:tcPr>
          <w:p w14:paraId="4D5ECFD6" w14:textId="048926F3"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1,3</w:t>
            </w:r>
          </w:p>
        </w:tc>
        <w:tc>
          <w:tcPr>
            <w:tcW w:w="1788" w:type="dxa"/>
            <w:tcBorders>
              <w:top w:val="nil"/>
              <w:left w:val="nil"/>
              <w:bottom w:val="nil"/>
              <w:right w:val="single" w:sz="4" w:space="0" w:color="auto"/>
            </w:tcBorders>
            <w:shd w:val="clear" w:color="000000" w:fill="FFFFFF"/>
            <w:noWrap/>
            <w:vAlign w:val="bottom"/>
            <w:hideMark/>
          </w:tcPr>
          <w:p w14:paraId="495813DE" w14:textId="705FBB89"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0,2</w:t>
            </w:r>
          </w:p>
        </w:tc>
        <w:tc>
          <w:tcPr>
            <w:tcW w:w="1259" w:type="dxa"/>
            <w:tcBorders>
              <w:top w:val="nil"/>
              <w:left w:val="nil"/>
              <w:bottom w:val="nil"/>
              <w:right w:val="nil"/>
            </w:tcBorders>
            <w:shd w:val="clear" w:color="000000" w:fill="FFFFFF"/>
            <w:noWrap/>
            <w:vAlign w:val="bottom"/>
            <w:hideMark/>
          </w:tcPr>
          <w:p w14:paraId="52FEFE4B" w14:textId="5C7C5D7F"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-2,0</w:t>
            </w:r>
          </w:p>
        </w:tc>
        <w:tc>
          <w:tcPr>
            <w:tcW w:w="1788" w:type="dxa"/>
            <w:tcBorders>
              <w:top w:val="nil"/>
              <w:left w:val="nil"/>
              <w:bottom w:val="nil"/>
              <w:right w:val="single" w:sz="4" w:space="0" w:color="auto"/>
            </w:tcBorders>
            <w:shd w:val="clear" w:color="000000" w:fill="FFFFFF"/>
            <w:noWrap/>
            <w:vAlign w:val="bottom"/>
            <w:hideMark/>
          </w:tcPr>
          <w:p w14:paraId="1B6E6A80" w14:textId="040A9885"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-0,3</w:t>
            </w:r>
          </w:p>
        </w:tc>
      </w:tr>
      <w:tr w:rsidR="005B19D9" w14:paraId="35AD8372" w14:textId="77777777" w:rsidTr="00D266AE">
        <w:trPr>
          <w:trHeight w:val="282"/>
        </w:trPr>
        <w:tc>
          <w:tcPr>
            <w:tcW w:w="1480" w:type="dxa"/>
            <w:tcBorders>
              <w:top w:val="nil"/>
              <w:left w:val="single" w:sz="4" w:space="0" w:color="auto"/>
              <w:bottom w:val="nil"/>
              <w:right w:val="nil"/>
            </w:tcBorders>
            <w:shd w:val="clear" w:color="000000" w:fill="FFFFFF"/>
            <w:noWrap/>
            <w:vAlign w:val="bottom"/>
            <w:hideMark/>
          </w:tcPr>
          <w:p w14:paraId="56DAEB93"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Yatırım</w:t>
            </w:r>
          </w:p>
        </w:tc>
        <w:tc>
          <w:tcPr>
            <w:tcW w:w="1259" w:type="dxa"/>
            <w:tcBorders>
              <w:top w:val="nil"/>
              <w:left w:val="single" w:sz="4" w:space="0" w:color="auto"/>
              <w:bottom w:val="nil"/>
              <w:right w:val="nil"/>
            </w:tcBorders>
            <w:shd w:val="clear" w:color="000000" w:fill="FFFFFF"/>
            <w:noWrap/>
            <w:vAlign w:val="bottom"/>
            <w:hideMark/>
          </w:tcPr>
          <w:p w14:paraId="278C5154" w14:textId="34C86EAB"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-2,0</w:t>
            </w:r>
          </w:p>
        </w:tc>
        <w:tc>
          <w:tcPr>
            <w:tcW w:w="1788" w:type="dxa"/>
            <w:tcBorders>
              <w:top w:val="nil"/>
              <w:left w:val="nil"/>
              <w:bottom w:val="nil"/>
              <w:right w:val="single" w:sz="4" w:space="0" w:color="auto"/>
            </w:tcBorders>
            <w:shd w:val="clear" w:color="000000" w:fill="FFFFFF"/>
            <w:noWrap/>
            <w:vAlign w:val="bottom"/>
            <w:hideMark/>
          </w:tcPr>
          <w:p w14:paraId="4D18BEB5" w14:textId="29FB2A72"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-0,7</w:t>
            </w:r>
          </w:p>
        </w:tc>
        <w:tc>
          <w:tcPr>
            <w:tcW w:w="1259" w:type="dxa"/>
            <w:tcBorders>
              <w:top w:val="nil"/>
              <w:left w:val="nil"/>
              <w:bottom w:val="nil"/>
              <w:right w:val="nil"/>
            </w:tcBorders>
            <w:shd w:val="clear" w:color="000000" w:fill="FFFFFF"/>
            <w:noWrap/>
            <w:vAlign w:val="bottom"/>
            <w:hideMark/>
          </w:tcPr>
          <w:p w14:paraId="495912A0" w14:textId="207B3E3A"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0,0</w:t>
            </w:r>
          </w:p>
        </w:tc>
        <w:tc>
          <w:tcPr>
            <w:tcW w:w="1788" w:type="dxa"/>
            <w:tcBorders>
              <w:top w:val="nil"/>
              <w:left w:val="nil"/>
              <w:bottom w:val="nil"/>
              <w:right w:val="single" w:sz="4" w:space="0" w:color="auto"/>
            </w:tcBorders>
            <w:shd w:val="clear" w:color="000000" w:fill="FFFFFF"/>
            <w:noWrap/>
            <w:vAlign w:val="bottom"/>
            <w:hideMark/>
          </w:tcPr>
          <w:p w14:paraId="792C5B0A" w14:textId="61BB46D4"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0,0</w:t>
            </w:r>
          </w:p>
        </w:tc>
      </w:tr>
      <w:tr w:rsidR="005B19D9" w14:paraId="5F160692" w14:textId="77777777" w:rsidTr="00D266AE">
        <w:trPr>
          <w:trHeight w:val="282"/>
        </w:trPr>
        <w:tc>
          <w:tcPr>
            <w:tcW w:w="1480" w:type="dxa"/>
            <w:tcBorders>
              <w:top w:val="nil"/>
              <w:left w:val="single" w:sz="4" w:space="0" w:color="auto"/>
              <w:bottom w:val="nil"/>
              <w:right w:val="nil"/>
            </w:tcBorders>
            <w:shd w:val="clear" w:color="000000" w:fill="FFFFFF"/>
            <w:noWrap/>
            <w:vAlign w:val="bottom"/>
            <w:hideMark/>
          </w:tcPr>
          <w:p w14:paraId="5C988D25"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Stok Değişimi</w:t>
            </w:r>
          </w:p>
        </w:tc>
        <w:tc>
          <w:tcPr>
            <w:tcW w:w="1259" w:type="dxa"/>
            <w:tcBorders>
              <w:top w:val="nil"/>
              <w:left w:val="single" w:sz="4" w:space="0" w:color="auto"/>
              <w:bottom w:val="nil"/>
              <w:right w:val="nil"/>
            </w:tcBorders>
            <w:shd w:val="clear" w:color="000000" w:fill="FFFFFF"/>
            <w:noWrap/>
            <w:vAlign w:val="bottom"/>
            <w:hideMark/>
          </w:tcPr>
          <w:p w14:paraId="636BB163" w14:textId="5F31123E" w:rsidR="005B19D9" w:rsidRDefault="005B19D9" w:rsidP="005B19D9">
            <w:pPr>
              <w:jc w:val="center"/>
              <w:rPr>
                <w:rFonts w:ascii="Calibri" w:hAnsi="Calibri" w:cs="Calibri"/>
                <w:color w:val="000000"/>
                <w:sz w:val="20"/>
                <w:szCs w:val="20"/>
              </w:rPr>
            </w:pPr>
          </w:p>
        </w:tc>
        <w:tc>
          <w:tcPr>
            <w:tcW w:w="1788" w:type="dxa"/>
            <w:tcBorders>
              <w:top w:val="nil"/>
              <w:left w:val="nil"/>
              <w:bottom w:val="nil"/>
              <w:right w:val="single" w:sz="4" w:space="0" w:color="auto"/>
            </w:tcBorders>
            <w:shd w:val="clear" w:color="000000" w:fill="FFFFFF"/>
            <w:noWrap/>
            <w:vAlign w:val="bottom"/>
            <w:hideMark/>
          </w:tcPr>
          <w:p w14:paraId="358100DA" w14:textId="529D5E95"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1,6</w:t>
            </w:r>
          </w:p>
        </w:tc>
        <w:tc>
          <w:tcPr>
            <w:tcW w:w="1259" w:type="dxa"/>
            <w:tcBorders>
              <w:top w:val="nil"/>
              <w:left w:val="nil"/>
              <w:bottom w:val="nil"/>
              <w:right w:val="nil"/>
            </w:tcBorders>
            <w:shd w:val="clear" w:color="000000" w:fill="FFFFFF"/>
            <w:noWrap/>
            <w:vAlign w:val="bottom"/>
            <w:hideMark/>
          </w:tcPr>
          <w:p w14:paraId="310A7587" w14:textId="615415DE" w:rsidR="005B19D9" w:rsidRDefault="005B19D9" w:rsidP="005B19D9">
            <w:pPr>
              <w:jc w:val="center"/>
              <w:rPr>
                <w:rFonts w:ascii="Calibri" w:hAnsi="Calibri" w:cs="Calibri"/>
                <w:color w:val="000000"/>
                <w:sz w:val="20"/>
                <w:szCs w:val="20"/>
              </w:rPr>
            </w:pPr>
          </w:p>
        </w:tc>
        <w:tc>
          <w:tcPr>
            <w:tcW w:w="1788" w:type="dxa"/>
            <w:tcBorders>
              <w:top w:val="nil"/>
              <w:left w:val="nil"/>
              <w:bottom w:val="nil"/>
              <w:right w:val="single" w:sz="4" w:space="0" w:color="auto"/>
            </w:tcBorders>
            <w:shd w:val="clear" w:color="000000" w:fill="FFFFFF"/>
            <w:noWrap/>
            <w:vAlign w:val="bottom"/>
            <w:hideMark/>
          </w:tcPr>
          <w:p w14:paraId="794B76B5" w14:textId="603424E4"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0,3</w:t>
            </w:r>
          </w:p>
        </w:tc>
      </w:tr>
      <w:tr w:rsidR="005B19D9" w14:paraId="61505D27" w14:textId="77777777" w:rsidTr="00D266AE">
        <w:trPr>
          <w:trHeight w:val="282"/>
        </w:trPr>
        <w:tc>
          <w:tcPr>
            <w:tcW w:w="1480" w:type="dxa"/>
            <w:tcBorders>
              <w:top w:val="nil"/>
              <w:left w:val="single" w:sz="4" w:space="0" w:color="auto"/>
              <w:bottom w:val="nil"/>
              <w:right w:val="nil"/>
            </w:tcBorders>
            <w:shd w:val="clear" w:color="000000" w:fill="FFFFFF"/>
            <w:noWrap/>
            <w:vAlign w:val="bottom"/>
            <w:hideMark/>
          </w:tcPr>
          <w:p w14:paraId="6B0702F3"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İhracat</w:t>
            </w:r>
          </w:p>
        </w:tc>
        <w:tc>
          <w:tcPr>
            <w:tcW w:w="1259" w:type="dxa"/>
            <w:tcBorders>
              <w:top w:val="nil"/>
              <w:left w:val="single" w:sz="4" w:space="0" w:color="auto"/>
              <w:bottom w:val="nil"/>
              <w:right w:val="nil"/>
            </w:tcBorders>
            <w:shd w:val="clear" w:color="000000" w:fill="FFFFFF"/>
            <w:noWrap/>
            <w:vAlign w:val="bottom"/>
            <w:hideMark/>
          </w:tcPr>
          <w:p w14:paraId="07092469" w14:textId="5A59DE27"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-7,0</w:t>
            </w:r>
          </w:p>
        </w:tc>
        <w:tc>
          <w:tcPr>
            <w:tcW w:w="1788" w:type="dxa"/>
            <w:tcBorders>
              <w:top w:val="nil"/>
              <w:left w:val="nil"/>
              <w:bottom w:val="nil"/>
              <w:right w:val="single" w:sz="4" w:space="0" w:color="auto"/>
            </w:tcBorders>
            <w:shd w:val="clear" w:color="000000" w:fill="FFFFFF"/>
            <w:noWrap/>
            <w:vAlign w:val="bottom"/>
            <w:hideMark/>
          </w:tcPr>
          <w:p w14:paraId="04C674A3" w14:textId="24908131"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-1,6</w:t>
            </w:r>
          </w:p>
        </w:tc>
        <w:tc>
          <w:tcPr>
            <w:tcW w:w="1259" w:type="dxa"/>
            <w:tcBorders>
              <w:top w:val="nil"/>
              <w:left w:val="nil"/>
              <w:bottom w:val="nil"/>
              <w:right w:val="nil"/>
            </w:tcBorders>
            <w:shd w:val="clear" w:color="000000" w:fill="FFFFFF"/>
            <w:noWrap/>
            <w:vAlign w:val="bottom"/>
            <w:hideMark/>
          </w:tcPr>
          <w:p w14:paraId="4C75564C" w14:textId="10D5E4E5"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6,2</w:t>
            </w:r>
          </w:p>
        </w:tc>
        <w:tc>
          <w:tcPr>
            <w:tcW w:w="1788" w:type="dxa"/>
            <w:tcBorders>
              <w:top w:val="nil"/>
              <w:left w:val="nil"/>
              <w:bottom w:val="nil"/>
              <w:right w:val="single" w:sz="4" w:space="0" w:color="auto"/>
            </w:tcBorders>
            <w:shd w:val="clear" w:color="000000" w:fill="FFFFFF"/>
            <w:noWrap/>
            <w:vAlign w:val="bottom"/>
            <w:hideMark/>
          </w:tcPr>
          <w:p w14:paraId="4C7C8D95" w14:textId="3669C383"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1,4</w:t>
            </w:r>
          </w:p>
        </w:tc>
      </w:tr>
      <w:tr w:rsidR="005B19D9" w14:paraId="2390423C" w14:textId="77777777" w:rsidTr="00D266AE">
        <w:trPr>
          <w:trHeight w:val="282"/>
        </w:trPr>
        <w:tc>
          <w:tcPr>
            <w:tcW w:w="1480" w:type="dxa"/>
            <w:tcBorders>
              <w:top w:val="nil"/>
              <w:left w:val="single" w:sz="4" w:space="0" w:color="auto"/>
              <w:bottom w:val="nil"/>
              <w:right w:val="nil"/>
            </w:tcBorders>
            <w:shd w:val="clear" w:color="000000" w:fill="FFFFFF"/>
            <w:noWrap/>
            <w:vAlign w:val="bottom"/>
            <w:hideMark/>
          </w:tcPr>
          <w:p w14:paraId="63127AB5"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İthalat</w:t>
            </w:r>
          </w:p>
        </w:tc>
        <w:tc>
          <w:tcPr>
            <w:tcW w:w="1259" w:type="dxa"/>
            <w:tcBorders>
              <w:top w:val="nil"/>
              <w:left w:val="single" w:sz="4" w:space="0" w:color="auto"/>
              <w:bottom w:val="nil"/>
              <w:right w:val="nil"/>
            </w:tcBorders>
            <w:shd w:val="clear" w:color="000000" w:fill="FFFFFF"/>
            <w:noWrap/>
            <w:vAlign w:val="bottom"/>
            <w:hideMark/>
          </w:tcPr>
          <w:p w14:paraId="56FA4DEA" w14:textId="144C8AB4"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-3,4</w:t>
            </w:r>
          </w:p>
        </w:tc>
        <w:tc>
          <w:tcPr>
            <w:tcW w:w="1788" w:type="dxa"/>
            <w:tcBorders>
              <w:top w:val="nil"/>
              <w:left w:val="nil"/>
              <w:bottom w:val="nil"/>
              <w:right w:val="single" w:sz="4" w:space="0" w:color="auto"/>
            </w:tcBorders>
            <w:shd w:val="clear" w:color="000000" w:fill="FFFFFF"/>
            <w:noWrap/>
            <w:vAlign w:val="bottom"/>
            <w:hideMark/>
          </w:tcPr>
          <w:p w14:paraId="5B8BF3E1" w14:textId="45841C06"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0,8</w:t>
            </w:r>
          </w:p>
        </w:tc>
        <w:tc>
          <w:tcPr>
            <w:tcW w:w="1259" w:type="dxa"/>
            <w:tcBorders>
              <w:top w:val="nil"/>
              <w:left w:val="nil"/>
              <w:bottom w:val="nil"/>
              <w:right w:val="nil"/>
            </w:tcBorders>
            <w:shd w:val="clear" w:color="000000" w:fill="FFFFFF"/>
            <w:noWrap/>
            <w:vAlign w:val="bottom"/>
            <w:hideMark/>
          </w:tcPr>
          <w:p w14:paraId="2317F1D5" w14:textId="7D8D2F7B"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-1,8</w:t>
            </w:r>
          </w:p>
        </w:tc>
        <w:tc>
          <w:tcPr>
            <w:tcW w:w="1788" w:type="dxa"/>
            <w:tcBorders>
              <w:top w:val="nil"/>
              <w:left w:val="nil"/>
              <w:bottom w:val="nil"/>
              <w:right w:val="single" w:sz="4" w:space="0" w:color="auto"/>
            </w:tcBorders>
            <w:shd w:val="clear" w:color="000000" w:fill="FFFFFF"/>
            <w:noWrap/>
            <w:vAlign w:val="bottom"/>
            <w:hideMark/>
          </w:tcPr>
          <w:p w14:paraId="68A52BDA" w14:textId="00E22E8F"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0,4</w:t>
            </w:r>
          </w:p>
        </w:tc>
      </w:tr>
      <w:tr w:rsidR="005B19D9" w14:paraId="688B1B2F" w14:textId="77777777" w:rsidTr="00D266AE">
        <w:trPr>
          <w:trHeight w:val="300"/>
        </w:trPr>
        <w:tc>
          <w:tcPr>
            <w:tcW w:w="1480" w:type="dxa"/>
            <w:tcBorders>
              <w:top w:val="nil"/>
              <w:left w:val="single" w:sz="4" w:space="0" w:color="auto"/>
              <w:bottom w:val="single" w:sz="4" w:space="0" w:color="auto"/>
              <w:right w:val="nil"/>
            </w:tcBorders>
            <w:shd w:val="clear" w:color="000000" w:fill="FFFFFF"/>
            <w:noWrap/>
            <w:vAlign w:val="bottom"/>
            <w:hideMark/>
          </w:tcPr>
          <w:p w14:paraId="7049AAD2" w14:textId="77777777" w:rsidR="005B19D9" w:rsidRDefault="005B19D9" w:rsidP="005B19D9">
            <w:pPr>
              <w:rPr>
                <w:rFonts w:ascii="Calibri" w:hAnsi="Calibri" w:cs="Calibri"/>
                <w:b/>
                <w:bCs/>
                <w:color w:val="000000"/>
                <w:sz w:val="20"/>
                <w:szCs w:val="20"/>
              </w:rPr>
            </w:pPr>
            <w:r>
              <w:rPr>
                <w:rFonts w:ascii="Calibri" w:hAnsi="Calibri" w:cs="Calibri"/>
                <w:b/>
                <w:bCs/>
                <w:color w:val="000000"/>
                <w:sz w:val="20"/>
                <w:szCs w:val="20"/>
              </w:rPr>
              <w:t>GSYH</w:t>
            </w:r>
          </w:p>
        </w:tc>
        <w:tc>
          <w:tcPr>
            <w:tcW w:w="1259" w:type="dxa"/>
            <w:tcBorders>
              <w:top w:val="nil"/>
              <w:left w:val="single" w:sz="4" w:space="0" w:color="auto"/>
              <w:bottom w:val="single" w:sz="4" w:space="0" w:color="auto"/>
              <w:right w:val="nil"/>
            </w:tcBorders>
            <w:shd w:val="clear" w:color="000000" w:fill="FFFFFF"/>
            <w:noWrap/>
            <w:vAlign w:val="bottom"/>
            <w:hideMark/>
          </w:tcPr>
          <w:p w14:paraId="552B2EE0" w14:textId="08B2CE3B"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0,3</w:t>
            </w:r>
          </w:p>
        </w:tc>
        <w:tc>
          <w:tcPr>
            <w:tcW w:w="1788" w:type="dxa"/>
            <w:tcBorders>
              <w:top w:val="nil"/>
              <w:left w:val="nil"/>
              <w:bottom w:val="single" w:sz="4" w:space="0" w:color="auto"/>
              <w:right w:val="single" w:sz="4" w:space="0" w:color="auto"/>
            </w:tcBorders>
            <w:shd w:val="clear" w:color="000000" w:fill="FFFFFF"/>
            <w:noWrap/>
            <w:vAlign w:val="bottom"/>
            <w:hideMark/>
          </w:tcPr>
          <w:p w14:paraId="74B2397D" w14:textId="5D80BE13" w:rsidR="005B19D9" w:rsidRDefault="005B19D9" w:rsidP="005B19D9">
            <w:pPr>
              <w:jc w:val="center"/>
              <w:rPr>
                <w:rFonts w:ascii="Calibri" w:hAnsi="Calibri" w:cs="Calibri"/>
                <w:color w:val="000000"/>
                <w:sz w:val="20"/>
                <w:szCs w:val="20"/>
              </w:rPr>
            </w:pPr>
          </w:p>
        </w:tc>
        <w:tc>
          <w:tcPr>
            <w:tcW w:w="1259" w:type="dxa"/>
            <w:tcBorders>
              <w:top w:val="nil"/>
              <w:left w:val="nil"/>
              <w:bottom w:val="single" w:sz="4" w:space="0" w:color="auto"/>
              <w:right w:val="nil"/>
            </w:tcBorders>
            <w:shd w:val="clear" w:color="000000" w:fill="FFFFFF"/>
            <w:noWrap/>
            <w:vAlign w:val="bottom"/>
            <w:hideMark/>
          </w:tcPr>
          <w:p w14:paraId="745462BF" w14:textId="2AE35031" w:rsidR="005B19D9" w:rsidRDefault="005B19D9" w:rsidP="005B19D9">
            <w:pPr>
              <w:jc w:val="center"/>
              <w:rPr>
                <w:rFonts w:ascii="Calibri" w:hAnsi="Calibri" w:cs="Calibri"/>
                <w:color w:val="000000"/>
                <w:sz w:val="20"/>
                <w:szCs w:val="20"/>
              </w:rPr>
            </w:pPr>
            <w:r>
              <w:rPr>
                <w:rFonts w:ascii="Calibri" w:hAnsi="Calibri" w:cs="Calibri"/>
                <w:color w:val="000000"/>
                <w:sz w:val="20"/>
                <w:szCs w:val="20"/>
              </w:rPr>
              <w:t>1,1</w:t>
            </w:r>
          </w:p>
        </w:tc>
        <w:tc>
          <w:tcPr>
            <w:tcW w:w="1788" w:type="dxa"/>
            <w:tcBorders>
              <w:top w:val="nil"/>
              <w:left w:val="nil"/>
              <w:bottom w:val="single" w:sz="4" w:space="0" w:color="auto"/>
              <w:right w:val="single" w:sz="4" w:space="0" w:color="auto"/>
            </w:tcBorders>
            <w:shd w:val="clear" w:color="000000" w:fill="FFFFFF"/>
            <w:noWrap/>
            <w:vAlign w:val="bottom"/>
            <w:hideMark/>
          </w:tcPr>
          <w:p w14:paraId="645D40C8" w14:textId="66F5B74A" w:rsidR="005B19D9" w:rsidRDefault="005B19D9" w:rsidP="005B19D9">
            <w:pPr>
              <w:jc w:val="center"/>
              <w:rPr>
                <w:rFonts w:ascii="Calibri" w:hAnsi="Calibri" w:cs="Calibri"/>
                <w:color w:val="000000"/>
                <w:sz w:val="20"/>
                <w:szCs w:val="20"/>
              </w:rPr>
            </w:pPr>
          </w:p>
        </w:tc>
      </w:tr>
    </w:tbl>
    <w:p w14:paraId="04FC8E76" w14:textId="758E56B3" w:rsidR="00F46A54" w:rsidRPr="00CC0355" w:rsidRDefault="003D44CE" w:rsidP="003122C3">
      <w:pPr>
        <w:keepNext/>
        <w:spacing w:before="120"/>
        <w:rPr>
          <w:rFonts w:ascii="Palatino Linotype" w:hAnsi="Palatino Linotype" w:cstheme="minorHAnsi"/>
          <w:sz w:val="18"/>
          <w:szCs w:val="18"/>
        </w:rPr>
      </w:pPr>
      <w:r>
        <w:rPr>
          <w:rFonts w:ascii="Palatino Linotype" w:hAnsi="Palatino Linotype" w:cstheme="minorHAnsi"/>
          <w:sz w:val="18"/>
          <w:szCs w:val="18"/>
        </w:rPr>
        <w:t>Kaynak: TÜİK, Betam</w:t>
      </w:r>
    </w:p>
    <w:p w14:paraId="5F4BC5F4" w14:textId="77777777" w:rsidR="007D2AD4" w:rsidRDefault="007D2AD4" w:rsidP="00E41A80">
      <w:pPr>
        <w:pStyle w:val="NormalWeb"/>
        <w:spacing w:before="0" w:beforeAutospacing="0" w:after="0" w:afterAutospacing="0" w:line="360" w:lineRule="auto"/>
        <w:ind w:right="77"/>
        <w:rPr>
          <w:rFonts w:ascii="Palatino Linotype" w:hAnsi="Palatino Linotype" w:cstheme="minorBidi"/>
          <w:b/>
          <w:bCs/>
          <w:sz w:val="22"/>
          <w:szCs w:val="22"/>
        </w:rPr>
      </w:pPr>
      <w:bookmarkStart w:id="6" w:name="OLE_LINK23"/>
      <w:bookmarkStart w:id="7" w:name="OLE_LINK27"/>
      <w:bookmarkStart w:id="8" w:name="OLE_LINK28"/>
    </w:p>
    <w:p w14:paraId="331D2193" w14:textId="77777777" w:rsidR="006A0DEA" w:rsidRDefault="006A0DEA" w:rsidP="00056403">
      <w:pPr>
        <w:spacing w:after="160" w:line="259" w:lineRule="auto"/>
        <w:rPr>
          <w:rFonts w:ascii="Palatino Linotype" w:hAnsi="Palatino Linotype" w:cstheme="minorBidi"/>
          <w:b/>
          <w:bCs/>
          <w:sz w:val="22"/>
          <w:szCs w:val="22"/>
        </w:rPr>
      </w:pPr>
    </w:p>
    <w:p w14:paraId="0E158720" w14:textId="7F0DB63D" w:rsidR="00E41A80" w:rsidRPr="000B09B0" w:rsidRDefault="00457E4E" w:rsidP="00056403">
      <w:pPr>
        <w:spacing w:after="160" w:line="259" w:lineRule="auto"/>
        <w:rPr>
          <w:rFonts w:ascii="Palatino Linotype" w:hAnsi="Palatino Linotype" w:cstheme="minorBidi"/>
          <w:b/>
          <w:bCs/>
          <w:sz w:val="22"/>
          <w:szCs w:val="22"/>
        </w:rPr>
      </w:pPr>
      <w:r>
        <w:rPr>
          <w:rFonts w:ascii="Palatino Linotype" w:hAnsi="Palatino Linotype" w:cstheme="minorBidi"/>
          <w:b/>
          <w:bCs/>
          <w:sz w:val="22"/>
          <w:szCs w:val="22"/>
        </w:rPr>
        <w:t>Yatırımlarda yavaşlama sürüyor</w:t>
      </w:r>
    </w:p>
    <w:p w14:paraId="3684515C" w14:textId="441E1230" w:rsidR="00E41A80" w:rsidRDefault="00145995" w:rsidP="00EA6DD4">
      <w:pPr>
        <w:pStyle w:val="NormalWeb"/>
        <w:spacing w:before="0" w:beforeAutospacing="0" w:after="0" w:afterAutospacing="0" w:line="360" w:lineRule="auto"/>
        <w:ind w:right="77"/>
        <w:jc w:val="both"/>
        <w:rPr>
          <w:rFonts w:ascii="Palatino Linotype" w:hAnsi="Palatino Linotype" w:cstheme="minorHAnsi"/>
          <w:sz w:val="22"/>
          <w:szCs w:val="22"/>
        </w:rPr>
      </w:pPr>
      <w:r>
        <w:rPr>
          <w:rFonts w:ascii="Palatino Linotype" w:hAnsi="Palatino Linotype" w:cstheme="minorHAnsi"/>
          <w:sz w:val="22"/>
          <w:szCs w:val="22"/>
        </w:rPr>
        <w:t>2024 ve 2025 yıllarının büyüme değerlendirmelerinde görülen yatırımlardaki güçlü artış 2026’da azalarak da olsa devam etti. Yatırımlar 2026’nın ikinci çeyreğinde yıllık bazda yüzde 0,6 artarak büyümeye 0,2 puan katkı yaptı (Tablo 1). Çeyreklik bazda ise bir önceki çeyreğe kıyasla değişiklik gözlenmedi ve büyüme oranına katkısı sıfırlandı. 2026 birinci çeyrekte ise yatırımlarda büyüme 2025 dördüncü çeyreğe kıyasla eksi 2’ydi (Tablo 2).</w:t>
      </w:r>
      <w:bookmarkStart w:id="9" w:name="OLE_LINK26"/>
      <w:bookmarkEnd w:id="6"/>
    </w:p>
    <w:p w14:paraId="0B0CA252" w14:textId="77777777" w:rsidR="00FE7D5B" w:rsidRDefault="00FE7D5B" w:rsidP="00FE7D5B">
      <w:pPr>
        <w:pStyle w:val="NormalWeb"/>
        <w:spacing w:before="0" w:beforeAutospacing="0" w:after="0" w:afterAutospacing="0" w:line="360" w:lineRule="auto"/>
        <w:ind w:right="77"/>
        <w:rPr>
          <w:rFonts w:ascii="Palatino Linotype" w:eastAsia="Palatino Linotype" w:hAnsi="Palatino Linotype" w:cs="Palatino Linotype"/>
          <w:b/>
          <w:bCs/>
          <w:sz w:val="22"/>
          <w:szCs w:val="22"/>
        </w:rPr>
      </w:pPr>
    </w:p>
    <w:p w14:paraId="12726C49" w14:textId="77777777" w:rsidR="00FE7D5B" w:rsidRPr="000B09B0" w:rsidRDefault="00FE7D5B" w:rsidP="00FE7D5B">
      <w:pPr>
        <w:pStyle w:val="NormalWeb"/>
        <w:spacing w:before="0" w:beforeAutospacing="0" w:after="0" w:afterAutospacing="0" w:line="360" w:lineRule="auto"/>
        <w:ind w:right="77"/>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Stok değişiminin etkisi azaldı</w:t>
      </w:r>
      <w:r>
        <w:rPr>
          <w:rFonts w:eastAsia="Palatino Linotype" w:cs="Palatino Linotype"/>
          <w:vertAlign w:val="superscript"/>
        </w:rPr>
        <w:footnoteReference w:id="4"/>
      </w:r>
    </w:p>
    <w:p w14:paraId="4AB0D6EE" w14:textId="77777777" w:rsidR="00FE7D5B" w:rsidRPr="006B1AFE" w:rsidRDefault="00FE7D5B" w:rsidP="00FE7D5B">
      <w:pPr>
        <w:pStyle w:val="NormalWeb"/>
        <w:spacing w:before="0" w:beforeAutospacing="0" w:after="0" w:afterAutospacing="0" w:line="360" w:lineRule="auto"/>
        <w:ind w:right="77"/>
        <w:jc w:val="both"/>
        <w:rPr>
          <w:rFonts w:ascii="Palatino Linotype" w:hAnsi="Palatino Linotype" w:cstheme="minorHAnsi"/>
          <w:sz w:val="22"/>
          <w:szCs w:val="22"/>
        </w:rPr>
      </w:pPr>
      <w:bookmarkStart w:id="12" w:name="OLE_LINK7"/>
      <w:bookmarkStart w:id="13" w:name="OLE_LINK8"/>
      <w:r>
        <w:rPr>
          <w:rFonts w:ascii="Palatino Linotype" w:hAnsi="Palatino Linotype" w:cstheme="minorHAnsi"/>
          <w:sz w:val="22"/>
          <w:szCs w:val="22"/>
        </w:rPr>
        <w:t>Mevsim ve takvim etkisinden arındırılmış veriye göre 2026 birinci çeyrekte çeyreklik büyümeyi 1,6 puan arttıran stok değişimi, 2026 ikinci çeyrekte 0,3 puan arttırdı (Tablo 2). Bu teknik toparlama ilk çeyrekte büyümenin eksi değerlere düşmemesini sağlamıştı. İkinci çeyrekte ise stok değişimi katkısı sıfıra yaklaştı. Bir önceki çeyrekte 1,7 puanlık katkıyla yıllık büyümenin temel kalemi olan stok değişimi bu çeyrekte yıllık büyümeyi 0,3 puan düşürdü (Tablo 1).</w:t>
      </w:r>
      <w:bookmarkEnd w:id="12"/>
      <w:bookmarkEnd w:id="13"/>
      <w:r>
        <w:rPr>
          <w:rFonts w:ascii="Palatino Linotype" w:hAnsi="Palatino Linotype" w:cstheme="minorHAnsi"/>
          <w:sz w:val="22"/>
          <w:szCs w:val="22"/>
        </w:rPr>
        <w:t xml:space="preserve"> </w:t>
      </w:r>
    </w:p>
    <w:p w14:paraId="07A200A4" w14:textId="77777777" w:rsidR="00FE7D5B" w:rsidRPr="00EA6DD4" w:rsidRDefault="00FE7D5B" w:rsidP="00EA6DD4">
      <w:pPr>
        <w:pStyle w:val="NormalWeb"/>
        <w:spacing w:before="0" w:beforeAutospacing="0" w:after="0" w:afterAutospacing="0" w:line="360" w:lineRule="auto"/>
        <w:ind w:right="77"/>
        <w:jc w:val="both"/>
        <w:rPr>
          <w:rFonts w:ascii="Palatino Linotype" w:hAnsi="Palatino Linotype" w:cstheme="minorHAnsi"/>
          <w:sz w:val="22"/>
          <w:szCs w:val="22"/>
        </w:rPr>
      </w:pPr>
    </w:p>
    <w:p w14:paraId="0D31FEE2" w14:textId="1EC9EF4A" w:rsidR="00E41A80" w:rsidRPr="000B09B0" w:rsidRDefault="00457E4E" w:rsidP="00E41A80">
      <w:pPr>
        <w:pStyle w:val="NormalWeb"/>
        <w:spacing w:before="0" w:beforeAutospacing="0" w:after="0" w:afterAutospacing="0" w:line="360" w:lineRule="auto"/>
        <w:ind w:right="77"/>
        <w:rPr>
          <w:rFonts w:ascii="Palatino Linotype" w:hAnsi="Palatino Linotype" w:cstheme="minorBidi"/>
          <w:b/>
          <w:bCs/>
          <w:sz w:val="22"/>
          <w:szCs w:val="22"/>
        </w:rPr>
      </w:pPr>
      <w:bookmarkStart w:id="14" w:name="OLE_LINK11"/>
      <w:bookmarkStart w:id="15" w:name="OLE_LINK12"/>
      <w:r>
        <w:rPr>
          <w:rFonts w:ascii="Palatino Linotype" w:hAnsi="Palatino Linotype" w:cstheme="minorBidi"/>
          <w:b/>
          <w:bCs/>
          <w:sz w:val="22"/>
          <w:szCs w:val="22"/>
        </w:rPr>
        <w:t xml:space="preserve">Dış ticaretin katkısı pozitif </w:t>
      </w:r>
    </w:p>
    <w:p w14:paraId="2951D1D9" w14:textId="335C582F" w:rsidR="00E41A80" w:rsidRPr="005E0D21" w:rsidRDefault="00E41A80" w:rsidP="00E41A80">
      <w:pPr>
        <w:pStyle w:val="NormalWeb"/>
        <w:spacing w:before="0" w:beforeAutospacing="0" w:after="0" w:afterAutospacing="0" w:line="360" w:lineRule="auto"/>
        <w:ind w:right="77"/>
        <w:jc w:val="both"/>
        <w:rPr>
          <w:rFonts w:ascii="Palatino Linotype" w:hAnsi="Palatino Linotype" w:cstheme="minorHAnsi"/>
          <w:sz w:val="22"/>
          <w:szCs w:val="22"/>
        </w:rPr>
      </w:pPr>
      <w:r>
        <w:rPr>
          <w:rFonts w:ascii="Palatino Linotype" w:hAnsi="Palatino Linotype" w:cstheme="minorHAnsi"/>
          <w:sz w:val="22"/>
          <w:szCs w:val="22"/>
        </w:rPr>
        <w:t xml:space="preserve">2026 yılının ikinci çeyreğinde mevsim ve takvim etkisinden arındırılmış rakamlara bakıldığında ihracatın bir önceki çeyreğe kıyasla yüzde 6,2 arttığı, ithalatın ise yüzde 1,8 azaldığı görülmektedir. İhracat çeyreklik bazda büyümeyi 1,4 puan arttırmıştır (Tablo 2). Yıllık bazda ise ihracat yüzde 3,4 oranında düşerken ithalatta da yüzde 6,4 azalış olmuştur. Neticede </w:t>
      </w:r>
      <w:bookmarkStart w:id="16" w:name="OLE_LINK13"/>
      <w:bookmarkStart w:id="17" w:name="OLE_LINK14"/>
      <w:r>
        <w:rPr>
          <w:rFonts w:ascii="Palatino Linotype" w:hAnsi="Palatino Linotype" w:cstheme="minorHAnsi"/>
          <w:sz w:val="22"/>
          <w:szCs w:val="22"/>
        </w:rPr>
        <w:t xml:space="preserve">ikinci çeyrekte net dış ticaret yıllık (0,9 puan) ve çeyreklik (1,8 puan) bazda büyümeyi pozitif etkileyen önemli bir kalem olmuştur (Tablo 1). </w:t>
      </w:r>
      <w:bookmarkEnd w:id="9"/>
      <w:bookmarkEnd w:id="14"/>
      <w:bookmarkEnd w:id="15"/>
      <w:bookmarkEnd w:id="16"/>
      <w:bookmarkEnd w:id="17"/>
    </w:p>
    <w:p w14:paraId="75704DAE" w14:textId="77777777" w:rsidR="007D2AD4" w:rsidRDefault="007D2AD4" w:rsidP="008F1741">
      <w:pPr>
        <w:pStyle w:val="NormalWeb"/>
        <w:spacing w:before="0" w:beforeAutospacing="0" w:after="0" w:afterAutospacing="0" w:line="360" w:lineRule="auto"/>
        <w:ind w:right="77"/>
        <w:rPr>
          <w:rFonts w:ascii="Palatino Linotype" w:hAnsi="Palatino Linotype" w:cstheme="minorHAnsi"/>
          <w:b/>
          <w:bCs/>
          <w:sz w:val="22"/>
          <w:szCs w:val="22"/>
        </w:rPr>
      </w:pPr>
    </w:p>
    <w:p w14:paraId="764A27C2" w14:textId="2382A92F" w:rsidR="0062671A" w:rsidRPr="00245B1A" w:rsidRDefault="0062671A" w:rsidP="008F1741">
      <w:pPr>
        <w:pStyle w:val="NormalWeb"/>
        <w:spacing w:before="0" w:beforeAutospacing="0" w:after="0" w:afterAutospacing="0" w:line="360" w:lineRule="auto"/>
        <w:ind w:right="77"/>
        <w:rPr>
          <w:rFonts w:ascii="Palatino Linotype" w:hAnsi="Palatino Linotype" w:cstheme="minorHAnsi"/>
          <w:b/>
          <w:bCs/>
          <w:sz w:val="22"/>
          <w:szCs w:val="22"/>
        </w:rPr>
      </w:pPr>
      <w:r>
        <w:rPr>
          <w:rFonts w:ascii="Palatino Linotype" w:hAnsi="Palatino Linotype" w:cstheme="minorHAnsi"/>
          <w:b/>
          <w:bCs/>
          <w:sz w:val="22"/>
          <w:szCs w:val="22"/>
        </w:rPr>
        <w:t>Kamu tüketimi negatife düştü</w:t>
      </w:r>
    </w:p>
    <w:p w14:paraId="46CE47D0" w14:textId="69697060" w:rsidR="00BD0800" w:rsidRPr="00245B1A" w:rsidRDefault="009C4B9E" w:rsidP="00BD6EC8">
      <w:pPr>
        <w:pStyle w:val="NormalWeb"/>
        <w:spacing w:before="0" w:beforeAutospacing="0" w:after="0" w:afterAutospacing="0" w:line="360" w:lineRule="auto"/>
        <w:ind w:right="77"/>
        <w:jc w:val="both"/>
        <w:rPr>
          <w:rFonts w:ascii="Palatino Linotype" w:hAnsi="Palatino Linotype" w:cstheme="minorHAnsi"/>
          <w:sz w:val="22"/>
          <w:szCs w:val="22"/>
        </w:rPr>
      </w:pPr>
      <w:r>
        <w:rPr>
          <w:rFonts w:ascii="Palatino Linotype" w:hAnsi="Palatino Linotype" w:cstheme="minorHAnsi"/>
          <w:sz w:val="22"/>
          <w:szCs w:val="22"/>
        </w:rPr>
        <w:t xml:space="preserve">2026 yılının ikinci çeyreğinde mevsim ve takvim etkilerinden arındırılmış rakamlara göre çeyreklik bazda kamu tüketiminde yüzde 2’lik bir azalış görülürken büyümeye katkısı eksi </w:t>
      </w:r>
      <w:r>
        <w:rPr>
          <w:rFonts w:ascii="Palatino Linotype" w:hAnsi="Palatino Linotype" w:cstheme="minorHAnsi"/>
          <w:sz w:val="22"/>
          <w:szCs w:val="22"/>
        </w:rPr>
        <w:lastRenderedPageBreak/>
        <w:t xml:space="preserve">0,3 puan oldu (Tablo 2). Kamu harcamaları 2026’nın ikinci çeyreğinde yıllık bazda yüzde 1,8 azalırken, büyümeyi 0,2 puan düşürmüştür (Tablo 1). </w:t>
      </w:r>
    </w:p>
    <w:bookmarkEnd w:id="7"/>
    <w:bookmarkEnd w:id="8"/>
    <w:p w14:paraId="37BD54F0" w14:textId="77777777" w:rsidR="007D2AD4" w:rsidRDefault="007D2AD4" w:rsidP="00BD0800">
      <w:pPr>
        <w:pStyle w:val="NormalWeb"/>
        <w:spacing w:before="0" w:beforeAutospacing="0" w:after="0" w:afterAutospacing="0" w:line="360" w:lineRule="auto"/>
        <w:ind w:right="77"/>
        <w:rPr>
          <w:rFonts w:ascii="Palatino Linotype" w:eastAsia="Palatino Linotype" w:hAnsi="Palatino Linotype" w:cs="Palatino Linotype"/>
          <w:b/>
          <w:bCs/>
          <w:sz w:val="22"/>
          <w:szCs w:val="22"/>
        </w:rPr>
      </w:pPr>
    </w:p>
    <w:p w14:paraId="4C5F10E3" w14:textId="7EBBEB0B" w:rsidR="00955E90" w:rsidRPr="000B09B0" w:rsidRDefault="0043384F" w:rsidP="002427A5">
      <w:pPr>
        <w:spacing w:after="160" w:line="259" w:lineRule="auto"/>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Büyümenin geleceği </w:t>
      </w:r>
    </w:p>
    <w:p w14:paraId="729340D7" w14:textId="0F65C3BF" w:rsidR="00661E32" w:rsidRDefault="00661E32" w:rsidP="007475CB">
      <w:pPr>
        <w:pStyle w:val="NormalWeb"/>
        <w:spacing w:before="0" w:beforeAutospacing="0" w:after="240" w:afterAutospacing="0" w:line="360" w:lineRule="auto"/>
        <w:ind w:right="79"/>
        <w:jc w:val="both"/>
        <w:rPr>
          <w:rFonts w:ascii="Palatino Linotype" w:hAnsi="Palatino Linotype" w:cstheme="minorHAnsi"/>
          <w:sz w:val="22"/>
          <w:szCs w:val="22"/>
        </w:rPr>
      </w:pPr>
      <w:r>
        <w:rPr>
          <w:rFonts w:ascii="Palatino Linotype" w:hAnsi="Palatino Linotype" w:cstheme="minorHAnsi"/>
          <w:sz w:val="22"/>
          <w:szCs w:val="22"/>
        </w:rPr>
        <w:t>Şekil 2’de görüldüğü üzere ikinci çeyrekte çeyreklik büyüme ivmesi belirgin şekilde toparlanmış, ancak yıllık büyüme yüzde 2,6’dan 2,3’e yavaşlamıştır. Yıllık yavaşlamanın başlıca kaynağı özel tüketimin katkısındaki gerilemedir</w:t>
      </w:r>
      <w:r w:rsidR="00FE7D5B">
        <w:rPr>
          <w:rFonts w:ascii="Palatino Linotype" w:hAnsi="Palatino Linotype" w:cstheme="minorHAnsi"/>
          <w:sz w:val="22"/>
          <w:szCs w:val="22"/>
        </w:rPr>
        <w:t xml:space="preserve">: </w:t>
      </w:r>
      <w:r>
        <w:rPr>
          <w:rFonts w:ascii="Palatino Linotype" w:hAnsi="Palatino Linotype" w:cstheme="minorHAnsi"/>
          <w:sz w:val="22"/>
          <w:szCs w:val="22"/>
        </w:rPr>
        <w:t>2,9 puandan 1,8 puana</w:t>
      </w:r>
      <w:r w:rsidR="00FE7D5B">
        <w:rPr>
          <w:rFonts w:ascii="Palatino Linotype" w:hAnsi="Palatino Linotype" w:cstheme="minorHAnsi"/>
          <w:sz w:val="22"/>
          <w:szCs w:val="22"/>
        </w:rPr>
        <w:t>.</w:t>
      </w:r>
      <w:r>
        <w:rPr>
          <w:rFonts w:ascii="Palatino Linotype" w:hAnsi="Palatino Linotype" w:cstheme="minorHAnsi"/>
          <w:sz w:val="22"/>
          <w:szCs w:val="22"/>
        </w:rPr>
        <w:t xml:space="preserve"> </w:t>
      </w:r>
      <w:r w:rsidR="00FE7D5B">
        <w:rPr>
          <w:rFonts w:ascii="Palatino Linotype" w:hAnsi="Palatino Linotype" w:cstheme="minorHAnsi"/>
          <w:sz w:val="22"/>
          <w:szCs w:val="22"/>
        </w:rPr>
        <w:t>İ</w:t>
      </w:r>
      <w:r>
        <w:rPr>
          <w:rFonts w:ascii="Palatino Linotype" w:hAnsi="Palatino Linotype" w:cstheme="minorHAnsi"/>
          <w:sz w:val="22"/>
          <w:szCs w:val="22"/>
        </w:rPr>
        <w:t>hracatın yıllık katkısı ise çeyreklik toparlanmaya rağmen hâlâ eksi 0,8 puanla negatiftir ve net dış ticaretin yıllık katkısının pozitife dönmesi (0,9 puan) esasen ithalattaki sert daralmadan kaynaklanm</w:t>
      </w:r>
      <w:r w:rsidR="00FE7D5B">
        <w:rPr>
          <w:rFonts w:ascii="Palatino Linotype" w:hAnsi="Palatino Linotype" w:cstheme="minorHAnsi"/>
          <w:sz w:val="22"/>
          <w:szCs w:val="22"/>
        </w:rPr>
        <w:t>ıştır.</w:t>
      </w:r>
      <w:r>
        <w:rPr>
          <w:rFonts w:ascii="Palatino Linotype" w:hAnsi="Palatino Linotype" w:cstheme="minorHAnsi"/>
          <w:sz w:val="22"/>
          <w:szCs w:val="22"/>
        </w:rPr>
        <w:t xml:space="preserve"> </w:t>
      </w:r>
      <w:r w:rsidR="00FE7D5B">
        <w:rPr>
          <w:rFonts w:ascii="Palatino Linotype" w:hAnsi="Palatino Linotype" w:cstheme="minorHAnsi"/>
          <w:sz w:val="22"/>
          <w:szCs w:val="22"/>
        </w:rPr>
        <w:t>D</w:t>
      </w:r>
      <w:r>
        <w:rPr>
          <w:rFonts w:ascii="Palatino Linotype" w:hAnsi="Palatino Linotype" w:cstheme="minorHAnsi"/>
          <w:sz w:val="22"/>
          <w:szCs w:val="22"/>
        </w:rPr>
        <w:t>olayısıyla yıllık yavaşlama dış ticaretten çok iç talep zayıflığına işaret etmektedir. Çeyreklik tabloda ise durum tam tersidir: toparlanma neredeyse tamamen dış ticaretten (net katkı 1,8 puan) gelirken, özel tüketim (eksi 0,7 puan), kamu tüketimi (eksi 0,3 puan) ve stok değişimi (0,3 puan, bir önceki çeyrekte 1,6 puan) gibi iç talep kalemleri zayıflamıştır.</w:t>
      </w:r>
      <w:r w:rsidR="00FE7D5B">
        <w:rPr>
          <w:rFonts w:ascii="Palatino Linotype" w:hAnsi="Palatino Linotype" w:cstheme="minorHAnsi"/>
          <w:sz w:val="22"/>
          <w:szCs w:val="22"/>
        </w:rPr>
        <w:t xml:space="preserve"> </w:t>
      </w:r>
      <w:r w:rsidR="00E65A9D" w:rsidRPr="00E65A9D">
        <w:rPr>
          <w:rFonts w:ascii="Palatino Linotype" w:hAnsi="Palatino Linotype" w:cstheme="minorHAnsi"/>
          <w:sz w:val="22"/>
          <w:szCs w:val="22"/>
        </w:rPr>
        <w:t>2026'nın ikinci yarısında büyüme, büyük ölçüde özel tüketimdeki azalmanın kalıcı olup olmadığına ve ihracattaki yüksek artışın, önceki çeyrekte yaşanan büyük çaplı azalmanın telafisi olup olmadığına -başka bir deyişle geçici olup olmadığına- bağlı olarak şekillenecektir.</w:t>
      </w:r>
    </w:p>
    <w:p w14:paraId="2CECF811" w14:textId="7FD93A03" w:rsidR="00DF08BD" w:rsidRPr="00661E32" w:rsidRDefault="00E85F3F" w:rsidP="00661E32">
      <w:pPr>
        <w:spacing w:after="160" w:line="259" w:lineRule="auto"/>
        <w:rPr>
          <w:rFonts w:ascii="Palatino Linotype" w:hAnsi="Palatino Linotype" w:cstheme="minorHAnsi"/>
          <w:b/>
          <w:bCs/>
          <w:sz w:val="22"/>
          <w:szCs w:val="22"/>
        </w:rPr>
      </w:pPr>
      <w:r>
        <w:rPr>
          <w:rFonts w:ascii="Palatino Linotype" w:hAnsi="Palatino Linotype" w:cstheme="minorHAnsi"/>
          <w:b/>
          <w:bCs/>
          <w:sz w:val="22"/>
          <w:szCs w:val="22"/>
        </w:rPr>
        <w:t>Şekil 2: Bir önceki çeyreğe ve geçen yılın aynı çeyreğine göre GSYH büyüme oranları</w:t>
      </w:r>
    </w:p>
    <w:p w14:paraId="57F2934C" w14:textId="7F58E4C1" w:rsidR="005B19D9" w:rsidRDefault="005B19D9" w:rsidP="00406AC1">
      <w:pPr>
        <w:pStyle w:val="NormalWeb"/>
        <w:spacing w:before="0" w:beforeAutospacing="0" w:after="0" w:afterAutospacing="0" w:line="360" w:lineRule="auto"/>
        <w:ind w:right="77"/>
        <w:jc w:val="both"/>
        <w:rPr>
          <w:rFonts w:ascii="Palatino Linotype" w:hAnsi="Palatino Linotype" w:cstheme="minorHAnsi"/>
          <w:sz w:val="18"/>
          <w:szCs w:val="18"/>
        </w:rPr>
      </w:pPr>
      <w:r>
        <w:rPr>
          <w:noProof/>
          <w:lang w:val="en-GB" w:eastAsia="en-GB"/>
        </w:rPr>
        <w:drawing>
          <wp:inline distT="0" distB="0" distL="0" distR="0" wp14:anchorId="104CBB39" wp14:editId="1B04EDFF">
            <wp:extent cx="5760720" cy="2821305"/>
            <wp:effectExtent l="0" t="0" r="17780" b="10795"/>
            <wp:docPr id="1393492278" name="Chart 1">
              <a:extLst xmlns:a="http://schemas.openxmlformats.org/drawingml/2006/main">
                <a:ext uri="{FF2B5EF4-FFF2-40B4-BE49-F238E27FC236}">
                  <a16:creationId xmlns:a16="http://schemas.microsoft.com/office/drawing/2014/main" id="{BDCA91F5-5855-4672-95AE-1C9133146D56}"/>
                </a:ext>
                <a:ext uri="{147F2762-F138-4A5C-976F-8EAC2B608ADB}">
                  <a16:predDERef xmlns:a16="http://schemas.microsoft.com/office/drawing/2014/main" pred="{32C7A0A2-29DE-49BD-AB51-7F52B7E74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047BBA" w14:textId="7B8592AE" w:rsidR="001A080D" w:rsidRPr="00D25778" w:rsidRDefault="00062A8A" w:rsidP="004360BE">
      <w:pPr>
        <w:pStyle w:val="NormalWeb"/>
        <w:spacing w:before="0" w:beforeAutospacing="0" w:after="0" w:afterAutospacing="0" w:line="360" w:lineRule="auto"/>
        <w:ind w:right="77"/>
        <w:jc w:val="both"/>
        <w:rPr>
          <w:rFonts w:ascii="Palatino Linotype" w:hAnsi="Palatino Linotype" w:cstheme="minorHAnsi"/>
          <w:noProof/>
          <w:sz w:val="18"/>
          <w:szCs w:val="18"/>
        </w:rPr>
      </w:pPr>
      <w:r>
        <w:rPr>
          <w:rFonts w:ascii="Palatino Linotype" w:hAnsi="Palatino Linotype" w:cstheme="minorHAnsi"/>
          <w:sz w:val="18"/>
          <w:szCs w:val="18"/>
        </w:rPr>
        <w:t>Kaynak: TÜİK, Betam</w:t>
      </w:r>
    </w:p>
    <w:sectPr w:rsidR="001A080D" w:rsidRPr="00D25778" w:rsidSect="005047E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EFBC" w14:textId="77777777" w:rsidR="000478DA" w:rsidRDefault="000478DA" w:rsidP="00DA0C5D">
      <w:r>
        <w:separator/>
      </w:r>
    </w:p>
  </w:endnote>
  <w:endnote w:type="continuationSeparator" w:id="0">
    <w:p w14:paraId="20E6FB3B" w14:textId="77777777" w:rsidR="000478DA" w:rsidRDefault="000478DA" w:rsidP="00DA0C5D">
      <w:r>
        <w:continuationSeparator/>
      </w:r>
    </w:p>
  </w:endnote>
  <w:endnote w:type="continuationNotice" w:id="1">
    <w:p w14:paraId="45FAF363" w14:textId="77777777" w:rsidR="000478DA" w:rsidRDefault="00047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491006"/>
      <w:docPartObj>
        <w:docPartGallery w:val="Page Numbers (Bottom of Page)"/>
        <w:docPartUnique/>
      </w:docPartObj>
    </w:sdtPr>
    <w:sdtEndPr>
      <w:rPr>
        <w:noProof/>
      </w:rPr>
    </w:sdtEndPr>
    <w:sdtContent>
      <w:p w14:paraId="4958D66D" w14:textId="4FBAB67D" w:rsidR="002C542E" w:rsidRDefault="002C542E">
        <w:pPr>
          <w:pStyle w:val="AltBilgi"/>
          <w:jc w:val="center"/>
        </w:pPr>
        <w:r>
          <w:fldChar w:fldCharType="begin"/>
        </w:r>
        <w:r>
          <w:instrText xml:space="preserve"> PAGE   \* MERGEFORMAT </w:instrText>
        </w:r>
        <w:r>
          <w:fldChar w:fldCharType="separate"/>
        </w:r>
        <w:r w:rsidR="006A0DEA">
          <w:rPr>
            <w:noProof/>
          </w:rPr>
          <w:t>4</w:t>
        </w:r>
        <w:r>
          <w:rPr>
            <w:noProof/>
          </w:rPr>
          <w:fldChar w:fldCharType="end"/>
        </w:r>
      </w:p>
    </w:sdtContent>
  </w:sdt>
  <w:p w14:paraId="19293457" w14:textId="77777777" w:rsidR="009030D2" w:rsidRDefault="009030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FE5B3" w14:textId="77777777" w:rsidR="000478DA" w:rsidRDefault="000478DA" w:rsidP="00DA0C5D">
      <w:r>
        <w:separator/>
      </w:r>
    </w:p>
  </w:footnote>
  <w:footnote w:type="continuationSeparator" w:id="0">
    <w:p w14:paraId="129E7B42" w14:textId="77777777" w:rsidR="000478DA" w:rsidRDefault="000478DA" w:rsidP="00DA0C5D">
      <w:r>
        <w:continuationSeparator/>
      </w:r>
    </w:p>
  </w:footnote>
  <w:footnote w:type="continuationNotice" w:id="1">
    <w:p w14:paraId="32145524" w14:textId="77777777" w:rsidR="000478DA" w:rsidRDefault="000478DA"/>
  </w:footnote>
  <w:footnote w:id="2">
    <w:p w14:paraId="6D61CC27" w14:textId="37D9E46D" w:rsidR="00C32789" w:rsidRPr="006F4B75" w:rsidRDefault="00C32789" w:rsidP="00173671">
      <w:pPr>
        <w:pStyle w:val="DipnotMetni"/>
        <w:jc w:val="both"/>
        <w:rPr>
          <w:lang w:val="en-US"/>
        </w:rPr>
      </w:pPr>
      <w:r>
        <w:rPr>
          <w:rStyle w:val="DipnotBavurusu"/>
        </w:rPr>
        <w:footnoteRef/>
      </w:r>
      <w:r w:rsidR="001866FC">
        <w:t xml:space="preserve"> </w:t>
      </w:r>
      <w:r w:rsidRPr="001866FC">
        <w:rPr>
          <w:rFonts w:ascii="Palatino Linotype" w:hAnsi="Palatino Linotype"/>
          <w:sz w:val="18"/>
          <w:szCs w:val="18"/>
        </w:rPr>
        <w:t>Betam</w:t>
      </w:r>
      <w:r w:rsidR="006F4B75">
        <w:rPr>
          <w:rFonts w:ascii="Palatino Linotype" w:hAnsi="Palatino Linotype"/>
          <w:sz w:val="18"/>
          <w:szCs w:val="18"/>
        </w:rPr>
        <w:t xml:space="preserve">, </w:t>
      </w:r>
      <w:proofErr w:type="spellStart"/>
      <w:r w:rsidR="006F4B75">
        <w:rPr>
          <w:rFonts w:ascii="Palatino Linotype" w:hAnsi="Palatino Linotype"/>
          <w:sz w:val="18"/>
          <w:szCs w:val="18"/>
        </w:rPr>
        <w:t>seyfettin.gursel</w:t>
      </w:r>
      <w:proofErr w:type="spellEnd"/>
      <w:r w:rsidR="006F4B75">
        <w:rPr>
          <w:rFonts w:ascii="Palatino Linotype" w:hAnsi="Palatino Linotype"/>
          <w:sz w:val="18"/>
          <w:szCs w:val="18"/>
          <w:lang w:val="en-US"/>
        </w:rPr>
        <w:t>@bau.edu.tr</w:t>
      </w:r>
    </w:p>
  </w:footnote>
  <w:footnote w:id="3">
    <w:p w14:paraId="5BE1DCEB" w14:textId="0BD036B4" w:rsidR="001537D8" w:rsidRDefault="001537D8" w:rsidP="00173671">
      <w:pPr>
        <w:pStyle w:val="DipnotMetni"/>
        <w:jc w:val="both"/>
      </w:pPr>
      <w:r>
        <w:rPr>
          <w:rStyle w:val="DipnotBavurusu"/>
        </w:rPr>
        <w:footnoteRef/>
      </w:r>
      <w:r w:rsidR="001866FC">
        <w:t xml:space="preserve"> </w:t>
      </w:r>
      <w:r w:rsidRPr="001866FC">
        <w:rPr>
          <w:rFonts w:ascii="Palatino Linotype" w:hAnsi="Palatino Linotype"/>
          <w:sz w:val="18"/>
          <w:szCs w:val="18"/>
        </w:rPr>
        <w:t>Betam,</w:t>
      </w:r>
      <w:r w:rsidR="00302EDD">
        <w:rPr>
          <w:rFonts w:ascii="Palatino Linotype" w:hAnsi="Palatino Linotype"/>
          <w:sz w:val="18"/>
          <w:szCs w:val="18"/>
        </w:rPr>
        <w:t xml:space="preserve"> </w:t>
      </w:r>
      <w:r w:rsidR="006A51CC">
        <w:rPr>
          <w:rFonts w:ascii="Palatino Linotype" w:hAnsi="Palatino Linotype"/>
          <w:sz w:val="18"/>
          <w:szCs w:val="18"/>
        </w:rPr>
        <w:t>saliha.tanriverdi</w:t>
      </w:r>
      <w:r w:rsidR="004D4272" w:rsidRPr="001866FC">
        <w:rPr>
          <w:rFonts w:ascii="Palatino Linotype" w:hAnsi="Palatino Linotype"/>
          <w:sz w:val="18"/>
          <w:szCs w:val="18"/>
        </w:rPr>
        <w:t>@bau.edu.tr</w:t>
      </w:r>
      <w:r>
        <w:t xml:space="preserve"> </w:t>
      </w:r>
    </w:p>
  </w:footnote>
  <w:footnote w:id="4">
    <w:p w14:paraId="7D323AF4" w14:textId="77777777" w:rsidR="00FE7D5B" w:rsidRPr="00E22DFD" w:rsidRDefault="00FE7D5B" w:rsidP="00FE7D5B">
      <w:pPr>
        <w:pStyle w:val="DipnotMetni"/>
        <w:jc w:val="both"/>
        <w:rPr>
          <w:rFonts w:ascii="Palatino Linotype" w:hAnsi="Palatino Linotype"/>
          <w:sz w:val="18"/>
          <w:szCs w:val="18"/>
        </w:rPr>
      </w:pPr>
      <w:r w:rsidRPr="00E22DFD">
        <w:rPr>
          <w:rStyle w:val="DipnotBavurusu"/>
          <w:rFonts w:ascii="Palatino Linotype" w:hAnsi="Palatino Linotype"/>
          <w:sz w:val="18"/>
          <w:szCs w:val="18"/>
        </w:rPr>
        <w:footnoteRef/>
      </w:r>
      <w:r w:rsidRPr="00E22DFD">
        <w:rPr>
          <w:rFonts w:ascii="Palatino Linotype" w:hAnsi="Palatino Linotype"/>
          <w:sz w:val="18"/>
          <w:szCs w:val="18"/>
        </w:rPr>
        <w:t xml:space="preserve"> “TÜİK yeni milli gelir serilerini hesaplarken zincirleme hacim endeksi yöntemini kullanıyor. Zincirleme yöntemde hem </w:t>
      </w:r>
      <w:proofErr w:type="spellStart"/>
      <w:r w:rsidRPr="00E22DFD">
        <w:rPr>
          <w:rFonts w:ascii="Palatino Linotype" w:hAnsi="Palatino Linotype"/>
          <w:sz w:val="18"/>
          <w:szCs w:val="18"/>
        </w:rPr>
        <w:t>toplamsallık</w:t>
      </w:r>
      <w:proofErr w:type="spellEnd"/>
      <w:r w:rsidRPr="00E22DFD">
        <w:rPr>
          <w:rFonts w:ascii="Palatino Linotype" w:hAnsi="Palatino Linotype"/>
          <w:sz w:val="18"/>
          <w:szCs w:val="18"/>
        </w:rPr>
        <w:t xml:space="preserve"> sorunu olduğu hem de "stoktaki değişiklikler" kalemi için zincirlenmiş endeks türetilemediği için stok değişiminin büyümeye katkısı kolayca hesaplanamamaktadır. Zincirleme hacim endeksi yaklaşımında stok değişimi kaleminin büyümeye katkısının nasıl hesaplanacağını yayınladığımız araştırma notunda detaylı olarak tartışmıştık (bkz. </w:t>
      </w:r>
      <w:bookmarkStart w:id="10" w:name="OLE_LINK3"/>
      <w:bookmarkStart w:id="11" w:name="OLE_LINK4"/>
      <w:r w:rsidRPr="00E22DFD">
        <w:rPr>
          <w:rFonts w:ascii="Palatino Linotype" w:hAnsi="Palatino Linotype"/>
          <w:sz w:val="18"/>
          <w:szCs w:val="18"/>
        </w:rPr>
        <w:t>Betam Araştırma Notu 17/217</w:t>
      </w:r>
      <w:bookmarkEnd w:id="10"/>
      <w:bookmarkEnd w:id="11"/>
      <w:r w:rsidRPr="00E22DFD">
        <w:rPr>
          <w:rFonts w:ascii="Palatino Linotype" w:hAnsi="Palatino Linotype"/>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50D03"/>
    <w:multiLevelType w:val="hybridMultilevel"/>
    <w:tmpl w:val="ABAEA2D4"/>
    <w:lvl w:ilvl="0" w:tplc="D6BC7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70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2MzQ1MzcytDQzNrBU0lEKTi0uzszPAykwrwUAwfjx3ywAAAA="/>
  </w:docVars>
  <w:rsids>
    <w:rsidRoot w:val="00D07713"/>
    <w:rsid w:val="0000013E"/>
    <w:rsid w:val="00000824"/>
    <w:rsid w:val="0000228F"/>
    <w:rsid w:val="0000232E"/>
    <w:rsid w:val="00002E42"/>
    <w:rsid w:val="00003CEF"/>
    <w:rsid w:val="000055F7"/>
    <w:rsid w:val="00007BF3"/>
    <w:rsid w:val="00007C3F"/>
    <w:rsid w:val="0001081A"/>
    <w:rsid w:val="00010B90"/>
    <w:rsid w:val="00010DAB"/>
    <w:rsid w:val="00013768"/>
    <w:rsid w:val="0001392F"/>
    <w:rsid w:val="000141C7"/>
    <w:rsid w:val="0001486D"/>
    <w:rsid w:val="00015F47"/>
    <w:rsid w:val="00016D27"/>
    <w:rsid w:val="00017B51"/>
    <w:rsid w:val="00020306"/>
    <w:rsid w:val="00021CFC"/>
    <w:rsid w:val="00022596"/>
    <w:rsid w:val="00022EB1"/>
    <w:rsid w:val="00023740"/>
    <w:rsid w:val="00023B97"/>
    <w:rsid w:val="0002466A"/>
    <w:rsid w:val="00024FE0"/>
    <w:rsid w:val="00030A2C"/>
    <w:rsid w:val="000314B6"/>
    <w:rsid w:val="0003173A"/>
    <w:rsid w:val="00032741"/>
    <w:rsid w:val="00034933"/>
    <w:rsid w:val="00036770"/>
    <w:rsid w:val="00037728"/>
    <w:rsid w:val="000404B3"/>
    <w:rsid w:val="0004087D"/>
    <w:rsid w:val="00041FB7"/>
    <w:rsid w:val="00042210"/>
    <w:rsid w:val="0004390D"/>
    <w:rsid w:val="00044AF3"/>
    <w:rsid w:val="00044D9E"/>
    <w:rsid w:val="00045626"/>
    <w:rsid w:val="0004588B"/>
    <w:rsid w:val="000478DA"/>
    <w:rsid w:val="00047A79"/>
    <w:rsid w:val="00050D2C"/>
    <w:rsid w:val="00052012"/>
    <w:rsid w:val="0005290F"/>
    <w:rsid w:val="000529F2"/>
    <w:rsid w:val="00052B86"/>
    <w:rsid w:val="00053AAA"/>
    <w:rsid w:val="00054943"/>
    <w:rsid w:val="00054D9E"/>
    <w:rsid w:val="00055EA1"/>
    <w:rsid w:val="000561F7"/>
    <w:rsid w:val="00056403"/>
    <w:rsid w:val="0005747B"/>
    <w:rsid w:val="00057F8E"/>
    <w:rsid w:val="00062A8A"/>
    <w:rsid w:val="00063B28"/>
    <w:rsid w:val="000641A8"/>
    <w:rsid w:val="000652B6"/>
    <w:rsid w:val="00066842"/>
    <w:rsid w:val="00067288"/>
    <w:rsid w:val="0006775B"/>
    <w:rsid w:val="00070018"/>
    <w:rsid w:val="000714BA"/>
    <w:rsid w:val="000719F5"/>
    <w:rsid w:val="000725DB"/>
    <w:rsid w:val="00073415"/>
    <w:rsid w:val="000753CE"/>
    <w:rsid w:val="00077CA8"/>
    <w:rsid w:val="00077F9D"/>
    <w:rsid w:val="00080211"/>
    <w:rsid w:val="00080336"/>
    <w:rsid w:val="000838DE"/>
    <w:rsid w:val="00085271"/>
    <w:rsid w:val="00086C64"/>
    <w:rsid w:val="00087011"/>
    <w:rsid w:val="000876CE"/>
    <w:rsid w:val="00087C70"/>
    <w:rsid w:val="000905E5"/>
    <w:rsid w:val="00091F3E"/>
    <w:rsid w:val="0009328A"/>
    <w:rsid w:val="00094206"/>
    <w:rsid w:val="00094647"/>
    <w:rsid w:val="0009673D"/>
    <w:rsid w:val="00096CDA"/>
    <w:rsid w:val="00097794"/>
    <w:rsid w:val="000978C8"/>
    <w:rsid w:val="000A05ED"/>
    <w:rsid w:val="000A1122"/>
    <w:rsid w:val="000A3019"/>
    <w:rsid w:val="000A4FA7"/>
    <w:rsid w:val="000A612E"/>
    <w:rsid w:val="000B09B0"/>
    <w:rsid w:val="000B0D12"/>
    <w:rsid w:val="000B0FC1"/>
    <w:rsid w:val="000B45D6"/>
    <w:rsid w:val="000B6CAD"/>
    <w:rsid w:val="000B75BE"/>
    <w:rsid w:val="000C0E23"/>
    <w:rsid w:val="000C12C0"/>
    <w:rsid w:val="000C1672"/>
    <w:rsid w:val="000C5C80"/>
    <w:rsid w:val="000C5EAB"/>
    <w:rsid w:val="000C634D"/>
    <w:rsid w:val="000D5974"/>
    <w:rsid w:val="000D5FD3"/>
    <w:rsid w:val="000D6E6C"/>
    <w:rsid w:val="000D70D1"/>
    <w:rsid w:val="000E1802"/>
    <w:rsid w:val="000E2388"/>
    <w:rsid w:val="000E2F54"/>
    <w:rsid w:val="000E3436"/>
    <w:rsid w:val="000E445D"/>
    <w:rsid w:val="000F0B6B"/>
    <w:rsid w:val="000F2C7A"/>
    <w:rsid w:val="000F34BE"/>
    <w:rsid w:val="000F378E"/>
    <w:rsid w:val="000F38B6"/>
    <w:rsid w:val="000F431C"/>
    <w:rsid w:val="000F6529"/>
    <w:rsid w:val="000F75B9"/>
    <w:rsid w:val="001004FF"/>
    <w:rsid w:val="0010209C"/>
    <w:rsid w:val="001020C4"/>
    <w:rsid w:val="001035A0"/>
    <w:rsid w:val="00111CED"/>
    <w:rsid w:val="0011291D"/>
    <w:rsid w:val="00112AEA"/>
    <w:rsid w:val="00115F49"/>
    <w:rsid w:val="0011613D"/>
    <w:rsid w:val="001165B4"/>
    <w:rsid w:val="001167EB"/>
    <w:rsid w:val="00117128"/>
    <w:rsid w:val="001226D6"/>
    <w:rsid w:val="001239FD"/>
    <w:rsid w:val="0012464E"/>
    <w:rsid w:val="00124B0C"/>
    <w:rsid w:val="0012527F"/>
    <w:rsid w:val="00125770"/>
    <w:rsid w:val="00126200"/>
    <w:rsid w:val="001264BF"/>
    <w:rsid w:val="001270D3"/>
    <w:rsid w:val="0012777A"/>
    <w:rsid w:val="00127E4D"/>
    <w:rsid w:val="00130D73"/>
    <w:rsid w:val="00131C5C"/>
    <w:rsid w:val="00132910"/>
    <w:rsid w:val="00132F7E"/>
    <w:rsid w:val="00134BE8"/>
    <w:rsid w:val="001365DD"/>
    <w:rsid w:val="0013699E"/>
    <w:rsid w:val="00137467"/>
    <w:rsid w:val="00140468"/>
    <w:rsid w:val="00141EDB"/>
    <w:rsid w:val="00143F17"/>
    <w:rsid w:val="0014542A"/>
    <w:rsid w:val="00145995"/>
    <w:rsid w:val="00150FFB"/>
    <w:rsid w:val="0015176F"/>
    <w:rsid w:val="001527FA"/>
    <w:rsid w:val="001531B2"/>
    <w:rsid w:val="001537D8"/>
    <w:rsid w:val="001540B7"/>
    <w:rsid w:val="00156849"/>
    <w:rsid w:val="00156D41"/>
    <w:rsid w:val="00157070"/>
    <w:rsid w:val="001570F3"/>
    <w:rsid w:val="0016084A"/>
    <w:rsid w:val="00160880"/>
    <w:rsid w:val="001648AB"/>
    <w:rsid w:val="00166779"/>
    <w:rsid w:val="00173671"/>
    <w:rsid w:val="00173752"/>
    <w:rsid w:val="00173CB3"/>
    <w:rsid w:val="0017424F"/>
    <w:rsid w:val="001744CD"/>
    <w:rsid w:val="00175FC8"/>
    <w:rsid w:val="00177002"/>
    <w:rsid w:val="001777A4"/>
    <w:rsid w:val="001804D3"/>
    <w:rsid w:val="00183AFA"/>
    <w:rsid w:val="00183D5C"/>
    <w:rsid w:val="00184174"/>
    <w:rsid w:val="00184B02"/>
    <w:rsid w:val="001851FE"/>
    <w:rsid w:val="001855BC"/>
    <w:rsid w:val="001866FC"/>
    <w:rsid w:val="00190944"/>
    <w:rsid w:val="00190CDF"/>
    <w:rsid w:val="00190F8D"/>
    <w:rsid w:val="0019364D"/>
    <w:rsid w:val="00194FF2"/>
    <w:rsid w:val="001978A0"/>
    <w:rsid w:val="001A080D"/>
    <w:rsid w:val="001A1825"/>
    <w:rsid w:val="001A18B0"/>
    <w:rsid w:val="001A42FF"/>
    <w:rsid w:val="001A5699"/>
    <w:rsid w:val="001B06E6"/>
    <w:rsid w:val="001B371C"/>
    <w:rsid w:val="001B3A44"/>
    <w:rsid w:val="001B584B"/>
    <w:rsid w:val="001B5FA8"/>
    <w:rsid w:val="001C2763"/>
    <w:rsid w:val="001C2C68"/>
    <w:rsid w:val="001C342D"/>
    <w:rsid w:val="001C41BB"/>
    <w:rsid w:val="001C566F"/>
    <w:rsid w:val="001C65BF"/>
    <w:rsid w:val="001C7370"/>
    <w:rsid w:val="001C77F0"/>
    <w:rsid w:val="001D0150"/>
    <w:rsid w:val="001D13E5"/>
    <w:rsid w:val="001D2107"/>
    <w:rsid w:val="001D36E7"/>
    <w:rsid w:val="001D37D1"/>
    <w:rsid w:val="001D420E"/>
    <w:rsid w:val="001D5B02"/>
    <w:rsid w:val="001D6465"/>
    <w:rsid w:val="001D7073"/>
    <w:rsid w:val="001D7474"/>
    <w:rsid w:val="001D7513"/>
    <w:rsid w:val="001E181B"/>
    <w:rsid w:val="001E2682"/>
    <w:rsid w:val="001E2E49"/>
    <w:rsid w:val="001E3320"/>
    <w:rsid w:val="001E349F"/>
    <w:rsid w:val="001E44F8"/>
    <w:rsid w:val="001E495B"/>
    <w:rsid w:val="001E514D"/>
    <w:rsid w:val="001E7126"/>
    <w:rsid w:val="001E72E4"/>
    <w:rsid w:val="001E7D73"/>
    <w:rsid w:val="001F0FFC"/>
    <w:rsid w:val="001F12E3"/>
    <w:rsid w:val="001F1554"/>
    <w:rsid w:val="001F1CCF"/>
    <w:rsid w:val="001F2DE9"/>
    <w:rsid w:val="001F4A7A"/>
    <w:rsid w:val="001F4E3D"/>
    <w:rsid w:val="001F5399"/>
    <w:rsid w:val="001F5841"/>
    <w:rsid w:val="001F7023"/>
    <w:rsid w:val="001F729E"/>
    <w:rsid w:val="001F7B1D"/>
    <w:rsid w:val="001F7BC7"/>
    <w:rsid w:val="00200BCB"/>
    <w:rsid w:val="00201554"/>
    <w:rsid w:val="00201E79"/>
    <w:rsid w:val="00202302"/>
    <w:rsid w:val="002034A9"/>
    <w:rsid w:val="00204FB4"/>
    <w:rsid w:val="00205844"/>
    <w:rsid w:val="00206F72"/>
    <w:rsid w:val="002076D8"/>
    <w:rsid w:val="0021038D"/>
    <w:rsid w:val="002106DF"/>
    <w:rsid w:val="00211E95"/>
    <w:rsid w:val="00212579"/>
    <w:rsid w:val="00212782"/>
    <w:rsid w:val="00213402"/>
    <w:rsid w:val="002136B9"/>
    <w:rsid w:val="00214268"/>
    <w:rsid w:val="00214914"/>
    <w:rsid w:val="00214B5E"/>
    <w:rsid w:val="00215BC7"/>
    <w:rsid w:val="002176BD"/>
    <w:rsid w:val="00217A5A"/>
    <w:rsid w:val="00220425"/>
    <w:rsid w:val="00224895"/>
    <w:rsid w:val="0022537C"/>
    <w:rsid w:val="0022637C"/>
    <w:rsid w:val="0022673E"/>
    <w:rsid w:val="002270D8"/>
    <w:rsid w:val="00232635"/>
    <w:rsid w:val="002334DD"/>
    <w:rsid w:val="002343A8"/>
    <w:rsid w:val="00235DBE"/>
    <w:rsid w:val="00236258"/>
    <w:rsid w:val="00236A94"/>
    <w:rsid w:val="0023713A"/>
    <w:rsid w:val="002372CB"/>
    <w:rsid w:val="002427A5"/>
    <w:rsid w:val="00242C10"/>
    <w:rsid w:val="00242F55"/>
    <w:rsid w:val="00244CF8"/>
    <w:rsid w:val="00245261"/>
    <w:rsid w:val="00245B1A"/>
    <w:rsid w:val="00247A3C"/>
    <w:rsid w:val="0025111C"/>
    <w:rsid w:val="00251690"/>
    <w:rsid w:val="00253E19"/>
    <w:rsid w:val="002561CB"/>
    <w:rsid w:val="00256FE3"/>
    <w:rsid w:val="00263C3E"/>
    <w:rsid w:val="00265553"/>
    <w:rsid w:val="00265568"/>
    <w:rsid w:val="002655E5"/>
    <w:rsid w:val="002663FD"/>
    <w:rsid w:val="00267F48"/>
    <w:rsid w:val="00270A75"/>
    <w:rsid w:val="00270E2B"/>
    <w:rsid w:val="002714F9"/>
    <w:rsid w:val="002729B4"/>
    <w:rsid w:val="002755D9"/>
    <w:rsid w:val="00275745"/>
    <w:rsid w:val="0027649A"/>
    <w:rsid w:val="002769F8"/>
    <w:rsid w:val="00277FED"/>
    <w:rsid w:val="002804E5"/>
    <w:rsid w:val="0028053F"/>
    <w:rsid w:val="00282242"/>
    <w:rsid w:val="002829BC"/>
    <w:rsid w:val="00282C5D"/>
    <w:rsid w:val="002836D7"/>
    <w:rsid w:val="00284401"/>
    <w:rsid w:val="00284764"/>
    <w:rsid w:val="002847DE"/>
    <w:rsid w:val="0028498B"/>
    <w:rsid w:val="00287B00"/>
    <w:rsid w:val="00287D00"/>
    <w:rsid w:val="0029215C"/>
    <w:rsid w:val="00295671"/>
    <w:rsid w:val="00295E9A"/>
    <w:rsid w:val="0029623C"/>
    <w:rsid w:val="0029624E"/>
    <w:rsid w:val="002A018C"/>
    <w:rsid w:val="002A037D"/>
    <w:rsid w:val="002A07A9"/>
    <w:rsid w:val="002A16BA"/>
    <w:rsid w:val="002A20F3"/>
    <w:rsid w:val="002A2C66"/>
    <w:rsid w:val="002A40B6"/>
    <w:rsid w:val="002A738E"/>
    <w:rsid w:val="002A7C37"/>
    <w:rsid w:val="002B2172"/>
    <w:rsid w:val="002B2A1B"/>
    <w:rsid w:val="002B3C10"/>
    <w:rsid w:val="002B4A1A"/>
    <w:rsid w:val="002C00A1"/>
    <w:rsid w:val="002C0F1D"/>
    <w:rsid w:val="002C16BE"/>
    <w:rsid w:val="002C4AF2"/>
    <w:rsid w:val="002C4CC7"/>
    <w:rsid w:val="002C4E2F"/>
    <w:rsid w:val="002C542E"/>
    <w:rsid w:val="002C57C6"/>
    <w:rsid w:val="002C5C24"/>
    <w:rsid w:val="002C64BB"/>
    <w:rsid w:val="002C7A07"/>
    <w:rsid w:val="002D0856"/>
    <w:rsid w:val="002D0F16"/>
    <w:rsid w:val="002D1797"/>
    <w:rsid w:val="002D4002"/>
    <w:rsid w:val="002D4D2D"/>
    <w:rsid w:val="002E1F54"/>
    <w:rsid w:val="002E3A79"/>
    <w:rsid w:val="002E526F"/>
    <w:rsid w:val="002E6C96"/>
    <w:rsid w:val="002F1503"/>
    <w:rsid w:val="002F2245"/>
    <w:rsid w:val="002F26B4"/>
    <w:rsid w:val="002F2D70"/>
    <w:rsid w:val="002F3163"/>
    <w:rsid w:val="002F63B2"/>
    <w:rsid w:val="0030250D"/>
    <w:rsid w:val="00302EDD"/>
    <w:rsid w:val="00303768"/>
    <w:rsid w:val="003061DC"/>
    <w:rsid w:val="00306FF4"/>
    <w:rsid w:val="003079ED"/>
    <w:rsid w:val="00310007"/>
    <w:rsid w:val="00310C5C"/>
    <w:rsid w:val="00311EFF"/>
    <w:rsid w:val="003122C3"/>
    <w:rsid w:val="00312D61"/>
    <w:rsid w:val="00314264"/>
    <w:rsid w:val="003142E3"/>
    <w:rsid w:val="0031652F"/>
    <w:rsid w:val="003172DB"/>
    <w:rsid w:val="0031731B"/>
    <w:rsid w:val="00320281"/>
    <w:rsid w:val="0032176F"/>
    <w:rsid w:val="00321D78"/>
    <w:rsid w:val="0032280F"/>
    <w:rsid w:val="0032324A"/>
    <w:rsid w:val="0032427F"/>
    <w:rsid w:val="0032487F"/>
    <w:rsid w:val="00324C51"/>
    <w:rsid w:val="00326195"/>
    <w:rsid w:val="0032630C"/>
    <w:rsid w:val="00326678"/>
    <w:rsid w:val="003279ED"/>
    <w:rsid w:val="00327CFB"/>
    <w:rsid w:val="00330240"/>
    <w:rsid w:val="00330F33"/>
    <w:rsid w:val="00334DFF"/>
    <w:rsid w:val="00334E27"/>
    <w:rsid w:val="0033649B"/>
    <w:rsid w:val="00336634"/>
    <w:rsid w:val="0034184B"/>
    <w:rsid w:val="00344A74"/>
    <w:rsid w:val="00351F12"/>
    <w:rsid w:val="003521D3"/>
    <w:rsid w:val="00354009"/>
    <w:rsid w:val="003569A9"/>
    <w:rsid w:val="00357BC6"/>
    <w:rsid w:val="00357CFF"/>
    <w:rsid w:val="00357ECA"/>
    <w:rsid w:val="00360632"/>
    <w:rsid w:val="00362359"/>
    <w:rsid w:val="003645F9"/>
    <w:rsid w:val="00364AAB"/>
    <w:rsid w:val="00370403"/>
    <w:rsid w:val="00370A07"/>
    <w:rsid w:val="00370C4D"/>
    <w:rsid w:val="00370FEE"/>
    <w:rsid w:val="003712A7"/>
    <w:rsid w:val="00375ACF"/>
    <w:rsid w:val="00375EB0"/>
    <w:rsid w:val="003771C7"/>
    <w:rsid w:val="003776CD"/>
    <w:rsid w:val="003777B5"/>
    <w:rsid w:val="00377868"/>
    <w:rsid w:val="003800CF"/>
    <w:rsid w:val="0038057D"/>
    <w:rsid w:val="00382D1A"/>
    <w:rsid w:val="00382EE8"/>
    <w:rsid w:val="003856F4"/>
    <w:rsid w:val="00385A29"/>
    <w:rsid w:val="00385C7B"/>
    <w:rsid w:val="003864E6"/>
    <w:rsid w:val="00390C2E"/>
    <w:rsid w:val="0039364A"/>
    <w:rsid w:val="003967B5"/>
    <w:rsid w:val="00396FCD"/>
    <w:rsid w:val="003A1AFE"/>
    <w:rsid w:val="003A1B40"/>
    <w:rsid w:val="003A488B"/>
    <w:rsid w:val="003A4C32"/>
    <w:rsid w:val="003A5499"/>
    <w:rsid w:val="003A7596"/>
    <w:rsid w:val="003B1061"/>
    <w:rsid w:val="003B1DCA"/>
    <w:rsid w:val="003B2008"/>
    <w:rsid w:val="003B2D0B"/>
    <w:rsid w:val="003B42D2"/>
    <w:rsid w:val="003B44F9"/>
    <w:rsid w:val="003B5340"/>
    <w:rsid w:val="003B61AA"/>
    <w:rsid w:val="003C09C5"/>
    <w:rsid w:val="003C15C6"/>
    <w:rsid w:val="003C16BF"/>
    <w:rsid w:val="003C22D7"/>
    <w:rsid w:val="003C267D"/>
    <w:rsid w:val="003C2891"/>
    <w:rsid w:val="003C65A1"/>
    <w:rsid w:val="003D1EFE"/>
    <w:rsid w:val="003D3279"/>
    <w:rsid w:val="003D3CC0"/>
    <w:rsid w:val="003D4202"/>
    <w:rsid w:val="003D44CE"/>
    <w:rsid w:val="003D4627"/>
    <w:rsid w:val="003D6A00"/>
    <w:rsid w:val="003E0AEA"/>
    <w:rsid w:val="003E1EED"/>
    <w:rsid w:val="003E3299"/>
    <w:rsid w:val="003E4033"/>
    <w:rsid w:val="003E5C0F"/>
    <w:rsid w:val="003E774E"/>
    <w:rsid w:val="003F00A9"/>
    <w:rsid w:val="003F1276"/>
    <w:rsid w:val="003F48CF"/>
    <w:rsid w:val="003F4E89"/>
    <w:rsid w:val="003F62A8"/>
    <w:rsid w:val="003F6BFA"/>
    <w:rsid w:val="00400651"/>
    <w:rsid w:val="004017B2"/>
    <w:rsid w:val="00401813"/>
    <w:rsid w:val="004040C3"/>
    <w:rsid w:val="004048F5"/>
    <w:rsid w:val="00405BD8"/>
    <w:rsid w:val="00406AC1"/>
    <w:rsid w:val="0040718F"/>
    <w:rsid w:val="00407C84"/>
    <w:rsid w:val="00411A1B"/>
    <w:rsid w:val="004126A2"/>
    <w:rsid w:val="00414976"/>
    <w:rsid w:val="00416A4B"/>
    <w:rsid w:val="00417BAD"/>
    <w:rsid w:val="00417F6E"/>
    <w:rsid w:val="004230CD"/>
    <w:rsid w:val="00423F84"/>
    <w:rsid w:val="00424382"/>
    <w:rsid w:val="00425011"/>
    <w:rsid w:val="0042530D"/>
    <w:rsid w:val="00430276"/>
    <w:rsid w:val="00430AA7"/>
    <w:rsid w:val="00431236"/>
    <w:rsid w:val="004316F0"/>
    <w:rsid w:val="00431C38"/>
    <w:rsid w:val="00432B76"/>
    <w:rsid w:val="0043384F"/>
    <w:rsid w:val="00433A75"/>
    <w:rsid w:val="00434406"/>
    <w:rsid w:val="00435806"/>
    <w:rsid w:val="004360BE"/>
    <w:rsid w:val="00437803"/>
    <w:rsid w:val="004426B4"/>
    <w:rsid w:val="004435E3"/>
    <w:rsid w:val="00443C08"/>
    <w:rsid w:val="00443D50"/>
    <w:rsid w:val="004445A3"/>
    <w:rsid w:val="0044498D"/>
    <w:rsid w:val="00444FC5"/>
    <w:rsid w:val="00445C96"/>
    <w:rsid w:val="00445D9F"/>
    <w:rsid w:val="00447743"/>
    <w:rsid w:val="00450756"/>
    <w:rsid w:val="00450CEA"/>
    <w:rsid w:val="0045146C"/>
    <w:rsid w:val="00451A8A"/>
    <w:rsid w:val="00451AAD"/>
    <w:rsid w:val="0045499E"/>
    <w:rsid w:val="0045586B"/>
    <w:rsid w:val="004574B5"/>
    <w:rsid w:val="00457E4E"/>
    <w:rsid w:val="004623F2"/>
    <w:rsid w:val="00462ED3"/>
    <w:rsid w:val="00464333"/>
    <w:rsid w:val="004647F0"/>
    <w:rsid w:val="004656BC"/>
    <w:rsid w:val="0046651A"/>
    <w:rsid w:val="0047041F"/>
    <w:rsid w:val="00476131"/>
    <w:rsid w:val="00476E22"/>
    <w:rsid w:val="00477AED"/>
    <w:rsid w:val="00480684"/>
    <w:rsid w:val="004834F0"/>
    <w:rsid w:val="00483EC5"/>
    <w:rsid w:val="0048406B"/>
    <w:rsid w:val="0048730C"/>
    <w:rsid w:val="0048774D"/>
    <w:rsid w:val="00490AAE"/>
    <w:rsid w:val="00491A9B"/>
    <w:rsid w:val="00492020"/>
    <w:rsid w:val="004922EF"/>
    <w:rsid w:val="00492E7A"/>
    <w:rsid w:val="004931A5"/>
    <w:rsid w:val="00494926"/>
    <w:rsid w:val="004950F8"/>
    <w:rsid w:val="00496A92"/>
    <w:rsid w:val="00497044"/>
    <w:rsid w:val="00497231"/>
    <w:rsid w:val="004A045A"/>
    <w:rsid w:val="004A1A4D"/>
    <w:rsid w:val="004A21DB"/>
    <w:rsid w:val="004A5DBE"/>
    <w:rsid w:val="004B0D97"/>
    <w:rsid w:val="004B130D"/>
    <w:rsid w:val="004B2DAB"/>
    <w:rsid w:val="004B5355"/>
    <w:rsid w:val="004B5B3E"/>
    <w:rsid w:val="004B6E05"/>
    <w:rsid w:val="004B7166"/>
    <w:rsid w:val="004C548E"/>
    <w:rsid w:val="004C6ADE"/>
    <w:rsid w:val="004C74E9"/>
    <w:rsid w:val="004D1A55"/>
    <w:rsid w:val="004D1FAD"/>
    <w:rsid w:val="004D2CC0"/>
    <w:rsid w:val="004D2E16"/>
    <w:rsid w:val="004D34F7"/>
    <w:rsid w:val="004D4272"/>
    <w:rsid w:val="004D4EE0"/>
    <w:rsid w:val="004D626D"/>
    <w:rsid w:val="004D6586"/>
    <w:rsid w:val="004D6ECD"/>
    <w:rsid w:val="004D764F"/>
    <w:rsid w:val="004E0098"/>
    <w:rsid w:val="004E085E"/>
    <w:rsid w:val="004E0CE7"/>
    <w:rsid w:val="004E0D77"/>
    <w:rsid w:val="004E115D"/>
    <w:rsid w:val="004E324B"/>
    <w:rsid w:val="004E5018"/>
    <w:rsid w:val="004E78AD"/>
    <w:rsid w:val="004F0543"/>
    <w:rsid w:val="004F10AB"/>
    <w:rsid w:val="004F4BDC"/>
    <w:rsid w:val="004F54AE"/>
    <w:rsid w:val="004F7F5D"/>
    <w:rsid w:val="0050008F"/>
    <w:rsid w:val="00501199"/>
    <w:rsid w:val="005020BC"/>
    <w:rsid w:val="005029B2"/>
    <w:rsid w:val="00502B3A"/>
    <w:rsid w:val="00502D9E"/>
    <w:rsid w:val="005033DB"/>
    <w:rsid w:val="005047E6"/>
    <w:rsid w:val="00505041"/>
    <w:rsid w:val="00505D2D"/>
    <w:rsid w:val="00506253"/>
    <w:rsid w:val="00507586"/>
    <w:rsid w:val="00510883"/>
    <w:rsid w:val="00510A73"/>
    <w:rsid w:val="00510E16"/>
    <w:rsid w:val="00511C6E"/>
    <w:rsid w:val="0051280A"/>
    <w:rsid w:val="00513359"/>
    <w:rsid w:val="005150C1"/>
    <w:rsid w:val="005204CE"/>
    <w:rsid w:val="00521326"/>
    <w:rsid w:val="005225E0"/>
    <w:rsid w:val="00524360"/>
    <w:rsid w:val="00524F9F"/>
    <w:rsid w:val="00530A3C"/>
    <w:rsid w:val="00530B9F"/>
    <w:rsid w:val="0053582F"/>
    <w:rsid w:val="0053586E"/>
    <w:rsid w:val="00537BE1"/>
    <w:rsid w:val="0054145E"/>
    <w:rsid w:val="00542345"/>
    <w:rsid w:val="005431B9"/>
    <w:rsid w:val="005438B0"/>
    <w:rsid w:val="00544773"/>
    <w:rsid w:val="00545103"/>
    <w:rsid w:val="005470D4"/>
    <w:rsid w:val="00547ED5"/>
    <w:rsid w:val="00551589"/>
    <w:rsid w:val="005600E7"/>
    <w:rsid w:val="00560478"/>
    <w:rsid w:val="00560CD9"/>
    <w:rsid w:val="005629A0"/>
    <w:rsid w:val="00566F35"/>
    <w:rsid w:val="00570C1B"/>
    <w:rsid w:val="00572FD8"/>
    <w:rsid w:val="00573377"/>
    <w:rsid w:val="005748A8"/>
    <w:rsid w:val="00574EAC"/>
    <w:rsid w:val="00575EF2"/>
    <w:rsid w:val="005769BD"/>
    <w:rsid w:val="0058118D"/>
    <w:rsid w:val="005824BD"/>
    <w:rsid w:val="00583962"/>
    <w:rsid w:val="0058588C"/>
    <w:rsid w:val="00586424"/>
    <w:rsid w:val="005947A9"/>
    <w:rsid w:val="005A11A1"/>
    <w:rsid w:val="005A2246"/>
    <w:rsid w:val="005A3A4D"/>
    <w:rsid w:val="005A3B33"/>
    <w:rsid w:val="005A5AE7"/>
    <w:rsid w:val="005A611C"/>
    <w:rsid w:val="005A617F"/>
    <w:rsid w:val="005B0EEA"/>
    <w:rsid w:val="005B0FF1"/>
    <w:rsid w:val="005B19D9"/>
    <w:rsid w:val="005B22EB"/>
    <w:rsid w:val="005B35F3"/>
    <w:rsid w:val="005B3B05"/>
    <w:rsid w:val="005B40EC"/>
    <w:rsid w:val="005B6518"/>
    <w:rsid w:val="005B67B3"/>
    <w:rsid w:val="005C00FE"/>
    <w:rsid w:val="005C08B0"/>
    <w:rsid w:val="005C1B9B"/>
    <w:rsid w:val="005C2F2D"/>
    <w:rsid w:val="005C33D9"/>
    <w:rsid w:val="005C4B8A"/>
    <w:rsid w:val="005C51D9"/>
    <w:rsid w:val="005C6245"/>
    <w:rsid w:val="005C6EB6"/>
    <w:rsid w:val="005D00FB"/>
    <w:rsid w:val="005D0E8C"/>
    <w:rsid w:val="005D1F23"/>
    <w:rsid w:val="005D2580"/>
    <w:rsid w:val="005D27F8"/>
    <w:rsid w:val="005D2979"/>
    <w:rsid w:val="005D3C96"/>
    <w:rsid w:val="005D4126"/>
    <w:rsid w:val="005D5858"/>
    <w:rsid w:val="005D601F"/>
    <w:rsid w:val="005D72F5"/>
    <w:rsid w:val="005D7F3E"/>
    <w:rsid w:val="005E0D21"/>
    <w:rsid w:val="005E2717"/>
    <w:rsid w:val="005E458B"/>
    <w:rsid w:val="005E49F0"/>
    <w:rsid w:val="005E64E2"/>
    <w:rsid w:val="005E67C0"/>
    <w:rsid w:val="005E77BF"/>
    <w:rsid w:val="005F0C29"/>
    <w:rsid w:val="005F0FF9"/>
    <w:rsid w:val="005F26AF"/>
    <w:rsid w:val="005F6244"/>
    <w:rsid w:val="005F63C3"/>
    <w:rsid w:val="005F69B2"/>
    <w:rsid w:val="005F7787"/>
    <w:rsid w:val="005F7E5E"/>
    <w:rsid w:val="00602C2B"/>
    <w:rsid w:val="0060593A"/>
    <w:rsid w:val="00607E5C"/>
    <w:rsid w:val="00610889"/>
    <w:rsid w:val="00610D70"/>
    <w:rsid w:val="00611B7A"/>
    <w:rsid w:val="0061333E"/>
    <w:rsid w:val="0061365F"/>
    <w:rsid w:val="006138F0"/>
    <w:rsid w:val="00613D1F"/>
    <w:rsid w:val="0061410A"/>
    <w:rsid w:val="006145E6"/>
    <w:rsid w:val="0061732D"/>
    <w:rsid w:val="00625B95"/>
    <w:rsid w:val="0062628E"/>
    <w:rsid w:val="0062671A"/>
    <w:rsid w:val="006268DA"/>
    <w:rsid w:val="006277D9"/>
    <w:rsid w:val="006279B9"/>
    <w:rsid w:val="00631D5B"/>
    <w:rsid w:val="00631DB2"/>
    <w:rsid w:val="00632221"/>
    <w:rsid w:val="006324E3"/>
    <w:rsid w:val="00632CF6"/>
    <w:rsid w:val="00636F71"/>
    <w:rsid w:val="0063715C"/>
    <w:rsid w:val="00637DF8"/>
    <w:rsid w:val="0064012D"/>
    <w:rsid w:val="00641831"/>
    <w:rsid w:val="00642408"/>
    <w:rsid w:val="0064287A"/>
    <w:rsid w:val="00642AA7"/>
    <w:rsid w:val="00643113"/>
    <w:rsid w:val="006432C9"/>
    <w:rsid w:val="006439C5"/>
    <w:rsid w:val="00643F5D"/>
    <w:rsid w:val="0064483B"/>
    <w:rsid w:val="00644A1E"/>
    <w:rsid w:val="00645147"/>
    <w:rsid w:val="00646879"/>
    <w:rsid w:val="00647318"/>
    <w:rsid w:val="0064747F"/>
    <w:rsid w:val="00647792"/>
    <w:rsid w:val="00650BB3"/>
    <w:rsid w:val="00653968"/>
    <w:rsid w:val="00653B30"/>
    <w:rsid w:val="00653DF4"/>
    <w:rsid w:val="006549E3"/>
    <w:rsid w:val="00654A8F"/>
    <w:rsid w:val="00655938"/>
    <w:rsid w:val="00655B95"/>
    <w:rsid w:val="00657B23"/>
    <w:rsid w:val="00661E32"/>
    <w:rsid w:val="00663306"/>
    <w:rsid w:val="00666235"/>
    <w:rsid w:val="006668BE"/>
    <w:rsid w:val="0067008D"/>
    <w:rsid w:val="0067066F"/>
    <w:rsid w:val="00670BB4"/>
    <w:rsid w:val="006761BB"/>
    <w:rsid w:val="0067693E"/>
    <w:rsid w:val="00680AE4"/>
    <w:rsid w:val="00680E36"/>
    <w:rsid w:val="00681022"/>
    <w:rsid w:val="006813D8"/>
    <w:rsid w:val="00681AD9"/>
    <w:rsid w:val="006825C1"/>
    <w:rsid w:val="0068354F"/>
    <w:rsid w:val="0069267E"/>
    <w:rsid w:val="00692908"/>
    <w:rsid w:val="00693FB8"/>
    <w:rsid w:val="00694B4D"/>
    <w:rsid w:val="00694F52"/>
    <w:rsid w:val="00695471"/>
    <w:rsid w:val="006A0C4F"/>
    <w:rsid w:val="006A0DEA"/>
    <w:rsid w:val="006A201E"/>
    <w:rsid w:val="006A308B"/>
    <w:rsid w:val="006A51CC"/>
    <w:rsid w:val="006B0633"/>
    <w:rsid w:val="006B1AFE"/>
    <w:rsid w:val="006B3CCF"/>
    <w:rsid w:val="006B5B6C"/>
    <w:rsid w:val="006B6C5D"/>
    <w:rsid w:val="006C122C"/>
    <w:rsid w:val="006C169A"/>
    <w:rsid w:val="006C1ABC"/>
    <w:rsid w:val="006C35FC"/>
    <w:rsid w:val="006C3EE6"/>
    <w:rsid w:val="006C49A7"/>
    <w:rsid w:val="006D02FD"/>
    <w:rsid w:val="006D1DD6"/>
    <w:rsid w:val="006D209A"/>
    <w:rsid w:val="006D32A0"/>
    <w:rsid w:val="006D40AC"/>
    <w:rsid w:val="006D419B"/>
    <w:rsid w:val="006D48CF"/>
    <w:rsid w:val="006D507A"/>
    <w:rsid w:val="006D5AD4"/>
    <w:rsid w:val="006D5EB5"/>
    <w:rsid w:val="006E07BA"/>
    <w:rsid w:val="006E09D6"/>
    <w:rsid w:val="006E116C"/>
    <w:rsid w:val="006E2065"/>
    <w:rsid w:val="006E7998"/>
    <w:rsid w:val="006F0FC6"/>
    <w:rsid w:val="006F1912"/>
    <w:rsid w:val="006F2CD8"/>
    <w:rsid w:val="006F469E"/>
    <w:rsid w:val="006F49E7"/>
    <w:rsid w:val="006F4B75"/>
    <w:rsid w:val="006F5E82"/>
    <w:rsid w:val="006F615A"/>
    <w:rsid w:val="006F6CBE"/>
    <w:rsid w:val="006F78AE"/>
    <w:rsid w:val="00700983"/>
    <w:rsid w:val="007011B6"/>
    <w:rsid w:val="007014CD"/>
    <w:rsid w:val="0070188F"/>
    <w:rsid w:val="007038BC"/>
    <w:rsid w:val="00707FAA"/>
    <w:rsid w:val="00707FBD"/>
    <w:rsid w:val="00711A8A"/>
    <w:rsid w:val="00712535"/>
    <w:rsid w:val="00713427"/>
    <w:rsid w:val="007135FC"/>
    <w:rsid w:val="00713C66"/>
    <w:rsid w:val="00715A66"/>
    <w:rsid w:val="0071724C"/>
    <w:rsid w:val="007201BD"/>
    <w:rsid w:val="00720250"/>
    <w:rsid w:val="00721715"/>
    <w:rsid w:val="007224AF"/>
    <w:rsid w:val="0072403D"/>
    <w:rsid w:val="00724E7C"/>
    <w:rsid w:val="00725F5E"/>
    <w:rsid w:val="00726531"/>
    <w:rsid w:val="00727B57"/>
    <w:rsid w:val="00731521"/>
    <w:rsid w:val="00731C9B"/>
    <w:rsid w:val="00732DA5"/>
    <w:rsid w:val="00734701"/>
    <w:rsid w:val="00734A5C"/>
    <w:rsid w:val="00734C55"/>
    <w:rsid w:val="007360F8"/>
    <w:rsid w:val="0074084C"/>
    <w:rsid w:val="00741EA6"/>
    <w:rsid w:val="0074205B"/>
    <w:rsid w:val="007442F6"/>
    <w:rsid w:val="007468E9"/>
    <w:rsid w:val="007475CB"/>
    <w:rsid w:val="007504CD"/>
    <w:rsid w:val="0075142F"/>
    <w:rsid w:val="00751F72"/>
    <w:rsid w:val="00752DC5"/>
    <w:rsid w:val="007531E4"/>
    <w:rsid w:val="0075460E"/>
    <w:rsid w:val="00755D4C"/>
    <w:rsid w:val="00757AAC"/>
    <w:rsid w:val="00760406"/>
    <w:rsid w:val="00760788"/>
    <w:rsid w:val="00761147"/>
    <w:rsid w:val="00761711"/>
    <w:rsid w:val="00761E4E"/>
    <w:rsid w:val="007635D7"/>
    <w:rsid w:val="0076407C"/>
    <w:rsid w:val="00765445"/>
    <w:rsid w:val="007672BB"/>
    <w:rsid w:val="00767713"/>
    <w:rsid w:val="0077111C"/>
    <w:rsid w:val="007715F2"/>
    <w:rsid w:val="0077169A"/>
    <w:rsid w:val="0077267F"/>
    <w:rsid w:val="00773A17"/>
    <w:rsid w:val="00773D8B"/>
    <w:rsid w:val="00775433"/>
    <w:rsid w:val="00775CAF"/>
    <w:rsid w:val="00776789"/>
    <w:rsid w:val="00777594"/>
    <w:rsid w:val="00777AEF"/>
    <w:rsid w:val="00780731"/>
    <w:rsid w:val="00782733"/>
    <w:rsid w:val="00783CD4"/>
    <w:rsid w:val="007908BD"/>
    <w:rsid w:val="0079216E"/>
    <w:rsid w:val="00792837"/>
    <w:rsid w:val="00792F4E"/>
    <w:rsid w:val="00793512"/>
    <w:rsid w:val="00793D58"/>
    <w:rsid w:val="00794EEB"/>
    <w:rsid w:val="00796867"/>
    <w:rsid w:val="00797437"/>
    <w:rsid w:val="007A0B34"/>
    <w:rsid w:val="007A0DBE"/>
    <w:rsid w:val="007A10D2"/>
    <w:rsid w:val="007A1767"/>
    <w:rsid w:val="007A28DD"/>
    <w:rsid w:val="007A3181"/>
    <w:rsid w:val="007A5AC1"/>
    <w:rsid w:val="007A5FB1"/>
    <w:rsid w:val="007A79C7"/>
    <w:rsid w:val="007B1D6E"/>
    <w:rsid w:val="007B25E9"/>
    <w:rsid w:val="007B3734"/>
    <w:rsid w:val="007B3FC0"/>
    <w:rsid w:val="007B5A28"/>
    <w:rsid w:val="007B70AD"/>
    <w:rsid w:val="007C1995"/>
    <w:rsid w:val="007C1F6A"/>
    <w:rsid w:val="007C27FB"/>
    <w:rsid w:val="007C379C"/>
    <w:rsid w:val="007C462A"/>
    <w:rsid w:val="007C47CA"/>
    <w:rsid w:val="007C7030"/>
    <w:rsid w:val="007C7A46"/>
    <w:rsid w:val="007D2341"/>
    <w:rsid w:val="007D2AD4"/>
    <w:rsid w:val="007D3E14"/>
    <w:rsid w:val="007D4168"/>
    <w:rsid w:val="007D4953"/>
    <w:rsid w:val="007E7D29"/>
    <w:rsid w:val="007F13C1"/>
    <w:rsid w:val="007F13F2"/>
    <w:rsid w:val="007F39BB"/>
    <w:rsid w:val="007F3B7C"/>
    <w:rsid w:val="007F3C9B"/>
    <w:rsid w:val="007F3FEB"/>
    <w:rsid w:val="00802F39"/>
    <w:rsid w:val="008063E6"/>
    <w:rsid w:val="00806989"/>
    <w:rsid w:val="00806C7C"/>
    <w:rsid w:val="00807438"/>
    <w:rsid w:val="00810D9B"/>
    <w:rsid w:val="0081114C"/>
    <w:rsid w:val="00812C6D"/>
    <w:rsid w:val="00813308"/>
    <w:rsid w:val="00813BDA"/>
    <w:rsid w:val="008151D2"/>
    <w:rsid w:val="0081589C"/>
    <w:rsid w:val="00817A10"/>
    <w:rsid w:val="00820175"/>
    <w:rsid w:val="00820839"/>
    <w:rsid w:val="00820FBB"/>
    <w:rsid w:val="008221DF"/>
    <w:rsid w:val="008270C6"/>
    <w:rsid w:val="008275A8"/>
    <w:rsid w:val="00827E73"/>
    <w:rsid w:val="00830B62"/>
    <w:rsid w:val="00830C93"/>
    <w:rsid w:val="00830FDA"/>
    <w:rsid w:val="008312F9"/>
    <w:rsid w:val="00832402"/>
    <w:rsid w:val="00833C00"/>
    <w:rsid w:val="00833C34"/>
    <w:rsid w:val="008343C5"/>
    <w:rsid w:val="00835D87"/>
    <w:rsid w:val="0083655C"/>
    <w:rsid w:val="00836718"/>
    <w:rsid w:val="00837B95"/>
    <w:rsid w:val="00841E4C"/>
    <w:rsid w:val="0084215B"/>
    <w:rsid w:val="00843A6D"/>
    <w:rsid w:val="00844C00"/>
    <w:rsid w:val="00844C47"/>
    <w:rsid w:val="0084500C"/>
    <w:rsid w:val="00845815"/>
    <w:rsid w:val="00845A54"/>
    <w:rsid w:val="0084623F"/>
    <w:rsid w:val="008469D3"/>
    <w:rsid w:val="0084758E"/>
    <w:rsid w:val="008505DA"/>
    <w:rsid w:val="00852673"/>
    <w:rsid w:val="008549A0"/>
    <w:rsid w:val="00856A3C"/>
    <w:rsid w:val="00856B55"/>
    <w:rsid w:val="008611BF"/>
    <w:rsid w:val="0086495E"/>
    <w:rsid w:val="00865CE6"/>
    <w:rsid w:val="00866E5B"/>
    <w:rsid w:val="0086705F"/>
    <w:rsid w:val="00867DEE"/>
    <w:rsid w:val="0087023B"/>
    <w:rsid w:val="00870486"/>
    <w:rsid w:val="00870A3F"/>
    <w:rsid w:val="00874EB4"/>
    <w:rsid w:val="008753B3"/>
    <w:rsid w:val="008758C1"/>
    <w:rsid w:val="00877E97"/>
    <w:rsid w:val="00880210"/>
    <w:rsid w:val="0088079F"/>
    <w:rsid w:val="00881E18"/>
    <w:rsid w:val="00882151"/>
    <w:rsid w:val="0088270D"/>
    <w:rsid w:val="00884819"/>
    <w:rsid w:val="008858AB"/>
    <w:rsid w:val="00885F5C"/>
    <w:rsid w:val="0089048A"/>
    <w:rsid w:val="008914E6"/>
    <w:rsid w:val="0089158B"/>
    <w:rsid w:val="00893320"/>
    <w:rsid w:val="0089335E"/>
    <w:rsid w:val="008945AE"/>
    <w:rsid w:val="008949E0"/>
    <w:rsid w:val="00895516"/>
    <w:rsid w:val="008A2B29"/>
    <w:rsid w:val="008A3594"/>
    <w:rsid w:val="008A3BD9"/>
    <w:rsid w:val="008A49D1"/>
    <w:rsid w:val="008A6F03"/>
    <w:rsid w:val="008A7237"/>
    <w:rsid w:val="008B0385"/>
    <w:rsid w:val="008B135D"/>
    <w:rsid w:val="008B205A"/>
    <w:rsid w:val="008B29F8"/>
    <w:rsid w:val="008B5865"/>
    <w:rsid w:val="008B6FC3"/>
    <w:rsid w:val="008C0820"/>
    <w:rsid w:val="008C1653"/>
    <w:rsid w:val="008C2BC5"/>
    <w:rsid w:val="008C2BEB"/>
    <w:rsid w:val="008C32EA"/>
    <w:rsid w:val="008C51B5"/>
    <w:rsid w:val="008C51CA"/>
    <w:rsid w:val="008C56F9"/>
    <w:rsid w:val="008C628A"/>
    <w:rsid w:val="008C70C5"/>
    <w:rsid w:val="008C73E6"/>
    <w:rsid w:val="008D11CA"/>
    <w:rsid w:val="008D1D0A"/>
    <w:rsid w:val="008D34F0"/>
    <w:rsid w:val="008D5917"/>
    <w:rsid w:val="008D6DC6"/>
    <w:rsid w:val="008D7288"/>
    <w:rsid w:val="008D7843"/>
    <w:rsid w:val="008D7AA2"/>
    <w:rsid w:val="008E1CF4"/>
    <w:rsid w:val="008E3AE9"/>
    <w:rsid w:val="008E4870"/>
    <w:rsid w:val="008E4EEA"/>
    <w:rsid w:val="008E5BA2"/>
    <w:rsid w:val="008E6170"/>
    <w:rsid w:val="008F0316"/>
    <w:rsid w:val="008F10DA"/>
    <w:rsid w:val="008F1741"/>
    <w:rsid w:val="008F1F85"/>
    <w:rsid w:val="008F2BCD"/>
    <w:rsid w:val="008F37D3"/>
    <w:rsid w:val="00900E1A"/>
    <w:rsid w:val="00903000"/>
    <w:rsid w:val="009030D2"/>
    <w:rsid w:val="009032F9"/>
    <w:rsid w:val="00905619"/>
    <w:rsid w:val="00907B62"/>
    <w:rsid w:val="00910FB0"/>
    <w:rsid w:val="00911980"/>
    <w:rsid w:val="009128A0"/>
    <w:rsid w:val="00912A8A"/>
    <w:rsid w:val="009145CD"/>
    <w:rsid w:val="00914D26"/>
    <w:rsid w:val="00916142"/>
    <w:rsid w:val="0091617E"/>
    <w:rsid w:val="00916533"/>
    <w:rsid w:val="00916C78"/>
    <w:rsid w:val="009171AF"/>
    <w:rsid w:val="00917330"/>
    <w:rsid w:val="00917ED3"/>
    <w:rsid w:val="009204AA"/>
    <w:rsid w:val="0092053F"/>
    <w:rsid w:val="00920DA2"/>
    <w:rsid w:val="0092162F"/>
    <w:rsid w:val="0092349F"/>
    <w:rsid w:val="009247BA"/>
    <w:rsid w:val="00924CD9"/>
    <w:rsid w:val="00927D28"/>
    <w:rsid w:val="00933D1D"/>
    <w:rsid w:val="0093554D"/>
    <w:rsid w:val="00935D6E"/>
    <w:rsid w:val="00936595"/>
    <w:rsid w:val="009400E0"/>
    <w:rsid w:val="00940150"/>
    <w:rsid w:val="00940DA9"/>
    <w:rsid w:val="00941E44"/>
    <w:rsid w:val="0094295F"/>
    <w:rsid w:val="00943DB5"/>
    <w:rsid w:val="00943DE8"/>
    <w:rsid w:val="00944ED5"/>
    <w:rsid w:val="00944FB4"/>
    <w:rsid w:val="009455F2"/>
    <w:rsid w:val="00945950"/>
    <w:rsid w:val="00950149"/>
    <w:rsid w:val="009504DA"/>
    <w:rsid w:val="0095079F"/>
    <w:rsid w:val="00950B9D"/>
    <w:rsid w:val="00954846"/>
    <w:rsid w:val="0095529F"/>
    <w:rsid w:val="0095536D"/>
    <w:rsid w:val="00955C0A"/>
    <w:rsid w:val="00955DC8"/>
    <w:rsid w:val="00955E90"/>
    <w:rsid w:val="00956853"/>
    <w:rsid w:val="00957FE5"/>
    <w:rsid w:val="00961692"/>
    <w:rsid w:val="00961F5B"/>
    <w:rsid w:val="00963B04"/>
    <w:rsid w:val="00964A85"/>
    <w:rsid w:val="0096516A"/>
    <w:rsid w:val="009663D6"/>
    <w:rsid w:val="00966A14"/>
    <w:rsid w:val="00967571"/>
    <w:rsid w:val="00970950"/>
    <w:rsid w:val="0097116F"/>
    <w:rsid w:val="009815B6"/>
    <w:rsid w:val="00981F3D"/>
    <w:rsid w:val="00981FBB"/>
    <w:rsid w:val="00982B22"/>
    <w:rsid w:val="0098310A"/>
    <w:rsid w:val="00983612"/>
    <w:rsid w:val="009858E9"/>
    <w:rsid w:val="0098616F"/>
    <w:rsid w:val="0099008F"/>
    <w:rsid w:val="00990A16"/>
    <w:rsid w:val="00990E34"/>
    <w:rsid w:val="0099357E"/>
    <w:rsid w:val="00994CDA"/>
    <w:rsid w:val="00996151"/>
    <w:rsid w:val="00996EBD"/>
    <w:rsid w:val="00997694"/>
    <w:rsid w:val="00997713"/>
    <w:rsid w:val="00997B92"/>
    <w:rsid w:val="00997C54"/>
    <w:rsid w:val="009A292D"/>
    <w:rsid w:val="009A3D0F"/>
    <w:rsid w:val="009A61BE"/>
    <w:rsid w:val="009A71AF"/>
    <w:rsid w:val="009B0685"/>
    <w:rsid w:val="009B1546"/>
    <w:rsid w:val="009B16AD"/>
    <w:rsid w:val="009B2A01"/>
    <w:rsid w:val="009B2E56"/>
    <w:rsid w:val="009B3197"/>
    <w:rsid w:val="009B385A"/>
    <w:rsid w:val="009B4BE2"/>
    <w:rsid w:val="009B50E4"/>
    <w:rsid w:val="009B5177"/>
    <w:rsid w:val="009B651F"/>
    <w:rsid w:val="009B7422"/>
    <w:rsid w:val="009C082A"/>
    <w:rsid w:val="009C0F0E"/>
    <w:rsid w:val="009C39E4"/>
    <w:rsid w:val="009C40EF"/>
    <w:rsid w:val="009C4B9E"/>
    <w:rsid w:val="009C5BA8"/>
    <w:rsid w:val="009C66C3"/>
    <w:rsid w:val="009C67CB"/>
    <w:rsid w:val="009D1AC7"/>
    <w:rsid w:val="009D4C7F"/>
    <w:rsid w:val="009D62AC"/>
    <w:rsid w:val="009D71BF"/>
    <w:rsid w:val="009E0348"/>
    <w:rsid w:val="009E25DA"/>
    <w:rsid w:val="009E35D9"/>
    <w:rsid w:val="009E4A1F"/>
    <w:rsid w:val="009E5241"/>
    <w:rsid w:val="009E5A32"/>
    <w:rsid w:val="009E68C6"/>
    <w:rsid w:val="009E77DC"/>
    <w:rsid w:val="009F23C4"/>
    <w:rsid w:val="009F2483"/>
    <w:rsid w:val="009F42CC"/>
    <w:rsid w:val="009F4574"/>
    <w:rsid w:val="009F603E"/>
    <w:rsid w:val="009F6C5C"/>
    <w:rsid w:val="009F75B1"/>
    <w:rsid w:val="009F7F15"/>
    <w:rsid w:val="00A00A3F"/>
    <w:rsid w:val="00A0130D"/>
    <w:rsid w:val="00A01C9D"/>
    <w:rsid w:val="00A03316"/>
    <w:rsid w:val="00A043BB"/>
    <w:rsid w:val="00A0483D"/>
    <w:rsid w:val="00A04EFA"/>
    <w:rsid w:val="00A06706"/>
    <w:rsid w:val="00A06A3E"/>
    <w:rsid w:val="00A076DB"/>
    <w:rsid w:val="00A10891"/>
    <w:rsid w:val="00A109C3"/>
    <w:rsid w:val="00A15DC3"/>
    <w:rsid w:val="00A16ACF"/>
    <w:rsid w:val="00A16BB2"/>
    <w:rsid w:val="00A17472"/>
    <w:rsid w:val="00A2147D"/>
    <w:rsid w:val="00A222CA"/>
    <w:rsid w:val="00A22E43"/>
    <w:rsid w:val="00A250C7"/>
    <w:rsid w:val="00A251CD"/>
    <w:rsid w:val="00A25823"/>
    <w:rsid w:val="00A25D4F"/>
    <w:rsid w:val="00A2601A"/>
    <w:rsid w:val="00A27141"/>
    <w:rsid w:val="00A303D5"/>
    <w:rsid w:val="00A3095F"/>
    <w:rsid w:val="00A310EA"/>
    <w:rsid w:val="00A322AA"/>
    <w:rsid w:val="00A327F6"/>
    <w:rsid w:val="00A34DB9"/>
    <w:rsid w:val="00A35731"/>
    <w:rsid w:val="00A40E31"/>
    <w:rsid w:val="00A444F9"/>
    <w:rsid w:val="00A446F8"/>
    <w:rsid w:val="00A449FC"/>
    <w:rsid w:val="00A44AB6"/>
    <w:rsid w:val="00A46C4A"/>
    <w:rsid w:val="00A479E8"/>
    <w:rsid w:val="00A50FB7"/>
    <w:rsid w:val="00A527AC"/>
    <w:rsid w:val="00A55021"/>
    <w:rsid w:val="00A6009C"/>
    <w:rsid w:val="00A60B49"/>
    <w:rsid w:val="00A611F1"/>
    <w:rsid w:val="00A6165E"/>
    <w:rsid w:val="00A6376F"/>
    <w:rsid w:val="00A648DB"/>
    <w:rsid w:val="00A675D3"/>
    <w:rsid w:val="00A67929"/>
    <w:rsid w:val="00A67F1D"/>
    <w:rsid w:val="00A719DB"/>
    <w:rsid w:val="00A72E1B"/>
    <w:rsid w:val="00A73EA9"/>
    <w:rsid w:val="00A744E9"/>
    <w:rsid w:val="00A750AB"/>
    <w:rsid w:val="00A7662B"/>
    <w:rsid w:val="00A80BBA"/>
    <w:rsid w:val="00A81A40"/>
    <w:rsid w:val="00A83037"/>
    <w:rsid w:val="00A842EA"/>
    <w:rsid w:val="00A8572B"/>
    <w:rsid w:val="00A85894"/>
    <w:rsid w:val="00A86808"/>
    <w:rsid w:val="00A874DA"/>
    <w:rsid w:val="00A90B4F"/>
    <w:rsid w:val="00A90F77"/>
    <w:rsid w:val="00A9178C"/>
    <w:rsid w:val="00A92286"/>
    <w:rsid w:val="00A9270B"/>
    <w:rsid w:val="00A9286D"/>
    <w:rsid w:val="00A94E9C"/>
    <w:rsid w:val="00A9700D"/>
    <w:rsid w:val="00AA12E1"/>
    <w:rsid w:val="00AA1706"/>
    <w:rsid w:val="00AA44FD"/>
    <w:rsid w:val="00AA678E"/>
    <w:rsid w:val="00AB1006"/>
    <w:rsid w:val="00AB36F7"/>
    <w:rsid w:val="00AB5197"/>
    <w:rsid w:val="00AB65FC"/>
    <w:rsid w:val="00AC2B3D"/>
    <w:rsid w:val="00AC2CCA"/>
    <w:rsid w:val="00AC40A4"/>
    <w:rsid w:val="00AC59ED"/>
    <w:rsid w:val="00AC689E"/>
    <w:rsid w:val="00AC7102"/>
    <w:rsid w:val="00AC7EB8"/>
    <w:rsid w:val="00AD01B6"/>
    <w:rsid w:val="00AD2D9B"/>
    <w:rsid w:val="00AD7ADC"/>
    <w:rsid w:val="00AE1B50"/>
    <w:rsid w:val="00AE29C6"/>
    <w:rsid w:val="00AE37EB"/>
    <w:rsid w:val="00AE59EE"/>
    <w:rsid w:val="00AF2318"/>
    <w:rsid w:val="00AF35DD"/>
    <w:rsid w:val="00AF3D11"/>
    <w:rsid w:val="00AF429C"/>
    <w:rsid w:val="00AF71B0"/>
    <w:rsid w:val="00B008D0"/>
    <w:rsid w:val="00B01508"/>
    <w:rsid w:val="00B01533"/>
    <w:rsid w:val="00B02076"/>
    <w:rsid w:val="00B02D74"/>
    <w:rsid w:val="00B116CA"/>
    <w:rsid w:val="00B119E3"/>
    <w:rsid w:val="00B17241"/>
    <w:rsid w:val="00B172E7"/>
    <w:rsid w:val="00B17A6D"/>
    <w:rsid w:val="00B17B6A"/>
    <w:rsid w:val="00B2040D"/>
    <w:rsid w:val="00B2307D"/>
    <w:rsid w:val="00B24D13"/>
    <w:rsid w:val="00B25D14"/>
    <w:rsid w:val="00B26EA0"/>
    <w:rsid w:val="00B26FF9"/>
    <w:rsid w:val="00B27A27"/>
    <w:rsid w:val="00B27C9F"/>
    <w:rsid w:val="00B31727"/>
    <w:rsid w:val="00B31FC9"/>
    <w:rsid w:val="00B32129"/>
    <w:rsid w:val="00B34132"/>
    <w:rsid w:val="00B35751"/>
    <w:rsid w:val="00B35FDB"/>
    <w:rsid w:val="00B365E9"/>
    <w:rsid w:val="00B366B7"/>
    <w:rsid w:val="00B36BFA"/>
    <w:rsid w:val="00B407CD"/>
    <w:rsid w:val="00B45DFF"/>
    <w:rsid w:val="00B4685F"/>
    <w:rsid w:val="00B510B9"/>
    <w:rsid w:val="00B52948"/>
    <w:rsid w:val="00B56D03"/>
    <w:rsid w:val="00B606FC"/>
    <w:rsid w:val="00B6163A"/>
    <w:rsid w:val="00B61D3D"/>
    <w:rsid w:val="00B62037"/>
    <w:rsid w:val="00B67769"/>
    <w:rsid w:val="00B703DE"/>
    <w:rsid w:val="00B72658"/>
    <w:rsid w:val="00B72927"/>
    <w:rsid w:val="00B74387"/>
    <w:rsid w:val="00B752BD"/>
    <w:rsid w:val="00B757D8"/>
    <w:rsid w:val="00B76782"/>
    <w:rsid w:val="00B76C30"/>
    <w:rsid w:val="00B82B92"/>
    <w:rsid w:val="00B83B0D"/>
    <w:rsid w:val="00B83B33"/>
    <w:rsid w:val="00B90874"/>
    <w:rsid w:val="00B92DF9"/>
    <w:rsid w:val="00B92E7B"/>
    <w:rsid w:val="00B9319A"/>
    <w:rsid w:val="00B95E66"/>
    <w:rsid w:val="00B96009"/>
    <w:rsid w:val="00B96161"/>
    <w:rsid w:val="00B96DDB"/>
    <w:rsid w:val="00BA1266"/>
    <w:rsid w:val="00BA3C62"/>
    <w:rsid w:val="00BA5C29"/>
    <w:rsid w:val="00BA5FF0"/>
    <w:rsid w:val="00BA6343"/>
    <w:rsid w:val="00BA7E44"/>
    <w:rsid w:val="00BA7E74"/>
    <w:rsid w:val="00BB011A"/>
    <w:rsid w:val="00BB05D5"/>
    <w:rsid w:val="00BB0912"/>
    <w:rsid w:val="00BB208E"/>
    <w:rsid w:val="00BB27EB"/>
    <w:rsid w:val="00BB3448"/>
    <w:rsid w:val="00BB3CF6"/>
    <w:rsid w:val="00BB3FE6"/>
    <w:rsid w:val="00BB5725"/>
    <w:rsid w:val="00BC1EF8"/>
    <w:rsid w:val="00BC3613"/>
    <w:rsid w:val="00BC42E1"/>
    <w:rsid w:val="00BC71D9"/>
    <w:rsid w:val="00BD00B2"/>
    <w:rsid w:val="00BD0800"/>
    <w:rsid w:val="00BD3B96"/>
    <w:rsid w:val="00BD51DF"/>
    <w:rsid w:val="00BD5C34"/>
    <w:rsid w:val="00BD6621"/>
    <w:rsid w:val="00BD6EC8"/>
    <w:rsid w:val="00BD7ACC"/>
    <w:rsid w:val="00BD7F4E"/>
    <w:rsid w:val="00BE0415"/>
    <w:rsid w:val="00BE06CE"/>
    <w:rsid w:val="00BE1622"/>
    <w:rsid w:val="00BE280E"/>
    <w:rsid w:val="00BE5BD1"/>
    <w:rsid w:val="00BE6B05"/>
    <w:rsid w:val="00BE6CCA"/>
    <w:rsid w:val="00BE7C49"/>
    <w:rsid w:val="00BF1EC4"/>
    <w:rsid w:val="00BF4F25"/>
    <w:rsid w:val="00BF59B3"/>
    <w:rsid w:val="00BF69CA"/>
    <w:rsid w:val="00BF7DA2"/>
    <w:rsid w:val="00C027D4"/>
    <w:rsid w:val="00C066D2"/>
    <w:rsid w:val="00C10F5A"/>
    <w:rsid w:val="00C116E8"/>
    <w:rsid w:val="00C11B5A"/>
    <w:rsid w:val="00C126FC"/>
    <w:rsid w:val="00C1422A"/>
    <w:rsid w:val="00C14C86"/>
    <w:rsid w:val="00C157AD"/>
    <w:rsid w:val="00C167CC"/>
    <w:rsid w:val="00C16B82"/>
    <w:rsid w:val="00C21163"/>
    <w:rsid w:val="00C21BB8"/>
    <w:rsid w:val="00C21E02"/>
    <w:rsid w:val="00C2295B"/>
    <w:rsid w:val="00C271EE"/>
    <w:rsid w:val="00C271FA"/>
    <w:rsid w:val="00C32789"/>
    <w:rsid w:val="00C34C5C"/>
    <w:rsid w:val="00C34D9B"/>
    <w:rsid w:val="00C35660"/>
    <w:rsid w:val="00C411D5"/>
    <w:rsid w:val="00C43EBE"/>
    <w:rsid w:val="00C46CB1"/>
    <w:rsid w:val="00C5056E"/>
    <w:rsid w:val="00C50FD5"/>
    <w:rsid w:val="00C51BB1"/>
    <w:rsid w:val="00C53444"/>
    <w:rsid w:val="00C56C6E"/>
    <w:rsid w:val="00C575C9"/>
    <w:rsid w:val="00C57749"/>
    <w:rsid w:val="00C60221"/>
    <w:rsid w:val="00C60FB5"/>
    <w:rsid w:val="00C6130D"/>
    <w:rsid w:val="00C6689E"/>
    <w:rsid w:val="00C67B75"/>
    <w:rsid w:val="00C71FB7"/>
    <w:rsid w:val="00C7220A"/>
    <w:rsid w:val="00C73CC1"/>
    <w:rsid w:val="00C7426A"/>
    <w:rsid w:val="00C742C7"/>
    <w:rsid w:val="00C75096"/>
    <w:rsid w:val="00C754E1"/>
    <w:rsid w:val="00C757D6"/>
    <w:rsid w:val="00C7698F"/>
    <w:rsid w:val="00C80462"/>
    <w:rsid w:val="00C807B2"/>
    <w:rsid w:val="00C813E4"/>
    <w:rsid w:val="00C82B14"/>
    <w:rsid w:val="00C850EC"/>
    <w:rsid w:val="00C86475"/>
    <w:rsid w:val="00C87C00"/>
    <w:rsid w:val="00C9003F"/>
    <w:rsid w:val="00C900F9"/>
    <w:rsid w:val="00C9036E"/>
    <w:rsid w:val="00C957E5"/>
    <w:rsid w:val="00C97FD1"/>
    <w:rsid w:val="00CA0882"/>
    <w:rsid w:val="00CA234B"/>
    <w:rsid w:val="00CA772C"/>
    <w:rsid w:val="00CA77D7"/>
    <w:rsid w:val="00CA7D4F"/>
    <w:rsid w:val="00CB0E7B"/>
    <w:rsid w:val="00CB1AD7"/>
    <w:rsid w:val="00CB1F15"/>
    <w:rsid w:val="00CB3462"/>
    <w:rsid w:val="00CB4102"/>
    <w:rsid w:val="00CB41BA"/>
    <w:rsid w:val="00CB62F9"/>
    <w:rsid w:val="00CB72D1"/>
    <w:rsid w:val="00CB767C"/>
    <w:rsid w:val="00CB76B6"/>
    <w:rsid w:val="00CC0355"/>
    <w:rsid w:val="00CC1FD7"/>
    <w:rsid w:val="00CC2AF9"/>
    <w:rsid w:val="00CC3A3A"/>
    <w:rsid w:val="00CC3EAD"/>
    <w:rsid w:val="00CC44D3"/>
    <w:rsid w:val="00CC4C99"/>
    <w:rsid w:val="00CC5784"/>
    <w:rsid w:val="00CC79C0"/>
    <w:rsid w:val="00CC7EF6"/>
    <w:rsid w:val="00CD01B5"/>
    <w:rsid w:val="00CD1A86"/>
    <w:rsid w:val="00CD2067"/>
    <w:rsid w:val="00CD2C46"/>
    <w:rsid w:val="00CD37C9"/>
    <w:rsid w:val="00CD49E9"/>
    <w:rsid w:val="00CD4E6F"/>
    <w:rsid w:val="00CD6778"/>
    <w:rsid w:val="00CD6CE4"/>
    <w:rsid w:val="00CD6CF2"/>
    <w:rsid w:val="00CD6D68"/>
    <w:rsid w:val="00CE0B83"/>
    <w:rsid w:val="00CE2DF7"/>
    <w:rsid w:val="00CE6E39"/>
    <w:rsid w:val="00CF1F31"/>
    <w:rsid w:val="00CF365B"/>
    <w:rsid w:val="00CF5053"/>
    <w:rsid w:val="00CF506B"/>
    <w:rsid w:val="00CF5773"/>
    <w:rsid w:val="00CF7180"/>
    <w:rsid w:val="00CF7798"/>
    <w:rsid w:val="00D00754"/>
    <w:rsid w:val="00D0155A"/>
    <w:rsid w:val="00D01A3E"/>
    <w:rsid w:val="00D0727A"/>
    <w:rsid w:val="00D07713"/>
    <w:rsid w:val="00D10C44"/>
    <w:rsid w:val="00D1282D"/>
    <w:rsid w:val="00D136A7"/>
    <w:rsid w:val="00D147ED"/>
    <w:rsid w:val="00D1686E"/>
    <w:rsid w:val="00D23363"/>
    <w:rsid w:val="00D24254"/>
    <w:rsid w:val="00D2454F"/>
    <w:rsid w:val="00D255C4"/>
    <w:rsid w:val="00D25778"/>
    <w:rsid w:val="00D257C1"/>
    <w:rsid w:val="00D26301"/>
    <w:rsid w:val="00D266AE"/>
    <w:rsid w:val="00D32C5D"/>
    <w:rsid w:val="00D336A0"/>
    <w:rsid w:val="00D34702"/>
    <w:rsid w:val="00D3553D"/>
    <w:rsid w:val="00D3771C"/>
    <w:rsid w:val="00D417C5"/>
    <w:rsid w:val="00D430ED"/>
    <w:rsid w:val="00D4385D"/>
    <w:rsid w:val="00D43C22"/>
    <w:rsid w:val="00D4418E"/>
    <w:rsid w:val="00D44562"/>
    <w:rsid w:val="00D45167"/>
    <w:rsid w:val="00D4574F"/>
    <w:rsid w:val="00D463B7"/>
    <w:rsid w:val="00D4648E"/>
    <w:rsid w:val="00D46884"/>
    <w:rsid w:val="00D468FA"/>
    <w:rsid w:val="00D4719D"/>
    <w:rsid w:val="00D50220"/>
    <w:rsid w:val="00D50428"/>
    <w:rsid w:val="00D51BB3"/>
    <w:rsid w:val="00D52EA8"/>
    <w:rsid w:val="00D53424"/>
    <w:rsid w:val="00D54395"/>
    <w:rsid w:val="00D60463"/>
    <w:rsid w:val="00D60AAF"/>
    <w:rsid w:val="00D60D3E"/>
    <w:rsid w:val="00D617A2"/>
    <w:rsid w:val="00D63430"/>
    <w:rsid w:val="00D64700"/>
    <w:rsid w:val="00D64ADA"/>
    <w:rsid w:val="00D65AAD"/>
    <w:rsid w:val="00D67F66"/>
    <w:rsid w:val="00D713C3"/>
    <w:rsid w:val="00D71D22"/>
    <w:rsid w:val="00D732A9"/>
    <w:rsid w:val="00D7363D"/>
    <w:rsid w:val="00D7468B"/>
    <w:rsid w:val="00D76361"/>
    <w:rsid w:val="00D803A1"/>
    <w:rsid w:val="00D81D89"/>
    <w:rsid w:val="00D83AB7"/>
    <w:rsid w:val="00D8482B"/>
    <w:rsid w:val="00D8592B"/>
    <w:rsid w:val="00D875B3"/>
    <w:rsid w:val="00D90931"/>
    <w:rsid w:val="00D91919"/>
    <w:rsid w:val="00D92A1A"/>
    <w:rsid w:val="00D9362E"/>
    <w:rsid w:val="00D94A3B"/>
    <w:rsid w:val="00D95031"/>
    <w:rsid w:val="00D95EA2"/>
    <w:rsid w:val="00D9649B"/>
    <w:rsid w:val="00D976E9"/>
    <w:rsid w:val="00DA0C5D"/>
    <w:rsid w:val="00DA1849"/>
    <w:rsid w:val="00DA1AC1"/>
    <w:rsid w:val="00DA4C48"/>
    <w:rsid w:val="00DA5524"/>
    <w:rsid w:val="00DA618C"/>
    <w:rsid w:val="00DA6E52"/>
    <w:rsid w:val="00DA7F08"/>
    <w:rsid w:val="00DB274A"/>
    <w:rsid w:val="00DB27CB"/>
    <w:rsid w:val="00DB320D"/>
    <w:rsid w:val="00DB4A16"/>
    <w:rsid w:val="00DB5024"/>
    <w:rsid w:val="00DB5518"/>
    <w:rsid w:val="00DB5EFB"/>
    <w:rsid w:val="00DB6C1E"/>
    <w:rsid w:val="00DC0056"/>
    <w:rsid w:val="00DC0B1C"/>
    <w:rsid w:val="00DC2AAD"/>
    <w:rsid w:val="00DC2C8D"/>
    <w:rsid w:val="00DC2DF9"/>
    <w:rsid w:val="00DC4167"/>
    <w:rsid w:val="00DC51C1"/>
    <w:rsid w:val="00DC6FC3"/>
    <w:rsid w:val="00DD00FB"/>
    <w:rsid w:val="00DD1374"/>
    <w:rsid w:val="00DD2D75"/>
    <w:rsid w:val="00DD4D85"/>
    <w:rsid w:val="00DD5ECD"/>
    <w:rsid w:val="00DD65C3"/>
    <w:rsid w:val="00DD6EE1"/>
    <w:rsid w:val="00DE251C"/>
    <w:rsid w:val="00DE57B8"/>
    <w:rsid w:val="00DE613A"/>
    <w:rsid w:val="00DF08BD"/>
    <w:rsid w:val="00DF1057"/>
    <w:rsid w:val="00DF44DE"/>
    <w:rsid w:val="00DF5012"/>
    <w:rsid w:val="00DF51D0"/>
    <w:rsid w:val="00DF6327"/>
    <w:rsid w:val="00E00E60"/>
    <w:rsid w:val="00E03417"/>
    <w:rsid w:val="00E03972"/>
    <w:rsid w:val="00E04EFE"/>
    <w:rsid w:val="00E055CA"/>
    <w:rsid w:val="00E05DE7"/>
    <w:rsid w:val="00E0602A"/>
    <w:rsid w:val="00E0647D"/>
    <w:rsid w:val="00E07DD7"/>
    <w:rsid w:val="00E109EA"/>
    <w:rsid w:val="00E1203D"/>
    <w:rsid w:val="00E122C5"/>
    <w:rsid w:val="00E13456"/>
    <w:rsid w:val="00E14637"/>
    <w:rsid w:val="00E17CED"/>
    <w:rsid w:val="00E21E9E"/>
    <w:rsid w:val="00E2254F"/>
    <w:rsid w:val="00E22DFD"/>
    <w:rsid w:val="00E23E54"/>
    <w:rsid w:val="00E24D8F"/>
    <w:rsid w:val="00E25A25"/>
    <w:rsid w:val="00E25E04"/>
    <w:rsid w:val="00E265D5"/>
    <w:rsid w:val="00E26B09"/>
    <w:rsid w:val="00E27199"/>
    <w:rsid w:val="00E306CB"/>
    <w:rsid w:val="00E34383"/>
    <w:rsid w:val="00E3778C"/>
    <w:rsid w:val="00E37C95"/>
    <w:rsid w:val="00E40827"/>
    <w:rsid w:val="00E40BEF"/>
    <w:rsid w:val="00E40CBC"/>
    <w:rsid w:val="00E40DD5"/>
    <w:rsid w:val="00E41840"/>
    <w:rsid w:val="00E41A80"/>
    <w:rsid w:val="00E431D7"/>
    <w:rsid w:val="00E4681E"/>
    <w:rsid w:val="00E471CC"/>
    <w:rsid w:val="00E500FB"/>
    <w:rsid w:val="00E5060B"/>
    <w:rsid w:val="00E540BC"/>
    <w:rsid w:val="00E565C5"/>
    <w:rsid w:val="00E57043"/>
    <w:rsid w:val="00E5723B"/>
    <w:rsid w:val="00E6119A"/>
    <w:rsid w:val="00E631F0"/>
    <w:rsid w:val="00E634D2"/>
    <w:rsid w:val="00E63F6E"/>
    <w:rsid w:val="00E64271"/>
    <w:rsid w:val="00E658A1"/>
    <w:rsid w:val="00E65A9D"/>
    <w:rsid w:val="00E662EF"/>
    <w:rsid w:val="00E66594"/>
    <w:rsid w:val="00E667CB"/>
    <w:rsid w:val="00E66F64"/>
    <w:rsid w:val="00E67DCD"/>
    <w:rsid w:val="00E7272A"/>
    <w:rsid w:val="00E72925"/>
    <w:rsid w:val="00E7345F"/>
    <w:rsid w:val="00E750CC"/>
    <w:rsid w:val="00E77CAA"/>
    <w:rsid w:val="00E82940"/>
    <w:rsid w:val="00E83A84"/>
    <w:rsid w:val="00E85F3F"/>
    <w:rsid w:val="00E91593"/>
    <w:rsid w:val="00E92CAC"/>
    <w:rsid w:val="00E93ADB"/>
    <w:rsid w:val="00E94716"/>
    <w:rsid w:val="00EA0452"/>
    <w:rsid w:val="00EA0ED2"/>
    <w:rsid w:val="00EA2492"/>
    <w:rsid w:val="00EA64AF"/>
    <w:rsid w:val="00EA6DD4"/>
    <w:rsid w:val="00EA7527"/>
    <w:rsid w:val="00EA7C2D"/>
    <w:rsid w:val="00EB2C83"/>
    <w:rsid w:val="00EB3A96"/>
    <w:rsid w:val="00EB476F"/>
    <w:rsid w:val="00EB52B3"/>
    <w:rsid w:val="00EB5882"/>
    <w:rsid w:val="00EB7361"/>
    <w:rsid w:val="00EB7390"/>
    <w:rsid w:val="00EC1186"/>
    <w:rsid w:val="00EC136E"/>
    <w:rsid w:val="00EC2814"/>
    <w:rsid w:val="00EC37CB"/>
    <w:rsid w:val="00EC52FE"/>
    <w:rsid w:val="00EC59BA"/>
    <w:rsid w:val="00EC7241"/>
    <w:rsid w:val="00EC7D8F"/>
    <w:rsid w:val="00ED05FF"/>
    <w:rsid w:val="00ED0762"/>
    <w:rsid w:val="00ED07F9"/>
    <w:rsid w:val="00ED1313"/>
    <w:rsid w:val="00ED266F"/>
    <w:rsid w:val="00ED2FFE"/>
    <w:rsid w:val="00ED3807"/>
    <w:rsid w:val="00ED5E21"/>
    <w:rsid w:val="00ED61A8"/>
    <w:rsid w:val="00ED7062"/>
    <w:rsid w:val="00ED7C24"/>
    <w:rsid w:val="00ED7C53"/>
    <w:rsid w:val="00EE0633"/>
    <w:rsid w:val="00EE086D"/>
    <w:rsid w:val="00EE150B"/>
    <w:rsid w:val="00EE1BE5"/>
    <w:rsid w:val="00EE4425"/>
    <w:rsid w:val="00EE4795"/>
    <w:rsid w:val="00EE5E74"/>
    <w:rsid w:val="00EF09A7"/>
    <w:rsid w:val="00EF0DDA"/>
    <w:rsid w:val="00EF1154"/>
    <w:rsid w:val="00EF1E78"/>
    <w:rsid w:val="00EF29EC"/>
    <w:rsid w:val="00EF37F0"/>
    <w:rsid w:val="00EF4737"/>
    <w:rsid w:val="00EF6FEB"/>
    <w:rsid w:val="00EF7154"/>
    <w:rsid w:val="00F0076E"/>
    <w:rsid w:val="00F00B96"/>
    <w:rsid w:val="00F00FB7"/>
    <w:rsid w:val="00F022E0"/>
    <w:rsid w:val="00F0425A"/>
    <w:rsid w:val="00F0654E"/>
    <w:rsid w:val="00F07437"/>
    <w:rsid w:val="00F07BC3"/>
    <w:rsid w:val="00F1125F"/>
    <w:rsid w:val="00F118B1"/>
    <w:rsid w:val="00F11E6D"/>
    <w:rsid w:val="00F12F32"/>
    <w:rsid w:val="00F136EE"/>
    <w:rsid w:val="00F15A67"/>
    <w:rsid w:val="00F165EE"/>
    <w:rsid w:val="00F22A71"/>
    <w:rsid w:val="00F24C99"/>
    <w:rsid w:val="00F25256"/>
    <w:rsid w:val="00F259FE"/>
    <w:rsid w:val="00F27D86"/>
    <w:rsid w:val="00F30329"/>
    <w:rsid w:val="00F30CFB"/>
    <w:rsid w:val="00F31077"/>
    <w:rsid w:val="00F31726"/>
    <w:rsid w:val="00F31E52"/>
    <w:rsid w:val="00F320E7"/>
    <w:rsid w:val="00F32A84"/>
    <w:rsid w:val="00F33EED"/>
    <w:rsid w:val="00F3508B"/>
    <w:rsid w:val="00F36F06"/>
    <w:rsid w:val="00F41B64"/>
    <w:rsid w:val="00F41E19"/>
    <w:rsid w:val="00F4227E"/>
    <w:rsid w:val="00F43521"/>
    <w:rsid w:val="00F43C5B"/>
    <w:rsid w:val="00F441A2"/>
    <w:rsid w:val="00F44E44"/>
    <w:rsid w:val="00F453E2"/>
    <w:rsid w:val="00F46A54"/>
    <w:rsid w:val="00F47801"/>
    <w:rsid w:val="00F50705"/>
    <w:rsid w:val="00F5130C"/>
    <w:rsid w:val="00F524F5"/>
    <w:rsid w:val="00F5534B"/>
    <w:rsid w:val="00F63CEC"/>
    <w:rsid w:val="00F63DCE"/>
    <w:rsid w:val="00F646E5"/>
    <w:rsid w:val="00F65C09"/>
    <w:rsid w:val="00F676BF"/>
    <w:rsid w:val="00F67A16"/>
    <w:rsid w:val="00F67B66"/>
    <w:rsid w:val="00F7049F"/>
    <w:rsid w:val="00F70EC7"/>
    <w:rsid w:val="00F71F60"/>
    <w:rsid w:val="00F72AAB"/>
    <w:rsid w:val="00F7384F"/>
    <w:rsid w:val="00F75FED"/>
    <w:rsid w:val="00F80CE2"/>
    <w:rsid w:val="00F80F23"/>
    <w:rsid w:val="00F823F7"/>
    <w:rsid w:val="00F83779"/>
    <w:rsid w:val="00F85F95"/>
    <w:rsid w:val="00F87405"/>
    <w:rsid w:val="00F9160B"/>
    <w:rsid w:val="00F939BE"/>
    <w:rsid w:val="00F94070"/>
    <w:rsid w:val="00F94113"/>
    <w:rsid w:val="00F9530C"/>
    <w:rsid w:val="00F955C9"/>
    <w:rsid w:val="00F96D44"/>
    <w:rsid w:val="00F9745E"/>
    <w:rsid w:val="00F97520"/>
    <w:rsid w:val="00FA1A2D"/>
    <w:rsid w:val="00FA206C"/>
    <w:rsid w:val="00FA2070"/>
    <w:rsid w:val="00FA34AD"/>
    <w:rsid w:val="00FA63BA"/>
    <w:rsid w:val="00FA662C"/>
    <w:rsid w:val="00FA7FAC"/>
    <w:rsid w:val="00FB3FBF"/>
    <w:rsid w:val="00FB5611"/>
    <w:rsid w:val="00FB6066"/>
    <w:rsid w:val="00FB701E"/>
    <w:rsid w:val="00FC00B2"/>
    <w:rsid w:val="00FC0F20"/>
    <w:rsid w:val="00FC1D95"/>
    <w:rsid w:val="00FC5B54"/>
    <w:rsid w:val="00FD2267"/>
    <w:rsid w:val="00FD35CE"/>
    <w:rsid w:val="00FD575D"/>
    <w:rsid w:val="00FD7B4A"/>
    <w:rsid w:val="00FE2B4A"/>
    <w:rsid w:val="00FE2EDF"/>
    <w:rsid w:val="00FE385C"/>
    <w:rsid w:val="00FE720B"/>
    <w:rsid w:val="00FE7D5B"/>
    <w:rsid w:val="00FE7DE5"/>
    <w:rsid w:val="00FF0884"/>
    <w:rsid w:val="00FF13E3"/>
    <w:rsid w:val="00FF2649"/>
    <w:rsid w:val="00FF7C43"/>
    <w:rsid w:val="03557780"/>
    <w:rsid w:val="161DEB7A"/>
    <w:rsid w:val="2A3270FE"/>
    <w:rsid w:val="2D9D1309"/>
    <w:rsid w:val="3117203B"/>
    <w:rsid w:val="395F93F0"/>
    <w:rsid w:val="3A5672DA"/>
    <w:rsid w:val="4853BCFF"/>
    <w:rsid w:val="625ADE89"/>
    <w:rsid w:val="647E4B57"/>
    <w:rsid w:val="65A2823C"/>
    <w:rsid w:val="75C7ED0D"/>
    <w:rsid w:val="7B7B39BC"/>
    <w:rsid w:val="7F592662"/>
  </w:rsids>
  <m:mathPr>
    <m:mathFont m:val="Cambria Math"/>
    <m:brkBin m:val="before"/>
    <m:brkBinSub m:val="--"/>
    <m:smallFrac/>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C77F0"/>
  <w15:docId w15:val="{F865171B-9053-4B24-A9AA-D4665753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13"/>
    <w:pPr>
      <w:spacing w:after="0" w:line="240" w:lineRule="auto"/>
    </w:pPr>
    <w:rPr>
      <w:rFonts w:ascii="Times New Roman"/>
      <w:sz w:val="24"/>
      <w:szCs w:val="24"/>
      <w:lang w:val="tr-TR" w:eastAsia="tr-TR"/>
    </w:rPr>
  </w:style>
  <w:style w:type="paragraph" w:styleId="Balk1">
    <w:name w:val="heading 1"/>
    <w:basedOn w:val="Normal"/>
    <w:next w:val="Normal"/>
    <w:link w:val="Balk1Char"/>
    <w:uiPriority w:val="99"/>
    <w:qFormat/>
    <w:rsid w:val="00D07713"/>
    <w:pPr>
      <w:keepNext/>
      <w:tabs>
        <w:tab w:val="num" w:pos="432"/>
      </w:tabs>
      <w:suppressAutoHyphens/>
      <w:ind w:left="432" w:hanging="432"/>
      <w:jc w:val="center"/>
      <w:outlineLvl w:val="0"/>
    </w:pPr>
    <w:rPr>
      <w:rFonts w:ascii="Arial" w:hAnsi="Arial" w:cs="Arial"/>
      <w:b/>
      <w:bCs/>
      <w:sz w:val="18"/>
      <w:szCs w:val="18"/>
      <w:lang w:eastAsia="ar-SA"/>
    </w:rPr>
  </w:style>
  <w:style w:type="paragraph" w:styleId="Balk2">
    <w:name w:val="heading 2"/>
    <w:basedOn w:val="Normal"/>
    <w:next w:val="Normal"/>
    <w:link w:val="Balk2Char"/>
    <w:uiPriority w:val="99"/>
    <w:qFormat/>
    <w:rsid w:val="00D07713"/>
    <w:pPr>
      <w:keepNext/>
      <w:tabs>
        <w:tab w:val="num" w:pos="576"/>
      </w:tabs>
      <w:suppressAutoHyphens/>
      <w:spacing w:before="240" w:after="60"/>
      <w:ind w:left="576" w:hanging="576"/>
      <w:outlineLvl w:val="1"/>
    </w:pPr>
    <w:rPr>
      <w:rFonts w:ascii="Arial" w:hAnsi="Arial" w:cs="Arial"/>
      <w:b/>
      <w:bCs/>
      <w:i/>
      <w:iCs/>
      <w:sz w:val="28"/>
      <w:szCs w:val="28"/>
      <w:lang w:val="en-GB" w:eastAsia="ar-SA"/>
    </w:rPr>
  </w:style>
  <w:style w:type="paragraph" w:styleId="Balk3">
    <w:name w:val="heading 3"/>
    <w:basedOn w:val="Normal"/>
    <w:next w:val="Normal"/>
    <w:link w:val="Balk3Char"/>
    <w:uiPriority w:val="99"/>
    <w:unhideWhenUsed/>
    <w:qFormat/>
    <w:rsid w:val="00D07713"/>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D07713"/>
    <w:rPr>
      <w:rFonts w:ascii="Arial" w:hAnsi="Arial" w:cs="Arial"/>
      <w:b/>
      <w:bCs/>
      <w:sz w:val="18"/>
      <w:szCs w:val="18"/>
      <w:lang w:val="tr-TR" w:eastAsia="ar-SA"/>
    </w:rPr>
  </w:style>
  <w:style w:type="character" w:customStyle="1" w:styleId="Balk2Char">
    <w:name w:val="Başlık 2 Char"/>
    <w:basedOn w:val="VarsaylanParagrafYazTipi"/>
    <w:link w:val="Balk2"/>
    <w:uiPriority w:val="99"/>
    <w:rsid w:val="00D07713"/>
    <w:rPr>
      <w:rFonts w:ascii="Arial" w:hAnsi="Arial" w:cs="Arial"/>
      <w:b/>
      <w:bCs/>
      <w:i/>
      <w:iCs/>
      <w:sz w:val="28"/>
      <w:szCs w:val="28"/>
      <w:lang w:val="en-GB" w:eastAsia="ar-SA"/>
    </w:rPr>
  </w:style>
  <w:style w:type="character" w:customStyle="1" w:styleId="Balk3Char">
    <w:name w:val="Başlık 3 Char"/>
    <w:basedOn w:val="VarsaylanParagrafYazTipi"/>
    <w:link w:val="Balk3"/>
    <w:uiPriority w:val="9"/>
    <w:semiHidden/>
    <w:rsid w:val="00D07713"/>
    <w:rPr>
      <w:rFonts w:asciiTheme="majorHAnsi" w:eastAsiaTheme="majorEastAsia" w:hAnsiTheme="majorHAnsi" w:cstheme="majorBidi"/>
      <w:color w:val="1F3763" w:themeColor="accent1" w:themeShade="7F"/>
      <w:sz w:val="24"/>
      <w:szCs w:val="24"/>
      <w:lang w:val="tr-TR"/>
    </w:rPr>
  </w:style>
  <w:style w:type="paragraph" w:styleId="ListeParagraf">
    <w:name w:val="List Paragraph"/>
    <w:basedOn w:val="Normal"/>
    <w:uiPriority w:val="34"/>
    <w:qFormat/>
    <w:rsid w:val="001C65BF"/>
    <w:pPr>
      <w:ind w:left="720"/>
      <w:contextualSpacing/>
    </w:pPr>
  </w:style>
  <w:style w:type="character" w:styleId="Kpr">
    <w:name w:val="Hyperlink"/>
    <w:basedOn w:val="VarsaylanParagrafYazTipi"/>
    <w:uiPriority w:val="99"/>
    <w:unhideWhenUsed/>
    <w:rsid w:val="001C65BF"/>
    <w:rPr>
      <w:color w:val="0563C1" w:themeColor="hyperlink"/>
      <w:u w:val="single"/>
    </w:rPr>
  </w:style>
  <w:style w:type="character" w:customStyle="1" w:styleId="Mention1">
    <w:name w:val="Mention1"/>
    <w:basedOn w:val="VarsaylanParagrafYazTipi"/>
    <w:uiPriority w:val="99"/>
    <w:semiHidden/>
    <w:unhideWhenUsed/>
    <w:rsid w:val="001C65BF"/>
    <w:rPr>
      <w:color w:val="2B579A"/>
      <w:shd w:val="clear" w:color="auto" w:fill="E6E6E6"/>
    </w:rPr>
  </w:style>
  <w:style w:type="paragraph" w:styleId="NormalWeb">
    <w:name w:val="Normal (Web)"/>
    <w:basedOn w:val="Normal"/>
    <w:uiPriority w:val="99"/>
    <w:rsid w:val="006C3EE6"/>
    <w:pPr>
      <w:spacing w:before="100" w:beforeAutospacing="1" w:after="100" w:afterAutospacing="1"/>
    </w:pPr>
  </w:style>
  <w:style w:type="character" w:customStyle="1" w:styleId="UnresolvedMention1">
    <w:name w:val="Unresolved Mention1"/>
    <w:basedOn w:val="VarsaylanParagrafYazTipi"/>
    <w:uiPriority w:val="99"/>
    <w:semiHidden/>
    <w:unhideWhenUsed/>
    <w:rsid w:val="00DA0C5D"/>
    <w:rPr>
      <w:color w:val="808080"/>
      <w:shd w:val="clear" w:color="auto" w:fill="E6E6E6"/>
    </w:rPr>
  </w:style>
  <w:style w:type="paragraph" w:styleId="DipnotMetni">
    <w:name w:val="footnote text"/>
    <w:basedOn w:val="Normal"/>
    <w:link w:val="DipnotMetniChar"/>
    <w:uiPriority w:val="99"/>
    <w:semiHidden/>
    <w:unhideWhenUsed/>
    <w:rsid w:val="00DA0C5D"/>
    <w:rPr>
      <w:sz w:val="20"/>
      <w:szCs w:val="20"/>
    </w:rPr>
  </w:style>
  <w:style w:type="character" w:customStyle="1" w:styleId="DipnotMetniChar">
    <w:name w:val="Dipnot Metni Char"/>
    <w:basedOn w:val="VarsaylanParagrafYazTipi"/>
    <w:link w:val="DipnotMetni"/>
    <w:uiPriority w:val="99"/>
    <w:semiHidden/>
    <w:rsid w:val="00DA0C5D"/>
    <w:rPr>
      <w:rFonts w:ascii="Times New Roman"/>
      <w:sz w:val="20"/>
      <w:szCs w:val="20"/>
      <w:lang w:val="tr-TR" w:eastAsia="tr-TR"/>
    </w:rPr>
  </w:style>
  <w:style w:type="character" w:styleId="DipnotBavurusu">
    <w:name w:val="footnote reference"/>
    <w:basedOn w:val="VarsaylanParagrafYazTipi"/>
    <w:uiPriority w:val="99"/>
    <w:semiHidden/>
    <w:unhideWhenUsed/>
    <w:rsid w:val="00DA0C5D"/>
    <w:rPr>
      <w:vertAlign w:val="superscript"/>
    </w:rPr>
  </w:style>
  <w:style w:type="paragraph" w:styleId="BalonMetni">
    <w:name w:val="Balloon Text"/>
    <w:basedOn w:val="Normal"/>
    <w:link w:val="BalonMetniChar"/>
    <w:uiPriority w:val="99"/>
    <w:semiHidden/>
    <w:unhideWhenUsed/>
    <w:rsid w:val="00845A54"/>
    <w:rPr>
      <w:rFonts w:ascii="Tahoma" w:hAnsi="Tahoma" w:cs="Tahoma"/>
      <w:sz w:val="16"/>
      <w:szCs w:val="16"/>
    </w:rPr>
  </w:style>
  <w:style w:type="character" w:customStyle="1" w:styleId="BalonMetniChar">
    <w:name w:val="Balon Metni Char"/>
    <w:basedOn w:val="VarsaylanParagrafYazTipi"/>
    <w:link w:val="BalonMetni"/>
    <w:uiPriority w:val="99"/>
    <w:semiHidden/>
    <w:rsid w:val="00845A54"/>
    <w:rPr>
      <w:rFonts w:ascii="Tahoma" w:hAnsi="Tahoma" w:cs="Tahoma"/>
      <w:sz w:val="16"/>
      <w:szCs w:val="16"/>
      <w:lang w:val="tr-TR" w:eastAsia="tr-TR"/>
    </w:rPr>
  </w:style>
  <w:style w:type="character" w:styleId="AklamaBavurusu">
    <w:name w:val="annotation reference"/>
    <w:basedOn w:val="VarsaylanParagrafYazTipi"/>
    <w:uiPriority w:val="99"/>
    <w:semiHidden/>
    <w:unhideWhenUsed/>
    <w:rsid w:val="00492020"/>
    <w:rPr>
      <w:sz w:val="16"/>
      <w:szCs w:val="16"/>
    </w:rPr>
  </w:style>
  <w:style w:type="paragraph" w:styleId="AklamaMetni">
    <w:name w:val="annotation text"/>
    <w:basedOn w:val="Normal"/>
    <w:link w:val="AklamaMetniChar"/>
    <w:uiPriority w:val="99"/>
    <w:semiHidden/>
    <w:unhideWhenUsed/>
    <w:rsid w:val="00492020"/>
    <w:rPr>
      <w:sz w:val="20"/>
      <w:szCs w:val="20"/>
    </w:rPr>
  </w:style>
  <w:style w:type="character" w:customStyle="1" w:styleId="AklamaMetniChar">
    <w:name w:val="Açıklama Metni Char"/>
    <w:basedOn w:val="VarsaylanParagrafYazTipi"/>
    <w:link w:val="AklamaMetni"/>
    <w:uiPriority w:val="99"/>
    <w:semiHidden/>
    <w:rsid w:val="00492020"/>
    <w:rPr>
      <w:rFonts w:ascii="Times New Roman"/>
      <w:sz w:val="20"/>
      <w:szCs w:val="20"/>
      <w:lang w:val="tr-TR" w:eastAsia="tr-TR"/>
    </w:rPr>
  </w:style>
  <w:style w:type="paragraph" w:styleId="AklamaKonusu">
    <w:name w:val="annotation subject"/>
    <w:basedOn w:val="AklamaMetni"/>
    <w:next w:val="AklamaMetni"/>
    <w:link w:val="AklamaKonusuChar"/>
    <w:uiPriority w:val="99"/>
    <w:semiHidden/>
    <w:unhideWhenUsed/>
    <w:rsid w:val="00492020"/>
    <w:rPr>
      <w:b/>
      <w:bCs/>
    </w:rPr>
  </w:style>
  <w:style w:type="character" w:customStyle="1" w:styleId="AklamaKonusuChar">
    <w:name w:val="Açıklama Konusu Char"/>
    <w:basedOn w:val="AklamaMetniChar"/>
    <w:link w:val="AklamaKonusu"/>
    <w:uiPriority w:val="99"/>
    <w:semiHidden/>
    <w:rsid w:val="00492020"/>
    <w:rPr>
      <w:rFonts w:ascii="Times New Roman"/>
      <w:b/>
      <w:bCs/>
      <w:sz w:val="20"/>
      <w:szCs w:val="20"/>
      <w:lang w:val="tr-TR" w:eastAsia="tr-TR"/>
    </w:rPr>
  </w:style>
  <w:style w:type="paragraph" w:styleId="stBilgi">
    <w:name w:val="header"/>
    <w:basedOn w:val="Normal"/>
    <w:link w:val="stBilgiChar"/>
    <w:uiPriority w:val="99"/>
    <w:unhideWhenUsed/>
    <w:rsid w:val="009030D2"/>
    <w:pPr>
      <w:tabs>
        <w:tab w:val="center" w:pos="4536"/>
        <w:tab w:val="right" w:pos="9072"/>
      </w:tabs>
    </w:pPr>
  </w:style>
  <w:style w:type="character" w:customStyle="1" w:styleId="stBilgiChar">
    <w:name w:val="Üst Bilgi Char"/>
    <w:basedOn w:val="VarsaylanParagrafYazTipi"/>
    <w:link w:val="stBilgi"/>
    <w:uiPriority w:val="99"/>
    <w:rsid w:val="009030D2"/>
    <w:rPr>
      <w:rFonts w:ascii="Times New Roman"/>
      <w:sz w:val="24"/>
      <w:szCs w:val="24"/>
      <w:lang w:val="tr-TR" w:eastAsia="tr-TR"/>
    </w:rPr>
  </w:style>
  <w:style w:type="paragraph" w:styleId="AltBilgi">
    <w:name w:val="footer"/>
    <w:basedOn w:val="Normal"/>
    <w:link w:val="AltBilgiChar"/>
    <w:uiPriority w:val="99"/>
    <w:unhideWhenUsed/>
    <w:rsid w:val="009030D2"/>
    <w:pPr>
      <w:tabs>
        <w:tab w:val="center" w:pos="4536"/>
        <w:tab w:val="right" w:pos="9072"/>
      </w:tabs>
    </w:pPr>
  </w:style>
  <w:style w:type="character" w:customStyle="1" w:styleId="AltBilgiChar">
    <w:name w:val="Alt Bilgi Char"/>
    <w:basedOn w:val="VarsaylanParagrafYazTipi"/>
    <w:link w:val="AltBilgi"/>
    <w:uiPriority w:val="99"/>
    <w:rsid w:val="009030D2"/>
    <w:rPr>
      <w:rFonts w:ascii="Times New Roman"/>
      <w:sz w:val="24"/>
      <w:szCs w:val="24"/>
      <w:lang w:val="tr-TR" w:eastAsia="tr-TR"/>
    </w:rPr>
  </w:style>
  <w:style w:type="character" w:styleId="Gl">
    <w:name w:val="Strong"/>
    <w:basedOn w:val="VarsaylanParagrafYazTipi"/>
    <w:uiPriority w:val="22"/>
    <w:qFormat/>
    <w:rsid w:val="00B96DDB"/>
    <w:rPr>
      <w:b/>
      <w:bCs/>
    </w:rPr>
  </w:style>
  <w:style w:type="paragraph" w:customStyle="1" w:styleId="font-claude-response-body">
    <w:name w:val="font-claude-response-body"/>
    <w:basedOn w:val="Normal"/>
    <w:rsid w:val="000B09B0"/>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704">
      <w:bodyDiv w:val="1"/>
      <w:marLeft w:val="0"/>
      <w:marRight w:val="0"/>
      <w:marTop w:val="0"/>
      <w:marBottom w:val="0"/>
      <w:divBdr>
        <w:top w:val="none" w:sz="0" w:space="0" w:color="auto"/>
        <w:left w:val="none" w:sz="0" w:space="0" w:color="auto"/>
        <w:bottom w:val="none" w:sz="0" w:space="0" w:color="auto"/>
        <w:right w:val="none" w:sz="0" w:space="0" w:color="auto"/>
      </w:divBdr>
    </w:div>
    <w:div w:id="20085449">
      <w:bodyDiv w:val="1"/>
      <w:marLeft w:val="0"/>
      <w:marRight w:val="0"/>
      <w:marTop w:val="0"/>
      <w:marBottom w:val="0"/>
      <w:divBdr>
        <w:top w:val="none" w:sz="0" w:space="0" w:color="auto"/>
        <w:left w:val="none" w:sz="0" w:space="0" w:color="auto"/>
        <w:bottom w:val="none" w:sz="0" w:space="0" w:color="auto"/>
        <w:right w:val="none" w:sz="0" w:space="0" w:color="auto"/>
      </w:divBdr>
    </w:div>
    <w:div w:id="46809400">
      <w:bodyDiv w:val="1"/>
      <w:marLeft w:val="0"/>
      <w:marRight w:val="0"/>
      <w:marTop w:val="0"/>
      <w:marBottom w:val="0"/>
      <w:divBdr>
        <w:top w:val="none" w:sz="0" w:space="0" w:color="auto"/>
        <w:left w:val="none" w:sz="0" w:space="0" w:color="auto"/>
        <w:bottom w:val="none" w:sz="0" w:space="0" w:color="auto"/>
        <w:right w:val="none" w:sz="0" w:space="0" w:color="auto"/>
      </w:divBdr>
    </w:div>
    <w:div w:id="99107687">
      <w:bodyDiv w:val="1"/>
      <w:marLeft w:val="0"/>
      <w:marRight w:val="0"/>
      <w:marTop w:val="0"/>
      <w:marBottom w:val="0"/>
      <w:divBdr>
        <w:top w:val="none" w:sz="0" w:space="0" w:color="auto"/>
        <w:left w:val="none" w:sz="0" w:space="0" w:color="auto"/>
        <w:bottom w:val="none" w:sz="0" w:space="0" w:color="auto"/>
        <w:right w:val="none" w:sz="0" w:space="0" w:color="auto"/>
      </w:divBdr>
    </w:div>
    <w:div w:id="105931333">
      <w:bodyDiv w:val="1"/>
      <w:marLeft w:val="0"/>
      <w:marRight w:val="0"/>
      <w:marTop w:val="0"/>
      <w:marBottom w:val="0"/>
      <w:divBdr>
        <w:top w:val="none" w:sz="0" w:space="0" w:color="auto"/>
        <w:left w:val="none" w:sz="0" w:space="0" w:color="auto"/>
        <w:bottom w:val="none" w:sz="0" w:space="0" w:color="auto"/>
        <w:right w:val="none" w:sz="0" w:space="0" w:color="auto"/>
      </w:divBdr>
    </w:div>
    <w:div w:id="197401709">
      <w:bodyDiv w:val="1"/>
      <w:marLeft w:val="0"/>
      <w:marRight w:val="0"/>
      <w:marTop w:val="0"/>
      <w:marBottom w:val="0"/>
      <w:divBdr>
        <w:top w:val="none" w:sz="0" w:space="0" w:color="auto"/>
        <w:left w:val="none" w:sz="0" w:space="0" w:color="auto"/>
        <w:bottom w:val="none" w:sz="0" w:space="0" w:color="auto"/>
        <w:right w:val="none" w:sz="0" w:space="0" w:color="auto"/>
      </w:divBdr>
    </w:div>
    <w:div w:id="197817056">
      <w:bodyDiv w:val="1"/>
      <w:marLeft w:val="0"/>
      <w:marRight w:val="0"/>
      <w:marTop w:val="0"/>
      <w:marBottom w:val="0"/>
      <w:divBdr>
        <w:top w:val="none" w:sz="0" w:space="0" w:color="auto"/>
        <w:left w:val="none" w:sz="0" w:space="0" w:color="auto"/>
        <w:bottom w:val="none" w:sz="0" w:space="0" w:color="auto"/>
        <w:right w:val="none" w:sz="0" w:space="0" w:color="auto"/>
      </w:divBdr>
    </w:div>
    <w:div w:id="202257109">
      <w:bodyDiv w:val="1"/>
      <w:marLeft w:val="0"/>
      <w:marRight w:val="0"/>
      <w:marTop w:val="0"/>
      <w:marBottom w:val="0"/>
      <w:divBdr>
        <w:top w:val="none" w:sz="0" w:space="0" w:color="auto"/>
        <w:left w:val="none" w:sz="0" w:space="0" w:color="auto"/>
        <w:bottom w:val="none" w:sz="0" w:space="0" w:color="auto"/>
        <w:right w:val="none" w:sz="0" w:space="0" w:color="auto"/>
      </w:divBdr>
    </w:div>
    <w:div w:id="202835374">
      <w:bodyDiv w:val="1"/>
      <w:marLeft w:val="0"/>
      <w:marRight w:val="0"/>
      <w:marTop w:val="0"/>
      <w:marBottom w:val="0"/>
      <w:divBdr>
        <w:top w:val="none" w:sz="0" w:space="0" w:color="auto"/>
        <w:left w:val="none" w:sz="0" w:space="0" w:color="auto"/>
        <w:bottom w:val="none" w:sz="0" w:space="0" w:color="auto"/>
        <w:right w:val="none" w:sz="0" w:space="0" w:color="auto"/>
      </w:divBdr>
    </w:div>
    <w:div w:id="213126316">
      <w:bodyDiv w:val="1"/>
      <w:marLeft w:val="0"/>
      <w:marRight w:val="0"/>
      <w:marTop w:val="0"/>
      <w:marBottom w:val="0"/>
      <w:divBdr>
        <w:top w:val="none" w:sz="0" w:space="0" w:color="auto"/>
        <w:left w:val="none" w:sz="0" w:space="0" w:color="auto"/>
        <w:bottom w:val="none" w:sz="0" w:space="0" w:color="auto"/>
        <w:right w:val="none" w:sz="0" w:space="0" w:color="auto"/>
      </w:divBdr>
    </w:div>
    <w:div w:id="220138851">
      <w:bodyDiv w:val="1"/>
      <w:marLeft w:val="0"/>
      <w:marRight w:val="0"/>
      <w:marTop w:val="0"/>
      <w:marBottom w:val="0"/>
      <w:divBdr>
        <w:top w:val="none" w:sz="0" w:space="0" w:color="auto"/>
        <w:left w:val="none" w:sz="0" w:space="0" w:color="auto"/>
        <w:bottom w:val="none" w:sz="0" w:space="0" w:color="auto"/>
        <w:right w:val="none" w:sz="0" w:space="0" w:color="auto"/>
      </w:divBdr>
      <w:divsChild>
        <w:div w:id="1110706717">
          <w:marLeft w:val="0"/>
          <w:marRight w:val="0"/>
          <w:marTop w:val="0"/>
          <w:marBottom w:val="0"/>
          <w:divBdr>
            <w:top w:val="none" w:sz="0" w:space="0" w:color="auto"/>
            <w:left w:val="none" w:sz="0" w:space="0" w:color="auto"/>
            <w:bottom w:val="none" w:sz="0" w:space="0" w:color="auto"/>
            <w:right w:val="none" w:sz="0" w:space="0" w:color="auto"/>
          </w:divBdr>
        </w:div>
      </w:divsChild>
    </w:div>
    <w:div w:id="222954893">
      <w:bodyDiv w:val="1"/>
      <w:marLeft w:val="0"/>
      <w:marRight w:val="0"/>
      <w:marTop w:val="0"/>
      <w:marBottom w:val="0"/>
      <w:divBdr>
        <w:top w:val="none" w:sz="0" w:space="0" w:color="auto"/>
        <w:left w:val="none" w:sz="0" w:space="0" w:color="auto"/>
        <w:bottom w:val="none" w:sz="0" w:space="0" w:color="auto"/>
        <w:right w:val="none" w:sz="0" w:space="0" w:color="auto"/>
      </w:divBdr>
    </w:div>
    <w:div w:id="249626825">
      <w:bodyDiv w:val="1"/>
      <w:marLeft w:val="0"/>
      <w:marRight w:val="0"/>
      <w:marTop w:val="0"/>
      <w:marBottom w:val="0"/>
      <w:divBdr>
        <w:top w:val="none" w:sz="0" w:space="0" w:color="auto"/>
        <w:left w:val="none" w:sz="0" w:space="0" w:color="auto"/>
        <w:bottom w:val="none" w:sz="0" w:space="0" w:color="auto"/>
        <w:right w:val="none" w:sz="0" w:space="0" w:color="auto"/>
      </w:divBdr>
    </w:div>
    <w:div w:id="310717646">
      <w:bodyDiv w:val="1"/>
      <w:marLeft w:val="0"/>
      <w:marRight w:val="0"/>
      <w:marTop w:val="0"/>
      <w:marBottom w:val="0"/>
      <w:divBdr>
        <w:top w:val="none" w:sz="0" w:space="0" w:color="auto"/>
        <w:left w:val="none" w:sz="0" w:space="0" w:color="auto"/>
        <w:bottom w:val="none" w:sz="0" w:space="0" w:color="auto"/>
        <w:right w:val="none" w:sz="0" w:space="0" w:color="auto"/>
      </w:divBdr>
    </w:div>
    <w:div w:id="414401070">
      <w:bodyDiv w:val="1"/>
      <w:marLeft w:val="0"/>
      <w:marRight w:val="0"/>
      <w:marTop w:val="0"/>
      <w:marBottom w:val="0"/>
      <w:divBdr>
        <w:top w:val="none" w:sz="0" w:space="0" w:color="auto"/>
        <w:left w:val="none" w:sz="0" w:space="0" w:color="auto"/>
        <w:bottom w:val="none" w:sz="0" w:space="0" w:color="auto"/>
        <w:right w:val="none" w:sz="0" w:space="0" w:color="auto"/>
      </w:divBdr>
    </w:div>
    <w:div w:id="470834030">
      <w:bodyDiv w:val="1"/>
      <w:marLeft w:val="0"/>
      <w:marRight w:val="0"/>
      <w:marTop w:val="0"/>
      <w:marBottom w:val="0"/>
      <w:divBdr>
        <w:top w:val="none" w:sz="0" w:space="0" w:color="auto"/>
        <w:left w:val="none" w:sz="0" w:space="0" w:color="auto"/>
        <w:bottom w:val="none" w:sz="0" w:space="0" w:color="auto"/>
        <w:right w:val="none" w:sz="0" w:space="0" w:color="auto"/>
      </w:divBdr>
    </w:div>
    <w:div w:id="480317060">
      <w:bodyDiv w:val="1"/>
      <w:marLeft w:val="0"/>
      <w:marRight w:val="0"/>
      <w:marTop w:val="0"/>
      <w:marBottom w:val="0"/>
      <w:divBdr>
        <w:top w:val="none" w:sz="0" w:space="0" w:color="auto"/>
        <w:left w:val="none" w:sz="0" w:space="0" w:color="auto"/>
        <w:bottom w:val="none" w:sz="0" w:space="0" w:color="auto"/>
        <w:right w:val="none" w:sz="0" w:space="0" w:color="auto"/>
      </w:divBdr>
      <w:divsChild>
        <w:div w:id="893853675">
          <w:marLeft w:val="0"/>
          <w:marRight w:val="0"/>
          <w:marTop w:val="0"/>
          <w:marBottom w:val="0"/>
          <w:divBdr>
            <w:top w:val="none" w:sz="0" w:space="0" w:color="auto"/>
            <w:left w:val="none" w:sz="0" w:space="0" w:color="auto"/>
            <w:bottom w:val="none" w:sz="0" w:space="0" w:color="auto"/>
            <w:right w:val="none" w:sz="0" w:space="0" w:color="auto"/>
          </w:divBdr>
        </w:div>
      </w:divsChild>
    </w:div>
    <w:div w:id="504173187">
      <w:bodyDiv w:val="1"/>
      <w:marLeft w:val="0"/>
      <w:marRight w:val="0"/>
      <w:marTop w:val="0"/>
      <w:marBottom w:val="0"/>
      <w:divBdr>
        <w:top w:val="none" w:sz="0" w:space="0" w:color="auto"/>
        <w:left w:val="none" w:sz="0" w:space="0" w:color="auto"/>
        <w:bottom w:val="none" w:sz="0" w:space="0" w:color="auto"/>
        <w:right w:val="none" w:sz="0" w:space="0" w:color="auto"/>
      </w:divBdr>
    </w:div>
    <w:div w:id="520171166">
      <w:bodyDiv w:val="1"/>
      <w:marLeft w:val="0"/>
      <w:marRight w:val="0"/>
      <w:marTop w:val="0"/>
      <w:marBottom w:val="0"/>
      <w:divBdr>
        <w:top w:val="none" w:sz="0" w:space="0" w:color="auto"/>
        <w:left w:val="none" w:sz="0" w:space="0" w:color="auto"/>
        <w:bottom w:val="none" w:sz="0" w:space="0" w:color="auto"/>
        <w:right w:val="none" w:sz="0" w:space="0" w:color="auto"/>
      </w:divBdr>
    </w:div>
    <w:div w:id="556550228">
      <w:bodyDiv w:val="1"/>
      <w:marLeft w:val="0"/>
      <w:marRight w:val="0"/>
      <w:marTop w:val="0"/>
      <w:marBottom w:val="0"/>
      <w:divBdr>
        <w:top w:val="none" w:sz="0" w:space="0" w:color="auto"/>
        <w:left w:val="none" w:sz="0" w:space="0" w:color="auto"/>
        <w:bottom w:val="none" w:sz="0" w:space="0" w:color="auto"/>
        <w:right w:val="none" w:sz="0" w:space="0" w:color="auto"/>
      </w:divBdr>
    </w:div>
    <w:div w:id="568543380">
      <w:bodyDiv w:val="1"/>
      <w:marLeft w:val="0"/>
      <w:marRight w:val="0"/>
      <w:marTop w:val="0"/>
      <w:marBottom w:val="0"/>
      <w:divBdr>
        <w:top w:val="none" w:sz="0" w:space="0" w:color="auto"/>
        <w:left w:val="none" w:sz="0" w:space="0" w:color="auto"/>
        <w:bottom w:val="none" w:sz="0" w:space="0" w:color="auto"/>
        <w:right w:val="none" w:sz="0" w:space="0" w:color="auto"/>
      </w:divBdr>
      <w:divsChild>
        <w:div w:id="1655405871">
          <w:marLeft w:val="0"/>
          <w:marRight w:val="0"/>
          <w:marTop w:val="0"/>
          <w:marBottom w:val="0"/>
          <w:divBdr>
            <w:top w:val="none" w:sz="0" w:space="0" w:color="auto"/>
            <w:left w:val="none" w:sz="0" w:space="0" w:color="auto"/>
            <w:bottom w:val="none" w:sz="0" w:space="0" w:color="auto"/>
            <w:right w:val="none" w:sz="0" w:space="0" w:color="auto"/>
          </w:divBdr>
        </w:div>
      </w:divsChild>
    </w:div>
    <w:div w:id="584613792">
      <w:bodyDiv w:val="1"/>
      <w:marLeft w:val="0"/>
      <w:marRight w:val="0"/>
      <w:marTop w:val="0"/>
      <w:marBottom w:val="0"/>
      <w:divBdr>
        <w:top w:val="none" w:sz="0" w:space="0" w:color="auto"/>
        <w:left w:val="none" w:sz="0" w:space="0" w:color="auto"/>
        <w:bottom w:val="none" w:sz="0" w:space="0" w:color="auto"/>
        <w:right w:val="none" w:sz="0" w:space="0" w:color="auto"/>
      </w:divBdr>
    </w:div>
    <w:div w:id="592318087">
      <w:bodyDiv w:val="1"/>
      <w:marLeft w:val="0"/>
      <w:marRight w:val="0"/>
      <w:marTop w:val="0"/>
      <w:marBottom w:val="0"/>
      <w:divBdr>
        <w:top w:val="none" w:sz="0" w:space="0" w:color="auto"/>
        <w:left w:val="none" w:sz="0" w:space="0" w:color="auto"/>
        <w:bottom w:val="none" w:sz="0" w:space="0" w:color="auto"/>
        <w:right w:val="none" w:sz="0" w:space="0" w:color="auto"/>
      </w:divBdr>
    </w:div>
    <w:div w:id="663625836">
      <w:bodyDiv w:val="1"/>
      <w:marLeft w:val="0"/>
      <w:marRight w:val="0"/>
      <w:marTop w:val="0"/>
      <w:marBottom w:val="0"/>
      <w:divBdr>
        <w:top w:val="none" w:sz="0" w:space="0" w:color="auto"/>
        <w:left w:val="none" w:sz="0" w:space="0" w:color="auto"/>
        <w:bottom w:val="none" w:sz="0" w:space="0" w:color="auto"/>
        <w:right w:val="none" w:sz="0" w:space="0" w:color="auto"/>
      </w:divBdr>
    </w:div>
    <w:div w:id="675696798">
      <w:bodyDiv w:val="1"/>
      <w:marLeft w:val="0"/>
      <w:marRight w:val="0"/>
      <w:marTop w:val="0"/>
      <w:marBottom w:val="0"/>
      <w:divBdr>
        <w:top w:val="none" w:sz="0" w:space="0" w:color="auto"/>
        <w:left w:val="none" w:sz="0" w:space="0" w:color="auto"/>
        <w:bottom w:val="none" w:sz="0" w:space="0" w:color="auto"/>
        <w:right w:val="none" w:sz="0" w:space="0" w:color="auto"/>
      </w:divBdr>
    </w:div>
    <w:div w:id="684596504">
      <w:bodyDiv w:val="1"/>
      <w:marLeft w:val="0"/>
      <w:marRight w:val="0"/>
      <w:marTop w:val="0"/>
      <w:marBottom w:val="0"/>
      <w:divBdr>
        <w:top w:val="none" w:sz="0" w:space="0" w:color="auto"/>
        <w:left w:val="none" w:sz="0" w:space="0" w:color="auto"/>
        <w:bottom w:val="none" w:sz="0" w:space="0" w:color="auto"/>
        <w:right w:val="none" w:sz="0" w:space="0" w:color="auto"/>
      </w:divBdr>
    </w:div>
    <w:div w:id="729614903">
      <w:bodyDiv w:val="1"/>
      <w:marLeft w:val="0"/>
      <w:marRight w:val="0"/>
      <w:marTop w:val="0"/>
      <w:marBottom w:val="0"/>
      <w:divBdr>
        <w:top w:val="none" w:sz="0" w:space="0" w:color="auto"/>
        <w:left w:val="none" w:sz="0" w:space="0" w:color="auto"/>
        <w:bottom w:val="none" w:sz="0" w:space="0" w:color="auto"/>
        <w:right w:val="none" w:sz="0" w:space="0" w:color="auto"/>
      </w:divBdr>
    </w:div>
    <w:div w:id="749355561">
      <w:bodyDiv w:val="1"/>
      <w:marLeft w:val="0"/>
      <w:marRight w:val="0"/>
      <w:marTop w:val="0"/>
      <w:marBottom w:val="0"/>
      <w:divBdr>
        <w:top w:val="none" w:sz="0" w:space="0" w:color="auto"/>
        <w:left w:val="none" w:sz="0" w:space="0" w:color="auto"/>
        <w:bottom w:val="none" w:sz="0" w:space="0" w:color="auto"/>
        <w:right w:val="none" w:sz="0" w:space="0" w:color="auto"/>
      </w:divBdr>
    </w:div>
    <w:div w:id="789515289">
      <w:bodyDiv w:val="1"/>
      <w:marLeft w:val="0"/>
      <w:marRight w:val="0"/>
      <w:marTop w:val="0"/>
      <w:marBottom w:val="0"/>
      <w:divBdr>
        <w:top w:val="none" w:sz="0" w:space="0" w:color="auto"/>
        <w:left w:val="none" w:sz="0" w:space="0" w:color="auto"/>
        <w:bottom w:val="none" w:sz="0" w:space="0" w:color="auto"/>
        <w:right w:val="none" w:sz="0" w:space="0" w:color="auto"/>
      </w:divBdr>
    </w:div>
    <w:div w:id="794177967">
      <w:bodyDiv w:val="1"/>
      <w:marLeft w:val="0"/>
      <w:marRight w:val="0"/>
      <w:marTop w:val="0"/>
      <w:marBottom w:val="0"/>
      <w:divBdr>
        <w:top w:val="none" w:sz="0" w:space="0" w:color="auto"/>
        <w:left w:val="none" w:sz="0" w:space="0" w:color="auto"/>
        <w:bottom w:val="none" w:sz="0" w:space="0" w:color="auto"/>
        <w:right w:val="none" w:sz="0" w:space="0" w:color="auto"/>
      </w:divBdr>
    </w:div>
    <w:div w:id="854539308">
      <w:bodyDiv w:val="1"/>
      <w:marLeft w:val="0"/>
      <w:marRight w:val="0"/>
      <w:marTop w:val="0"/>
      <w:marBottom w:val="0"/>
      <w:divBdr>
        <w:top w:val="none" w:sz="0" w:space="0" w:color="auto"/>
        <w:left w:val="none" w:sz="0" w:space="0" w:color="auto"/>
        <w:bottom w:val="none" w:sz="0" w:space="0" w:color="auto"/>
        <w:right w:val="none" w:sz="0" w:space="0" w:color="auto"/>
      </w:divBdr>
      <w:divsChild>
        <w:div w:id="279142828">
          <w:marLeft w:val="0"/>
          <w:marRight w:val="0"/>
          <w:marTop w:val="0"/>
          <w:marBottom w:val="0"/>
          <w:divBdr>
            <w:top w:val="none" w:sz="0" w:space="0" w:color="auto"/>
            <w:left w:val="none" w:sz="0" w:space="0" w:color="auto"/>
            <w:bottom w:val="none" w:sz="0" w:space="0" w:color="auto"/>
            <w:right w:val="none" w:sz="0" w:space="0" w:color="auto"/>
          </w:divBdr>
        </w:div>
      </w:divsChild>
    </w:div>
    <w:div w:id="907037378">
      <w:bodyDiv w:val="1"/>
      <w:marLeft w:val="0"/>
      <w:marRight w:val="0"/>
      <w:marTop w:val="0"/>
      <w:marBottom w:val="0"/>
      <w:divBdr>
        <w:top w:val="none" w:sz="0" w:space="0" w:color="auto"/>
        <w:left w:val="none" w:sz="0" w:space="0" w:color="auto"/>
        <w:bottom w:val="none" w:sz="0" w:space="0" w:color="auto"/>
        <w:right w:val="none" w:sz="0" w:space="0" w:color="auto"/>
      </w:divBdr>
    </w:div>
    <w:div w:id="916472813">
      <w:bodyDiv w:val="1"/>
      <w:marLeft w:val="0"/>
      <w:marRight w:val="0"/>
      <w:marTop w:val="0"/>
      <w:marBottom w:val="0"/>
      <w:divBdr>
        <w:top w:val="none" w:sz="0" w:space="0" w:color="auto"/>
        <w:left w:val="none" w:sz="0" w:space="0" w:color="auto"/>
        <w:bottom w:val="none" w:sz="0" w:space="0" w:color="auto"/>
        <w:right w:val="none" w:sz="0" w:space="0" w:color="auto"/>
      </w:divBdr>
    </w:div>
    <w:div w:id="916864096">
      <w:bodyDiv w:val="1"/>
      <w:marLeft w:val="0"/>
      <w:marRight w:val="0"/>
      <w:marTop w:val="0"/>
      <w:marBottom w:val="0"/>
      <w:divBdr>
        <w:top w:val="none" w:sz="0" w:space="0" w:color="auto"/>
        <w:left w:val="none" w:sz="0" w:space="0" w:color="auto"/>
        <w:bottom w:val="none" w:sz="0" w:space="0" w:color="auto"/>
        <w:right w:val="none" w:sz="0" w:space="0" w:color="auto"/>
      </w:divBdr>
    </w:div>
    <w:div w:id="953171385">
      <w:bodyDiv w:val="1"/>
      <w:marLeft w:val="0"/>
      <w:marRight w:val="0"/>
      <w:marTop w:val="0"/>
      <w:marBottom w:val="0"/>
      <w:divBdr>
        <w:top w:val="none" w:sz="0" w:space="0" w:color="auto"/>
        <w:left w:val="none" w:sz="0" w:space="0" w:color="auto"/>
        <w:bottom w:val="none" w:sz="0" w:space="0" w:color="auto"/>
        <w:right w:val="none" w:sz="0" w:space="0" w:color="auto"/>
      </w:divBdr>
    </w:div>
    <w:div w:id="957295569">
      <w:bodyDiv w:val="1"/>
      <w:marLeft w:val="0"/>
      <w:marRight w:val="0"/>
      <w:marTop w:val="0"/>
      <w:marBottom w:val="0"/>
      <w:divBdr>
        <w:top w:val="none" w:sz="0" w:space="0" w:color="auto"/>
        <w:left w:val="none" w:sz="0" w:space="0" w:color="auto"/>
        <w:bottom w:val="none" w:sz="0" w:space="0" w:color="auto"/>
        <w:right w:val="none" w:sz="0" w:space="0" w:color="auto"/>
      </w:divBdr>
    </w:div>
    <w:div w:id="963079509">
      <w:bodyDiv w:val="1"/>
      <w:marLeft w:val="0"/>
      <w:marRight w:val="0"/>
      <w:marTop w:val="0"/>
      <w:marBottom w:val="0"/>
      <w:divBdr>
        <w:top w:val="none" w:sz="0" w:space="0" w:color="auto"/>
        <w:left w:val="none" w:sz="0" w:space="0" w:color="auto"/>
        <w:bottom w:val="none" w:sz="0" w:space="0" w:color="auto"/>
        <w:right w:val="none" w:sz="0" w:space="0" w:color="auto"/>
      </w:divBdr>
    </w:div>
    <w:div w:id="1003507363">
      <w:bodyDiv w:val="1"/>
      <w:marLeft w:val="0"/>
      <w:marRight w:val="0"/>
      <w:marTop w:val="0"/>
      <w:marBottom w:val="0"/>
      <w:divBdr>
        <w:top w:val="none" w:sz="0" w:space="0" w:color="auto"/>
        <w:left w:val="none" w:sz="0" w:space="0" w:color="auto"/>
        <w:bottom w:val="none" w:sz="0" w:space="0" w:color="auto"/>
        <w:right w:val="none" w:sz="0" w:space="0" w:color="auto"/>
      </w:divBdr>
    </w:div>
    <w:div w:id="1039205501">
      <w:bodyDiv w:val="1"/>
      <w:marLeft w:val="0"/>
      <w:marRight w:val="0"/>
      <w:marTop w:val="0"/>
      <w:marBottom w:val="0"/>
      <w:divBdr>
        <w:top w:val="none" w:sz="0" w:space="0" w:color="auto"/>
        <w:left w:val="none" w:sz="0" w:space="0" w:color="auto"/>
        <w:bottom w:val="none" w:sz="0" w:space="0" w:color="auto"/>
        <w:right w:val="none" w:sz="0" w:space="0" w:color="auto"/>
      </w:divBdr>
    </w:div>
    <w:div w:id="1076124176">
      <w:bodyDiv w:val="1"/>
      <w:marLeft w:val="0"/>
      <w:marRight w:val="0"/>
      <w:marTop w:val="0"/>
      <w:marBottom w:val="0"/>
      <w:divBdr>
        <w:top w:val="none" w:sz="0" w:space="0" w:color="auto"/>
        <w:left w:val="none" w:sz="0" w:space="0" w:color="auto"/>
        <w:bottom w:val="none" w:sz="0" w:space="0" w:color="auto"/>
        <w:right w:val="none" w:sz="0" w:space="0" w:color="auto"/>
      </w:divBdr>
    </w:div>
    <w:div w:id="1105732338">
      <w:bodyDiv w:val="1"/>
      <w:marLeft w:val="0"/>
      <w:marRight w:val="0"/>
      <w:marTop w:val="0"/>
      <w:marBottom w:val="0"/>
      <w:divBdr>
        <w:top w:val="none" w:sz="0" w:space="0" w:color="auto"/>
        <w:left w:val="none" w:sz="0" w:space="0" w:color="auto"/>
        <w:bottom w:val="none" w:sz="0" w:space="0" w:color="auto"/>
        <w:right w:val="none" w:sz="0" w:space="0" w:color="auto"/>
      </w:divBdr>
    </w:div>
    <w:div w:id="1112165418">
      <w:bodyDiv w:val="1"/>
      <w:marLeft w:val="0"/>
      <w:marRight w:val="0"/>
      <w:marTop w:val="0"/>
      <w:marBottom w:val="0"/>
      <w:divBdr>
        <w:top w:val="none" w:sz="0" w:space="0" w:color="auto"/>
        <w:left w:val="none" w:sz="0" w:space="0" w:color="auto"/>
        <w:bottom w:val="none" w:sz="0" w:space="0" w:color="auto"/>
        <w:right w:val="none" w:sz="0" w:space="0" w:color="auto"/>
      </w:divBdr>
    </w:div>
    <w:div w:id="1231381574">
      <w:bodyDiv w:val="1"/>
      <w:marLeft w:val="0"/>
      <w:marRight w:val="0"/>
      <w:marTop w:val="0"/>
      <w:marBottom w:val="0"/>
      <w:divBdr>
        <w:top w:val="none" w:sz="0" w:space="0" w:color="auto"/>
        <w:left w:val="none" w:sz="0" w:space="0" w:color="auto"/>
        <w:bottom w:val="none" w:sz="0" w:space="0" w:color="auto"/>
        <w:right w:val="none" w:sz="0" w:space="0" w:color="auto"/>
      </w:divBdr>
    </w:div>
    <w:div w:id="1236628815">
      <w:bodyDiv w:val="1"/>
      <w:marLeft w:val="0"/>
      <w:marRight w:val="0"/>
      <w:marTop w:val="0"/>
      <w:marBottom w:val="0"/>
      <w:divBdr>
        <w:top w:val="none" w:sz="0" w:space="0" w:color="auto"/>
        <w:left w:val="none" w:sz="0" w:space="0" w:color="auto"/>
        <w:bottom w:val="none" w:sz="0" w:space="0" w:color="auto"/>
        <w:right w:val="none" w:sz="0" w:space="0" w:color="auto"/>
      </w:divBdr>
    </w:div>
    <w:div w:id="1254630808">
      <w:bodyDiv w:val="1"/>
      <w:marLeft w:val="0"/>
      <w:marRight w:val="0"/>
      <w:marTop w:val="0"/>
      <w:marBottom w:val="0"/>
      <w:divBdr>
        <w:top w:val="none" w:sz="0" w:space="0" w:color="auto"/>
        <w:left w:val="none" w:sz="0" w:space="0" w:color="auto"/>
        <w:bottom w:val="none" w:sz="0" w:space="0" w:color="auto"/>
        <w:right w:val="none" w:sz="0" w:space="0" w:color="auto"/>
      </w:divBdr>
    </w:div>
    <w:div w:id="1282493043">
      <w:bodyDiv w:val="1"/>
      <w:marLeft w:val="0"/>
      <w:marRight w:val="0"/>
      <w:marTop w:val="0"/>
      <w:marBottom w:val="0"/>
      <w:divBdr>
        <w:top w:val="none" w:sz="0" w:space="0" w:color="auto"/>
        <w:left w:val="none" w:sz="0" w:space="0" w:color="auto"/>
        <w:bottom w:val="none" w:sz="0" w:space="0" w:color="auto"/>
        <w:right w:val="none" w:sz="0" w:space="0" w:color="auto"/>
      </w:divBdr>
    </w:div>
    <w:div w:id="1298225399">
      <w:bodyDiv w:val="1"/>
      <w:marLeft w:val="0"/>
      <w:marRight w:val="0"/>
      <w:marTop w:val="0"/>
      <w:marBottom w:val="0"/>
      <w:divBdr>
        <w:top w:val="none" w:sz="0" w:space="0" w:color="auto"/>
        <w:left w:val="none" w:sz="0" w:space="0" w:color="auto"/>
        <w:bottom w:val="none" w:sz="0" w:space="0" w:color="auto"/>
        <w:right w:val="none" w:sz="0" w:space="0" w:color="auto"/>
      </w:divBdr>
    </w:div>
    <w:div w:id="1327326070">
      <w:bodyDiv w:val="1"/>
      <w:marLeft w:val="0"/>
      <w:marRight w:val="0"/>
      <w:marTop w:val="0"/>
      <w:marBottom w:val="0"/>
      <w:divBdr>
        <w:top w:val="none" w:sz="0" w:space="0" w:color="auto"/>
        <w:left w:val="none" w:sz="0" w:space="0" w:color="auto"/>
        <w:bottom w:val="none" w:sz="0" w:space="0" w:color="auto"/>
        <w:right w:val="none" w:sz="0" w:space="0" w:color="auto"/>
      </w:divBdr>
    </w:div>
    <w:div w:id="1356690300">
      <w:bodyDiv w:val="1"/>
      <w:marLeft w:val="0"/>
      <w:marRight w:val="0"/>
      <w:marTop w:val="0"/>
      <w:marBottom w:val="0"/>
      <w:divBdr>
        <w:top w:val="none" w:sz="0" w:space="0" w:color="auto"/>
        <w:left w:val="none" w:sz="0" w:space="0" w:color="auto"/>
        <w:bottom w:val="none" w:sz="0" w:space="0" w:color="auto"/>
        <w:right w:val="none" w:sz="0" w:space="0" w:color="auto"/>
      </w:divBdr>
      <w:divsChild>
        <w:div w:id="1991858288">
          <w:marLeft w:val="0"/>
          <w:marRight w:val="0"/>
          <w:marTop w:val="0"/>
          <w:marBottom w:val="0"/>
          <w:divBdr>
            <w:top w:val="none" w:sz="0" w:space="0" w:color="auto"/>
            <w:left w:val="none" w:sz="0" w:space="0" w:color="auto"/>
            <w:bottom w:val="none" w:sz="0" w:space="0" w:color="auto"/>
            <w:right w:val="none" w:sz="0" w:space="0" w:color="auto"/>
          </w:divBdr>
        </w:div>
      </w:divsChild>
    </w:div>
    <w:div w:id="1362439212">
      <w:bodyDiv w:val="1"/>
      <w:marLeft w:val="0"/>
      <w:marRight w:val="0"/>
      <w:marTop w:val="0"/>
      <w:marBottom w:val="0"/>
      <w:divBdr>
        <w:top w:val="none" w:sz="0" w:space="0" w:color="auto"/>
        <w:left w:val="none" w:sz="0" w:space="0" w:color="auto"/>
        <w:bottom w:val="none" w:sz="0" w:space="0" w:color="auto"/>
        <w:right w:val="none" w:sz="0" w:space="0" w:color="auto"/>
      </w:divBdr>
    </w:div>
    <w:div w:id="1375738626">
      <w:bodyDiv w:val="1"/>
      <w:marLeft w:val="0"/>
      <w:marRight w:val="0"/>
      <w:marTop w:val="0"/>
      <w:marBottom w:val="0"/>
      <w:divBdr>
        <w:top w:val="none" w:sz="0" w:space="0" w:color="auto"/>
        <w:left w:val="none" w:sz="0" w:space="0" w:color="auto"/>
        <w:bottom w:val="none" w:sz="0" w:space="0" w:color="auto"/>
        <w:right w:val="none" w:sz="0" w:space="0" w:color="auto"/>
      </w:divBdr>
    </w:div>
    <w:div w:id="1395008810">
      <w:bodyDiv w:val="1"/>
      <w:marLeft w:val="0"/>
      <w:marRight w:val="0"/>
      <w:marTop w:val="0"/>
      <w:marBottom w:val="0"/>
      <w:divBdr>
        <w:top w:val="none" w:sz="0" w:space="0" w:color="auto"/>
        <w:left w:val="none" w:sz="0" w:space="0" w:color="auto"/>
        <w:bottom w:val="none" w:sz="0" w:space="0" w:color="auto"/>
        <w:right w:val="none" w:sz="0" w:space="0" w:color="auto"/>
      </w:divBdr>
    </w:div>
    <w:div w:id="1421830693">
      <w:bodyDiv w:val="1"/>
      <w:marLeft w:val="0"/>
      <w:marRight w:val="0"/>
      <w:marTop w:val="0"/>
      <w:marBottom w:val="0"/>
      <w:divBdr>
        <w:top w:val="none" w:sz="0" w:space="0" w:color="auto"/>
        <w:left w:val="none" w:sz="0" w:space="0" w:color="auto"/>
        <w:bottom w:val="none" w:sz="0" w:space="0" w:color="auto"/>
        <w:right w:val="none" w:sz="0" w:space="0" w:color="auto"/>
      </w:divBdr>
    </w:div>
    <w:div w:id="1489588039">
      <w:bodyDiv w:val="1"/>
      <w:marLeft w:val="0"/>
      <w:marRight w:val="0"/>
      <w:marTop w:val="0"/>
      <w:marBottom w:val="0"/>
      <w:divBdr>
        <w:top w:val="none" w:sz="0" w:space="0" w:color="auto"/>
        <w:left w:val="none" w:sz="0" w:space="0" w:color="auto"/>
        <w:bottom w:val="none" w:sz="0" w:space="0" w:color="auto"/>
        <w:right w:val="none" w:sz="0" w:space="0" w:color="auto"/>
      </w:divBdr>
    </w:div>
    <w:div w:id="1499613935">
      <w:bodyDiv w:val="1"/>
      <w:marLeft w:val="0"/>
      <w:marRight w:val="0"/>
      <w:marTop w:val="0"/>
      <w:marBottom w:val="0"/>
      <w:divBdr>
        <w:top w:val="none" w:sz="0" w:space="0" w:color="auto"/>
        <w:left w:val="none" w:sz="0" w:space="0" w:color="auto"/>
        <w:bottom w:val="none" w:sz="0" w:space="0" w:color="auto"/>
        <w:right w:val="none" w:sz="0" w:space="0" w:color="auto"/>
      </w:divBdr>
    </w:div>
    <w:div w:id="1527257007">
      <w:bodyDiv w:val="1"/>
      <w:marLeft w:val="0"/>
      <w:marRight w:val="0"/>
      <w:marTop w:val="0"/>
      <w:marBottom w:val="0"/>
      <w:divBdr>
        <w:top w:val="none" w:sz="0" w:space="0" w:color="auto"/>
        <w:left w:val="none" w:sz="0" w:space="0" w:color="auto"/>
        <w:bottom w:val="none" w:sz="0" w:space="0" w:color="auto"/>
        <w:right w:val="none" w:sz="0" w:space="0" w:color="auto"/>
      </w:divBdr>
    </w:div>
    <w:div w:id="1528835180">
      <w:bodyDiv w:val="1"/>
      <w:marLeft w:val="0"/>
      <w:marRight w:val="0"/>
      <w:marTop w:val="0"/>
      <w:marBottom w:val="0"/>
      <w:divBdr>
        <w:top w:val="none" w:sz="0" w:space="0" w:color="auto"/>
        <w:left w:val="none" w:sz="0" w:space="0" w:color="auto"/>
        <w:bottom w:val="none" w:sz="0" w:space="0" w:color="auto"/>
        <w:right w:val="none" w:sz="0" w:space="0" w:color="auto"/>
      </w:divBdr>
    </w:div>
    <w:div w:id="1569539164">
      <w:bodyDiv w:val="1"/>
      <w:marLeft w:val="0"/>
      <w:marRight w:val="0"/>
      <w:marTop w:val="0"/>
      <w:marBottom w:val="0"/>
      <w:divBdr>
        <w:top w:val="none" w:sz="0" w:space="0" w:color="auto"/>
        <w:left w:val="none" w:sz="0" w:space="0" w:color="auto"/>
        <w:bottom w:val="none" w:sz="0" w:space="0" w:color="auto"/>
        <w:right w:val="none" w:sz="0" w:space="0" w:color="auto"/>
      </w:divBdr>
    </w:div>
    <w:div w:id="1592397191">
      <w:bodyDiv w:val="1"/>
      <w:marLeft w:val="0"/>
      <w:marRight w:val="0"/>
      <w:marTop w:val="0"/>
      <w:marBottom w:val="0"/>
      <w:divBdr>
        <w:top w:val="none" w:sz="0" w:space="0" w:color="auto"/>
        <w:left w:val="none" w:sz="0" w:space="0" w:color="auto"/>
        <w:bottom w:val="none" w:sz="0" w:space="0" w:color="auto"/>
        <w:right w:val="none" w:sz="0" w:space="0" w:color="auto"/>
      </w:divBdr>
    </w:div>
    <w:div w:id="1595549677">
      <w:bodyDiv w:val="1"/>
      <w:marLeft w:val="0"/>
      <w:marRight w:val="0"/>
      <w:marTop w:val="0"/>
      <w:marBottom w:val="0"/>
      <w:divBdr>
        <w:top w:val="none" w:sz="0" w:space="0" w:color="auto"/>
        <w:left w:val="none" w:sz="0" w:space="0" w:color="auto"/>
        <w:bottom w:val="none" w:sz="0" w:space="0" w:color="auto"/>
        <w:right w:val="none" w:sz="0" w:space="0" w:color="auto"/>
      </w:divBdr>
    </w:div>
    <w:div w:id="1617179927">
      <w:bodyDiv w:val="1"/>
      <w:marLeft w:val="0"/>
      <w:marRight w:val="0"/>
      <w:marTop w:val="0"/>
      <w:marBottom w:val="0"/>
      <w:divBdr>
        <w:top w:val="none" w:sz="0" w:space="0" w:color="auto"/>
        <w:left w:val="none" w:sz="0" w:space="0" w:color="auto"/>
        <w:bottom w:val="none" w:sz="0" w:space="0" w:color="auto"/>
        <w:right w:val="none" w:sz="0" w:space="0" w:color="auto"/>
      </w:divBdr>
    </w:div>
    <w:div w:id="1627272725">
      <w:bodyDiv w:val="1"/>
      <w:marLeft w:val="0"/>
      <w:marRight w:val="0"/>
      <w:marTop w:val="0"/>
      <w:marBottom w:val="0"/>
      <w:divBdr>
        <w:top w:val="none" w:sz="0" w:space="0" w:color="auto"/>
        <w:left w:val="none" w:sz="0" w:space="0" w:color="auto"/>
        <w:bottom w:val="none" w:sz="0" w:space="0" w:color="auto"/>
        <w:right w:val="none" w:sz="0" w:space="0" w:color="auto"/>
      </w:divBdr>
    </w:div>
    <w:div w:id="1662006261">
      <w:bodyDiv w:val="1"/>
      <w:marLeft w:val="0"/>
      <w:marRight w:val="0"/>
      <w:marTop w:val="0"/>
      <w:marBottom w:val="0"/>
      <w:divBdr>
        <w:top w:val="none" w:sz="0" w:space="0" w:color="auto"/>
        <w:left w:val="none" w:sz="0" w:space="0" w:color="auto"/>
        <w:bottom w:val="none" w:sz="0" w:space="0" w:color="auto"/>
        <w:right w:val="none" w:sz="0" w:space="0" w:color="auto"/>
      </w:divBdr>
    </w:div>
    <w:div w:id="1664891248">
      <w:bodyDiv w:val="1"/>
      <w:marLeft w:val="0"/>
      <w:marRight w:val="0"/>
      <w:marTop w:val="0"/>
      <w:marBottom w:val="0"/>
      <w:divBdr>
        <w:top w:val="none" w:sz="0" w:space="0" w:color="auto"/>
        <w:left w:val="none" w:sz="0" w:space="0" w:color="auto"/>
        <w:bottom w:val="none" w:sz="0" w:space="0" w:color="auto"/>
        <w:right w:val="none" w:sz="0" w:space="0" w:color="auto"/>
      </w:divBdr>
    </w:div>
    <w:div w:id="1692684345">
      <w:bodyDiv w:val="1"/>
      <w:marLeft w:val="0"/>
      <w:marRight w:val="0"/>
      <w:marTop w:val="0"/>
      <w:marBottom w:val="0"/>
      <w:divBdr>
        <w:top w:val="none" w:sz="0" w:space="0" w:color="auto"/>
        <w:left w:val="none" w:sz="0" w:space="0" w:color="auto"/>
        <w:bottom w:val="none" w:sz="0" w:space="0" w:color="auto"/>
        <w:right w:val="none" w:sz="0" w:space="0" w:color="auto"/>
      </w:divBdr>
    </w:div>
    <w:div w:id="1701661388">
      <w:bodyDiv w:val="1"/>
      <w:marLeft w:val="0"/>
      <w:marRight w:val="0"/>
      <w:marTop w:val="0"/>
      <w:marBottom w:val="0"/>
      <w:divBdr>
        <w:top w:val="none" w:sz="0" w:space="0" w:color="auto"/>
        <w:left w:val="none" w:sz="0" w:space="0" w:color="auto"/>
        <w:bottom w:val="none" w:sz="0" w:space="0" w:color="auto"/>
        <w:right w:val="none" w:sz="0" w:space="0" w:color="auto"/>
      </w:divBdr>
    </w:div>
    <w:div w:id="1771776266">
      <w:bodyDiv w:val="1"/>
      <w:marLeft w:val="0"/>
      <w:marRight w:val="0"/>
      <w:marTop w:val="0"/>
      <w:marBottom w:val="0"/>
      <w:divBdr>
        <w:top w:val="none" w:sz="0" w:space="0" w:color="auto"/>
        <w:left w:val="none" w:sz="0" w:space="0" w:color="auto"/>
        <w:bottom w:val="none" w:sz="0" w:space="0" w:color="auto"/>
        <w:right w:val="none" w:sz="0" w:space="0" w:color="auto"/>
      </w:divBdr>
    </w:div>
    <w:div w:id="1783305359">
      <w:bodyDiv w:val="1"/>
      <w:marLeft w:val="0"/>
      <w:marRight w:val="0"/>
      <w:marTop w:val="0"/>
      <w:marBottom w:val="0"/>
      <w:divBdr>
        <w:top w:val="none" w:sz="0" w:space="0" w:color="auto"/>
        <w:left w:val="none" w:sz="0" w:space="0" w:color="auto"/>
        <w:bottom w:val="none" w:sz="0" w:space="0" w:color="auto"/>
        <w:right w:val="none" w:sz="0" w:space="0" w:color="auto"/>
      </w:divBdr>
    </w:div>
    <w:div w:id="1790081860">
      <w:bodyDiv w:val="1"/>
      <w:marLeft w:val="0"/>
      <w:marRight w:val="0"/>
      <w:marTop w:val="0"/>
      <w:marBottom w:val="0"/>
      <w:divBdr>
        <w:top w:val="none" w:sz="0" w:space="0" w:color="auto"/>
        <w:left w:val="none" w:sz="0" w:space="0" w:color="auto"/>
        <w:bottom w:val="none" w:sz="0" w:space="0" w:color="auto"/>
        <w:right w:val="none" w:sz="0" w:space="0" w:color="auto"/>
      </w:divBdr>
    </w:div>
    <w:div w:id="1814328797">
      <w:bodyDiv w:val="1"/>
      <w:marLeft w:val="0"/>
      <w:marRight w:val="0"/>
      <w:marTop w:val="0"/>
      <w:marBottom w:val="0"/>
      <w:divBdr>
        <w:top w:val="none" w:sz="0" w:space="0" w:color="auto"/>
        <w:left w:val="none" w:sz="0" w:space="0" w:color="auto"/>
        <w:bottom w:val="none" w:sz="0" w:space="0" w:color="auto"/>
        <w:right w:val="none" w:sz="0" w:space="0" w:color="auto"/>
      </w:divBdr>
      <w:divsChild>
        <w:div w:id="1884512219">
          <w:marLeft w:val="0"/>
          <w:marRight w:val="0"/>
          <w:marTop w:val="0"/>
          <w:marBottom w:val="0"/>
          <w:divBdr>
            <w:top w:val="none" w:sz="0" w:space="0" w:color="auto"/>
            <w:left w:val="none" w:sz="0" w:space="0" w:color="auto"/>
            <w:bottom w:val="none" w:sz="0" w:space="0" w:color="auto"/>
            <w:right w:val="none" w:sz="0" w:space="0" w:color="auto"/>
          </w:divBdr>
        </w:div>
      </w:divsChild>
    </w:div>
    <w:div w:id="1831364171">
      <w:bodyDiv w:val="1"/>
      <w:marLeft w:val="0"/>
      <w:marRight w:val="0"/>
      <w:marTop w:val="0"/>
      <w:marBottom w:val="0"/>
      <w:divBdr>
        <w:top w:val="none" w:sz="0" w:space="0" w:color="auto"/>
        <w:left w:val="none" w:sz="0" w:space="0" w:color="auto"/>
        <w:bottom w:val="none" w:sz="0" w:space="0" w:color="auto"/>
        <w:right w:val="none" w:sz="0" w:space="0" w:color="auto"/>
      </w:divBdr>
    </w:div>
    <w:div w:id="1879394879">
      <w:bodyDiv w:val="1"/>
      <w:marLeft w:val="0"/>
      <w:marRight w:val="0"/>
      <w:marTop w:val="0"/>
      <w:marBottom w:val="0"/>
      <w:divBdr>
        <w:top w:val="none" w:sz="0" w:space="0" w:color="auto"/>
        <w:left w:val="none" w:sz="0" w:space="0" w:color="auto"/>
        <w:bottom w:val="none" w:sz="0" w:space="0" w:color="auto"/>
        <w:right w:val="none" w:sz="0" w:space="0" w:color="auto"/>
      </w:divBdr>
    </w:div>
    <w:div w:id="1895895227">
      <w:bodyDiv w:val="1"/>
      <w:marLeft w:val="0"/>
      <w:marRight w:val="0"/>
      <w:marTop w:val="0"/>
      <w:marBottom w:val="0"/>
      <w:divBdr>
        <w:top w:val="none" w:sz="0" w:space="0" w:color="auto"/>
        <w:left w:val="none" w:sz="0" w:space="0" w:color="auto"/>
        <w:bottom w:val="none" w:sz="0" w:space="0" w:color="auto"/>
        <w:right w:val="none" w:sz="0" w:space="0" w:color="auto"/>
      </w:divBdr>
    </w:div>
    <w:div w:id="1900938190">
      <w:bodyDiv w:val="1"/>
      <w:marLeft w:val="0"/>
      <w:marRight w:val="0"/>
      <w:marTop w:val="0"/>
      <w:marBottom w:val="0"/>
      <w:divBdr>
        <w:top w:val="none" w:sz="0" w:space="0" w:color="auto"/>
        <w:left w:val="none" w:sz="0" w:space="0" w:color="auto"/>
        <w:bottom w:val="none" w:sz="0" w:space="0" w:color="auto"/>
        <w:right w:val="none" w:sz="0" w:space="0" w:color="auto"/>
      </w:divBdr>
    </w:div>
    <w:div w:id="1901404717">
      <w:bodyDiv w:val="1"/>
      <w:marLeft w:val="0"/>
      <w:marRight w:val="0"/>
      <w:marTop w:val="0"/>
      <w:marBottom w:val="0"/>
      <w:divBdr>
        <w:top w:val="none" w:sz="0" w:space="0" w:color="auto"/>
        <w:left w:val="none" w:sz="0" w:space="0" w:color="auto"/>
        <w:bottom w:val="none" w:sz="0" w:space="0" w:color="auto"/>
        <w:right w:val="none" w:sz="0" w:space="0" w:color="auto"/>
      </w:divBdr>
    </w:div>
    <w:div w:id="1922791543">
      <w:bodyDiv w:val="1"/>
      <w:marLeft w:val="0"/>
      <w:marRight w:val="0"/>
      <w:marTop w:val="0"/>
      <w:marBottom w:val="0"/>
      <w:divBdr>
        <w:top w:val="none" w:sz="0" w:space="0" w:color="auto"/>
        <w:left w:val="none" w:sz="0" w:space="0" w:color="auto"/>
        <w:bottom w:val="none" w:sz="0" w:space="0" w:color="auto"/>
        <w:right w:val="none" w:sz="0" w:space="0" w:color="auto"/>
      </w:divBdr>
    </w:div>
    <w:div w:id="1923486722">
      <w:bodyDiv w:val="1"/>
      <w:marLeft w:val="0"/>
      <w:marRight w:val="0"/>
      <w:marTop w:val="0"/>
      <w:marBottom w:val="0"/>
      <w:divBdr>
        <w:top w:val="none" w:sz="0" w:space="0" w:color="auto"/>
        <w:left w:val="none" w:sz="0" w:space="0" w:color="auto"/>
        <w:bottom w:val="none" w:sz="0" w:space="0" w:color="auto"/>
        <w:right w:val="none" w:sz="0" w:space="0" w:color="auto"/>
      </w:divBdr>
    </w:div>
    <w:div w:id="1931503990">
      <w:bodyDiv w:val="1"/>
      <w:marLeft w:val="0"/>
      <w:marRight w:val="0"/>
      <w:marTop w:val="0"/>
      <w:marBottom w:val="0"/>
      <w:divBdr>
        <w:top w:val="none" w:sz="0" w:space="0" w:color="auto"/>
        <w:left w:val="none" w:sz="0" w:space="0" w:color="auto"/>
        <w:bottom w:val="none" w:sz="0" w:space="0" w:color="auto"/>
        <w:right w:val="none" w:sz="0" w:space="0" w:color="auto"/>
      </w:divBdr>
    </w:div>
    <w:div w:id="1958877341">
      <w:bodyDiv w:val="1"/>
      <w:marLeft w:val="0"/>
      <w:marRight w:val="0"/>
      <w:marTop w:val="0"/>
      <w:marBottom w:val="0"/>
      <w:divBdr>
        <w:top w:val="none" w:sz="0" w:space="0" w:color="auto"/>
        <w:left w:val="none" w:sz="0" w:space="0" w:color="auto"/>
        <w:bottom w:val="none" w:sz="0" w:space="0" w:color="auto"/>
        <w:right w:val="none" w:sz="0" w:space="0" w:color="auto"/>
      </w:divBdr>
    </w:div>
    <w:div w:id="1984043899">
      <w:bodyDiv w:val="1"/>
      <w:marLeft w:val="0"/>
      <w:marRight w:val="0"/>
      <w:marTop w:val="0"/>
      <w:marBottom w:val="0"/>
      <w:divBdr>
        <w:top w:val="none" w:sz="0" w:space="0" w:color="auto"/>
        <w:left w:val="none" w:sz="0" w:space="0" w:color="auto"/>
        <w:bottom w:val="none" w:sz="0" w:space="0" w:color="auto"/>
        <w:right w:val="none" w:sz="0" w:space="0" w:color="auto"/>
      </w:divBdr>
    </w:div>
    <w:div w:id="1990090732">
      <w:bodyDiv w:val="1"/>
      <w:marLeft w:val="0"/>
      <w:marRight w:val="0"/>
      <w:marTop w:val="0"/>
      <w:marBottom w:val="0"/>
      <w:divBdr>
        <w:top w:val="none" w:sz="0" w:space="0" w:color="auto"/>
        <w:left w:val="none" w:sz="0" w:space="0" w:color="auto"/>
        <w:bottom w:val="none" w:sz="0" w:space="0" w:color="auto"/>
        <w:right w:val="none" w:sz="0" w:space="0" w:color="auto"/>
      </w:divBdr>
    </w:div>
    <w:div w:id="207076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Users\salihaergun\Downloads\buy_deg_tablolar%2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663342615976441E-2"/>
          <c:y val="4.1997354497354498E-2"/>
          <c:w val="0.91265290118616127"/>
          <c:h val="0.7164814814814815"/>
        </c:manualLayout>
      </c:layout>
      <c:barChart>
        <c:barDir val="col"/>
        <c:grouping val="clustered"/>
        <c:varyColors val="0"/>
        <c:ser>
          <c:idx val="0"/>
          <c:order val="0"/>
          <c:tx>
            <c:strRef>
              <c:f>'2026Q2'!$E$35</c:f>
              <c:strCache>
                <c:ptCount val="1"/>
                <c:pt idx="0">
                  <c:v>Yıllık değişim</c:v>
                </c:pt>
              </c:strCache>
            </c:strRef>
          </c:tx>
          <c:spPr>
            <a:solidFill>
              <a:schemeClr val="accent1"/>
            </a:solidFill>
            <a:ln>
              <a:noFill/>
            </a:ln>
            <a:effectLst/>
          </c:spPr>
          <c:invertIfNegative val="0"/>
          <c:dLbls>
            <c:dLbl>
              <c:idx val="25"/>
              <c:layout>
                <c:manualLayout>
                  <c:x val="-5.2358217965376729E-2"/>
                  <c:y val="-8.3994708994709066E-2"/>
                </c:manualLayout>
              </c:layout>
              <c:spPr>
                <a:noFill/>
                <a:ln>
                  <a:solidFill>
                    <a:schemeClr val="accent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26B4-DC4D-97BE-CD18988210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'2026Q2'!$A$56:$A$81</c:f>
              <c:strCache>
                <c:ptCount val="26"/>
                <c:pt idx="0">
                  <c:v>2020Q1</c:v>
                </c:pt>
                <c:pt idx="1">
                  <c:v>2020Q2</c:v>
                </c:pt>
                <c:pt idx="2">
                  <c:v>2020Q3</c:v>
                </c:pt>
                <c:pt idx="3">
                  <c:v>2020Q4</c:v>
                </c:pt>
                <c:pt idx="4">
                  <c:v>2021Q1</c:v>
                </c:pt>
                <c:pt idx="5">
                  <c:v>2021Q2</c:v>
                </c:pt>
                <c:pt idx="6">
                  <c:v>2021Q3</c:v>
                </c:pt>
                <c:pt idx="7">
                  <c:v>2021Q4</c:v>
                </c:pt>
                <c:pt idx="8">
                  <c:v>2022Q1</c:v>
                </c:pt>
                <c:pt idx="9">
                  <c:v>2022Q2</c:v>
                </c:pt>
                <c:pt idx="10">
                  <c:v>2022Q3</c:v>
                </c:pt>
                <c:pt idx="11">
                  <c:v>2022Q4</c:v>
                </c:pt>
                <c:pt idx="12">
                  <c:v>2023Q1</c:v>
                </c:pt>
                <c:pt idx="13">
                  <c:v>2023Q2</c:v>
                </c:pt>
                <c:pt idx="14">
                  <c:v>2023Q3</c:v>
                </c:pt>
                <c:pt idx="15">
                  <c:v>2023Q4</c:v>
                </c:pt>
                <c:pt idx="16">
                  <c:v>2024Q1</c:v>
                </c:pt>
                <c:pt idx="17">
                  <c:v>2024Q2</c:v>
                </c:pt>
                <c:pt idx="18">
                  <c:v>2024Q3</c:v>
                </c:pt>
                <c:pt idx="19">
                  <c:v>2024Q4</c:v>
                </c:pt>
                <c:pt idx="20">
                  <c:v>2025Q1</c:v>
                </c:pt>
                <c:pt idx="21">
                  <c:v>2025Q2</c:v>
                </c:pt>
                <c:pt idx="22">
                  <c:v>2025Q3</c:v>
                </c:pt>
                <c:pt idx="23">
                  <c:v>2025Q4</c:v>
                </c:pt>
                <c:pt idx="24">
                  <c:v>2026Q1</c:v>
                </c:pt>
                <c:pt idx="25">
                  <c:v>2026Q2</c:v>
                </c:pt>
              </c:strCache>
            </c:strRef>
          </c:cat>
          <c:val>
            <c:numRef>
              <c:f>'2026Q2'!$E$56:$E$81</c:f>
              <c:numCache>
                <c:formatCode>0.0</c:formatCode>
                <c:ptCount val="26"/>
                <c:pt idx="0">
                  <c:v>4.2797572789965654</c:v>
                </c:pt>
                <c:pt idx="1">
                  <c:v>-10.175316414427183</c:v>
                </c:pt>
                <c:pt idx="2">
                  <c:v>6.4111192617388513</c:v>
                </c:pt>
                <c:pt idx="3">
                  <c:v>6.0196232043504327</c:v>
                </c:pt>
                <c:pt idx="4">
                  <c:v>7.964352141198372</c:v>
                </c:pt>
                <c:pt idx="5">
                  <c:v>22.39034185348001</c:v>
                </c:pt>
                <c:pt idx="6">
                  <c:v>8.1745751047599171</c:v>
                </c:pt>
                <c:pt idx="7">
                  <c:v>10.416045724310873</c:v>
                </c:pt>
                <c:pt idx="8">
                  <c:v>7.8205187171919599</c:v>
                </c:pt>
                <c:pt idx="9">
                  <c:v>7.5515681058191841</c:v>
                </c:pt>
                <c:pt idx="10">
                  <c:v>4.1273193217609805</c:v>
                </c:pt>
                <c:pt idx="11">
                  <c:v>3.0745459987924439</c:v>
                </c:pt>
                <c:pt idx="12">
                  <c:v>3.9602884674929673</c:v>
                </c:pt>
                <c:pt idx="13">
                  <c:v>4.6011817170339198</c:v>
                </c:pt>
                <c:pt idx="14">
                  <c:v>6.5002265430257555</c:v>
                </c:pt>
                <c:pt idx="15">
                  <c:v>4.9092433870538299</c:v>
                </c:pt>
                <c:pt idx="16">
                  <c:v>5.4310136020774946</c:v>
                </c:pt>
                <c:pt idx="17">
                  <c:v>2.420076877557964</c:v>
                </c:pt>
                <c:pt idx="18">
                  <c:v>2.9640503926363193</c:v>
                </c:pt>
                <c:pt idx="19">
                  <c:v>3.3222850845222363</c:v>
                </c:pt>
                <c:pt idx="20">
                  <c:v>2.5777895384236471</c:v>
                </c:pt>
                <c:pt idx="21">
                  <c:v>4.8448678581599403</c:v>
                </c:pt>
                <c:pt idx="22">
                  <c:v>3.9342386724389833</c:v>
                </c:pt>
                <c:pt idx="23">
                  <c:v>3.5409874837429633</c:v>
                </c:pt>
                <c:pt idx="24">
                  <c:v>2.6023141888454449</c:v>
                </c:pt>
                <c:pt idx="25">
                  <c:v>2.3220601922913531</c:v>
                </c:pt>
              </c:numCache>
            </c:numRef>
          </c:val>
          <c:extLst>
            <c:ext xmlns:c16="http://schemas.microsoft.com/office/drawing/2014/chart" uri="{C3380CC4-5D6E-409C-BE32-E72D297353CC}">
              <c16:uniqueId val="{00000001-26B4-DC4D-97BE-CD18988210D0}"/>
            </c:ext>
          </c:extLst>
        </c:ser>
        <c:dLbls>
          <c:showLegendKey val="0"/>
          <c:showVal val="0"/>
          <c:showCatName val="0"/>
          <c:showSerName val="0"/>
          <c:showPercent val="0"/>
          <c:showBubbleSize val="0"/>
        </c:dLbls>
        <c:gapWidth val="75"/>
        <c:overlap val="-25"/>
        <c:axId val="38164736"/>
        <c:axId val="38170624"/>
      </c:barChart>
      <c:lineChart>
        <c:grouping val="standard"/>
        <c:varyColors val="0"/>
        <c:ser>
          <c:idx val="1"/>
          <c:order val="1"/>
          <c:tx>
            <c:strRef>
              <c:f>'2026Q2'!$F$35</c:f>
              <c:strCache>
                <c:ptCount val="1"/>
                <c:pt idx="0">
                  <c:v>Çeyreklik değişim</c:v>
                </c:pt>
              </c:strCache>
            </c:strRef>
          </c:tx>
          <c:spPr>
            <a:ln w="25400" cap="rnd">
              <a:solidFill>
                <a:schemeClr val="tx1"/>
              </a:solidFill>
              <a:round/>
            </a:ln>
            <a:effectLst/>
          </c:spPr>
          <c:marker>
            <c:symbol val="none"/>
          </c:marker>
          <c:dLbls>
            <c:dLbl>
              <c:idx val="25"/>
              <c:layout>
                <c:manualLayout>
                  <c:x val="-4.487847254175148E-2"/>
                  <c:y val="0.11835618085618078"/>
                </c:manualLayout>
              </c:layout>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26B4-DC4D-97BE-CD18988210D0}"/>
                </c:ext>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'2026Q2'!$A$56:$A$81</c:f>
              <c:strCache>
                <c:ptCount val="26"/>
                <c:pt idx="0">
                  <c:v>2020Q1</c:v>
                </c:pt>
                <c:pt idx="1">
                  <c:v>2020Q2</c:v>
                </c:pt>
                <c:pt idx="2">
                  <c:v>2020Q3</c:v>
                </c:pt>
                <c:pt idx="3">
                  <c:v>2020Q4</c:v>
                </c:pt>
                <c:pt idx="4">
                  <c:v>2021Q1</c:v>
                </c:pt>
                <c:pt idx="5">
                  <c:v>2021Q2</c:v>
                </c:pt>
                <c:pt idx="6">
                  <c:v>2021Q3</c:v>
                </c:pt>
                <c:pt idx="7">
                  <c:v>2021Q4</c:v>
                </c:pt>
                <c:pt idx="8">
                  <c:v>2022Q1</c:v>
                </c:pt>
                <c:pt idx="9">
                  <c:v>2022Q2</c:v>
                </c:pt>
                <c:pt idx="10">
                  <c:v>2022Q3</c:v>
                </c:pt>
                <c:pt idx="11">
                  <c:v>2022Q4</c:v>
                </c:pt>
                <c:pt idx="12">
                  <c:v>2023Q1</c:v>
                </c:pt>
                <c:pt idx="13">
                  <c:v>2023Q2</c:v>
                </c:pt>
                <c:pt idx="14">
                  <c:v>2023Q3</c:v>
                </c:pt>
                <c:pt idx="15">
                  <c:v>2023Q4</c:v>
                </c:pt>
                <c:pt idx="16">
                  <c:v>2024Q1</c:v>
                </c:pt>
                <c:pt idx="17">
                  <c:v>2024Q2</c:v>
                </c:pt>
                <c:pt idx="18">
                  <c:v>2024Q3</c:v>
                </c:pt>
                <c:pt idx="19">
                  <c:v>2024Q4</c:v>
                </c:pt>
                <c:pt idx="20">
                  <c:v>2025Q1</c:v>
                </c:pt>
                <c:pt idx="21">
                  <c:v>2025Q2</c:v>
                </c:pt>
                <c:pt idx="22">
                  <c:v>2025Q3</c:v>
                </c:pt>
                <c:pt idx="23">
                  <c:v>2025Q4</c:v>
                </c:pt>
                <c:pt idx="24">
                  <c:v>2026Q1</c:v>
                </c:pt>
                <c:pt idx="25">
                  <c:v>2026Q2</c:v>
                </c:pt>
              </c:strCache>
            </c:strRef>
          </c:cat>
          <c:val>
            <c:numRef>
              <c:f>'2026Q2'!$F$56:$F$81</c:f>
              <c:numCache>
                <c:formatCode>0.0</c:formatCode>
                <c:ptCount val="26"/>
                <c:pt idx="0">
                  <c:v>0.35286258974236429</c:v>
                </c:pt>
                <c:pt idx="1">
                  <c:v>-10.380578678922669</c:v>
                </c:pt>
                <c:pt idx="2">
                  <c:v>15.675092418965519</c:v>
                </c:pt>
                <c:pt idx="3">
                  <c:v>1.268656260331924</c:v>
                </c:pt>
                <c:pt idx="4">
                  <c:v>2.6806047492270446</c:v>
                </c:pt>
                <c:pt idx="5">
                  <c:v>1.602507988647206</c:v>
                </c:pt>
                <c:pt idx="6">
                  <c:v>3.510023365435555</c:v>
                </c:pt>
                <c:pt idx="7">
                  <c:v>1.8347026354190721</c:v>
                </c:pt>
                <c:pt idx="8">
                  <c:v>-0.29435935945170133</c:v>
                </c:pt>
                <c:pt idx="9">
                  <c:v>1.6802493732398727</c:v>
                </c:pt>
                <c:pt idx="10">
                  <c:v>0.90209803946115219</c:v>
                </c:pt>
                <c:pt idx="11">
                  <c:v>0.97180644314180942</c:v>
                </c:pt>
                <c:pt idx="12">
                  <c:v>-0.77925124669850909</c:v>
                </c:pt>
                <c:pt idx="13">
                  <c:v>4.7484332091224157</c:v>
                </c:pt>
                <c:pt idx="14">
                  <c:v>0.77907908929997216</c:v>
                </c:pt>
                <c:pt idx="15">
                  <c:v>0.67017455973632512</c:v>
                </c:pt>
                <c:pt idx="16">
                  <c:v>1.0235370544005251</c:v>
                </c:pt>
                <c:pt idx="17">
                  <c:v>-0.20469293862696025</c:v>
                </c:pt>
                <c:pt idx="18">
                  <c:v>0.56151973436866509</c:v>
                </c:pt>
                <c:pt idx="19">
                  <c:v>1.5962954505003069</c:v>
                </c:pt>
                <c:pt idx="20">
                  <c:v>0.92530434129409755</c:v>
                </c:pt>
                <c:pt idx="21">
                  <c:v>1.1510874241443592</c:v>
                </c:pt>
                <c:pt idx="22">
                  <c:v>0.84210047347270667</c:v>
                </c:pt>
                <c:pt idx="23">
                  <c:v>0.26706620837533279</c:v>
                </c:pt>
                <c:pt idx="24">
                  <c:v>0.30818863215746894</c:v>
                </c:pt>
                <c:pt idx="25">
                  <c:v>1.1190248083140508</c:v>
                </c:pt>
              </c:numCache>
            </c:numRef>
          </c:val>
          <c:smooth val="0"/>
          <c:extLst>
            <c:ext xmlns:c16="http://schemas.microsoft.com/office/drawing/2014/chart" uri="{C3380CC4-5D6E-409C-BE32-E72D297353CC}">
              <c16:uniqueId val="{00000003-26B4-DC4D-97BE-CD18988210D0}"/>
            </c:ext>
          </c:extLst>
        </c:ser>
        <c:dLbls>
          <c:showLegendKey val="0"/>
          <c:showVal val="0"/>
          <c:showCatName val="0"/>
          <c:showSerName val="0"/>
          <c:showPercent val="0"/>
          <c:showBubbleSize val="0"/>
        </c:dLbls>
        <c:marker val="1"/>
        <c:smooth val="0"/>
        <c:axId val="38164736"/>
        <c:axId val="38170624"/>
      </c:lineChart>
      <c:catAx>
        <c:axId val="381647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70624"/>
        <c:crosses val="autoZero"/>
        <c:auto val="1"/>
        <c:lblAlgn val="ctr"/>
        <c:lblOffset val="100"/>
        <c:noMultiLvlLbl val="0"/>
      </c:catAx>
      <c:valAx>
        <c:axId val="38170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6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192CDA151078BE4DB52CE2A0BF05C16B" ma:contentTypeVersion="16" ma:contentTypeDescription="Yeni belge oluşturun." ma:contentTypeScope="" ma:versionID="2464b6872367c00d340570baff9db5d5">
  <xsd:schema xmlns:xsd="http://www.w3.org/2001/XMLSchema" xmlns:xs="http://www.w3.org/2001/XMLSchema" xmlns:p="http://schemas.microsoft.com/office/2006/metadata/properties" xmlns:ns1="http://schemas.microsoft.com/sharepoint/v3" xmlns:ns3="6a91392b-4aab-4a5a-8abc-e018e4ed1710" xmlns:ns4="a948c1a1-7427-4f82-bcc1-319815582633" targetNamespace="http://schemas.microsoft.com/office/2006/metadata/properties" ma:root="true" ma:fieldsID="e643b129f10375a8b0d74e30ffdaf847" ns1:_="" ns3:_="" ns4:_="">
    <xsd:import namespace="http://schemas.microsoft.com/sharepoint/v3"/>
    <xsd:import namespace="6a91392b-4aab-4a5a-8abc-e018e4ed1710"/>
    <xsd:import namespace="a948c1a1-7427-4f82-bcc1-3198155826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Birleşik Uygunluk İlkesi Özellikleri" ma:hidden="true" ma:internalName="_ip_UnifiedCompliancePolicyProperties">
      <xsd:simpleType>
        <xsd:restriction base="dms:Note"/>
      </xsd:simpleType>
    </xsd:element>
    <xsd:element name="_ip_UnifiedCompliancePolicyUIAction" ma:index="23" nillable="true" ma:displayName="Birleşik Uygunluk İlkesi UI Eylem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91392b-4aab-4a5a-8abc-e018e4ed1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48c1a1-7427-4f82-bcc1-319815582633"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SharingHintHash" ma:index="1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37626F8-431B-4CF4-A81B-FBECE9A7C923}">
  <ds:schemaRefs>
    <ds:schemaRef ds:uri="http://schemas.microsoft.com/sharepoint/v3/contenttype/forms"/>
  </ds:schemaRefs>
</ds:datastoreItem>
</file>

<file path=customXml/itemProps2.xml><?xml version="1.0" encoding="utf-8"?>
<ds:datastoreItem xmlns:ds="http://schemas.openxmlformats.org/officeDocument/2006/customXml" ds:itemID="{75221789-BCA5-4A13-AA4D-381144116B42}">
  <ds:schemaRefs>
    <ds:schemaRef ds:uri="http://schemas.openxmlformats.org/officeDocument/2006/bibliography"/>
  </ds:schemaRefs>
</ds:datastoreItem>
</file>

<file path=customXml/itemProps3.xml><?xml version="1.0" encoding="utf-8"?>
<ds:datastoreItem xmlns:ds="http://schemas.openxmlformats.org/officeDocument/2006/customXml" ds:itemID="{14E19B37-448A-4262-8F52-E69973EE8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91392b-4aab-4a5a-8abc-e018e4ed1710"/>
    <ds:schemaRef ds:uri="a948c1a1-7427-4f82-bcc1-3198155826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3C4E5F-EF7F-4EBF-974F-0DFE5C48456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899</Words>
  <Characters>5125</Characters>
  <Application>Microsoft Office Word</Application>
  <DocSecurity>0</DocSecurity>
  <Lines>42</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Ozan BAKIS</dc:creator>
  <cp:lastModifiedBy>Merve AKGUL CEYLAN</cp:lastModifiedBy>
  <cp:revision>9</cp:revision>
  <cp:lastPrinted>2025-06-04T21:46:00Z</cp:lastPrinted>
  <dcterms:created xsi:type="dcterms:W3CDTF">2026-09-05T08:06:00Z</dcterms:created>
  <dcterms:modified xsi:type="dcterms:W3CDTF">2026-09-07T07:46:00Z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0x010100192CDA151078BE4DB52CE2A0BF05C16B</vt:lpwstr>
  </property>
  <property fmtid="{D5CDD505-2E9C-101B-9397-08002B2CF9AE}" pid="3" name="GrammarlyDocumentId">
    <vt:lpwstr>05ff900d17ec4dc20a9e3178f868bd795b7c805421972546187020e574589791</vt:lpwstr>
  </property>
</Properties>
</file>