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0FA68" w14:textId="77777777" w:rsidR="00322E2B" w:rsidRDefault="00000000">
      <w:pPr>
        <w:rPr>
          <w:rFonts w:ascii="Arial" w:eastAsia="Arial" w:hAnsi="Arial" w:cs="Arial"/>
          <w:sz w:val="20"/>
          <w:szCs w:val="20"/>
        </w:rPr>
      </w:pPr>
      <w:r>
        <w:rPr>
          <w:noProof/>
        </w:rPr>
        <w:drawing>
          <wp:anchor distT="0" distB="0" distL="0" distR="0" simplePos="0" relativeHeight="251658240" behindDoc="1" locked="0" layoutInCell="1" hidden="0" allowOverlap="1" wp14:anchorId="3BCE0B21" wp14:editId="6A8DD504">
            <wp:simplePos x="0" y="0"/>
            <wp:positionH relativeFrom="column">
              <wp:posOffset>-742949</wp:posOffset>
            </wp:positionH>
            <wp:positionV relativeFrom="paragraph">
              <wp:posOffset>-737869</wp:posOffset>
            </wp:positionV>
            <wp:extent cx="7315200" cy="1330325"/>
            <wp:effectExtent l="0" t="0" r="0" b="0"/>
            <wp:wrapNone/>
            <wp:docPr id="3" name="image4.jpg" descr=":banner(TUR).jpg"/>
            <wp:cNvGraphicFramePr/>
            <a:graphic xmlns:a="http://schemas.openxmlformats.org/drawingml/2006/main">
              <a:graphicData uri="http://schemas.openxmlformats.org/drawingml/2006/picture">
                <pic:pic xmlns:pic="http://schemas.openxmlformats.org/drawingml/2006/picture">
                  <pic:nvPicPr>
                    <pic:cNvPr id="0" name="image4.jpg" descr=":banner(TUR).jpg"/>
                    <pic:cNvPicPr preferRelativeResize="0"/>
                  </pic:nvPicPr>
                  <pic:blipFill>
                    <a:blip r:embed="rId8"/>
                    <a:srcRect/>
                    <a:stretch>
                      <a:fillRect/>
                    </a:stretch>
                  </pic:blipFill>
                  <pic:spPr>
                    <a:xfrm>
                      <a:off x="0" y="0"/>
                      <a:ext cx="7315200" cy="1330325"/>
                    </a:xfrm>
                    <a:prstGeom prst="rect">
                      <a:avLst/>
                    </a:prstGeom>
                    <a:ln/>
                  </pic:spPr>
                </pic:pic>
              </a:graphicData>
            </a:graphic>
          </wp:anchor>
        </w:drawing>
      </w:r>
      <w:r>
        <w:rPr>
          <w:noProof/>
        </w:rPr>
        <mc:AlternateContent>
          <mc:Choice Requires="wps">
            <w:drawing>
              <wp:anchor distT="0" distB="0" distL="114935" distR="114935" simplePos="0" relativeHeight="251659264" behindDoc="0" locked="0" layoutInCell="1" hidden="0" allowOverlap="1" wp14:anchorId="5E31E719" wp14:editId="3B7B9275">
                <wp:simplePos x="0" y="0"/>
                <wp:positionH relativeFrom="column">
                  <wp:posOffset>1808798</wp:posOffset>
                </wp:positionH>
                <wp:positionV relativeFrom="paragraph">
                  <wp:posOffset>-389571</wp:posOffset>
                </wp:positionV>
                <wp:extent cx="3973195" cy="578485"/>
                <wp:effectExtent l="0" t="0" r="0" b="0"/>
                <wp:wrapNone/>
                <wp:docPr id="2" name="Rectangle 2"/>
                <wp:cNvGraphicFramePr/>
                <a:graphic xmlns:a="http://schemas.openxmlformats.org/drawingml/2006/main">
                  <a:graphicData uri="http://schemas.microsoft.com/office/word/2010/wordprocessingShape">
                    <wps:wsp>
                      <wps:cNvSpPr/>
                      <wps:spPr>
                        <a:xfrm>
                          <a:off x="3364165" y="3495520"/>
                          <a:ext cx="3963670" cy="568960"/>
                        </a:xfrm>
                        <a:prstGeom prst="rect">
                          <a:avLst/>
                        </a:prstGeom>
                        <a:solidFill>
                          <a:srgbClr val="FFFFFF">
                            <a:alpha val="0"/>
                          </a:srgbClr>
                        </a:solidFill>
                        <a:ln>
                          <a:noFill/>
                        </a:ln>
                      </wps:spPr>
                      <wps:txbx>
                        <w:txbxContent>
                          <w:p w14:paraId="5C2DD784" w14:textId="796B220B" w:rsidR="00322E2B" w:rsidRDefault="00000000">
                            <w:pPr>
                              <w:textDirection w:val="btLr"/>
                            </w:pPr>
                            <w:r>
                              <w:rPr>
                                <w:rFonts w:ascii="Arial" w:eastAsia="Arial" w:hAnsi="Arial" w:cs="Arial"/>
                                <w:b/>
                                <w:color w:val="000000"/>
                                <w:sz w:val="52"/>
                              </w:rPr>
                              <w:t xml:space="preserve"> </w:t>
                            </w:r>
                            <w:r>
                              <w:rPr>
                                <w:rFonts w:ascii="Palatino Linotype" w:eastAsia="Palatino Linotype" w:hAnsi="Palatino Linotype" w:cs="Palatino Linotype"/>
                                <w:b/>
                                <w:color w:val="000000"/>
                                <w:sz w:val="52"/>
                              </w:rPr>
                              <w:t>Research brief 2</w:t>
                            </w:r>
                            <w:r w:rsidR="005322F0">
                              <w:rPr>
                                <w:rFonts w:ascii="Palatino Linotype" w:eastAsia="Palatino Linotype" w:hAnsi="Palatino Linotype" w:cs="Palatino Linotype"/>
                                <w:b/>
                                <w:color w:val="000000"/>
                                <w:sz w:val="52"/>
                              </w:rPr>
                              <w:t>6</w:t>
                            </w:r>
                            <w:r>
                              <w:rPr>
                                <w:rFonts w:ascii="Palatino Linotype" w:eastAsia="Palatino Linotype" w:hAnsi="Palatino Linotype" w:cs="Palatino Linotype"/>
                                <w:b/>
                                <w:color w:val="000000"/>
                                <w:sz w:val="52"/>
                              </w:rPr>
                              <w:t>/2</w:t>
                            </w:r>
                            <w:r w:rsidR="005322F0">
                              <w:rPr>
                                <w:rFonts w:ascii="Palatino Linotype" w:eastAsia="Palatino Linotype" w:hAnsi="Palatino Linotype" w:cs="Palatino Linotype"/>
                                <w:b/>
                                <w:color w:val="000000"/>
                                <w:sz w:val="52"/>
                              </w:rPr>
                              <w:t>8</w:t>
                            </w:r>
                            <w:r w:rsidR="00EB4E0B">
                              <w:rPr>
                                <w:rFonts w:ascii="Palatino Linotype" w:eastAsia="Palatino Linotype" w:hAnsi="Palatino Linotype" w:cs="Palatino Linotype"/>
                                <w:b/>
                                <w:color w:val="000000"/>
                                <w:sz w:val="52"/>
                              </w:rPr>
                              <w:t>4</w:t>
                            </w:r>
                          </w:p>
                          <w:p w14:paraId="65B1CB40" w14:textId="77777777" w:rsidR="00322E2B" w:rsidRDefault="00322E2B">
                            <w:pPr>
                              <w:spacing w:before="240" w:after="60"/>
                              <w:ind w:left="575"/>
                              <w:textDirection w:val="btLr"/>
                            </w:pPr>
                          </w:p>
                        </w:txbxContent>
                      </wps:txbx>
                      <wps:bodyPr spcFirstLastPara="1" wrap="square" lIns="0" tIns="0" rIns="0" bIns="0" anchor="t" anchorCtr="0">
                        <a:noAutofit/>
                      </wps:bodyPr>
                    </wps:wsp>
                  </a:graphicData>
                </a:graphic>
              </wp:anchor>
            </w:drawing>
          </mc:Choice>
          <mc:Fallback>
            <w:pict>
              <v:rect w14:anchorId="5E31E719" id="Rectangle 2" o:spid="_x0000_s1026" style="position:absolute;margin-left:142.45pt;margin-top:-30.65pt;width:312.85pt;height:45.5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" stroked="f">
                <v:fill opacity="0"/>
                <v:textbox inset="0,0,0,0">
                  <w:txbxContent>
                    <w:p w14:paraId="5C2DD784" w14:textId="796B220B" w:rsidR="00322E2B" w:rsidRDefault="00000000">
                      <w:pPr>
                        <w:textDirection w:val="btLr"/>
                      </w:pPr>
                      <w:r>
                        <w:rPr>
                          <w:rFonts w:ascii="Arial" w:eastAsia="Arial" w:hAnsi="Arial" w:cs="Arial"/>
                          <w:b/>
                          <w:color w:val="000000"/>
                          <w:sz w:val="52"/>
                        </w:rPr>
                        <w:t xml:space="preserve"> </w:t>
                      </w:r>
                      <w:r>
                        <w:rPr>
                          <w:rFonts w:ascii="Palatino Linotype" w:eastAsia="Palatino Linotype" w:hAnsi="Palatino Linotype" w:cs="Palatino Linotype"/>
                          <w:b/>
                          <w:color w:val="000000"/>
                          <w:sz w:val="52"/>
                        </w:rPr>
                        <w:t>Research brief 2</w:t>
                      </w:r>
                      <w:r w:rsidR="005322F0">
                        <w:rPr>
                          <w:rFonts w:ascii="Palatino Linotype" w:eastAsia="Palatino Linotype" w:hAnsi="Palatino Linotype" w:cs="Palatino Linotype"/>
                          <w:b/>
                          <w:color w:val="000000"/>
                          <w:sz w:val="52"/>
                        </w:rPr>
                        <w:t>6</w:t>
                      </w:r>
                      <w:r>
                        <w:rPr>
                          <w:rFonts w:ascii="Palatino Linotype" w:eastAsia="Palatino Linotype" w:hAnsi="Palatino Linotype" w:cs="Palatino Linotype"/>
                          <w:b/>
                          <w:color w:val="000000"/>
                          <w:sz w:val="52"/>
                        </w:rPr>
                        <w:t>/2</w:t>
                      </w:r>
                      <w:r w:rsidR="005322F0">
                        <w:rPr>
                          <w:rFonts w:ascii="Palatino Linotype" w:eastAsia="Palatino Linotype" w:hAnsi="Palatino Linotype" w:cs="Palatino Linotype"/>
                          <w:b/>
                          <w:color w:val="000000"/>
                          <w:sz w:val="52"/>
                        </w:rPr>
                        <w:t>8</w:t>
                      </w:r>
                      <w:r w:rsidR="00EB4E0B">
                        <w:rPr>
                          <w:rFonts w:ascii="Palatino Linotype" w:eastAsia="Palatino Linotype" w:hAnsi="Palatino Linotype" w:cs="Palatino Linotype"/>
                          <w:b/>
                          <w:color w:val="000000"/>
                          <w:sz w:val="52"/>
                        </w:rPr>
                        <w:t>4</w:t>
                      </w:r>
                    </w:p>
                    <w:p w14:paraId="65B1CB40" w14:textId="77777777" w:rsidR="00322E2B" w:rsidRDefault="00322E2B">
                      <w:pPr>
                        <w:spacing w:before="240" w:after="60"/>
                        <w:ind w:left="575"/>
                        <w:textDirection w:val="btLr"/>
                      </w:pPr>
                    </w:p>
                  </w:txbxContent>
                </v:textbox>
              </v:rect>
            </w:pict>
          </mc:Fallback>
        </mc:AlternateContent>
      </w:r>
    </w:p>
    <w:p w14:paraId="19C34837" w14:textId="77777777" w:rsidR="00322E2B" w:rsidRDefault="00000000">
      <w:pPr>
        <w:rPr>
          <w:rFonts w:ascii="Arial" w:eastAsia="Arial" w:hAnsi="Arial" w:cs="Arial"/>
          <w:sz w:val="20"/>
          <w:szCs w:val="20"/>
        </w:rPr>
      </w:pPr>
      <w:r>
        <w:rPr>
          <w:noProof/>
        </w:rPr>
        <mc:AlternateContent>
          <mc:Choice Requires="wps">
            <w:drawing>
              <wp:anchor distT="0" distB="0" distL="114935" distR="114935" simplePos="0" relativeHeight="251660288" behindDoc="0" locked="0" layoutInCell="1" hidden="0" allowOverlap="1" wp14:anchorId="0EAE6D52" wp14:editId="54A49BF5">
                <wp:simplePos x="0" y="0"/>
                <wp:positionH relativeFrom="column">
                  <wp:posOffset>5214938</wp:posOffset>
                </wp:positionH>
                <wp:positionV relativeFrom="paragraph">
                  <wp:posOffset>77788</wp:posOffset>
                </wp:positionV>
                <wp:extent cx="1281430" cy="375285"/>
                <wp:effectExtent l="0" t="0" r="0" b="0"/>
                <wp:wrapNone/>
                <wp:docPr id="1" name="Rectangle 1"/>
                <wp:cNvGraphicFramePr/>
                <a:graphic xmlns:a="http://schemas.openxmlformats.org/drawingml/2006/main">
                  <a:graphicData uri="http://schemas.microsoft.com/office/word/2010/wordprocessingShape">
                    <wps:wsp>
                      <wps:cNvSpPr/>
                      <wps:spPr>
                        <a:xfrm>
                          <a:off x="4710048" y="3597120"/>
                          <a:ext cx="1271905" cy="365760"/>
                        </a:xfrm>
                        <a:prstGeom prst="rect">
                          <a:avLst/>
                        </a:prstGeom>
                        <a:solidFill>
                          <a:srgbClr val="FFFFFF">
                            <a:alpha val="0"/>
                          </a:srgbClr>
                        </a:solidFill>
                        <a:ln>
                          <a:noFill/>
                        </a:ln>
                      </wps:spPr>
                      <wps:txbx>
                        <w:txbxContent>
                          <w:p w14:paraId="5C4E7C28" w14:textId="3138DA8A" w:rsidR="00322E2B" w:rsidRDefault="00000000">
                            <w:pPr>
                              <w:spacing w:before="240" w:after="60"/>
                              <w:textDirection w:val="btLr"/>
                            </w:pPr>
                            <w:r>
                              <w:rPr>
                                <w:rFonts w:ascii="Arial" w:eastAsia="Arial" w:hAnsi="Arial" w:cs="Arial"/>
                                <w:b/>
                                <w:color w:val="FFFFFF"/>
                                <w:sz w:val="22"/>
                              </w:rPr>
                              <w:t xml:space="preserve">  </w:t>
                            </w:r>
                            <w:r w:rsidR="00A925EB">
                              <w:rPr>
                                <w:rFonts w:ascii="Palatino Linotype" w:eastAsia="Palatino Linotype" w:hAnsi="Palatino Linotype" w:cs="Palatino Linotype"/>
                                <w:b/>
                                <w:color w:val="FFFFFF"/>
                                <w:sz w:val="22"/>
                              </w:rPr>
                              <w:t>1</w:t>
                            </w:r>
                            <w:r w:rsidR="0067101B">
                              <w:rPr>
                                <w:rFonts w:ascii="Palatino Linotype" w:eastAsia="Palatino Linotype" w:hAnsi="Palatino Linotype" w:cs="Palatino Linotype"/>
                                <w:b/>
                                <w:color w:val="FFFFFF"/>
                                <w:sz w:val="22"/>
                              </w:rPr>
                              <w:t>9</w:t>
                            </w:r>
                            <w:r>
                              <w:rPr>
                                <w:rFonts w:ascii="Palatino Linotype" w:eastAsia="Palatino Linotype" w:hAnsi="Palatino Linotype" w:cs="Palatino Linotype"/>
                                <w:b/>
                                <w:color w:val="FFFFFF"/>
                                <w:sz w:val="22"/>
                              </w:rPr>
                              <w:t xml:space="preserve"> August 2026</w:t>
                            </w:r>
                          </w:p>
                          <w:p w14:paraId="49FDFAD9" w14:textId="77777777" w:rsidR="00322E2B" w:rsidRDefault="00322E2B">
                            <w:pPr>
                              <w:textDirection w:val="btLr"/>
                            </w:pPr>
                          </w:p>
                        </w:txbxContent>
                      </wps:txbx>
                      <wps:bodyPr spcFirstLastPara="1" wrap="square" lIns="0" tIns="0" rIns="0" bIns="0" anchor="t" anchorCtr="0">
                        <a:noAutofit/>
                      </wps:bodyPr>
                    </wps:wsp>
                  </a:graphicData>
                </a:graphic>
              </wp:anchor>
            </w:drawing>
          </mc:Choice>
          <mc:Fallback>
            <w:pict>
              <v:rect w14:anchorId="0EAE6D52" id="Rectangle 1" o:spid="_x0000_s1027" style="position:absolute;margin-left:410.65pt;margin-top:6.15pt;width:100.9pt;height:29.5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" stroked="f">
                <v:fill opacity="0"/>
                <v:textbox inset="0,0,0,0">
                  <w:txbxContent>
                    <w:p w14:paraId="5C4E7C28" w14:textId="3138DA8A" w:rsidR="00322E2B" w:rsidRDefault="00000000">
                      <w:pPr>
                        <w:spacing w:before="240" w:after="60"/>
                        <w:textDirection w:val="btLr"/>
                      </w:pPr>
                      <w:r>
                        <w:rPr>
                          <w:rFonts w:ascii="Arial" w:eastAsia="Arial" w:hAnsi="Arial" w:cs="Arial"/>
                          <w:b/>
                          <w:color w:val="FFFFFF"/>
                          <w:sz w:val="22"/>
                        </w:rPr>
                        <w:t xml:space="preserve">  </w:t>
                      </w:r>
                      <w:r w:rsidR="00A925EB">
                        <w:rPr>
                          <w:rFonts w:ascii="Palatino Linotype" w:eastAsia="Palatino Linotype" w:hAnsi="Palatino Linotype" w:cs="Palatino Linotype"/>
                          <w:b/>
                          <w:color w:val="FFFFFF"/>
                          <w:sz w:val="22"/>
                        </w:rPr>
                        <w:t>1</w:t>
                      </w:r>
                      <w:r w:rsidR="0067101B">
                        <w:rPr>
                          <w:rFonts w:ascii="Palatino Linotype" w:eastAsia="Palatino Linotype" w:hAnsi="Palatino Linotype" w:cs="Palatino Linotype"/>
                          <w:b/>
                          <w:color w:val="FFFFFF"/>
                          <w:sz w:val="22"/>
                        </w:rPr>
                        <w:t>9</w:t>
                      </w:r>
                      <w:r>
                        <w:rPr>
                          <w:rFonts w:ascii="Palatino Linotype" w:eastAsia="Palatino Linotype" w:hAnsi="Palatino Linotype" w:cs="Palatino Linotype"/>
                          <w:b/>
                          <w:color w:val="FFFFFF"/>
                          <w:sz w:val="22"/>
                        </w:rPr>
                        <w:t xml:space="preserve"> August 2026</w:t>
                      </w:r>
                    </w:p>
                    <w:p w14:paraId="49FDFAD9" w14:textId="77777777" w:rsidR="00322E2B" w:rsidRDefault="00322E2B">
                      <w:pPr>
                        <w:textDirection w:val="btLr"/>
                      </w:pPr>
                    </w:p>
                  </w:txbxContent>
                </v:textbox>
              </v:rect>
            </w:pict>
          </mc:Fallback>
        </mc:AlternateContent>
      </w:r>
    </w:p>
    <w:p w14:paraId="73B6370D" w14:textId="77777777" w:rsidR="00322E2B" w:rsidRDefault="00322E2B">
      <w:pPr>
        <w:rPr>
          <w:rFonts w:ascii="Arial" w:eastAsia="Arial" w:hAnsi="Arial" w:cs="Arial"/>
          <w:sz w:val="20"/>
          <w:szCs w:val="20"/>
        </w:rPr>
      </w:pPr>
    </w:p>
    <w:p w14:paraId="306ADC18" w14:textId="77777777" w:rsidR="00322E2B" w:rsidRDefault="00322E2B">
      <w:pPr>
        <w:rPr>
          <w:rFonts w:ascii="Arial" w:eastAsia="Arial" w:hAnsi="Arial" w:cs="Arial"/>
          <w:sz w:val="20"/>
          <w:szCs w:val="20"/>
        </w:rPr>
      </w:pPr>
    </w:p>
    <w:p w14:paraId="0E8A4DA1" w14:textId="77777777" w:rsidR="00322E2B" w:rsidRDefault="00322E2B">
      <w:pPr>
        <w:rPr>
          <w:rFonts w:ascii="Palatino Linotype" w:eastAsia="Palatino Linotype" w:hAnsi="Palatino Linotype" w:cs="Palatino Linotype"/>
          <w:b/>
          <w:bCs/>
          <w:sz w:val="20"/>
          <w:szCs w:val="20"/>
        </w:rPr>
      </w:pPr>
    </w:p>
    <w:p w14:paraId="6AD0C2D9" w14:textId="576762C5" w:rsidR="00322E2B" w:rsidRPr="000839A9" w:rsidRDefault="00000000" w:rsidP="00167F35">
      <w:pPr>
        <w:jc w:val="center"/>
        <w:rPr>
          <w:rFonts w:asciiTheme="majorHAnsi" w:eastAsia="Palatino Linotype" w:hAnsiTheme="majorHAnsi" w:cstheme="majorHAnsi"/>
          <w:b/>
          <w:bCs/>
          <w:sz w:val="28"/>
          <w:szCs w:val="28"/>
        </w:rPr>
      </w:pPr>
      <w:r w:rsidRPr="000839A9">
        <w:rPr>
          <w:rFonts w:asciiTheme="majorHAnsi" w:eastAsia="Palatino Linotype" w:hAnsiTheme="majorHAnsi" w:cstheme="majorHAnsi"/>
          <w:b/>
          <w:bCs/>
          <w:sz w:val="28"/>
          <w:szCs w:val="28"/>
        </w:rPr>
        <w:t xml:space="preserve">A tale of two methodologies: </w:t>
      </w:r>
      <w:r w:rsidR="00167F35" w:rsidRPr="000839A9">
        <w:rPr>
          <w:rFonts w:asciiTheme="majorHAnsi" w:eastAsia="Palatino Linotype" w:hAnsiTheme="majorHAnsi" w:cstheme="majorHAnsi"/>
          <w:b/>
          <w:bCs/>
          <w:sz w:val="28"/>
          <w:szCs w:val="28"/>
        </w:rPr>
        <w:t xml:space="preserve">The impact </w:t>
      </w:r>
      <w:r w:rsidRPr="000839A9">
        <w:rPr>
          <w:rFonts w:asciiTheme="majorHAnsi" w:eastAsia="Palatino Linotype" w:hAnsiTheme="majorHAnsi" w:cstheme="majorHAnsi"/>
          <w:b/>
          <w:bCs/>
          <w:sz w:val="28"/>
          <w:szCs w:val="28"/>
        </w:rPr>
        <w:t>of inflation o</w:t>
      </w:r>
      <w:r w:rsidR="00120231">
        <w:rPr>
          <w:rFonts w:asciiTheme="majorHAnsi" w:eastAsia="Palatino Linotype" w:hAnsiTheme="majorHAnsi" w:cstheme="majorHAnsi"/>
          <w:b/>
          <w:bCs/>
          <w:sz w:val="28"/>
          <w:szCs w:val="28"/>
        </w:rPr>
        <w:t>n</w:t>
      </w:r>
      <w:r w:rsidRPr="000839A9">
        <w:rPr>
          <w:rFonts w:asciiTheme="majorHAnsi" w:eastAsia="Palatino Linotype" w:hAnsiTheme="majorHAnsi" w:cstheme="majorHAnsi"/>
          <w:b/>
          <w:bCs/>
          <w:sz w:val="28"/>
          <w:szCs w:val="28"/>
        </w:rPr>
        <w:t xml:space="preserve"> wages in Türkiye </w:t>
      </w:r>
      <w:r w:rsidRPr="000839A9">
        <w:rPr>
          <w:rFonts w:asciiTheme="majorHAnsi" w:eastAsia="Palatino Linotype" w:hAnsiTheme="majorHAnsi" w:cstheme="majorHAnsi"/>
          <w:b/>
          <w:bCs/>
          <w:sz w:val="28"/>
          <w:szCs w:val="28"/>
          <w:vertAlign w:val="superscript"/>
        </w:rPr>
        <w:t>+</w:t>
      </w:r>
    </w:p>
    <w:p w14:paraId="65CFE2DC" w14:textId="77777777" w:rsidR="00322E2B" w:rsidRPr="000839A9" w:rsidRDefault="00322E2B">
      <w:pPr>
        <w:jc w:val="center"/>
        <w:rPr>
          <w:rFonts w:asciiTheme="majorHAnsi" w:eastAsia="Arial" w:hAnsiTheme="majorHAnsi" w:cstheme="majorHAnsi"/>
          <w:sz w:val="20"/>
          <w:szCs w:val="20"/>
        </w:rPr>
      </w:pPr>
    </w:p>
    <w:p w14:paraId="733EFEA4" w14:textId="77777777" w:rsidR="00322E2B" w:rsidRPr="000839A9" w:rsidRDefault="00000000">
      <w:pPr>
        <w:jc w:val="center"/>
        <w:rPr>
          <w:rFonts w:asciiTheme="majorHAnsi" w:eastAsia="Palatino Linotype" w:hAnsiTheme="majorHAnsi" w:cstheme="majorHAnsi"/>
          <w:vertAlign w:val="superscript"/>
        </w:rPr>
      </w:pPr>
      <w:r w:rsidRPr="000839A9">
        <w:rPr>
          <w:rFonts w:asciiTheme="majorHAnsi" w:eastAsia="Palatino Linotype" w:hAnsiTheme="majorHAnsi" w:cstheme="majorHAnsi"/>
        </w:rPr>
        <w:t>Luis Pinedo Caro</w:t>
      </w:r>
      <w:r w:rsidRPr="000839A9">
        <w:rPr>
          <w:rFonts w:asciiTheme="majorHAnsi" w:eastAsia="Palatino Linotype" w:hAnsiTheme="majorHAnsi" w:cstheme="majorHAnsi"/>
          <w:vertAlign w:val="superscript"/>
        </w:rPr>
        <w:footnoteReference w:id="1"/>
      </w:r>
      <w:r w:rsidRPr="000839A9">
        <w:rPr>
          <w:rFonts w:asciiTheme="majorHAnsi" w:eastAsia="Palatino Linotype" w:hAnsiTheme="majorHAnsi" w:cstheme="majorHAnsi"/>
          <w:vertAlign w:val="superscript"/>
        </w:rPr>
        <w:t>*</w:t>
      </w:r>
    </w:p>
    <w:p w14:paraId="52BBC8EC" w14:textId="77777777" w:rsidR="00322E2B" w:rsidRPr="000839A9" w:rsidRDefault="00322E2B">
      <w:pPr>
        <w:jc w:val="center"/>
        <w:rPr>
          <w:rFonts w:asciiTheme="majorHAnsi" w:eastAsia="Palatino Linotype" w:hAnsiTheme="majorHAnsi" w:cstheme="majorHAnsi"/>
          <w:b/>
          <w:bCs/>
        </w:rPr>
      </w:pPr>
    </w:p>
    <w:p w14:paraId="0917DC94" w14:textId="77777777" w:rsidR="00322E2B" w:rsidRPr="000839A9" w:rsidRDefault="00000000">
      <w:pPr>
        <w:jc w:val="center"/>
        <w:rPr>
          <w:rFonts w:asciiTheme="majorHAnsi" w:eastAsia="Palatino Linotype" w:hAnsiTheme="majorHAnsi" w:cstheme="majorHAnsi"/>
          <w:b/>
          <w:bCs/>
        </w:rPr>
      </w:pPr>
      <w:r w:rsidRPr="000839A9">
        <w:rPr>
          <w:rFonts w:asciiTheme="majorHAnsi" w:eastAsia="Palatino Linotype" w:hAnsiTheme="majorHAnsi" w:cstheme="majorHAnsi"/>
          <w:b/>
          <w:bCs/>
        </w:rPr>
        <w:t>Summary</w:t>
      </w:r>
    </w:p>
    <w:p w14:paraId="7375E13F" w14:textId="77777777" w:rsidR="00322E2B" w:rsidRPr="000839A9" w:rsidRDefault="00322E2B">
      <w:pPr>
        <w:jc w:val="center"/>
        <w:rPr>
          <w:rFonts w:asciiTheme="majorHAnsi" w:eastAsia="Arial" w:hAnsiTheme="majorHAnsi" w:cstheme="majorHAnsi"/>
          <w:b/>
          <w:bCs/>
          <w:sz w:val="20"/>
          <w:szCs w:val="20"/>
        </w:rPr>
      </w:pPr>
    </w:p>
    <w:p w14:paraId="0C4F12AB" w14:textId="77777777" w:rsidR="00322E2B" w:rsidRPr="000839A9" w:rsidRDefault="00000000">
      <w:pPr>
        <w:spacing w:before="202" w:line="360" w:lineRule="auto"/>
        <w:ind w:right="754"/>
        <w:jc w:val="both"/>
        <w:rPr>
          <w:rFonts w:asciiTheme="majorHAnsi" w:eastAsia="Palatino Linotype" w:hAnsiTheme="majorHAnsi" w:cstheme="majorHAnsi"/>
          <w:sz w:val="22"/>
          <w:szCs w:val="22"/>
        </w:rPr>
      </w:pPr>
      <w:r w:rsidRPr="000839A9">
        <w:rPr>
          <w:rFonts w:asciiTheme="majorHAnsi" w:eastAsia="Palatino Linotype" w:hAnsiTheme="majorHAnsi" w:cstheme="majorHAnsi"/>
          <w:sz w:val="22"/>
          <w:szCs w:val="22"/>
        </w:rPr>
        <w:t>Controversy has surrounded TÜİK’s consumer price index since 2019, with a group of independent researchers creating their own methodology (ENAG) and entering into a cycle of legal battles and public complaints together with Türkiye’s main opposition party and other stakeholders that is still ongoing in 2026. This brief examines the impact of these competing methodologies on wage evolution in the country. It finds that TÜİK’s and ENAG’s deflated series produce sharply divergent pictures of real wage developments, and introduces a third, independent approach — converting wages to euros and deflating them using the Euro Area CPI — whose results suggest that the true evolution of purchasing power likely lies between the two; there was real wage erosion for a while, but purchasing power was recovered after the return to an orthodox monetary policy since 2023.</w:t>
      </w:r>
    </w:p>
    <w:p w14:paraId="508BE96F" w14:textId="77777777" w:rsidR="00322E2B" w:rsidRPr="000839A9" w:rsidRDefault="00000000">
      <w:pPr>
        <w:pStyle w:val="Heading2"/>
        <w:spacing w:line="360" w:lineRule="auto"/>
        <w:ind w:firstLine="340"/>
        <w:rPr>
          <w:rFonts w:asciiTheme="majorHAnsi" w:eastAsia="Palatino Linotype" w:hAnsiTheme="majorHAnsi" w:cstheme="majorHAnsi"/>
        </w:rPr>
      </w:pPr>
      <w:r w:rsidRPr="000839A9">
        <w:rPr>
          <w:rFonts w:asciiTheme="majorHAnsi" w:eastAsia="Palatino Linotype" w:hAnsiTheme="majorHAnsi" w:cstheme="majorHAnsi"/>
        </w:rPr>
        <w:t>Introduction</w:t>
      </w:r>
    </w:p>
    <w:p w14:paraId="228733D3" w14:textId="109980D2" w:rsidR="00322E2B" w:rsidRPr="000839A9" w:rsidRDefault="00000000">
      <w:pPr>
        <w:widowControl w:val="0"/>
        <w:pBdr>
          <w:top w:val="nil"/>
          <w:left w:val="nil"/>
          <w:bottom w:val="nil"/>
          <w:right w:val="nil"/>
          <w:between w:val="nil"/>
        </w:pBdr>
        <w:spacing w:before="241" w:line="352" w:lineRule="auto"/>
        <w:ind w:right="256"/>
        <w:jc w:val="both"/>
        <w:rPr>
          <w:rFonts w:asciiTheme="majorHAnsi" w:eastAsia="Palatino Linotype" w:hAnsiTheme="majorHAnsi" w:cstheme="majorHAnsi"/>
          <w:color w:val="000000"/>
        </w:rPr>
      </w:pPr>
      <w:r w:rsidRPr="000839A9">
        <w:rPr>
          <w:rFonts w:asciiTheme="majorHAnsi" w:eastAsia="Palatino Linotype" w:hAnsiTheme="majorHAnsi" w:cstheme="majorHAnsi"/>
          <w:color w:val="000000"/>
        </w:rPr>
        <w:t>Controversy has surrounded the consumer price index published by the Turkish Statistical Institute (TÜİK) since at least June 2019, when Türkiye's main opposition party filed a parliamentary motion</w:t>
      </w:r>
      <w:r w:rsidRPr="000839A9">
        <w:rPr>
          <w:rFonts w:asciiTheme="majorHAnsi" w:eastAsia="Palatino Linotype" w:hAnsiTheme="majorHAnsi" w:cstheme="majorHAnsi"/>
          <w:color w:val="000000"/>
          <w:vertAlign w:val="superscript"/>
        </w:rPr>
        <w:footnoteReference w:id="2"/>
      </w:r>
      <w:r w:rsidRPr="000839A9">
        <w:rPr>
          <w:rFonts w:asciiTheme="majorHAnsi" w:eastAsia="Palatino Linotype" w:hAnsiTheme="majorHAnsi" w:cstheme="majorHAnsi"/>
          <w:color w:val="000000"/>
        </w:rPr>
        <w:t xml:space="preserve"> alleging that unprecedented methodological adjustments had damaged the credibility of official inflation figures. What began as a political accusation without empirical counterpart changed qualitatively in September 2020, when a group of Istanbul-based academics founded the Inflation Research Group (ENAG) and began publishing an independent, transparent price index alongside the official one. The gap between the two measures widened sharply over the following years — by March 2022, TÜİK reported annual inflation of 61 percent against ENAG's estimate of 143 percent — and the dispute escalated </w:t>
      </w:r>
      <w:r w:rsidRPr="000839A9">
        <w:rPr>
          <w:rFonts w:asciiTheme="majorHAnsi" w:eastAsia="Palatino Linotype" w:hAnsiTheme="majorHAnsi" w:cstheme="majorHAnsi"/>
          <w:color w:val="000000"/>
        </w:rPr>
        <w:lastRenderedPageBreak/>
        <w:t>from statistical disagreement into open legal confrontation: TÜİK filed a criminal complaint</w:t>
      </w:r>
      <w:r w:rsidRPr="000839A9">
        <w:rPr>
          <w:rFonts w:asciiTheme="majorHAnsi" w:eastAsia="Palatino Linotype" w:hAnsiTheme="majorHAnsi" w:cstheme="majorHAnsi"/>
          <w:color w:val="000000"/>
          <w:vertAlign w:val="superscript"/>
        </w:rPr>
        <w:footnoteReference w:id="3"/>
      </w:r>
      <w:r w:rsidRPr="000839A9">
        <w:rPr>
          <w:rFonts w:asciiTheme="majorHAnsi" w:eastAsia="Palatino Linotype" w:hAnsiTheme="majorHAnsi" w:cstheme="majorHAnsi"/>
          <w:color w:val="000000"/>
        </w:rPr>
        <w:t xml:space="preserve"> against ENAG in May 2021 for "defaming" the institution, and the ruling party drafted legislation in 2022 that would have imposed prison sentences of up to three years</w:t>
      </w:r>
      <w:r w:rsidRPr="000839A9">
        <w:rPr>
          <w:rFonts w:asciiTheme="majorHAnsi" w:eastAsia="Palatino Linotype" w:hAnsiTheme="majorHAnsi" w:cstheme="majorHAnsi"/>
          <w:color w:val="000000"/>
          <w:vertAlign w:val="superscript"/>
        </w:rPr>
        <w:footnoteReference w:id="4"/>
      </w:r>
      <w:r w:rsidRPr="000839A9">
        <w:rPr>
          <w:rFonts w:asciiTheme="majorHAnsi" w:eastAsia="Palatino Linotype" w:hAnsiTheme="majorHAnsi" w:cstheme="majorHAnsi"/>
          <w:color w:val="000000"/>
        </w:rPr>
        <w:t xml:space="preserve"> on researchers publishing unapproved economic indicators. The controversy has continued since, including a pending 2024 lawsuit</w:t>
      </w:r>
      <w:r w:rsidRPr="000839A9">
        <w:rPr>
          <w:rFonts w:asciiTheme="majorHAnsi" w:eastAsia="Palatino Linotype" w:hAnsiTheme="majorHAnsi" w:cstheme="majorHAnsi"/>
          <w:color w:val="000000"/>
          <w:vertAlign w:val="superscript"/>
        </w:rPr>
        <w:footnoteReference w:id="5"/>
      </w:r>
      <w:r w:rsidRPr="000839A9">
        <w:rPr>
          <w:rFonts w:asciiTheme="majorHAnsi" w:eastAsia="Palatino Linotype" w:hAnsiTheme="majorHAnsi" w:cstheme="majorHAnsi"/>
          <w:color w:val="000000"/>
        </w:rPr>
        <w:t xml:space="preserve"> alleging deliberate underreporting of inflation to suppress pension increases, a public admission by Finance Minister Mehmet Şimşek in January 2025</w:t>
      </w:r>
      <w:r w:rsidR="00A20499">
        <w:rPr>
          <w:rStyle w:val="FootnoteReference"/>
          <w:rFonts w:asciiTheme="majorHAnsi" w:eastAsia="Palatino Linotype" w:hAnsiTheme="majorHAnsi" w:cstheme="majorHAnsi"/>
          <w:color w:val="000000"/>
        </w:rPr>
        <w:footnoteReference w:id="6"/>
      </w:r>
      <w:r w:rsidRPr="000839A9">
        <w:rPr>
          <w:rFonts w:asciiTheme="majorHAnsi" w:eastAsia="Palatino Linotype" w:hAnsiTheme="majorHAnsi" w:cstheme="majorHAnsi"/>
          <w:color w:val="000000"/>
        </w:rPr>
        <w:t xml:space="preserve"> that the government had altered basket prices, and a further revision</w:t>
      </w:r>
      <w:r w:rsidRPr="000839A9">
        <w:rPr>
          <w:rFonts w:asciiTheme="majorHAnsi" w:eastAsia="Palatino Linotype" w:hAnsiTheme="majorHAnsi" w:cstheme="majorHAnsi"/>
          <w:color w:val="000000"/>
          <w:vertAlign w:val="superscript"/>
        </w:rPr>
        <w:footnoteReference w:id="7"/>
      </w:r>
      <w:r w:rsidRPr="000839A9">
        <w:rPr>
          <w:rFonts w:asciiTheme="majorHAnsi" w:eastAsia="Palatino Linotype" w:hAnsiTheme="majorHAnsi" w:cstheme="majorHAnsi"/>
          <w:color w:val="000000"/>
        </w:rPr>
        <w:t xml:space="preserve"> of the CPI methodology in January 2026 that reopened the same debate over timing and credibility.</w:t>
      </w:r>
    </w:p>
    <w:p w14:paraId="37DBD9BA" w14:textId="3D397BDC" w:rsidR="00322E2B" w:rsidRPr="000839A9" w:rsidRDefault="00000000">
      <w:pPr>
        <w:widowControl w:val="0"/>
        <w:pBdr>
          <w:top w:val="nil"/>
          <w:left w:val="nil"/>
          <w:bottom w:val="nil"/>
          <w:right w:val="nil"/>
          <w:between w:val="nil"/>
        </w:pBdr>
        <w:spacing w:before="241" w:line="352" w:lineRule="auto"/>
        <w:ind w:right="256"/>
        <w:jc w:val="both"/>
        <w:rPr>
          <w:rFonts w:asciiTheme="majorHAnsi" w:eastAsia="Palatino Linotype" w:hAnsiTheme="majorHAnsi" w:cstheme="majorHAnsi"/>
          <w:color w:val="000000"/>
        </w:rPr>
      </w:pPr>
      <w:r w:rsidRPr="000839A9">
        <w:rPr>
          <w:rFonts w:asciiTheme="majorHAnsi" w:eastAsia="Palatino Linotype" w:hAnsiTheme="majorHAnsi" w:cstheme="majorHAnsi"/>
          <w:color w:val="000000"/>
        </w:rPr>
        <w:t>This dispute has not only political consequences but also direct consequences for the measurement of real wages, yet international organisations have reported on Turkish labour income inconsistently at best. The ILO's Global Wage Report,</w:t>
      </w:r>
      <w:r w:rsidRPr="000839A9">
        <w:rPr>
          <w:rFonts w:asciiTheme="majorHAnsi" w:eastAsia="Palatino Linotype" w:hAnsiTheme="majorHAnsi" w:cstheme="majorHAnsi"/>
          <w:color w:val="000000"/>
          <w:vertAlign w:val="superscript"/>
        </w:rPr>
        <w:footnoteReference w:id="8"/>
      </w:r>
      <w:r w:rsidRPr="000839A9">
        <w:rPr>
          <w:rFonts w:asciiTheme="majorHAnsi" w:eastAsia="Palatino Linotype" w:hAnsiTheme="majorHAnsi" w:cstheme="majorHAnsi"/>
          <w:color w:val="000000"/>
        </w:rPr>
        <w:t xml:space="preserve"> for instance, has sent mixed signals on this question across recent editions. The 2022–23 edition, published at the height of the ENAG–TÜİK divergence, did not report a country-specific real wage growth figure for Türkiye, mentioning it only in passing among emerging G20 economies with falling real wages in 2020, alongside Indonesia and South Africa. The 2024–25 edition, by contrast, featured Türkiye prominently, reporting real wage growth of 38.8 per cent in 2023 and 27.2 per cent in 2024 — the highest among the economies covered — built entirely on official CPI data, without acknowledging the existence of a credible alternative measure. This shift illustrates how sensitive headline wage figures for Türkiye are to the choice of inflation measure</w:t>
      </w:r>
      <w:r w:rsidR="000F0383">
        <w:rPr>
          <w:rFonts w:asciiTheme="majorHAnsi" w:eastAsia="Palatino Linotype" w:hAnsiTheme="majorHAnsi" w:cstheme="majorHAnsi"/>
          <w:color w:val="000000"/>
        </w:rPr>
        <w:t xml:space="preserve">. </w:t>
      </w:r>
      <w:r w:rsidR="00092B1E" w:rsidRPr="00092B1E">
        <w:rPr>
          <w:rFonts w:asciiTheme="majorHAnsi" w:eastAsia="Palatino Linotype" w:hAnsiTheme="majorHAnsi" w:cstheme="majorHAnsi"/>
          <w:color w:val="000000"/>
        </w:rPr>
        <w:t>Moreover, shortly before his dismissal, a former head of TurkStat made remarks alluding to pressure over the figures</w:t>
      </w:r>
      <w:r w:rsidR="00092B1E">
        <w:rPr>
          <w:rFonts w:asciiTheme="majorHAnsi" w:eastAsia="Palatino Linotype" w:hAnsiTheme="majorHAnsi" w:cstheme="majorHAnsi"/>
          <w:color w:val="000000"/>
        </w:rPr>
        <w:t xml:space="preserve"> </w:t>
      </w:r>
      <w:r w:rsidR="00092B1E" w:rsidRPr="00092B1E">
        <w:rPr>
          <w:rFonts w:asciiTheme="majorHAnsi" w:eastAsia="Palatino Linotype" w:hAnsiTheme="majorHAnsi" w:cstheme="majorHAnsi"/>
          <w:color w:val="000000"/>
        </w:rPr>
        <w:t>that, if anything, raise doubts about the validity of the official estimates</w:t>
      </w:r>
      <w:r w:rsidR="00092B1E">
        <w:rPr>
          <w:rFonts w:asciiTheme="majorHAnsi" w:eastAsia="Palatino Linotype" w:hAnsiTheme="majorHAnsi" w:cstheme="majorHAnsi"/>
          <w:color w:val="000000"/>
        </w:rPr>
        <w:t>.</w:t>
      </w:r>
      <w:r w:rsidRPr="000839A9">
        <w:rPr>
          <w:rFonts w:asciiTheme="majorHAnsi" w:eastAsia="Palatino Linotype" w:hAnsiTheme="majorHAnsi" w:cstheme="majorHAnsi"/>
          <w:color w:val="000000"/>
          <w:vertAlign w:val="superscript"/>
        </w:rPr>
        <w:footnoteReference w:id="9"/>
      </w:r>
      <w:r w:rsidRPr="000839A9">
        <w:rPr>
          <w:rFonts w:asciiTheme="majorHAnsi" w:eastAsia="Palatino Linotype" w:hAnsiTheme="majorHAnsi" w:cstheme="majorHAnsi"/>
          <w:color w:val="000000"/>
        </w:rPr>
        <w:t xml:space="preserve"> This inconsistency in international organization’s reporting is in itself notable: it </w:t>
      </w:r>
      <w:r w:rsidRPr="000839A9">
        <w:rPr>
          <w:rFonts w:asciiTheme="majorHAnsi" w:eastAsia="Palatino Linotype" w:hAnsiTheme="majorHAnsi" w:cstheme="majorHAnsi"/>
          <w:color w:val="000000"/>
        </w:rPr>
        <w:lastRenderedPageBreak/>
        <w:t>leaves policymakers</w:t>
      </w:r>
      <w:r w:rsidR="000743E9" w:rsidRPr="000839A9">
        <w:rPr>
          <w:rFonts w:asciiTheme="majorHAnsi" w:eastAsia="Palatino Linotype" w:hAnsiTheme="majorHAnsi" w:cstheme="majorHAnsi"/>
          <w:color w:val="000000"/>
        </w:rPr>
        <w:t xml:space="preserve"> and</w:t>
      </w:r>
      <w:r w:rsidRPr="000839A9">
        <w:rPr>
          <w:rFonts w:asciiTheme="majorHAnsi" w:eastAsia="Palatino Linotype" w:hAnsiTheme="majorHAnsi" w:cstheme="majorHAnsi"/>
          <w:color w:val="000000"/>
        </w:rPr>
        <w:t xml:space="preserve"> researchers </w:t>
      </w:r>
      <w:r w:rsidR="000743E9" w:rsidRPr="000839A9">
        <w:rPr>
          <w:rFonts w:asciiTheme="majorHAnsi" w:eastAsia="Palatino Linotype" w:hAnsiTheme="majorHAnsi" w:cstheme="majorHAnsi"/>
          <w:color w:val="000000"/>
        </w:rPr>
        <w:t>either with no number or</w:t>
      </w:r>
      <w:r w:rsidRPr="000839A9">
        <w:rPr>
          <w:rFonts w:asciiTheme="majorHAnsi" w:eastAsia="Palatino Linotype" w:hAnsiTheme="majorHAnsi" w:cstheme="majorHAnsi"/>
          <w:color w:val="000000"/>
        </w:rPr>
        <w:t xml:space="preserve"> with a single, contested number as the only available benchmark for a question — how much purchasing power have Turkish workers actually gained or lost — that plainly does not have a single, uncontested answer</w:t>
      </w:r>
      <w:r w:rsidR="000743E9" w:rsidRPr="000839A9">
        <w:rPr>
          <w:rFonts w:asciiTheme="majorHAnsi" w:eastAsia="Palatino Linotype" w:hAnsiTheme="majorHAnsi" w:cstheme="majorHAnsi"/>
          <w:color w:val="000000"/>
        </w:rPr>
        <w:t xml:space="preserve"> and whose results affect more than 20 million wage earners.</w:t>
      </w:r>
    </w:p>
    <w:p w14:paraId="083C97A1" w14:textId="0EDF3CCC" w:rsidR="00322E2B" w:rsidRPr="000839A9" w:rsidRDefault="003C4AE5">
      <w:pPr>
        <w:widowControl w:val="0"/>
        <w:pBdr>
          <w:top w:val="nil"/>
          <w:left w:val="nil"/>
          <w:bottom w:val="nil"/>
          <w:right w:val="nil"/>
          <w:between w:val="nil"/>
        </w:pBdr>
        <w:spacing w:before="241" w:line="352" w:lineRule="auto"/>
        <w:ind w:right="256"/>
        <w:jc w:val="both"/>
        <w:rPr>
          <w:rFonts w:asciiTheme="majorHAnsi" w:eastAsia="Palatino Linotype" w:hAnsiTheme="majorHAnsi" w:cstheme="majorHAnsi"/>
          <w:color w:val="000000"/>
        </w:rPr>
      </w:pPr>
      <w:r w:rsidRPr="003C4AE5">
        <w:rPr>
          <w:rFonts w:asciiTheme="majorHAnsi" w:eastAsia="Palatino Linotype" w:hAnsiTheme="majorHAnsi" w:cstheme="majorHAnsi"/>
          <w:color w:val="000000"/>
        </w:rPr>
        <w:t xml:space="preserve">This </w:t>
      </w:r>
      <w:r>
        <w:rPr>
          <w:rFonts w:asciiTheme="majorHAnsi" w:eastAsia="Palatino Linotype" w:hAnsiTheme="majorHAnsi" w:cstheme="majorHAnsi"/>
          <w:color w:val="000000"/>
        </w:rPr>
        <w:t xml:space="preserve">research </w:t>
      </w:r>
      <w:r w:rsidRPr="003C4AE5">
        <w:rPr>
          <w:rFonts w:asciiTheme="majorHAnsi" w:eastAsia="Palatino Linotype" w:hAnsiTheme="majorHAnsi" w:cstheme="majorHAnsi"/>
          <w:color w:val="000000"/>
        </w:rPr>
        <w:t>brief attempts to shed light on the debate by relying on both competing sources of inflation data.</w:t>
      </w:r>
      <w:r w:rsidR="00120231" w:rsidRPr="000839A9">
        <w:rPr>
          <w:rFonts w:asciiTheme="majorHAnsi" w:eastAsia="Palatino Linotype" w:hAnsiTheme="majorHAnsi" w:cstheme="majorHAnsi"/>
          <w:color w:val="000000"/>
        </w:rPr>
        <w:t xml:space="preserve"> Using TÜİK's Household Labour Force Survey microdata alongside both</w:t>
      </w:r>
      <w:r w:rsidR="005D7E06">
        <w:rPr>
          <w:rFonts w:asciiTheme="majorHAnsi" w:eastAsia="Palatino Linotype" w:hAnsiTheme="majorHAnsi" w:cstheme="majorHAnsi"/>
          <w:color w:val="000000"/>
        </w:rPr>
        <w:t>,</w:t>
      </w:r>
      <w:r w:rsidR="00120231" w:rsidRPr="000839A9">
        <w:rPr>
          <w:rFonts w:asciiTheme="majorHAnsi" w:eastAsia="Palatino Linotype" w:hAnsiTheme="majorHAnsi" w:cstheme="majorHAnsi"/>
          <w:color w:val="000000"/>
        </w:rPr>
        <w:t xml:space="preserve"> the official TÜİK CPI and the independent ENAG index, it constructs and compares real wage monthly series for the minimum and average wage in Türkiye between 2015 and 2025. More importantly, it further introduces a third, independent cross-check — converting nominal Turkish lira wages into euros at the contemporaneous spot exchange rate and deflating them using the Euro Area CPI — to assess the two competing domestic narratives against a benchmark that depends on neither</w:t>
      </w:r>
      <w:r w:rsidR="0077452E">
        <w:rPr>
          <w:rFonts w:asciiTheme="majorHAnsi" w:eastAsia="Palatino Linotype" w:hAnsiTheme="majorHAnsi" w:cstheme="majorHAnsi"/>
          <w:color w:val="000000"/>
        </w:rPr>
        <w:t>. This addition enriches the debate not by taking sides, but rather by allowing the comparison to a</w:t>
      </w:r>
      <w:r w:rsidR="00120231">
        <w:rPr>
          <w:rFonts w:asciiTheme="majorHAnsi" w:eastAsia="Palatino Linotype" w:hAnsiTheme="majorHAnsi" w:cstheme="majorHAnsi"/>
          <w:color w:val="000000"/>
        </w:rPr>
        <w:t>t</w:t>
      </w:r>
      <w:r w:rsidR="0077452E">
        <w:rPr>
          <w:rFonts w:asciiTheme="majorHAnsi" w:eastAsia="Palatino Linotype" w:hAnsiTheme="majorHAnsi" w:cstheme="majorHAnsi"/>
          <w:color w:val="000000"/>
        </w:rPr>
        <w:t>tribute just merits to each method and period.</w:t>
      </w:r>
    </w:p>
    <w:p w14:paraId="1791B3E9" w14:textId="77777777" w:rsidR="00322E2B" w:rsidRPr="000839A9" w:rsidRDefault="00000000">
      <w:pPr>
        <w:pStyle w:val="Heading2"/>
        <w:numPr>
          <w:ilvl w:val="0"/>
          <w:numId w:val="1"/>
        </w:numPr>
        <w:spacing w:after="120"/>
        <w:rPr>
          <w:rFonts w:asciiTheme="majorHAnsi" w:eastAsia="Palatino Linotype" w:hAnsiTheme="majorHAnsi" w:cstheme="majorHAnsi"/>
        </w:rPr>
      </w:pPr>
      <w:r w:rsidRPr="000839A9">
        <w:rPr>
          <w:rFonts w:asciiTheme="majorHAnsi" w:eastAsia="Palatino Linotype" w:hAnsiTheme="majorHAnsi" w:cstheme="majorHAnsi"/>
        </w:rPr>
        <w:t>TÜİK vs. ENAG wage evolution</w:t>
      </w:r>
    </w:p>
    <w:p w14:paraId="4BAFC2DE" w14:textId="779F33A7" w:rsidR="00322E2B"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0839A9">
        <w:rPr>
          <w:rFonts w:asciiTheme="majorHAnsi" w:eastAsia="Palatino Linotype" w:hAnsiTheme="majorHAnsi" w:cstheme="majorHAnsi"/>
          <w:color w:val="000000"/>
        </w:rPr>
        <w:t>Real wages are constructed by deflating nominal net (take-home) wages from TÜİK’s Household Labour Force Survey (HLFS) microdata</w:t>
      </w:r>
      <w:r w:rsidR="00E76F7E" w:rsidRPr="000839A9">
        <w:rPr>
          <w:rStyle w:val="FootnoteReference"/>
          <w:rFonts w:asciiTheme="majorHAnsi" w:eastAsia="Palatino Linotype" w:hAnsiTheme="majorHAnsi" w:cstheme="majorHAnsi"/>
          <w:color w:val="000000"/>
        </w:rPr>
        <w:footnoteReference w:id="10"/>
      </w:r>
      <w:r w:rsidRPr="000839A9">
        <w:rPr>
          <w:rFonts w:asciiTheme="majorHAnsi" w:eastAsia="Palatino Linotype" w:hAnsiTheme="majorHAnsi" w:cstheme="majorHAnsi"/>
          <w:color w:val="000000"/>
        </w:rPr>
        <w:t xml:space="preserve"> using two alternative price indices, rebased to constant 2015 lira. The TÜİK series applies the official CPI throughout; the ENAG series applies ENAG’s independent CPI rates from their inception. Because ENAG has only published a monthly index since September 2020, no independent alternative to TÜİK existed before that date — a point already noted in the Introduction. For this reason, Figures 1 and 2 show a single, TÜİK-deflated line before September 2020, and two diverging lines from that point onward, rather than presenting a fabricated pre-2020 ENAG series.</w:t>
      </w:r>
    </w:p>
    <w:p w14:paraId="7629A50A" w14:textId="1068E7EC" w:rsidR="0077452E" w:rsidRDefault="0077452E">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0839A9">
        <w:rPr>
          <w:rFonts w:asciiTheme="majorHAnsi" w:eastAsia="Palatino Linotype" w:hAnsiTheme="majorHAnsi" w:cstheme="majorHAnsi"/>
          <w:color w:val="000000"/>
        </w:rPr>
        <w:t>The contrast between the two deflated series is stark for both wage measures, but particularly severe for the minimum wage (Figure 2). Under the official TÜİK CPI, real minimum and average wages broadly recover their 2015 level by the mid-2020s, rising by 66.1 and 74.8 per cent respectively over the full period. Under the ENAG CPI, both series instead fall by roughly 60 per cent over the same horizon — a divergence of over 130 percentage points driven by the choice of deflator, since the underlying nominal wage series is identical in both cases.</w:t>
      </w:r>
    </w:p>
    <w:p w14:paraId="09B16EFD" w14:textId="77777777" w:rsidR="000743E9" w:rsidRPr="000839A9" w:rsidRDefault="000743E9" w:rsidP="000743E9">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b/>
          <w:bCs/>
          <w:color w:val="000000"/>
        </w:rPr>
      </w:pPr>
      <w:r w:rsidRPr="000839A9">
        <w:rPr>
          <w:rFonts w:asciiTheme="majorHAnsi" w:eastAsia="Palatino Linotype" w:hAnsiTheme="majorHAnsi" w:cstheme="majorHAnsi"/>
          <w:b/>
          <w:bCs/>
          <w:color w:val="000000"/>
        </w:rPr>
        <w:lastRenderedPageBreak/>
        <w:t>Figure 1. Average wage, real wages, constant 2015 TRY</w:t>
      </w:r>
    </w:p>
    <w:p w14:paraId="76FB8599" w14:textId="77777777" w:rsidR="000743E9" w:rsidRPr="000839A9" w:rsidRDefault="000743E9" w:rsidP="000743E9">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color w:val="000000"/>
        </w:rPr>
      </w:pPr>
      <w:r w:rsidRPr="000839A9">
        <w:rPr>
          <w:rFonts w:asciiTheme="majorHAnsi" w:hAnsiTheme="majorHAnsi" w:cstheme="majorHAnsi"/>
          <w:noProof/>
        </w:rPr>
        <w:drawing>
          <wp:inline distT="0" distB="0" distL="0" distR="0" wp14:anchorId="206C40E0" wp14:editId="247CB62D">
            <wp:extent cx="5913755" cy="2598420"/>
            <wp:effectExtent l="0" t="0" r="0" b="0"/>
            <wp:docPr id="1484028806" name="Chart 1">
              <a:extLst xmlns:a="http://schemas.openxmlformats.org/drawingml/2006/main">
                <a:ext uri="{FF2B5EF4-FFF2-40B4-BE49-F238E27FC236}">
                  <a16:creationId xmlns:a16="http://schemas.microsoft.com/office/drawing/2014/main" id="{68DC8821-D36A-DC52-E411-FE522897C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41266F" w14:textId="77777777" w:rsidR="000743E9" w:rsidRPr="000839A9" w:rsidRDefault="000743E9" w:rsidP="000839A9">
      <w:pPr>
        <w:widowControl w:val="0"/>
        <w:pBdr>
          <w:top w:val="nil"/>
          <w:left w:val="nil"/>
          <w:bottom w:val="nil"/>
          <w:right w:val="nil"/>
          <w:between w:val="nil"/>
        </w:pBdr>
        <w:spacing w:before="120"/>
        <w:ind w:right="255"/>
        <w:jc w:val="both"/>
        <w:rPr>
          <w:rFonts w:asciiTheme="majorHAnsi" w:eastAsia="Palatino Linotype" w:hAnsiTheme="majorHAnsi" w:cstheme="majorHAnsi"/>
          <w:color w:val="000000"/>
        </w:rPr>
      </w:pPr>
      <w:r w:rsidRPr="000839A9">
        <w:rPr>
          <w:rFonts w:asciiTheme="majorHAnsi" w:eastAsia="Palatino Linotype" w:hAnsiTheme="majorHAnsi" w:cstheme="majorHAnsi"/>
          <w:b/>
          <w:bCs/>
          <w:i/>
          <w:iCs/>
          <w:color w:val="000000"/>
          <w:sz w:val="18"/>
          <w:szCs w:val="18"/>
        </w:rPr>
        <w:t xml:space="preserve">Source: </w:t>
      </w:r>
      <w:r w:rsidRPr="000839A9">
        <w:rPr>
          <w:rFonts w:asciiTheme="majorHAnsi" w:eastAsia="Palatino Linotype" w:hAnsiTheme="majorHAnsi" w:cstheme="majorHAnsi"/>
          <w:color w:val="000000"/>
          <w:sz w:val="18"/>
          <w:szCs w:val="18"/>
        </w:rPr>
        <w:t xml:space="preserve">Turkstat Household Labour Force Survey microdata (2015-2025), Turkstat Consumer Price Index, ENAG Inflation Research Group inflation rates and author’s own calculations. </w:t>
      </w:r>
      <w:r w:rsidRPr="000839A9">
        <w:rPr>
          <w:rFonts w:asciiTheme="majorHAnsi" w:eastAsia="Palatino Linotype" w:hAnsiTheme="majorHAnsi" w:cstheme="majorHAnsi"/>
          <w:b/>
          <w:bCs/>
          <w:i/>
          <w:iCs/>
          <w:color w:val="000000"/>
          <w:sz w:val="18"/>
          <w:szCs w:val="18"/>
        </w:rPr>
        <w:t xml:space="preserve">Notes: </w:t>
      </w:r>
      <w:r w:rsidRPr="000839A9">
        <w:rPr>
          <w:rFonts w:asciiTheme="majorHAnsi" w:eastAsia="Palatino Linotype" w:hAnsiTheme="majorHAnsi" w:cstheme="majorHAnsi"/>
          <w:color w:val="000000"/>
          <w:sz w:val="18"/>
          <w:szCs w:val="18"/>
        </w:rPr>
        <w:t>Average wages are obtained from the HLFS microdata and converted to constant lira of 2015 using, respectively, Turkstat official CPI and ENAG alternative CPI rates.</w:t>
      </w:r>
    </w:p>
    <w:p w14:paraId="3FF84BCF" w14:textId="42F7F881" w:rsidR="00322E2B" w:rsidRDefault="00971708">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971708">
        <w:rPr>
          <w:rFonts w:asciiTheme="majorHAnsi" w:eastAsia="Palatino Linotype" w:hAnsiTheme="majorHAnsi" w:cstheme="majorHAnsi"/>
          <w:color w:val="000000"/>
        </w:rPr>
        <w:t>Both series also display a pronounced sawtooth pattern, reflecting Türkiye's practice of adjusting the minimum wage once or twice a year rather than continuously indexing it to inflation. This is consistent with evidence that wages around the minimum are largely acyclical, while the rest of the wage distribution — including average wages — responds more flexibly to economic conditions (Aldan and Gürcihan Yüncüler, 2016).</w:t>
      </w:r>
      <w:r>
        <w:rPr>
          <w:rFonts w:asciiTheme="majorHAnsi" w:eastAsia="Palatino Linotype" w:hAnsiTheme="majorHAnsi" w:cstheme="majorHAnsi"/>
          <w:color w:val="000000"/>
        </w:rPr>
        <w:t xml:space="preserve"> </w:t>
      </w:r>
      <w:r w:rsidRPr="000839A9">
        <w:rPr>
          <w:rFonts w:asciiTheme="majorHAnsi" w:eastAsia="Palatino Linotype" w:hAnsiTheme="majorHAnsi" w:cstheme="majorHAnsi"/>
          <w:color w:val="000000"/>
        </w:rPr>
        <w:t xml:space="preserve">Using the ENAG-deflated series, the average intra-year fall in the real minimum wage — measured from the peak reached immediately after each wage adjustment to the </w:t>
      </w:r>
      <w:r w:rsidR="000743E9" w:rsidRPr="000839A9">
        <w:rPr>
          <w:rFonts w:asciiTheme="majorHAnsi" w:eastAsia="Palatino Linotype" w:hAnsiTheme="majorHAnsi" w:cstheme="majorHAnsi"/>
          <w:color w:val="000000"/>
        </w:rPr>
        <w:t xml:space="preserve">bottom </w:t>
      </w:r>
      <w:r w:rsidRPr="000839A9">
        <w:rPr>
          <w:rFonts w:asciiTheme="majorHAnsi" w:eastAsia="Palatino Linotype" w:hAnsiTheme="majorHAnsi" w:cstheme="majorHAnsi"/>
          <w:color w:val="000000"/>
        </w:rPr>
        <w:t>reached just before the next one — was 22.9 per cent between 2015 and 2025, and exceeded 35 per cent in each year from 2022 to 2024. In other words, a minimum wage earner typically lost close to a quarter of their purchasing power over the course of a year simply through inflation eroding a wage that was fixed in nominal terms between adjustments. The equivalent intra-year fall for the average wage was smaller, at 16.9 per cent, consistent with average wages being renegotiated more frequently and more heterogeneously across firms and sectors than the single, centrally set minimum wage.</w:t>
      </w:r>
    </w:p>
    <w:p w14:paraId="4B72AB7D" w14:textId="0929BB25" w:rsidR="00A20499" w:rsidRDefault="00A20499">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0839A9">
        <w:rPr>
          <w:rFonts w:asciiTheme="majorHAnsi" w:eastAsia="Palatino Linotype" w:hAnsiTheme="majorHAnsi" w:cstheme="majorHAnsi"/>
        </w:rPr>
        <w:t xml:space="preserve">The wage series presented above point to the same underlying tension documented for employment statistics, but with starker consequences for living standards. When average and minimum wages are deflated using the official TÜİK CPI, both series recover most of their 2015 purchasing power by the mid-2020s, with the average wage ending the period above its </w:t>
      </w:r>
      <w:r w:rsidRPr="000839A9">
        <w:rPr>
          <w:rFonts w:asciiTheme="majorHAnsi" w:eastAsia="Palatino Linotype" w:hAnsiTheme="majorHAnsi" w:cstheme="majorHAnsi"/>
        </w:rPr>
        <w:lastRenderedPageBreak/>
        <w:t>starting level. When the same nominal wages are deflated using the independent ENAG price index, however, both series decline almost monotonically after 2021, ending 2025 at a fraction of their earlier real value. Since the two calculations differ only in the price index applied, the gap between them is, by construction, a direct measure of the cumulative divergence between official and independent inflation estimates.</w:t>
      </w:r>
    </w:p>
    <w:p w14:paraId="2705EEF7" w14:textId="77777777" w:rsidR="00322E2B" w:rsidRPr="000839A9" w:rsidRDefault="00000000">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b/>
          <w:bCs/>
          <w:color w:val="000000"/>
        </w:rPr>
      </w:pPr>
      <w:r w:rsidRPr="000839A9">
        <w:rPr>
          <w:rFonts w:asciiTheme="majorHAnsi" w:eastAsia="Palatino Linotype" w:hAnsiTheme="majorHAnsi" w:cstheme="majorHAnsi"/>
          <w:b/>
          <w:bCs/>
          <w:color w:val="000000"/>
        </w:rPr>
        <w:t>Figure 2. Minimum wage, real wages, constant 2015 TRY</w:t>
      </w:r>
    </w:p>
    <w:p w14:paraId="29AD5272" w14:textId="150F065D" w:rsidR="00322E2B" w:rsidRPr="000839A9" w:rsidRDefault="000743E9">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color w:val="000000"/>
        </w:rPr>
      </w:pPr>
      <w:r w:rsidRPr="000839A9">
        <w:rPr>
          <w:rFonts w:asciiTheme="majorHAnsi" w:hAnsiTheme="majorHAnsi" w:cstheme="majorHAnsi"/>
          <w:noProof/>
        </w:rPr>
        <w:drawing>
          <wp:inline distT="0" distB="0" distL="0" distR="0" wp14:anchorId="7C73E2CB" wp14:editId="2489015F">
            <wp:extent cx="5913755" cy="2554605"/>
            <wp:effectExtent l="0" t="0" r="0" b="0"/>
            <wp:docPr id="1155166197" name="Chart 1">
              <a:extLst xmlns:a="http://schemas.openxmlformats.org/drawingml/2006/main">
                <a:ext uri="{FF2B5EF4-FFF2-40B4-BE49-F238E27FC236}">
                  <a16:creationId xmlns:a16="http://schemas.microsoft.com/office/drawing/2014/main" id="{A3510015-1A02-4179-AD7E-0DD6F9B96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40BBA6" w14:textId="77777777" w:rsidR="00322E2B" w:rsidRPr="000839A9" w:rsidRDefault="00000000">
      <w:pPr>
        <w:widowControl w:val="0"/>
        <w:pBdr>
          <w:top w:val="nil"/>
          <w:left w:val="nil"/>
          <w:bottom w:val="nil"/>
          <w:right w:val="nil"/>
          <w:between w:val="nil"/>
        </w:pBdr>
        <w:spacing w:before="290"/>
        <w:ind w:right="255"/>
        <w:jc w:val="both"/>
        <w:rPr>
          <w:rFonts w:asciiTheme="majorHAnsi" w:eastAsia="Palatino Linotype" w:hAnsiTheme="majorHAnsi" w:cstheme="majorHAnsi"/>
          <w:color w:val="000000"/>
        </w:rPr>
      </w:pPr>
      <w:r w:rsidRPr="000839A9">
        <w:rPr>
          <w:rFonts w:asciiTheme="majorHAnsi" w:eastAsia="Palatino Linotype" w:hAnsiTheme="majorHAnsi" w:cstheme="majorHAnsi"/>
          <w:b/>
          <w:bCs/>
          <w:i/>
          <w:iCs/>
          <w:color w:val="000000"/>
          <w:sz w:val="18"/>
          <w:szCs w:val="18"/>
        </w:rPr>
        <w:t xml:space="preserve">Source: </w:t>
      </w:r>
      <w:r w:rsidRPr="000839A9">
        <w:rPr>
          <w:rFonts w:asciiTheme="majorHAnsi" w:eastAsia="Palatino Linotype" w:hAnsiTheme="majorHAnsi" w:cstheme="majorHAnsi"/>
          <w:color w:val="000000"/>
          <w:sz w:val="18"/>
          <w:szCs w:val="18"/>
        </w:rPr>
        <w:t xml:space="preserve">Ministry of Labour and Social Security, Turkstat Consumer Price Index, ENAG Inflation Research Group inflation rates and author’s own calculations. </w:t>
      </w:r>
      <w:r w:rsidRPr="000839A9">
        <w:rPr>
          <w:rFonts w:asciiTheme="majorHAnsi" w:eastAsia="Palatino Linotype" w:hAnsiTheme="majorHAnsi" w:cstheme="majorHAnsi"/>
          <w:b/>
          <w:bCs/>
          <w:i/>
          <w:iCs/>
          <w:color w:val="000000"/>
          <w:sz w:val="18"/>
          <w:szCs w:val="18"/>
        </w:rPr>
        <w:t xml:space="preserve">Notes: </w:t>
      </w:r>
      <w:r w:rsidRPr="000839A9">
        <w:rPr>
          <w:rFonts w:asciiTheme="majorHAnsi" w:eastAsia="Palatino Linotype" w:hAnsiTheme="majorHAnsi" w:cstheme="majorHAnsi"/>
          <w:color w:val="000000"/>
          <w:sz w:val="18"/>
          <w:szCs w:val="18"/>
        </w:rPr>
        <w:t>Minimum wages obtained from the Ministry of Labour and Social Security and converted to constant lira of 2015 using, respectively, Turkstat official CPI and ENAG alternative CPI rates.</w:t>
      </w:r>
    </w:p>
    <w:p w14:paraId="436BC026" w14:textId="77777777" w:rsidR="00322E2B" w:rsidRPr="000839A9" w:rsidRDefault="00322E2B">
      <w:pPr>
        <w:spacing w:before="120" w:after="120" w:line="360" w:lineRule="auto"/>
        <w:jc w:val="both"/>
        <w:rPr>
          <w:rFonts w:asciiTheme="majorHAnsi" w:eastAsia="Palatino Linotype" w:hAnsiTheme="majorHAnsi" w:cstheme="majorHAnsi"/>
          <w:sz w:val="16"/>
          <w:szCs w:val="16"/>
        </w:rPr>
      </w:pPr>
    </w:p>
    <w:p w14:paraId="24E22FAB" w14:textId="0AF4B14A" w:rsidR="00322E2B" w:rsidRDefault="00322E2B">
      <w:pPr>
        <w:spacing w:line="360" w:lineRule="auto"/>
        <w:jc w:val="both"/>
        <w:rPr>
          <w:rFonts w:asciiTheme="majorHAnsi" w:eastAsia="Palatino Linotype" w:hAnsiTheme="majorHAnsi" w:cstheme="majorHAnsi"/>
        </w:rPr>
      </w:pPr>
    </w:p>
    <w:p w14:paraId="7A8B1675" w14:textId="44E98702" w:rsidR="00F96A94" w:rsidRPr="000839A9" w:rsidRDefault="00F96A94">
      <w:pPr>
        <w:spacing w:line="360" w:lineRule="auto"/>
        <w:jc w:val="both"/>
        <w:rPr>
          <w:rFonts w:asciiTheme="majorHAnsi" w:eastAsia="Palatino Linotype" w:hAnsiTheme="majorHAnsi" w:cstheme="majorHAnsi"/>
        </w:rPr>
      </w:pPr>
      <w:r w:rsidRPr="000839A9">
        <w:rPr>
          <w:rFonts w:asciiTheme="majorHAnsi" w:eastAsia="Palatino Linotype" w:hAnsiTheme="majorHAnsi" w:cstheme="majorHAnsi"/>
        </w:rPr>
        <w:t>As a robustness check that does not depend on either Turkish price index, wages were also converted into euros at the contemporaneous spot exchange rate and deflated using the Euro Area CPI. This series avoids the dispute over which domestic index is correct, at the cost of introducing exchange-rate volatility. It shows a path broadly consistent with the ENAG-deflated series in direction, including a pronounced trough around the December 2021 currency crisis, but a subsequent recovery that leaves both minimum and average wages, in real euro terms, modestly above their 2015 starting point by the end of the sample. This suggests that part of the apparent divergence between the TÜİK- and ENAG-based series reflects genuine currency depreciation rather than domestic inflation alone, and that the ENAG-deflated series, if anything, may overstate the depth of the loss in internationally comparable terms, while the TÜİK-deflated series understates it.</w:t>
      </w:r>
    </w:p>
    <w:p w14:paraId="017C141C" w14:textId="77777777" w:rsidR="00E1226E" w:rsidRPr="000839A9" w:rsidRDefault="00E1226E" w:rsidP="00E1226E">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b/>
          <w:bCs/>
          <w:color w:val="000000"/>
        </w:rPr>
      </w:pPr>
      <w:r w:rsidRPr="000839A9">
        <w:rPr>
          <w:rFonts w:asciiTheme="majorHAnsi" w:eastAsia="Palatino Linotype" w:hAnsiTheme="majorHAnsi" w:cstheme="majorHAnsi"/>
          <w:b/>
          <w:bCs/>
          <w:color w:val="000000"/>
        </w:rPr>
        <w:lastRenderedPageBreak/>
        <w:t>Figure 3. Average and minimum wage, real wages, constant 2015 EUR</w:t>
      </w:r>
    </w:p>
    <w:p w14:paraId="101C2E4C" w14:textId="1FBF267B" w:rsidR="00E1226E" w:rsidRPr="000839A9" w:rsidRDefault="00E1226E" w:rsidP="00E1226E">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color w:val="000000"/>
        </w:rPr>
      </w:pPr>
      <w:r w:rsidRPr="000839A9">
        <w:rPr>
          <w:rFonts w:asciiTheme="majorHAnsi" w:hAnsiTheme="majorHAnsi" w:cstheme="majorHAnsi"/>
          <w:noProof/>
        </w:rPr>
        <w:drawing>
          <wp:inline distT="0" distB="0" distL="0" distR="0" wp14:anchorId="0333F389" wp14:editId="5B2147B6">
            <wp:extent cx="5913755" cy="2574925"/>
            <wp:effectExtent l="0" t="0" r="0" b="0"/>
            <wp:docPr id="1072808313" name="Chart 1">
              <a:extLst xmlns:a="http://schemas.openxmlformats.org/drawingml/2006/main">
                <a:ext uri="{FF2B5EF4-FFF2-40B4-BE49-F238E27FC236}">
                  <a16:creationId xmlns:a16="http://schemas.microsoft.com/office/drawing/2014/main" id="{C98C8A17-F44D-F07A-3122-729FAB1E38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8766B5" w14:textId="2428CEF6" w:rsidR="00E1226E" w:rsidRPr="000839A9" w:rsidRDefault="00E1226E" w:rsidP="00E1226E">
      <w:pPr>
        <w:spacing w:line="360" w:lineRule="auto"/>
        <w:jc w:val="both"/>
        <w:rPr>
          <w:rFonts w:asciiTheme="majorHAnsi" w:eastAsia="Palatino Linotype" w:hAnsiTheme="majorHAnsi" w:cstheme="majorHAnsi"/>
        </w:rPr>
      </w:pPr>
      <w:r w:rsidRPr="000839A9">
        <w:rPr>
          <w:rFonts w:asciiTheme="majorHAnsi" w:eastAsia="Palatino Linotype" w:hAnsiTheme="majorHAnsi" w:cstheme="majorHAnsi"/>
          <w:b/>
          <w:bCs/>
          <w:i/>
          <w:iCs/>
          <w:sz w:val="18"/>
          <w:szCs w:val="18"/>
        </w:rPr>
        <w:t xml:space="preserve">Source: </w:t>
      </w:r>
      <w:r w:rsidRPr="000839A9">
        <w:rPr>
          <w:rFonts w:asciiTheme="majorHAnsi" w:eastAsia="Palatino Linotype" w:hAnsiTheme="majorHAnsi" w:cstheme="majorHAnsi"/>
          <w:sz w:val="18"/>
          <w:szCs w:val="18"/>
        </w:rPr>
        <w:t xml:space="preserve">European Central Bank, Ministry of Labour and Social Security, Turkstat Household Labour Force Survey microdata (2015-2025), and author’s own calculations. </w:t>
      </w:r>
      <w:r w:rsidRPr="000839A9">
        <w:rPr>
          <w:rFonts w:asciiTheme="majorHAnsi" w:eastAsia="Palatino Linotype" w:hAnsiTheme="majorHAnsi" w:cstheme="majorHAnsi"/>
          <w:b/>
          <w:bCs/>
          <w:i/>
          <w:iCs/>
          <w:sz w:val="18"/>
          <w:szCs w:val="18"/>
        </w:rPr>
        <w:t xml:space="preserve">Notes: </w:t>
      </w:r>
      <w:r w:rsidRPr="000839A9">
        <w:rPr>
          <w:rFonts w:asciiTheme="majorHAnsi" w:eastAsia="Palatino Linotype" w:hAnsiTheme="majorHAnsi" w:cstheme="majorHAnsi"/>
          <w:sz w:val="18"/>
          <w:szCs w:val="18"/>
        </w:rPr>
        <w:t>Average wages obtained from the HLFS microdata, minimum wages from the Ministry of Labour and Social Security, both converted to constant Euro of 2015 after applying the contemporaneous spot exchange rate and then deflated using the Euro Area Consumer Price Index.</w:t>
      </w:r>
    </w:p>
    <w:p w14:paraId="144B8326" w14:textId="70272944" w:rsidR="00322E2B" w:rsidRPr="000839A9" w:rsidRDefault="00322E2B">
      <w:pPr>
        <w:spacing w:line="360" w:lineRule="auto"/>
        <w:jc w:val="both"/>
        <w:rPr>
          <w:rFonts w:asciiTheme="majorHAnsi" w:eastAsia="Palatino Linotype" w:hAnsiTheme="majorHAnsi" w:cstheme="majorHAnsi"/>
        </w:rPr>
      </w:pPr>
    </w:p>
    <w:p w14:paraId="2FF2FBFB" w14:textId="77777777" w:rsidR="00322E2B" w:rsidRPr="000839A9" w:rsidRDefault="00000000">
      <w:pPr>
        <w:spacing w:line="360" w:lineRule="auto"/>
        <w:jc w:val="both"/>
        <w:rPr>
          <w:rFonts w:asciiTheme="majorHAnsi" w:eastAsia="Palatino Linotype" w:hAnsiTheme="majorHAnsi" w:cstheme="majorHAnsi"/>
        </w:rPr>
      </w:pPr>
      <w:r w:rsidRPr="000839A9">
        <w:rPr>
          <w:rFonts w:asciiTheme="majorHAnsi" w:eastAsia="Palatino Linotype" w:hAnsiTheme="majorHAnsi" w:cstheme="majorHAnsi"/>
        </w:rPr>
        <w:t>Taken together, these three series illustrate why the choice of deflator is not a technical detail but a substantive empirical question with direct welfare implications. Whether Turkish workers experienced a broad recovery in purchasing power or a prolonged and severe erosion depends materially on which inflation measure is used, underscoring the same caution urged elsewhere in this brief regarding the interpretation of official statistics during the post-2018 period.</w:t>
      </w:r>
    </w:p>
    <w:p w14:paraId="07D3FE1F" w14:textId="0DCC048C" w:rsidR="00322E2B" w:rsidRPr="000839A9" w:rsidRDefault="00000000">
      <w:pPr>
        <w:pStyle w:val="Heading2"/>
        <w:numPr>
          <w:ilvl w:val="0"/>
          <w:numId w:val="1"/>
        </w:numPr>
        <w:spacing w:after="120"/>
        <w:rPr>
          <w:rFonts w:asciiTheme="majorHAnsi" w:eastAsia="Palatino Linotype" w:hAnsiTheme="majorHAnsi" w:cstheme="majorHAnsi"/>
        </w:rPr>
      </w:pPr>
      <w:r w:rsidRPr="000839A9">
        <w:rPr>
          <w:rFonts w:asciiTheme="majorHAnsi" w:eastAsia="Palatino Linotype" w:hAnsiTheme="majorHAnsi" w:cstheme="majorHAnsi"/>
        </w:rPr>
        <w:t xml:space="preserve">Calculating the cost </w:t>
      </w:r>
      <w:r w:rsidR="00C833E5" w:rsidRPr="000839A9">
        <w:rPr>
          <w:rFonts w:asciiTheme="majorHAnsi" w:eastAsia="Palatino Linotype" w:hAnsiTheme="majorHAnsi" w:cstheme="majorHAnsi"/>
        </w:rPr>
        <w:t>born</w:t>
      </w:r>
      <w:r w:rsidR="00D43171">
        <w:rPr>
          <w:rFonts w:asciiTheme="majorHAnsi" w:eastAsia="Palatino Linotype" w:hAnsiTheme="majorHAnsi" w:cstheme="majorHAnsi"/>
        </w:rPr>
        <w:t>e</w:t>
      </w:r>
      <w:r w:rsidR="00C833E5" w:rsidRPr="000839A9">
        <w:rPr>
          <w:rFonts w:asciiTheme="majorHAnsi" w:eastAsia="Palatino Linotype" w:hAnsiTheme="majorHAnsi" w:cstheme="majorHAnsi"/>
        </w:rPr>
        <w:t xml:space="preserve"> by</w:t>
      </w:r>
      <w:r w:rsidRPr="000839A9">
        <w:rPr>
          <w:rFonts w:asciiTheme="majorHAnsi" w:eastAsia="Palatino Linotype" w:hAnsiTheme="majorHAnsi" w:cstheme="majorHAnsi"/>
        </w:rPr>
        <w:t xml:space="preserve"> employees </w:t>
      </w:r>
    </w:p>
    <w:p w14:paraId="6AC8A062" w14:textId="77777777" w:rsidR="00322E2B" w:rsidRPr="000839A9"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0839A9">
        <w:rPr>
          <w:rFonts w:asciiTheme="majorHAnsi" w:eastAsia="Palatino Linotype" w:hAnsiTheme="majorHAnsi" w:cstheme="majorHAnsi"/>
          <w:color w:val="000000"/>
        </w:rPr>
        <w:t>To quantify the cumulative cost of the past decade for Turkish workers, this section calculates the gap between the observed real euro wage and a counterfactual trend under three alternative growth assumptions, for both the average and the minimum wage earner. The euro-denominated wage series is used throughout, rather than either the TÜİK- or ENAG-deflated lira series, precisely to isolate the calculation from the domestic inflation dispute and any bias, in either direction, that either index may carry.</w:t>
      </w:r>
    </w:p>
    <w:p w14:paraId="2DBDC77D" w14:textId="77777777" w:rsidR="00322E2B" w:rsidRPr="000839A9" w:rsidRDefault="00000000">
      <w:pPr>
        <w:spacing w:before="120" w:after="120" w:line="360" w:lineRule="auto"/>
        <w:jc w:val="both"/>
        <w:rPr>
          <w:rFonts w:asciiTheme="majorHAnsi" w:eastAsia="Palatino Linotype" w:hAnsiTheme="majorHAnsi" w:cstheme="majorHAnsi"/>
        </w:rPr>
      </w:pPr>
      <w:r w:rsidRPr="000839A9">
        <w:rPr>
          <w:rFonts w:asciiTheme="majorHAnsi" w:eastAsia="Palatino Linotype" w:hAnsiTheme="majorHAnsi" w:cstheme="majorHAnsi"/>
        </w:rPr>
        <w:t xml:space="preserve">From 2023 onward, economic policy shifted decisively toward monetary orthodoxy under Finance Minister Mehmet Şimşek. This shift coincided with a marked change in wage-setting behaviour: rather than continuing the emergency-style minimum wage hikes of 2021-2023 — visible in the graph as sharp January spikes pushing the minimum-to-average ratio as high as </w:t>
      </w:r>
      <w:r w:rsidRPr="000839A9">
        <w:rPr>
          <w:rFonts w:asciiTheme="majorHAnsi" w:eastAsia="Palatino Linotype" w:hAnsiTheme="majorHAnsi" w:cstheme="majorHAnsi"/>
        </w:rPr>
        <w:lastRenderedPageBreak/>
        <w:t>0.85 — policymakers allowed the minimum wage to grow at a more moderate, sustainable pace. Average wages, freed from the need to compensate for currency collapse, revalued strongly in real euro terms, while the minimum wage grew more modestly. The net effect was a return of the minimum-to-average wage ratio to close to its 2015 level (0.577 in 2025, against 0.578 in 2015) — not through a collapse in the minimum wage's real value, but through the average wage outpacing it once the orthodox policy regime took hold.</w:t>
      </w:r>
    </w:p>
    <w:p w14:paraId="06D6D0D8" w14:textId="77777777" w:rsidR="00322E2B" w:rsidRPr="000839A9" w:rsidRDefault="00000000">
      <w:pPr>
        <w:spacing w:before="120" w:after="120" w:line="360" w:lineRule="auto"/>
        <w:jc w:val="both"/>
        <w:rPr>
          <w:rFonts w:asciiTheme="majorHAnsi" w:eastAsia="Palatino Linotype" w:hAnsiTheme="majorHAnsi" w:cstheme="majorHAnsi"/>
          <w:b/>
          <w:bCs/>
          <w:sz w:val="18"/>
          <w:szCs w:val="18"/>
        </w:rPr>
      </w:pPr>
      <w:r w:rsidRPr="000839A9">
        <w:rPr>
          <w:rFonts w:asciiTheme="majorHAnsi" w:eastAsia="Palatino Linotype" w:hAnsiTheme="majorHAnsi" w:cstheme="majorHAnsi"/>
          <w:b/>
          <w:bCs/>
        </w:rPr>
        <w:t>Figure 4. Ratio minimum to average wage in Türkiye</w:t>
      </w:r>
    </w:p>
    <w:p w14:paraId="7A16A16B" w14:textId="500484D4" w:rsidR="00322E2B" w:rsidRPr="000839A9" w:rsidRDefault="00BC74BA">
      <w:pPr>
        <w:spacing w:before="120" w:after="120" w:line="360" w:lineRule="auto"/>
        <w:jc w:val="both"/>
        <w:rPr>
          <w:rFonts w:asciiTheme="majorHAnsi" w:eastAsia="Palatino Linotype" w:hAnsiTheme="majorHAnsi" w:cstheme="majorHAnsi"/>
          <w:sz w:val="18"/>
          <w:szCs w:val="18"/>
        </w:rPr>
      </w:pPr>
      <w:r w:rsidRPr="000839A9">
        <w:rPr>
          <w:rFonts w:asciiTheme="majorHAnsi" w:hAnsiTheme="majorHAnsi" w:cstheme="majorHAnsi"/>
          <w:noProof/>
        </w:rPr>
        <w:drawing>
          <wp:inline distT="0" distB="0" distL="0" distR="0" wp14:anchorId="5868AAC1" wp14:editId="66D7276E">
            <wp:extent cx="5410200" cy="2743200"/>
            <wp:effectExtent l="0" t="0" r="0" b="0"/>
            <wp:docPr id="1666101337" name="Chart 1">
              <a:extLst xmlns:a="http://schemas.openxmlformats.org/drawingml/2006/main">
                <a:ext uri="{FF2B5EF4-FFF2-40B4-BE49-F238E27FC236}">
                  <a16:creationId xmlns:a16="http://schemas.microsoft.com/office/drawing/2014/main" id="{15F73771-1EC2-DAE1-E84C-EF3E03D2FD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3B737E" w14:textId="77777777" w:rsidR="00322E2B" w:rsidRDefault="00000000">
      <w:pPr>
        <w:spacing w:before="120" w:after="120" w:line="360" w:lineRule="auto"/>
        <w:jc w:val="both"/>
        <w:rPr>
          <w:rFonts w:ascii="Palatino Linotype" w:eastAsia="Palatino Linotype" w:hAnsi="Palatino Linotype" w:cs="Palatino Linotype"/>
          <w:sz w:val="18"/>
          <w:szCs w:val="18"/>
        </w:rPr>
      </w:pPr>
      <w:r w:rsidRPr="000839A9">
        <w:rPr>
          <w:rFonts w:asciiTheme="majorHAnsi" w:eastAsia="Palatino Linotype" w:hAnsiTheme="majorHAnsi" w:cstheme="majorHAnsi"/>
          <w:b/>
          <w:bCs/>
          <w:i/>
          <w:iCs/>
          <w:sz w:val="18"/>
          <w:szCs w:val="18"/>
        </w:rPr>
        <w:t xml:space="preserve">Source: </w:t>
      </w:r>
      <w:r w:rsidRPr="000839A9">
        <w:rPr>
          <w:rFonts w:asciiTheme="majorHAnsi" w:eastAsia="Palatino Linotype" w:hAnsiTheme="majorHAnsi" w:cstheme="majorHAnsi"/>
          <w:sz w:val="18"/>
          <w:szCs w:val="18"/>
        </w:rPr>
        <w:t>TurkStat Household Labour Force Survey microdata and Ministry of Labour and Social Security.</w:t>
      </w:r>
    </w:p>
    <w:p w14:paraId="609E5776" w14:textId="77777777" w:rsidR="004C7DB2" w:rsidRPr="000839A9" w:rsidRDefault="004C7DB2" w:rsidP="004C7DB2">
      <w:pPr>
        <w:spacing w:before="120" w:after="120" w:line="360" w:lineRule="auto"/>
        <w:jc w:val="both"/>
        <w:rPr>
          <w:rFonts w:asciiTheme="majorHAnsi" w:eastAsia="Palatino Linotype" w:hAnsiTheme="majorHAnsi" w:cstheme="majorHAnsi"/>
          <w:sz w:val="18"/>
          <w:szCs w:val="18"/>
        </w:rPr>
      </w:pPr>
      <w:r w:rsidRPr="000839A9">
        <w:rPr>
          <w:rFonts w:asciiTheme="majorHAnsi" w:eastAsia="Palatino Linotype" w:hAnsiTheme="majorHAnsi" w:cstheme="majorHAnsi"/>
          <w:color w:val="000000"/>
        </w:rPr>
        <w:t>The proportional damage to minimum wage earners, while still severe in absolute terms, is smaller than for average wage earners when measured relative to current income: the flat-scenario loss is equivalent to roughly 2.4 months of the 2025 minimum wage, against 12.5 months of the 2025 average wage, rising to 29 and 39 months, respectively, under the G20 emerging-peer scenario. This is consistent with the policy pattern documented in Figure 4: successive governments repeatedly intervened with large, discrete minimum wage hikes at moments of acute currency stress, in effect using the minimum wage as a social buffer, while average wages were left to adjust more gradually through ordinary labour market bargaining.</w:t>
      </w:r>
    </w:p>
    <w:p w14:paraId="2FD5B92F" w14:textId="7633D150" w:rsidR="00322E2B" w:rsidRPr="00F96A94" w:rsidRDefault="00DC3B68">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DC3B68">
        <w:rPr>
          <w:rFonts w:asciiTheme="majorHAnsi" w:eastAsia="Palatino Linotype" w:hAnsiTheme="majorHAnsi" w:cstheme="majorHAnsi"/>
          <w:color w:val="000000"/>
        </w:rPr>
        <w:t>This protective strategy was not without risk. Allowing the minimum wage to rise sharply toward the average wage compresses the wage structure from below, as already observed at the regional level in Turkey (Gürsel, Uysal and Kökkızıl, 2016). Such compression can, in turn, weaken the earnings premium associated with experience, qualifications and formal education.</w:t>
      </w:r>
      <w:r>
        <w:rPr>
          <w:rFonts w:asciiTheme="majorHAnsi" w:eastAsia="Palatino Linotype" w:hAnsiTheme="majorHAnsi" w:cstheme="majorHAnsi"/>
          <w:color w:val="000000"/>
        </w:rPr>
        <w:t xml:space="preserve"> </w:t>
      </w:r>
      <w:r w:rsidRPr="00F96A94">
        <w:rPr>
          <w:rFonts w:asciiTheme="majorHAnsi" w:eastAsia="Palatino Linotype" w:hAnsiTheme="majorHAnsi" w:cstheme="majorHAnsi"/>
          <w:color w:val="000000"/>
        </w:rPr>
        <w:t xml:space="preserve">Sustained over time, such compression can </w:t>
      </w:r>
      <w:r w:rsidR="00BD4E98" w:rsidRPr="00F96A94">
        <w:rPr>
          <w:rFonts w:asciiTheme="majorHAnsi" w:eastAsia="Palatino Linotype" w:hAnsiTheme="majorHAnsi" w:cstheme="majorHAnsi"/>
          <w:color w:val="000000"/>
        </w:rPr>
        <w:t xml:space="preserve">damage </w:t>
      </w:r>
      <w:r w:rsidRPr="00F96A94">
        <w:rPr>
          <w:rFonts w:asciiTheme="majorHAnsi" w:eastAsia="Palatino Linotype" w:hAnsiTheme="majorHAnsi" w:cstheme="majorHAnsi"/>
          <w:color w:val="000000"/>
        </w:rPr>
        <w:t xml:space="preserve">incentives to invest in skills, </w:t>
      </w:r>
      <w:r w:rsidRPr="00F96A94">
        <w:rPr>
          <w:rFonts w:asciiTheme="majorHAnsi" w:eastAsia="Palatino Linotype" w:hAnsiTheme="majorHAnsi" w:cstheme="majorHAnsi"/>
          <w:color w:val="000000"/>
        </w:rPr>
        <w:lastRenderedPageBreak/>
        <w:t>encourage informal employment where minimum wage rules bind less tightly, and contribute to the migration of skilled workers seeking wage differentials more commensurate with their qualifications abroad. The subsequent decline in the minimum-to-average ratio from 2023 onward, discussed below, can be read as a partial unwinding of this compression once the acute phase of the crisis had passed.</w:t>
      </w:r>
    </w:p>
    <w:p w14:paraId="6D65EFAF" w14:textId="77777777" w:rsidR="00BD4E98" w:rsidRPr="00F96A94" w:rsidRDefault="00BD4E98" w:rsidP="00BD4E98">
      <w:pPr>
        <w:widowControl w:val="0"/>
        <w:pBdr>
          <w:top w:val="nil"/>
          <w:left w:val="nil"/>
          <w:bottom w:val="nil"/>
          <w:right w:val="nil"/>
          <w:between w:val="nil"/>
        </w:pBdr>
        <w:spacing w:before="290" w:line="352" w:lineRule="auto"/>
        <w:ind w:right="256"/>
        <w:jc w:val="both"/>
        <w:rPr>
          <w:rFonts w:ascii="Palatino Linotype" w:eastAsia="Palatino Linotype" w:hAnsi="Palatino Linotype" w:cs="Palatino Linotype"/>
          <w:color w:val="000000"/>
          <w:sz w:val="28"/>
          <w:szCs w:val="28"/>
        </w:rPr>
      </w:pPr>
      <w:r w:rsidRPr="00F96A94">
        <w:rPr>
          <w:rFonts w:asciiTheme="majorHAnsi" w:eastAsia="Palatino Linotype" w:hAnsiTheme="majorHAnsi" w:cstheme="majorHAnsi"/>
          <w:color w:val="000000"/>
        </w:rPr>
        <w:t>The three scenarios in Table 1 are intended as a plausible bracket rather than point estimates. The flat (0 per cent real growth) scenario is a lower bound, showing the loss that would remain even under the minimal assumption that wages should simply have kept pace with prices since 2015. The Eurozone-peer and G20 emerging-peer scenarios are both plausible upper reference points — the former reflecting a mature-economy comparator, the latter a catching-up economy comparator more structurally similar to Türkiye, albeit one whose average already includes Türkiye’s own weak performance and is, if anything, a conservative benchmark. The true counterfactual most plausibly lies within this bracket.</w:t>
      </w:r>
    </w:p>
    <w:p w14:paraId="1B56D2BC" w14:textId="77777777" w:rsidR="00BC74BA" w:rsidRDefault="00BC74BA" w:rsidP="00BC74BA">
      <w:pPr>
        <w:spacing w:before="120" w:after="120"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Table 1. Net area loss, 2015-2025</w:t>
      </w:r>
    </w:p>
    <w:tbl>
      <w:tblPr>
        <w:tblStyle w:val="a"/>
        <w:tblW w:w="9214" w:type="dxa"/>
        <w:tblInd w:w="0" w:type="dxa"/>
        <w:tblLayout w:type="fixed"/>
        <w:tblLook w:val="0400" w:firstRow="0" w:lastRow="0" w:firstColumn="0" w:lastColumn="0" w:noHBand="0" w:noVBand="1"/>
      </w:tblPr>
      <w:tblGrid>
        <w:gridCol w:w="1609"/>
        <w:gridCol w:w="1226"/>
        <w:gridCol w:w="1560"/>
        <w:gridCol w:w="992"/>
        <w:gridCol w:w="1276"/>
        <w:gridCol w:w="1559"/>
        <w:gridCol w:w="992"/>
      </w:tblGrid>
      <w:tr w:rsidR="00594E20" w14:paraId="0EB9A869" w14:textId="77777777" w:rsidTr="00594E20">
        <w:trPr>
          <w:trHeight w:val="300"/>
        </w:trPr>
        <w:tc>
          <w:tcPr>
            <w:tcW w:w="1609" w:type="dxa"/>
            <w:tcBorders>
              <w:top w:val="nil"/>
              <w:left w:val="nil"/>
              <w:right w:val="nil"/>
            </w:tcBorders>
            <w:vAlign w:val="bottom"/>
          </w:tcPr>
          <w:p w14:paraId="7501001F" w14:textId="37F5B4A3" w:rsidR="00594E20" w:rsidRDefault="00594E20" w:rsidP="00C41AEF">
            <w:pPr>
              <w:rPr>
                <w:rFonts w:ascii="Calibri" w:eastAsia="Calibri" w:hAnsi="Calibri" w:cs="Calibri"/>
                <w:color w:val="000000"/>
                <w:sz w:val="22"/>
                <w:szCs w:val="22"/>
              </w:rPr>
            </w:pPr>
          </w:p>
        </w:tc>
        <w:tc>
          <w:tcPr>
            <w:tcW w:w="3778" w:type="dxa"/>
            <w:gridSpan w:val="3"/>
            <w:tcBorders>
              <w:top w:val="nil"/>
              <w:left w:val="nil"/>
              <w:bottom w:val="single" w:sz="4" w:space="0" w:color="000000"/>
              <w:right w:val="nil"/>
            </w:tcBorders>
            <w:vAlign w:val="bottom"/>
          </w:tcPr>
          <w:p w14:paraId="61E99AE5" w14:textId="26202D3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Average wage</w:t>
            </w:r>
          </w:p>
        </w:tc>
        <w:tc>
          <w:tcPr>
            <w:tcW w:w="3827" w:type="dxa"/>
            <w:gridSpan w:val="3"/>
            <w:tcBorders>
              <w:top w:val="nil"/>
              <w:left w:val="nil"/>
              <w:bottom w:val="single" w:sz="4" w:space="0" w:color="auto"/>
            </w:tcBorders>
            <w:vAlign w:val="bottom"/>
          </w:tcPr>
          <w:p w14:paraId="4FCD36BC" w14:textId="2795CC92"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Minimum wage</w:t>
            </w:r>
          </w:p>
        </w:tc>
      </w:tr>
      <w:tr w:rsidR="00594E20" w14:paraId="1919EBAA" w14:textId="6D58EEC1" w:rsidTr="00594E20">
        <w:trPr>
          <w:trHeight w:val="300"/>
        </w:trPr>
        <w:tc>
          <w:tcPr>
            <w:tcW w:w="1609" w:type="dxa"/>
            <w:tcBorders>
              <w:left w:val="nil"/>
              <w:bottom w:val="single" w:sz="4" w:space="0" w:color="000000"/>
              <w:right w:val="nil"/>
            </w:tcBorders>
            <w:vAlign w:val="bottom"/>
          </w:tcPr>
          <w:p w14:paraId="6CDF3981"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Scenario</w:t>
            </w:r>
          </w:p>
        </w:tc>
        <w:tc>
          <w:tcPr>
            <w:tcW w:w="1226" w:type="dxa"/>
            <w:tcBorders>
              <w:top w:val="nil"/>
              <w:left w:val="nil"/>
              <w:bottom w:val="single" w:sz="4" w:space="0" w:color="000000"/>
              <w:right w:val="nil"/>
            </w:tcBorders>
            <w:vAlign w:val="bottom"/>
          </w:tcPr>
          <w:p w14:paraId="4AAE0771" w14:textId="40FB5E0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Total loss €</w:t>
            </w:r>
          </w:p>
        </w:tc>
        <w:tc>
          <w:tcPr>
            <w:tcW w:w="1560" w:type="dxa"/>
            <w:tcBorders>
              <w:top w:val="nil"/>
              <w:left w:val="nil"/>
              <w:bottom w:val="single" w:sz="4" w:space="0" w:color="000000"/>
              <w:right w:val="nil"/>
            </w:tcBorders>
            <w:vAlign w:val="bottom"/>
          </w:tcPr>
          <w:p w14:paraId="11606461" w14:textId="58EA5A56"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Monthly loss €</w:t>
            </w:r>
          </w:p>
        </w:tc>
        <w:tc>
          <w:tcPr>
            <w:tcW w:w="992" w:type="dxa"/>
            <w:tcBorders>
              <w:top w:val="nil"/>
              <w:left w:val="nil"/>
              <w:bottom w:val="single" w:sz="4" w:space="0" w:color="000000"/>
              <w:right w:val="dotted" w:sz="4" w:space="0" w:color="auto"/>
            </w:tcBorders>
          </w:tcPr>
          <w:p w14:paraId="2FE12CBE" w14:textId="15EADA88"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 wage lost</w:t>
            </w:r>
          </w:p>
        </w:tc>
        <w:tc>
          <w:tcPr>
            <w:tcW w:w="1276" w:type="dxa"/>
            <w:tcBorders>
              <w:top w:val="single" w:sz="4" w:space="0" w:color="auto"/>
              <w:left w:val="dotted" w:sz="4" w:space="0" w:color="auto"/>
              <w:bottom w:val="single" w:sz="4" w:space="0" w:color="000000"/>
              <w:right w:val="nil"/>
            </w:tcBorders>
            <w:vAlign w:val="bottom"/>
          </w:tcPr>
          <w:p w14:paraId="39F7870D" w14:textId="28909246"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Total loss €</w:t>
            </w:r>
          </w:p>
        </w:tc>
        <w:tc>
          <w:tcPr>
            <w:tcW w:w="1559" w:type="dxa"/>
            <w:tcBorders>
              <w:top w:val="single" w:sz="4" w:space="0" w:color="auto"/>
              <w:left w:val="nil"/>
              <w:bottom w:val="single" w:sz="4" w:space="0" w:color="000000"/>
              <w:right w:val="nil"/>
            </w:tcBorders>
            <w:vAlign w:val="bottom"/>
          </w:tcPr>
          <w:p w14:paraId="6804BED5" w14:textId="6C470B8E"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Monthly loss €</w:t>
            </w:r>
          </w:p>
        </w:tc>
        <w:tc>
          <w:tcPr>
            <w:tcW w:w="992" w:type="dxa"/>
            <w:tcBorders>
              <w:top w:val="single" w:sz="4" w:space="0" w:color="auto"/>
              <w:left w:val="nil"/>
              <w:bottom w:val="single" w:sz="4" w:space="0" w:color="000000"/>
              <w:right w:val="dotted" w:sz="4" w:space="0" w:color="auto"/>
            </w:tcBorders>
          </w:tcPr>
          <w:p w14:paraId="07CC5116" w14:textId="29189B99"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 wage lost</w:t>
            </w:r>
          </w:p>
        </w:tc>
      </w:tr>
      <w:tr w:rsidR="00594E20" w14:paraId="76A663AB" w14:textId="444F6CEB" w:rsidTr="00594E20">
        <w:trPr>
          <w:trHeight w:val="300"/>
        </w:trPr>
        <w:tc>
          <w:tcPr>
            <w:tcW w:w="1609" w:type="dxa"/>
            <w:tcBorders>
              <w:top w:val="single" w:sz="4" w:space="0" w:color="000000"/>
              <w:left w:val="nil"/>
              <w:bottom w:val="nil"/>
              <w:right w:val="nil"/>
            </w:tcBorders>
            <w:vAlign w:val="bottom"/>
          </w:tcPr>
          <w:p w14:paraId="12729D05"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Flat (0%)</w:t>
            </w:r>
          </w:p>
        </w:tc>
        <w:tc>
          <w:tcPr>
            <w:tcW w:w="1226" w:type="dxa"/>
            <w:tcBorders>
              <w:top w:val="single" w:sz="4" w:space="0" w:color="000000"/>
              <w:left w:val="nil"/>
              <w:bottom w:val="nil"/>
              <w:right w:val="nil"/>
            </w:tcBorders>
            <w:vAlign w:val="bottom"/>
          </w:tcPr>
          <w:p w14:paraId="51FE8E80" w14:textId="32E76A0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8,343</w:t>
            </w:r>
          </w:p>
        </w:tc>
        <w:tc>
          <w:tcPr>
            <w:tcW w:w="1560" w:type="dxa"/>
            <w:tcBorders>
              <w:top w:val="single" w:sz="4" w:space="0" w:color="000000"/>
              <w:left w:val="nil"/>
              <w:bottom w:val="nil"/>
              <w:right w:val="nil"/>
            </w:tcBorders>
            <w:vAlign w:val="bottom"/>
          </w:tcPr>
          <w:p w14:paraId="2DAD9B7E"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63.2</w:t>
            </w:r>
          </w:p>
        </w:tc>
        <w:tc>
          <w:tcPr>
            <w:tcW w:w="992" w:type="dxa"/>
            <w:tcBorders>
              <w:top w:val="single" w:sz="4" w:space="0" w:color="000000"/>
              <w:left w:val="nil"/>
              <w:bottom w:val="nil"/>
              <w:right w:val="dotted" w:sz="4" w:space="0" w:color="auto"/>
            </w:tcBorders>
          </w:tcPr>
          <w:p w14:paraId="42C9FB4C" w14:textId="18CCA8E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11.3</w:t>
            </w:r>
          </w:p>
        </w:tc>
        <w:tc>
          <w:tcPr>
            <w:tcW w:w="1276" w:type="dxa"/>
            <w:tcBorders>
              <w:top w:val="single" w:sz="4" w:space="0" w:color="000000"/>
              <w:left w:val="dotted" w:sz="4" w:space="0" w:color="auto"/>
              <w:bottom w:val="nil"/>
              <w:right w:val="nil"/>
            </w:tcBorders>
            <w:vAlign w:val="bottom"/>
          </w:tcPr>
          <w:p w14:paraId="78330630" w14:textId="6C7E427F"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907</w:t>
            </w:r>
          </w:p>
        </w:tc>
        <w:tc>
          <w:tcPr>
            <w:tcW w:w="1559" w:type="dxa"/>
            <w:tcBorders>
              <w:top w:val="single" w:sz="4" w:space="0" w:color="000000"/>
              <w:left w:val="nil"/>
              <w:bottom w:val="nil"/>
              <w:right w:val="nil"/>
            </w:tcBorders>
            <w:vAlign w:val="bottom"/>
          </w:tcPr>
          <w:p w14:paraId="58816256"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6.9</w:t>
            </w:r>
          </w:p>
        </w:tc>
        <w:tc>
          <w:tcPr>
            <w:tcW w:w="992" w:type="dxa"/>
            <w:tcBorders>
              <w:top w:val="single" w:sz="4" w:space="0" w:color="000000"/>
              <w:left w:val="nil"/>
              <w:bottom w:val="nil"/>
              <w:right w:val="dotted" w:sz="4" w:space="0" w:color="auto"/>
            </w:tcBorders>
          </w:tcPr>
          <w:p w14:paraId="3612487E" w14:textId="06AA652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2.1</w:t>
            </w:r>
          </w:p>
        </w:tc>
      </w:tr>
      <w:tr w:rsidR="00594E20" w14:paraId="359B61FC" w14:textId="7673CA6F" w:rsidTr="00594E20">
        <w:trPr>
          <w:trHeight w:val="300"/>
        </w:trPr>
        <w:tc>
          <w:tcPr>
            <w:tcW w:w="1609" w:type="dxa"/>
            <w:tcBorders>
              <w:top w:val="nil"/>
              <w:left w:val="nil"/>
              <w:right w:val="nil"/>
            </w:tcBorders>
            <w:vAlign w:val="bottom"/>
          </w:tcPr>
          <w:p w14:paraId="684A7C92"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Eurozone peer</w:t>
            </w:r>
          </w:p>
        </w:tc>
        <w:tc>
          <w:tcPr>
            <w:tcW w:w="1226" w:type="dxa"/>
            <w:tcBorders>
              <w:top w:val="nil"/>
              <w:left w:val="nil"/>
              <w:right w:val="nil"/>
            </w:tcBorders>
            <w:vAlign w:val="bottom"/>
          </w:tcPr>
          <w:p w14:paraId="0C99EB26" w14:textId="72DB6528"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10,399</w:t>
            </w:r>
          </w:p>
        </w:tc>
        <w:tc>
          <w:tcPr>
            <w:tcW w:w="1560" w:type="dxa"/>
            <w:tcBorders>
              <w:top w:val="nil"/>
              <w:left w:val="nil"/>
              <w:right w:val="nil"/>
            </w:tcBorders>
            <w:vAlign w:val="bottom"/>
          </w:tcPr>
          <w:p w14:paraId="07DEB8D2"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78.8</w:t>
            </w:r>
          </w:p>
        </w:tc>
        <w:tc>
          <w:tcPr>
            <w:tcW w:w="992" w:type="dxa"/>
            <w:tcBorders>
              <w:top w:val="nil"/>
              <w:left w:val="nil"/>
              <w:right w:val="dotted" w:sz="4" w:space="0" w:color="auto"/>
            </w:tcBorders>
          </w:tcPr>
          <w:p w14:paraId="5E3B9C54" w14:textId="65563122"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13.6</w:t>
            </w:r>
          </w:p>
        </w:tc>
        <w:tc>
          <w:tcPr>
            <w:tcW w:w="1276" w:type="dxa"/>
            <w:tcBorders>
              <w:top w:val="nil"/>
              <w:left w:val="dotted" w:sz="4" w:space="0" w:color="auto"/>
              <w:right w:val="nil"/>
            </w:tcBorders>
            <w:vAlign w:val="bottom"/>
          </w:tcPr>
          <w:p w14:paraId="0665039E" w14:textId="59BA6182"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2,093</w:t>
            </w:r>
          </w:p>
        </w:tc>
        <w:tc>
          <w:tcPr>
            <w:tcW w:w="1559" w:type="dxa"/>
            <w:tcBorders>
              <w:top w:val="nil"/>
              <w:left w:val="nil"/>
              <w:right w:val="nil"/>
            </w:tcBorders>
            <w:vAlign w:val="bottom"/>
          </w:tcPr>
          <w:p w14:paraId="6C488822"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15.9</w:t>
            </w:r>
          </w:p>
        </w:tc>
        <w:tc>
          <w:tcPr>
            <w:tcW w:w="992" w:type="dxa"/>
            <w:tcBorders>
              <w:top w:val="nil"/>
              <w:left w:val="nil"/>
              <w:right w:val="dotted" w:sz="4" w:space="0" w:color="auto"/>
            </w:tcBorders>
          </w:tcPr>
          <w:p w14:paraId="5329FB29" w14:textId="21E602C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4.8</w:t>
            </w:r>
          </w:p>
        </w:tc>
      </w:tr>
      <w:tr w:rsidR="00594E20" w14:paraId="518FFA00" w14:textId="0C953109" w:rsidTr="00594E20">
        <w:trPr>
          <w:trHeight w:val="300"/>
        </w:trPr>
        <w:tc>
          <w:tcPr>
            <w:tcW w:w="1609" w:type="dxa"/>
            <w:tcBorders>
              <w:top w:val="nil"/>
              <w:left w:val="nil"/>
              <w:bottom w:val="single" w:sz="4" w:space="0" w:color="auto"/>
            </w:tcBorders>
            <w:vAlign w:val="bottom"/>
          </w:tcPr>
          <w:p w14:paraId="250ACE1A"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G20 emerging peer</w:t>
            </w:r>
          </w:p>
        </w:tc>
        <w:tc>
          <w:tcPr>
            <w:tcW w:w="1226" w:type="dxa"/>
            <w:tcBorders>
              <w:top w:val="nil"/>
              <w:bottom w:val="single" w:sz="4" w:space="0" w:color="auto"/>
            </w:tcBorders>
            <w:vAlign w:val="center"/>
          </w:tcPr>
          <w:p w14:paraId="2A916ED9" w14:textId="65C4AED5"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26,233</w:t>
            </w:r>
          </w:p>
        </w:tc>
        <w:tc>
          <w:tcPr>
            <w:tcW w:w="1560" w:type="dxa"/>
            <w:tcBorders>
              <w:top w:val="nil"/>
              <w:bottom w:val="single" w:sz="4" w:space="0" w:color="auto"/>
            </w:tcBorders>
            <w:vAlign w:val="center"/>
          </w:tcPr>
          <w:p w14:paraId="2856458A" w14:textId="77777777"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198.7</w:t>
            </w:r>
          </w:p>
        </w:tc>
        <w:tc>
          <w:tcPr>
            <w:tcW w:w="992" w:type="dxa"/>
            <w:tcBorders>
              <w:top w:val="nil"/>
              <w:bottom w:val="single" w:sz="4" w:space="0" w:color="auto"/>
              <w:right w:val="dotted" w:sz="4" w:space="0" w:color="auto"/>
            </w:tcBorders>
            <w:vAlign w:val="center"/>
          </w:tcPr>
          <w:p w14:paraId="20CE743F" w14:textId="7097C12D"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28.5</w:t>
            </w:r>
          </w:p>
        </w:tc>
        <w:tc>
          <w:tcPr>
            <w:tcW w:w="1276" w:type="dxa"/>
            <w:tcBorders>
              <w:top w:val="nil"/>
              <w:left w:val="dotted" w:sz="4" w:space="0" w:color="auto"/>
              <w:bottom w:val="single" w:sz="4" w:space="0" w:color="auto"/>
            </w:tcBorders>
            <w:vAlign w:val="center"/>
          </w:tcPr>
          <w:p w14:paraId="10B67649" w14:textId="2FE93622"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11,231</w:t>
            </w:r>
          </w:p>
        </w:tc>
        <w:tc>
          <w:tcPr>
            <w:tcW w:w="1559" w:type="dxa"/>
            <w:tcBorders>
              <w:top w:val="nil"/>
              <w:bottom w:val="single" w:sz="4" w:space="0" w:color="auto"/>
            </w:tcBorders>
            <w:vAlign w:val="center"/>
          </w:tcPr>
          <w:p w14:paraId="42E47602" w14:textId="77777777"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85.1</w:t>
            </w:r>
          </w:p>
        </w:tc>
        <w:tc>
          <w:tcPr>
            <w:tcW w:w="992" w:type="dxa"/>
            <w:tcBorders>
              <w:top w:val="nil"/>
              <w:bottom w:val="single" w:sz="4" w:space="0" w:color="auto"/>
              <w:right w:val="dotted" w:sz="4" w:space="0" w:color="auto"/>
            </w:tcBorders>
            <w:vAlign w:val="center"/>
          </w:tcPr>
          <w:p w14:paraId="5286D147" w14:textId="77EB0A3C"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21.2</w:t>
            </w:r>
          </w:p>
        </w:tc>
      </w:tr>
    </w:tbl>
    <w:p w14:paraId="1B76B296" w14:textId="7246EC71" w:rsidR="00BC74BA" w:rsidRDefault="000839A9" w:rsidP="00BC74BA">
      <w:pPr>
        <w:spacing w:before="120" w:after="120" w:line="360" w:lineRule="auto"/>
        <w:jc w:val="both"/>
        <w:rPr>
          <w:rFonts w:ascii="Palatino Linotype" w:eastAsia="Palatino Linotype" w:hAnsi="Palatino Linotype" w:cs="Palatino Linotype"/>
          <w:sz w:val="18"/>
          <w:szCs w:val="18"/>
        </w:rPr>
      </w:pPr>
      <w:r w:rsidRPr="000839A9">
        <w:rPr>
          <w:rFonts w:ascii="Palatino Linotype" w:eastAsia="Palatino Linotype" w:hAnsi="Palatino Linotype" w:cs="Palatino Linotype"/>
          <w:b/>
          <w:bCs/>
          <w:i/>
          <w:iCs/>
          <w:sz w:val="18"/>
          <w:szCs w:val="18"/>
        </w:rPr>
        <w:t xml:space="preserve">Notes: </w:t>
      </w:r>
      <w:r>
        <w:rPr>
          <w:rFonts w:ascii="Palatino Linotype" w:eastAsia="Palatino Linotype" w:hAnsi="Palatino Linotype" w:cs="Palatino Linotype"/>
          <w:sz w:val="18"/>
          <w:szCs w:val="18"/>
        </w:rPr>
        <w:t>The table calculates the difference between a counterfactual wage based on the shown scenarios and the actual wage seen in the country</w:t>
      </w:r>
      <w:r w:rsidR="00120231">
        <w:rPr>
          <w:rFonts w:ascii="Palatino Linotype" w:eastAsia="Palatino Linotype" w:hAnsi="Palatino Linotype" w:cs="Palatino Linotype"/>
          <w:sz w:val="18"/>
          <w:szCs w:val="18"/>
        </w:rPr>
        <w:t>;</w:t>
      </w:r>
      <w:r>
        <w:rPr>
          <w:rFonts w:ascii="Palatino Linotype" w:eastAsia="Palatino Linotype" w:hAnsi="Palatino Linotype" w:cs="Palatino Linotype"/>
          <w:sz w:val="18"/>
          <w:szCs w:val="18"/>
        </w:rPr>
        <w:t xml:space="preserve"> it adds up the difference between 2015 and 2025 and reports it monthly and overall.</w:t>
      </w:r>
    </w:p>
    <w:p w14:paraId="352E1ABD" w14:textId="358E4281" w:rsidR="00322E2B" w:rsidRDefault="005F672D">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F96A94">
        <w:rPr>
          <w:rFonts w:asciiTheme="majorHAnsi" w:eastAsia="Palatino Linotype" w:hAnsiTheme="majorHAnsi" w:cstheme="majorHAnsi"/>
          <w:color w:val="000000"/>
        </w:rPr>
        <w:t>Using the Central Bank of the Republic of Turkey’s own reported household savings rate of 10.9 per cent of disposable income,</w:t>
      </w:r>
      <w:r w:rsidR="004C7DB2">
        <w:rPr>
          <w:rStyle w:val="FootnoteReference"/>
          <w:rFonts w:asciiTheme="majorHAnsi" w:eastAsia="Palatino Linotype" w:hAnsiTheme="majorHAnsi" w:cstheme="majorHAnsi"/>
          <w:color w:val="000000"/>
        </w:rPr>
        <w:footnoteReference w:id="11"/>
      </w:r>
      <w:r w:rsidRPr="00F96A94">
        <w:rPr>
          <w:rFonts w:asciiTheme="majorHAnsi" w:eastAsia="Palatino Linotype" w:hAnsiTheme="majorHAnsi" w:cstheme="majorHAnsi"/>
          <w:color w:val="000000"/>
        </w:rPr>
        <w:t xml:space="preserve"> and the average real euro wage level observed in 2025, recovering the lost purchasing power implied by the flat (0 per cent growth) scenario — the most conservative bound considered — would take an average wage earner an estimated 9.5 years of saving, and a minimum wage earner 1.8 years.</w:t>
      </w:r>
      <w:r w:rsidR="003A0ABF" w:rsidRPr="00F96A94">
        <w:rPr>
          <w:rStyle w:val="FootnoteReference"/>
          <w:rFonts w:asciiTheme="majorHAnsi" w:eastAsia="Palatino Linotype" w:hAnsiTheme="majorHAnsi" w:cstheme="majorHAnsi"/>
          <w:color w:val="000000"/>
        </w:rPr>
        <w:footnoteReference w:id="12"/>
      </w:r>
      <w:r w:rsidRPr="00F96A94">
        <w:rPr>
          <w:rFonts w:asciiTheme="majorHAnsi" w:eastAsia="Palatino Linotype" w:hAnsiTheme="majorHAnsi" w:cstheme="majorHAnsi"/>
          <w:color w:val="000000"/>
        </w:rPr>
        <w:t xml:space="preserve"> Under the G20 emerging-peer scenario — the upper bound, and if anything a conservative one, since Türkiye’s own weak wage performance is itself included in that peer average — the equivalent figures rise to 30.0 </w:t>
      </w:r>
      <w:r w:rsidRPr="00F96A94">
        <w:rPr>
          <w:rFonts w:asciiTheme="majorHAnsi" w:eastAsia="Palatino Linotype" w:hAnsiTheme="majorHAnsi" w:cstheme="majorHAnsi"/>
          <w:color w:val="000000"/>
        </w:rPr>
        <w:lastRenderedPageBreak/>
        <w:t xml:space="preserve">years for the average wage earner and 22.3 years for the minimum wage earner. </w:t>
      </w:r>
    </w:p>
    <w:p w14:paraId="0394E35A" w14:textId="6FCF3BF9" w:rsidR="0035593F" w:rsidRPr="00F96A94" w:rsidRDefault="0035593F">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sz w:val="28"/>
          <w:szCs w:val="28"/>
        </w:rPr>
      </w:pPr>
      <w:r w:rsidRPr="0035593F">
        <w:rPr>
          <w:rFonts w:asciiTheme="majorHAnsi" w:eastAsia="Palatino Linotype" w:hAnsiTheme="majorHAnsi" w:cstheme="majorHAnsi"/>
          <w:color w:val="000000"/>
        </w:rPr>
        <w:t>A striking feature of the flat-scenario estimate is its proximity to Türkiye's household savings rate: the 11.3 per cent loss estimated for the average wage earner under the most conservative counterfactual is almost identical to the 10.9 per cent of disposable income Turkish households typically save. This suggests a plausible, if indirect, reading of the result — that even under the most cautious assumptions, the erosion of real wages did not primarily displace ordinary consumption, but rather absorbed what would otherwise have been the average worker's entire savings margin. No equivalent coincidence holds for the minimum wage, whose flat-scenario loss (2.1 per cent) falls well short of the savings rate, consistent with minimum wage earners having little to no savings margin to erode in the first place.</w:t>
      </w:r>
    </w:p>
    <w:p w14:paraId="44C49642" w14:textId="77777777" w:rsidR="00322E2B" w:rsidRDefault="00322E2B">
      <w:pPr>
        <w:spacing w:before="120" w:after="120" w:line="360" w:lineRule="auto"/>
        <w:jc w:val="both"/>
        <w:rPr>
          <w:rFonts w:ascii="Palatino Linotype" w:eastAsia="Palatino Linotype" w:hAnsi="Palatino Linotype" w:cs="Palatino Linotype"/>
          <w:sz w:val="18"/>
          <w:szCs w:val="18"/>
        </w:rPr>
      </w:pPr>
    </w:p>
    <w:p w14:paraId="44C53466" w14:textId="77777777" w:rsidR="00322E2B" w:rsidRPr="000839A9" w:rsidRDefault="00000000" w:rsidP="00766059">
      <w:pPr>
        <w:pStyle w:val="Heading2"/>
        <w:numPr>
          <w:ilvl w:val="0"/>
          <w:numId w:val="2"/>
        </w:numPr>
        <w:spacing w:after="120"/>
        <w:ind w:left="360"/>
        <w:rPr>
          <w:rFonts w:asciiTheme="majorHAnsi" w:hAnsiTheme="majorHAnsi" w:cstheme="majorHAnsi"/>
        </w:rPr>
      </w:pPr>
      <w:r w:rsidRPr="000839A9">
        <w:rPr>
          <w:rFonts w:asciiTheme="majorHAnsi" w:eastAsia="Palatino Linotype" w:hAnsiTheme="majorHAnsi" w:cstheme="majorHAnsi"/>
        </w:rPr>
        <w:t>Conclusions</w:t>
      </w:r>
    </w:p>
    <w:p w14:paraId="5C77FF66" w14:textId="77777777" w:rsidR="00322E2B"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F96A94">
        <w:rPr>
          <w:rFonts w:asciiTheme="majorHAnsi" w:eastAsia="Palatino Linotype" w:hAnsiTheme="majorHAnsi" w:cstheme="majorHAnsi"/>
          <w:color w:val="000000"/>
        </w:rPr>
        <w:t>The divergence documented throughout this brief is, in the end, a story of two starkly different pictures of the same decade. Deflating nominal wages with the official TÜİK CPI implies that both the average and minimum wage grew by roughly 75 and 66 per cent, respectively, in real terms between 2015 and 2025. Deflating the same nominal wages with the independent ENAG CPI implies instead a collapse of around 60 per cent in both series over the same period. These are not small differences of degree; they are opposite conclusions about whether Turkish workers are, on net, better or worse off than a decade ago.</w:t>
      </w:r>
    </w:p>
    <w:p w14:paraId="028DDDCD" w14:textId="77777777" w:rsidR="00322E2B"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F96A94">
        <w:rPr>
          <w:rFonts w:asciiTheme="majorHAnsi" w:eastAsia="Palatino Linotype" w:hAnsiTheme="majorHAnsi" w:cstheme="majorHAnsi"/>
          <w:color w:val="000000"/>
        </w:rPr>
        <w:t>Because both domestic indices are, to different degrees, contested, this brief also constructed a third, non-partisan benchmark: nominal wages converted into euros at the contemporaneous exchange rate and deflated using the Euro Area CPI, a measure that depends on neither TÜİK nor ENAG. This series is a useful arbiter precisely because it is external to the domestic dispute.</w:t>
      </w:r>
    </w:p>
    <w:p w14:paraId="1782AA9C" w14:textId="77777777" w:rsidR="00322E2B"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F96A94">
        <w:rPr>
          <w:rFonts w:asciiTheme="majorHAnsi" w:eastAsia="Palatino Linotype" w:hAnsiTheme="majorHAnsi" w:cstheme="majorHAnsi"/>
          <w:color w:val="000000"/>
        </w:rPr>
        <w:t xml:space="preserve">The euro-based series suggests that neither domestic narrative is fully correct on its own. Real wages in euro terms fell sharply during the 2018–2022 period, consistent with the view that official TÜİK inflation understated the true cost-of-living pressures Turkish households faced during those years. From 2023 onward, however, the euro-based series recovered strongly and now sits close to, and for the average wage above, its 2015 level — a trajectory much closer to TÜİK’s account of the post-2023 period than to ENAG’s, which continues to show a </w:t>
      </w:r>
      <w:r w:rsidRPr="00F96A94">
        <w:rPr>
          <w:rFonts w:asciiTheme="majorHAnsi" w:eastAsia="Palatino Linotype" w:hAnsiTheme="majorHAnsi" w:cstheme="majorHAnsi"/>
          <w:color w:val="000000"/>
        </w:rPr>
        <w:lastRenderedPageBreak/>
        <w:t>deep and unrecovered loss. This points to a plausible middle-ground reading: TÜİK likely understated inflation during the pre-2023 crisis years, while ENAG’s estimates may have overstated the extent of the post-2023 deterioration.</w:t>
      </w:r>
    </w:p>
    <w:p w14:paraId="6EB2C659" w14:textId="7666F05F" w:rsidR="00F83C22"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sidRPr="00F96A94">
        <w:rPr>
          <w:rFonts w:asciiTheme="majorHAnsi" w:eastAsia="Palatino Linotype" w:hAnsiTheme="majorHAnsi" w:cstheme="majorHAnsi"/>
          <w:color w:val="000000"/>
        </w:rPr>
        <w:t xml:space="preserve">The magnitude of the damage documented in Table 1 is, under any of the three scenarios considered, substantial. </w:t>
      </w:r>
      <w:r w:rsidR="00F83C22" w:rsidRPr="00F96A94">
        <w:rPr>
          <w:rFonts w:asciiTheme="majorHAnsi" w:eastAsia="Palatino Linotype" w:hAnsiTheme="majorHAnsi" w:cstheme="majorHAnsi"/>
          <w:color w:val="000000"/>
        </w:rPr>
        <w:t>The range of saving-years lost by the average employee is bounded between 9.5 and 30 and for minimum wage earners between 1.8 and 22.3. The true figure most plausibly lies within these bounds, but even at the lower end, the loss represents a multi-year setback in household savings capacity that is difficult to reconcile with any account of the past decade as one of rising prosperity.</w:t>
      </w:r>
    </w:p>
    <w:p w14:paraId="196408C3" w14:textId="77777777" w:rsidR="00322E2B" w:rsidRPr="00F96A94" w:rsidRDefault="00000000">
      <w:pPr>
        <w:widowControl w:val="0"/>
        <w:pBdr>
          <w:top w:val="nil"/>
          <w:left w:val="nil"/>
          <w:bottom w:val="nil"/>
          <w:right w:val="nil"/>
          <w:between w:val="nil"/>
        </w:pBdr>
        <w:spacing w:before="290" w:line="352" w:lineRule="auto"/>
        <w:ind w:right="256"/>
        <w:jc w:val="both"/>
        <w:rPr>
          <w:rFonts w:ascii="Palatino Linotype" w:eastAsia="Palatino Linotype" w:hAnsi="Palatino Linotype" w:cs="Palatino Linotype"/>
          <w:color w:val="000000"/>
          <w:sz w:val="28"/>
          <w:szCs w:val="28"/>
        </w:rPr>
      </w:pPr>
      <w:r w:rsidRPr="00F96A94">
        <w:rPr>
          <w:rFonts w:asciiTheme="majorHAnsi" w:eastAsia="Palatino Linotype" w:hAnsiTheme="majorHAnsi" w:cstheme="majorHAnsi"/>
          <w:color w:val="000000"/>
        </w:rPr>
        <w:t>Taken together, these findings point to one overarching conclusion: the coexistence of two competing, mutually contradictory inflation measures imposes real costs on Türkiye, both on individual workers, who cannot reliably know whether their wages are keeping pace with the cost of living, and on the credibility of economic policymaking more broadly. Restoring trust in a single, credible consumer price index — whether through methodological reform at TÜİK, independent oversight, or some combination of the two — is not merely a statistical housekeeping matter. It is a precondition for protecting workers’ purchasing power and for restoring the basic public trust that any functioning economy requires.</w:t>
      </w:r>
    </w:p>
    <w:p w14:paraId="082DCF94" w14:textId="77777777" w:rsidR="004464CE" w:rsidRDefault="004464CE">
      <w:pPr>
        <w:widowControl w:val="0"/>
        <w:pBdr>
          <w:top w:val="nil"/>
          <w:left w:val="nil"/>
          <w:bottom w:val="nil"/>
          <w:right w:val="nil"/>
          <w:between w:val="nil"/>
        </w:pBdr>
        <w:spacing w:before="290" w:line="352" w:lineRule="auto"/>
        <w:ind w:right="256"/>
        <w:jc w:val="both"/>
        <w:rPr>
          <w:rFonts w:ascii="Palatino Linotype" w:eastAsia="Palatino Linotype" w:hAnsi="Palatino Linotype" w:cs="Palatino Linotype"/>
          <w:color w:val="000000"/>
        </w:rPr>
      </w:pPr>
    </w:p>
    <w:p w14:paraId="2DB0D8AA" w14:textId="2246D522" w:rsidR="00322E2B" w:rsidRPr="00F96A94" w:rsidRDefault="00F96A94">
      <w:pPr>
        <w:spacing w:line="360" w:lineRule="auto"/>
        <w:jc w:val="both"/>
        <w:rPr>
          <w:rFonts w:asciiTheme="majorHAnsi" w:eastAsia="Palatino Linotype" w:hAnsiTheme="majorHAnsi" w:cstheme="majorHAnsi"/>
          <w:b/>
          <w:bCs/>
        </w:rPr>
      </w:pPr>
      <w:r w:rsidRPr="00F96A94">
        <w:rPr>
          <w:rFonts w:asciiTheme="majorHAnsi" w:eastAsia="Palatino Linotype" w:hAnsiTheme="majorHAnsi" w:cstheme="majorHAnsi"/>
          <w:b/>
          <w:bCs/>
        </w:rPr>
        <w:t>References</w:t>
      </w:r>
    </w:p>
    <w:p w14:paraId="292ED525" w14:textId="35AC06CA" w:rsidR="000839A9" w:rsidRPr="00F96A94" w:rsidRDefault="000839A9" w:rsidP="000839A9">
      <w:pPr>
        <w:spacing w:after="120"/>
        <w:jc w:val="both"/>
        <w:rPr>
          <w:rFonts w:asciiTheme="majorHAnsi" w:eastAsia="Palatino Linotype" w:hAnsiTheme="majorHAnsi" w:cstheme="majorHAnsi"/>
          <w:lang w:val="en-US"/>
        </w:rPr>
      </w:pPr>
      <w:r w:rsidRPr="00F96A94">
        <w:rPr>
          <w:rFonts w:asciiTheme="majorHAnsi" w:eastAsia="Palatino Linotype" w:hAnsiTheme="majorHAnsi" w:cstheme="majorHAnsi"/>
          <w:lang w:val="en-US"/>
        </w:rPr>
        <w:t>Aldan, A. and Gürcihan Yüncüler, H. B. (2016). Real Wages and the Business Cycle in Turkey. CBRT Working Paper No. 16/25. Central Bank of the Republic of Turkey, Ankara.</w:t>
      </w:r>
    </w:p>
    <w:p w14:paraId="6AB71F00" w14:textId="7F738E64" w:rsidR="000839A9" w:rsidRPr="00F96A94" w:rsidRDefault="000839A9" w:rsidP="000839A9">
      <w:pPr>
        <w:spacing w:after="120"/>
        <w:jc w:val="both"/>
        <w:rPr>
          <w:rFonts w:asciiTheme="majorHAnsi" w:eastAsia="Palatino Linotype" w:hAnsiTheme="majorHAnsi" w:cstheme="majorHAnsi"/>
          <w:lang w:val="en-US"/>
        </w:rPr>
      </w:pPr>
      <w:r w:rsidRPr="00F96A94">
        <w:rPr>
          <w:rFonts w:asciiTheme="majorHAnsi" w:eastAsia="Palatino Linotype" w:hAnsiTheme="majorHAnsi" w:cstheme="majorHAnsi"/>
          <w:lang w:val="en-US"/>
        </w:rPr>
        <w:t>Betti, G., Ceritoğlu, E., Küçükbayrak, M. and Sevinç, Ö. (2022). Central Bank of the Republic of Turkey Household Finance and Consumption Survey Methodology. CBRT Working Paper No. 22/01. Central Bank of the Republic of Turkey, Ankara.</w:t>
      </w:r>
    </w:p>
    <w:p w14:paraId="0E2D33C5" w14:textId="76CF3FCE" w:rsidR="000839A9" w:rsidRPr="00F96A94" w:rsidRDefault="000839A9" w:rsidP="000839A9">
      <w:pPr>
        <w:spacing w:after="120"/>
        <w:jc w:val="both"/>
        <w:rPr>
          <w:rFonts w:asciiTheme="majorHAnsi" w:eastAsia="Palatino Linotype" w:hAnsiTheme="majorHAnsi" w:cstheme="majorHAnsi"/>
          <w:lang w:val="en-US"/>
        </w:rPr>
      </w:pPr>
      <w:r w:rsidRPr="00F96A94">
        <w:rPr>
          <w:rFonts w:asciiTheme="majorHAnsi" w:eastAsia="Palatino Linotype" w:hAnsiTheme="majorHAnsi" w:cstheme="majorHAnsi"/>
          <w:lang w:val="en-US"/>
        </w:rPr>
        <w:t xml:space="preserve">Ceritoğlu, E. and Cılasun, S. M. (2017). Have Our Views on the Savings Gap Changed After the National Income Revision? CBRT Blog, Central Bank of the Republic of Turkey. </w:t>
      </w:r>
    </w:p>
    <w:p w14:paraId="47F1EF4F" w14:textId="3578D5C3" w:rsidR="000839A9" w:rsidRPr="00F96A94" w:rsidRDefault="000839A9" w:rsidP="000839A9">
      <w:pPr>
        <w:spacing w:after="120"/>
        <w:jc w:val="both"/>
        <w:rPr>
          <w:rFonts w:asciiTheme="majorHAnsi" w:eastAsia="Palatino Linotype" w:hAnsiTheme="majorHAnsi" w:cstheme="majorHAnsi"/>
          <w:lang w:val="en-US"/>
        </w:rPr>
      </w:pPr>
      <w:r w:rsidRPr="00F96A94">
        <w:rPr>
          <w:rFonts w:asciiTheme="majorHAnsi" w:eastAsia="Palatino Linotype" w:hAnsiTheme="majorHAnsi" w:cstheme="majorHAnsi"/>
          <w:lang w:val="en-US"/>
        </w:rPr>
        <w:t xml:space="preserve">Gürsel, S., Uysal, G. and Kökkızıl, M. (2016). Regional Effects of the Minimum Wage Increase. Betam Research Brief, Bahçeşehir University. </w:t>
      </w:r>
    </w:p>
    <w:p w14:paraId="277688C9" w14:textId="67C036BA" w:rsidR="000839A9" w:rsidRPr="00F96A94" w:rsidRDefault="000839A9" w:rsidP="000839A9">
      <w:pPr>
        <w:spacing w:after="120"/>
        <w:jc w:val="both"/>
        <w:rPr>
          <w:rFonts w:asciiTheme="majorHAnsi" w:eastAsia="Palatino Linotype" w:hAnsiTheme="majorHAnsi" w:cstheme="majorHAnsi"/>
          <w:lang w:val="en-US"/>
        </w:rPr>
      </w:pPr>
      <w:r w:rsidRPr="00F96A94">
        <w:rPr>
          <w:rFonts w:asciiTheme="majorHAnsi" w:eastAsia="Palatino Linotype" w:hAnsiTheme="majorHAnsi" w:cstheme="majorHAnsi"/>
          <w:lang w:val="en-US"/>
        </w:rPr>
        <w:t xml:space="preserve">International Labour Organization (2022). Global Wage Report 2022–23: The Impact of Inflation and COVID-19 on Wages and Purchasing Power. ILO, Geneva. </w:t>
      </w:r>
    </w:p>
    <w:p w14:paraId="7474B198" w14:textId="6A1267FC" w:rsidR="00322E2B" w:rsidRPr="000839A9" w:rsidRDefault="000839A9" w:rsidP="007A4F82">
      <w:pPr>
        <w:spacing w:after="120"/>
        <w:jc w:val="both"/>
        <w:rPr>
          <w:rFonts w:ascii="Palatino Linotype" w:eastAsia="Palatino Linotype" w:hAnsi="Palatino Linotype" w:cs="Palatino Linotype"/>
          <w:lang w:val="en-US"/>
        </w:rPr>
      </w:pPr>
      <w:r w:rsidRPr="00F96A94">
        <w:rPr>
          <w:rFonts w:asciiTheme="majorHAnsi" w:eastAsia="Palatino Linotype" w:hAnsiTheme="majorHAnsi" w:cstheme="majorHAnsi"/>
          <w:lang w:val="en-US"/>
        </w:rPr>
        <w:t xml:space="preserve">International Labour Organization (2024). Global Wage Report 2024–25: Is Wage Inequality Decreasing Globally? </w:t>
      </w:r>
      <w:r w:rsidRPr="003140FD">
        <w:rPr>
          <w:rFonts w:asciiTheme="majorHAnsi" w:eastAsia="Palatino Linotype" w:hAnsiTheme="majorHAnsi" w:cstheme="majorHAnsi"/>
          <w:lang w:val="en-US"/>
        </w:rPr>
        <w:t xml:space="preserve">ILO, Geneva. </w:t>
      </w:r>
    </w:p>
    <w:sectPr w:rsidR="00322E2B" w:rsidRPr="000839A9">
      <w:footerReference w:type="default" r:id="rId13"/>
      <w:pgSz w:w="11905" w:h="16837"/>
      <w:pgMar w:top="1296" w:right="1296" w:bottom="1296" w:left="129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8B6F2" w14:textId="77777777" w:rsidR="00C75C2B" w:rsidRDefault="00C75C2B">
      <w:r>
        <w:separator/>
      </w:r>
    </w:p>
  </w:endnote>
  <w:endnote w:type="continuationSeparator" w:id="0">
    <w:p w14:paraId="280C1A1C" w14:textId="77777777" w:rsidR="00C75C2B" w:rsidRDefault="00C7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embedRegular r:id="rId1" w:fontKey="{49215C65-7969-4809-A761-509F0B65526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14916A2-9529-4F6D-92FA-554AC17052B6}"/>
  </w:font>
  <w:font w:name="Palatino Linotype">
    <w:panose1 w:val="02040502050505030304"/>
    <w:charset w:val="00"/>
    <w:family w:val="roman"/>
    <w:pitch w:val="variable"/>
    <w:sig w:usb0="E0000287" w:usb1="40000013" w:usb2="00000000" w:usb3="00000000" w:csb0="0000019F" w:csb1="00000000"/>
    <w:embedRegular r:id="rId3" w:fontKey="{D4647EE8-AF22-495D-95E9-3B037264CC30}"/>
    <w:embedBold r:id="rId4" w:fontKey="{457F2826-BA83-4669-9640-E16A7F663BC5}"/>
    <w:embedBoldItalic r:id="rId5" w:fontKey="{4D382703-F473-4758-A0FA-CB8BE6AB7148}"/>
  </w:font>
  <w:font w:name="Calibri">
    <w:panose1 w:val="020F0502020204030204"/>
    <w:charset w:val="00"/>
    <w:family w:val="swiss"/>
    <w:pitch w:val="variable"/>
    <w:sig w:usb0="E4002EFF" w:usb1="C200247B" w:usb2="00000009" w:usb3="00000000" w:csb0="000001FF" w:csb1="00000000"/>
    <w:embedRegular r:id="rId6" w:fontKey="{0F0B23E8-BD5C-43CD-AB5D-46A208D6E2BD}"/>
    <w:embedBold r:id="rId7" w:fontKey="{6E0D91BB-18CC-4708-B21D-104C180BA486}"/>
    <w:embedBoldItalic r:id="rId8" w:fontKey="{34BEA1B8-5375-4CBC-95F2-395DBF351BF0}"/>
  </w:font>
  <w:font w:name="Cambria">
    <w:panose1 w:val="02040503050406030204"/>
    <w:charset w:val="00"/>
    <w:family w:val="roman"/>
    <w:pitch w:val="variable"/>
    <w:sig w:usb0="E00006FF" w:usb1="420024FF" w:usb2="02000000" w:usb3="00000000" w:csb0="0000019F" w:csb1="00000000"/>
    <w:embedRegular r:id="rId9" w:fontKey="{7DE013C6-A691-4B6D-95D3-0C416171C6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5716" w14:textId="77777777" w:rsidR="00322E2B" w:rsidRDefault="00000000">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0743E9">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674EC2A1" w14:textId="77777777" w:rsidR="00322E2B" w:rsidRDefault="00000000">
    <w:pPr>
      <w:pBdr>
        <w:top w:val="nil"/>
        <w:left w:val="nil"/>
        <w:bottom w:val="nil"/>
        <w:right w:val="nil"/>
        <w:between w:val="nil"/>
      </w:pBdr>
      <w:tabs>
        <w:tab w:val="center" w:pos="4536"/>
        <w:tab w:val="right" w:pos="9072"/>
      </w:tabs>
      <w:ind w:right="360"/>
      <w:jc w:val="center"/>
      <w:rPr>
        <w:rFonts w:ascii="Arial" w:eastAsia="Arial" w:hAnsi="Arial" w:cs="Arial"/>
        <w:b/>
        <w:bCs/>
        <w:i/>
        <w:iCs/>
        <w:color w:val="000000"/>
        <w:sz w:val="20"/>
        <w:szCs w:val="20"/>
      </w:rPr>
    </w:pPr>
    <w:r>
      <w:rPr>
        <w:rFonts w:ascii="Arial" w:eastAsia="Arial" w:hAnsi="Arial" w:cs="Arial"/>
        <w:b/>
        <w:bCs/>
        <w:i/>
        <w:iCs/>
        <w:color w:val="000000"/>
        <w:sz w:val="20"/>
        <w:szCs w:val="20"/>
      </w:rPr>
      <w:t>betam.bahcesehir.edu.tr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6B10" w14:textId="77777777" w:rsidR="00C75C2B" w:rsidRDefault="00C75C2B">
      <w:r>
        <w:separator/>
      </w:r>
    </w:p>
  </w:footnote>
  <w:footnote w:type="continuationSeparator" w:id="0">
    <w:p w14:paraId="462D3686" w14:textId="77777777" w:rsidR="00C75C2B" w:rsidRDefault="00C75C2B">
      <w:r>
        <w:continuationSeparator/>
      </w:r>
    </w:p>
  </w:footnote>
  <w:footnote w:id="1">
    <w:p w14:paraId="1C13ECA1" w14:textId="3C294AA6" w:rsidR="00322E2B" w:rsidRDefault="00000000">
      <w:pPr>
        <w:pBdr>
          <w:top w:val="nil"/>
          <w:left w:val="nil"/>
          <w:bottom w:val="nil"/>
          <w:right w:val="nil"/>
          <w:between w:val="nil"/>
        </w:pBdr>
        <w:jc w:val="both"/>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Çevrimiçi ek dosyalarına Betam web sitesinden ulaşılabilir: </w:t>
      </w:r>
      <w:hyperlink r:id="rId1" w:history="1">
        <w:r w:rsidR="009C58E1" w:rsidRPr="003F5CD4">
          <w:rPr>
            <w:rStyle w:val="Hyperlink"/>
            <w:sz w:val="20"/>
            <w:szCs w:val="20"/>
          </w:rPr>
          <w:t>https://betam.bahcesehir.edu.tr/2026/08/</w:t>
        </w:r>
      </w:hyperlink>
      <w:r>
        <w:rPr>
          <w:color w:val="000000"/>
          <w:sz w:val="20"/>
          <w:szCs w:val="20"/>
        </w:rPr>
        <w:t>?</w:t>
      </w:r>
    </w:p>
    <w:p w14:paraId="4369A073" w14:textId="77777777" w:rsidR="00322E2B" w:rsidRDefault="00322E2B">
      <w:pPr>
        <w:pBdr>
          <w:top w:val="nil"/>
          <w:left w:val="nil"/>
          <w:bottom w:val="nil"/>
          <w:right w:val="nil"/>
          <w:between w:val="nil"/>
        </w:pBdr>
        <w:jc w:val="both"/>
        <w:rPr>
          <w:rFonts w:ascii="Palatino Linotype" w:eastAsia="Palatino Linotype" w:hAnsi="Palatino Linotype" w:cs="Palatino Linotype"/>
          <w:color w:val="000000"/>
          <w:sz w:val="18"/>
          <w:szCs w:val="18"/>
        </w:rPr>
      </w:pPr>
    </w:p>
    <w:p w14:paraId="463D2BF3" w14:textId="77777777" w:rsidR="00322E2B" w:rsidRPr="000743E9" w:rsidRDefault="00000000">
      <w:pPr>
        <w:pBdr>
          <w:top w:val="nil"/>
          <w:left w:val="nil"/>
          <w:bottom w:val="nil"/>
          <w:right w:val="nil"/>
          <w:between w:val="nil"/>
        </w:pBdr>
        <w:jc w:val="both"/>
        <w:rPr>
          <w:rFonts w:ascii="Palatino Linotype" w:eastAsia="Palatino Linotype" w:hAnsi="Palatino Linotype" w:cs="Palatino Linotype"/>
          <w:color w:val="000000"/>
          <w:sz w:val="18"/>
          <w:szCs w:val="18"/>
          <w:lang w:val="es-ES"/>
        </w:rPr>
      </w:pPr>
      <w:r w:rsidRPr="000743E9">
        <w:rPr>
          <w:rFonts w:ascii="Palatino Linotype" w:eastAsia="Palatino Linotype" w:hAnsi="Palatino Linotype" w:cs="Palatino Linotype"/>
          <w:color w:val="000000"/>
          <w:sz w:val="18"/>
          <w:szCs w:val="18"/>
          <w:vertAlign w:val="superscript"/>
          <w:lang w:val="es-ES"/>
        </w:rPr>
        <w:t>*</w:t>
      </w:r>
      <w:r w:rsidRPr="000743E9">
        <w:rPr>
          <w:rFonts w:ascii="Palatino Linotype" w:eastAsia="Palatino Linotype" w:hAnsi="Palatino Linotype" w:cs="Palatino Linotype"/>
          <w:color w:val="000000"/>
          <w:sz w:val="18"/>
          <w:szCs w:val="18"/>
          <w:lang w:val="es-ES"/>
        </w:rPr>
        <w:t xml:space="preserve"> Luis Pinedo Caro, </w:t>
      </w:r>
      <w:r w:rsidRPr="000743E9">
        <w:rPr>
          <w:rFonts w:ascii="Palatino Linotype" w:eastAsia="Palatino Linotype" w:hAnsi="Palatino Linotype" w:cs="Palatino Linotype"/>
          <w:b/>
          <w:bCs/>
          <w:color w:val="000000"/>
          <w:sz w:val="18"/>
          <w:szCs w:val="18"/>
          <w:lang w:val="es-ES"/>
        </w:rPr>
        <w:t>Betam</w:t>
      </w:r>
      <w:r w:rsidRPr="000743E9">
        <w:rPr>
          <w:rFonts w:ascii="Palatino Linotype" w:eastAsia="Palatino Linotype" w:hAnsi="Palatino Linotype" w:cs="Palatino Linotype"/>
          <w:color w:val="000000"/>
          <w:sz w:val="18"/>
          <w:szCs w:val="18"/>
          <w:lang w:val="es-ES"/>
        </w:rPr>
        <w:t xml:space="preserve">, </w:t>
      </w:r>
      <w:hyperlink r:id="rId2">
        <w:r w:rsidR="00322E2B" w:rsidRPr="000743E9">
          <w:rPr>
            <w:rFonts w:ascii="Palatino Linotype" w:eastAsia="Palatino Linotype" w:hAnsi="Palatino Linotype" w:cs="Palatino Linotype"/>
            <w:color w:val="0000FF"/>
            <w:sz w:val="18"/>
            <w:szCs w:val="18"/>
            <w:u w:val="single"/>
            <w:lang w:val="es-ES"/>
          </w:rPr>
          <w:t>luis.pinedo@bau.edu.tr</w:t>
        </w:r>
      </w:hyperlink>
    </w:p>
  </w:footnote>
  <w:footnote w:id="2">
    <w:p w14:paraId="33CBF0C1" w14:textId="58578630" w:rsidR="00322E2B"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Yahoo News / Reuters: </w:t>
      </w:r>
      <w:r>
        <w:rPr>
          <w:i/>
          <w:iCs/>
          <w:color w:val="000000"/>
          <w:sz w:val="20"/>
          <w:szCs w:val="20"/>
        </w:rPr>
        <w:t>"Turkish opposition questions credibility of inflation data"</w:t>
      </w:r>
      <w:r>
        <w:rPr>
          <w:color w:val="000000"/>
          <w:sz w:val="20"/>
          <w:szCs w:val="20"/>
        </w:rPr>
        <w:t xml:space="preserve"> (</w:t>
      </w:r>
      <w:r w:rsidR="00D43171">
        <w:rPr>
          <w:color w:val="000000"/>
          <w:sz w:val="20"/>
          <w:szCs w:val="20"/>
        </w:rPr>
        <w:t>19 June</w:t>
      </w:r>
      <w:r>
        <w:rPr>
          <w:color w:val="000000"/>
          <w:sz w:val="20"/>
          <w:szCs w:val="20"/>
        </w:rPr>
        <w:t xml:space="preserve"> 2019) — </w:t>
      </w:r>
      <w:hyperlink r:id="rId3">
        <w:r w:rsidR="00322E2B">
          <w:rPr>
            <w:color w:val="0000FF"/>
            <w:sz w:val="20"/>
            <w:szCs w:val="20"/>
            <w:u w:val="single"/>
          </w:rPr>
          <w:t>https://www.yahoo.com/news/turkish-opposition-questions-credibility-inflation-141819922.html</w:t>
        </w:r>
      </w:hyperlink>
    </w:p>
  </w:footnote>
  <w:footnote w:id="3">
    <w:p w14:paraId="31DFF009" w14:textId="15E5D3BE" w:rsidR="00322E2B" w:rsidRPr="00611AB1"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w:t>
      </w:r>
      <w:r w:rsidR="004E1ACA">
        <w:rPr>
          <w:color w:val="000000"/>
          <w:sz w:val="20"/>
          <w:szCs w:val="20"/>
        </w:rPr>
        <w:t>English bianet</w:t>
      </w:r>
      <w:r w:rsidRPr="00611AB1">
        <w:rPr>
          <w:color w:val="000000"/>
          <w:sz w:val="20"/>
          <w:szCs w:val="20"/>
        </w:rPr>
        <w:t xml:space="preserve">: </w:t>
      </w:r>
      <w:r w:rsidRPr="00611AB1">
        <w:rPr>
          <w:i/>
          <w:iCs/>
          <w:color w:val="000000"/>
          <w:sz w:val="20"/>
          <w:szCs w:val="20"/>
        </w:rPr>
        <w:t>"</w:t>
      </w:r>
      <w:r w:rsidR="004E1ACA" w:rsidRPr="004E1ACA">
        <w:t xml:space="preserve"> </w:t>
      </w:r>
      <w:r w:rsidR="004E1ACA" w:rsidRPr="004E1ACA">
        <w:rPr>
          <w:i/>
          <w:iCs/>
          <w:color w:val="000000"/>
          <w:sz w:val="20"/>
          <w:szCs w:val="20"/>
        </w:rPr>
        <w:t>TurkStat files complaint against independent Inflation Research Group</w:t>
      </w:r>
      <w:r w:rsidRPr="00611AB1">
        <w:rPr>
          <w:i/>
          <w:iCs/>
          <w:color w:val="000000"/>
          <w:sz w:val="20"/>
          <w:szCs w:val="20"/>
        </w:rPr>
        <w:t>"</w:t>
      </w:r>
      <w:r w:rsidRPr="00611AB1">
        <w:rPr>
          <w:color w:val="000000"/>
          <w:sz w:val="20"/>
          <w:szCs w:val="20"/>
        </w:rPr>
        <w:t xml:space="preserve"> (</w:t>
      </w:r>
      <w:r w:rsidR="000F0383">
        <w:rPr>
          <w:color w:val="000000"/>
          <w:sz w:val="20"/>
          <w:szCs w:val="20"/>
        </w:rPr>
        <w:t>8 May</w:t>
      </w:r>
      <w:r w:rsidRPr="00611AB1">
        <w:rPr>
          <w:color w:val="000000"/>
          <w:sz w:val="20"/>
          <w:szCs w:val="20"/>
        </w:rPr>
        <w:t xml:space="preserve"> 202</w:t>
      </w:r>
      <w:r w:rsidR="000F0383">
        <w:rPr>
          <w:color w:val="000000"/>
          <w:sz w:val="20"/>
          <w:szCs w:val="20"/>
        </w:rPr>
        <w:t>1</w:t>
      </w:r>
      <w:r w:rsidRPr="00611AB1">
        <w:rPr>
          <w:color w:val="000000"/>
          <w:sz w:val="20"/>
          <w:szCs w:val="20"/>
        </w:rPr>
        <w:t xml:space="preserve">) — </w:t>
      </w:r>
      <w:hyperlink r:id="rId4" w:history="1">
        <w:r w:rsidR="000F0383" w:rsidRPr="000F0383">
          <w:rPr>
            <w:rStyle w:val="Hyperlink"/>
            <w:sz w:val="20"/>
            <w:szCs w:val="20"/>
          </w:rPr>
          <w:t>https://bianet.org/english/freedom-of-expression/243775-turkstat-files-complaint-against-independent-inflation-research-group</w:t>
        </w:r>
      </w:hyperlink>
    </w:p>
  </w:footnote>
  <w:footnote w:id="4">
    <w:p w14:paraId="77084D87" w14:textId="77B25706" w:rsidR="00322E2B" w:rsidRPr="00611AB1"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bne IntelliNews: </w:t>
      </w:r>
      <w:r w:rsidRPr="00611AB1">
        <w:rPr>
          <w:i/>
          <w:iCs/>
          <w:color w:val="000000"/>
          <w:sz w:val="20"/>
          <w:szCs w:val="20"/>
        </w:rPr>
        <w:t>"Turkey moving to jail researchers who publish unapproved economic data"</w:t>
      </w:r>
      <w:r w:rsidRPr="00611AB1">
        <w:rPr>
          <w:color w:val="000000"/>
          <w:sz w:val="20"/>
          <w:szCs w:val="20"/>
        </w:rPr>
        <w:t xml:space="preserve"> (14 </w:t>
      </w:r>
      <w:r w:rsidR="00D43171">
        <w:rPr>
          <w:color w:val="000000"/>
          <w:sz w:val="20"/>
          <w:szCs w:val="20"/>
        </w:rPr>
        <w:t xml:space="preserve">April </w:t>
      </w:r>
      <w:r w:rsidRPr="00611AB1">
        <w:rPr>
          <w:color w:val="000000"/>
          <w:sz w:val="20"/>
          <w:szCs w:val="20"/>
        </w:rPr>
        <w:t xml:space="preserve">2022) — </w:t>
      </w:r>
      <w:hyperlink r:id="rId5">
        <w:r w:rsidR="00322E2B" w:rsidRPr="00611AB1">
          <w:rPr>
            <w:color w:val="0000FF"/>
            <w:sz w:val="20"/>
            <w:szCs w:val="20"/>
            <w:u w:val="single"/>
          </w:rPr>
          <w:t>https://www.intellinews.com/turkey-moving-to-jail-researchers-who-publish-unapproved-economic-data-241561/</w:t>
        </w:r>
      </w:hyperlink>
    </w:p>
  </w:footnote>
  <w:footnote w:id="5">
    <w:p w14:paraId="14932018" w14:textId="72156DF2" w:rsidR="00322E2B" w:rsidRPr="00611AB1"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Nordic Monitor: </w:t>
      </w:r>
      <w:r w:rsidRPr="00611AB1">
        <w:rPr>
          <w:i/>
          <w:iCs/>
          <w:color w:val="000000"/>
          <w:sz w:val="20"/>
          <w:szCs w:val="20"/>
        </w:rPr>
        <w:t>"Turkey's inflation data is deliberately underreported, lawsuit alleges, casting doubts on reliability of official statistics"</w:t>
      </w:r>
      <w:r w:rsidRPr="00611AB1">
        <w:rPr>
          <w:color w:val="000000"/>
          <w:sz w:val="20"/>
          <w:szCs w:val="20"/>
        </w:rPr>
        <w:t xml:space="preserve"> (25 </w:t>
      </w:r>
      <w:r w:rsidR="00D43171">
        <w:rPr>
          <w:color w:val="000000"/>
          <w:sz w:val="20"/>
          <w:szCs w:val="20"/>
        </w:rPr>
        <w:t>March</w:t>
      </w:r>
      <w:r w:rsidRPr="00611AB1">
        <w:rPr>
          <w:color w:val="000000"/>
          <w:sz w:val="20"/>
          <w:szCs w:val="20"/>
        </w:rPr>
        <w:t xml:space="preserve"> 2025) — </w:t>
      </w:r>
      <w:hyperlink r:id="rId6">
        <w:r w:rsidR="00322E2B" w:rsidRPr="00611AB1">
          <w:rPr>
            <w:color w:val="0000FF"/>
            <w:sz w:val="20"/>
            <w:szCs w:val="20"/>
            <w:u w:val="single"/>
          </w:rPr>
          <w:t>https://nordicmonitor.com/2025/03/turkeys-inflation-data-is-deliberately-underreported-lawsuit-alleges-casting-doubts-on-reliability-of-official-statistics/</w:t>
        </w:r>
      </w:hyperlink>
    </w:p>
  </w:footnote>
  <w:footnote w:id="6">
    <w:p w14:paraId="6BEFB188" w14:textId="07F241D3" w:rsidR="00A20499" w:rsidRPr="00A20499" w:rsidRDefault="00A20499">
      <w:pPr>
        <w:pStyle w:val="FootnoteText"/>
        <w:rPr>
          <w:lang w:val="en-US"/>
        </w:rPr>
      </w:pPr>
      <w:r>
        <w:rPr>
          <w:rStyle w:val="FootnoteReference"/>
        </w:rPr>
        <w:footnoteRef/>
      </w:r>
      <w:r>
        <w:t xml:space="preserve"> </w:t>
      </w:r>
      <w:r w:rsidR="000F0383">
        <w:t>Ibid.</w:t>
      </w:r>
    </w:p>
  </w:footnote>
  <w:footnote w:id="7">
    <w:p w14:paraId="6B42E97F" w14:textId="256A0E3E" w:rsidR="00322E2B"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w:t>
      </w:r>
      <w:r w:rsidR="00215FED" w:rsidRPr="00215FED">
        <w:rPr>
          <w:color w:val="000000"/>
          <w:sz w:val="20"/>
          <w:szCs w:val="20"/>
        </w:rPr>
        <w:t xml:space="preserve">Central Bank of the Republic of Türkiye (CBRT), "Revisions to the 2026 Consumer Price Index and Their Implications," </w:t>
      </w:r>
      <w:r w:rsidR="00215FED" w:rsidRPr="00215FED">
        <w:rPr>
          <w:i/>
          <w:iCs/>
          <w:color w:val="000000"/>
          <w:sz w:val="20"/>
          <w:szCs w:val="20"/>
        </w:rPr>
        <w:t>Merkezin Güncesi</w:t>
      </w:r>
      <w:r w:rsidR="00215FED" w:rsidRPr="00215FED">
        <w:rPr>
          <w:color w:val="000000"/>
          <w:sz w:val="20"/>
          <w:szCs w:val="20"/>
        </w:rPr>
        <w:t xml:space="preserve"> (CBRT Blog), 4 February 2026, available at:</w:t>
      </w:r>
      <w:r w:rsidRPr="00611AB1">
        <w:rPr>
          <w:color w:val="000000"/>
          <w:sz w:val="20"/>
          <w:szCs w:val="20"/>
        </w:rPr>
        <w:t xml:space="preserve"> </w:t>
      </w:r>
      <w:hyperlink r:id="rId7" w:history="1">
        <w:r w:rsidR="00611AB1" w:rsidRPr="00611AB1">
          <w:rPr>
            <w:rStyle w:val="Hyperlink"/>
            <w:sz w:val="20"/>
            <w:szCs w:val="20"/>
          </w:rPr>
          <w:t>https://tcmbblog.org/wps/wcm/connect/blog/en/main+menu/analyses/revisions+to+the+2026+consumer+price+index+and+their+implications</w:t>
        </w:r>
      </w:hyperlink>
      <w:r w:rsidR="00611AB1" w:rsidRPr="00611AB1">
        <w:rPr>
          <w:sz w:val="20"/>
          <w:szCs w:val="20"/>
        </w:rPr>
        <w:t xml:space="preserve"> </w:t>
      </w:r>
    </w:p>
  </w:footnote>
  <w:footnote w:id="8">
    <w:p w14:paraId="0104907F" w14:textId="77777777" w:rsidR="00322E2B"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ILO: </w:t>
      </w:r>
      <w:r>
        <w:rPr>
          <w:i/>
          <w:iCs/>
          <w:color w:val="000000"/>
          <w:sz w:val="20"/>
          <w:szCs w:val="20"/>
        </w:rPr>
        <w:t>"Global Wage Report: Data"</w:t>
      </w:r>
      <w:r>
        <w:rPr>
          <w:color w:val="000000"/>
          <w:sz w:val="20"/>
          <w:szCs w:val="20"/>
        </w:rPr>
        <w:t xml:space="preserve"> — </w:t>
      </w:r>
      <w:hyperlink r:id="rId8">
        <w:r w:rsidR="00322E2B">
          <w:rPr>
            <w:color w:val="0000FF"/>
            <w:sz w:val="20"/>
            <w:szCs w:val="20"/>
            <w:u w:val="single"/>
          </w:rPr>
          <w:t>https://www.ilo.org/publications/global-wage-report-data</w:t>
        </w:r>
      </w:hyperlink>
    </w:p>
  </w:footnote>
  <w:footnote w:id="9">
    <w:p w14:paraId="27280638" w14:textId="4425065E" w:rsidR="00322E2B" w:rsidRPr="00A20499" w:rsidRDefault="00000000">
      <w:pPr>
        <w:pBdr>
          <w:top w:val="nil"/>
          <w:left w:val="nil"/>
          <w:bottom w:val="nil"/>
          <w:right w:val="nil"/>
          <w:between w:val="nil"/>
        </w:pBdr>
        <w:rPr>
          <w:color w:val="000000"/>
          <w:sz w:val="20"/>
          <w:szCs w:val="20"/>
          <w:lang w:val="en-US"/>
        </w:rPr>
      </w:pPr>
      <w:r>
        <w:rPr>
          <w:vertAlign w:val="superscript"/>
        </w:rPr>
        <w:footnoteRef/>
      </w:r>
      <w:r w:rsidR="00494ED4">
        <w:rPr>
          <w:color w:val="000000"/>
          <w:sz w:val="20"/>
          <w:szCs w:val="20"/>
        </w:rPr>
        <w:t xml:space="preserve"> </w:t>
      </w:r>
      <w:r w:rsidR="00494ED4" w:rsidRPr="00494ED4">
        <w:rPr>
          <w:color w:val="000000"/>
          <w:sz w:val="20"/>
          <w:szCs w:val="20"/>
        </w:rPr>
        <w:t xml:space="preserve">Sait Erdal Dinçer, TurkStat's chairman </w:t>
      </w:r>
      <w:r w:rsidR="00494ED4">
        <w:rPr>
          <w:color w:val="000000"/>
          <w:sz w:val="20"/>
          <w:szCs w:val="20"/>
        </w:rPr>
        <w:t>before</w:t>
      </w:r>
      <w:r w:rsidR="00494ED4" w:rsidRPr="00494ED4">
        <w:rPr>
          <w:color w:val="000000"/>
          <w:sz w:val="20"/>
          <w:szCs w:val="20"/>
        </w:rPr>
        <w:t xml:space="preserve"> his dismissal in January 2022</w:t>
      </w:r>
      <w:r w:rsidR="00494ED4" w:rsidRPr="00494ED4">
        <w:rPr>
          <w:i/>
          <w:iCs/>
          <w:color w:val="000000"/>
          <w:sz w:val="20"/>
          <w:szCs w:val="20"/>
        </w:rPr>
        <w:t>."</w:t>
      </w:r>
      <w:r w:rsidR="000F0383" w:rsidRPr="000F0383">
        <w:rPr>
          <w:color w:val="000000"/>
          <w:sz w:val="20"/>
          <w:szCs w:val="20"/>
        </w:rPr>
        <w:t>Al Jazeera,</w:t>
      </w:r>
      <w:r w:rsidR="000F0383" w:rsidRPr="000F0383">
        <w:rPr>
          <w:i/>
          <w:iCs/>
          <w:color w:val="000000"/>
          <w:sz w:val="20"/>
          <w:szCs w:val="20"/>
        </w:rPr>
        <w:t xml:space="preserve"> "Erdogan sacks statistics chief after record annual inflation"</w:t>
      </w:r>
      <w:r w:rsidR="000F0383" w:rsidRPr="000F0383">
        <w:rPr>
          <w:color w:val="000000"/>
          <w:sz w:val="20"/>
          <w:szCs w:val="20"/>
        </w:rPr>
        <w:t xml:space="preserve"> (29 January 2022) — </w:t>
      </w:r>
      <w:hyperlink r:id="rId9" w:history="1">
        <w:r w:rsidR="000F0383" w:rsidRPr="000F0383">
          <w:rPr>
            <w:rStyle w:val="Hyperlink"/>
            <w:i/>
            <w:iCs/>
            <w:sz w:val="20"/>
            <w:szCs w:val="20"/>
          </w:rPr>
          <w:t>https://www.aljazeera.com/economy/2022/1/29/erdogan-sacks-statistics-chief-after-record-inflation</w:t>
        </w:r>
      </w:hyperlink>
    </w:p>
  </w:footnote>
  <w:footnote w:id="10">
    <w:p w14:paraId="318D7332" w14:textId="1AFCDB3A" w:rsidR="00E76F7E" w:rsidRPr="00E76F7E" w:rsidRDefault="00E76F7E">
      <w:pPr>
        <w:pStyle w:val="FootnoteText"/>
      </w:pPr>
      <w:r>
        <w:rPr>
          <w:rStyle w:val="FootnoteReference"/>
        </w:rPr>
        <w:footnoteRef/>
      </w:r>
      <w:r>
        <w:t xml:space="preserve"> </w:t>
      </w:r>
      <w:r w:rsidRPr="00E76F7E">
        <w:t>The monthly wage series was constructed and harmonized from TÜİK’s Household Labour Force Survey microdata by deploying custom temporal identification algorithms based on household IDs alongside rescaled sampling weights (20</w:t>
      </w:r>
      <w:r w:rsidR="00611AB1">
        <w:t>15</w:t>
      </w:r>
      <w:r w:rsidRPr="00E76F7E">
        <w:t>–2025)</w:t>
      </w:r>
      <w:r>
        <w:t>.</w:t>
      </w:r>
    </w:p>
  </w:footnote>
  <w:footnote w:id="11">
    <w:p w14:paraId="2D9A1346" w14:textId="0E790245" w:rsidR="004C7DB2" w:rsidRPr="004C7DB2" w:rsidRDefault="004C7DB2">
      <w:pPr>
        <w:pStyle w:val="FootnoteText"/>
      </w:pPr>
      <w:r>
        <w:rPr>
          <w:rStyle w:val="FootnoteReference"/>
        </w:rPr>
        <w:footnoteRef/>
      </w:r>
      <w:r>
        <w:t xml:space="preserve"> See </w:t>
      </w:r>
      <w:r w:rsidRPr="004C7DB2">
        <w:t>Betti, Ceritoğlu, Küçükbayrak &amp; Sevinç (2022)</w:t>
      </w:r>
      <w:r>
        <w:t>.</w:t>
      </w:r>
    </w:p>
  </w:footnote>
  <w:footnote w:id="12">
    <w:p w14:paraId="3863967D" w14:textId="76683EE3" w:rsidR="003A0ABF" w:rsidRPr="003A0ABF" w:rsidRDefault="003A0ABF">
      <w:pPr>
        <w:pStyle w:val="FootnoteText"/>
        <w:rPr>
          <w:lang w:val="en-US"/>
        </w:rPr>
      </w:pPr>
      <w:r>
        <w:rPr>
          <w:rStyle w:val="FootnoteReference"/>
        </w:rPr>
        <w:footnoteRef/>
      </w:r>
      <w:r>
        <w:t xml:space="preserve"> </w:t>
      </w:r>
      <w:r w:rsidRPr="003A0ABF">
        <w:rPr>
          <w:lang w:val="en-US"/>
        </w:rPr>
        <w:t>The</w:t>
      </w:r>
      <w:r>
        <w:rPr>
          <w:lang w:val="en-US"/>
        </w:rPr>
        <w:t xml:space="preserve"> saving</w:t>
      </w:r>
      <w:r w:rsidRPr="003A0ABF">
        <w:rPr>
          <w:lang w:val="en-US"/>
        </w:rPr>
        <w:t xml:space="preserve"> capacity of a minimum w</w:t>
      </w:r>
      <w:r>
        <w:rPr>
          <w:lang w:val="en-US"/>
        </w:rPr>
        <w:t xml:space="preserve">age earner is arguably lower than that of the average person in the country and the figure </w:t>
      </w:r>
      <w:r w:rsidR="001D2DFB">
        <w:rPr>
          <w:lang w:val="en-US"/>
        </w:rPr>
        <w:t>could even</w:t>
      </w:r>
      <w:r>
        <w:rPr>
          <w:lang w:val="en-US"/>
        </w:rPr>
        <w:t xml:space="preserve"> be higher in terms of impact.</w:t>
      </w:r>
      <w:r w:rsidR="00CE394E">
        <w:rPr>
          <w:lang w:val="en-US"/>
        </w:rPr>
        <w:t xml:space="preserve"> A </w:t>
      </w:r>
      <w:r w:rsidR="00C46F65" w:rsidRPr="00C46F65">
        <w:t>conservative</w:t>
      </w:r>
      <w:r w:rsidR="00C46F65">
        <w:t xml:space="preserve"> </w:t>
      </w:r>
      <w:r w:rsidR="00CE394E">
        <w:rPr>
          <w:lang w:val="en-US"/>
        </w:rPr>
        <w:t>assumption is taken here consistent with the spirit of the brief.</w:t>
      </w:r>
      <w:r w:rsidR="004C7DB2">
        <w:rPr>
          <w:lang w:val="en-US"/>
        </w:rPr>
        <w:t xml:space="preserve"> The rather low savings rate in comparison with other countries is explained in </w:t>
      </w:r>
      <w:r w:rsidR="004C7DB2" w:rsidRPr="004C7DB2">
        <w:t>Ceritoğlu &amp; Cılasun (2017)</w:t>
      </w:r>
      <w:r w:rsidR="004C7DB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65762"/>
    <w:multiLevelType w:val="multilevel"/>
    <w:tmpl w:val="1B76E028"/>
    <w:lvl w:ilvl="0">
      <w:start w:val="3"/>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183113"/>
    <w:multiLevelType w:val="multilevel"/>
    <w:tmpl w:val="D8F0FA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00916205">
    <w:abstractNumId w:val="1"/>
  </w:num>
  <w:num w:numId="2" w16cid:durableId="188077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2B"/>
    <w:rsid w:val="000743E9"/>
    <w:rsid w:val="000839A9"/>
    <w:rsid w:val="00092B1E"/>
    <w:rsid w:val="000F0383"/>
    <w:rsid w:val="00120231"/>
    <w:rsid w:val="00137888"/>
    <w:rsid w:val="00167F35"/>
    <w:rsid w:val="00180D52"/>
    <w:rsid w:val="0019549C"/>
    <w:rsid w:val="001D2DFB"/>
    <w:rsid w:val="00215FED"/>
    <w:rsid w:val="0024593F"/>
    <w:rsid w:val="003140FD"/>
    <w:rsid w:val="00322E2B"/>
    <w:rsid w:val="003346A8"/>
    <w:rsid w:val="0035593F"/>
    <w:rsid w:val="003A0ABF"/>
    <w:rsid w:val="003A608A"/>
    <w:rsid w:val="003C4AE5"/>
    <w:rsid w:val="004464CE"/>
    <w:rsid w:val="00494ED4"/>
    <w:rsid w:val="004C1768"/>
    <w:rsid w:val="004C7DB2"/>
    <w:rsid w:val="004D5DA4"/>
    <w:rsid w:val="004E1ACA"/>
    <w:rsid w:val="00530BF3"/>
    <w:rsid w:val="005322F0"/>
    <w:rsid w:val="00594E20"/>
    <w:rsid w:val="005D7B17"/>
    <w:rsid w:val="005D7E06"/>
    <w:rsid w:val="005F0961"/>
    <w:rsid w:val="005F0F2A"/>
    <w:rsid w:val="005F672D"/>
    <w:rsid w:val="00611AB1"/>
    <w:rsid w:val="0067101B"/>
    <w:rsid w:val="00766059"/>
    <w:rsid w:val="0077452E"/>
    <w:rsid w:val="00774B6A"/>
    <w:rsid w:val="007A4F82"/>
    <w:rsid w:val="00895466"/>
    <w:rsid w:val="00971708"/>
    <w:rsid w:val="009C58E1"/>
    <w:rsid w:val="00A20499"/>
    <w:rsid w:val="00A925EB"/>
    <w:rsid w:val="00AE5750"/>
    <w:rsid w:val="00BC74BA"/>
    <w:rsid w:val="00BD4E98"/>
    <w:rsid w:val="00C46F65"/>
    <w:rsid w:val="00C75C2B"/>
    <w:rsid w:val="00C833E5"/>
    <w:rsid w:val="00CD5DB8"/>
    <w:rsid w:val="00CE394E"/>
    <w:rsid w:val="00D43171"/>
    <w:rsid w:val="00DC3B68"/>
    <w:rsid w:val="00E1226E"/>
    <w:rsid w:val="00E60B25"/>
    <w:rsid w:val="00E76F7E"/>
    <w:rsid w:val="00EB4E0B"/>
    <w:rsid w:val="00F6758E"/>
    <w:rsid w:val="00F83C22"/>
    <w:rsid w:val="00F85CFD"/>
    <w:rsid w:val="00F96A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A5BF5"/>
  <w15:docId w15:val="{6B4F7782-ADF6-4B5B-A49C-E7BEFCDC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bCs/>
      <w:sz w:val="18"/>
      <w:szCs w:val="18"/>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70" w:type="dxa"/>
        <w:bottom w:w="0" w:type="dxa"/>
        <w:right w:w="70" w:type="dxa"/>
      </w:tblCellMar>
    </w:tblPr>
  </w:style>
  <w:style w:type="paragraph" w:styleId="FootnoteText">
    <w:name w:val="footnote text"/>
    <w:basedOn w:val="Normal"/>
    <w:link w:val="FootnoteTextChar"/>
    <w:uiPriority w:val="99"/>
    <w:semiHidden/>
    <w:unhideWhenUsed/>
    <w:rsid w:val="003A0ABF"/>
    <w:rPr>
      <w:sz w:val="20"/>
      <w:szCs w:val="20"/>
    </w:rPr>
  </w:style>
  <w:style w:type="character" w:customStyle="1" w:styleId="FootnoteTextChar">
    <w:name w:val="Footnote Text Char"/>
    <w:basedOn w:val="DefaultParagraphFont"/>
    <w:link w:val="FootnoteText"/>
    <w:uiPriority w:val="99"/>
    <w:semiHidden/>
    <w:rsid w:val="003A0ABF"/>
    <w:rPr>
      <w:sz w:val="20"/>
      <w:szCs w:val="20"/>
    </w:rPr>
  </w:style>
  <w:style w:type="character" w:styleId="FootnoteReference">
    <w:name w:val="footnote reference"/>
    <w:basedOn w:val="DefaultParagraphFont"/>
    <w:uiPriority w:val="99"/>
    <w:semiHidden/>
    <w:unhideWhenUsed/>
    <w:rsid w:val="003A0ABF"/>
    <w:rPr>
      <w:vertAlign w:val="superscript"/>
    </w:rPr>
  </w:style>
  <w:style w:type="character" w:styleId="Hyperlink">
    <w:name w:val="Hyperlink"/>
    <w:basedOn w:val="DefaultParagraphFont"/>
    <w:uiPriority w:val="99"/>
    <w:unhideWhenUsed/>
    <w:rsid w:val="000839A9"/>
    <w:rPr>
      <w:color w:val="0000FF" w:themeColor="hyperlink"/>
      <w:u w:val="single"/>
    </w:rPr>
  </w:style>
  <w:style w:type="character" w:styleId="UnresolvedMention">
    <w:name w:val="Unresolved Mention"/>
    <w:basedOn w:val="DefaultParagraphFont"/>
    <w:uiPriority w:val="99"/>
    <w:semiHidden/>
    <w:unhideWhenUsed/>
    <w:rsid w:val="000839A9"/>
    <w:rPr>
      <w:color w:val="605E5C"/>
      <w:shd w:val="clear" w:color="auto" w:fill="E1DFDD"/>
    </w:rPr>
  </w:style>
  <w:style w:type="character" w:styleId="FollowedHyperlink">
    <w:name w:val="FollowedHyperlink"/>
    <w:basedOn w:val="DefaultParagraphFont"/>
    <w:uiPriority w:val="99"/>
    <w:semiHidden/>
    <w:unhideWhenUsed/>
    <w:rsid w:val="00F675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ilo.org/publications/global-wage-report-data" TargetMode="External"/><Relationship Id="rId3" Type="http://schemas.openxmlformats.org/officeDocument/2006/relationships/hyperlink" Target="https://www.yahoo.com/news/turkish-opposition-questions-credibility-inflation-141819922.html" TargetMode="External"/><Relationship Id="rId7" Type="http://schemas.openxmlformats.org/officeDocument/2006/relationships/hyperlink" Target="https://tcmbblog.org/wps/wcm/connect/blog/en/main+menu/analyses/revisions+to+the+2026+consumer+price+index+and+their+implications" TargetMode="External"/><Relationship Id="rId2" Type="http://schemas.openxmlformats.org/officeDocument/2006/relationships/hyperlink" Target="mailto:luis.pinedo@bau.edu.tr" TargetMode="External"/><Relationship Id="rId1" Type="http://schemas.openxmlformats.org/officeDocument/2006/relationships/hyperlink" Target="https://betam.bahcesehir.edu.tr/2026/08/" TargetMode="External"/><Relationship Id="rId6" Type="http://schemas.openxmlformats.org/officeDocument/2006/relationships/hyperlink" Target="https://nordicmonitor.com/2025/03/turkeys-inflation-data-is-deliberately-underreported-lawsuit-alleges-casting-doubts-on-reliability-of-official-statistics/" TargetMode="External"/><Relationship Id="rId5" Type="http://schemas.openxmlformats.org/officeDocument/2006/relationships/hyperlink" Target="https://www.intellinews.com/turkey-moving-to-jail-researchers-who-publish-unapproved-economic-data-241561/" TargetMode="External"/><Relationship Id="rId4" Type="http://schemas.openxmlformats.org/officeDocument/2006/relationships/hyperlink" Target="https://bianet.org/english/freedom-of-expression/243775-turkstat-files-complaint-against-independent-inflation-research-group" TargetMode="External"/><Relationship Id="rId9" Type="http://schemas.openxmlformats.org/officeDocument/2006/relationships/hyperlink" Target="https://www.aljazeera.com/economy/2022/1/29/erdogan-sacks-statistics-chief-after-record-inflat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3%2013-8-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3%2013-8-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3%2013-8-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4%2015-8-202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72676497419998"/>
          <c:y val="6.3437139561707032E-2"/>
          <c:w val="0.64801737643848956"/>
          <c:h val="0.7031813929833165"/>
        </c:manualLayout>
      </c:layout>
      <c:lineChart>
        <c:grouping val="standard"/>
        <c:varyColors val="0"/>
        <c:ser>
          <c:idx val="1"/>
          <c:order val="0"/>
          <c:tx>
            <c:strRef>
              <c:f>Figures!$H$1:$H$2</c:f>
              <c:strCache>
                <c:ptCount val="2"/>
                <c:pt idx="1">
                  <c:v>ENAG average wage (2020-)</c:v>
                </c:pt>
              </c:strCache>
            </c:strRef>
          </c:tx>
          <c:spPr>
            <a:ln w="9525" cap="rnd">
              <a:solidFill>
                <a:srgbClr val="00B050"/>
              </a:solidFill>
              <a:round/>
            </a:ln>
            <a:effectLst/>
          </c:spPr>
          <c:marker>
            <c:symbol val="square"/>
            <c:size val="2"/>
            <c:spPr>
              <a:solidFill>
                <a:srgbClr val="92D050"/>
              </a:solidFill>
              <a:ln w="9525">
                <a:solidFill>
                  <a:srgbClr val="00B050"/>
                </a:solidFill>
              </a:ln>
              <a:effectLst/>
            </c:spPr>
          </c:marker>
          <c:dPt>
            <c:idx val="82"/>
            <c:marker>
              <c:symbol val="square"/>
              <c:size val="2"/>
              <c:spPr>
                <a:solidFill>
                  <a:srgbClr val="92D050"/>
                </a:solidFill>
                <a:ln w="9525">
                  <a:solidFill>
                    <a:srgbClr val="00B050"/>
                  </a:solidFill>
                </a:ln>
                <a:effectLst/>
              </c:spPr>
            </c:marker>
            <c:bubble3D val="0"/>
            <c:spPr>
              <a:ln w="12700" cap="rnd" cmpd="dbl">
                <a:solidFill>
                  <a:srgbClr val="00B050"/>
                </a:solidFill>
                <a:round/>
              </a:ln>
              <a:effectLst/>
            </c:spPr>
            <c:extLst>
              <c:ext xmlns:c16="http://schemas.microsoft.com/office/drawing/2014/chart" uri="{C3380CC4-5D6E-409C-BE32-E72D297353CC}">
                <c16:uniqueId val="{00000001-2998-47F9-BD83-32F701CD5B84}"/>
              </c:ext>
            </c:extLst>
          </c:dPt>
          <c:cat>
            <c:multiLvlStrRef>
              <c:f>Figures!$E$3:$F$134</c:f>
              <c:multiLvlStrCache>
                <c:ptCount val="13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pt idx="48">
                    <c:v>Jan</c:v>
                  </c:pt>
                  <c:pt idx="49">
                    <c:v>Feb</c:v>
                  </c:pt>
                  <c:pt idx="50">
                    <c:v>Mar</c:v>
                  </c:pt>
                  <c:pt idx="51">
                    <c:v>Apr</c:v>
                  </c:pt>
                  <c:pt idx="52">
                    <c:v>May</c:v>
                  </c:pt>
                  <c:pt idx="53">
                    <c:v>Jun</c:v>
                  </c:pt>
                  <c:pt idx="54">
                    <c:v>Jul</c:v>
                  </c:pt>
                  <c:pt idx="55">
                    <c:v>Aug</c:v>
                  </c:pt>
                  <c:pt idx="56">
                    <c:v>Sep</c:v>
                  </c:pt>
                  <c:pt idx="57">
                    <c:v>Oct</c:v>
                  </c:pt>
                  <c:pt idx="58">
                    <c:v>Nov</c:v>
                  </c:pt>
                  <c:pt idx="59">
                    <c:v>Dec</c:v>
                  </c:pt>
                  <c:pt idx="60">
                    <c:v>Jan</c:v>
                  </c:pt>
                  <c:pt idx="61">
                    <c:v>Feb</c:v>
                  </c:pt>
                  <c:pt idx="62">
                    <c:v>Mar</c:v>
                  </c:pt>
                  <c:pt idx="63">
                    <c:v>Apr</c:v>
                  </c:pt>
                  <c:pt idx="64">
                    <c:v>May</c:v>
                  </c:pt>
                  <c:pt idx="65">
                    <c:v>Jun</c:v>
                  </c:pt>
                  <c:pt idx="66">
                    <c:v>Jul</c:v>
                  </c:pt>
                  <c:pt idx="67">
                    <c:v>Aug</c:v>
                  </c:pt>
                  <c:pt idx="68">
                    <c:v>Sep</c:v>
                  </c:pt>
                  <c:pt idx="69">
                    <c:v>Oct</c:v>
                  </c:pt>
                  <c:pt idx="70">
                    <c:v>Nov</c:v>
                  </c:pt>
                  <c:pt idx="71">
                    <c:v>Dec</c:v>
                  </c:pt>
                  <c:pt idx="72">
                    <c:v>Jan</c:v>
                  </c:pt>
                  <c:pt idx="73">
                    <c:v>Feb</c:v>
                  </c:pt>
                  <c:pt idx="74">
                    <c:v>Mar</c:v>
                  </c:pt>
                  <c:pt idx="75">
                    <c:v>Apr</c:v>
                  </c:pt>
                  <c:pt idx="76">
                    <c:v>May</c:v>
                  </c:pt>
                  <c:pt idx="77">
                    <c:v>Jun</c:v>
                  </c:pt>
                  <c:pt idx="78">
                    <c:v>Jul</c:v>
                  </c:pt>
                  <c:pt idx="79">
                    <c:v>Aug</c:v>
                  </c:pt>
                  <c:pt idx="80">
                    <c:v>Sep</c:v>
                  </c:pt>
                  <c:pt idx="81">
                    <c:v>Oct</c:v>
                  </c:pt>
                  <c:pt idx="82">
                    <c:v>Nov</c:v>
                  </c:pt>
                  <c:pt idx="83">
                    <c:v>Dec</c:v>
                  </c:pt>
                  <c:pt idx="84">
                    <c:v>Jan</c:v>
                  </c:pt>
                  <c:pt idx="85">
                    <c:v>Feb</c:v>
                  </c:pt>
                  <c:pt idx="86">
                    <c:v>Mar</c:v>
                  </c:pt>
                  <c:pt idx="87">
                    <c:v>Apr</c:v>
                  </c:pt>
                  <c:pt idx="88">
                    <c:v>May</c:v>
                  </c:pt>
                  <c:pt idx="89">
                    <c:v>Jun</c:v>
                  </c:pt>
                  <c:pt idx="90">
                    <c:v>Jul</c:v>
                  </c:pt>
                  <c:pt idx="91">
                    <c:v>Aug</c:v>
                  </c:pt>
                  <c:pt idx="92">
                    <c:v>Sep</c:v>
                  </c:pt>
                  <c:pt idx="93">
                    <c:v>Oct</c:v>
                  </c:pt>
                  <c:pt idx="94">
                    <c:v>Nov</c:v>
                  </c:pt>
                  <c:pt idx="95">
                    <c:v>Dec</c:v>
                  </c:pt>
                  <c:pt idx="96">
                    <c:v>Jan</c:v>
                  </c:pt>
                  <c:pt idx="97">
                    <c:v>Feb</c:v>
                  </c:pt>
                  <c:pt idx="98">
                    <c:v>Mar</c:v>
                  </c:pt>
                  <c:pt idx="99">
                    <c:v>Apr</c:v>
                  </c:pt>
                  <c:pt idx="100">
                    <c:v>May</c:v>
                  </c:pt>
                  <c:pt idx="101">
                    <c:v>Jun</c:v>
                  </c:pt>
                  <c:pt idx="102">
                    <c:v>Jul</c:v>
                  </c:pt>
                  <c:pt idx="103">
                    <c:v>Aug</c:v>
                  </c:pt>
                  <c:pt idx="104">
                    <c:v>Sep</c:v>
                  </c:pt>
                  <c:pt idx="105">
                    <c:v>Oct</c:v>
                  </c:pt>
                  <c:pt idx="106">
                    <c:v>Nov</c:v>
                  </c:pt>
                  <c:pt idx="107">
                    <c:v>Dec</c:v>
                  </c:pt>
                  <c:pt idx="108">
                    <c:v>Jan</c:v>
                  </c:pt>
                  <c:pt idx="109">
                    <c:v>Feb</c:v>
                  </c:pt>
                  <c:pt idx="110">
                    <c:v>Mar</c:v>
                  </c:pt>
                  <c:pt idx="111">
                    <c:v>Apr</c:v>
                  </c:pt>
                  <c:pt idx="112">
                    <c:v>May</c:v>
                  </c:pt>
                  <c:pt idx="113">
                    <c:v>Jun</c:v>
                  </c:pt>
                  <c:pt idx="114">
                    <c:v>Jul</c:v>
                  </c:pt>
                  <c:pt idx="115">
                    <c:v>Aug</c:v>
                  </c:pt>
                  <c:pt idx="116">
                    <c:v>Sep</c:v>
                  </c:pt>
                  <c:pt idx="117">
                    <c:v>Oct</c:v>
                  </c:pt>
                  <c:pt idx="118">
                    <c:v>Nov</c:v>
                  </c:pt>
                  <c:pt idx="119">
                    <c:v>Dec</c:v>
                  </c:pt>
                  <c:pt idx="120">
                    <c:v>Jan</c:v>
                  </c:pt>
                  <c:pt idx="121">
                    <c:v>Feb</c:v>
                  </c:pt>
                  <c:pt idx="122">
                    <c:v>Mar</c:v>
                  </c:pt>
                  <c:pt idx="123">
                    <c:v>Apr</c:v>
                  </c:pt>
                  <c:pt idx="124">
                    <c:v>May</c:v>
                  </c:pt>
                  <c:pt idx="125">
                    <c:v>Jun</c:v>
                  </c:pt>
                  <c:pt idx="126">
                    <c:v>Jul</c:v>
                  </c:pt>
                  <c:pt idx="127">
                    <c:v>Aug</c:v>
                  </c:pt>
                  <c:pt idx="128">
                    <c:v>Sep</c:v>
                  </c:pt>
                  <c:pt idx="129">
                    <c:v>Oct</c:v>
                  </c:pt>
                  <c:pt idx="130">
                    <c:v>Nov</c:v>
                  </c:pt>
                  <c:pt idx="131">
                    <c:v>Dec</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Figures!$H$3:$H$134</c:f>
              <c:numCache>
                <c:formatCode>General</c:formatCode>
                <c:ptCount val="132"/>
                <c:pt idx="68">
                  <c:v>1896.0250027725549</c:v>
                </c:pt>
                <c:pt idx="69">
                  <c:v>1832.4208693260393</c:v>
                </c:pt>
                <c:pt idx="70">
                  <c:v>1801.0739889024956</c:v>
                </c:pt>
                <c:pt idx="71">
                  <c:v>1763.1280100002564</c:v>
                </c:pt>
                <c:pt idx="72">
                  <c:v>1785.8842440941351</c:v>
                </c:pt>
                <c:pt idx="73">
                  <c:v>1843.7987303330397</c:v>
                </c:pt>
                <c:pt idx="74">
                  <c:v>1759.1041739118086</c:v>
                </c:pt>
                <c:pt idx="75">
                  <c:v>1756.2691720576058</c:v>
                </c:pt>
                <c:pt idx="76">
                  <c:v>1664.1964119915056</c:v>
                </c:pt>
                <c:pt idx="77">
                  <c:v>1623.5915912685809</c:v>
                </c:pt>
                <c:pt idx="78">
                  <c:v>1547.38817394177</c:v>
                </c:pt>
                <c:pt idx="79">
                  <c:v>1483.8098364038865</c:v>
                </c:pt>
                <c:pt idx="80">
                  <c:v>1451.1917150469164</c:v>
                </c:pt>
                <c:pt idx="81">
                  <c:v>1380.445308118479</c:v>
                </c:pt>
                <c:pt idx="82">
                  <c:v>1304.3751388691533</c:v>
                </c:pt>
                <c:pt idx="83">
                  <c:v>1071.6978505672432</c:v>
                </c:pt>
                <c:pt idx="84">
                  <c:v>1067.084321813343</c:v>
                </c:pt>
                <c:pt idx="85">
                  <c:v>1196.1210068314092</c:v>
                </c:pt>
                <c:pt idx="86">
                  <c:v>1088.1112170329793</c:v>
                </c:pt>
                <c:pt idx="87">
                  <c:v>1030.9590666444549</c:v>
                </c:pt>
                <c:pt idx="88">
                  <c:v>1000.0793630403157</c:v>
                </c:pt>
                <c:pt idx="89">
                  <c:v>912.7349855052189</c:v>
                </c:pt>
                <c:pt idx="90">
                  <c:v>1012.3264360595336</c:v>
                </c:pt>
                <c:pt idx="91">
                  <c:v>1016.8138308909306</c:v>
                </c:pt>
                <c:pt idx="92">
                  <c:v>996.03307295936202</c:v>
                </c:pt>
                <c:pt idx="93">
                  <c:v>973.70144996319766</c:v>
                </c:pt>
                <c:pt idx="94">
                  <c:v>949.71260769303103</c:v>
                </c:pt>
                <c:pt idx="95">
                  <c:v>886.94325001846175</c:v>
                </c:pt>
                <c:pt idx="96">
                  <c:v>965.03526826645862</c:v>
                </c:pt>
                <c:pt idx="97">
                  <c:v>1107.6108283916246</c:v>
                </c:pt>
                <c:pt idx="98">
                  <c:v>1076.3067709327206</c:v>
                </c:pt>
                <c:pt idx="99">
                  <c:v>1073.7677097047192</c:v>
                </c:pt>
                <c:pt idx="100">
                  <c:v>990.77604066929314</c:v>
                </c:pt>
                <c:pt idx="101">
                  <c:v>899.35955533884226</c:v>
                </c:pt>
                <c:pt idx="102">
                  <c:v>920.2329097301913</c:v>
                </c:pt>
                <c:pt idx="103">
                  <c:v>989.16037512795992</c:v>
                </c:pt>
                <c:pt idx="104">
                  <c:v>951.92936278355069</c:v>
                </c:pt>
                <c:pt idx="105">
                  <c:v>943.72060190798834</c:v>
                </c:pt>
                <c:pt idx="106">
                  <c:v>925.27946335342142</c:v>
                </c:pt>
                <c:pt idx="107">
                  <c:v>866.92679111899633</c:v>
                </c:pt>
                <c:pt idx="108">
                  <c:v>912.94600428125989</c:v>
                </c:pt>
                <c:pt idx="109">
                  <c:v>1025.9754896292698</c:v>
                </c:pt>
                <c:pt idx="110">
                  <c:v>1001.6267286773024</c:v>
                </c:pt>
                <c:pt idx="111">
                  <c:v>1001.3379787949374</c:v>
                </c:pt>
                <c:pt idx="112">
                  <c:v>944.59927109890111</c:v>
                </c:pt>
                <c:pt idx="113">
                  <c:v>911.03863865674896</c:v>
                </c:pt>
                <c:pt idx="114">
                  <c:v>905.39333201050681</c:v>
                </c:pt>
                <c:pt idx="115">
                  <c:v>883.83148048891451</c:v>
                </c:pt>
                <c:pt idx="116">
                  <c:v>844.41418363551577</c:v>
                </c:pt>
                <c:pt idx="117">
                  <c:v>821.9615447429818</c:v>
                </c:pt>
                <c:pt idx="118">
                  <c:v>783.22947791919194</c:v>
                </c:pt>
                <c:pt idx="119">
                  <c:v>765.34692346188308</c:v>
                </c:pt>
                <c:pt idx="120">
                  <c:v>771.89552431807022</c:v>
                </c:pt>
                <c:pt idx="121">
                  <c:v>820.22033968576943</c:v>
                </c:pt>
                <c:pt idx="122">
                  <c:v>816.51064535391117</c:v>
                </c:pt>
                <c:pt idx="123">
                  <c:v>803.71276173104229</c:v>
                </c:pt>
                <c:pt idx="124">
                  <c:v>777.67530794280731</c:v>
                </c:pt>
                <c:pt idx="125">
                  <c:v>774.01694222318599</c:v>
                </c:pt>
                <c:pt idx="126">
                  <c:v>744.85259970554864</c:v>
                </c:pt>
                <c:pt idx="127">
                  <c:v>744.64087450873626</c:v>
                </c:pt>
                <c:pt idx="128">
                  <c:v>715.00678021337137</c:v>
                </c:pt>
                <c:pt idx="129">
                  <c:v>691.7758558273672</c:v>
                </c:pt>
                <c:pt idx="130">
                  <c:v>693.05186795797192</c:v>
                </c:pt>
                <c:pt idx="131">
                  <c:v>674.68036332410168</c:v>
                </c:pt>
              </c:numCache>
            </c:numRef>
          </c:val>
          <c:smooth val="0"/>
          <c:extLst>
            <c:ext xmlns:c16="http://schemas.microsoft.com/office/drawing/2014/chart" uri="{C3380CC4-5D6E-409C-BE32-E72D297353CC}">
              <c16:uniqueId val="{00000002-2998-47F9-BD83-32F701CD5B84}"/>
            </c:ext>
          </c:extLst>
        </c:ser>
        <c:ser>
          <c:idx val="3"/>
          <c:order val="1"/>
          <c:tx>
            <c:strRef>
              <c:f>Figures!$J$1:$J$2</c:f>
              <c:strCache>
                <c:ptCount val="2"/>
                <c:pt idx="1">
                  <c:v>TUIK average wage</c:v>
                </c:pt>
              </c:strCache>
            </c:strRef>
          </c:tx>
          <c:spPr>
            <a:ln w="12700" cap="rnd">
              <a:solidFill>
                <a:schemeClr val="accent2">
                  <a:lumMod val="50000"/>
                </a:schemeClr>
              </a:solidFill>
              <a:round/>
            </a:ln>
            <a:effectLst/>
          </c:spPr>
          <c:marker>
            <c:symbol val="square"/>
            <c:size val="2"/>
            <c:spPr>
              <a:solidFill>
                <a:schemeClr val="accent2">
                  <a:lumMod val="50000"/>
                </a:schemeClr>
              </a:solidFill>
              <a:ln w="9525">
                <a:solidFill>
                  <a:schemeClr val="accent2">
                    <a:lumMod val="50000"/>
                  </a:schemeClr>
                </a:solidFill>
              </a:ln>
              <a:effectLst/>
            </c:spPr>
          </c:marker>
          <c:cat>
            <c:multiLvlStrRef>
              <c:f>Figures!$E$3:$F$134</c:f>
              <c:multiLvlStrCache>
                <c:ptCount val="13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pt idx="48">
                    <c:v>Jan</c:v>
                  </c:pt>
                  <c:pt idx="49">
                    <c:v>Feb</c:v>
                  </c:pt>
                  <c:pt idx="50">
                    <c:v>Mar</c:v>
                  </c:pt>
                  <c:pt idx="51">
                    <c:v>Apr</c:v>
                  </c:pt>
                  <c:pt idx="52">
                    <c:v>May</c:v>
                  </c:pt>
                  <c:pt idx="53">
                    <c:v>Jun</c:v>
                  </c:pt>
                  <c:pt idx="54">
                    <c:v>Jul</c:v>
                  </c:pt>
                  <c:pt idx="55">
                    <c:v>Aug</c:v>
                  </c:pt>
                  <c:pt idx="56">
                    <c:v>Sep</c:v>
                  </c:pt>
                  <c:pt idx="57">
                    <c:v>Oct</c:v>
                  </c:pt>
                  <c:pt idx="58">
                    <c:v>Nov</c:v>
                  </c:pt>
                  <c:pt idx="59">
                    <c:v>Dec</c:v>
                  </c:pt>
                  <c:pt idx="60">
                    <c:v>Jan</c:v>
                  </c:pt>
                  <c:pt idx="61">
                    <c:v>Feb</c:v>
                  </c:pt>
                  <c:pt idx="62">
                    <c:v>Mar</c:v>
                  </c:pt>
                  <c:pt idx="63">
                    <c:v>Apr</c:v>
                  </c:pt>
                  <c:pt idx="64">
                    <c:v>May</c:v>
                  </c:pt>
                  <c:pt idx="65">
                    <c:v>Jun</c:v>
                  </c:pt>
                  <c:pt idx="66">
                    <c:v>Jul</c:v>
                  </c:pt>
                  <c:pt idx="67">
                    <c:v>Aug</c:v>
                  </c:pt>
                  <c:pt idx="68">
                    <c:v>Sep</c:v>
                  </c:pt>
                  <c:pt idx="69">
                    <c:v>Oct</c:v>
                  </c:pt>
                  <c:pt idx="70">
                    <c:v>Nov</c:v>
                  </c:pt>
                  <c:pt idx="71">
                    <c:v>Dec</c:v>
                  </c:pt>
                  <c:pt idx="72">
                    <c:v>Jan</c:v>
                  </c:pt>
                  <c:pt idx="73">
                    <c:v>Feb</c:v>
                  </c:pt>
                  <c:pt idx="74">
                    <c:v>Mar</c:v>
                  </c:pt>
                  <c:pt idx="75">
                    <c:v>Apr</c:v>
                  </c:pt>
                  <c:pt idx="76">
                    <c:v>May</c:v>
                  </c:pt>
                  <c:pt idx="77">
                    <c:v>Jun</c:v>
                  </c:pt>
                  <c:pt idx="78">
                    <c:v>Jul</c:v>
                  </c:pt>
                  <c:pt idx="79">
                    <c:v>Aug</c:v>
                  </c:pt>
                  <c:pt idx="80">
                    <c:v>Sep</c:v>
                  </c:pt>
                  <c:pt idx="81">
                    <c:v>Oct</c:v>
                  </c:pt>
                  <c:pt idx="82">
                    <c:v>Nov</c:v>
                  </c:pt>
                  <c:pt idx="83">
                    <c:v>Dec</c:v>
                  </c:pt>
                  <c:pt idx="84">
                    <c:v>Jan</c:v>
                  </c:pt>
                  <c:pt idx="85">
                    <c:v>Feb</c:v>
                  </c:pt>
                  <c:pt idx="86">
                    <c:v>Mar</c:v>
                  </c:pt>
                  <c:pt idx="87">
                    <c:v>Apr</c:v>
                  </c:pt>
                  <c:pt idx="88">
                    <c:v>May</c:v>
                  </c:pt>
                  <c:pt idx="89">
                    <c:v>Jun</c:v>
                  </c:pt>
                  <c:pt idx="90">
                    <c:v>Jul</c:v>
                  </c:pt>
                  <c:pt idx="91">
                    <c:v>Aug</c:v>
                  </c:pt>
                  <c:pt idx="92">
                    <c:v>Sep</c:v>
                  </c:pt>
                  <c:pt idx="93">
                    <c:v>Oct</c:v>
                  </c:pt>
                  <c:pt idx="94">
                    <c:v>Nov</c:v>
                  </c:pt>
                  <c:pt idx="95">
                    <c:v>Dec</c:v>
                  </c:pt>
                  <c:pt idx="96">
                    <c:v>Jan</c:v>
                  </c:pt>
                  <c:pt idx="97">
                    <c:v>Feb</c:v>
                  </c:pt>
                  <c:pt idx="98">
                    <c:v>Mar</c:v>
                  </c:pt>
                  <c:pt idx="99">
                    <c:v>Apr</c:v>
                  </c:pt>
                  <c:pt idx="100">
                    <c:v>May</c:v>
                  </c:pt>
                  <c:pt idx="101">
                    <c:v>Jun</c:v>
                  </c:pt>
                  <c:pt idx="102">
                    <c:v>Jul</c:v>
                  </c:pt>
                  <c:pt idx="103">
                    <c:v>Aug</c:v>
                  </c:pt>
                  <c:pt idx="104">
                    <c:v>Sep</c:v>
                  </c:pt>
                  <c:pt idx="105">
                    <c:v>Oct</c:v>
                  </c:pt>
                  <c:pt idx="106">
                    <c:v>Nov</c:v>
                  </c:pt>
                  <c:pt idx="107">
                    <c:v>Dec</c:v>
                  </c:pt>
                  <c:pt idx="108">
                    <c:v>Jan</c:v>
                  </c:pt>
                  <c:pt idx="109">
                    <c:v>Feb</c:v>
                  </c:pt>
                  <c:pt idx="110">
                    <c:v>Mar</c:v>
                  </c:pt>
                  <c:pt idx="111">
                    <c:v>Apr</c:v>
                  </c:pt>
                  <c:pt idx="112">
                    <c:v>May</c:v>
                  </c:pt>
                  <c:pt idx="113">
                    <c:v>Jun</c:v>
                  </c:pt>
                  <c:pt idx="114">
                    <c:v>Jul</c:v>
                  </c:pt>
                  <c:pt idx="115">
                    <c:v>Aug</c:v>
                  </c:pt>
                  <c:pt idx="116">
                    <c:v>Sep</c:v>
                  </c:pt>
                  <c:pt idx="117">
                    <c:v>Oct</c:v>
                  </c:pt>
                  <c:pt idx="118">
                    <c:v>Nov</c:v>
                  </c:pt>
                  <c:pt idx="119">
                    <c:v>Dec</c:v>
                  </c:pt>
                  <c:pt idx="120">
                    <c:v>Jan</c:v>
                  </c:pt>
                  <c:pt idx="121">
                    <c:v>Feb</c:v>
                  </c:pt>
                  <c:pt idx="122">
                    <c:v>Mar</c:v>
                  </c:pt>
                  <c:pt idx="123">
                    <c:v>Apr</c:v>
                  </c:pt>
                  <c:pt idx="124">
                    <c:v>May</c:v>
                  </c:pt>
                  <c:pt idx="125">
                    <c:v>Jun</c:v>
                  </c:pt>
                  <c:pt idx="126">
                    <c:v>Jul</c:v>
                  </c:pt>
                  <c:pt idx="127">
                    <c:v>Aug</c:v>
                  </c:pt>
                  <c:pt idx="128">
                    <c:v>Sep</c:v>
                  </c:pt>
                  <c:pt idx="129">
                    <c:v>Oct</c:v>
                  </c:pt>
                  <c:pt idx="130">
                    <c:v>Nov</c:v>
                  </c:pt>
                  <c:pt idx="131">
                    <c:v>Dec</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Figures!$J$3:$J$134</c:f>
              <c:numCache>
                <c:formatCode>General</c:formatCode>
                <c:ptCount val="132"/>
                <c:pt idx="0">
                  <c:v>1670.1925000000001</c:v>
                </c:pt>
                <c:pt idx="1">
                  <c:v>1601.2665077946579</c:v>
                </c:pt>
                <c:pt idx="2">
                  <c:v>1653.9718900049197</c:v>
                </c:pt>
                <c:pt idx="3">
                  <c:v>1613.6588327197555</c:v>
                </c:pt>
                <c:pt idx="4">
                  <c:v>1554.024725491799</c:v>
                </c:pt>
                <c:pt idx="5">
                  <c:v>1657.2535115477497</c:v>
                </c:pt>
                <c:pt idx="6">
                  <c:v>1629.2716019537861</c:v>
                </c:pt>
                <c:pt idx="7">
                  <c:v>1571.0931507782682</c:v>
                </c:pt>
                <c:pt idx="8">
                  <c:v>1647.8385197944356</c:v>
                </c:pt>
                <c:pt idx="9">
                  <c:v>1611.0388408734216</c:v>
                </c:pt>
                <c:pt idx="10">
                  <c:v>1604.8502082252467</c:v>
                </c:pt>
                <c:pt idx="11">
                  <c:v>1660.2448639877268</c:v>
                </c:pt>
                <c:pt idx="12">
                  <c:v>1717.9149459478592</c:v>
                </c:pt>
                <c:pt idx="13">
                  <c:v>1768.8333414845672</c:v>
                </c:pt>
                <c:pt idx="14">
                  <c:v>1844.3388016061224</c:v>
                </c:pt>
                <c:pt idx="15">
                  <c:v>1762.9741022087385</c:v>
                </c:pt>
                <c:pt idx="16">
                  <c:v>1736.5613211216571</c:v>
                </c:pt>
                <c:pt idx="17">
                  <c:v>1862.2151940783651</c:v>
                </c:pt>
                <c:pt idx="18">
                  <c:v>1722.1308779985409</c:v>
                </c:pt>
                <c:pt idx="19">
                  <c:v>1705.2723373311494</c:v>
                </c:pt>
                <c:pt idx="20">
                  <c:v>1792.905986597661</c:v>
                </c:pt>
                <c:pt idx="21">
                  <c:v>1736.1261708717061</c:v>
                </c:pt>
                <c:pt idx="22">
                  <c:v>1732.0600281452325</c:v>
                </c:pt>
                <c:pt idx="23">
                  <c:v>1793.0662981106152</c:v>
                </c:pt>
                <c:pt idx="24">
                  <c:v>1794.619260300218</c:v>
                </c:pt>
                <c:pt idx="25">
                  <c:v>1763.9360163362649</c:v>
                </c:pt>
                <c:pt idx="26">
                  <c:v>1843.5577855587621</c:v>
                </c:pt>
                <c:pt idx="27">
                  <c:v>1773.1601720801796</c:v>
                </c:pt>
                <c:pt idx="28">
                  <c:v>1710.9667669483854</c:v>
                </c:pt>
                <c:pt idx="29">
                  <c:v>1790.2915693530697</c:v>
                </c:pt>
                <c:pt idx="30">
                  <c:v>1741.4062671807246</c:v>
                </c:pt>
                <c:pt idx="31">
                  <c:v>1723.4597991714438</c:v>
                </c:pt>
                <c:pt idx="32">
                  <c:v>1768.9496645757247</c:v>
                </c:pt>
                <c:pt idx="33">
                  <c:v>1736.3758076491263</c:v>
                </c:pt>
                <c:pt idx="34">
                  <c:v>1713.7229530758364</c:v>
                </c:pt>
                <c:pt idx="35">
                  <c:v>1720.347857047668</c:v>
                </c:pt>
                <c:pt idx="36">
                  <c:v>1784.9114215046216</c:v>
                </c:pt>
                <c:pt idx="37">
                  <c:v>1774.1928741612953</c:v>
                </c:pt>
                <c:pt idx="38">
                  <c:v>1830.0947247491929</c:v>
                </c:pt>
                <c:pt idx="39">
                  <c:v>1795.679965259623</c:v>
                </c:pt>
                <c:pt idx="40">
                  <c:v>1753.9512295296979</c:v>
                </c:pt>
                <c:pt idx="41">
                  <c:v>1770.05963070296</c:v>
                </c:pt>
                <c:pt idx="42">
                  <c:v>1755.7151258536767</c:v>
                </c:pt>
                <c:pt idx="43">
                  <c:v>1689.8997581994863</c:v>
                </c:pt>
                <c:pt idx="44">
                  <c:v>1675.7269407874392</c:v>
                </c:pt>
                <c:pt idx="45">
                  <c:v>1636.5292901976213</c:v>
                </c:pt>
                <c:pt idx="46">
                  <c:v>1650.8745365377622</c:v>
                </c:pt>
                <c:pt idx="47">
                  <c:v>1684.9463818688873</c:v>
                </c:pt>
                <c:pt idx="48">
                  <c:v>1739.3935633208755</c:v>
                </c:pt>
                <c:pt idx="49">
                  <c:v>1842.8624550749582</c:v>
                </c:pt>
                <c:pt idx="50">
                  <c:v>1864.3511617505749</c:v>
                </c:pt>
                <c:pt idx="51">
                  <c:v>1809.3085240188773</c:v>
                </c:pt>
                <c:pt idx="52">
                  <c:v>1818.3465582224735</c:v>
                </c:pt>
                <c:pt idx="53">
                  <c:v>1856.1549953965284</c:v>
                </c:pt>
                <c:pt idx="54">
                  <c:v>1793.8099204038922</c:v>
                </c:pt>
                <c:pt idx="55">
                  <c:v>1840.3441978778603</c:v>
                </c:pt>
                <c:pt idx="56">
                  <c:v>1861.6883414536551</c:v>
                </c:pt>
                <c:pt idx="57">
                  <c:v>1786.2202569470862</c:v>
                </c:pt>
                <c:pt idx="58">
                  <c:v>1824.7085608937655</c:v>
                </c:pt>
                <c:pt idx="59">
                  <c:v>1822.8578121851663</c:v>
                </c:pt>
                <c:pt idx="60">
                  <c:v>1880.0107410879732</c:v>
                </c:pt>
                <c:pt idx="61">
                  <c:v>2027.3575200873681</c:v>
                </c:pt>
                <c:pt idx="62">
                  <c:v>1957.0635710728707</c:v>
                </c:pt>
                <c:pt idx="63">
                  <c:v>2027.7153763114088</c:v>
                </c:pt>
                <c:pt idx="64">
                  <c:v>2027.1964867358488</c:v>
                </c:pt>
                <c:pt idx="65">
                  <c:v>1943.6144032613879</c:v>
                </c:pt>
                <c:pt idx="66">
                  <c:v>1922.8791225453272</c:v>
                </c:pt>
                <c:pt idx="67">
                  <c:v>1898.2838059047479</c:v>
                </c:pt>
                <c:pt idx="68">
                  <c:v>1945.5991931986175</c:v>
                </c:pt>
                <c:pt idx="69">
                  <c:v>1888.2488418436847</c:v>
                </c:pt>
                <c:pt idx="70">
                  <c:v>1876.4476072402235</c:v>
                </c:pt>
                <c:pt idx="71">
                  <c:v>1888.2564865972881</c:v>
                </c:pt>
                <c:pt idx="72">
                  <c:v>1937.2691681970332</c:v>
                </c:pt>
                <c:pt idx="73">
                  <c:v>2018.5260427858664</c:v>
                </c:pt>
                <c:pt idx="74">
                  <c:v>1969.2446393066589</c:v>
                </c:pt>
                <c:pt idx="75">
                  <c:v>1984.246686664869</c:v>
                </c:pt>
                <c:pt idx="76">
                  <c:v>1937.0630520743762</c:v>
                </c:pt>
                <c:pt idx="77">
                  <c:v>1914.6419470773217</c:v>
                </c:pt>
                <c:pt idx="78">
                  <c:v>1880.1667014005111</c:v>
                </c:pt>
                <c:pt idx="79">
                  <c:v>1855.3339423957927</c:v>
                </c:pt>
                <c:pt idx="80">
                  <c:v>1843.939933334681</c:v>
                </c:pt>
                <c:pt idx="81">
                  <c:v>1831.3078061208907</c:v>
                </c:pt>
                <c:pt idx="82">
                  <c:v>1837.382406522785</c:v>
                </c:pt>
                <c:pt idx="83">
                  <c:v>1586.3169311497788</c:v>
                </c:pt>
                <c:pt idx="84">
                  <c:v>1646.1648873438342</c:v>
                </c:pt>
                <c:pt idx="85">
                  <c:v>1856.3180556449693</c:v>
                </c:pt>
                <c:pt idx="86">
                  <c:v>1792.2941830463853</c:v>
                </c:pt>
                <c:pt idx="87">
                  <c:v>1720.7974711624665</c:v>
                </c:pt>
                <c:pt idx="88">
                  <c:v>1709.4550356245343</c:v>
                </c:pt>
                <c:pt idx="89">
                  <c:v>1610.104362747838</c:v>
                </c:pt>
                <c:pt idx="90">
                  <c:v>1832.1902582667817</c:v>
                </c:pt>
                <c:pt idx="91">
                  <c:v>1920.120427943275</c:v>
                </c:pt>
                <c:pt idx="92">
                  <c:v>1921.38653868809</c:v>
                </c:pt>
                <c:pt idx="93">
                  <c:v>1944.3408166242839</c:v>
                </c:pt>
                <c:pt idx="94">
                  <c:v>1921.5081330889209</c:v>
                </c:pt>
                <c:pt idx="95">
                  <c:v>1865.4531565344603</c:v>
                </c:pt>
                <c:pt idx="96">
                  <c:v>2079.371258659874</c:v>
                </c:pt>
                <c:pt idx="97">
                  <c:v>2480.5164301833684</c:v>
                </c:pt>
                <c:pt idx="98">
                  <c:v>2476.155263664722</c:v>
                </c:pt>
                <c:pt idx="99">
                  <c:v>2529.9063827045557</c:v>
                </c:pt>
                <c:pt idx="100">
                  <c:v>2504.9437182537922</c:v>
                </c:pt>
                <c:pt idx="101">
                  <c:v>2374.9064615701323</c:v>
                </c:pt>
                <c:pt idx="102">
                  <c:v>2511.9220042412999</c:v>
                </c:pt>
                <c:pt idx="103">
                  <c:v>2687.6950513723859</c:v>
                </c:pt>
                <c:pt idx="104">
                  <c:v>2623.3246164556676</c:v>
                </c:pt>
                <c:pt idx="105">
                  <c:v>2642.4429203871227</c:v>
                </c:pt>
                <c:pt idx="106">
                  <c:v>2648.5033726502338</c:v>
                </c:pt>
                <c:pt idx="107">
                  <c:v>2510.164702427543</c:v>
                </c:pt>
                <c:pt idx="108">
                  <c:v>2709.8071582824714</c:v>
                </c:pt>
                <c:pt idx="109">
                  <c:v>3039.1833912130883</c:v>
                </c:pt>
                <c:pt idx="110">
                  <c:v>3039.5360450063313</c:v>
                </c:pt>
                <c:pt idx="111">
                  <c:v>3092.8479617501621</c:v>
                </c:pt>
                <c:pt idx="112">
                  <c:v>2982.2330525402667</c:v>
                </c:pt>
                <c:pt idx="113">
                  <c:v>2950.7029223793011</c:v>
                </c:pt>
                <c:pt idx="114">
                  <c:v>3008.5485392635883</c:v>
                </c:pt>
                <c:pt idx="115">
                  <c:v>2965.5613311664888</c:v>
                </c:pt>
                <c:pt idx="116">
                  <c:v>2898.515083327969</c:v>
                </c:pt>
                <c:pt idx="117">
                  <c:v>2895.2169374076188</c:v>
                </c:pt>
                <c:pt idx="118">
                  <c:v>2807.8998667588462</c:v>
                </c:pt>
                <c:pt idx="119">
                  <c:v>2779.3676114463201</c:v>
                </c:pt>
                <c:pt idx="120">
                  <c:v>2888.2869526501663</c:v>
                </c:pt>
                <c:pt idx="121">
                  <c:v>3102.1201206472497</c:v>
                </c:pt>
                <c:pt idx="122">
                  <c:v>3131.7920729808629</c:v>
                </c:pt>
                <c:pt idx="123">
                  <c:v>3126.4013556185705</c:v>
                </c:pt>
                <c:pt idx="124">
                  <c:v>3088.5809909159771</c:v>
                </c:pt>
                <c:pt idx="125">
                  <c:v>3124.9976918203579</c:v>
                </c:pt>
                <c:pt idx="126">
                  <c:v>3057.0469823833205</c:v>
                </c:pt>
                <c:pt idx="127">
                  <c:v>3091.8194464317576</c:v>
                </c:pt>
                <c:pt idx="128">
                  <c:v>2984.8808347375161</c:v>
                </c:pt>
                <c:pt idx="129">
                  <c:v>2921.4120524836426</c:v>
                </c:pt>
                <c:pt idx="130">
                  <c:v>2963.3603508169763</c:v>
                </c:pt>
                <c:pt idx="131">
                  <c:v>2919.6914071132796</c:v>
                </c:pt>
              </c:numCache>
            </c:numRef>
          </c:val>
          <c:smooth val="0"/>
          <c:extLst>
            <c:ext xmlns:c16="http://schemas.microsoft.com/office/drawing/2014/chart" uri="{C3380CC4-5D6E-409C-BE32-E72D297353CC}">
              <c16:uniqueId val="{00000003-2998-47F9-BD83-32F701CD5B84}"/>
            </c:ext>
          </c:extLst>
        </c:ser>
        <c:dLbls>
          <c:showLegendKey val="0"/>
          <c:showVal val="0"/>
          <c:showCatName val="0"/>
          <c:showSerName val="0"/>
          <c:showPercent val="0"/>
          <c:showBubbleSize val="0"/>
        </c:dLbls>
        <c:marker val="1"/>
        <c:smooth val="0"/>
        <c:axId val="859530767"/>
        <c:axId val="579398895"/>
      </c:lineChart>
      <c:catAx>
        <c:axId val="85953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s-ES"/>
          </a:p>
        </c:txPr>
        <c:crossAx val="579398895"/>
        <c:crosses val="autoZero"/>
        <c:auto val="1"/>
        <c:lblAlgn val="ctr"/>
        <c:lblOffset val="100"/>
        <c:noMultiLvlLbl val="0"/>
      </c:catAx>
      <c:valAx>
        <c:axId val="579398895"/>
        <c:scaling>
          <c:orientation val="minMax"/>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2015 Real Lira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859530767"/>
        <c:crosses val="autoZero"/>
        <c:crossBetween val="between"/>
      </c:valAx>
      <c:spPr>
        <a:noFill/>
        <a:ln>
          <a:noFill/>
        </a:ln>
        <a:effectLst/>
      </c:spPr>
    </c:plotArea>
    <c:legend>
      <c:legendPos val="r"/>
      <c:layout>
        <c:manualLayout>
          <c:xMode val="edge"/>
          <c:yMode val="edge"/>
          <c:x val="0.76674414141268954"/>
          <c:y val="0.24368852682342043"/>
          <c:w val="0.22037064437062409"/>
          <c:h val="0.431884768729168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72676497419998"/>
          <c:y val="5.4685558041262738E-2"/>
          <c:w val="0.64759886062239647"/>
          <c:h val="0.74332548476183202"/>
        </c:manualLayout>
      </c:layout>
      <c:lineChart>
        <c:grouping val="standard"/>
        <c:varyColors val="0"/>
        <c:ser>
          <c:idx val="0"/>
          <c:order val="0"/>
          <c:tx>
            <c:strRef>
              <c:f>Figures!$G$2</c:f>
              <c:strCache>
                <c:ptCount val="1"/>
                <c:pt idx="0">
                  <c:v>ENAG minimum wage (2020-)</c:v>
                </c:pt>
              </c:strCache>
            </c:strRef>
          </c:tx>
          <c:spPr>
            <a:ln w="12700" cap="rnd" cmpd="dbl">
              <a:solidFill>
                <a:srgbClr val="00B050"/>
              </a:solidFill>
              <a:round/>
            </a:ln>
            <a:effectLst/>
          </c:spPr>
          <c:marker>
            <c:symbol val="square"/>
            <c:size val="2"/>
            <c:spPr>
              <a:solidFill>
                <a:srgbClr val="92D050"/>
              </a:solidFill>
              <a:ln w="9525">
                <a:solidFill>
                  <a:srgbClr val="00B050"/>
                </a:solidFill>
              </a:ln>
              <a:effectLst/>
            </c:spPr>
          </c:marker>
          <c:cat>
            <c:multiLvlStrRef>
              <c:f>Figures!$A$3:$B$134</c:f>
              <c:multiLvlStrCache>
                <c:ptCount val="13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pt idx="48">
                    <c:v>Jan</c:v>
                  </c:pt>
                  <c:pt idx="49">
                    <c:v>Feb</c:v>
                  </c:pt>
                  <c:pt idx="50">
                    <c:v>Mar</c:v>
                  </c:pt>
                  <c:pt idx="51">
                    <c:v>Apr</c:v>
                  </c:pt>
                  <c:pt idx="52">
                    <c:v>May</c:v>
                  </c:pt>
                  <c:pt idx="53">
                    <c:v>Jun</c:v>
                  </c:pt>
                  <c:pt idx="54">
                    <c:v>Jul</c:v>
                  </c:pt>
                  <c:pt idx="55">
                    <c:v>Aug</c:v>
                  </c:pt>
                  <c:pt idx="56">
                    <c:v>Sep</c:v>
                  </c:pt>
                  <c:pt idx="57">
                    <c:v>Oct</c:v>
                  </c:pt>
                  <c:pt idx="58">
                    <c:v>Nov</c:v>
                  </c:pt>
                  <c:pt idx="59">
                    <c:v>Dec</c:v>
                  </c:pt>
                  <c:pt idx="60">
                    <c:v>Jan</c:v>
                  </c:pt>
                  <c:pt idx="61">
                    <c:v>Feb</c:v>
                  </c:pt>
                  <c:pt idx="62">
                    <c:v>Mar</c:v>
                  </c:pt>
                  <c:pt idx="63">
                    <c:v>Apr</c:v>
                  </c:pt>
                  <c:pt idx="64">
                    <c:v>May</c:v>
                  </c:pt>
                  <c:pt idx="65">
                    <c:v>Jun</c:v>
                  </c:pt>
                  <c:pt idx="66">
                    <c:v>Jul</c:v>
                  </c:pt>
                  <c:pt idx="67">
                    <c:v>Aug</c:v>
                  </c:pt>
                  <c:pt idx="68">
                    <c:v>Sep</c:v>
                  </c:pt>
                  <c:pt idx="69">
                    <c:v>Oct</c:v>
                  </c:pt>
                  <c:pt idx="70">
                    <c:v>Nov</c:v>
                  </c:pt>
                  <c:pt idx="71">
                    <c:v>Dec</c:v>
                  </c:pt>
                  <c:pt idx="72">
                    <c:v>Jan</c:v>
                  </c:pt>
                  <c:pt idx="73">
                    <c:v>Feb</c:v>
                  </c:pt>
                  <c:pt idx="74">
                    <c:v>Mar</c:v>
                  </c:pt>
                  <c:pt idx="75">
                    <c:v>Apr</c:v>
                  </c:pt>
                  <c:pt idx="76">
                    <c:v>May</c:v>
                  </c:pt>
                  <c:pt idx="77">
                    <c:v>Jun</c:v>
                  </c:pt>
                  <c:pt idx="78">
                    <c:v>Jul</c:v>
                  </c:pt>
                  <c:pt idx="79">
                    <c:v>Aug</c:v>
                  </c:pt>
                  <c:pt idx="80">
                    <c:v>Sep</c:v>
                  </c:pt>
                  <c:pt idx="81">
                    <c:v>Oct</c:v>
                  </c:pt>
                  <c:pt idx="82">
                    <c:v>Nov</c:v>
                  </c:pt>
                  <c:pt idx="83">
                    <c:v>Dec</c:v>
                  </c:pt>
                  <c:pt idx="84">
                    <c:v>Jan</c:v>
                  </c:pt>
                  <c:pt idx="85">
                    <c:v>Feb</c:v>
                  </c:pt>
                  <c:pt idx="86">
                    <c:v>Mar</c:v>
                  </c:pt>
                  <c:pt idx="87">
                    <c:v>Apr</c:v>
                  </c:pt>
                  <c:pt idx="88">
                    <c:v>May</c:v>
                  </c:pt>
                  <c:pt idx="89">
                    <c:v>Jun</c:v>
                  </c:pt>
                  <c:pt idx="90">
                    <c:v>Jul</c:v>
                  </c:pt>
                  <c:pt idx="91">
                    <c:v>Aug</c:v>
                  </c:pt>
                  <c:pt idx="92">
                    <c:v>Sep</c:v>
                  </c:pt>
                  <c:pt idx="93">
                    <c:v>Oct</c:v>
                  </c:pt>
                  <c:pt idx="94">
                    <c:v>Nov</c:v>
                  </c:pt>
                  <c:pt idx="95">
                    <c:v>Dec</c:v>
                  </c:pt>
                  <c:pt idx="96">
                    <c:v>Jan</c:v>
                  </c:pt>
                  <c:pt idx="97">
                    <c:v>Feb</c:v>
                  </c:pt>
                  <c:pt idx="98">
                    <c:v>Mar</c:v>
                  </c:pt>
                  <c:pt idx="99">
                    <c:v>Apr</c:v>
                  </c:pt>
                  <c:pt idx="100">
                    <c:v>May</c:v>
                  </c:pt>
                  <c:pt idx="101">
                    <c:v>Jun</c:v>
                  </c:pt>
                  <c:pt idx="102">
                    <c:v>Jul</c:v>
                  </c:pt>
                  <c:pt idx="103">
                    <c:v>Aug</c:v>
                  </c:pt>
                  <c:pt idx="104">
                    <c:v>Sep</c:v>
                  </c:pt>
                  <c:pt idx="105">
                    <c:v>Oct</c:v>
                  </c:pt>
                  <c:pt idx="106">
                    <c:v>Nov</c:v>
                  </c:pt>
                  <c:pt idx="107">
                    <c:v>Dec</c:v>
                  </c:pt>
                  <c:pt idx="108">
                    <c:v>Jan</c:v>
                  </c:pt>
                  <c:pt idx="109">
                    <c:v>Feb</c:v>
                  </c:pt>
                  <c:pt idx="110">
                    <c:v>Mar</c:v>
                  </c:pt>
                  <c:pt idx="111">
                    <c:v>Apr</c:v>
                  </c:pt>
                  <c:pt idx="112">
                    <c:v>May</c:v>
                  </c:pt>
                  <c:pt idx="113">
                    <c:v>Jun</c:v>
                  </c:pt>
                  <c:pt idx="114">
                    <c:v>Jul</c:v>
                  </c:pt>
                  <c:pt idx="115">
                    <c:v>Aug</c:v>
                  </c:pt>
                  <c:pt idx="116">
                    <c:v>Sep</c:v>
                  </c:pt>
                  <c:pt idx="117">
                    <c:v>Oct</c:v>
                  </c:pt>
                  <c:pt idx="118">
                    <c:v>Nov</c:v>
                  </c:pt>
                  <c:pt idx="119">
                    <c:v>Dec</c:v>
                  </c:pt>
                  <c:pt idx="120">
                    <c:v>Jan</c:v>
                  </c:pt>
                  <c:pt idx="121">
                    <c:v>Feb</c:v>
                  </c:pt>
                  <c:pt idx="122">
                    <c:v>Mar</c:v>
                  </c:pt>
                  <c:pt idx="123">
                    <c:v>Apr</c:v>
                  </c:pt>
                  <c:pt idx="124">
                    <c:v>May</c:v>
                  </c:pt>
                  <c:pt idx="125">
                    <c:v>Jun</c:v>
                  </c:pt>
                  <c:pt idx="126">
                    <c:v>Jul</c:v>
                  </c:pt>
                  <c:pt idx="127">
                    <c:v>Aug</c:v>
                  </c:pt>
                  <c:pt idx="128">
                    <c:v>Sep</c:v>
                  </c:pt>
                  <c:pt idx="129">
                    <c:v>Oct</c:v>
                  </c:pt>
                  <c:pt idx="130">
                    <c:v>Nov</c:v>
                  </c:pt>
                  <c:pt idx="131">
                    <c:v>Dec</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Figures!$G$3:$G$134</c:f>
              <c:numCache>
                <c:formatCode>General</c:formatCode>
                <c:ptCount val="132"/>
                <c:pt idx="68">
                  <c:v>1189.2878449720556</c:v>
                </c:pt>
                <c:pt idx="69">
                  <c:v>1159.6020329290716</c:v>
                </c:pt>
                <c:pt idx="70">
                  <c:v>1121.1467010819601</c:v>
                </c:pt>
                <c:pt idx="71">
                  <c:v>1077.1970609934285</c:v>
                </c:pt>
                <c:pt idx="72">
                  <c:v>1271.4172730538362</c:v>
                </c:pt>
                <c:pt idx="73">
                  <c:v>1248.4458690630759</c:v>
                </c:pt>
                <c:pt idx="74">
                  <c:v>1207.8617154248022</c:v>
                </c:pt>
                <c:pt idx="75">
                  <c:v>1177.0236946256111</c:v>
                </c:pt>
                <c:pt idx="76">
                  <c:v>1132.4068641770359</c:v>
                </c:pt>
                <c:pt idx="77">
                  <c:v>1096.4435168251705</c:v>
                </c:pt>
                <c:pt idx="78">
                  <c:v>1045.3270252885598</c:v>
                </c:pt>
                <c:pt idx="79">
                  <c:v>1004.5425958952142</c:v>
                </c:pt>
                <c:pt idx="80">
                  <c:v>976.32675274099938</c:v>
                </c:pt>
                <c:pt idx="81">
                  <c:v>913.30846842001824</c:v>
                </c:pt>
                <c:pt idx="82">
                  <c:v>830.96030244747362</c:v>
                </c:pt>
                <c:pt idx="83">
                  <c:v>696.23820900500516</c:v>
                </c:pt>
                <c:pt idx="84">
                  <c:v>905.03679617929708</c:v>
                </c:pt>
                <c:pt idx="85">
                  <c:v>858.34294023074449</c:v>
                </c:pt>
                <c:pt idx="86">
                  <c:v>766.85691077525644</c:v>
                </c:pt>
                <c:pt idx="87">
                  <c:v>705.60996574830369</c:v>
                </c:pt>
                <c:pt idx="88">
                  <c:v>669.07829105661267</c:v>
                </c:pt>
                <c:pt idx="89">
                  <c:v>617.74378271314993</c:v>
                </c:pt>
                <c:pt idx="90">
                  <c:v>760.58738231480766</c:v>
                </c:pt>
                <c:pt idx="91">
                  <c:v>718.48420774117483</c:v>
                </c:pt>
                <c:pt idx="92">
                  <c:v>682.32118493938742</c:v>
                </c:pt>
                <c:pt idx="93">
                  <c:v>636.61241364003297</c:v>
                </c:pt>
                <c:pt idx="94">
                  <c:v>610.71797164239547</c:v>
                </c:pt>
                <c:pt idx="95">
                  <c:v>580.64077927590358</c:v>
                </c:pt>
                <c:pt idx="96">
                  <c:v>821.92548163291576</c:v>
                </c:pt>
                <c:pt idx="97">
                  <c:v>766.65001551433227</c:v>
                </c:pt>
                <c:pt idx="98">
                  <c:v>729.58699611185034</c:v>
                </c:pt>
                <c:pt idx="99">
                  <c:v>695.77245480817317</c:v>
                </c:pt>
                <c:pt idx="100">
                  <c:v>648.13456432992382</c:v>
                </c:pt>
                <c:pt idx="101">
                  <c:v>597.13890209132467</c:v>
                </c:pt>
                <c:pt idx="102">
                  <c:v>707.16778464323772</c:v>
                </c:pt>
                <c:pt idx="103">
                  <c:v>651.22735486070326</c:v>
                </c:pt>
                <c:pt idx="104">
                  <c:v>612.9775554035233</c:v>
                </c:pt>
                <c:pt idx="105">
                  <c:v>583.28818670046951</c:v>
                </c:pt>
                <c:pt idx="106">
                  <c:v>552.46087014630564</c:v>
                </c:pt>
                <c:pt idx="107">
                  <c:v>530.60014420505729</c:v>
                </c:pt>
                <c:pt idx="108">
                  <c:v>723.33469492293864</c:v>
                </c:pt>
                <c:pt idx="109">
                  <c:v>693.38065080803165</c:v>
                </c:pt>
                <c:pt idx="110">
                  <c:v>656.11340916732752</c:v>
                </c:pt>
                <c:pt idx="111">
                  <c:v>624.75091331872738</c:v>
                </c:pt>
                <c:pt idx="112">
                  <c:v>591.28422612031738</c:v>
                </c:pt>
                <c:pt idx="113">
                  <c:v>567.07032331477649</c:v>
                </c:pt>
                <c:pt idx="114">
                  <c:v>535.42661062673642</c:v>
                </c:pt>
                <c:pt idx="115">
                  <c:v>517.47038815766541</c:v>
                </c:pt>
                <c:pt idx="116">
                  <c:v>491.23826481646614</c:v>
                </c:pt>
                <c:pt idx="117">
                  <c:v>465.31994393906041</c:v>
                </c:pt>
                <c:pt idx="118">
                  <c:v>447.16504318572015</c:v>
                </c:pt>
                <c:pt idx="119">
                  <c:v>436.94063238784457</c:v>
                </c:pt>
                <c:pt idx="120">
                  <c:v>524.92331393907205</c:v>
                </c:pt>
                <c:pt idx="121">
                  <c:v>507.81011312670222</c:v>
                </c:pt>
                <c:pt idx="122">
                  <c:v>488.70187000933714</c:v>
                </c:pt>
                <c:pt idx="123">
                  <c:v>467.836367996685</c:v>
                </c:pt>
                <c:pt idx="124">
                  <c:v>451.31812463504247</c:v>
                </c:pt>
                <c:pt idx="125">
                  <c:v>437.96033443478166</c:v>
                </c:pt>
                <c:pt idx="126">
                  <c:v>422.13044282870516</c:v>
                </c:pt>
                <c:pt idx="127">
                  <c:v>408.92225402373845</c:v>
                </c:pt>
                <c:pt idx="128">
                  <c:v>393.99003181784218</c:v>
                </c:pt>
                <c:pt idx="129">
                  <c:v>379.78603414096989</c:v>
                </c:pt>
                <c:pt idx="130">
                  <c:v>371.86530318316841</c:v>
                </c:pt>
                <c:pt idx="131">
                  <c:v>364.18108234567467</c:v>
                </c:pt>
              </c:numCache>
            </c:numRef>
          </c:val>
          <c:smooth val="0"/>
          <c:extLst>
            <c:ext xmlns:c16="http://schemas.microsoft.com/office/drawing/2014/chart" uri="{C3380CC4-5D6E-409C-BE32-E72D297353CC}">
              <c16:uniqueId val="{00000000-3567-4F68-954F-554763F833A1}"/>
            </c:ext>
          </c:extLst>
        </c:ser>
        <c:ser>
          <c:idx val="2"/>
          <c:order val="1"/>
          <c:tx>
            <c:strRef>
              <c:f>Figures!$I$2</c:f>
              <c:strCache>
                <c:ptCount val="1"/>
                <c:pt idx="0">
                  <c:v>TUIK minimum wage</c:v>
                </c:pt>
              </c:strCache>
            </c:strRef>
          </c:tx>
          <c:spPr>
            <a:ln w="12700" cap="rnd" cmpd="sng">
              <a:solidFill>
                <a:schemeClr val="accent2">
                  <a:lumMod val="50000"/>
                </a:schemeClr>
              </a:solidFill>
              <a:round/>
            </a:ln>
            <a:effectLst/>
          </c:spPr>
          <c:marker>
            <c:symbol val="square"/>
            <c:size val="2"/>
            <c:spPr>
              <a:solidFill>
                <a:schemeClr val="accent2">
                  <a:lumMod val="40000"/>
                  <a:lumOff val="60000"/>
                </a:schemeClr>
              </a:solidFill>
              <a:ln w="9525">
                <a:solidFill>
                  <a:schemeClr val="accent2">
                    <a:lumMod val="50000"/>
                  </a:schemeClr>
                </a:solidFill>
              </a:ln>
              <a:effectLst/>
            </c:spPr>
          </c:marker>
          <c:cat>
            <c:multiLvlStrRef>
              <c:f>Figures!$A$3:$B$134</c:f>
              <c:multiLvlStrCache>
                <c:ptCount val="13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pt idx="48">
                    <c:v>Jan</c:v>
                  </c:pt>
                  <c:pt idx="49">
                    <c:v>Feb</c:v>
                  </c:pt>
                  <c:pt idx="50">
                    <c:v>Mar</c:v>
                  </c:pt>
                  <c:pt idx="51">
                    <c:v>Apr</c:v>
                  </c:pt>
                  <c:pt idx="52">
                    <c:v>May</c:v>
                  </c:pt>
                  <c:pt idx="53">
                    <c:v>Jun</c:v>
                  </c:pt>
                  <c:pt idx="54">
                    <c:v>Jul</c:v>
                  </c:pt>
                  <c:pt idx="55">
                    <c:v>Aug</c:v>
                  </c:pt>
                  <c:pt idx="56">
                    <c:v>Sep</c:v>
                  </c:pt>
                  <c:pt idx="57">
                    <c:v>Oct</c:v>
                  </c:pt>
                  <c:pt idx="58">
                    <c:v>Nov</c:v>
                  </c:pt>
                  <c:pt idx="59">
                    <c:v>Dec</c:v>
                  </c:pt>
                  <c:pt idx="60">
                    <c:v>Jan</c:v>
                  </c:pt>
                  <c:pt idx="61">
                    <c:v>Feb</c:v>
                  </c:pt>
                  <c:pt idx="62">
                    <c:v>Mar</c:v>
                  </c:pt>
                  <c:pt idx="63">
                    <c:v>Apr</c:v>
                  </c:pt>
                  <c:pt idx="64">
                    <c:v>May</c:v>
                  </c:pt>
                  <c:pt idx="65">
                    <c:v>Jun</c:v>
                  </c:pt>
                  <c:pt idx="66">
                    <c:v>Jul</c:v>
                  </c:pt>
                  <c:pt idx="67">
                    <c:v>Aug</c:v>
                  </c:pt>
                  <c:pt idx="68">
                    <c:v>Sep</c:v>
                  </c:pt>
                  <c:pt idx="69">
                    <c:v>Oct</c:v>
                  </c:pt>
                  <c:pt idx="70">
                    <c:v>Nov</c:v>
                  </c:pt>
                  <c:pt idx="71">
                    <c:v>Dec</c:v>
                  </c:pt>
                  <c:pt idx="72">
                    <c:v>Jan</c:v>
                  </c:pt>
                  <c:pt idx="73">
                    <c:v>Feb</c:v>
                  </c:pt>
                  <c:pt idx="74">
                    <c:v>Mar</c:v>
                  </c:pt>
                  <c:pt idx="75">
                    <c:v>Apr</c:v>
                  </c:pt>
                  <c:pt idx="76">
                    <c:v>May</c:v>
                  </c:pt>
                  <c:pt idx="77">
                    <c:v>Jun</c:v>
                  </c:pt>
                  <c:pt idx="78">
                    <c:v>Jul</c:v>
                  </c:pt>
                  <c:pt idx="79">
                    <c:v>Aug</c:v>
                  </c:pt>
                  <c:pt idx="80">
                    <c:v>Sep</c:v>
                  </c:pt>
                  <c:pt idx="81">
                    <c:v>Oct</c:v>
                  </c:pt>
                  <c:pt idx="82">
                    <c:v>Nov</c:v>
                  </c:pt>
                  <c:pt idx="83">
                    <c:v>Dec</c:v>
                  </c:pt>
                  <c:pt idx="84">
                    <c:v>Jan</c:v>
                  </c:pt>
                  <c:pt idx="85">
                    <c:v>Feb</c:v>
                  </c:pt>
                  <c:pt idx="86">
                    <c:v>Mar</c:v>
                  </c:pt>
                  <c:pt idx="87">
                    <c:v>Apr</c:v>
                  </c:pt>
                  <c:pt idx="88">
                    <c:v>May</c:v>
                  </c:pt>
                  <c:pt idx="89">
                    <c:v>Jun</c:v>
                  </c:pt>
                  <c:pt idx="90">
                    <c:v>Jul</c:v>
                  </c:pt>
                  <c:pt idx="91">
                    <c:v>Aug</c:v>
                  </c:pt>
                  <c:pt idx="92">
                    <c:v>Sep</c:v>
                  </c:pt>
                  <c:pt idx="93">
                    <c:v>Oct</c:v>
                  </c:pt>
                  <c:pt idx="94">
                    <c:v>Nov</c:v>
                  </c:pt>
                  <c:pt idx="95">
                    <c:v>Dec</c:v>
                  </c:pt>
                  <c:pt idx="96">
                    <c:v>Jan</c:v>
                  </c:pt>
                  <c:pt idx="97">
                    <c:v>Feb</c:v>
                  </c:pt>
                  <c:pt idx="98">
                    <c:v>Mar</c:v>
                  </c:pt>
                  <c:pt idx="99">
                    <c:v>Apr</c:v>
                  </c:pt>
                  <c:pt idx="100">
                    <c:v>May</c:v>
                  </c:pt>
                  <c:pt idx="101">
                    <c:v>Jun</c:v>
                  </c:pt>
                  <c:pt idx="102">
                    <c:v>Jul</c:v>
                  </c:pt>
                  <c:pt idx="103">
                    <c:v>Aug</c:v>
                  </c:pt>
                  <c:pt idx="104">
                    <c:v>Sep</c:v>
                  </c:pt>
                  <c:pt idx="105">
                    <c:v>Oct</c:v>
                  </c:pt>
                  <c:pt idx="106">
                    <c:v>Nov</c:v>
                  </c:pt>
                  <c:pt idx="107">
                    <c:v>Dec</c:v>
                  </c:pt>
                  <c:pt idx="108">
                    <c:v>Jan</c:v>
                  </c:pt>
                  <c:pt idx="109">
                    <c:v>Feb</c:v>
                  </c:pt>
                  <c:pt idx="110">
                    <c:v>Mar</c:v>
                  </c:pt>
                  <c:pt idx="111">
                    <c:v>Apr</c:v>
                  </c:pt>
                  <c:pt idx="112">
                    <c:v>May</c:v>
                  </c:pt>
                  <c:pt idx="113">
                    <c:v>Jun</c:v>
                  </c:pt>
                  <c:pt idx="114">
                    <c:v>Jul</c:v>
                  </c:pt>
                  <c:pt idx="115">
                    <c:v>Aug</c:v>
                  </c:pt>
                  <c:pt idx="116">
                    <c:v>Sep</c:v>
                  </c:pt>
                  <c:pt idx="117">
                    <c:v>Oct</c:v>
                  </c:pt>
                  <c:pt idx="118">
                    <c:v>Nov</c:v>
                  </c:pt>
                  <c:pt idx="119">
                    <c:v>Dec</c:v>
                  </c:pt>
                  <c:pt idx="120">
                    <c:v>Jan</c:v>
                  </c:pt>
                  <c:pt idx="121">
                    <c:v>Feb</c:v>
                  </c:pt>
                  <c:pt idx="122">
                    <c:v>Mar</c:v>
                  </c:pt>
                  <c:pt idx="123">
                    <c:v>Apr</c:v>
                  </c:pt>
                  <c:pt idx="124">
                    <c:v>May</c:v>
                  </c:pt>
                  <c:pt idx="125">
                    <c:v>Jun</c:v>
                  </c:pt>
                  <c:pt idx="126">
                    <c:v>Jul</c:v>
                  </c:pt>
                  <c:pt idx="127">
                    <c:v>Aug</c:v>
                  </c:pt>
                  <c:pt idx="128">
                    <c:v>Sep</c:v>
                  </c:pt>
                  <c:pt idx="129">
                    <c:v>Oct</c:v>
                  </c:pt>
                  <c:pt idx="130">
                    <c:v>Nov</c:v>
                  </c:pt>
                  <c:pt idx="131">
                    <c:v>Dec</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Figures!$I$3:$I$134</c:f>
              <c:numCache>
                <c:formatCode>General</c:formatCode>
                <c:ptCount val="132"/>
                <c:pt idx="0">
                  <c:v>949</c:v>
                </c:pt>
                <c:pt idx="1">
                  <c:v>942.30960182702802</c:v>
                </c:pt>
                <c:pt idx="2">
                  <c:v>931.22798876077468</c:v>
                </c:pt>
                <c:pt idx="3">
                  <c:v>916.29242227764894</c:v>
                </c:pt>
                <c:pt idx="4">
                  <c:v>911.18975962375589</c:v>
                </c:pt>
                <c:pt idx="5">
                  <c:v>915.86064893331582</c:v>
                </c:pt>
                <c:pt idx="6">
                  <c:v>964.73259807347245</c:v>
                </c:pt>
                <c:pt idx="7">
                  <c:v>960.88904190584901</c:v>
                </c:pt>
                <c:pt idx="8">
                  <c:v>952.4125700325593</c:v>
                </c:pt>
                <c:pt idx="9">
                  <c:v>937.87549978587822</c:v>
                </c:pt>
                <c:pt idx="10">
                  <c:v>931.6335549675955</c:v>
                </c:pt>
                <c:pt idx="11">
                  <c:v>929.68122439636318</c:v>
                </c:pt>
                <c:pt idx="12">
                  <c:v>1187.2453303888308</c:v>
                </c:pt>
                <c:pt idx="13">
                  <c:v>1187.4828269542215</c:v>
                </c:pt>
                <c:pt idx="14">
                  <c:v>1187.9580101582847</c:v>
                </c:pt>
                <c:pt idx="15">
                  <c:v>1178.7636536597386</c:v>
                </c:pt>
                <c:pt idx="16">
                  <c:v>1171.9662494131424</c:v>
                </c:pt>
                <c:pt idx="17">
                  <c:v>1166.4837756675054</c:v>
                </c:pt>
                <c:pt idx="18">
                  <c:v>1153.107726045379</c:v>
                </c:pt>
                <c:pt idx="19">
                  <c:v>1156.4614642918252</c:v>
                </c:pt>
                <c:pt idx="20">
                  <c:v>1154.3835738588793</c:v>
                </c:pt>
                <c:pt idx="21">
                  <c:v>1137.9964253340688</c:v>
                </c:pt>
                <c:pt idx="22">
                  <c:v>1132.1094561620262</c:v>
                </c:pt>
                <c:pt idx="23">
                  <c:v>1113.84244014367</c:v>
                </c:pt>
                <c:pt idx="24">
                  <c:v>1173.2244865218097</c:v>
                </c:pt>
                <c:pt idx="25">
                  <c:v>1163.7977249497171</c:v>
                </c:pt>
                <c:pt idx="26">
                  <c:v>1152.0468471092033</c:v>
                </c:pt>
                <c:pt idx="27">
                  <c:v>1137.1501797544202</c:v>
                </c:pt>
                <c:pt idx="28">
                  <c:v>1132.055928078069</c:v>
                </c:pt>
                <c:pt idx="29">
                  <c:v>1135.1207541141771</c:v>
                </c:pt>
                <c:pt idx="30">
                  <c:v>1133.420623179408</c:v>
                </c:pt>
                <c:pt idx="31">
                  <c:v>1127.5573250889454</c:v>
                </c:pt>
                <c:pt idx="32">
                  <c:v>1120.2755341171837</c:v>
                </c:pt>
                <c:pt idx="33">
                  <c:v>1097.4486031712224</c:v>
                </c:pt>
                <c:pt idx="34">
                  <c:v>1081.3366865417504</c:v>
                </c:pt>
                <c:pt idx="35">
                  <c:v>1073.9265930497077</c:v>
                </c:pt>
                <c:pt idx="36">
                  <c:v>1213.8012986381743</c:v>
                </c:pt>
                <c:pt idx="37">
                  <c:v>1205.0047638619817</c:v>
                </c:pt>
                <c:pt idx="38">
                  <c:v>1193.192161463493</c:v>
                </c:pt>
                <c:pt idx="39">
                  <c:v>1171.2890561141583</c:v>
                </c:pt>
                <c:pt idx="40">
                  <c:v>1152.6166661229661</c:v>
                </c:pt>
                <c:pt idx="41">
                  <c:v>1123.2985733583141</c:v>
                </c:pt>
                <c:pt idx="42">
                  <c:v>1117.1542251201533</c:v>
                </c:pt>
                <c:pt idx="43">
                  <c:v>1092.0373657088498</c:v>
                </c:pt>
                <c:pt idx="44">
                  <c:v>1027.3164305821731</c:v>
                </c:pt>
                <c:pt idx="45">
                  <c:v>1000.6003999047172</c:v>
                </c:pt>
                <c:pt idx="46">
                  <c:v>1015.2195615916368</c:v>
                </c:pt>
                <c:pt idx="47">
                  <c:v>1019.2967485859806</c:v>
                </c:pt>
                <c:pt idx="48">
                  <c:v>1271.4524898404181</c:v>
                </c:pt>
                <c:pt idx="49">
                  <c:v>1269.4214155754971</c:v>
                </c:pt>
                <c:pt idx="50">
                  <c:v>1256.4796749237823</c:v>
                </c:pt>
                <c:pt idx="51">
                  <c:v>1235.5980675816525</c:v>
                </c:pt>
                <c:pt idx="52">
                  <c:v>1223.9703492636477</c:v>
                </c:pt>
                <c:pt idx="53">
                  <c:v>1223.6032682831628</c:v>
                </c:pt>
                <c:pt idx="54">
                  <c:v>1207.1855448728913</c:v>
                </c:pt>
                <c:pt idx="55">
                  <c:v>1196.8922713393729</c:v>
                </c:pt>
                <c:pt idx="56">
                  <c:v>1185.1591953058448</c:v>
                </c:pt>
                <c:pt idx="57">
                  <c:v>1161.9207797116126</c:v>
                </c:pt>
                <c:pt idx="58">
                  <c:v>1157.5221953692096</c:v>
                </c:pt>
                <c:pt idx="59">
                  <c:v>1149.0194514286377</c:v>
                </c:pt>
                <c:pt idx="60">
                  <c:v>1304.1501259693471</c:v>
                </c:pt>
                <c:pt idx="61">
                  <c:v>1299.601520647082</c:v>
                </c:pt>
                <c:pt idx="62">
                  <c:v>1292.2357767197793</c:v>
                </c:pt>
                <c:pt idx="63">
                  <c:v>1281.3443497469304</c:v>
                </c:pt>
                <c:pt idx="64">
                  <c:v>1264.1518841228594</c:v>
                </c:pt>
                <c:pt idx="65">
                  <c:v>1250.026583726747</c:v>
                </c:pt>
                <c:pt idx="66">
                  <c:v>1242.8182379466566</c:v>
                </c:pt>
                <c:pt idx="67">
                  <c:v>1232.2211361755469</c:v>
                </c:pt>
                <c:pt idx="68">
                  <c:v>1220.3834170303526</c:v>
                </c:pt>
                <c:pt idx="69">
                  <c:v>1194.9313786647924</c:v>
                </c:pt>
                <c:pt idx="70">
                  <c:v>1168.0658637974511</c:v>
                </c:pt>
                <c:pt idx="71">
                  <c:v>1153.6452975777297</c:v>
                </c:pt>
                <c:pt idx="72">
                  <c:v>1379.1921235352561</c:v>
                </c:pt>
                <c:pt idx="73">
                  <c:v>1366.754656164162</c:v>
                </c:pt>
                <c:pt idx="74">
                  <c:v>1352.1514208193137</c:v>
                </c:pt>
                <c:pt idx="75">
                  <c:v>1329.8106026940536</c:v>
                </c:pt>
                <c:pt idx="76">
                  <c:v>1318.0796934225928</c:v>
                </c:pt>
                <c:pt idx="77">
                  <c:v>1292.995579186377</c:v>
                </c:pt>
                <c:pt idx="78">
                  <c:v>1270.1331819119616</c:v>
                </c:pt>
                <c:pt idx="79">
                  <c:v>1256.0652510996454</c:v>
                </c:pt>
                <c:pt idx="80">
                  <c:v>1240.5582726910079</c:v>
                </c:pt>
                <c:pt idx="81">
                  <c:v>1211.601008585807</c:v>
                </c:pt>
                <c:pt idx="82">
                  <c:v>1170.5159004789946</c:v>
                </c:pt>
                <c:pt idx="83">
                  <c:v>1030.5651527372729</c:v>
                </c:pt>
                <c:pt idx="84">
                  <c:v>1396.1781324766982</c:v>
                </c:pt>
                <c:pt idx="85">
                  <c:v>1332.1039332856581</c:v>
                </c:pt>
                <c:pt idx="86">
                  <c:v>1263.1366710465184</c:v>
                </c:pt>
                <c:pt idx="87">
                  <c:v>1177.7498098335834</c:v>
                </c:pt>
                <c:pt idx="88">
                  <c:v>1143.6684888653947</c:v>
                </c:pt>
                <c:pt idx="89">
                  <c:v>1089.7270022538301</c:v>
                </c:pt>
                <c:pt idx="90">
                  <c:v>1376.5725588103387</c:v>
                </c:pt>
                <c:pt idx="91">
                  <c:v>1356.7638072248556</c:v>
                </c:pt>
                <c:pt idx="92">
                  <c:v>1316.2241047971049</c:v>
                </c:pt>
                <c:pt idx="93">
                  <c:v>1271.2228170727301</c:v>
                </c:pt>
                <c:pt idx="94">
                  <c:v>1235.6364862682058</c:v>
                </c:pt>
                <c:pt idx="95">
                  <c:v>1221.2260192411602</c:v>
                </c:pt>
                <c:pt idx="96">
                  <c:v>1771.0111531341026</c:v>
                </c:pt>
                <c:pt idx="97">
                  <c:v>1716.9279235425133</c:v>
                </c:pt>
                <c:pt idx="98">
                  <c:v>1678.4904912919285</c:v>
                </c:pt>
                <c:pt idx="99">
                  <c:v>1639.3109593631491</c:v>
                </c:pt>
                <c:pt idx="100">
                  <c:v>1638.6554971642834</c:v>
                </c:pt>
                <c:pt idx="101">
                  <c:v>1576.8432420749457</c:v>
                </c:pt>
                <c:pt idx="102">
                  <c:v>1930.3268771997521</c:v>
                </c:pt>
                <c:pt idx="103">
                  <c:v>1769.4810497751876</c:v>
                </c:pt>
                <c:pt idx="104">
                  <c:v>1689.2420522913483</c:v>
                </c:pt>
                <c:pt idx="105">
                  <c:v>1633.2225198601452</c:v>
                </c:pt>
                <c:pt idx="106">
                  <c:v>1581.3541052092808</c:v>
                </c:pt>
                <c:pt idx="107">
                  <c:v>1536.3393619054511</c:v>
                </c:pt>
                <c:pt idx="108">
                  <c:v>2147.0026977985226</c:v>
                </c:pt>
                <c:pt idx="109">
                  <c:v>2053.9583830465158</c:v>
                </c:pt>
                <c:pt idx="110">
                  <c:v>1991.0414725150406</c:v>
                </c:pt>
                <c:pt idx="111">
                  <c:v>1929.6777209876336</c:v>
                </c:pt>
                <c:pt idx="112">
                  <c:v>1866.7676511440779</c:v>
                </c:pt>
                <c:pt idx="113">
                  <c:v>1836.6466461472628</c:v>
                </c:pt>
                <c:pt idx="114">
                  <c:v>1779.1791593018143</c:v>
                </c:pt>
                <c:pt idx="115">
                  <c:v>1736.2927288980329</c:v>
                </c:pt>
                <c:pt idx="116">
                  <c:v>1686.21222579201</c:v>
                </c:pt>
                <c:pt idx="117">
                  <c:v>1639.0087731259821</c:v>
                </c:pt>
                <c:pt idx="118">
                  <c:v>1603.0993477366803</c:v>
                </c:pt>
                <c:pt idx="119">
                  <c:v>1586.7557633739289</c:v>
                </c:pt>
                <c:pt idx="120">
                  <c:v>1964.1636867003872</c:v>
                </c:pt>
                <c:pt idx="121">
                  <c:v>1920.5668198889091</c:v>
                </c:pt>
                <c:pt idx="122">
                  <c:v>1874.4552214414493</c:v>
                </c:pt>
                <c:pt idx="123">
                  <c:v>1819.8594382926692</c:v>
                </c:pt>
                <c:pt idx="124">
                  <c:v>1792.4351800380864</c:v>
                </c:pt>
                <c:pt idx="125">
                  <c:v>1768.2106935366344</c:v>
                </c:pt>
                <c:pt idx="126">
                  <c:v>1732.5207657619385</c:v>
                </c:pt>
                <c:pt idx="127">
                  <c:v>1697.8839335181679</c:v>
                </c:pt>
                <c:pt idx="128">
                  <c:v>1644.7582422921319</c:v>
                </c:pt>
                <c:pt idx="129">
                  <c:v>1603.8598169596603</c:v>
                </c:pt>
                <c:pt idx="130">
                  <c:v>1590.0265856643803</c:v>
                </c:pt>
                <c:pt idx="131">
                  <c:v>1576.0001840265443</c:v>
                </c:pt>
              </c:numCache>
            </c:numRef>
          </c:val>
          <c:smooth val="0"/>
          <c:extLst>
            <c:ext xmlns:c16="http://schemas.microsoft.com/office/drawing/2014/chart" uri="{C3380CC4-5D6E-409C-BE32-E72D297353CC}">
              <c16:uniqueId val="{00000001-3567-4F68-954F-554763F833A1}"/>
            </c:ext>
          </c:extLst>
        </c:ser>
        <c:dLbls>
          <c:showLegendKey val="0"/>
          <c:showVal val="0"/>
          <c:showCatName val="0"/>
          <c:showSerName val="0"/>
          <c:showPercent val="0"/>
          <c:showBubbleSize val="0"/>
        </c:dLbls>
        <c:marker val="1"/>
        <c:smooth val="0"/>
        <c:axId val="859530767"/>
        <c:axId val="579398895"/>
      </c:lineChart>
      <c:catAx>
        <c:axId val="85953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579398895"/>
        <c:crosses val="autoZero"/>
        <c:auto val="1"/>
        <c:lblAlgn val="ctr"/>
        <c:lblOffset val="100"/>
        <c:noMultiLvlLbl val="0"/>
      </c:catAx>
      <c:valAx>
        <c:axId val="579398895"/>
        <c:scaling>
          <c:orientation val="minMax"/>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2015 Real Lira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859530767"/>
        <c:crosses val="autoZero"/>
        <c:crossBetween val="between"/>
      </c:valAx>
      <c:spPr>
        <a:noFill/>
        <a:ln>
          <a:noFill/>
        </a:ln>
        <a:effectLst/>
      </c:spPr>
    </c:plotArea>
    <c:legend>
      <c:legendPos val="r"/>
      <c:layout>
        <c:manualLayout>
          <c:xMode val="edge"/>
          <c:yMode val="edge"/>
          <c:x val="0.77276823270493955"/>
          <c:y val="0.31384812916282556"/>
          <c:w val="0.21434655307837405"/>
          <c:h val="0.267903648509260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Figures!$C$1:$C$2</c:f>
              <c:strCache>
                <c:ptCount val="2"/>
                <c:pt idx="1">
                  <c:v>Average wage</c:v>
                </c:pt>
              </c:strCache>
            </c:strRef>
          </c:tx>
          <c:spPr>
            <a:ln w="28575" cap="rnd" cmpd="thinThick">
              <a:solidFill>
                <a:srgbClr val="00B0F0"/>
              </a:solidFill>
              <a:prstDash val="solid"/>
              <a:round/>
            </a:ln>
            <a:effectLst/>
          </c:spPr>
          <c:marker>
            <c:symbol val="none"/>
          </c:marker>
          <c:cat>
            <c:multiLvlStrRef>
              <c:f>Figures!$A$3:$B$134</c:f>
              <c:multiLvlStrCache>
                <c:ptCount val="13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pt idx="48">
                    <c:v>Jan</c:v>
                  </c:pt>
                  <c:pt idx="49">
                    <c:v>Feb</c:v>
                  </c:pt>
                  <c:pt idx="50">
                    <c:v>Mar</c:v>
                  </c:pt>
                  <c:pt idx="51">
                    <c:v>Apr</c:v>
                  </c:pt>
                  <c:pt idx="52">
                    <c:v>May</c:v>
                  </c:pt>
                  <c:pt idx="53">
                    <c:v>Jun</c:v>
                  </c:pt>
                  <c:pt idx="54">
                    <c:v>Jul</c:v>
                  </c:pt>
                  <c:pt idx="55">
                    <c:v>Aug</c:v>
                  </c:pt>
                  <c:pt idx="56">
                    <c:v>Sep</c:v>
                  </c:pt>
                  <c:pt idx="57">
                    <c:v>Oct</c:v>
                  </c:pt>
                  <c:pt idx="58">
                    <c:v>Nov</c:v>
                  </c:pt>
                  <c:pt idx="59">
                    <c:v>Dec</c:v>
                  </c:pt>
                  <c:pt idx="60">
                    <c:v>Jan</c:v>
                  </c:pt>
                  <c:pt idx="61">
                    <c:v>Feb</c:v>
                  </c:pt>
                  <c:pt idx="62">
                    <c:v>Mar</c:v>
                  </c:pt>
                  <c:pt idx="63">
                    <c:v>Apr</c:v>
                  </c:pt>
                  <c:pt idx="64">
                    <c:v>May</c:v>
                  </c:pt>
                  <c:pt idx="65">
                    <c:v>Jun</c:v>
                  </c:pt>
                  <c:pt idx="66">
                    <c:v>Jul</c:v>
                  </c:pt>
                  <c:pt idx="67">
                    <c:v>Aug</c:v>
                  </c:pt>
                  <c:pt idx="68">
                    <c:v>Sep</c:v>
                  </c:pt>
                  <c:pt idx="69">
                    <c:v>Oct</c:v>
                  </c:pt>
                  <c:pt idx="70">
                    <c:v>Nov</c:v>
                  </c:pt>
                  <c:pt idx="71">
                    <c:v>Dec</c:v>
                  </c:pt>
                  <c:pt idx="72">
                    <c:v>Jan</c:v>
                  </c:pt>
                  <c:pt idx="73">
                    <c:v>Feb</c:v>
                  </c:pt>
                  <c:pt idx="74">
                    <c:v>Mar</c:v>
                  </c:pt>
                  <c:pt idx="75">
                    <c:v>Apr</c:v>
                  </c:pt>
                  <c:pt idx="76">
                    <c:v>May</c:v>
                  </c:pt>
                  <c:pt idx="77">
                    <c:v>Jun</c:v>
                  </c:pt>
                  <c:pt idx="78">
                    <c:v>Jul</c:v>
                  </c:pt>
                  <c:pt idx="79">
                    <c:v>Aug</c:v>
                  </c:pt>
                  <c:pt idx="80">
                    <c:v>Sep</c:v>
                  </c:pt>
                  <c:pt idx="81">
                    <c:v>Oct</c:v>
                  </c:pt>
                  <c:pt idx="82">
                    <c:v>Nov</c:v>
                  </c:pt>
                  <c:pt idx="83">
                    <c:v>Dec</c:v>
                  </c:pt>
                  <c:pt idx="84">
                    <c:v>Jan</c:v>
                  </c:pt>
                  <c:pt idx="85">
                    <c:v>Feb</c:v>
                  </c:pt>
                  <c:pt idx="86">
                    <c:v>Mar</c:v>
                  </c:pt>
                  <c:pt idx="87">
                    <c:v>Apr</c:v>
                  </c:pt>
                  <c:pt idx="88">
                    <c:v>May</c:v>
                  </c:pt>
                  <c:pt idx="89">
                    <c:v>Jun</c:v>
                  </c:pt>
                  <c:pt idx="90">
                    <c:v>Jul</c:v>
                  </c:pt>
                  <c:pt idx="91">
                    <c:v>Aug</c:v>
                  </c:pt>
                  <c:pt idx="92">
                    <c:v>Sep</c:v>
                  </c:pt>
                  <c:pt idx="93">
                    <c:v>Oct</c:v>
                  </c:pt>
                  <c:pt idx="94">
                    <c:v>Nov</c:v>
                  </c:pt>
                  <c:pt idx="95">
                    <c:v>Dec</c:v>
                  </c:pt>
                  <c:pt idx="96">
                    <c:v>Jan</c:v>
                  </c:pt>
                  <c:pt idx="97">
                    <c:v>Feb</c:v>
                  </c:pt>
                  <c:pt idx="98">
                    <c:v>Mar</c:v>
                  </c:pt>
                  <c:pt idx="99">
                    <c:v>Apr</c:v>
                  </c:pt>
                  <c:pt idx="100">
                    <c:v>May</c:v>
                  </c:pt>
                  <c:pt idx="101">
                    <c:v>Jun</c:v>
                  </c:pt>
                  <c:pt idx="102">
                    <c:v>Jul</c:v>
                  </c:pt>
                  <c:pt idx="103">
                    <c:v>Aug</c:v>
                  </c:pt>
                  <c:pt idx="104">
                    <c:v>Sep</c:v>
                  </c:pt>
                  <c:pt idx="105">
                    <c:v>Oct</c:v>
                  </c:pt>
                  <c:pt idx="106">
                    <c:v>Nov</c:v>
                  </c:pt>
                  <c:pt idx="107">
                    <c:v>Dec</c:v>
                  </c:pt>
                  <c:pt idx="108">
                    <c:v>Jan</c:v>
                  </c:pt>
                  <c:pt idx="109">
                    <c:v>Feb</c:v>
                  </c:pt>
                  <c:pt idx="110">
                    <c:v>Mar</c:v>
                  </c:pt>
                  <c:pt idx="111">
                    <c:v>Apr</c:v>
                  </c:pt>
                  <c:pt idx="112">
                    <c:v>May</c:v>
                  </c:pt>
                  <c:pt idx="113">
                    <c:v>Jun</c:v>
                  </c:pt>
                  <c:pt idx="114">
                    <c:v>Jul</c:v>
                  </c:pt>
                  <c:pt idx="115">
                    <c:v>Aug</c:v>
                  </c:pt>
                  <c:pt idx="116">
                    <c:v>Sep</c:v>
                  </c:pt>
                  <c:pt idx="117">
                    <c:v>Oct</c:v>
                  </c:pt>
                  <c:pt idx="118">
                    <c:v>Nov</c:v>
                  </c:pt>
                  <c:pt idx="119">
                    <c:v>Dec</c:v>
                  </c:pt>
                  <c:pt idx="120">
                    <c:v>Jan</c:v>
                  </c:pt>
                  <c:pt idx="121">
                    <c:v>Feb</c:v>
                  </c:pt>
                  <c:pt idx="122">
                    <c:v>Mar</c:v>
                  </c:pt>
                  <c:pt idx="123">
                    <c:v>Apr</c:v>
                  </c:pt>
                  <c:pt idx="124">
                    <c:v>May</c:v>
                  </c:pt>
                  <c:pt idx="125">
                    <c:v>Jun</c:v>
                  </c:pt>
                  <c:pt idx="126">
                    <c:v>Jul</c:v>
                  </c:pt>
                  <c:pt idx="127">
                    <c:v>Aug</c:v>
                  </c:pt>
                  <c:pt idx="128">
                    <c:v>Sep</c:v>
                  </c:pt>
                  <c:pt idx="129">
                    <c:v>Oct</c:v>
                  </c:pt>
                  <c:pt idx="130">
                    <c:v>Nov</c:v>
                  </c:pt>
                  <c:pt idx="131">
                    <c:v>Dec</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Figures!$C$3:$C$134</c:f>
              <c:numCache>
                <c:formatCode>General</c:formatCode>
                <c:ptCount val="132"/>
                <c:pt idx="0">
                  <c:v>605.14221014492762</c:v>
                </c:pt>
                <c:pt idx="1">
                  <c:v>580.08471223021593</c:v>
                </c:pt>
                <c:pt idx="2">
                  <c:v>599.83526690391454</c:v>
                </c:pt>
                <c:pt idx="3">
                  <c:v>582.32031358885013</c:v>
                </c:pt>
                <c:pt idx="4">
                  <c:v>552.39238907849824</c:v>
                </c:pt>
                <c:pt idx="5">
                  <c:v>574.32083612040128</c:v>
                </c:pt>
                <c:pt idx="6">
                  <c:v>568.93747474747477</c:v>
                </c:pt>
                <c:pt idx="7">
                  <c:v>506.4780495356037</c:v>
                </c:pt>
                <c:pt idx="8">
                  <c:v>510.65112094395278</c:v>
                </c:pt>
                <c:pt idx="9">
                  <c:v>523.98810975609763</c:v>
                </c:pt>
                <c:pt idx="10">
                  <c:v>568.8283168316832</c:v>
                </c:pt>
                <c:pt idx="11">
                  <c:v>565.43860759493668</c:v>
                </c:pt>
                <c:pt idx="12">
                  <c:v>572.04539045539957</c:v>
                </c:pt>
                <c:pt idx="13">
                  <c:v>598.89884627793901</c:v>
                </c:pt>
                <c:pt idx="14">
                  <c:v>633.42710124802272</c:v>
                </c:pt>
                <c:pt idx="15">
                  <c:v>607.74131120976847</c:v>
                </c:pt>
                <c:pt idx="16">
                  <c:v>581.34288254338935</c:v>
                </c:pt>
                <c:pt idx="17">
                  <c:v>629.06292308391266</c:v>
                </c:pt>
                <c:pt idx="18">
                  <c:v>589.57174019971512</c:v>
                </c:pt>
                <c:pt idx="19">
                  <c:v>578.30127194492366</c:v>
                </c:pt>
                <c:pt idx="20">
                  <c:v>604.37068542646216</c:v>
                </c:pt>
                <c:pt idx="21">
                  <c:v>584.29420942624165</c:v>
                </c:pt>
                <c:pt idx="22">
                  <c:v>557.45330603625746</c:v>
                </c:pt>
                <c:pt idx="23">
                  <c:v>565.94124885897668</c:v>
                </c:pt>
                <c:pt idx="24">
                  <c:v>527.43241030459535</c:v>
                </c:pt>
                <c:pt idx="25">
                  <c:v>533.13850182641931</c:v>
                </c:pt>
                <c:pt idx="26">
                  <c:v>567.65836443904846</c:v>
                </c:pt>
                <c:pt idx="27">
                  <c:v>549.5234064677594</c:v>
                </c:pt>
                <c:pt idx="28">
                  <c:v>527.88343067424989</c:v>
                </c:pt>
                <c:pt idx="29">
                  <c:v>553.20565328471116</c:v>
                </c:pt>
                <c:pt idx="30">
                  <c:v>518.31315203553811</c:v>
                </c:pt>
                <c:pt idx="31">
                  <c:v>508.16943490024107</c:v>
                </c:pt>
                <c:pt idx="32">
                  <c:v>527.74322872400307</c:v>
                </c:pt>
                <c:pt idx="33">
                  <c:v>508.24084269993415</c:v>
                </c:pt>
                <c:pt idx="34">
                  <c:v>483.10330743204958</c:v>
                </c:pt>
                <c:pt idx="35">
                  <c:v>483.49999942247308</c:v>
                </c:pt>
                <c:pt idx="36">
                  <c:v>495.71340392019397</c:v>
                </c:pt>
                <c:pt idx="37">
                  <c:v>490.91039844274462</c:v>
                </c:pt>
                <c:pt idx="38">
                  <c:v>496.73589587737774</c:v>
                </c:pt>
                <c:pt idx="39">
                  <c:v>479.72423649015616</c:v>
                </c:pt>
                <c:pt idx="40">
                  <c:v>450.06858470905524</c:v>
                </c:pt>
                <c:pt idx="41">
                  <c:v>454.33665357442635</c:v>
                </c:pt>
                <c:pt idx="42">
                  <c:v>431.39149919953104</c:v>
                </c:pt>
                <c:pt idx="43">
                  <c:v>347.07735400732196</c:v>
                </c:pt>
                <c:pt idx="44">
                  <c:v>340.87919514771835</c:v>
                </c:pt>
                <c:pt idx="45">
                  <c:v>384.13048514513355</c:v>
                </c:pt>
                <c:pt idx="46">
                  <c:v>412.59430340293454</c:v>
                </c:pt>
                <c:pt idx="47">
                  <c:v>420.34845748433065</c:v>
                </c:pt>
                <c:pt idx="48">
                  <c:v>430.26927943368509</c:v>
                </c:pt>
                <c:pt idx="49">
                  <c:v>471.08950169923156</c:v>
                </c:pt>
                <c:pt idx="50">
                  <c:v>465.73123567189731</c:v>
                </c:pt>
                <c:pt idx="51">
                  <c:v>435.06149083300062</c:v>
                </c:pt>
                <c:pt idx="52">
                  <c:v>424.40241322273766</c:v>
                </c:pt>
                <c:pt idx="53">
                  <c:v>445.87843664018692</c:v>
                </c:pt>
                <c:pt idx="54">
                  <c:v>450.51865347693126</c:v>
                </c:pt>
                <c:pt idx="55">
                  <c:v>472.2143181024141</c:v>
                </c:pt>
                <c:pt idx="56">
                  <c:v>481.59898770740455</c:v>
                </c:pt>
                <c:pt idx="57">
                  <c:v>465.34847806732779</c:v>
                </c:pt>
                <c:pt idx="58">
                  <c:v>478.90321096533802</c:v>
                </c:pt>
                <c:pt idx="59">
                  <c:v>464.37021848397495</c:v>
                </c:pt>
                <c:pt idx="60">
                  <c:v>480.82756078168569</c:v>
                </c:pt>
                <c:pt idx="61">
                  <c:v>519.51298519951979</c:v>
                </c:pt>
                <c:pt idx="62">
                  <c:v>477.08564996543862</c:v>
                </c:pt>
                <c:pt idx="63">
                  <c:v>472.28294093585231</c:v>
                </c:pt>
                <c:pt idx="64">
                  <c:v>476.52864615830089</c:v>
                </c:pt>
                <c:pt idx="65">
                  <c:v>446.78404499378024</c:v>
                </c:pt>
                <c:pt idx="66">
                  <c:v>433.32288879323301</c:v>
                </c:pt>
                <c:pt idx="67">
                  <c:v>395.16818169203611</c:v>
                </c:pt>
                <c:pt idx="68">
                  <c:v>396.23278967412188</c:v>
                </c:pt>
                <c:pt idx="69">
                  <c:v>378.13192690531145</c:v>
                </c:pt>
                <c:pt idx="70">
                  <c:v>373.94280109845147</c:v>
                </c:pt>
                <c:pt idx="71">
                  <c:v>381.01622242927698</c:v>
                </c:pt>
                <c:pt idx="72">
                  <c:v>410.50263579949905</c:v>
                </c:pt>
                <c:pt idx="73">
                  <c:v>456.15022085161002</c:v>
                </c:pt>
                <c:pt idx="74">
                  <c:v>424.57381618359187</c:v>
                </c:pt>
                <c:pt idx="75">
                  <c:v>403.36329777350198</c:v>
                </c:pt>
                <c:pt idx="76">
                  <c:v>383.62161223124087</c:v>
                </c:pt>
                <c:pt idx="77">
                  <c:v>377.75112788554048</c:v>
                </c:pt>
                <c:pt idx="78">
                  <c:v>382.64189246355039</c:v>
                </c:pt>
                <c:pt idx="79">
                  <c:v>386.17773072295182</c:v>
                </c:pt>
                <c:pt idx="80">
                  <c:v>381.547118995836</c:v>
                </c:pt>
                <c:pt idx="81">
                  <c:v>366.47042062299914</c:v>
                </c:pt>
                <c:pt idx="82">
                  <c:v>319.10883571668876</c:v>
                </c:pt>
                <c:pt idx="83">
                  <c:v>259.36626563942502</c:v>
                </c:pt>
                <c:pt idx="84">
                  <c:v>290.89332908093985</c:v>
                </c:pt>
                <c:pt idx="85">
                  <c:v>340.04807895042291</c:v>
                </c:pt>
                <c:pt idx="86">
                  <c:v>327.5113458619133</c:v>
                </c:pt>
                <c:pt idx="87">
                  <c:v>343.16993235328312</c:v>
                </c:pt>
                <c:pt idx="88">
                  <c:v>332.33120706346745</c:v>
                </c:pt>
                <c:pt idx="89">
                  <c:v>303.9351913985613</c:v>
                </c:pt>
                <c:pt idx="90">
                  <c:v>350.51347456744605</c:v>
                </c:pt>
                <c:pt idx="91">
                  <c:v>362.32290455952949</c:v>
                </c:pt>
                <c:pt idx="92">
                  <c:v>374.18929741796285</c:v>
                </c:pt>
                <c:pt idx="93">
                  <c:v>384.71065266964388</c:v>
                </c:pt>
                <c:pt idx="94">
                  <c:v>368.38410472394094</c:v>
                </c:pt>
                <c:pt idx="95">
                  <c:v>351.30251305734731</c:v>
                </c:pt>
                <c:pt idx="96">
                  <c:v>402.92930297556489</c:v>
                </c:pt>
                <c:pt idx="97">
                  <c:v>499.80035032936269</c:v>
                </c:pt>
                <c:pt idx="98">
                  <c:v>505.35897709630382</c:v>
                </c:pt>
                <c:pt idx="99">
                  <c:v>504.00308050995972</c:v>
                </c:pt>
                <c:pt idx="100">
                  <c:v>496.98473382769237</c:v>
                </c:pt>
                <c:pt idx="101">
                  <c:v>416.44184897260737</c:v>
                </c:pt>
                <c:pt idx="102">
                  <c:v>408.18593879358093</c:v>
                </c:pt>
                <c:pt idx="103">
                  <c:v>475.49203378463511</c:v>
                </c:pt>
                <c:pt idx="104">
                  <c:v>495.72979117489251</c:v>
                </c:pt>
                <c:pt idx="105">
                  <c:v>502.70846310234668</c:v>
                </c:pt>
                <c:pt idx="106">
                  <c:v>495.866263694005</c:v>
                </c:pt>
                <c:pt idx="107">
                  <c:v>472.39178438049817</c:v>
                </c:pt>
                <c:pt idx="108">
                  <c:v>520.03835886233878</c:v>
                </c:pt>
                <c:pt idx="109">
                  <c:v>602.29883387576513</c:v>
                </c:pt>
                <c:pt idx="110">
                  <c:v>595.2292358594359</c:v>
                </c:pt>
                <c:pt idx="111">
                  <c:v>629.44480205082846</c:v>
                </c:pt>
                <c:pt idx="112">
                  <c:v>618.84004510169734</c:v>
                </c:pt>
                <c:pt idx="113">
                  <c:v>617.57217948502239</c:v>
                </c:pt>
                <c:pt idx="114">
                  <c:v>638.84709976281476</c:v>
                </c:pt>
                <c:pt idx="115">
                  <c:v>623.41766410522575</c:v>
                </c:pt>
                <c:pt idx="116">
                  <c:v>615.9256300515832</c:v>
                </c:pt>
                <c:pt idx="117">
                  <c:v>638.36879509472647</c:v>
                </c:pt>
                <c:pt idx="118">
                  <c:v>644.35974473312478</c:v>
                </c:pt>
                <c:pt idx="119">
                  <c:v>613.71907167974325</c:v>
                </c:pt>
                <c:pt idx="120">
                  <c:v>638.03037309875265</c:v>
                </c:pt>
                <c:pt idx="121">
                  <c:v>691.65589392425932</c:v>
                </c:pt>
                <c:pt idx="122">
                  <c:v>700.11954404703954</c:v>
                </c:pt>
                <c:pt idx="123">
                  <c:v>705.20944080393508</c:v>
                </c:pt>
                <c:pt idx="124">
                  <c:v>685.21710133780846</c:v>
                </c:pt>
                <c:pt idx="125">
                  <c:v>680.50941094980544</c:v>
                </c:pt>
                <c:pt idx="126">
                  <c:v>657.39816940331025</c:v>
                </c:pt>
                <c:pt idx="127">
                  <c:v>665.90724480785855</c:v>
                </c:pt>
                <c:pt idx="128">
                  <c:v>654.61613371180692</c:v>
                </c:pt>
                <c:pt idx="129">
                  <c:v>646.91816370419917</c:v>
                </c:pt>
                <c:pt idx="130">
                  <c:v>651.41298643924995</c:v>
                </c:pt>
                <c:pt idx="131">
                  <c:v>638.67674424094025</c:v>
                </c:pt>
              </c:numCache>
            </c:numRef>
          </c:val>
          <c:smooth val="0"/>
          <c:extLst>
            <c:ext xmlns:c16="http://schemas.microsoft.com/office/drawing/2014/chart" uri="{C3380CC4-5D6E-409C-BE32-E72D297353CC}">
              <c16:uniqueId val="{00000000-29A0-4412-A723-0CEDC828E466}"/>
            </c:ext>
          </c:extLst>
        </c:ser>
        <c:ser>
          <c:idx val="1"/>
          <c:order val="1"/>
          <c:tx>
            <c:strRef>
              <c:f>Figures!$D$1:$D$2</c:f>
              <c:strCache>
                <c:ptCount val="2"/>
                <c:pt idx="1">
                  <c:v>Minimum wage</c:v>
                </c:pt>
              </c:strCache>
            </c:strRef>
          </c:tx>
          <c:spPr>
            <a:ln w="28575" cap="rnd" cmpd="dbl">
              <a:solidFill>
                <a:srgbClr val="00B050"/>
              </a:solidFill>
              <a:prstDash val="solid"/>
              <a:round/>
            </a:ln>
            <a:effectLst/>
          </c:spPr>
          <c:marker>
            <c:symbol val="none"/>
          </c:marker>
          <c:cat>
            <c:multiLvlStrRef>
              <c:f>Figures!$A$3:$B$134</c:f>
              <c:multiLvlStrCache>
                <c:ptCount val="13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pt idx="48">
                    <c:v>Jan</c:v>
                  </c:pt>
                  <c:pt idx="49">
                    <c:v>Feb</c:v>
                  </c:pt>
                  <c:pt idx="50">
                    <c:v>Mar</c:v>
                  </c:pt>
                  <c:pt idx="51">
                    <c:v>Apr</c:v>
                  </c:pt>
                  <c:pt idx="52">
                    <c:v>May</c:v>
                  </c:pt>
                  <c:pt idx="53">
                    <c:v>Jun</c:v>
                  </c:pt>
                  <c:pt idx="54">
                    <c:v>Jul</c:v>
                  </c:pt>
                  <c:pt idx="55">
                    <c:v>Aug</c:v>
                  </c:pt>
                  <c:pt idx="56">
                    <c:v>Sep</c:v>
                  </c:pt>
                  <c:pt idx="57">
                    <c:v>Oct</c:v>
                  </c:pt>
                  <c:pt idx="58">
                    <c:v>Nov</c:v>
                  </c:pt>
                  <c:pt idx="59">
                    <c:v>Dec</c:v>
                  </c:pt>
                  <c:pt idx="60">
                    <c:v>Jan</c:v>
                  </c:pt>
                  <c:pt idx="61">
                    <c:v>Feb</c:v>
                  </c:pt>
                  <c:pt idx="62">
                    <c:v>Mar</c:v>
                  </c:pt>
                  <c:pt idx="63">
                    <c:v>Apr</c:v>
                  </c:pt>
                  <c:pt idx="64">
                    <c:v>May</c:v>
                  </c:pt>
                  <c:pt idx="65">
                    <c:v>Jun</c:v>
                  </c:pt>
                  <c:pt idx="66">
                    <c:v>Jul</c:v>
                  </c:pt>
                  <c:pt idx="67">
                    <c:v>Aug</c:v>
                  </c:pt>
                  <c:pt idx="68">
                    <c:v>Sep</c:v>
                  </c:pt>
                  <c:pt idx="69">
                    <c:v>Oct</c:v>
                  </c:pt>
                  <c:pt idx="70">
                    <c:v>Nov</c:v>
                  </c:pt>
                  <c:pt idx="71">
                    <c:v>Dec</c:v>
                  </c:pt>
                  <c:pt idx="72">
                    <c:v>Jan</c:v>
                  </c:pt>
                  <c:pt idx="73">
                    <c:v>Feb</c:v>
                  </c:pt>
                  <c:pt idx="74">
                    <c:v>Mar</c:v>
                  </c:pt>
                  <c:pt idx="75">
                    <c:v>Apr</c:v>
                  </c:pt>
                  <c:pt idx="76">
                    <c:v>May</c:v>
                  </c:pt>
                  <c:pt idx="77">
                    <c:v>Jun</c:v>
                  </c:pt>
                  <c:pt idx="78">
                    <c:v>Jul</c:v>
                  </c:pt>
                  <c:pt idx="79">
                    <c:v>Aug</c:v>
                  </c:pt>
                  <c:pt idx="80">
                    <c:v>Sep</c:v>
                  </c:pt>
                  <c:pt idx="81">
                    <c:v>Oct</c:v>
                  </c:pt>
                  <c:pt idx="82">
                    <c:v>Nov</c:v>
                  </c:pt>
                  <c:pt idx="83">
                    <c:v>Dec</c:v>
                  </c:pt>
                  <c:pt idx="84">
                    <c:v>Jan</c:v>
                  </c:pt>
                  <c:pt idx="85">
                    <c:v>Feb</c:v>
                  </c:pt>
                  <c:pt idx="86">
                    <c:v>Mar</c:v>
                  </c:pt>
                  <c:pt idx="87">
                    <c:v>Apr</c:v>
                  </c:pt>
                  <c:pt idx="88">
                    <c:v>May</c:v>
                  </c:pt>
                  <c:pt idx="89">
                    <c:v>Jun</c:v>
                  </c:pt>
                  <c:pt idx="90">
                    <c:v>Jul</c:v>
                  </c:pt>
                  <c:pt idx="91">
                    <c:v>Aug</c:v>
                  </c:pt>
                  <c:pt idx="92">
                    <c:v>Sep</c:v>
                  </c:pt>
                  <c:pt idx="93">
                    <c:v>Oct</c:v>
                  </c:pt>
                  <c:pt idx="94">
                    <c:v>Nov</c:v>
                  </c:pt>
                  <c:pt idx="95">
                    <c:v>Dec</c:v>
                  </c:pt>
                  <c:pt idx="96">
                    <c:v>Jan</c:v>
                  </c:pt>
                  <c:pt idx="97">
                    <c:v>Feb</c:v>
                  </c:pt>
                  <c:pt idx="98">
                    <c:v>Mar</c:v>
                  </c:pt>
                  <c:pt idx="99">
                    <c:v>Apr</c:v>
                  </c:pt>
                  <c:pt idx="100">
                    <c:v>May</c:v>
                  </c:pt>
                  <c:pt idx="101">
                    <c:v>Jun</c:v>
                  </c:pt>
                  <c:pt idx="102">
                    <c:v>Jul</c:v>
                  </c:pt>
                  <c:pt idx="103">
                    <c:v>Aug</c:v>
                  </c:pt>
                  <c:pt idx="104">
                    <c:v>Sep</c:v>
                  </c:pt>
                  <c:pt idx="105">
                    <c:v>Oct</c:v>
                  </c:pt>
                  <c:pt idx="106">
                    <c:v>Nov</c:v>
                  </c:pt>
                  <c:pt idx="107">
                    <c:v>Dec</c:v>
                  </c:pt>
                  <c:pt idx="108">
                    <c:v>Jan</c:v>
                  </c:pt>
                  <c:pt idx="109">
                    <c:v>Feb</c:v>
                  </c:pt>
                  <c:pt idx="110">
                    <c:v>Mar</c:v>
                  </c:pt>
                  <c:pt idx="111">
                    <c:v>Apr</c:v>
                  </c:pt>
                  <c:pt idx="112">
                    <c:v>May</c:v>
                  </c:pt>
                  <c:pt idx="113">
                    <c:v>Jun</c:v>
                  </c:pt>
                  <c:pt idx="114">
                    <c:v>Jul</c:v>
                  </c:pt>
                  <c:pt idx="115">
                    <c:v>Aug</c:v>
                  </c:pt>
                  <c:pt idx="116">
                    <c:v>Sep</c:v>
                  </c:pt>
                  <c:pt idx="117">
                    <c:v>Oct</c:v>
                  </c:pt>
                  <c:pt idx="118">
                    <c:v>Nov</c:v>
                  </c:pt>
                  <c:pt idx="119">
                    <c:v>Dec</c:v>
                  </c:pt>
                  <c:pt idx="120">
                    <c:v>Jan</c:v>
                  </c:pt>
                  <c:pt idx="121">
                    <c:v>Feb</c:v>
                  </c:pt>
                  <c:pt idx="122">
                    <c:v>Mar</c:v>
                  </c:pt>
                  <c:pt idx="123">
                    <c:v>Apr</c:v>
                  </c:pt>
                  <c:pt idx="124">
                    <c:v>May</c:v>
                  </c:pt>
                  <c:pt idx="125">
                    <c:v>Jun</c:v>
                  </c:pt>
                  <c:pt idx="126">
                    <c:v>Jul</c:v>
                  </c:pt>
                  <c:pt idx="127">
                    <c:v>Aug</c:v>
                  </c:pt>
                  <c:pt idx="128">
                    <c:v>Sep</c:v>
                  </c:pt>
                  <c:pt idx="129">
                    <c:v>Oct</c:v>
                  </c:pt>
                  <c:pt idx="130">
                    <c:v>Nov</c:v>
                  </c:pt>
                  <c:pt idx="131">
                    <c:v>Dec</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Figures!$D$3:$D$134</c:f>
              <c:numCache>
                <c:formatCode>General</c:formatCode>
                <c:ptCount val="132"/>
                <c:pt idx="0">
                  <c:v>343.84057971014494</c:v>
                </c:pt>
                <c:pt idx="1">
                  <c:v>341.36690647482015</c:v>
                </c:pt>
                <c:pt idx="2">
                  <c:v>337.72241992882562</c:v>
                </c:pt>
                <c:pt idx="3">
                  <c:v>330.66202090592333</c:v>
                </c:pt>
                <c:pt idx="4">
                  <c:v>323.89078498293514</c:v>
                </c:pt>
                <c:pt idx="5">
                  <c:v>317.39130434782606</c:v>
                </c:pt>
                <c:pt idx="6">
                  <c:v>336.88215488215485</c:v>
                </c:pt>
                <c:pt idx="7">
                  <c:v>309.76470588235293</c:v>
                </c:pt>
                <c:pt idx="8">
                  <c:v>295.14454277286131</c:v>
                </c:pt>
                <c:pt idx="9">
                  <c:v>305.04268292682929</c:v>
                </c:pt>
                <c:pt idx="10">
                  <c:v>330.21122112211219</c:v>
                </c:pt>
                <c:pt idx="11">
                  <c:v>316.62658227848101</c:v>
                </c:pt>
                <c:pt idx="12">
                  <c:v>395.33867505524449</c:v>
                </c:pt>
                <c:pt idx="13">
                  <c:v>402.06280510342458</c:v>
                </c:pt>
                <c:pt idx="14">
                  <c:v>407.99705462122154</c:v>
                </c:pt>
                <c:pt idx="15">
                  <c:v>406.34934318324224</c:v>
                </c:pt>
                <c:pt idx="16">
                  <c:v>392.33526014349746</c:v>
                </c:pt>
                <c:pt idx="17">
                  <c:v>394.04237275301745</c:v>
                </c:pt>
                <c:pt idx="18">
                  <c:v>394.76658677209235</c:v>
                </c:pt>
                <c:pt idx="19">
                  <c:v>392.18553020213534</c:v>
                </c:pt>
                <c:pt idx="20">
                  <c:v>389.13116303554546</c:v>
                </c:pt>
                <c:pt idx="21">
                  <c:v>382.99331743648628</c:v>
                </c:pt>
                <c:pt idx="22">
                  <c:v>364.36275237425747</c:v>
                </c:pt>
                <c:pt idx="23">
                  <c:v>351.55943886250594</c:v>
                </c:pt>
                <c:pt idx="24">
                  <c:v>344.80662970877302</c:v>
                </c:pt>
                <c:pt idx="25">
                  <c:v>351.75049988344148</c:v>
                </c:pt>
                <c:pt idx="26">
                  <c:v>354.73204805943311</c:v>
                </c:pt>
                <c:pt idx="27">
                  <c:v>352.41635261352872</c:v>
                </c:pt>
                <c:pt idx="28">
                  <c:v>349.27245728730185</c:v>
                </c:pt>
                <c:pt idx="29">
                  <c:v>350.75583725375071</c:v>
                </c:pt>
                <c:pt idx="30">
                  <c:v>337.35195907689649</c:v>
                </c:pt>
                <c:pt idx="31">
                  <c:v>332.46506183871691</c:v>
                </c:pt>
                <c:pt idx="32">
                  <c:v>334.21970069301591</c:v>
                </c:pt>
                <c:pt idx="33">
                  <c:v>321.22550915447749</c:v>
                </c:pt>
                <c:pt idx="34">
                  <c:v>304.83184506475806</c:v>
                </c:pt>
                <c:pt idx="35">
                  <c:v>301.8247181767058</c:v>
                </c:pt>
                <c:pt idx="36">
                  <c:v>337.10220360597509</c:v>
                </c:pt>
                <c:pt idx="37">
                  <c:v>333.41886182049439</c:v>
                </c:pt>
                <c:pt idx="38">
                  <c:v>323.86377014428052</c:v>
                </c:pt>
                <c:pt idx="39">
                  <c:v>312.9153073066671</c:v>
                </c:pt>
                <c:pt idx="40">
                  <c:v>295.76452463454859</c:v>
                </c:pt>
                <c:pt idx="41">
                  <c:v>288.32684839089939</c:v>
                </c:pt>
                <c:pt idx="42">
                  <c:v>274.49261495502884</c:v>
                </c:pt>
                <c:pt idx="43">
                  <c:v>224.28634451737213</c:v>
                </c:pt>
                <c:pt idx="44">
                  <c:v>208.9784376530464</c:v>
                </c:pt>
                <c:pt idx="45">
                  <c:v>234.86357338914453</c:v>
                </c:pt>
                <c:pt idx="46">
                  <c:v>253.72843214021708</c:v>
                </c:pt>
                <c:pt idx="47">
                  <c:v>254.28691416974172</c:v>
                </c:pt>
                <c:pt idx="48">
                  <c:v>314.51590840277311</c:v>
                </c:pt>
                <c:pt idx="49">
                  <c:v>324.50121302485923</c:v>
                </c:pt>
                <c:pt idx="50">
                  <c:v>313.87961860651149</c:v>
                </c:pt>
                <c:pt idx="51">
                  <c:v>297.10860818717936</c:v>
                </c:pt>
                <c:pt idx="52">
                  <c:v>285.67489931532293</c:v>
                </c:pt>
                <c:pt idx="53">
                  <c:v>293.92928590716559</c:v>
                </c:pt>
                <c:pt idx="54">
                  <c:v>303.18686499988576</c:v>
                </c:pt>
                <c:pt idx="55">
                  <c:v>307.1108482882189</c:v>
                </c:pt>
                <c:pt idx="56">
                  <c:v>306.58808782448716</c:v>
                </c:pt>
                <c:pt idx="57">
                  <c:v>302.70514757106969</c:v>
                </c:pt>
                <c:pt idx="58">
                  <c:v>303.79705998334248</c:v>
                </c:pt>
                <c:pt idx="59">
                  <c:v>292.71093452024735</c:v>
                </c:pt>
                <c:pt idx="60">
                  <c:v>333.54667090895413</c:v>
                </c:pt>
                <c:pt idx="61">
                  <c:v>333.0245696043317</c:v>
                </c:pt>
                <c:pt idx="62">
                  <c:v>315.01641262832226</c:v>
                </c:pt>
                <c:pt idx="63">
                  <c:v>298.44281151078076</c:v>
                </c:pt>
                <c:pt idx="64">
                  <c:v>297.16141963599745</c:v>
                </c:pt>
                <c:pt idx="65">
                  <c:v>287.34708514715783</c:v>
                </c:pt>
                <c:pt idx="66">
                  <c:v>280.0704333401311</c:v>
                </c:pt>
                <c:pt idx="67">
                  <c:v>256.51305895901379</c:v>
                </c:pt>
                <c:pt idx="68">
                  <c:v>248.53830505911901</c:v>
                </c:pt>
                <c:pt idx="69">
                  <c:v>239.29139778683006</c:v>
                </c:pt>
                <c:pt idx="70">
                  <c:v>232.7748556850504</c:v>
                </c:pt>
                <c:pt idx="71">
                  <c:v>232.7848872366198</c:v>
                </c:pt>
                <c:pt idx="72">
                  <c:v>292.24746425507993</c:v>
                </c:pt>
                <c:pt idx="73">
                  <c:v>308.86172635097705</c:v>
                </c:pt>
                <c:pt idx="74">
                  <c:v>291.527054250329</c:v>
                </c:pt>
                <c:pt idx="75">
                  <c:v>270.32767332897498</c:v>
                </c:pt>
                <c:pt idx="76">
                  <c:v>261.03634391175194</c:v>
                </c:pt>
                <c:pt idx="77">
                  <c:v>255.1028087179721</c:v>
                </c:pt>
                <c:pt idx="78">
                  <c:v>258.49099659382568</c:v>
                </c:pt>
                <c:pt idx="79">
                  <c:v>261.44319209902022</c:v>
                </c:pt>
                <c:pt idx="80">
                  <c:v>256.6956907515455</c:v>
                </c:pt>
                <c:pt idx="81">
                  <c:v>242.45838398090669</c:v>
                </c:pt>
                <c:pt idx="82">
                  <c:v>203.29027036707478</c:v>
                </c:pt>
                <c:pt idx="83">
                  <c:v>168.49964210484276</c:v>
                </c:pt>
                <c:pt idx="84">
                  <c:v>246.71824072343125</c:v>
                </c:pt>
                <c:pt idx="85">
                  <c:v>244.0203509838214</c:v>
                </c:pt>
                <c:pt idx="86">
                  <c:v>230.8167906000929</c:v>
                </c:pt>
                <c:pt idx="87">
                  <c:v>234.87268510259449</c:v>
                </c:pt>
                <c:pt idx="88">
                  <c:v>222.33795067106323</c:v>
                </c:pt>
                <c:pt idx="89">
                  <c:v>205.70491743588252</c:v>
                </c:pt>
                <c:pt idx="90">
                  <c:v>263.34995964843449</c:v>
                </c:pt>
                <c:pt idx="91">
                  <c:v>256.01863106134186</c:v>
                </c:pt>
                <c:pt idx="92">
                  <c:v>256.33414365175219</c:v>
                </c:pt>
                <c:pt idx="93">
                  <c:v>251.52635559730462</c:v>
                </c:pt>
                <c:pt idx="94">
                  <c:v>236.89144631743517</c:v>
                </c:pt>
                <c:pt idx="95">
                  <c:v>229.98152918910603</c:v>
                </c:pt>
                <c:pt idx="96">
                  <c:v>343.17695145703601</c:v>
                </c:pt>
                <c:pt idx="97">
                  <c:v>345.94456510549225</c:v>
                </c:pt>
                <c:pt idx="98">
                  <c:v>342.56342895467776</c:v>
                </c:pt>
                <c:pt idx="99">
                  <c:v>326.5803743099417</c:v>
                </c:pt>
                <c:pt idx="100">
                  <c:v>325.11180197740691</c:v>
                </c:pt>
                <c:pt idx="101">
                  <c:v>276.50079103979039</c:v>
                </c:pt>
                <c:pt idx="102">
                  <c:v>313.67705176269959</c:v>
                </c:pt>
                <c:pt idx="103">
                  <c:v>313.04672852351837</c:v>
                </c:pt>
                <c:pt idx="104">
                  <c:v>319.21615974375487</c:v>
                </c:pt>
                <c:pt idx="105">
                  <c:v>310.71050826814167</c:v>
                </c:pt>
                <c:pt idx="106">
                  <c:v>296.06915355469232</c:v>
                </c:pt>
                <c:pt idx="107">
                  <c:v>289.12608478744284</c:v>
                </c:pt>
                <c:pt idx="108">
                  <c:v>412.03070706471681</c:v>
                </c:pt>
                <c:pt idx="109">
                  <c:v>407.04905880802471</c:v>
                </c:pt>
                <c:pt idx="110">
                  <c:v>389.90361578262025</c:v>
                </c:pt>
                <c:pt idx="111">
                  <c:v>392.72076291187295</c:v>
                </c:pt>
                <c:pt idx="112">
                  <c:v>387.37099249985346</c:v>
                </c:pt>
                <c:pt idx="113">
                  <c:v>384.40395459750624</c:v>
                </c:pt>
                <c:pt idx="114">
                  <c:v>377.79794177979983</c:v>
                </c:pt>
                <c:pt idx="115">
                  <c:v>365.001912412558</c:v>
                </c:pt>
                <c:pt idx="116">
                  <c:v>358.31496394324955</c:v>
                </c:pt>
                <c:pt idx="117">
                  <c:v>361.3864101620552</c:v>
                </c:pt>
                <c:pt idx="118">
                  <c:v>367.88088447107077</c:v>
                </c:pt>
                <c:pt idx="119">
                  <c:v>350.37548472171147</c:v>
                </c:pt>
                <c:pt idx="120">
                  <c:v>433.88905271430576</c:v>
                </c:pt>
                <c:pt idx="121">
                  <c:v>428.21403072372766</c:v>
                </c:pt>
                <c:pt idx="122">
                  <c:v>419.0389094775</c:v>
                </c:pt>
                <c:pt idx="123">
                  <c:v>410.49817692591631</c:v>
                </c:pt>
                <c:pt idx="124">
                  <c:v>397.66068690248665</c:v>
                </c:pt>
                <c:pt idx="125">
                  <c:v>385.05117000353079</c:v>
                </c:pt>
                <c:pt idx="126">
                  <c:v>372.56737839768897</c:v>
                </c:pt>
                <c:pt idx="127">
                  <c:v>365.68539391181673</c:v>
                </c:pt>
                <c:pt idx="128">
                  <c:v>360.71298690709176</c:v>
                </c:pt>
                <c:pt idx="129">
                  <c:v>355.15909053103564</c:v>
                </c:pt>
                <c:pt idx="130">
                  <c:v>349.5234612286979</c:v>
                </c:pt>
                <c:pt idx="131">
                  <c:v>344.74693592785684</c:v>
                </c:pt>
              </c:numCache>
            </c:numRef>
          </c:val>
          <c:smooth val="0"/>
          <c:extLst>
            <c:ext xmlns:c16="http://schemas.microsoft.com/office/drawing/2014/chart" uri="{C3380CC4-5D6E-409C-BE32-E72D297353CC}">
              <c16:uniqueId val="{00000001-29A0-4412-A723-0CEDC828E466}"/>
            </c:ext>
          </c:extLst>
        </c:ser>
        <c:dLbls>
          <c:showLegendKey val="0"/>
          <c:showVal val="0"/>
          <c:showCatName val="0"/>
          <c:showSerName val="0"/>
          <c:showPercent val="0"/>
          <c:showBubbleSize val="0"/>
        </c:dLbls>
        <c:smooth val="0"/>
        <c:axId val="742037839"/>
        <c:axId val="579467055"/>
      </c:lineChart>
      <c:catAx>
        <c:axId val="742037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579467055"/>
        <c:crosses val="autoZero"/>
        <c:auto val="1"/>
        <c:lblAlgn val="ctr"/>
        <c:lblOffset val="100"/>
        <c:noMultiLvlLbl val="0"/>
      </c:catAx>
      <c:valAx>
        <c:axId val="579467055"/>
        <c:scaling>
          <c:orientation val="minMax"/>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2015 Real Euro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742037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Data!$O$2</c:f>
              <c:strCache>
                <c:ptCount val="1"/>
                <c:pt idx="0">
                  <c:v>ratio min/ave</c:v>
                </c:pt>
              </c:strCache>
            </c:strRef>
          </c:tx>
          <c:spPr>
            <a:ln w="28575" cap="rnd" cmpd="dbl">
              <a:solidFill>
                <a:srgbClr val="00B050"/>
              </a:solidFill>
              <a:round/>
            </a:ln>
            <a:effectLst/>
          </c:spPr>
          <c:marker>
            <c:symbol val="none"/>
          </c:marker>
          <c:trendline>
            <c:spPr>
              <a:ln w="28575" cap="rnd">
                <a:solidFill>
                  <a:srgbClr val="FF0000"/>
                </a:solidFill>
                <a:prstDash val="sysDot"/>
              </a:ln>
              <a:effectLst/>
            </c:spPr>
            <c:trendlineType val="poly"/>
            <c:order val="2"/>
            <c:dispRSqr val="0"/>
            <c:dispEq val="0"/>
          </c:trendline>
          <c:cat>
            <c:multiLvlStrRef>
              <c:f>Data!$A$3:$B$134</c:f>
              <c:multiLvlStrCache>
                <c:ptCount val="13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pt idx="48">
                    <c:v>Jan</c:v>
                  </c:pt>
                  <c:pt idx="49">
                    <c:v>Feb</c:v>
                  </c:pt>
                  <c:pt idx="50">
                    <c:v>Mar</c:v>
                  </c:pt>
                  <c:pt idx="51">
                    <c:v>Apr</c:v>
                  </c:pt>
                  <c:pt idx="52">
                    <c:v>May</c:v>
                  </c:pt>
                  <c:pt idx="53">
                    <c:v>Jun</c:v>
                  </c:pt>
                  <c:pt idx="54">
                    <c:v>Jul</c:v>
                  </c:pt>
                  <c:pt idx="55">
                    <c:v>Aug</c:v>
                  </c:pt>
                  <c:pt idx="56">
                    <c:v>Sep</c:v>
                  </c:pt>
                  <c:pt idx="57">
                    <c:v>Oct</c:v>
                  </c:pt>
                  <c:pt idx="58">
                    <c:v>Nov</c:v>
                  </c:pt>
                  <c:pt idx="59">
                    <c:v>Dec</c:v>
                  </c:pt>
                  <c:pt idx="60">
                    <c:v>Jan</c:v>
                  </c:pt>
                  <c:pt idx="61">
                    <c:v>Feb</c:v>
                  </c:pt>
                  <c:pt idx="62">
                    <c:v>Mar</c:v>
                  </c:pt>
                  <c:pt idx="63">
                    <c:v>Apr</c:v>
                  </c:pt>
                  <c:pt idx="64">
                    <c:v>May</c:v>
                  </c:pt>
                  <c:pt idx="65">
                    <c:v>Jun</c:v>
                  </c:pt>
                  <c:pt idx="66">
                    <c:v>Jul</c:v>
                  </c:pt>
                  <c:pt idx="67">
                    <c:v>Aug</c:v>
                  </c:pt>
                  <c:pt idx="68">
                    <c:v>Sep</c:v>
                  </c:pt>
                  <c:pt idx="69">
                    <c:v>Oct</c:v>
                  </c:pt>
                  <c:pt idx="70">
                    <c:v>Nov</c:v>
                  </c:pt>
                  <c:pt idx="71">
                    <c:v>Dec</c:v>
                  </c:pt>
                  <c:pt idx="72">
                    <c:v>Jan</c:v>
                  </c:pt>
                  <c:pt idx="73">
                    <c:v>Feb</c:v>
                  </c:pt>
                  <c:pt idx="74">
                    <c:v>Mar</c:v>
                  </c:pt>
                  <c:pt idx="75">
                    <c:v>Apr</c:v>
                  </c:pt>
                  <c:pt idx="76">
                    <c:v>May</c:v>
                  </c:pt>
                  <c:pt idx="77">
                    <c:v>Jun</c:v>
                  </c:pt>
                  <c:pt idx="78">
                    <c:v>Jul</c:v>
                  </c:pt>
                  <c:pt idx="79">
                    <c:v>Aug</c:v>
                  </c:pt>
                  <c:pt idx="80">
                    <c:v>Sep</c:v>
                  </c:pt>
                  <c:pt idx="81">
                    <c:v>Oct</c:v>
                  </c:pt>
                  <c:pt idx="82">
                    <c:v>Nov</c:v>
                  </c:pt>
                  <c:pt idx="83">
                    <c:v>Dec</c:v>
                  </c:pt>
                  <c:pt idx="84">
                    <c:v>Jan</c:v>
                  </c:pt>
                  <c:pt idx="85">
                    <c:v>Feb</c:v>
                  </c:pt>
                  <c:pt idx="86">
                    <c:v>Mar</c:v>
                  </c:pt>
                  <c:pt idx="87">
                    <c:v>Apr</c:v>
                  </c:pt>
                  <c:pt idx="88">
                    <c:v>May</c:v>
                  </c:pt>
                  <c:pt idx="89">
                    <c:v>Jun</c:v>
                  </c:pt>
                  <c:pt idx="90">
                    <c:v>Jul</c:v>
                  </c:pt>
                  <c:pt idx="91">
                    <c:v>Aug</c:v>
                  </c:pt>
                  <c:pt idx="92">
                    <c:v>Sep</c:v>
                  </c:pt>
                  <c:pt idx="93">
                    <c:v>Oct</c:v>
                  </c:pt>
                  <c:pt idx="94">
                    <c:v>Nov</c:v>
                  </c:pt>
                  <c:pt idx="95">
                    <c:v>Dec</c:v>
                  </c:pt>
                  <c:pt idx="96">
                    <c:v>Jan</c:v>
                  </c:pt>
                  <c:pt idx="97">
                    <c:v>Feb</c:v>
                  </c:pt>
                  <c:pt idx="98">
                    <c:v>Mar</c:v>
                  </c:pt>
                  <c:pt idx="99">
                    <c:v>Apr</c:v>
                  </c:pt>
                  <c:pt idx="100">
                    <c:v>May</c:v>
                  </c:pt>
                  <c:pt idx="101">
                    <c:v>Jun</c:v>
                  </c:pt>
                  <c:pt idx="102">
                    <c:v>Jul</c:v>
                  </c:pt>
                  <c:pt idx="103">
                    <c:v>Aug</c:v>
                  </c:pt>
                  <c:pt idx="104">
                    <c:v>Sep</c:v>
                  </c:pt>
                  <c:pt idx="105">
                    <c:v>Oct</c:v>
                  </c:pt>
                  <c:pt idx="106">
                    <c:v>Nov</c:v>
                  </c:pt>
                  <c:pt idx="107">
                    <c:v>Dec</c:v>
                  </c:pt>
                  <c:pt idx="108">
                    <c:v>Jan</c:v>
                  </c:pt>
                  <c:pt idx="109">
                    <c:v>Feb</c:v>
                  </c:pt>
                  <c:pt idx="110">
                    <c:v>Mar</c:v>
                  </c:pt>
                  <c:pt idx="111">
                    <c:v>Apr</c:v>
                  </c:pt>
                  <c:pt idx="112">
                    <c:v>May</c:v>
                  </c:pt>
                  <c:pt idx="113">
                    <c:v>Jun</c:v>
                  </c:pt>
                  <c:pt idx="114">
                    <c:v>Jul</c:v>
                  </c:pt>
                  <c:pt idx="115">
                    <c:v>Aug</c:v>
                  </c:pt>
                  <c:pt idx="116">
                    <c:v>Sep</c:v>
                  </c:pt>
                  <c:pt idx="117">
                    <c:v>Oct</c:v>
                  </c:pt>
                  <c:pt idx="118">
                    <c:v>Nov</c:v>
                  </c:pt>
                  <c:pt idx="119">
                    <c:v>Dec</c:v>
                  </c:pt>
                  <c:pt idx="120">
                    <c:v>Jan</c:v>
                  </c:pt>
                  <c:pt idx="121">
                    <c:v>Feb</c:v>
                  </c:pt>
                  <c:pt idx="122">
                    <c:v>Mar</c:v>
                  </c:pt>
                  <c:pt idx="123">
                    <c:v>Apr</c:v>
                  </c:pt>
                  <c:pt idx="124">
                    <c:v>May</c:v>
                  </c:pt>
                  <c:pt idx="125">
                    <c:v>Jun</c:v>
                  </c:pt>
                  <c:pt idx="126">
                    <c:v>Jul</c:v>
                  </c:pt>
                  <c:pt idx="127">
                    <c:v>Aug</c:v>
                  </c:pt>
                  <c:pt idx="128">
                    <c:v>Sep</c:v>
                  </c:pt>
                  <c:pt idx="129">
                    <c:v>Oct</c:v>
                  </c:pt>
                  <c:pt idx="130">
                    <c:v>Nov</c:v>
                  </c:pt>
                  <c:pt idx="131">
                    <c:v>Dec</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Data!$O$3:$O$134</c:f>
              <c:numCache>
                <c:formatCode>0</c:formatCode>
                <c:ptCount val="132"/>
                <c:pt idx="0">
                  <c:v>0.56819797717927722</c:v>
                </c:pt>
                <c:pt idx="1">
                  <c:v>0.58847768141033729</c:v>
                </c:pt>
                <c:pt idx="2">
                  <c:v>0.56302528137766883</c:v>
                </c:pt>
                <c:pt idx="3">
                  <c:v>0.56783528444688391</c:v>
                </c:pt>
                <c:pt idx="4">
                  <c:v>0.58634186745992312</c:v>
                </c:pt>
                <c:pt idx="5">
                  <c:v>0.5526376275878101</c:v>
                </c:pt>
                <c:pt idx="6">
                  <c:v>0.59212509253619017</c:v>
                </c:pt>
                <c:pt idx="7">
                  <c:v>0.61160539171713402</c:v>
                </c:pt>
                <c:pt idx="8">
                  <c:v>0.57797688219557508</c:v>
                </c:pt>
                <c:pt idx="9">
                  <c:v>0.58215573454294312</c:v>
                </c:pt>
                <c:pt idx="10">
                  <c:v>0.58051122166588975</c:v>
                </c:pt>
                <c:pt idx="11">
                  <c:v>0.55996633060702283</c:v>
                </c:pt>
                <c:pt idx="12">
                  <c:v>0.69109668856962447</c:v>
                </c:pt>
                <c:pt idx="13">
                  <c:v>0.67133675010760308</c:v>
                </c:pt>
                <c:pt idx="14">
                  <c:v>0.64411051219210069</c:v>
                </c:pt>
                <c:pt idx="15">
                  <c:v>0.66862221752601303</c:v>
                </c:pt>
                <c:pt idx="16">
                  <c:v>0.67487754976378334</c:v>
                </c:pt>
                <c:pt idx="17">
                  <c:v>0.62639579967814274</c:v>
                </c:pt>
                <c:pt idx="18">
                  <c:v>0.66958193525077481</c:v>
                </c:pt>
                <c:pt idx="19">
                  <c:v>0.67816819576265164</c:v>
                </c:pt>
                <c:pt idx="20">
                  <c:v>0.64386174316340772</c:v>
                </c:pt>
                <c:pt idx="21">
                  <c:v>0.65548025508001106</c:v>
                </c:pt>
                <c:pt idx="22">
                  <c:v>0.65362021971856232</c:v>
                </c:pt>
                <c:pt idx="23">
                  <c:v>0.62119423097592374</c:v>
                </c:pt>
                <c:pt idx="24">
                  <c:v>0.65374562308305084</c:v>
                </c:pt>
                <c:pt idx="25">
                  <c:v>0.65977320842223719</c:v>
                </c:pt>
                <c:pt idx="26">
                  <c:v>0.62490411536518797</c:v>
                </c:pt>
                <c:pt idx="27">
                  <c:v>0.64131272383609572</c:v>
                </c:pt>
                <c:pt idx="28">
                  <c:v>0.66164694133548863</c:v>
                </c:pt>
                <c:pt idx="29">
                  <c:v>0.63404239485100089</c:v>
                </c:pt>
                <c:pt idx="30">
                  <c:v>0.65086513385206546</c:v>
                </c:pt>
                <c:pt idx="31">
                  <c:v>0.65424057215086795</c:v>
                </c:pt>
                <c:pt idx="32">
                  <c:v>0.63329983693226077</c:v>
                </c:pt>
                <c:pt idx="33">
                  <c:v>0.63203403222776666</c:v>
                </c:pt>
                <c:pt idx="34">
                  <c:v>0.63098687252857177</c:v>
                </c:pt>
                <c:pt idx="35">
                  <c:v>0.62424967639550522</c:v>
                </c:pt>
                <c:pt idx="36">
                  <c:v>0.68003447342780732</c:v>
                </c:pt>
                <c:pt idx="37">
                  <c:v>0.67918476137021855</c:v>
                </c:pt>
                <c:pt idx="38">
                  <c:v>0.65198382648035613</c:v>
                </c:pt>
                <c:pt idx="39">
                  <c:v>0.65228163078870849</c:v>
                </c:pt>
                <c:pt idx="40">
                  <c:v>0.65715434198933065</c:v>
                </c:pt>
                <c:pt idx="41">
                  <c:v>0.63461058253286551</c:v>
                </c:pt>
                <c:pt idx="42">
                  <c:v>0.63629583676165136</c:v>
                </c:pt>
                <c:pt idx="43">
                  <c:v>0.6462142860310055</c:v>
                </c:pt>
                <c:pt idx="44">
                  <c:v>0.61305717869489396</c:v>
                </c:pt>
                <c:pt idx="45">
                  <c:v>0.61141612673726631</c:v>
                </c:pt>
                <c:pt idx="46">
                  <c:v>0.61495864108533038</c:v>
                </c:pt>
                <c:pt idx="47">
                  <c:v>0.60494313620556284</c:v>
                </c:pt>
                <c:pt idx="48">
                  <c:v>0.7309745860005038</c:v>
                </c:pt>
                <c:pt idx="49">
                  <c:v>0.68883134065687157</c:v>
                </c:pt>
                <c:pt idx="50">
                  <c:v>0.67395011235114211</c:v>
                </c:pt>
                <c:pt idx="51">
                  <c:v>0.68291175948097227</c:v>
                </c:pt>
                <c:pt idx="52">
                  <c:v>0.67312270245125383</c:v>
                </c:pt>
                <c:pt idx="53">
                  <c:v>0.65921395105356806</c:v>
                </c:pt>
                <c:pt idx="54">
                  <c:v>0.67297294498242211</c:v>
                </c:pt>
                <c:pt idx="55">
                  <c:v>0.65036327047925846</c:v>
                </c:pt>
                <c:pt idx="56">
                  <c:v>0.63660451049526445</c:v>
                </c:pt>
                <c:pt idx="57">
                  <c:v>0.65049132389613951</c:v>
                </c:pt>
                <c:pt idx="58">
                  <c:v>0.63436003983136924</c:v>
                </c:pt>
                <c:pt idx="59">
                  <c:v>0.63033959299943465</c:v>
                </c:pt>
                <c:pt idx="60">
                  <c:v>0.69369291220890994</c:v>
                </c:pt>
                <c:pt idx="61">
                  <c:v>0.64103223421149536</c:v>
                </c:pt>
                <c:pt idx="62">
                  <c:v>0.66029320448255557</c:v>
                </c:pt>
                <c:pt idx="63">
                  <c:v>0.63191528984595846</c:v>
                </c:pt>
                <c:pt idx="64">
                  <c:v>0.62359613012075188</c:v>
                </c:pt>
                <c:pt idx="65">
                  <c:v>0.64314535930028127</c:v>
                </c:pt>
                <c:pt idx="66">
                  <c:v>0.64633196303131646</c:v>
                </c:pt>
                <c:pt idx="67">
                  <c:v>0.64912376765931146</c:v>
                </c:pt>
                <c:pt idx="68">
                  <c:v>0.62725324994816078</c:v>
                </c:pt>
                <c:pt idx="69">
                  <c:v>0.63282516169747116</c:v>
                </c:pt>
                <c:pt idx="70">
                  <c:v>0.62248786445755255</c:v>
                </c:pt>
                <c:pt idx="71">
                  <c:v>0.61095794229556355</c:v>
                </c:pt>
                <c:pt idx="72">
                  <c:v>0.71192591415618034</c:v>
                </c:pt>
                <c:pt idx="73">
                  <c:v>0.67710528732036435</c:v>
                </c:pt>
                <c:pt idx="74">
                  <c:v>0.68663455714440114</c:v>
                </c:pt>
                <c:pt idx="75">
                  <c:v>0.67018411149734891</c:v>
                </c:pt>
                <c:pt idx="76">
                  <c:v>0.68045265331506788</c:v>
                </c:pt>
                <c:pt idx="77">
                  <c:v>0.67531978036944162</c:v>
                </c:pt>
                <c:pt idx="78">
                  <c:v>0.67554285530418989</c:v>
                </c:pt>
                <c:pt idx="79">
                  <c:v>0.67700224870445069</c:v>
                </c:pt>
                <c:pt idx="80">
                  <c:v>0.67277585905280279</c:v>
                </c:pt>
                <c:pt idx="81">
                  <c:v>0.66160423962383597</c:v>
                </c:pt>
                <c:pt idx="82">
                  <c:v>0.63705622537998285</c:v>
                </c:pt>
                <c:pt idx="83">
                  <c:v>0.64965905141686209</c:v>
                </c:pt>
                <c:pt idx="84">
                  <c:v>0.84813990579613108</c:v>
                </c:pt>
                <c:pt idx="85">
                  <c:v>0.71760543902204554</c:v>
                </c:pt>
                <c:pt idx="86">
                  <c:v>0.70475967784459848</c:v>
                </c:pt>
                <c:pt idx="87">
                  <c:v>0.6844209324865913</c:v>
                </c:pt>
                <c:pt idx="88">
                  <c:v>0.66902519518307513</c:v>
                </c:pt>
                <c:pt idx="89">
                  <c:v>0.67680519813888274</c:v>
                </c:pt>
                <c:pt idx="90">
                  <c:v>0.7513262078538453</c:v>
                </c:pt>
                <c:pt idx="91">
                  <c:v>0.70660349605162254</c:v>
                </c:pt>
                <c:pt idx="92">
                  <c:v>0.68503868341651541</c:v>
                </c:pt>
                <c:pt idx="93">
                  <c:v>0.65380657866340297</c:v>
                </c:pt>
                <c:pt idx="94">
                  <c:v>0.64305555880310439</c:v>
                </c:pt>
                <c:pt idx="95">
                  <c:v>0.65465381157567581</c:v>
                </c:pt>
                <c:pt idx="96">
                  <c:v>0.85170512276653043</c:v>
                </c:pt>
                <c:pt idx="97">
                  <c:v>0.69216551144375704</c:v>
                </c:pt>
                <c:pt idx="98">
                  <c:v>0.67786156866744862</c:v>
                </c:pt>
                <c:pt idx="99">
                  <c:v>0.64797297266417819</c:v>
                </c:pt>
                <c:pt idx="100">
                  <c:v>0.65416858878833317</c:v>
                </c:pt>
                <c:pt idx="101">
                  <c:v>0.66396014646928048</c:v>
                </c:pt>
                <c:pt idx="102">
                  <c:v>0.76846608849337561</c:v>
                </c:pt>
                <c:pt idx="103">
                  <c:v>0.65836377116952249</c:v>
                </c:pt>
                <c:pt idx="104">
                  <c:v>0.64393176570486976</c:v>
                </c:pt>
                <c:pt idx="105">
                  <c:v>0.61807296091787489</c:v>
                </c:pt>
                <c:pt idx="106">
                  <c:v>0.59707460505398313</c:v>
                </c:pt>
                <c:pt idx="107">
                  <c:v>0.61204723356187751</c:v>
                </c:pt>
                <c:pt idx="108">
                  <c:v>0.79230829811496073</c:v>
                </c:pt>
                <c:pt idx="109">
                  <c:v>0.67582574614777668</c:v>
                </c:pt>
                <c:pt idx="110">
                  <c:v>0.65504782408688078</c:v>
                </c:pt>
                <c:pt idx="111">
                  <c:v>0.62391612677128794</c:v>
                </c:pt>
                <c:pt idx="112">
                  <c:v>0.6259630344965712</c:v>
                </c:pt>
                <c:pt idx="113">
                  <c:v>0.62244376830259873</c:v>
                </c:pt>
                <c:pt idx="114">
                  <c:v>0.59137459013285831</c:v>
                </c:pt>
                <c:pt idx="115">
                  <c:v>0.585485355049147</c:v>
                </c:pt>
                <c:pt idx="116">
                  <c:v>0.58175037124732254</c:v>
                </c:pt>
                <c:pt idx="117">
                  <c:v>0.56610914088999231</c:v>
                </c:pt>
                <c:pt idx="118">
                  <c:v>0.57092468528343043</c:v>
                </c:pt>
                <c:pt idx="119">
                  <c:v>0.57090532279327277</c:v>
                </c:pt>
                <c:pt idx="120">
                  <c:v>0.68004451043140157</c:v>
                </c:pt>
                <c:pt idx="121">
                  <c:v>0.61911426546828485</c:v>
                </c:pt>
                <c:pt idx="122">
                  <c:v>0.5985247991439383</c:v>
                </c:pt>
                <c:pt idx="123">
                  <c:v>0.58209398963512249</c:v>
                </c:pt>
                <c:pt idx="124">
                  <c:v>0.58034261860379632</c:v>
                </c:pt>
                <c:pt idx="125">
                  <c:v>0.56582783986205931</c:v>
                </c:pt>
                <c:pt idx="126">
                  <c:v>0.56673017318537866</c:v>
                </c:pt>
                <c:pt idx="127">
                  <c:v>0.54915364979597414</c:v>
                </c:pt>
                <c:pt idx="128">
                  <c:v>0.55102978422144222</c:v>
                </c:pt>
                <c:pt idx="129">
                  <c:v>0.54900157463105448</c:v>
                </c:pt>
                <c:pt idx="130">
                  <c:v>0.53656200982307867</c:v>
                </c:pt>
                <c:pt idx="131">
                  <c:v>0.53978313604887007</c:v>
                </c:pt>
              </c:numCache>
            </c:numRef>
          </c:val>
          <c:smooth val="0"/>
          <c:extLst>
            <c:ext xmlns:c16="http://schemas.microsoft.com/office/drawing/2014/chart" uri="{C3380CC4-5D6E-409C-BE32-E72D297353CC}">
              <c16:uniqueId val="{00000001-0791-45E6-B63F-FED9D6CED530}"/>
            </c:ext>
          </c:extLst>
        </c:ser>
        <c:dLbls>
          <c:showLegendKey val="0"/>
          <c:showVal val="0"/>
          <c:showCatName val="0"/>
          <c:showSerName val="0"/>
          <c:showPercent val="0"/>
          <c:showBubbleSize val="0"/>
        </c:dLbls>
        <c:smooth val="0"/>
        <c:axId val="1584621248"/>
        <c:axId val="1389844304"/>
      </c:lineChart>
      <c:catAx>
        <c:axId val="158462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1389844304"/>
        <c:crosses val="autoZero"/>
        <c:auto val="1"/>
        <c:lblAlgn val="ctr"/>
        <c:lblOffset val="100"/>
        <c:noMultiLvlLbl val="0"/>
      </c:catAx>
      <c:valAx>
        <c:axId val="1389844304"/>
        <c:scaling>
          <c:orientation val="minMax"/>
          <c:max val="1"/>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Ratio minimum</a:t>
                </a:r>
                <a:r>
                  <a:rPr lang="es-ES" baseline="0"/>
                  <a:t>/average wage</a:t>
                </a:r>
                <a:endParaRPr lang="es-E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1584621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FDA2D-E979-4704-9782-AB2F23B0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3200</Words>
  <Characters>17601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Pinedo</dc:creator>
  <cp:lastModifiedBy>Luis PINEDO CARO</cp:lastModifiedBy>
  <cp:revision>9</cp:revision>
  <dcterms:created xsi:type="dcterms:W3CDTF">2026-08-16T15:42:00Z</dcterms:created>
  <dcterms:modified xsi:type="dcterms:W3CDTF">2026-08-25T08:47:00Z</dcterms:modified>
</cp:coreProperties>
</file>