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0FA68" w14:textId="77777777" w:rsidR="00322E2B" w:rsidRDefault="00000000">
      <w:pPr>
        <w:rPr>
          <w:rFonts w:ascii="Arial" w:eastAsia="Arial" w:hAnsi="Arial" w:cs="Arial"/>
          <w:sz w:val="20"/>
          <w:szCs w:val="20"/>
        </w:rPr>
      </w:pPr>
      <w:r>
        <w:rPr>
          <w:noProof/>
        </w:rPr>
        <w:drawing>
          <wp:anchor distT="0" distB="0" distL="0" distR="0" simplePos="0" relativeHeight="251658240" behindDoc="1" locked="0" layoutInCell="1" hidden="0" allowOverlap="1" wp14:anchorId="3BCE0B21" wp14:editId="6A8DD504">
            <wp:simplePos x="0" y="0"/>
            <wp:positionH relativeFrom="column">
              <wp:posOffset>-742949</wp:posOffset>
            </wp:positionH>
            <wp:positionV relativeFrom="paragraph">
              <wp:posOffset>-737869</wp:posOffset>
            </wp:positionV>
            <wp:extent cx="7315200" cy="1330325"/>
            <wp:effectExtent l="0" t="0" r="0" b="0"/>
            <wp:wrapNone/>
            <wp:docPr id="3" name="image4.jpg" descr=":banner(TUR).jpg"/>
            <wp:cNvGraphicFramePr/>
            <a:graphic xmlns:a="http://schemas.openxmlformats.org/drawingml/2006/main">
              <a:graphicData uri="http://schemas.openxmlformats.org/drawingml/2006/picture">
                <pic:pic xmlns:pic="http://schemas.openxmlformats.org/drawingml/2006/picture">
                  <pic:nvPicPr>
                    <pic:cNvPr id="0" name="image4.jpg" descr=":banner(TUR).jpg"/>
                    <pic:cNvPicPr preferRelativeResize="0"/>
                  </pic:nvPicPr>
                  <pic:blipFill>
                    <a:blip r:embed="rId8"/>
                    <a:srcRect/>
                    <a:stretch>
                      <a:fillRect/>
                    </a:stretch>
                  </pic:blipFill>
                  <pic:spPr>
                    <a:xfrm>
                      <a:off x="0" y="0"/>
                      <a:ext cx="7315200" cy="1330325"/>
                    </a:xfrm>
                    <a:prstGeom prst="rect">
                      <a:avLst/>
                    </a:prstGeom>
                    <a:ln/>
                  </pic:spPr>
                </pic:pic>
              </a:graphicData>
            </a:graphic>
          </wp:anchor>
        </w:drawing>
      </w:r>
      <w:r>
        <w:rPr>
          <w:noProof/>
        </w:rPr>
        <mc:AlternateContent>
          <mc:Choice Requires="wps">
            <w:drawing>
              <wp:anchor distT="0" distB="0" distL="114935" distR="114935" simplePos="0" relativeHeight="251659264" behindDoc="0" locked="0" layoutInCell="1" hidden="0" allowOverlap="1" wp14:anchorId="5E31E719" wp14:editId="3B7B9275">
                <wp:simplePos x="0" y="0"/>
                <wp:positionH relativeFrom="column">
                  <wp:posOffset>1808798</wp:posOffset>
                </wp:positionH>
                <wp:positionV relativeFrom="paragraph">
                  <wp:posOffset>-389571</wp:posOffset>
                </wp:positionV>
                <wp:extent cx="3973195" cy="578485"/>
                <wp:effectExtent l="0" t="0" r="0" b="0"/>
                <wp:wrapNone/>
                <wp:docPr id="2" name="Rectangle 2"/>
                <wp:cNvGraphicFramePr/>
                <a:graphic xmlns:a="http://schemas.openxmlformats.org/drawingml/2006/main">
                  <a:graphicData uri="http://schemas.microsoft.com/office/word/2010/wordprocessingShape">
                    <wps:wsp>
                      <wps:cNvSpPr/>
                      <wps:spPr>
                        <a:xfrm>
                          <a:off x="3364165" y="3495520"/>
                          <a:ext cx="3963670" cy="568960"/>
                        </a:xfrm>
                        <a:prstGeom prst="rect">
                          <a:avLst/>
                        </a:prstGeom>
                        <a:solidFill>
                          <a:srgbClr val="FFFFFF">
                            <a:alpha val="0"/>
                          </a:srgbClr>
                        </a:solidFill>
                        <a:ln>
                          <a:noFill/>
                        </a:ln>
                      </wps:spPr>
                      <wps:txbx>
                        <w:txbxContent>
                          <w:p w14:paraId="5C2DD784" w14:textId="796B220B" w:rsidR="00322E2B" w:rsidRDefault="00000000">
                            <w:pPr>
                              <w:textDirection w:val="btLr"/>
                            </w:pPr>
                            <w:r>
                              <w:rPr>
                                <w:rFonts w:ascii="Arial" w:eastAsia="Arial" w:hAnsi="Arial" w:cs="Arial"/>
                                <w:b/>
                                <w:color w:val="000000"/>
                                <w:sz w:val="52"/>
                              </w:rPr>
                              <w:t xml:space="preserve"> </w:t>
                            </w:r>
                            <w:r>
                              <w:rPr>
                                <w:rFonts w:ascii="Palatino Linotype" w:eastAsia="Palatino Linotype" w:hAnsi="Palatino Linotype" w:cs="Palatino Linotype"/>
                                <w:b/>
                                <w:color w:val="000000"/>
                                <w:sz w:val="52"/>
                              </w:rPr>
                              <w:t>Araştırma Notu 26/284</w:t>
                            </w:r>
                          </w:p>
                          <w:p w14:paraId="65B1CB40" w14:textId="77777777" w:rsidR="00322E2B" w:rsidRDefault="00322E2B">
                            <w:pPr>
                              <w:spacing w:before="240" w:after="60"/>
                              <w:ind w:left="575"/>
                              <w:textDirection w:val="btLr"/>
                            </w:pPr>
                          </w:p>
                        </w:txbxContent>
                      </wps:txbx>
                      <wps:bodyPr spcFirstLastPara="1" wrap="square" lIns="0" tIns="0" rIns="0" bIns="0" anchor="t" anchorCtr="0">
                        <a:noAutofit/>
                      </wps:bodyPr>
                    </wps:wsp>
                  </a:graphicData>
                </a:graphic>
              </wp:anchor>
            </w:drawing>
          </mc:Choice>
          <mc:Fallback>
            <w:pict>
              <v:rect w14:anchorId="5E31E719" id="Rectangle 2" o:spid="_x0000_s1026" style="position:absolute;margin-left:142.45pt;margin-top:-30.65pt;width:312.85pt;height:45.5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" stroked="f">
                <v:fill opacity="0"/>
                <v:textbox inset="0,0,0,0">
                  <w:txbxContent>
                    <w:p w14:paraId="5C2DD784" w14:textId="796B220B" w:rsidR="00322E2B" w:rsidRDefault="00000000">
                      <w:pPr>
                        <w:textDirection w:val="btLr"/>
                      </w:pPr>
                      <w:r>
                        <w:rPr>
                          <w:rFonts w:ascii="Arial" w:eastAsia="Arial" w:hAnsi="Arial" w:cs="Arial"/>
                          <w:b/>
                          <w:color w:val="000000"/>
                          <w:sz w:val="52"/>
                        </w:rPr>
                        <w:t xml:space="preserve"> </w:t>
                      </w:r>
                      <w:r>
                        <w:rPr>
                          <w:rFonts w:ascii="Palatino Linotype" w:eastAsia="Palatino Linotype" w:hAnsi="Palatino Linotype" w:cs="Palatino Linotype"/>
                          <w:b/>
                          <w:color w:val="000000"/>
                          <w:sz w:val="52"/>
                        </w:rPr>
                        <w:t>Araştırma Notu 26/284</w:t>
                      </w:r>
                    </w:p>
                    <w:p w14:paraId="65B1CB40" w14:textId="77777777" w:rsidR="00322E2B" w:rsidRDefault="00322E2B">
                      <w:pPr>
                        <w:spacing w:before="240" w:after="60"/>
                        <w:ind w:left="575"/>
                        <w:textDirection w:val="btLr"/>
                      </w:pPr>
                    </w:p>
                  </w:txbxContent>
                </v:textbox>
              </v:rect>
            </w:pict>
          </mc:Fallback>
        </mc:AlternateContent>
      </w:r>
    </w:p>
    <w:p w14:paraId="19C34837" w14:textId="77777777" w:rsidR="00322E2B" w:rsidRDefault="00000000">
      <w:pPr>
        <w:rPr>
          <w:rFonts w:ascii="Arial" w:eastAsia="Arial" w:hAnsi="Arial" w:cs="Arial"/>
          <w:sz w:val="20"/>
          <w:szCs w:val="20"/>
        </w:rPr>
      </w:pPr>
      <w:r>
        <w:rPr>
          <w:noProof/>
        </w:rPr>
        <mc:AlternateContent>
          <mc:Choice Requires="wps">
            <w:drawing>
              <wp:anchor distT="0" distB="0" distL="114935" distR="114935" simplePos="0" relativeHeight="251660288" behindDoc="0" locked="0" layoutInCell="1" hidden="0" allowOverlap="1" wp14:anchorId="0EAE6D52" wp14:editId="54A49BF5">
                <wp:simplePos x="0" y="0"/>
                <wp:positionH relativeFrom="column">
                  <wp:posOffset>5214938</wp:posOffset>
                </wp:positionH>
                <wp:positionV relativeFrom="paragraph">
                  <wp:posOffset>77788</wp:posOffset>
                </wp:positionV>
                <wp:extent cx="1281430" cy="375285"/>
                <wp:effectExtent l="0" t="0" r="0" b="0"/>
                <wp:wrapNone/>
                <wp:docPr id="1" name="Rectangle 1"/>
                <wp:cNvGraphicFramePr/>
                <a:graphic xmlns:a="http://schemas.openxmlformats.org/drawingml/2006/main">
                  <a:graphicData uri="http://schemas.microsoft.com/office/word/2010/wordprocessingShape">
                    <wps:wsp>
                      <wps:cNvSpPr/>
                      <wps:spPr>
                        <a:xfrm>
                          <a:off x="4710048" y="3597120"/>
                          <a:ext cx="1271905" cy="365760"/>
                        </a:xfrm>
                        <a:prstGeom prst="rect">
                          <a:avLst/>
                        </a:prstGeom>
                        <a:solidFill>
                          <a:srgbClr val="FFFFFF">
                            <a:alpha val="0"/>
                          </a:srgbClr>
                        </a:solidFill>
                        <a:ln>
                          <a:noFill/>
                        </a:ln>
                      </wps:spPr>
                      <wps:txbx>
                        <w:txbxContent>
                          <w:p w14:paraId="5C4E7C28" w14:textId="3138DA8A" w:rsidR="00322E2B" w:rsidRDefault="00000000">
                            <w:pPr>
                              <w:spacing w:before="240" w:after="60"/>
                              <w:textDirection w:val="btLr"/>
                            </w:pPr>
                            <w:r>
                              <w:rPr>
                                <w:rFonts w:ascii="Arial" w:eastAsia="Arial" w:hAnsi="Arial" w:cs="Arial"/>
                                <w:b/>
                                <w:color w:val="FFFFFF"/>
                                <w:sz w:val="22"/>
                              </w:rPr>
                              <w:t xml:space="preserve">  </w:t>
                            </w:r>
                            <w:r>
                              <w:rPr>
                                <w:rFonts w:ascii="Palatino Linotype" w:eastAsia="Palatino Linotype" w:hAnsi="Palatino Linotype" w:cs="Palatino Linotype"/>
                                <w:b/>
                                <w:color w:val="FFFFFF"/>
                                <w:sz w:val="22"/>
                              </w:rPr>
                              <w:t>19 Ağustos 2026</w:t>
                            </w:r>
                          </w:p>
                          <w:p w14:paraId="49FDFAD9" w14:textId="77777777" w:rsidR="00322E2B" w:rsidRDefault="00322E2B">
                            <w:pPr>
                              <w:textDirection w:val="btLr"/>
                            </w:pPr>
                          </w:p>
                        </w:txbxContent>
                      </wps:txbx>
                      <wps:bodyPr spcFirstLastPara="1" wrap="square" lIns="0" tIns="0" rIns="0" bIns="0" anchor="t" anchorCtr="0">
                        <a:noAutofit/>
                      </wps:bodyPr>
                    </wps:wsp>
                  </a:graphicData>
                </a:graphic>
              </wp:anchor>
            </w:drawing>
          </mc:Choice>
          <mc:Fallback>
            <w:pict>
              <v:rect w14:anchorId="0EAE6D52" id="Rectangle 1" o:spid="_x0000_s1027" style="position:absolute;margin-left:410.65pt;margin-top:6.15pt;width:100.9pt;height:29.5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" stroked="f">
                <v:fill opacity="0"/>
                <v:textbox inset="0,0,0,0">
                  <w:txbxContent>
                    <w:p w14:paraId="5C4E7C28" w14:textId="3138DA8A" w:rsidR="00322E2B" w:rsidRDefault="00000000">
                      <w:pPr>
                        <w:spacing w:before="240" w:after="60"/>
                        <w:textDirection w:val="btLr"/>
                      </w:pPr>
                      <w:r>
                        <w:rPr>
                          <w:rFonts w:ascii="Arial" w:eastAsia="Arial" w:hAnsi="Arial" w:cs="Arial"/>
                          <w:b/>
                          <w:color w:val="FFFFFF"/>
                          <w:sz w:val="22"/>
                        </w:rPr>
                        <w:t xml:space="preserve">  </w:t>
                      </w:r>
                      <w:r>
                        <w:rPr>
                          <w:rFonts w:ascii="Palatino Linotype" w:eastAsia="Palatino Linotype" w:hAnsi="Palatino Linotype" w:cs="Palatino Linotype"/>
                          <w:b/>
                          <w:color w:val="FFFFFF"/>
                          <w:sz w:val="22"/>
                        </w:rPr>
                        <w:t>19 Ağustos 2026</w:t>
                      </w:r>
                    </w:p>
                    <w:p w14:paraId="49FDFAD9" w14:textId="77777777" w:rsidR="00322E2B" w:rsidRDefault="00322E2B">
                      <w:pPr>
                        <w:textDirection w:val="btLr"/>
                      </w:pPr>
                    </w:p>
                  </w:txbxContent>
                </v:textbox>
              </v:rect>
            </w:pict>
          </mc:Fallback>
        </mc:AlternateContent>
      </w:r>
    </w:p>
    <w:p w14:paraId="73B6370D" w14:textId="77777777" w:rsidR="00322E2B" w:rsidRDefault="00322E2B">
      <w:pPr>
        <w:rPr>
          <w:rFonts w:ascii="Arial" w:eastAsia="Arial" w:hAnsi="Arial" w:cs="Arial"/>
          <w:sz w:val="20"/>
          <w:szCs w:val="20"/>
        </w:rPr>
      </w:pPr>
    </w:p>
    <w:p w14:paraId="306ADC18" w14:textId="77777777" w:rsidR="00322E2B" w:rsidRDefault="00322E2B">
      <w:pPr>
        <w:rPr>
          <w:rFonts w:ascii="Arial" w:eastAsia="Arial" w:hAnsi="Arial" w:cs="Arial"/>
          <w:sz w:val="20"/>
          <w:szCs w:val="20"/>
        </w:rPr>
      </w:pPr>
    </w:p>
    <w:p w14:paraId="0E8A4DA1" w14:textId="77777777" w:rsidR="00322E2B" w:rsidRDefault="00322E2B">
      <w:pPr>
        <w:rPr>
          <w:rFonts w:ascii="Palatino Linotype" w:eastAsia="Palatino Linotype" w:hAnsi="Palatino Linotype" w:cs="Palatino Linotype"/>
          <w:b/>
          <w:bCs/>
          <w:sz w:val="20"/>
          <w:szCs w:val="20"/>
        </w:rPr>
      </w:pPr>
    </w:p>
    <w:p w14:paraId="6AD0C2D9" w14:textId="576762C5" w:rsidR="00322E2B" w:rsidRPr="000839A9" w:rsidRDefault="00000000" w:rsidP="00167F35">
      <w:pPr>
        <w:jc w:val="center"/>
        <w:rPr>
          <w:rFonts w:asciiTheme="majorHAnsi" w:eastAsia="Palatino Linotype" w:hAnsiTheme="majorHAnsi" w:cstheme="majorHAnsi"/>
          <w:b/>
          <w:bCs/>
          <w:sz w:val="28"/>
          <w:szCs w:val="28"/>
        </w:rPr>
      </w:pPr>
      <w:r>
        <w:rPr>
          <w:rFonts w:asciiTheme="majorHAnsi" w:eastAsia="Palatino Linotype" w:hAnsiTheme="majorHAnsi" w:cstheme="majorHAnsi"/>
          <w:b/>
          <w:bCs/>
          <w:sz w:val="28"/>
          <w:szCs w:val="28"/>
        </w:rPr>
        <w:t xml:space="preserve">İki metodolojinin hikâyesi: Enflasyonun Türkiye’de ücretler üzerindeki etkisi </w:t>
      </w:r>
      <w:r>
        <w:rPr>
          <w:rFonts w:asciiTheme="majorHAnsi" w:eastAsia="Palatino Linotype" w:hAnsiTheme="majorHAnsi" w:cstheme="majorHAnsi"/>
          <w:b/>
          <w:bCs/>
          <w:sz w:val="28"/>
          <w:szCs w:val="28"/>
          <w:vertAlign w:val="superscript"/>
        </w:rPr>
        <w:t>+</w:t>
      </w:r>
    </w:p>
    <w:p w14:paraId="65CFE2DC" w14:textId="77777777" w:rsidR="00322E2B" w:rsidRPr="000839A9" w:rsidRDefault="00322E2B">
      <w:pPr>
        <w:jc w:val="center"/>
        <w:rPr>
          <w:rFonts w:asciiTheme="majorHAnsi" w:eastAsia="Arial" w:hAnsiTheme="majorHAnsi" w:cstheme="majorHAnsi"/>
          <w:sz w:val="20"/>
          <w:szCs w:val="20"/>
        </w:rPr>
      </w:pPr>
    </w:p>
    <w:p w14:paraId="733EFEA4" w14:textId="77777777" w:rsidR="00322E2B" w:rsidRPr="000839A9" w:rsidRDefault="00000000">
      <w:pPr>
        <w:jc w:val="center"/>
        <w:rPr>
          <w:rFonts w:asciiTheme="majorHAnsi" w:eastAsia="Palatino Linotype" w:hAnsiTheme="majorHAnsi" w:cstheme="majorHAnsi"/>
          <w:vertAlign w:val="superscript"/>
        </w:rPr>
      </w:pPr>
      <w:r>
        <w:rPr>
          <w:rFonts w:asciiTheme="majorHAnsi" w:eastAsia="Palatino Linotype" w:hAnsiTheme="majorHAnsi" w:cstheme="majorHAnsi"/>
        </w:rPr>
        <w:t>Luis Pinedo Caro</w:t>
      </w:r>
      <w:r>
        <w:rPr>
          <w:rFonts w:asciiTheme="majorHAnsi" w:eastAsia="Palatino Linotype" w:hAnsiTheme="majorHAnsi" w:cstheme="majorHAnsi"/>
          <w:vertAlign w:val="superscript"/>
        </w:rPr>
        <w:footnoteReference w:id="1"/>
      </w:r>
      <w:r>
        <w:rPr>
          <w:rFonts w:asciiTheme="majorHAnsi" w:eastAsia="Palatino Linotype" w:hAnsiTheme="majorHAnsi" w:cstheme="majorHAnsi"/>
          <w:vertAlign w:val="superscript"/>
        </w:rPr>
        <w:t>*</w:t>
      </w:r>
    </w:p>
    <w:p w14:paraId="0917DC94" w14:textId="77777777" w:rsidR="00322E2B" w:rsidRPr="000839A9" w:rsidRDefault="00000000">
      <w:pPr>
        <w:jc w:val="center"/>
        <w:rPr>
          <w:rFonts w:asciiTheme="majorHAnsi" w:eastAsia="Palatino Linotype" w:hAnsiTheme="majorHAnsi" w:cstheme="majorHAnsi"/>
          <w:b/>
          <w:bCs/>
        </w:rPr>
      </w:pPr>
      <w:r>
        <w:rPr>
          <w:rFonts w:asciiTheme="majorHAnsi" w:eastAsia="Palatino Linotype" w:hAnsiTheme="majorHAnsi" w:cstheme="majorHAnsi"/>
          <w:b/>
          <w:bCs/>
        </w:rPr>
        <w:t>Özet</w:t>
      </w:r>
    </w:p>
    <w:p w14:paraId="7375E13F" w14:textId="77777777" w:rsidR="00322E2B" w:rsidRPr="000839A9" w:rsidRDefault="00322E2B">
      <w:pPr>
        <w:jc w:val="center"/>
        <w:rPr>
          <w:rFonts w:asciiTheme="majorHAnsi" w:eastAsia="Arial" w:hAnsiTheme="majorHAnsi" w:cstheme="majorHAnsi"/>
          <w:b/>
          <w:bCs/>
          <w:sz w:val="20"/>
          <w:szCs w:val="20"/>
        </w:rPr>
      </w:pPr>
    </w:p>
    <w:p w14:paraId="0C4F12AB" w14:textId="3323B238" w:rsidR="00322E2B" w:rsidRPr="000839A9" w:rsidRDefault="00000000">
      <w:pPr>
        <w:spacing w:before="202" w:line="360" w:lineRule="auto"/>
        <w:ind w:right="754"/>
        <w:jc w:val="both"/>
        <w:rPr>
          <w:rFonts w:asciiTheme="majorHAnsi" w:eastAsia="Palatino Linotype" w:hAnsiTheme="majorHAnsi" w:cstheme="majorHAnsi"/>
          <w:sz w:val="22"/>
          <w:szCs w:val="22"/>
        </w:rPr>
      </w:pPr>
      <w:r>
        <w:rPr>
          <w:rFonts w:asciiTheme="majorHAnsi" w:eastAsia="Palatino Linotype" w:hAnsiTheme="majorHAnsi" w:cstheme="majorHAnsi"/>
          <w:sz w:val="22"/>
          <w:szCs w:val="22"/>
        </w:rPr>
        <w:t xml:space="preserve">TÜİK’in tüketici fiyat endeksi 2019’dan </w:t>
      </w:r>
      <w:r w:rsidR="005279FF">
        <w:rPr>
          <w:rFonts w:asciiTheme="majorHAnsi" w:eastAsia="Palatino Linotype" w:hAnsiTheme="majorHAnsi" w:cstheme="majorHAnsi"/>
          <w:sz w:val="22"/>
          <w:szCs w:val="22"/>
        </w:rPr>
        <w:t>beri</w:t>
      </w:r>
      <w:r>
        <w:rPr>
          <w:rFonts w:asciiTheme="majorHAnsi" w:eastAsia="Palatino Linotype" w:hAnsiTheme="majorHAnsi" w:cstheme="majorHAnsi"/>
          <w:sz w:val="22"/>
          <w:szCs w:val="22"/>
        </w:rPr>
        <w:t xml:space="preserve"> tartışmal</w:t>
      </w:r>
      <w:r w:rsidR="005279FF">
        <w:rPr>
          <w:rFonts w:asciiTheme="majorHAnsi" w:eastAsia="Palatino Linotype" w:hAnsiTheme="majorHAnsi" w:cstheme="majorHAnsi"/>
          <w:sz w:val="22"/>
          <w:szCs w:val="22"/>
        </w:rPr>
        <w:t>arın hedefinde olmuştur</w:t>
      </w:r>
      <w:r>
        <w:rPr>
          <w:rFonts w:asciiTheme="majorHAnsi" w:eastAsia="Palatino Linotype" w:hAnsiTheme="majorHAnsi" w:cstheme="majorHAnsi"/>
          <w:sz w:val="22"/>
          <w:szCs w:val="22"/>
        </w:rPr>
        <w:t>. Bağımsız bir araştırmacı grubu kendi metodolojisini (ENAG) oluşturmuş ve Türkiye’nin ana muhalefet partisi ile diğer paydaşlarla birlikte, 2026 itibarıyla hâlâ süren bir hukuki mücadeleler ve kamuoyu şikâyetleri döngüsüne girmiştir. Bu araştırma notu, bu rakip metodolojilerin ülkedeki ücret gelişimi üzerindeki etkisini incelemektedir. Çalışma, TÜİK’in ve ENAG’ın deflatörle düzeltilmiş serilerinin reel ücret gelişimine dair keskin biçimde birbirinden ayrışan tablolar ortaya koyduğunu tespit etmekte ve üçüncü, bağımsız bir yaklaşım getirmektedir: ücretlerin avroya çevrilip Euro Bölgesi TÜFE’si kullanılarak deflatörle düzeltilmesi. Bu yaklaşımın sonuçları, satın alma gücünün gerçek seyrinin muhtemelen bu iki yaklaşım arasında yer aldığını göstermektedir; bir süre reel ücret erozyonu yaşanmış, ancak 2023’ten itibaren ortodoks para politikasına dönüşün ardından satın alma gücü yeniden kazanılmıştır</w:t>
      </w:r>
      <w:r w:rsidR="005279FF">
        <w:rPr>
          <w:rFonts w:asciiTheme="majorHAnsi" w:eastAsia="Palatino Linotype" w:hAnsiTheme="majorHAnsi" w:cstheme="majorHAnsi"/>
          <w:sz w:val="22"/>
          <w:szCs w:val="22"/>
        </w:rPr>
        <w:t>.</w:t>
      </w:r>
    </w:p>
    <w:p w14:paraId="508BE96F" w14:textId="77777777" w:rsidR="00322E2B" w:rsidRPr="000839A9" w:rsidRDefault="00000000">
      <w:pPr>
        <w:pStyle w:val="Heading2"/>
        <w:spacing w:line="360" w:lineRule="auto"/>
        <w:ind w:firstLine="340"/>
        <w:rPr>
          <w:rFonts w:asciiTheme="majorHAnsi" w:eastAsia="Palatino Linotype" w:hAnsiTheme="majorHAnsi" w:cstheme="majorHAnsi"/>
        </w:rPr>
      </w:pPr>
      <w:r>
        <w:rPr>
          <w:rFonts w:asciiTheme="majorHAnsi" w:eastAsia="Palatino Linotype" w:hAnsiTheme="majorHAnsi" w:cstheme="majorHAnsi"/>
        </w:rPr>
        <w:t>Giriş</w:t>
      </w:r>
    </w:p>
    <w:p w14:paraId="228733D3" w14:textId="3B055535" w:rsidR="00322E2B" w:rsidRPr="000839A9" w:rsidRDefault="00000000">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Türkiye İstatistik Kurumu (TÜİK) tarafından yayımlanan tüketici fiyat endeksi, en az Haziran 2019’dan bu yana tartışm</w:t>
      </w:r>
      <w:r w:rsidR="00D03600">
        <w:rPr>
          <w:rFonts w:asciiTheme="majorHAnsi" w:eastAsia="Palatino Linotype" w:hAnsiTheme="majorHAnsi" w:cstheme="majorHAnsi"/>
          <w:color w:val="000000"/>
        </w:rPr>
        <w:t>aların hedefinde olmuştur. O</w:t>
      </w:r>
      <w:r>
        <w:rPr>
          <w:rFonts w:asciiTheme="majorHAnsi" w:eastAsia="Palatino Linotype" w:hAnsiTheme="majorHAnsi" w:cstheme="majorHAnsi"/>
          <w:color w:val="000000"/>
        </w:rPr>
        <w:t xml:space="preserve"> tarihte Türkiye’nin ana muhalefet partisi, benzeri görülmemiş yöntemsel değişiklikler</w:t>
      </w:r>
      <w:r w:rsidR="000B3A44">
        <w:rPr>
          <w:rFonts w:asciiTheme="majorHAnsi" w:eastAsia="Palatino Linotype" w:hAnsiTheme="majorHAnsi" w:cstheme="majorHAnsi"/>
          <w:color w:val="000000"/>
        </w:rPr>
        <w:t xml:space="preserve">in </w:t>
      </w:r>
      <w:r w:rsidR="000B3A44">
        <w:rPr>
          <w:rFonts w:asciiTheme="majorHAnsi" w:eastAsia="Palatino Linotype" w:hAnsiTheme="majorHAnsi" w:cstheme="majorHAnsi"/>
          <w:color w:val="000000"/>
        </w:rPr>
        <w:t>resmi enflasyon verilerinin güvenilirliğine zarar ver</w:t>
      </w:r>
      <w:r w:rsidR="000B3A44">
        <w:rPr>
          <w:rFonts w:asciiTheme="majorHAnsi" w:eastAsia="Palatino Linotype" w:hAnsiTheme="majorHAnsi" w:cstheme="majorHAnsi"/>
          <w:color w:val="000000"/>
        </w:rPr>
        <w:t>diğini</w:t>
      </w:r>
      <w:r>
        <w:rPr>
          <w:rFonts w:asciiTheme="majorHAnsi" w:eastAsia="Palatino Linotype" w:hAnsiTheme="majorHAnsi" w:cstheme="majorHAnsi"/>
          <w:color w:val="000000"/>
        </w:rPr>
        <w:t xml:space="preserve"> öne süren bir meclis araştırması önergesi</w:t>
      </w:r>
      <w:r>
        <w:rPr>
          <w:rFonts w:asciiTheme="majorHAnsi" w:eastAsia="Palatino Linotype" w:hAnsiTheme="majorHAnsi" w:cstheme="majorHAnsi"/>
          <w:color w:val="000000"/>
          <w:vertAlign w:val="superscript"/>
        </w:rPr>
        <w:footnoteReference w:id="2"/>
      </w:r>
      <w:r>
        <w:rPr>
          <w:rFonts w:asciiTheme="majorHAnsi" w:eastAsia="Palatino Linotype" w:hAnsiTheme="majorHAnsi" w:cstheme="majorHAnsi"/>
          <w:color w:val="000000"/>
        </w:rPr>
        <w:t xml:space="preserve"> vermiştir. Ampirik hiçbir dayanağı olmayan siyasi bir suçlama olarak başlayan bu süreç, Eylül 2020’de İstanbul merkezli bir grup akademisyenin Enflasyon Araştırma Grubu’nu (ENAG) kurarak resmi endeksin yanı sıra bağımsız ve şeffaf bir fiyat endeksi yayımlamaya başlamasıyla nitelik</w:t>
      </w:r>
      <w:r w:rsidR="00AF602C">
        <w:rPr>
          <w:rFonts w:asciiTheme="majorHAnsi" w:eastAsia="Palatino Linotype" w:hAnsiTheme="majorHAnsi" w:cstheme="majorHAnsi"/>
          <w:color w:val="000000"/>
        </w:rPr>
        <w:t>sel bir dönüşüm yaşamıştır</w:t>
      </w:r>
      <w:r>
        <w:rPr>
          <w:rFonts w:asciiTheme="majorHAnsi" w:eastAsia="Palatino Linotype" w:hAnsiTheme="majorHAnsi" w:cstheme="majorHAnsi"/>
          <w:color w:val="000000"/>
        </w:rPr>
        <w:t>. İki ölçü</w:t>
      </w:r>
      <w:r w:rsidR="00AF602C">
        <w:rPr>
          <w:rFonts w:asciiTheme="majorHAnsi" w:eastAsia="Palatino Linotype" w:hAnsiTheme="majorHAnsi" w:cstheme="majorHAnsi"/>
          <w:color w:val="000000"/>
        </w:rPr>
        <w:t>t</w:t>
      </w:r>
      <w:r>
        <w:rPr>
          <w:rFonts w:asciiTheme="majorHAnsi" w:eastAsia="Palatino Linotype" w:hAnsiTheme="majorHAnsi" w:cstheme="majorHAnsi"/>
          <w:color w:val="000000"/>
        </w:rPr>
        <w:t xml:space="preserve"> arasındaki fark izleyen yıllarda hızla açılmış </w:t>
      </w:r>
      <w:r w:rsidR="00AF602C">
        <w:rPr>
          <w:rFonts w:asciiTheme="majorHAnsi" w:eastAsia="Palatino Linotype" w:hAnsiTheme="majorHAnsi" w:cstheme="majorHAnsi"/>
          <w:color w:val="000000"/>
        </w:rPr>
        <w:t>-</w:t>
      </w:r>
      <w:r>
        <w:rPr>
          <w:rFonts w:asciiTheme="majorHAnsi" w:eastAsia="Palatino Linotype" w:hAnsiTheme="majorHAnsi" w:cstheme="majorHAnsi"/>
          <w:color w:val="000000"/>
        </w:rPr>
        <w:t>Mart 2022 itibarıyla TÜİK yıllık enflasyonu yüzde 61 olarak açıklarken ENAG’ın tahmini yüzde 143’e ulaşmıştır</w:t>
      </w:r>
      <w:r w:rsidR="00AF602C">
        <w:rPr>
          <w:rFonts w:asciiTheme="majorHAnsi" w:eastAsia="Palatino Linotype" w:hAnsiTheme="majorHAnsi" w:cstheme="majorHAnsi"/>
          <w:color w:val="000000"/>
        </w:rPr>
        <w:t>- ve bu konudaki</w:t>
      </w:r>
      <w:r>
        <w:rPr>
          <w:rFonts w:asciiTheme="majorHAnsi" w:eastAsia="Palatino Linotype" w:hAnsiTheme="majorHAnsi" w:cstheme="majorHAnsi"/>
          <w:color w:val="000000"/>
        </w:rPr>
        <w:t xml:space="preserve"> anlaşmazlık, istatistiki bir görüş ayrılığından açık bir hukuki çatışmaya evrilmiştir: </w:t>
      </w:r>
      <w:r>
        <w:rPr>
          <w:rFonts w:asciiTheme="majorHAnsi" w:eastAsia="Palatino Linotype" w:hAnsiTheme="majorHAnsi" w:cstheme="majorHAnsi"/>
          <w:color w:val="000000"/>
        </w:rPr>
        <w:lastRenderedPageBreak/>
        <w:t>TÜİK, kurumu “karala</w:t>
      </w:r>
      <w:r w:rsidR="00BF0C0E">
        <w:rPr>
          <w:rFonts w:asciiTheme="majorHAnsi" w:eastAsia="Palatino Linotype" w:hAnsiTheme="majorHAnsi" w:cstheme="majorHAnsi"/>
          <w:color w:val="000000"/>
        </w:rPr>
        <w:t>dığı</w:t>
      </w:r>
      <w:r>
        <w:rPr>
          <w:rFonts w:asciiTheme="majorHAnsi" w:eastAsia="Palatino Linotype" w:hAnsiTheme="majorHAnsi" w:cstheme="majorHAnsi"/>
          <w:color w:val="000000"/>
        </w:rPr>
        <w:t>” gerekçesiyle Mayıs 2021’de ENAG hakkında bir suç duyurusunda bulunmuştur.</w:t>
      </w:r>
      <w:r>
        <w:rPr>
          <w:rFonts w:asciiTheme="majorHAnsi" w:eastAsia="Palatino Linotype" w:hAnsiTheme="majorHAnsi" w:cstheme="majorHAnsi"/>
          <w:color w:val="000000"/>
          <w:vertAlign w:val="superscript"/>
        </w:rPr>
        <w:footnoteReference w:id="3"/>
      </w:r>
      <w:r>
        <w:rPr>
          <w:rFonts w:asciiTheme="majorHAnsi" w:eastAsia="Palatino Linotype" w:hAnsiTheme="majorHAnsi" w:cstheme="majorHAnsi"/>
          <w:color w:val="000000"/>
        </w:rPr>
        <w:t xml:space="preserve"> İktidar partisi ise 2022’de, onaylanmamış ekonomik göstergeler yayımlayan araştırmacılara üç yıla kadar hapis cezası</w:t>
      </w:r>
      <w:r>
        <w:rPr>
          <w:rFonts w:asciiTheme="majorHAnsi" w:eastAsia="Palatino Linotype" w:hAnsiTheme="majorHAnsi" w:cstheme="majorHAnsi"/>
          <w:color w:val="000000"/>
          <w:vertAlign w:val="superscript"/>
        </w:rPr>
        <w:footnoteReference w:id="4"/>
      </w:r>
      <w:r>
        <w:rPr>
          <w:rFonts w:asciiTheme="majorHAnsi" w:eastAsia="Palatino Linotype" w:hAnsiTheme="majorHAnsi" w:cstheme="majorHAnsi"/>
          <w:color w:val="000000"/>
        </w:rPr>
        <w:t xml:space="preserve"> öngören bir yasa tasarısı hazırlamıştır. Tartışma</w:t>
      </w:r>
      <w:r w:rsidR="00BF0C0E">
        <w:rPr>
          <w:rFonts w:asciiTheme="majorHAnsi" w:eastAsia="Palatino Linotype" w:hAnsiTheme="majorHAnsi" w:cstheme="majorHAnsi"/>
          <w:color w:val="000000"/>
        </w:rPr>
        <w:t xml:space="preserve"> o tarihten beri devam etmektedir</w:t>
      </w:r>
      <w:r>
        <w:rPr>
          <w:rFonts w:asciiTheme="majorHAnsi" w:eastAsia="Palatino Linotype" w:hAnsiTheme="majorHAnsi" w:cstheme="majorHAnsi"/>
          <w:color w:val="000000"/>
        </w:rPr>
        <w:t>: enflasyonun emekli aylığı artışlarını bastırmak amacıyla kasıtlı olarak düşük gösterildiğini iddia eden ve hâlâ görülmekte olan 2024 tarihli bir dava</w:t>
      </w:r>
      <w:r>
        <w:rPr>
          <w:rFonts w:asciiTheme="majorHAnsi" w:eastAsia="Palatino Linotype" w:hAnsiTheme="majorHAnsi" w:cstheme="majorHAnsi"/>
          <w:color w:val="000000"/>
          <w:vertAlign w:val="superscript"/>
        </w:rPr>
        <w:footnoteReference w:id="5"/>
      </w:r>
      <w:r>
        <w:rPr>
          <w:rFonts w:asciiTheme="majorHAnsi" w:eastAsia="Palatino Linotype" w:hAnsiTheme="majorHAnsi" w:cstheme="majorHAnsi"/>
          <w:color w:val="000000"/>
        </w:rPr>
        <w:t>, Hazine ve Maliye Bakanı Mehmet Şimşek’in Ocak 2025’te</w:t>
      </w:r>
      <w:r>
        <w:rPr>
          <w:rStyle w:val="FootnoteReference"/>
          <w:rFonts w:asciiTheme="majorHAnsi" w:eastAsia="Palatino Linotype" w:hAnsiTheme="majorHAnsi" w:cstheme="majorHAnsi"/>
          <w:color w:val="000000"/>
        </w:rPr>
        <w:footnoteReference w:id="6"/>
      </w:r>
      <w:r>
        <w:rPr>
          <w:rFonts w:asciiTheme="majorHAnsi" w:eastAsia="Palatino Linotype" w:hAnsiTheme="majorHAnsi" w:cstheme="majorHAnsi"/>
          <w:color w:val="000000"/>
        </w:rPr>
        <w:t xml:space="preserve"> hükümetin sepet fiyatlarında değişiklik yaptığını kamuoyuna itiraf etmesi ve Ocak 2026’da TÜFE metodolojisinde yapılan bir başka revizyon</w:t>
      </w:r>
      <w:r>
        <w:rPr>
          <w:rFonts w:asciiTheme="majorHAnsi" w:eastAsia="Palatino Linotype" w:hAnsiTheme="majorHAnsi" w:cstheme="majorHAnsi"/>
          <w:color w:val="000000"/>
          <w:vertAlign w:val="superscript"/>
        </w:rPr>
        <w:footnoteReference w:id="7"/>
      </w:r>
      <w:r>
        <w:rPr>
          <w:rFonts w:asciiTheme="majorHAnsi" w:eastAsia="Palatino Linotype" w:hAnsiTheme="majorHAnsi" w:cstheme="majorHAnsi"/>
          <w:color w:val="000000"/>
        </w:rPr>
        <w:t>, zamanlama ve güvenilirlik konusundaki aynı tartışmayı yeniden alevlendirmiştir.</w:t>
      </w:r>
    </w:p>
    <w:p w14:paraId="37DBD9BA" w14:textId="6EB2BEAD" w:rsidR="00322E2B" w:rsidRPr="000839A9" w:rsidRDefault="00000000">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Bu anlaşmazlığın yalnızca siyasi değil, reel ücretlerin ölçümü açısından da doğrudan sonuçları</w:t>
      </w:r>
      <w:r w:rsidR="0011192A">
        <w:rPr>
          <w:rFonts w:asciiTheme="majorHAnsi" w:eastAsia="Palatino Linotype" w:hAnsiTheme="majorHAnsi" w:cstheme="majorHAnsi"/>
          <w:color w:val="000000"/>
        </w:rPr>
        <w:t xml:space="preserve"> olsa da</w:t>
      </w:r>
      <w:r>
        <w:rPr>
          <w:rFonts w:asciiTheme="majorHAnsi" w:eastAsia="Palatino Linotype" w:hAnsiTheme="majorHAnsi" w:cstheme="majorHAnsi"/>
          <w:color w:val="000000"/>
        </w:rPr>
        <w:t xml:space="preserve"> uluslararası kuruluşlar Türkiye’deki işgücü gelirini en iyi ihtimalle tutarsız biçimde raporlamıştır. Örneğin ILO’nun Küresel Ücret Raporu</w:t>
      </w:r>
      <w:r>
        <w:rPr>
          <w:rFonts w:asciiTheme="majorHAnsi" w:eastAsia="Palatino Linotype" w:hAnsiTheme="majorHAnsi" w:cstheme="majorHAnsi"/>
          <w:color w:val="000000"/>
          <w:vertAlign w:val="superscript"/>
        </w:rPr>
        <w:footnoteReference w:id="8"/>
      </w:r>
      <w:r>
        <w:rPr>
          <w:rFonts w:asciiTheme="majorHAnsi" w:eastAsia="Palatino Linotype" w:hAnsiTheme="majorHAnsi" w:cstheme="majorHAnsi"/>
          <w:color w:val="000000"/>
        </w:rPr>
        <w:t xml:space="preserve">, son baskılarında bu konuda birbiriyle çelişen sinyaller vermiştir. ENAG-TÜİK ayrışmasının doruğa ulaştığı dönemde yayımlanan 2022-23 baskısı, Türkiye için ülkeye özgü bir reel ücret artışı </w:t>
      </w:r>
      <w:r w:rsidR="008A0FCC">
        <w:rPr>
          <w:rFonts w:asciiTheme="majorHAnsi" w:eastAsia="Palatino Linotype" w:hAnsiTheme="majorHAnsi" w:cstheme="majorHAnsi"/>
          <w:color w:val="000000"/>
        </w:rPr>
        <w:t>verisi</w:t>
      </w:r>
      <w:r>
        <w:rPr>
          <w:rFonts w:asciiTheme="majorHAnsi" w:eastAsia="Palatino Linotype" w:hAnsiTheme="majorHAnsi" w:cstheme="majorHAnsi"/>
          <w:color w:val="000000"/>
        </w:rPr>
        <w:t xml:space="preserve"> vermemiş</w:t>
      </w:r>
      <w:r w:rsidR="008A0FCC">
        <w:rPr>
          <w:rFonts w:asciiTheme="majorHAnsi" w:eastAsia="Palatino Linotype" w:hAnsiTheme="majorHAnsi" w:cstheme="majorHAnsi"/>
          <w:color w:val="000000"/>
        </w:rPr>
        <w:t>;</w:t>
      </w:r>
      <w:r>
        <w:rPr>
          <w:rFonts w:asciiTheme="majorHAnsi" w:eastAsia="Palatino Linotype" w:hAnsiTheme="majorHAnsi" w:cstheme="majorHAnsi"/>
          <w:color w:val="000000"/>
        </w:rPr>
        <w:t xml:space="preserve"> yalnızca 2020’de reel ücretleri gerileyen gelişmekte olan G20 ekonomileri arasında </w:t>
      </w:r>
      <w:r w:rsidR="008A0FCC">
        <w:rPr>
          <w:rFonts w:asciiTheme="majorHAnsi" w:eastAsia="Palatino Linotype" w:hAnsiTheme="majorHAnsi" w:cstheme="majorHAnsi"/>
          <w:color w:val="000000"/>
        </w:rPr>
        <w:t>(</w:t>
      </w:r>
      <w:r>
        <w:rPr>
          <w:rFonts w:asciiTheme="majorHAnsi" w:eastAsia="Palatino Linotype" w:hAnsiTheme="majorHAnsi" w:cstheme="majorHAnsi"/>
          <w:color w:val="000000"/>
        </w:rPr>
        <w:t>Endonezya ve Güney Afrika ile birlikte</w:t>
      </w:r>
      <w:r w:rsidR="008A0FCC">
        <w:rPr>
          <w:rFonts w:asciiTheme="majorHAnsi" w:eastAsia="Palatino Linotype" w:hAnsiTheme="majorHAnsi" w:cstheme="majorHAnsi"/>
          <w:color w:val="000000"/>
        </w:rPr>
        <w:t>) değinmiştir</w:t>
      </w:r>
      <w:r>
        <w:rPr>
          <w:rFonts w:asciiTheme="majorHAnsi" w:eastAsia="Palatino Linotype" w:hAnsiTheme="majorHAnsi" w:cstheme="majorHAnsi"/>
          <w:color w:val="000000"/>
        </w:rPr>
        <w:t xml:space="preserve">. Buna karşılık 2024-25 baskısı Türkiye’ye geniş yer ayırmış; 2023’te yüzde 38,8 ve 2024’te yüzde 27,2 ile </w:t>
      </w:r>
      <w:r w:rsidR="008A0FCC">
        <w:rPr>
          <w:rFonts w:asciiTheme="majorHAnsi" w:eastAsia="Palatino Linotype" w:hAnsiTheme="majorHAnsi" w:cstheme="majorHAnsi"/>
          <w:color w:val="000000"/>
        </w:rPr>
        <w:t>(</w:t>
      </w:r>
      <w:r>
        <w:rPr>
          <w:rFonts w:asciiTheme="majorHAnsi" w:eastAsia="Palatino Linotype" w:hAnsiTheme="majorHAnsi" w:cstheme="majorHAnsi"/>
          <w:color w:val="000000"/>
        </w:rPr>
        <w:t>kapsanan ekonomiler arasında</w:t>
      </w:r>
      <w:r w:rsidR="008A0FCC">
        <w:rPr>
          <w:rFonts w:asciiTheme="majorHAnsi" w:eastAsia="Palatino Linotype" w:hAnsiTheme="majorHAnsi" w:cstheme="majorHAnsi"/>
          <w:color w:val="000000"/>
        </w:rPr>
        <w:t>ki</w:t>
      </w:r>
      <w:r>
        <w:rPr>
          <w:rFonts w:asciiTheme="majorHAnsi" w:eastAsia="Palatino Linotype" w:hAnsiTheme="majorHAnsi" w:cstheme="majorHAnsi"/>
          <w:color w:val="000000"/>
        </w:rPr>
        <w:t xml:space="preserve"> en yüksek </w:t>
      </w:r>
      <w:r w:rsidR="008A0FCC">
        <w:rPr>
          <w:rFonts w:asciiTheme="majorHAnsi" w:eastAsia="Palatino Linotype" w:hAnsiTheme="majorHAnsi" w:cstheme="majorHAnsi"/>
          <w:color w:val="000000"/>
        </w:rPr>
        <w:t xml:space="preserve">değerler) </w:t>
      </w:r>
      <w:r>
        <w:rPr>
          <w:rFonts w:asciiTheme="majorHAnsi" w:eastAsia="Palatino Linotype" w:hAnsiTheme="majorHAnsi" w:cstheme="majorHAnsi"/>
          <w:color w:val="000000"/>
        </w:rPr>
        <w:t>reel ücret artışı bildirmiş, ancak bunu tamamen resmi TÜFE verilerine dayandırmış ve güvenilir bir alternatif ölçü</w:t>
      </w:r>
      <w:r w:rsidR="008A0FCC">
        <w:rPr>
          <w:rFonts w:asciiTheme="majorHAnsi" w:eastAsia="Palatino Linotype" w:hAnsiTheme="majorHAnsi" w:cstheme="majorHAnsi"/>
          <w:color w:val="000000"/>
        </w:rPr>
        <w:t>t</w:t>
      </w:r>
      <w:r>
        <w:rPr>
          <w:rFonts w:asciiTheme="majorHAnsi" w:eastAsia="Palatino Linotype" w:hAnsiTheme="majorHAnsi" w:cstheme="majorHAnsi"/>
          <w:color w:val="000000"/>
        </w:rPr>
        <w:t>ün varlığı</w:t>
      </w:r>
      <w:r w:rsidR="008A0FCC">
        <w:rPr>
          <w:rFonts w:asciiTheme="majorHAnsi" w:eastAsia="Palatino Linotype" w:hAnsiTheme="majorHAnsi" w:cstheme="majorHAnsi"/>
          <w:color w:val="000000"/>
        </w:rPr>
        <w:t>na değinmemiştir</w:t>
      </w:r>
      <w:r>
        <w:rPr>
          <w:rFonts w:asciiTheme="majorHAnsi" w:eastAsia="Palatino Linotype" w:hAnsiTheme="majorHAnsi" w:cstheme="majorHAnsi"/>
          <w:color w:val="000000"/>
        </w:rPr>
        <w:t xml:space="preserve">. Bu değişim, Türkiye için manşet ücret </w:t>
      </w:r>
      <w:r w:rsidR="00C9670C">
        <w:rPr>
          <w:rFonts w:asciiTheme="majorHAnsi" w:eastAsia="Palatino Linotype" w:hAnsiTheme="majorHAnsi" w:cstheme="majorHAnsi"/>
          <w:color w:val="000000"/>
        </w:rPr>
        <w:t>verilerinin</w:t>
      </w:r>
      <w:r>
        <w:rPr>
          <w:rFonts w:asciiTheme="majorHAnsi" w:eastAsia="Palatino Linotype" w:hAnsiTheme="majorHAnsi" w:cstheme="majorHAnsi"/>
          <w:color w:val="000000"/>
        </w:rPr>
        <w:t xml:space="preserve"> seçilen enflasyon ölçütüne ne kadar duyarlı olduğunu göstermektedir. Ayrıca, görevden alınmasından kısa bir süre önce, TÜİK’in eski</w:t>
      </w:r>
      <w:r w:rsidR="00C9670C">
        <w:rPr>
          <w:rFonts w:asciiTheme="majorHAnsi" w:eastAsia="Palatino Linotype" w:hAnsiTheme="majorHAnsi" w:cstheme="majorHAnsi"/>
          <w:color w:val="000000"/>
        </w:rPr>
        <w:t xml:space="preserve"> bir</w:t>
      </w:r>
      <w:r>
        <w:rPr>
          <w:rFonts w:asciiTheme="majorHAnsi" w:eastAsia="Palatino Linotype" w:hAnsiTheme="majorHAnsi" w:cstheme="majorHAnsi"/>
          <w:color w:val="000000"/>
        </w:rPr>
        <w:t xml:space="preserve"> başkanı, </w:t>
      </w:r>
      <w:r w:rsidR="00C9670C">
        <w:rPr>
          <w:rFonts w:asciiTheme="majorHAnsi" w:eastAsia="Palatino Linotype" w:hAnsiTheme="majorHAnsi" w:cstheme="majorHAnsi"/>
          <w:color w:val="000000"/>
        </w:rPr>
        <w:t>veriler</w:t>
      </w:r>
      <w:r>
        <w:rPr>
          <w:rFonts w:asciiTheme="majorHAnsi" w:eastAsia="Palatino Linotype" w:hAnsiTheme="majorHAnsi" w:cstheme="majorHAnsi"/>
          <w:color w:val="000000"/>
        </w:rPr>
        <w:t xml:space="preserve"> üzerindeki </w:t>
      </w:r>
      <w:r w:rsidR="00C9670C">
        <w:rPr>
          <w:rFonts w:asciiTheme="majorHAnsi" w:eastAsia="Palatino Linotype" w:hAnsiTheme="majorHAnsi" w:cstheme="majorHAnsi"/>
          <w:color w:val="000000"/>
        </w:rPr>
        <w:t>basınca</w:t>
      </w:r>
      <w:r>
        <w:rPr>
          <w:rFonts w:asciiTheme="majorHAnsi" w:eastAsia="Palatino Linotype" w:hAnsiTheme="majorHAnsi" w:cstheme="majorHAnsi"/>
          <w:color w:val="000000"/>
        </w:rPr>
        <w:t xml:space="preserve"> işaret eden ve olsa olsa resmi tahminlerin geçerliliğine dair kuşkuları artıran açıklamalar yapmıştır.</w:t>
      </w:r>
      <w:r>
        <w:rPr>
          <w:rFonts w:asciiTheme="majorHAnsi" w:eastAsia="Palatino Linotype" w:hAnsiTheme="majorHAnsi" w:cstheme="majorHAnsi"/>
          <w:color w:val="000000"/>
          <w:vertAlign w:val="superscript"/>
        </w:rPr>
        <w:footnoteReference w:id="9"/>
      </w:r>
      <w:r>
        <w:rPr>
          <w:rFonts w:asciiTheme="majorHAnsi" w:eastAsia="Palatino Linotype" w:hAnsiTheme="majorHAnsi" w:cstheme="majorHAnsi"/>
          <w:color w:val="000000"/>
        </w:rPr>
        <w:t xml:space="preserve"> Uluslararası kuruluşların raporlamasındaki bu tutarsızlık başlı başına dikkat çekicidir: bu durum </w:t>
      </w:r>
      <w:r>
        <w:rPr>
          <w:rFonts w:asciiTheme="majorHAnsi" w:eastAsia="Palatino Linotype" w:hAnsiTheme="majorHAnsi" w:cstheme="majorHAnsi"/>
          <w:color w:val="000000"/>
        </w:rPr>
        <w:lastRenderedPageBreak/>
        <w:t>politika yapıcıları ve araştırmacıları, Türk</w:t>
      </w:r>
      <w:r w:rsidR="00253CFA">
        <w:rPr>
          <w:rFonts w:asciiTheme="majorHAnsi" w:eastAsia="Palatino Linotype" w:hAnsiTheme="majorHAnsi" w:cstheme="majorHAnsi"/>
          <w:color w:val="000000"/>
        </w:rPr>
        <w:t>iye</w:t>
      </w:r>
      <w:r>
        <w:rPr>
          <w:rFonts w:asciiTheme="majorHAnsi" w:eastAsia="Palatino Linotype" w:hAnsiTheme="majorHAnsi" w:cstheme="majorHAnsi"/>
          <w:color w:val="000000"/>
        </w:rPr>
        <w:t xml:space="preserve"> işçilerinin satın alma gücünde gerçekte ne kadar kazanç ya da kayıp yaşandığı sorusu karşısında ya elde hiç rakam olmadan ya da tartışmalı tek bir rakamla baş başa bırakmaktadır; oysa bu sorunun tek ve tartışmasız bir cevabı yoktur ve sonuçları 20 milyondan fazla ücretli</w:t>
      </w:r>
      <w:r w:rsidR="00253CFA">
        <w:rPr>
          <w:rFonts w:asciiTheme="majorHAnsi" w:eastAsia="Palatino Linotype" w:hAnsiTheme="majorHAnsi" w:cstheme="majorHAnsi"/>
          <w:color w:val="000000"/>
        </w:rPr>
        <w:t xml:space="preserve"> işçiyi</w:t>
      </w:r>
      <w:r>
        <w:rPr>
          <w:rFonts w:asciiTheme="majorHAnsi" w:eastAsia="Palatino Linotype" w:hAnsiTheme="majorHAnsi" w:cstheme="majorHAnsi"/>
          <w:color w:val="000000"/>
        </w:rPr>
        <w:t xml:space="preserve"> etkilemektedir.</w:t>
      </w:r>
    </w:p>
    <w:p w14:paraId="083C97A1" w14:textId="0EDF3CCC" w:rsidR="00322E2B" w:rsidRPr="000839A9" w:rsidRDefault="003C4AE5">
      <w:pPr>
        <w:widowControl w:val="0"/>
        <w:pBdr>
          <w:top w:val="nil"/>
          <w:left w:val="nil"/>
          <w:bottom w:val="nil"/>
          <w:right w:val="nil"/>
          <w:between w:val="nil"/>
        </w:pBdr>
        <w:spacing w:before="241"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Bu araştırma notu, enflasyona ilişkin birbiriyle rekabet eden iki veri kaynağına da dayanarak tartışmaya ışık tutmayı amaçlamaktadır. TÜİK’in Hanehalkı İşgücü Anketi mikro verilerini, hem resmi TÜİK TÜFE’si hem de bağımsız ENAG endeksiyle birlikte kullanan çalışma, Türkiye’de 2015 ile 2025 yılları arasında asgari ve ortalama ücret için aylık reel ücret serileri oluşturmakta ve bunları karşılaştırmaktadır. Daha da önemlisi, çalışma üçüncü, bağımsız bir çapraz kontrol yöntemi de getirmektedir: nominal Türk lirası ücretlerin, dönemin cari döviz kuruyla avroya çevrilip Euro Bölgesi TÜFE’si kullanılarak deflatörle düzeltilmesi. Bu yöntem, birbiriyle rekabet eden iki yerli anlatıyı, ikisine de bağlı olmayan bir kıyas noktasına karşı değerlendirmeyi sağlamaktadır. Bu ek yaklaşım, taraf tutmak yerine, karşılaştırmanın her yönteme ve döneme hak ettiği payı vermesine imkân tanıyarak tartışmayı zenginleştirmektedir.</w:t>
      </w:r>
    </w:p>
    <w:p w14:paraId="1791B3E9" w14:textId="77777777" w:rsidR="00322E2B" w:rsidRPr="000839A9" w:rsidRDefault="00000000">
      <w:pPr>
        <w:pStyle w:val="Heading2"/>
        <w:numPr>
          <w:ilvl w:val="0"/>
          <w:numId w:val="1"/>
        </w:numPr>
        <w:spacing w:after="120"/>
        <w:rPr>
          <w:rFonts w:asciiTheme="majorHAnsi" w:eastAsia="Palatino Linotype" w:hAnsiTheme="majorHAnsi" w:cstheme="majorHAnsi"/>
        </w:rPr>
      </w:pPr>
      <w:r>
        <w:rPr>
          <w:rFonts w:asciiTheme="majorHAnsi" w:eastAsia="Palatino Linotype" w:hAnsiTheme="majorHAnsi" w:cstheme="majorHAnsi"/>
        </w:rPr>
        <w:t>TÜİK’e karşı ENAG: ücret gelişimi</w:t>
      </w:r>
    </w:p>
    <w:p w14:paraId="4BAFC2DE" w14:textId="2C251B3D" w:rsidR="00322E2B"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Reel ücretler, TÜİK’in Hanehalkı İşgücü Anketi (HİA) mikro verilerinden elde edilen nominal net (ele geçen) ücretlerin deflate edilmesiyle hesaplanmaktadır</w:t>
      </w:r>
      <w:r>
        <w:rPr>
          <w:rStyle w:val="FootnoteReference"/>
          <w:rFonts w:asciiTheme="majorHAnsi" w:eastAsia="Palatino Linotype" w:hAnsiTheme="majorHAnsi" w:cstheme="majorHAnsi"/>
          <w:color w:val="000000"/>
        </w:rPr>
        <w:footnoteReference w:id="10"/>
      </w:r>
      <w:r>
        <w:rPr>
          <w:rFonts w:asciiTheme="majorHAnsi" w:eastAsia="Palatino Linotype" w:hAnsiTheme="majorHAnsi" w:cstheme="majorHAnsi"/>
          <w:color w:val="000000"/>
        </w:rPr>
        <w:t xml:space="preserve">; bu işlem, 2015 sabit </w:t>
      </w:r>
      <w:r w:rsidR="00D809CE">
        <w:rPr>
          <w:rFonts w:asciiTheme="majorHAnsi" w:eastAsia="Palatino Linotype" w:hAnsiTheme="majorHAnsi" w:cstheme="majorHAnsi"/>
          <w:color w:val="000000"/>
        </w:rPr>
        <w:t xml:space="preserve">lira </w:t>
      </w:r>
      <w:r>
        <w:rPr>
          <w:rFonts w:asciiTheme="majorHAnsi" w:eastAsia="Palatino Linotype" w:hAnsiTheme="majorHAnsi" w:cstheme="majorHAnsi"/>
          <w:color w:val="000000"/>
        </w:rPr>
        <w:t xml:space="preserve">fiyatlarına göre yeniden temellendirilmiş iki alternatif fiyat endeksi kullanılarak yapılmaktadır. TÜİK serisi boyunca resmi TÜFE uygulanmakta, ENAG serisinde ise başlangıcından itibaren ENAG’ın bağımsız TÜFE oranları kullanılmaktadır. ENAG Eylül 2020’den bu yana aylık bir endeks yayımladığından, bu tarihten önce TÜİK’e bağımsız bir alternatif mevcut değildi; bu husus Giriş bölümünde zaten belirtilmiştir. Bu nedenle, Şekil 1 ve Şekil 2, Eylül 2020 öncesinde tek bir TÜİK </w:t>
      </w:r>
      <w:r w:rsidR="00D809CE">
        <w:rPr>
          <w:rFonts w:asciiTheme="majorHAnsi" w:eastAsia="Palatino Linotype" w:hAnsiTheme="majorHAnsi" w:cstheme="majorHAnsi"/>
          <w:color w:val="000000"/>
        </w:rPr>
        <w:t xml:space="preserve">TÜFE </w:t>
      </w:r>
      <w:r>
        <w:rPr>
          <w:rFonts w:asciiTheme="majorHAnsi" w:eastAsia="Palatino Linotype" w:hAnsiTheme="majorHAnsi" w:cstheme="majorHAnsi"/>
          <w:color w:val="000000"/>
        </w:rPr>
        <w:t>ile deflate edilmiş çizgi, bu tarihten sonra ise birbirinden ayrışan iki çizgi göstermekte olup, 2020 öncesi için kurgusal bir ENAG serisi sunulmamaktadır.</w:t>
      </w:r>
    </w:p>
    <w:p w14:paraId="7629A50A" w14:textId="1068E7EC" w:rsidR="0077452E" w:rsidRDefault="0077452E">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 xml:space="preserve">İki deflate edilmiş seri arasındaki karşıtlık her iki ücret ölçütü için de belirgindir, ancak asgari ücrette (Şekil 2) özellikle keskindir. Resmi TÜİK TÜFE’sine göre, reel asgari ve ortalama ücretler 2020’lerin ortasına gelindiğinde 2015 düzeylerini büyük ölçüde geri kazanmakta, tüm dönem boyunca sırasıyla yüzde 66,1 ve yüzde 74,8 artmaktadır. ENAG TÜFE’sine göre ise her iki seri </w:t>
      </w:r>
      <w:r>
        <w:rPr>
          <w:rFonts w:asciiTheme="majorHAnsi" w:eastAsia="Palatino Linotype" w:hAnsiTheme="majorHAnsi" w:cstheme="majorHAnsi"/>
          <w:color w:val="000000"/>
        </w:rPr>
        <w:lastRenderedPageBreak/>
        <w:t>de aynı dönemde yaklaşık yüzde 60 gerilemektedir; bu, kullanılan nominal ücret serisi her iki durumda da aynı olduğundan, tamamen deflatör seçiminden kaynaklanan 130 yüzde puanını aşan bir ayrışmadır.</w:t>
      </w:r>
    </w:p>
    <w:p w14:paraId="09B16EFD" w14:textId="77777777" w:rsidR="000743E9" w:rsidRPr="000839A9" w:rsidRDefault="000743E9" w:rsidP="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Pr>
          <w:rFonts w:asciiTheme="majorHAnsi" w:eastAsia="Palatino Linotype" w:hAnsiTheme="majorHAnsi" w:cstheme="majorHAnsi"/>
          <w:b/>
          <w:bCs/>
          <w:color w:val="000000"/>
        </w:rPr>
        <w:t>Şekil 1. Ortalama ücret, reel ücretler, 2015 sabit fiyatlarıyla TL</w:t>
      </w:r>
    </w:p>
    <w:p w14:paraId="76FB8599" w14:textId="77777777" w:rsidR="000743E9" w:rsidRPr="000839A9" w:rsidRDefault="000743E9" w:rsidP="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Pr>
          <w:rFonts w:asciiTheme="majorHAnsi" w:hAnsiTheme="majorHAnsi" w:cstheme="majorHAnsi"/>
          <w:noProof/>
        </w:rPr>
        <w:drawing>
          <wp:inline distT="0" distB="0" distL="0" distR="0" wp14:anchorId="206C40E0" wp14:editId="247CB62D">
            <wp:extent cx="5913755" cy="2598420"/>
            <wp:effectExtent l="0" t="0" r="0" b="0"/>
            <wp:docPr id="1484028806" name="Chart 1">
              <a:extLst xmlns:a="http://schemas.openxmlformats.org/drawingml/2006/main">
                <a:ext uri="{FF2B5EF4-FFF2-40B4-BE49-F238E27FC236}">
                  <a16:creationId xmlns:a16="http://schemas.microsoft.com/office/drawing/2014/main" id="{68DC8821-D36A-DC52-E411-FE522897C4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41266F" w14:textId="77777777" w:rsidR="000743E9" w:rsidRPr="000839A9" w:rsidRDefault="000743E9" w:rsidP="000839A9">
      <w:pPr>
        <w:widowControl w:val="0"/>
        <w:pBdr>
          <w:top w:val="nil"/>
          <w:left w:val="nil"/>
          <w:bottom w:val="nil"/>
          <w:right w:val="nil"/>
          <w:between w:val="nil"/>
        </w:pBdr>
        <w:spacing w:before="120"/>
        <w:ind w:right="255"/>
        <w:jc w:val="both"/>
        <w:rPr>
          <w:rFonts w:asciiTheme="majorHAnsi" w:eastAsia="Palatino Linotype" w:hAnsiTheme="majorHAnsi" w:cstheme="majorHAnsi"/>
          <w:color w:val="000000"/>
        </w:rPr>
      </w:pPr>
      <w:r>
        <w:rPr>
          <w:rFonts w:asciiTheme="majorHAnsi" w:eastAsia="Palatino Linotype" w:hAnsiTheme="majorHAnsi" w:cstheme="majorHAnsi"/>
          <w:b/>
          <w:bCs/>
          <w:i/>
          <w:iCs/>
          <w:color w:val="000000"/>
          <w:sz w:val="18"/>
          <w:szCs w:val="18"/>
        </w:rPr>
        <w:t xml:space="preserve">Kaynak: </w:t>
      </w:r>
      <w:r>
        <w:rPr>
          <w:rFonts w:asciiTheme="majorHAnsi" w:eastAsia="Palatino Linotype" w:hAnsiTheme="majorHAnsi" w:cstheme="majorHAnsi"/>
          <w:color w:val="000000"/>
          <w:sz w:val="18"/>
          <w:szCs w:val="18"/>
        </w:rPr>
        <w:t xml:space="preserve">TÜİK Hanehalkı İşgücü Anketi mikro verileri (2015-2025), TÜİK Tüketici Fiyat Endeksi, ENAG Enflasyon Araştırma Grubu enflasyon oranları ve yazarın kendi hesaplamaları. </w:t>
      </w:r>
      <w:r>
        <w:rPr>
          <w:rFonts w:asciiTheme="majorHAnsi" w:eastAsia="Palatino Linotype" w:hAnsiTheme="majorHAnsi" w:cstheme="majorHAnsi"/>
          <w:b/>
          <w:bCs/>
          <w:i/>
          <w:iCs/>
          <w:color w:val="000000"/>
          <w:sz w:val="18"/>
          <w:szCs w:val="18"/>
        </w:rPr>
        <w:t xml:space="preserve">Notlar: </w:t>
      </w:r>
      <w:r>
        <w:rPr>
          <w:rFonts w:asciiTheme="majorHAnsi" w:eastAsia="Palatino Linotype" w:hAnsiTheme="majorHAnsi" w:cstheme="majorHAnsi"/>
          <w:color w:val="000000"/>
          <w:sz w:val="18"/>
          <w:szCs w:val="18"/>
        </w:rPr>
        <w:t>Ortalama ücretler HİA mikro verilerinden elde edilmekte ve sırasıyla TÜİK resmi TÜFE’si ile ENAG alternatif TÜFE oranları kullanılarak 2015 sabit fiyatlarıyla TL’ye çevrilmektedir.</w:t>
      </w:r>
    </w:p>
    <w:p w14:paraId="3FF84BCF" w14:textId="542B4878" w:rsidR="00322E2B" w:rsidRDefault="00971708">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 xml:space="preserve">Her iki seri de, Türkiye’nin asgari ücreti enflasyona sürekli endekslemek yerine yılda bir veya iki kez ayarlama pratiğini yansıtan belirgin bir testere dişi örüntüsü sergilemektedir. Bu durum, asgari ücret civarındaki ücretlerin büyük ölçüde </w:t>
      </w:r>
      <w:r w:rsidR="00F65318">
        <w:rPr>
          <w:rFonts w:asciiTheme="majorHAnsi" w:eastAsia="Palatino Linotype" w:hAnsiTheme="majorHAnsi" w:cstheme="majorHAnsi"/>
          <w:color w:val="000000"/>
        </w:rPr>
        <w:t>döngüsellik göstermediğine</w:t>
      </w:r>
      <w:r>
        <w:rPr>
          <w:rFonts w:asciiTheme="majorHAnsi" w:eastAsia="Palatino Linotype" w:hAnsiTheme="majorHAnsi" w:cstheme="majorHAnsi"/>
          <w:color w:val="000000"/>
        </w:rPr>
        <w:t xml:space="preserve">, buna karşılık ortalama ücretler de dâhil olmak üzere ücret dağılımının geri kalanının ekonomik koşullara daha esnek tepki verdiğine ilişkin bulgularla uyumludur (Aldan ve Gürcihan Yüncüler, 2016). ENAG ile deflate edilmiş seriye göre, reel asgari ücretteki yıl içi ortalama düşüş (her ücret ayarlamasının hemen ardından ulaşılan tepe noktasından bir sonraki ayarlamadan hemen önceki dip noktaya kadar ölçülen) 2015 ile 2025 arasında yüzde 22,9 olmuş ve 2022’den 2024’e kadar her yıl yüzde 35’i aşmıştır. Başka bir deyişle, asgari ücretli bir çalışan, ayarlamalar arasında nominal olarak sabit kalan bir ücretin enflasyon karşısında erimesi nedeniyle, bir yıl içinde satın alma gücünün yaklaşık dörtte birini kaybetmiştir. Ortalama ücret için eşdeğer yıl içi düşüş, ortalama ücretlerin, merkezi olarak belirlenen tek bir asgari ücrete kıyasla firmalar ve sektörler arasında daha sık ve daha heterojen biçimde yeniden müzakere edilmesiyle uyumlu olarak, yüzde 16,9 ile daha </w:t>
      </w:r>
      <w:r w:rsidR="007E2752">
        <w:rPr>
          <w:rFonts w:asciiTheme="majorHAnsi" w:eastAsia="Palatino Linotype" w:hAnsiTheme="majorHAnsi" w:cstheme="majorHAnsi"/>
          <w:color w:val="000000"/>
        </w:rPr>
        <w:t>düşük bir seviyede kalmıştır</w:t>
      </w:r>
      <w:r>
        <w:rPr>
          <w:rFonts w:asciiTheme="majorHAnsi" w:eastAsia="Palatino Linotype" w:hAnsiTheme="majorHAnsi" w:cstheme="majorHAnsi"/>
          <w:color w:val="000000"/>
        </w:rPr>
        <w:t xml:space="preserve"> kalmıştır.</w:t>
      </w:r>
    </w:p>
    <w:p w14:paraId="4B72AB7D" w14:textId="772F9AA5" w:rsidR="00A20499" w:rsidRDefault="00A20499">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rPr>
        <w:t xml:space="preserve">Yukarıda sunulan ücret serileri, istihdam istatistikleri için belgelenen aynı temel gerilime işaret </w:t>
      </w:r>
      <w:r>
        <w:rPr>
          <w:rFonts w:asciiTheme="majorHAnsi" w:eastAsia="Palatino Linotype" w:hAnsiTheme="majorHAnsi" w:cstheme="majorHAnsi"/>
        </w:rPr>
        <w:lastRenderedPageBreak/>
        <w:t xml:space="preserve">etmekte, ancak yaşam standartları açısından daha sert sonuçlar doğurmaktadır. Ortalama ve asgari ücretler resmi TÜİK TÜFE’si kullanılarak deflate edildiğinde, her iki seri de 2020’lerin ortasına gelindiğinde 2015 satın alma gücünün büyük kısmını geri kazanmakta, ortalama ücret ise dönemi başlangıç düzeyinin üzerinde tamamlamaktadır. Aynı nominal ücretler bağımsız ENAG fiyat endeksiyle deflate edildiğinde ise her iki seri de 2021’den sonra neredeyse kesintisiz biçimde gerilemekte ve 2025’i önceki reel değerlerinin </w:t>
      </w:r>
      <w:r w:rsidR="007E2752">
        <w:rPr>
          <w:rFonts w:asciiTheme="majorHAnsi" w:eastAsia="Palatino Linotype" w:hAnsiTheme="majorHAnsi" w:cstheme="majorHAnsi"/>
        </w:rPr>
        <w:t>yalnızca bir payı</w:t>
      </w:r>
      <w:r>
        <w:rPr>
          <w:rFonts w:asciiTheme="majorHAnsi" w:eastAsia="Palatino Linotype" w:hAnsiTheme="majorHAnsi" w:cstheme="majorHAnsi"/>
        </w:rPr>
        <w:t xml:space="preserve"> düzeyinde tamamlamaktadır. İki hesaplama yalnızca uygulanan fiyat endeksi bakımından farklılaştığından, aralarındaki fark, tanımı gereği, resmi ve bağımsız enflasyon tahminleri arasındaki </w:t>
      </w:r>
      <w:r w:rsidR="007E2752">
        <w:rPr>
          <w:rFonts w:asciiTheme="majorHAnsi" w:eastAsia="Palatino Linotype" w:hAnsiTheme="majorHAnsi" w:cstheme="majorHAnsi"/>
        </w:rPr>
        <w:t>kümülatif</w:t>
      </w:r>
      <w:r>
        <w:rPr>
          <w:rFonts w:asciiTheme="majorHAnsi" w:eastAsia="Palatino Linotype" w:hAnsiTheme="majorHAnsi" w:cstheme="majorHAnsi"/>
        </w:rPr>
        <w:t xml:space="preserve"> ayrışmanın doğrudan bir ölçüsüdür.</w:t>
      </w:r>
    </w:p>
    <w:p w14:paraId="2705EEF7" w14:textId="77777777" w:rsidR="00322E2B" w:rsidRPr="000839A9" w:rsidRDefault="00000000">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Pr>
          <w:rFonts w:asciiTheme="majorHAnsi" w:eastAsia="Palatino Linotype" w:hAnsiTheme="majorHAnsi" w:cstheme="majorHAnsi"/>
          <w:b/>
          <w:bCs/>
          <w:color w:val="000000"/>
        </w:rPr>
        <w:t>Şekil 2. Asgari ücret, reel ücretler, 2015 sabit fiyatlarıyla TL</w:t>
      </w:r>
    </w:p>
    <w:p w14:paraId="29AD5272" w14:textId="150F065D" w:rsidR="00322E2B" w:rsidRPr="000839A9" w:rsidRDefault="000743E9">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Pr>
          <w:rFonts w:asciiTheme="majorHAnsi" w:hAnsiTheme="majorHAnsi" w:cstheme="majorHAnsi"/>
          <w:noProof/>
        </w:rPr>
        <w:drawing>
          <wp:inline distT="0" distB="0" distL="0" distR="0" wp14:anchorId="7C73E2CB" wp14:editId="2489015F">
            <wp:extent cx="5913755" cy="2554605"/>
            <wp:effectExtent l="0" t="0" r="0" b="0"/>
            <wp:docPr id="1155166197" name="Chart 1">
              <a:extLst xmlns:a="http://schemas.openxmlformats.org/drawingml/2006/main">
                <a:ext uri="{FF2B5EF4-FFF2-40B4-BE49-F238E27FC236}">
                  <a16:creationId xmlns:a16="http://schemas.microsoft.com/office/drawing/2014/main" id="{A3510015-1A02-4179-AD7E-0DD6F9B96C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40BBA6" w14:textId="77777777" w:rsidR="00322E2B" w:rsidRPr="000839A9" w:rsidRDefault="00000000">
      <w:pPr>
        <w:widowControl w:val="0"/>
        <w:pBdr>
          <w:top w:val="nil"/>
          <w:left w:val="nil"/>
          <w:bottom w:val="nil"/>
          <w:right w:val="nil"/>
          <w:between w:val="nil"/>
        </w:pBdr>
        <w:spacing w:before="290"/>
        <w:ind w:right="255"/>
        <w:jc w:val="both"/>
        <w:rPr>
          <w:rFonts w:asciiTheme="majorHAnsi" w:eastAsia="Palatino Linotype" w:hAnsiTheme="majorHAnsi" w:cstheme="majorHAnsi"/>
          <w:color w:val="000000"/>
        </w:rPr>
      </w:pPr>
      <w:r>
        <w:rPr>
          <w:rFonts w:asciiTheme="majorHAnsi" w:eastAsia="Palatino Linotype" w:hAnsiTheme="majorHAnsi" w:cstheme="majorHAnsi"/>
          <w:b/>
          <w:bCs/>
          <w:i/>
          <w:iCs/>
          <w:color w:val="000000"/>
          <w:sz w:val="18"/>
          <w:szCs w:val="18"/>
        </w:rPr>
        <w:t xml:space="preserve">Kaynak: </w:t>
      </w:r>
      <w:r>
        <w:rPr>
          <w:rFonts w:asciiTheme="majorHAnsi" w:eastAsia="Palatino Linotype" w:hAnsiTheme="majorHAnsi" w:cstheme="majorHAnsi"/>
          <w:color w:val="000000"/>
          <w:sz w:val="18"/>
          <w:szCs w:val="18"/>
        </w:rPr>
        <w:t xml:space="preserve">Çalışma ve Sosyal Güvenlik Bakanlığı, TÜİK Tüketici Fiyat Endeksi, ENAG Enflasyon Araştırma Grubu enflasyon oranları ve yazarın kendi hesaplamaları. </w:t>
      </w:r>
      <w:r>
        <w:rPr>
          <w:rFonts w:asciiTheme="majorHAnsi" w:eastAsia="Palatino Linotype" w:hAnsiTheme="majorHAnsi" w:cstheme="majorHAnsi"/>
          <w:b/>
          <w:bCs/>
          <w:i/>
          <w:iCs/>
          <w:color w:val="000000"/>
          <w:sz w:val="18"/>
          <w:szCs w:val="18"/>
        </w:rPr>
        <w:t xml:space="preserve">Notlar: </w:t>
      </w:r>
      <w:r>
        <w:rPr>
          <w:rFonts w:asciiTheme="majorHAnsi" w:eastAsia="Palatino Linotype" w:hAnsiTheme="majorHAnsi" w:cstheme="majorHAnsi"/>
          <w:color w:val="000000"/>
          <w:sz w:val="18"/>
          <w:szCs w:val="18"/>
        </w:rPr>
        <w:t>Asgari ücretler Çalışma ve Sosyal Güvenlik Bakanlığı’ndan elde edilmekte ve sırasıyla TÜİK resmi TÜFE’si ile ENAG alternatif TÜFE oranları kullanılarak 2015 sabit fiyatlarıyla TL’ye çevrilmektedir.</w:t>
      </w:r>
    </w:p>
    <w:p w14:paraId="436BC026" w14:textId="77777777" w:rsidR="00322E2B" w:rsidRPr="000839A9" w:rsidRDefault="00322E2B">
      <w:pPr>
        <w:spacing w:before="120" w:after="120" w:line="360" w:lineRule="auto"/>
        <w:jc w:val="both"/>
        <w:rPr>
          <w:rFonts w:asciiTheme="majorHAnsi" w:eastAsia="Palatino Linotype" w:hAnsiTheme="majorHAnsi" w:cstheme="majorHAnsi"/>
          <w:sz w:val="16"/>
          <w:szCs w:val="16"/>
        </w:rPr>
      </w:pPr>
    </w:p>
    <w:p w14:paraId="24E22FAB" w14:textId="0AF4B14A" w:rsidR="00322E2B" w:rsidRDefault="00322E2B">
      <w:pPr>
        <w:spacing w:line="360" w:lineRule="auto"/>
        <w:jc w:val="both"/>
        <w:rPr>
          <w:rFonts w:asciiTheme="majorHAnsi" w:eastAsia="Palatino Linotype" w:hAnsiTheme="majorHAnsi" w:cstheme="majorHAnsi"/>
        </w:rPr>
      </w:pPr>
    </w:p>
    <w:p w14:paraId="7A8B1675" w14:textId="069A4A33" w:rsidR="00F96A94" w:rsidRPr="000839A9" w:rsidRDefault="00F96A94">
      <w:pPr>
        <w:spacing w:line="360" w:lineRule="auto"/>
        <w:jc w:val="both"/>
        <w:rPr>
          <w:rFonts w:asciiTheme="majorHAnsi" w:eastAsia="Palatino Linotype" w:hAnsiTheme="majorHAnsi" w:cstheme="majorHAnsi"/>
        </w:rPr>
      </w:pPr>
      <w:r>
        <w:rPr>
          <w:rFonts w:asciiTheme="majorHAnsi" w:eastAsia="Palatino Linotype" w:hAnsiTheme="majorHAnsi" w:cstheme="majorHAnsi"/>
        </w:rPr>
        <w:t xml:space="preserve">İki Türk fiyat endeksinden herhangi birine bağlı olmayan bir sağlamlık kontrolü olarak, ücretler ayrıca dönemin cari döviz kuruyla avroya çevrilmiş ve Euro Bölgesi TÜFE’si kullanılarak deflate edilmiştir. Bu seri, hangi yerli endeksin doğru olduğu tartışmasından kaçınmakta, ancak bunun bedelini döviz kuru oynaklığını hesaba katarak ödemektedir. Seri, yönü itibarıyla ENAG ile deflate edilmiş seriyle büyük ölçüde uyumlu bir seyir izlemekte, Aralık 2021’deki döviz kuru krizi civarında belirgin bir çukur oluşmakta, ancak sonrasında güçlü bir toparlanma yaşanmakta ve örneklem sonunda hem asgari hem de ortalama ücret, reel avro cinsinden, 2015 başlangıç </w:t>
      </w:r>
      <w:r>
        <w:rPr>
          <w:rFonts w:asciiTheme="majorHAnsi" w:eastAsia="Palatino Linotype" w:hAnsiTheme="majorHAnsi" w:cstheme="majorHAnsi"/>
        </w:rPr>
        <w:lastRenderedPageBreak/>
        <w:t xml:space="preserve">düzeyinin hafifçe üzerinde kalmaktadır. Bu durum, TÜİK ile ENAG tabanlı seriler arasındaki görünür ayrışmanın bir kısmının yalnızca yurt içi enflasyondan değil, gerçek bir döviz kuru değer kaybından da kaynaklandığını; olsa olsa, ENAG ile deflate edilmiş serinin </w:t>
      </w:r>
      <w:r w:rsidR="000B0422">
        <w:rPr>
          <w:rFonts w:asciiTheme="majorHAnsi" w:eastAsia="Palatino Linotype" w:hAnsiTheme="majorHAnsi" w:cstheme="majorHAnsi"/>
        </w:rPr>
        <w:t>(</w:t>
      </w:r>
      <w:r>
        <w:rPr>
          <w:rFonts w:asciiTheme="majorHAnsi" w:eastAsia="Palatino Linotype" w:hAnsiTheme="majorHAnsi" w:cstheme="majorHAnsi"/>
        </w:rPr>
        <w:t xml:space="preserve">uluslararası </w:t>
      </w:r>
      <w:r w:rsidR="000B0422">
        <w:rPr>
          <w:rFonts w:asciiTheme="majorHAnsi" w:eastAsia="Palatino Linotype" w:hAnsiTheme="majorHAnsi" w:cstheme="majorHAnsi"/>
        </w:rPr>
        <w:t xml:space="preserve"> olarak </w:t>
      </w:r>
      <w:r>
        <w:rPr>
          <w:rFonts w:asciiTheme="majorHAnsi" w:eastAsia="Palatino Linotype" w:hAnsiTheme="majorHAnsi" w:cstheme="majorHAnsi"/>
        </w:rPr>
        <w:t>karşılaştırılabilir terimlerle</w:t>
      </w:r>
      <w:r w:rsidR="000B0422">
        <w:rPr>
          <w:rFonts w:asciiTheme="majorHAnsi" w:eastAsia="Palatino Linotype" w:hAnsiTheme="majorHAnsi" w:cstheme="majorHAnsi"/>
        </w:rPr>
        <w:t>)</w:t>
      </w:r>
      <w:r>
        <w:rPr>
          <w:rFonts w:asciiTheme="majorHAnsi" w:eastAsia="Palatino Linotype" w:hAnsiTheme="majorHAnsi" w:cstheme="majorHAnsi"/>
        </w:rPr>
        <w:t xml:space="preserve"> </w:t>
      </w:r>
      <w:r w:rsidR="000B0422">
        <w:rPr>
          <w:rFonts w:asciiTheme="majorHAnsi" w:eastAsia="Palatino Linotype" w:hAnsiTheme="majorHAnsi" w:cstheme="majorHAnsi"/>
        </w:rPr>
        <w:t>kaybın derinliğinin</w:t>
      </w:r>
      <w:r>
        <w:rPr>
          <w:rFonts w:asciiTheme="majorHAnsi" w:eastAsia="Palatino Linotype" w:hAnsiTheme="majorHAnsi" w:cstheme="majorHAnsi"/>
        </w:rPr>
        <w:t xml:space="preserve"> olduğundan fazla, TÜİK ile deflate edilmiş serinin ise olduğundan az gösteriyor olabileceğini düşündürmektedir.</w:t>
      </w:r>
    </w:p>
    <w:p w14:paraId="017C141C" w14:textId="77777777" w:rsidR="00E1226E" w:rsidRPr="000839A9" w:rsidRDefault="00E1226E" w:rsidP="00E1226E">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b/>
          <w:bCs/>
          <w:color w:val="000000"/>
        </w:rPr>
      </w:pPr>
      <w:r>
        <w:rPr>
          <w:rFonts w:asciiTheme="majorHAnsi" w:eastAsia="Palatino Linotype" w:hAnsiTheme="majorHAnsi" w:cstheme="majorHAnsi"/>
          <w:b/>
          <w:bCs/>
          <w:color w:val="000000"/>
        </w:rPr>
        <w:t>Şekil 3. Ortalama ve asgari ücret, reel ücretler, 2015 sabit fiyatlarıyla Avro</w:t>
      </w:r>
    </w:p>
    <w:p w14:paraId="101C2E4C" w14:textId="1FBF267B" w:rsidR="00E1226E" w:rsidRPr="000839A9" w:rsidRDefault="00E1226E" w:rsidP="00E1226E">
      <w:pPr>
        <w:widowControl w:val="0"/>
        <w:pBdr>
          <w:top w:val="nil"/>
          <w:left w:val="nil"/>
          <w:bottom w:val="nil"/>
          <w:right w:val="nil"/>
          <w:between w:val="nil"/>
        </w:pBdr>
        <w:spacing w:before="290" w:line="352" w:lineRule="auto"/>
        <w:ind w:right="257"/>
        <w:jc w:val="both"/>
        <w:rPr>
          <w:rFonts w:asciiTheme="majorHAnsi" w:eastAsia="Palatino Linotype" w:hAnsiTheme="majorHAnsi" w:cstheme="majorHAnsi"/>
          <w:color w:val="000000"/>
        </w:rPr>
      </w:pPr>
      <w:r>
        <w:rPr>
          <w:rFonts w:asciiTheme="majorHAnsi" w:hAnsiTheme="majorHAnsi" w:cstheme="majorHAnsi"/>
          <w:noProof/>
        </w:rPr>
        <w:drawing>
          <wp:inline distT="0" distB="0" distL="0" distR="0" wp14:anchorId="0333F389" wp14:editId="5B2147B6">
            <wp:extent cx="5913755" cy="2574925"/>
            <wp:effectExtent l="0" t="0" r="0" b="0"/>
            <wp:docPr id="1072808313" name="Chart 1">
              <a:extLst xmlns:a="http://schemas.openxmlformats.org/drawingml/2006/main">
                <a:ext uri="{FF2B5EF4-FFF2-40B4-BE49-F238E27FC236}">
                  <a16:creationId xmlns:a16="http://schemas.microsoft.com/office/drawing/2014/main" id="{C98C8A17-F44D-F07A-3122-729FAB1E3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8766B5" w14:textId="2428CEF6" w:rsidR="00E1226E" w:rsidRPr="000839A9" w:rsidRDefault="00E1226E" w:rsidP="00E1226E">
      <w:pPr>
        <w:spacing w:line="360" w:lineRule="auto"/>
        <w:jc w:val="both"/>
        <w:rPr>
          <w:rFonts w:asciiTheme="majorHAnsi" w:eastAsia="Palatino Linotype" w:hAnsiTheme="majorHAnsi" w:cstheme="majorHAnsi"/>
        </w:rPr>
      </w:pPr>
      <w:r>
        <w:rPr>
          <w:rFonts w:asciiTheme="majorHAnsi" w:eastAsia="Palatino Linotype" w:hAnsiTheme="majorHAnsi" w:cstheme="majorHAnsi"/>
          <w:b/>
          <w:bCs/>
          <w:i/>
          <w:iCs/>
          <w:sz w:val="18"/>
          <w:szCs w:val="18"/>
        </w:rPr>
        <w:t xml:space="preserve">Kaynak: </w:t>
      </w:r>
      <w:r>
        <w:rPr>
          <w:rFonts w:asciiTheme="majorHAnsi" w:eastAsia="Palatino Linotype" w:hAnsiTheme="majorHAnsi" w:cstheme="majorHAnsi"/>
          <w:sz w:val="18"/>
          <w:szCs w:val="18"/>
        </w:rPr>
        <w:t xml:space="preserve">Avrupa Merkez Bankası, Çalışma ve Sosyal Güvenlik Bakanlığı, TÜİK Hanehalkı İşgücü Anketi mikro verileri (2015-2025) ve yazarın kendi hesaplamaları. </w:t>
      </w:r>
      <w:r>
        <w:rPr>
          <w:rFonts w:asciiTheme="majorHAnsi" w:eastAsia="Palatino Linotype" w:hAnsiTheme="majorHAnsi" w:cstheme="majorHAnsi"/>
          <w:b/>
          <w:bCs/>
          <w:i/>
          <w:iCs/>
          <w:sz w:val="18"/>
          <w:szCs w:val="18"/>
        </w:rPr>
        <w:t xml:space="preserve">Notlar: </w:t>
      </w:r>
      <w:r>
        <w:rPr>
          <w:rFonts w:asciiTheme="majorHAnsi" w:eastAsia="Palatino Linotype" w:hAnsiTheme="majorHAnsi" w:cstheme="majorHAnsi"/>
          <w:sz w:val="18"/>
          <w:szCs w:val="18"/>
        </w:rPr>
        <w:t>Ortalama ücretler HİA mikro verilerinden, asgari ücretler ise Çalışma ve Sosyal Güvenlik Bakanlığı’ndan elde edilmekte; her ikisi de dönemin cari döviz kuru uygulandıktan sonra 2015 sabit fiyatlarıyla avroya çevrilmekte ve ardından Euro Bölgesi Tüketici Fiyat Endeksi kullanılarak deflate edilmektedir.</w:t>
      </w:r>
    </w:p>
    <w:p w14:paraId="144B8326" w14:textId="70272944" w:rsidR="00322E2B" w:rsidRPr="000839A9" w:rsidRDefault="00322E2B">
      <w:pPr>
        <w:spacing w:line="360" w:lineRule="auto"/>
        <w:jc w:val="both"/>
        <w:rPr>
          <w:rFonts w:asciiTheme="majorHAnsi" w:eastAsia="Palatino Linotype" w:hAnsiTheme="majorHAnsi" w:cstheme="majorHAnsi"/>
        </w:rPr>
      </w:pPr>
    </w:p>
    <w:p w14:paraId="2FF2FBFB" w14:textId="0C324A7C" w:rsidR="00322E2B" w:rsidRPr="000839A9" w:rsidRDefault="00000000">
      <w:pPr>
        <w:spacing w:line="360" w:lineRule="auto"/>
        <w:jc w:val="both"/>
        <w:rPr>
          <w:rFonts w:asciiTheme="majorHAnsi" w:eastAsia="Palatino Linotype" w:hAnsiTheme="majorHAnsi" w:cstheme="majorHAnsi"/>
        </w:rPr>
      </w:pPr>
      <w:r>
        <w:rPr>
          <w:rFonts w:asciiTheme="majorHAnsi" w:eastAsia="Palatino Linotype" w:hAnsiTheme="majorHAnsi" w:cstheme="majorHAnsi"/>
        </w:rPr>
        <w:t xml:space="preserve">Bir arada </w:t>
      </w:r>
      <w:r w:rsidR="000B0422">
        <w:rPr>
          <w:rFonts w:asciiTheme="majorHAnsi" w:eastAsia="Palatino Linotype" w:hAnsiTheme="majorHAnsi" w:cstheme="majorHAnsi"/>
        </w:rPr>
        <w:t>ele alındığında</w:t>
      </w:r>
      <w:r>
        <w:rPr>
          <w:rFonts w:asciiTheme="majorHAnsi" w:eastAsia="Palatino Linotype" w:hAnsiTheme="majorHAnsi" w:cstheme="majorHAnsi"/>
        </w:rPr>
        <w:t>, bu üç seri, deflatör seçiminin teknik bir ayrıntı değil</w:t>
      </w:r>
      <w:r w:rsidR="000B0422">
        <w:rPr>
          <w:rFonts w:asciiTheme="majorHAnsi" w:eastAsia="Palatino Linotype" w:hAnsiTheme="majorHAnsi" w:cstheme="majorHAnsi"/>
        </w:rPr>
        <w:t>;</w:t>
      </w:r>
      <w:r>
        <w:rPr>
          <w:rFonts w:asciiTheme="majorHAnsi" w:eastAsia="Palatino Linotype" w:hAnsiTheme="majorHAnsi" w:cstheme="majorHAnsi"/>
        </w:rPr>
        <w:t xml:space="preserve"> </w:t>
      </w:r>
      <w:r w:rsidR="000B0422">
        <w:rPr>
          <w:rFonts w:asciiTheme="majorHAnsi" w:eastAsia="Palatino Linotype" w:hAnsiTheme="majorHAnsi" w:cstheme="majorHAnsi"/>
        </w:rPr>
        <w:t>refah açısından doğrudan</w:t>
      </w:r>
      <w:r>
        <w:rPr>
          <w:rFonts w:asciiTheme="majorHAnsi" w:eastAsia="Palatino Linotype" w:hAnsiTheme="majorHAnsi" w:cstheme="majorHAnsi"/>
        </w:rPr>
        <w:t xml:space="preserve"> sonuçlar</w:t>
      </w:r>
      <w:r w:rsidR="000B0422">
        <w:rPr>
          <w:rFonts w:asciiTheme="majorHAnsi" w:eastAsia="Palatino Linotype" w:hAnsiTheme="majorHAnsi" w:cstheme="majorHAnsi"/>
        </w:rPr>
        <w:t xml:space="preserve"> doğuran,</w:t>
      </w:r>
      <w:r>
        <w:rPr>
          <w:rFonts w:asciiTheme="majorHAnsi" w:eastAsia="Palatino Linotype" w:hAnsiTheme="majorHAnsi" w:cstheme="majorHAnsi"/>
        </w:rPr>
        <w:t xml:space="preserve"> içerik bakımından </w:t>
      </w:r>
      <w:r w:rsidR="000B0422">
        <w:rPr>
          <w:rFonts w:asciiTheme="majorHAnsi" w:eastAsia="Palatino Linotype" w:hAnsiTheme="majorHAnsi" w:cstheme="majorHAnsi"/>
        </w:rPr>
        <w:t>anlamlı</w:t>
      </w:r>
      <w:r>
        <w:rPr>
          <w:rFonts w:asciiTheme="majorHAnsi" w:eastAsia="Palatino Linotype" w:hAnsiTheme="majorHAnsi" w:cstheme="majorHAnsi"/>
        </w:rPr>
        <w:t xml:space="preserve"> bir ampirik soru olduğunu göstermektedir. Türk</w:t>
      </w:r>
      <w:r w:rsidR="000B0422">
        <w:rPr>
          <w:rFonts w:asciiTheme="majorHAnsi" w:eastAsia="Palatino Linotype" w:hAnsiTheme="majorHAnsi" w:cstheme="majorHAnsi"/>
        </w:rPr>
        <w:t>iye</w:t>
      </w:r>
      <w:r>
        <w:rPr>
          <w:rFonts w:asciiTheme="majorHAnsi" w:eastAsia="Palatino Linotype" w:hAnsiTheme="majorHAnsi" w:cstheme="majorHAnsi"/>
        </w:rPr>
        <w:t xml:space="preserve"> işçilerinin satın alma gücünde geniş kapsamlı bir toparlanma mı, yoksa uzun süreli ve şiddetli bir erime mi yaşa</w:t>
      </w:r>
      <w:r w:rsidR="000B0422">
        <w:rPr>
          <w:rFonts w:asciiTheme="majorHAnsi" w:eastAsia="Palatino Linotype" w:hAnsiTheme="majorHAnsi" w:cstheme="majorHAnsi"/>
        </w:rPr>
        <w:t>n</w:t>
      </w:r>
      <w:r>
        <w:rPr>
          <w:rFonts w:asciiTheme="majorHAnsi" w:eastAsia="Palatino Linotype" w:hAnsiTheme="majorHAnsi" w:cstheme="majorHAnsi"/>
        </w:rPr>
        <w:t>dığı, büyük ölçüde hangi enflasyon ölçütünün kullanıldığına bağlıdır; bu durum, bu araştırma notunun başka yerlerinde 2018 sonrası döneme ilişkin resmi istatistiklerin yorumlanmasına dair dile getirilen aynı ihtiyatlı yaklaşımı bir kez daha vurgulamaktadır.</w:t>
      </w:r>
    </w:p>
    <w:p w14:paraId="07D3FE1F" w14:textId="0DCC048C" w:rsidR="00322E2B" w:rsidRPr="000839A9" w:rsidRDefault="00000000">
      <w:pPr>
        <w:pStyle w:val="Heading2"/>
        <w:numPr>
          <w:ilvl w:val="0"/>
          <w:numId w:val="1"/>
        </w:numPr>
        <w:spacing w:after="120"/>
        <w:rPr>
          <w:rFonts w:asciiTheme="majorHAnsi" w:eastAsia="Palatino Linotype" w:hAnsiTheme="majorHAnsi" w:cstheme="majorHAnsi"/>
        </w:rPr>
      </w:pPr>
      <w:r>
        <w:rPr>
          <w:rFonts w:asciiTheme="majorHAnsi" w:eastAsia="Palatino Linotype" w:hAnsiTheme="majorHAnsi" w:cstheme="majorHAnsi"/>
        </w:rPr>
        <w:t xml:space="preserve">Çalışanların üstlendiği maliyetin hesaplanması </w:t>
      </w:r>
    </w:p>
    <w:p w14:paraId="6AC8A062" w14:textId="5B90EC48" w:rsidR="00322E2B" w:rsidRPr="000839A9"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Geçtiğimiz on yılın Türk</w:t>
      </w:r>
      <w:r w:rsidR="00067FF7">
        <w:rPr>
          <w:rFonts w:asciiTheme="majorHAnsi" w:eastAsia="Palatino Linotype" w:hAnsiTheme="majorHAnsi" w:cstheme="majorHAnsi"/>
          <w:color w:val="000000"/>
        </w:rPr>
        <w:t>iye</w:t>
      </w:r>
      <w:r>
        <w:rPr>
          <w:rFonts w:asciiTheme="majorHAnsi" w:eastAsia="Palatino Linotype" w:hAnsiTheme="majorHAnsi" w:cstheme="majorHAnsi"/>
          <w:color w:val="000000"/>
        </w:rPr>
        <w:t xml:space="preserve"> işçileri için </w:t>
      </w:r>
      <w:r w:rsidR="00067FF7">
        <w:rPr>
          <w:rFonts w:asciiTheme="majorHAnsi" w:eastAsia="Palatino Linotype" w:hAnsiTheme="majorHAnsi" w:cstheme="majorHAnsi"/>
          <w:color w:val="000000"/>
        </w:rPr>
        <w:t>kümülatif</w:t>
      </w:r>
      <w:r>
        <w:rPr>
          <w:rFonts w:asciiTheme="majorHAnsi" w:eastAsia="Palatino Linotype" w:hAnsiTheme="majorHAnsi" w:cstheme="majorHAnsi"/>
          <w:color w:val="000000"/>
        </w:rPr>
        <w:t xml:space="preserve"> maliyetini ölçmek amacıyla bu bölüm, hem ortalama hem de asgari ücretli çalışan</w:t>
      </w:r>
      <w:r w:rsidR="00067FF7">
        <w:rPr>
          <w:rFonts w:asciiTheme="majorHAnsi" w:eastAsia="Palatino Linotype" w:hAnsiTheme="majorHAnsi" w:cstheme="majorHAnsi"/>
          <w:color w:val="000000"/>
        </w:rPr>
        <w:t>lar</w:t>
      </w:r>
      <w:r>
        <w:rPr>
          <w:rFonts w:asciiTheme="majorHAnsi" w:eastAsia="Palatino Linotype" w:hAnsiTheme="majorHAnsi" w:cstheme="majorHAnsi"/>
          <w:color w:val="000000"/>
        </w:rPr>
        <w:t xml:space="preserve"> için, gözlemlenen reel avro cinsinden ücret ile üç </w:t>
      </w:r>
      <w:r>
        <w:rPr>
          <w:rFonts w:asciiTheme="majorHAnsi" w:eastAsia="Palatino Linotype" w:hAnsiTheme="majorHAnsi" w:cstheme="majorHAnsi"/>
          <w:color w:val="000000"/>
        </w:rPr>
        <w:lastRenderedPageBreak/>
        <w:t>alternatif büyüme varsayımı altındaki karşı</w:t>
      </w:r>
      <w:r w:rsidR="00067FF7">
        <w:rPr>
          <w:rFonts w:asciiTheme="majorHAnsi" w:eastAsia="Palatino Linotype" w:hAnsiTheme="majorHAnsi" w:cstheme="majorHAnsi"/>
          <w:color w:val="000000"/>
        </w:rPr>
        <w:t xml:space="preserve">t </w:t>
      </w:r>
      <w:r>
        <w:rPr>
          <w:rFonts w:asciiTheme="majorHAnsi" w:eastAsia="Palatino Linotype" w:hAnsiTheme="majorHAnsi" w:cstheme="majorHAnsi"/>
          <w:color w:val="000000"/>
        </w:rPr>
        <w:t>eğilim arasındaki farkı hesaplamaktadır. Hesaplamayı yurt içi enflasyon tartışmasından ve her iki endeksin taşıyabileceği herhangi bir yöndeki önyargıdan yalıtmak amacıyla, TÜİK veya ENAG ile deflate edilmiş lira serileri yerine, baştan sona avro cinsinden ücret serisi kullanılmaktadır.</w:t>
      </w:r>
    </w:p>
    <w:p w14:paraId="2DBDC77D" w14:textId="39D6A021" w:rsidR="00322E2B" w:rsidRPr="000839A9" w:rsidRDefault="00000000">
      <w:pPr>
        <w:spacing w:before="120" w:after="120" w:line="360" w:lineRule="auto"/>
        <w:jc w:val="both"/>
        <w:rPr>
          <w:rFonts w:asciiTheme="majorHAnsi" w:eastAsia="Palatino Linotype" w:hAnsiTheme="majorHAnsi" w:cstheme="majorHAnsi"/>
        </w:rPr>
      </w:pPr>
      <w:r>
        <w:rPr>
          <w:rFonts w:asciiTheme="majorHAnsi" w:eastAsia="Palatino Linotype" w:hAnsiTheme="majorHAnsi" w:cstheme="majorHAnsi"/>
        </w:rPr>
        <w:t xml:space="preserve">2023’ten itibaren ekonomi politikası, Hazine ve Maliye Bakanı Mehmet Şimşek döneminde </w:t>
      </w:r>
      <w:r w:rsidR="00B2142B">
        <w:rPr>
          <w:rFonts w:asciiTheme="majorHAnsi" w:eastAsia="Palatino Linotype" w:hAnsiTheme="majorHAnsi" w:cstheme="majorHAnsi"/>
        </w:rPr>
        <w:t>net</w:t>
      </w:r>
      <w:r>
        <w:rPr>
          <w:rFonts w:asciiTheme="majorHAnsi" w:eastAsia="Palatino Linotype" w:hAnsiTheme="majorHAnsi" w:cstheme="majorHAnsi"/>
        </w:rPr>
        <w:t xml:space="preserve"> biçimde parasal ortodoksiye yönelmiştir. Bu değişim, ücret belirleme davranışında belirgin bir dönüşümle</w:t>
      </w:r>
      <w:r w:rsidR="004706F0">
        <w:rPr>
          <w:rFonts w:asciiTheme="majorHAnsi" w:eastAsia="Palatino Linotype" w:hAnsiTheme="majorHAnsi" w:cstheme="majorHAnsi"/>
        </w:rPr>
        <w:t xml:space="preserve"> örtüşmektedir</w:t>
      </w:r>
      <w:r>
        <w:rPr>
          <w:rFonts w:asciiTheme="majorHAnsi" w:eastAsia="Palatino Linotype" w:hAnsiTheme="majorHAnsi" w:cstheme="majorHAnsi"/>
        </w:rPr>
        <w:t xml:space="preserve">: 2021-2023 döneminin acil durum tarzı asgari ücret artışlarını sürdürmek yerine (ki bu artışlar grafikte asgari/ortalama ücret oranını 0,85 gibi yüksek bir düzeye taşıyan keskin Ocak sıçramaları olarak görülmektedir) politika yapıcılar asgari ücretin daha ölçülü ve sürdürülebilir bir hızda artmasına izin vermiştir. Kur çöküşünü telafi etme zorunluluğundan kurtulan ortalama ücretler, reel avro cinsinden güçlü biçimde değer kazanırken, asgari ücret daha mütevazı biçimde artmıştır. Net etki, asgari/ortalama ücret oranının 2015 düzeyine yakın bir seviyeye dönmesi olmuştur (2025’te 0,577’ye karşı 2015’te 0,578); bu, asgari ücretin reel değerinin çökmesiyle değil, ortodoks politika rejimi yerleştikten sonra ortalama ücretin </w:t>
      </w:r>
      <w:r w:rsidR="00B357CD">
        <w:rPr>
          <w:rFonts w:asciiTheme="majorHAnsi" w:eastAsia="Palatino Linotype" w:hAnsiTheme="majorHAnsi" w:cstheme="majorHAnsi"/>
        </w:rPr>
        <w:t>asgari ücreti</w:t>
      </w:r>
      <w:r>
        <w:rPr>
          <w:rFonts w:asciiTheme="majorHAnsi" w:eastAsia="Palatino Linotype" w:hAnsiTheme="majorHAnsi" w:cstheme="majorHAnsi"/>
        </w:rPr>
        <w:t xml:space="preserve"> geride bırakmasıyla gerçekleşmiştir.</w:t>
      </w:r>
    </w:p>
    <w:p w14:paraId="06D6D0D8" w14:textId="77777777" w:rsidR="00322E2B" w:rsidRPr="000839A9" w:rsidRDefault="00000000">
      <w:pPr>
        <w:spacing w:before="120" w:after="120" w:line="360" w:lineRule="auto"/>
        <w:jc w:val="both"/>
        <w:rPr>
          <w:rFonts w:asciiTheme="majorHAnsi" w:eastAsia="Palatino Linotype" w:hAnsiTheme="majorHAnsi" w:cstheme="majorHAnsi"/>
          <w:b/>
          <w:bCs/>
          <w:sz w:val="18"/>
          <w:szCs w:val="18"/>
        </w:rPr>
      </w:pPr>
      <w:r>
        <w:rPr>
          <w:rFonts w:asciiTheme="majorHAnsi" w:eastAsia="Palatino Linotype" w:hAnsiTheme="majorHAnsi" w:cstheme="majorHAnsi"/>
          <w:b/>
          <w:bCs/>
        </w:rPr>
        <w:t>Şekil 4. Türkiye’de asgari ücretin ortalama ücrete oranı</w:t>
      </w:r>
    </w:p>
    <w:p w14:paraId="7A16A16B" w14:textId="500484D4" w:rsidR="00322E2B" w:rsidRPr="000839A9" w:rsidRDefault="00BC74BA">
      <w:pPr>
        <w:spacing w:before="120" w:after="120" w:line="360" w:lineRule="auto"/>
        <w:jc w:val="both"/>
        <w:rPr>
          <w:rFonts w:asciiTheme="majorHAnsi" w:eastAsia="Palatino Linotype" w:hAnsiTheme="majorHAnsi" w:cstheme="majorHAnsi"/>
          <w:sz w:val="18"/>
          <w:szCs w:val="18"/>
        </w:rPr>
      </w:pPr>
      <w:r>
        <w:rPr>
          <w:rFonts w:asciiTheme="majorHAnsi" w:hAnsiTheme="majorHAnsi" w:cstheme="majorHAnsi"/>
          <w:noProof/>
        </w:rPr>
        <w:drawing>
          <wp:inline distT="0" distB="0" distL="0" distR="0" wp14:anchorId="5868AAC1" wp14:editId="66D7276E">
            <wp:extent cx="5410200" cy="2743200"/>
            <wp:effectExtent l="0" t="0" r="0" b="0"/>
            <wp:docPr id="1666101337" name="Chart 1">
              <a:extLst xmlns:a="http://schemas.openxmlformats.org/drawingml/2006/main">
                <a:ext uri="{FF2B5EF4-FFF2-40B4-BE49-F238E27FC236}">
                  <a16:creationId xmlns:a16="http://schemas.microsoft.com/office/drawing/2014/main" id="{15F73771-1EC2-DAE1-E84C-EF3E03D2FD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3B737E" w14:textId="77777777" w:rsidR="00322E2B" w:rsidRDefault="00000000">
      <w:pPr>
        <w:spacing w:before="120" w:after="120" w:line="360" w:lineRule="auto"/>
        <w:jc w:val="both"/>
        <w:rPr>
          <w:rFonts w:ascii="Palatino Linotype" w:eastAsia="Palatino Linotype" w:hAnsi="Palatino Linotype" w:cs="Palatino Linotype"/>
          <w:sz w:val="18"/>
          <w:szCs w:val="18"/>
        </w:rPr>
      </w:pPr>
      <w:r>
        <w:rPr>
          <w:rFonts w:asciiTheme="majorHAnsi" w:eastAsia="Palatino Linotype" w:hAnsiTheme="majorHAnsi" w:cstheme="majorHAnsi"/>
          <w:b/>
          <w:bCs/>
          <w:i/>
          <w:iCs/>
          <w:sz w:val="18"/>
          <w:szCs w:val="18"/>
        </w:rPr>
        <w:t xml:space="preserve">Kaynak: </w:t>
      </w:r>
      <w:r>
        <w:rPr>
          <w:rFonts w:asciiTheme="majorHAnsi" w:eastAsia="Palatino Linotype" w:hAnsiTheme="majorHAnsi" w:cstheme="majorHAnsi"/>
          <w:sz w:val="18"/>
          <w:szCs w:val="18"/>
        </w:rPr>
        <w:t>TÜİK Hanehalkı İşgücü Anketi mikro verileri ve Çalışma ve Sosyal Güvenlik Bakanlığı.</w:t>
      </w:r>
    </w:p>
    <w:p w14:paraId="609E5776" w14:textId="1526FADA" w:rsidR="004C7DB2" w:rsidRPr="000839A9" w:rsidRDefault="004C7DB2" w:rsidP="004C7DB2">
      <w:pPr>
        <w:spacing w:before="120" w:after="120" w:line="360" w:lineRule="auto"/>
        <w:jc w:val="both"/>
        <w:rPr>
          <w:rFonts w:asciiTheme="majorHAnsi" w:eastAsia="Palatino Linotype" w:hAnsiTheme="majorHAnsi" w:cstheme="majorHAnsi"/>
          <w:sz w:val="18"/>
          <w:szCs w:val="18"/>
        </w:rPr>
      </w:pPr>
      <w:r>
        <w:rPr>
          <w:rFonts w:asciiTheme="majorHAnsi" w:eastAsia="Palatino Linotype" w:hAnsiTheme="majorHAnsi" w:cstheme="majorHAnsi"/>
          <w:color w:val="000000"/>
        </w:rPr>
        <w:t xml:space="preserve">Asgari ücretli çalışanların uğradığı orantısal zarar, mutlak değer olarak hâlâ ciddi olmakla birlikte, cari gelire oranlandığında ortalama ücretli çalışanlarınkinden daha küçüktür: düz senaryodaki kayıp, 2025 asgari ücretinin yaklaşık 2,4 aylığına karşılık gelirken, 2025 ortalama ücretinde bu </w:t>
      </w:r>
      <w:r w:rsidR="007A341F">
        <w:rPr>
          <w:rFonts w:asciiTheme="majorHAnsi" w:eastAsia="Palatino Linotype" w:hAnsiTheme="majorHAnsi" w:cstheme="majorHAnsi"/>
          <w:color w:val="000000"/>
        </w:rPr>
        <w:t>sayı</w:t>
      </w:r>
      <w:r>
        <w:rPr>
          <w:rFonts w:asciiTheme="majorHAnsi" w:eastAsia="Palatino Linotype" w:hAnsiTheme="majorHAnsi" w:cstheme="majorHAnsi"/>
          <w:color w:val="000000"/>
        </w:rPr>
        <w:t xml:space="preserve"> 12,5 aydır; G20 gelişmekte olan emsal senaryosunda ise bu değerler sırasıyla 29 ve 39 aya </w:t>
      </w:r>
      <w:r>
        <w:rPr>
          <w:rFonts w:asciiTheme="majorHAnsi" w:eastAsia="Palatino Linotype" w:hAnsiTheme="majorHAnsi" w:cstheme="majorHAnsi"/>
          <w:color w:val="000000"/>
        </w:rPr>
        <w:lastRenderedPageBreak/>
        <w:t xml:space="preserve">yükselmektedir. Bu durum, Şekil 4’te belgelenen politika örüntüsüyle uyumludur: art arda gelen hükümetler, akut döviz kuru gerginliği anlarında büyük ve </w:t>
      </w:r>
      <w:r w:rsidR="007A341F">
        <w:rPr>
          <w:rFonts w:asciiTheme="majorHAnsi" w:eastAsia="Palatino Linotype" w:hAnsiTheme="majorHAnsi" w:cstheme="majorHAnsi"/>
          <w:color w:val="000000"/>
        </w:rPr>
        <w:t>tekil</w:t>
      </w:r>
      <w:r>
        <w:rPr>
          <w:rFonts w:asciiTheme="majorHAnsi" w:eastAsia="Palatino Linotype" w:hAnsiTheme="majorHAnsi" w:cstheme="majorHAnsi"/>
          <w:color w:val="000000"/>
        </w:rPr>
        <w:t xml:space="preserve"> asgari ücret artışlarıyla tekrar tekrar müdahale ederek asgari ücreti fiilen bir sosyal tampon olarak kullanırken, ortalama ücretlerin olağan işgücü piyasası pazarlığı yoluyla daha kademeli biçimde uyarlanmasına izin vermiştir.</w:t>
      </w:r>
    </w:p>
    <w:p w14:paraId="2FD5B92F" w14:textId="3E3CF409" w:rsidR="00322E2B" w:rsidRPr="00F96A94" w:rsidRDefault="00DC3B68">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Bu koruyucu strateji riskten yoksun değildi. Asgari ücretin ortalama ücrete doğru keskin biçimde yükselmesine izin vermek, Türkiye’de bölgesel düzeyde daha önce de gözlemlendiği gibi (Gürsel, Uysal ve Kökkızıl, 2016), ücret yapısını aşağıdan sıkıştırmaktadır. Bu tür bir sıkışma, deneyim, nitelik ve örgün eğitimle ilişkili kazanç primini zayıflatabilir. Zaman içinde sürdürüldüğünde, bu sıkışma becerilere yatırım yapma teşviklerine zarar verebilir, asgari ücret kurallarının daha gevşek uygulandığı kayıt dışı istihdamı özendirebilir ve nitelikli işçilerin, nitelikleriyle daha uyumlu ücret farklarını yurt dışında arayarak göç etmesine katkıda bulunabilir. Aşağıda ele alınan, 2023’ten itibaren asgari/ortalama</w:t>
      </w:r>
      <w:r w:rsidR="001C6F14">
        <w:rPr>
          <w:rFonts w:asciiTheme="majorHAnsi" w:eastAsia="Palatino Linotype" w:hAnsiTheme="majorHAnsi" w:cstheme="majorHAnsi"/>
          <w:color w:val="000000"/>
        </w:rPr>
        <w:t xml:space="preserve"> ücret</w:t>
      </w:r>
      <w:r>
        <w:rPr>
          <w:rFonts w:asciiTheme="majorHAnsi" w:eastAsia="Palatino Linotype" w:hAnsiTheme="majorHAnsi" w:cstheme="majorHAnsi"/>
          <w:color w:val="000000"/>
        </w:rPr>
        <w:t xml:space="preserve"> oranındaki gerileme, krizin akut evresi geçtikten sonra bu sıkışmanın kısmen çözülmesi olarak okunabilir.</w:t>
      </w:r>
    </w:p>
    <w:p w14:paraId="6D65EFAF" w14:textId="25E9942A" w:rsidR="00BD4E98" w:rsidRPr="00F96A94" w:rsidRDefault="00BD4E98" w:rsidP="00BD4E98">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sz w:val="28"/>
          <w:szCs w:val="28"/>
        </w:rPr>
      </w:pPr>
      <w:r>
        <w:rPr>
          <w:rFonts w:asciiTheme="majorHAnsi" w:eastAsia="Palatino Linotype" w:hAnsiTheme="majorHAnsi" w:cstheme="majorHAnsi"/>
          <w:color w:val="000000"/>
        </w:rPr>
        <w:t xml:space="preserve">Tablo 1’deki üç senaryo, nokta tahminlerden ziyade makul bir aralık sunmayı amaçlamaktadır. Düz senaryo (yüzde 0 reel büyüme), ücretlerin 2015’ten bu yana yalnızca fiyatlarla aynı hızda artması gerektiği asgari varsayımı altında bile </w:t>
      </w:r>
      <w:r w:rsidR="00F41A66">
        <w:rPr>
          <w:rFonts w:asciiTheme="majorHAnsi" w:eastAsia="Palatino Linotype" w:hAnsiTheme="majorHAnsi" w:cstheme="majorHAnsi"/>
          <w:color w:val="000000"/>
        </w:rPr>
        <w:t>mevcut olacak</w:t>
      </w:r>
      <w:r>
        <w:rPr>
          <w:rFonts w:asciiTheme="majorHAnsi" w:eastAsia="Palatino Linotype" w:hAnsiTheme="majorHAnsi" w:cstheme="majorHAnsi"/>
          <w:color w:val="000000"/>
        </w:rPr>
        <w:t xml:space="preserve"> kaybı gösteren bir alt sınırdır. Eurozone emsali ve G20 gelişmekte olan emsal senaryoları ise makul üst referans noktalarıdır; ilki gelişmiş bir ekonomi kıyaslaması sunarken, ikincisi Türkiye’ye yapısal olarak daha benzer, yakalama sürecindeki bir ekonomi kıyaslaması sunmaktadır, gerçi bu ikincisinin ortalaması Türkiye’nin kendi zayıf performansını da içerdiğinden olsa olsa muhafazakâr bir kıyas noktasıdır. Gerçek </w:t>
      </w:r>
      <w:r w:rsidR="00A51F75">
        <w:rPr>
          <w:rFonts w:asciiTheme="majorHAnsi" w:eastAsia="Palatino Linotype" w:hAnsiTheme="majorHAnsi" w:cstheme="majorHAnsi"/>
          <w:color w:val="000000"/>
        </w:rPr>
        <w:t>varsayımsal</w:t>
      </w:r>
      <w:r>
        <w:rPr>
          <w:rFonts w:asciiTheme="majorHAnsi" w:eastAsia="Palatino Linotype" w:hAnsiTheme="majorHAnsi" w:cstheme="majorHAnsi"/>
          <w:color w:val="000000"/>
        </w:rPr>
        <w:t xml:space="preserve"> değerin büyük olasılıkla bu aralık içinde yer alması beklenmektedir.</w:t>
      </w:r>
    </w:p>
    <w:p w14:paraId="1B56D2BC" w14:textId="77777777" w:rsidR="00BC74BA" w:rsidRDefault="00BC74BA" w:rsidP="00BC74BA">
      <w:pPr>
        <w:spacing w:before="120" w:after="120"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Tablo 1. Net alan kaybı, 2015-2025</w:t>
      </w:r>
    </w:p>
    <w:tbl>
      <w:tblPr>
        <w:tblStyle w:val="a"/>
        <w:tblW w:w="9214" w:type="dxa"/>
        <w:tblInd w:w="0" w:type="dxa"/>
        <w:tblLayout w:type="fixed"/>
        <w:tblLook w:val="0400" w:firstRow="0" w:lastRow="0" w:firstColumn="0" w:lastColumn="0" w:noHBand="0" w:noVBand="1"/>
      </w:tblPr>
      <w:tblGrid>
        <w:gridCol w:w="1609"/>
        <w:gridCol w:w="1226"/>
        <w:gridCol w:w="1560"/>
        <w:gridCol w:w="992"/>
        <w:gridCol w:w="1276"/>
        <w:gridCol w:w="1559"/>
        <w:gridCol w:w="992"/>
      </w:tblGrid>
      <w:tr w:rsidR="00594E20" w14:paraId="0EB9A869" w14:textId="77777777" w:rsidTr="00594E20">
        <w:trPr>
          <w:trHeight w:val="300"/>
        </w:trPr>
        <w:tc>
          <w:tcPr>
            <w:tcW w:w="1609" w:type="dxa"/>
            <w:tcBorders>
              <w:top w:val="nil"/>
              <w:left w:val="nil"/>
              <w:right w:val="nil"/>
            </w:tcBorders>
            <w:vAlign w:val="bottom"/>
          </w:tcPr>
          <w:p w14:paraId="7501001F" w14:textId="37F5B4A3" w:rsidR="00594E20" w:rsidRDefault="00594E20" w:rsidP="00C41AEF">
            <w:pPr>
              <w:rPr>
                <w:rFonts w:ascii="Calibri" w:eastAsia="Calibri" w:hAnsi="Calibri" w:cs="Calibri"/>
                <w:color w:val="000000"/>
                <w:sz w:val="22"/>
                <w:szCs w:val="22"/>
              </w:rPr>
            </w:pPr>
          </w:p>
        </w:tc>
        <w:tc>
          <w:tcPr>
            <w:tcW w:w="3778" w:type="dxa"/>
            <w:gridSpan w:val="3"/>
            <w:tcBorders>
              <w:top w:val="nil"/>
              <w:left w:val="nil"/>
              <w:bottom w:val="single" w:sz="4" w:space="0" w:color="000000"/>
              <w:right w:val="nil"/>
            </w:tcBorders>
            <w:vAlign w:val="bottom"/>
          </w:tcPr>
          <w:p w14:paraId="61E99AE5" w14:textId="26202D3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Ortalama ücret</w:t>
            </w:r>
          </w:p>
        </w:tc>
        <w:tc>
          <w:tcPr>
            <w:tcW w:w="3827" w:type="dxa"/>
            <w:gridSpan w:val="3"/>
            <w:tcBorders>
              <w:top w:val="nil"/>
              <w:left w:val="nil"/>
              <w:bottom w:val="single" w:sz="4" w:space="0" w:color="auto"/>
            </w:tcBorders>
            <w:vAlign w:val="bottom"/>
          </w:tcPr>
          <w:p w14:paraId="4FCD36BC" w14:textId="2795CC9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Asgari ücret</w:t>
            </w:r>
          </w:p>
        </w:tc>
      </w:tr>
      <w:tr w:rsidR="00594E20" w14:paraId="1919EBAA" w14:textId="6D58EEC1" w:rsidTr="00594E20">
        <w:trPr>
          <w:trHeight w:val="300"/>
        </w:trPr>
        <w:tc>
          <w:tcPr>
            <w:tcW w:w="1609" w:type="dxa"/>
            <w:tcBorders>
              <w:left w:val="nil"/>
              <w:bottom w:val="single" w:sz="4" w:space="0" w:color="000000"/>
              <w:right w:val="nil"/>
            </w:tcBorders>
            <w:vAlign w:val="bottom"/>
          </w:tcPr>
          <w:p w14:paraId="6CDF3981"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Senaryo</w:t>
            </w:r>
          </w:p>
        </w:tc>
        <w:tc>
          <w:tcPr>
            <w:tcW w:w="1226" w:type="dxa"/>
            <w:tcBorders>
              <w:top w:val="nil"/>
              <w:left w:val="nil"/>
              <w:bottom w:val="single" w:sz="4" w:space="0" w:color="000000"/>
              <w:right w:val="nil"/>
            </w:tcBorders>
            <w:vAlign w:val="bottom"/>
          </w:tcPr>
          <w:p w14:paraId="4AAE0771" w14:textId="40FB5E0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Toplam kayıp €</w:t>
            </w:r>
          </w:p>
        </w:tc>
        <w:tc>
          <w:tcPr>
            <w:tcW w:w="1560" w:type="dxa"/>
            <w:tcBorders>
              <w:top w:val="nil"/>
              <w:left w:val="nil"/>
              <w:bottom w:val="single" w:sz="4" w:space="0" w:color="000000"/>
              <w:right w:val="nil"/>
            </w:tcBorders>
            <w:vAlign w:val="bottom"/>
          </w:tcPr>
          <w:p w14:paraId="11606461" w14:textId="58EA5A56"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Aylık kayıp €</w:t>
            </w:r>
          </w:p>
        </w:tc>
        <w:tc>
          <w:tcPr>
            <w:tcW w:w="992" w:type="dxa"/>
            <w:tcBorders>
              <w:top w:val="nil"/>
              <w:left w:val="nil"/>
              <w:bottom w:val="single" w:sz="4" w:space="0" w:color="000000"/>
              <w:right w:val="dotted" w:sz="4" w:space="0" w:color="auto"/>
            </w:tcBorders>
          </w:tcPr>
          <w:p w14:paraId="2FE12CBE" w14:textId="15EADA88"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Ücret kaybı %</w:t>
            </w:r>
          </w:p>
        </w:tc>
        <w:tc>
          <w:tcPr>
            <w:tcW w:w="1276" w:type="dxa"/>
            <w:tcBorders>
              <w:top w:val="single" w:sz="4" w:space="0" w:color="auto"/>
              <w:left w:val="dotted" w:sz="4" w:space="0" w:color="auto"/>
              <w:bottom w:val="single" w:sz="4" w:space="0" w:color="000000"/>
              <w:right w:val="nil"/>
            </w:tcBorders>
            <w:vAlign w:val="bottom"/>
          </w:tcPr>
          <w:p w14:paraId="39F7870D" w14:textId="28909246"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Toplam kayıp €</w:t>
            </w:r>
          </w:p>
        </w:tc>
        <w:tc>
          <w:tcPr>
            <w:tcW w:w="1559" w:type="dxa"/>
            <w:tcBorders>
              <w:top w:val="single" w:sz="4" w:space="0" w:color="auto"/>
              <w:left w:val="nil"/>
              <w:bottom w:val="single" w:sz="4" w:space="0" w:color="000000"/>
              <w:right w:val="nil"/>
            </w:tcBorders>
            <w:vAlign w:val="bottom"/>
          </w:tcPr>
          <w:p w14:paraId="6804BED5" w14:textId="6C470B8E"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Aylık kayıp €</w:t>
            </w:r>
          </w:p>
        </w:tc>
        <w:tc>
          <w:tcPr>
            <w:tcW w:w="992" w:type="dxa"/>
            <w:tcBorders>
              <w:top w:val="single" w:sz="4" w:space="0" w:color="auto"/>
              <w:left w:val="nil"/>
              <w:bottom w:val="single" w:sz="4" w:space="0" w:color="000000"/>
              <w:right w:val="dotted" w:sz="4" w:space="0" w:color="auto"/>
            </w:tcBorders>
          </w:tcPr>
          <w:p w14:paraId="07CC5116" w14:textId="29189B99"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Ücret kaybı %</w:t>
            </w:r>
          </w:p>
        </w:tc>
      </w:tr>
      <w:tr w:rsidR="00594E20" w14:paraId="76A663AB" w14:textId="444F6CEB" w:rsidTr="00594E20">
        <w:trPr>
          <w:trHeight w:val="300"/>
        </w:trPr>
        <w:tc>
          <w:tcPr>
            <w:tcW w:w="1609" w:type="dxa"/>
            <w:tcBorders>
              <w:top w:val="single" w:sz="4" w:space="0" w:color="000000"/>
              <w:left w:val="nil"/>
              <w:bottom w:val="nil"/>
              <w:right w:val="nil"/>
            </w:tcBorders>
            <w:vAlign w:val="bottom"/>
          </w:tcPr>
          <w:p w14:paraId="12729D05"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Düz (%0)</w:t>
            </w:r>
          </w:p>
        </w:tc>
        <w:tc>
          <w:tcPr>
            <w:tcW w:w="1226" w:type="dxa"/>
            <w:tcBorders>
              <w:top w:val="single" w:sz="4" w:space="0" w:color="000000"/>
              <w:left w:val="nil"/>
              <w:bottom w:val="nil"/>
              <w:right w:val="nil"/>
            </w:tcBorders>
            <w:vAlign w:val="bottom"/>
          </w:tcPr>
          <w:p w14:paraId="51FE8E80" w14:textId="32E76A0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8.343</w:t>
            </w:r>
          </w:p>
        </w:tc>
        <w:tc>
          <w:tcPr>
            <w:tcW w:w="1560" w:type="dxa"/>
            <w:tcBorders>
              <w:top w:val="single" w:sz="4" w:space="0" w:color="000000"/>
              <w:left w:val="nil"/>
              <w:bottom w:val="nil"/>
              <w:right w:val="nil"/>
            </w:tcBorders>
            <w:vAlign w:val="bottom"/>
          </w:tcPr>
          <w:p w14:paraId="2DAD9B7E"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63,2</w:t>
            </w:r>
          </w:p>
        </w:tc>
        <w:tc>
          <w:tcPr>
            <w:tcW w:w="992" w:type="dxa"/>
            <w:tcBorders>
              <w:top w:val="single" w:sz="4" w:space="0" w:color="000000"/>
              <w:left w:val="nil"/>
              <w:bottom w:val="nil"/>
              <w:right w:val="dotted" w:sz="4" w:space="0" w:color="auto"/>
            </w:tcBorders>
          </w:tcPr>
          <w:p w14:paraId="42C9FB4C" w14:textId="18CCA8E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11,3</w:t>
            </w:r>
          </w:p>
        </w:tc>
        <w:tc>
          <w:tcPr>
            <w:tcW w:w="1276" w:type="dxa"/>
            <w:tcBorders>
              <w:top w:val="single" w:sz="4" w:space="0" w:color="000000"/>
              <w:left w:val="dotted" w:sz="4" w:space="0" w:color="auto"/>
              <w:bottom w:val="nil"/>
              <w:right w:val="nil"/>
            </w:tcBorders>
            <w:vAlign w:val="bottom"/>
          </w:tcPr>
          <w:p w14:paraId="78330630" w14:textId="6C7E427F"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907</w:t>
            </w:r>
          </w:p>
        </w:tc>
        <w:tc>
          <w:tcPr>
            <w:tcW w:w="1559" w:type="dxa"/>
            <w:tcBorders>
              <w:top w:val="single" w:sz="4" w:space="0" w:color="000000"/>
              <w:left w:val="nil"/>
              <w:bottom w:val="nil"/>
              <w:right w:val="nil"/>
            </w:tcBorders>
            <w:vAlign w:val="bottom"/>
          </w:tcPr>
          <w:p w14:paraId="58816256"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6,9</w:t>
            </w:r>
          </w:p>
        </w:tc>
        <w:tc>
          <w:tcPr>
            <w:tcW w:w="992" w:type="dxa"/>
            <w:tcBorders>
              <w:top w:val="single" w:sz="4" w:space="0" w:color="000000"/>
              <w:left w:val="nil"/>
              <w:bottom w:val="nil"/>
              <w:right w:val="dotted" w:sz="4" w:space="0" w:color="auto"/>
            </w:tcBorders>
          </w:tcPr>
          <w:p w14:paraId="3612487E" w14:textId="06AA6524"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2,1</w:t>
            </w:r>
          </w:p>
        </w:tc>
      </w:tr>
      <w:tr w:rsidR="00594E20" w14:paraId="359B61FC" w14:textId="7673CA6F" w:rsidTr="00594E20">
        <w:trPr>
          <w:trHeight w:val="300"/>
        </w:trPr>
        <w:tc>
          <w:tcPr>
            <w:tcW w:w="1609" w:type="dxa"/>
            <w:tcBorders>
              <w:top w:val="nil"/>
              <w:left w:val="nil"/>
              <w:right w:val="nil"/>
            </w:tcBorders>
            <w:vAlign w:val="bottom"/>
          </w:tcPr>
          <w:p w14:paraId="684A7C92"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Euro Bölgesi emsali</w:t>
            </w:r>
          </w:p>
        </w:tc>
        <w:tc>
          <w:tcPr>
            <w:tcW w:w="1226" w:type="dxa"/>
            <w:tcBorders>
              <w:top w:val="nil"/>
              <w:left w:val="nil"/>
              <w:right w:val="nil"/>
            </w:tcBorders>
            <w:vAlign w:val="bottom"/>
          </w:tcPr>
          <w:p w14:paraId="0C99EB26" w14:textId="72DB6528"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10.399</w:t>
            </w:r>
          </w:p>
        </w:tc>
        <w:tc>
          <w:tcPr>
            <w:tcW w:w="1560" w:type="dxa"/>
            <w:tcBorders>
              <w:top w:val="nil"/>
              <w:left w:val="nil"/>
              <w:right w:val="nil"/>
            </w:tcBorders>
            <w:vAlign w:val="bottom"/>
          </w:tcPr>
          <w:p w14:paraId="07DEB8D2"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78,8</w:t>
            </w:r>
          </w:p>
        </w:tc>
        <w:tc>
          <w:tcPr>
            <w:tcW w:w="992" w:type="dxa"/>
            <w:tcBorders>
              <w:top w:val="nil"/>
              <w:left w:val="nil"/>
              <w:right w:val="dotted" w:sz="4" w:space="0" w:color="auto"/>
            </w:tcBorders>
          </w:tcPr>
          <w:p w14:paraId="5E3B9C54" w14:textId="6556312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13,6</w:t>
            </w:r>
          </w:p>
        </w:tc>
        <w:tc>
          <w:tcPr>
            <w:tcW w:w="1276" w:type="dxa"/>
            <w:tcBorders>
              <w:top w:val="nil"/>
              <w:left w:val="dotted" w:sz="4" w:space="0" w:color="auto"/>
              <w:right w:val="nil"/>
            </w:tcBorders>
            <w:vAlign w:val="bottom"/>
          </w:tcPr>
          <w:p w14:paraId="0665039E" w14:textId="59BA6182"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2.093</w:t>
            </w:r>
          </w:p>
        </w:tc>
        <w:tc>
          <w:tcPr>
            <w:tcW w:w="1559" w:type="dxa"/>
            <w:tcBorders>
              <w:top w:val="nil"/>
              <w:left w:val="nil"/>
              <w:right w:val="nil"/>
            </w:tcBorders>
            <w:vAlign w:val="bottom"/>
          </w:tcPr>
          <w:p w14:paraId="6C488822" w14:textId="7777777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15,9</w:t>
            </w:r>
          </w:p>
        </w:tc>
        <w:tc>
          <w:tcPr>
            <w:tcW w:w="992" w:type="dxa"/>
            <w:tcBorders>
              <w:top w:val="nil"/>
              <w:left w:val="nil"/>
              <w:right w:val="dotted" w:sz="4" w:space="0" w:color="auto"/>
            </w:tcBorders>
          </w:tcPr>
          <w:p w14:paraId="5329FB29" w14:textId="21E602C7" w:rsidR="00594E20" w:rsidRDefault="00594E20" w:rsidP="00C41AEF">
            <w:pPr>
              <w:jc w:val="center"/>
              <w:rPr>
                <w:rFonts w:ascii="Calibri" w:eastAsia="Calibri" w:hAnsi="Calibri" w:cs="Calibri"/>
                <w:color w:val="000000"/>
                <w:sz w:val="22"/>
                <w:szCs w:val="22"/>
              </w:rPr>
            </w:pPr>
            <w:r>
              <w:rPr>
                <w:rFonts w:ascii="Calibri" w:eastAsia="Calibri" w:hAnsi="Calibri" w:cs="Calibri"/>
                <w:color w:val="000000"/>
                <w:sz w:val="22"/>
                <w:szCs w:val="22"/>
              </w:rPr>
              <w:t>4,8</w:t>
            </w:r>
          </w:p>
        </w:tc>
      </w:tr>
      <w:tr w:rsidR="00594E20" w14:paraId="518FFA00" w14:textId="0C953109" w:rsidTr="00594E20">
        <w:trPr>
          <w:trHeight w:val="300"/>
        </w:trPr>
        <w:tc>
          <w:tcPr>
            <w:tcW w:w="1609" w:type="dxa"/>
            <w:tcBorders>
              <w:top w:val="nil"/>
              <w:left w:val="nil"/>
              <w:bottom w:val="single" w:sz="4" w:space="0" w:color="auto"/>
            </w:tcBorders>
            <w:vAlign w:val="bottom"/>
          </w:tcPr>
          <w:p w14:paraId="250ACE1A" w14:textId="77777777" w:rsidR="00594E20" w:rsidRDefault="00594E20" w:rsidP="00C41AEF">
            <w:pPr>
              <w:rPr>
                <w:rFonts w:ascii="Calibri" w:eastAsia="Calibri" w:hAnsi="Calibri" w:cs="Calibri"/>
                <w:color w:val="000000"/>
                <w:sz w:val="22"/>
                <w:szCs w:val="22"/>
              </w:rPr>
            </w:pPr>
            <w:r>
              <w:rPr>
                <w:rFonts w:ascii="Calibri" w:eastAsia="Calibri" w:hAnsi="Calibri" w:cs="Calibri"/>
                <w:color w:val="000000"/>
                <w:sz w:val="22"/>
                <w:szCs w:val="22"/>
              </w:rPr>
              <w:t>G20 gelişmekte olan emsali</w:t>
            </w:r>
          </w:p>
        </w:tc>
        <w:tc>
          <w:tcPr>
            <w:tcW w:w="1226" w:type="dxa"/>
            <w:tcBorders>
              <w:top w:val="nil"/>
              <w:bottom w:val="single" w:sz="4" w:space="0" w:color="auto"/>
            </w:tcBorders>
            <w:vAlign w:val="center"/>
          </w:tcPr>
          <w:p w14:paraId="2A916ED9" w14:textId="65C4AED5"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26.233</w:t>
            </w:r>
          </w:p>
        </w:tc>
        <w:tc>
          <w:tcPr>
            <w:tcW w:w="1560" w:type="dxa"/>
            <w:tcBorders>
              <w:top w:val="nil"/>
              <w:bottom w:val="single" w:sz="4" w:space="0" w:color="auto"/>
            </w:tcBorders>
            <w:vAlign w:val="center"/>
          </w:tcPr>
          <w:p w14:paraId="2856458A" w14:textId="77777777"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198,7</w:t>
            </w:r>
          </w:p>
        </w:tc>
        <w:tc>
          <w:tcPr>
            <w:tcW w:w="992" w:type="dxa"/>
            <w:tcBorders>
              <w:top w:val="nil"/>
              <w:bottom w:val="single" w:sz="4" w:space="0" w:color="auto"/>
              <w:right w:val="dotted" w:sz="4" w:space="0" w:color="auto"/>
            </w:tcBorders>
            <w:vAlign w:val="center"/>
          </w:tcPr>
          <w:p w14:paraId="20CE743F" w14:textId="7097C12D"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28,5</w:t>
            </w:r>
          </w:p>
        </w:tc>
        <w:tc>
          <w:tcPr>
            <w:tcW w:w="1276" w:type="dxa"/>
            <w:tcBorders>
              <w:top w:val="nil"/>
              <w:left w:val="dotted" w:sz="4" w:space="0" w:color="auto"/>
              <w:bottom w:val="single" w:sz="4" w:space="0" w:color="auto"/>
            </w:tcBorders>
            <w:vAlign w:val="center"/>
          </w:tcPr>
          <w:p w14:paraId="10B67649" w14:textId="2FE93622"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11.231</w:t>
            </w:r>
          </w:p>
        </w:tc>
        <w:tc>
          <w:tcPr>
            <w:tcW w:w="1559" w:type="dxa"/>
            <w:tcBorders>
              <w:top w:val="nil"/>
              <w:bottom w:val="single" w:sz="4" w:space="0" w:color="auto"/>
            </w:tcBorders>
            <w:vAlign w:val="center"/>
          </w:tcPr>
          <w:p w14:paraId="42E47602" w14:textId="77777777"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85,1</w:t>
            </w:r>
          </w:p>
        </w:tc>
        <w:tc>
          <w:tcPr>
            <w:tcW w:w="992" w:type="dxa"/>
            <w:tcBorders>
              <w:top w:val="nil"/>
              <w:bottom w:val="single" w:sz="4" w:space="0" w:color="auto"/>
              <w:right w:val="dotted" w:sz="4" w:space="0" w:color="auto"/>
            </w:tcBorders>
            <w:vAlign w:val="center"/>
          </w:tcPr>
          <w:p w14:paraId="5286D147" w14:textId="77EB0A3C" w:rsidR="00594E20" w:rsidRDefault="00594E20" w:rsidP="00594E20">
            <w:pPr>
              <w:jc w:val="center"/>
              <w:rPr>
                <w:rFonts w:ascii="Calibri" w:eastAsia="Calibri" w:hAnsi="Calibri" w:cs="Calibri"/>
                <w:color w:val="000000"/>
                <w:sz w:val="22"/>
                <w:szCs w:val="22"/>
              </w:rPr>
            </w:pPr>
            <w:r>
              <w:rPr>
                <w:rFonts w:ascii="Calibri" w:eastAsia="Calibri" w:hAnsi="Calibri" w:cs="Calibri"/>
                <w:color w:val="000000"/>
                <w:sz w:val="22"/>
                <w:szCs w:val="22"/>
              </w:rPr>
              <w:t>21,2</w:t>
            </w:r>
          </w:p>
        </w:tc>
      </w:tr>
    </w:tbl>
    <w:p w14:paraId="1B76B296" w14:textId="78D7FB9B" w:rsidR="00BC74BA" w:rsidRDefault="000839A9" w:rsidP="00BC74BA">
      <w:pPr>
        <w:spacing w:before="120" w:after="120" w:line="360" w:lineRule="auto"/>
        <w:jc w:val="both"/>
        <w:rPr>
          <w:rFonts w:ascii="Palatino Linotype" w:eastAsia="Palatino Linotype" w:hAnsi="Palatino Linotype" w:cs="Palatino Linotype"/>
          <w:sz w:val="18"/>
          <w:szCs w:val="18"/>
        </w:rPr>
      </w:pPr>
      <w:r>
        <w:rPr>
          <w:rFonts w:ascii="Palatino Linotype" w:eastAsia="Palatino Linotype" w:hAnsi="Palatino Linotype" w:cs="Palatino Linotype"/>
          <w:b/>
          <w:bCs/>
          <w:i/>
          <w:iCs/>
          <w:sz w:val="18"/>
          <w:szCs w:val="18"/>
        </w:rPr>
        <w:t xml:space="preserve">Notlar: </w:t>
      </w:r>
      <w:r>
        <w:rPr>
          <w:rFonts w:ascii="Palatino Linotype" w:eastAsia="Palatino Linotype" w:hAnsi="Palatino Linotype" w:cs="Palatino Linotype"/>
          <w:sz w:val="18"/>
          <w:szCs w:val="18"/>
        </w:rPr>
        <w:t xml:space="preserve">Tablo, gösterilen senaryolara dayalı </w:t>
      </w:r>
      <w:r w:rsidR="00A51F75">
        <w:rPr>
          <w:rFonts w:ascii="Palatino Linotype" w:eastAsia="Palatino Linotype" w:hAnsi="Palatino Linotype" w:cs="Palatino Linotype"/>
          <w:sz w:val="18"/>
          <w:szCs w:val="18"/>
        </w:rPr>
        <w:t>varsayımsal</w:t>
      </w:r>
      <w:r>
        <w:rPr>
          <w:rFonts w:ascii="Palatino Linotype" w:eastAsia="Palatino Linotype" w:hAnsi="Palatino Linotype" w:cs="Palatino Linotype"/>
          <w:sz w:val="18"/>
          <w:szCs w:val="18"/>
        </w:rPr>
        <w:t xml:space="preserve"> ücret ile ülkede gözlemlenen fiili ücret arasındaki farkı hesaplamaktadır; 2015 ile 2025 arasındaki farkı toplayarak hem aylık hem de toplam olarak raporlamaktadır.</w:t>
      </w:r>
    </w:p>
    <w:p w14:paraId="352E1ABD" w14:textId="3D60B600" w:rsidR="00322E2B" w:rsidRDefault="005F672D">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lastRenderedPageBreak/>
        <w:t>Türkiye Cumhuriyet Merkez Bankası’nın kendi bildirdiği, kullanılabilir gelirin yüzde 10,9’u düzeyindeki hanehalkı tasarruf oranı kullanılarak,</w:t>
      </w:r>
      <w:r>
        <w:rPr>
          <w:rStyle w:val="FootnoteReference"/>
          <w:rFonts w:asciiTheme="majorHAnsi" w:eastAsia="Palatino Linotype" w:hAnsiTheme="majorHAnsi" w:cstheme="majorHAnsi"/>
          <w:color w:val="000000"/>
        </w:rPr>
        <w:footnoteReference w:id="11"/>
      </w:r>
      <w:r>
        <w:rPr>
          <w:rFonts w:asciiTheme="majorHAnsi" w:eastAsia="Palatino Linotype" w:hAnsiTheme="majorHAnsi" w:cstheme="majorHAnsi"/>
          <w:color w:val="000000"/>
        </w:rPr>
        <w:t xml:space="preserve"> ve 2025’te gözlemlenen ortalama reel avro ücret düzeyi esas alındığında, düz senaryonun (yüzde 0 büyüme) ima ettiği kayıp satın alma gücünü (ele alınan en muhafazakâr sınırı) geri kazanmak, ortalama ücretli bir çalışan için tahminen 9,5 yıllık tasarrufu, asgari ücretli bir çalışan için ise 1,8 yıllık tasarrufu gerektirecektir.</w:t>
      </w:r>
      <w:r>
        <w:rPr>
          <w:rStyle w:val="FootnoteReference"/>
          <w:rFonts w:asciiTheme="majorHAnsi" w:eastAsia="Palatino Linotype" w:hAnsiTheme="majorHAnsi" w:cstheme="majorHAnsi"/>
          <w:color w:val="000000"/>
        </w:rPr>
        <w:footnoteReference w:id="12"/>
      </w:r>
      <w:r>
        <w:rPr>
          <w:rFonts w:asciiTheme="majorHAnsi" w:eastAsia="Palatino Linotype" w:hAnsiTheme="majorHAnsi" w:cstheme="majorHAnsi"/>
          <w:color w:val="000000"/>
        </w:rPr>
        <w:t xml:space="preserve"> G20 gelişmekte olan emsal senaryosunda ise (ki bu üst sınırdır ve Türkiye’nin kendi zayıf ücret performansı da bu emsal ortalamasına dâhil olduğundan olsa olsa muhafazakâr bir sınırdır) eşdeğer </w:t>
      </w:r>
      <w:r w:rsidR="00BD2E6D">
        <w:rPr>
          <w:rFonts w:asciiTheme="majorHAnsi" w:eastAsia="Palatino Linotype" w:hAnsiTheme="majorHAnsi" w:cstheme="majorHAnsi"/>
          <w:color w:val="000000"/>
        </w:rPr>
        <w:t>sayılar</w:t>
      </w:r>
      <w:r>
        <w:rPr>
          <w:rFonts w:asciiTheme="majorHAnsi" w:eastAsia="Palatino Linotype" w:hAnsiTheme="majorHAnsi" w:cstheme="majorHAnsi"/>
          <w:color w:val="000000"/>
        </w:rPr>
        <w:t xml:space="preserve"> ortalama ücretli çalışan için 30,0 yıla, asgari ücretli çalışan için ise 22,3 yıla yükselmektedir. </w:t>
      </w:r>
    </w:p>
    <w:p w14:paraId="0394E35A" w14:textId="767C3CDA" w:rsidR="0035593F" w:rsidRPr="00F96A94" w:rsidRDefault="0035593F">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sz w:val="28"/>
          <w:szCs w:val="28"/>
        </w:rPr>
      </w:pPr>
      <w:r>
        <w:rPr>
          <w:rFonts w:asciiTheme="majorHAnsi" w:eastAsia="Palatino Linotype" w:hAnsiTheme="majorHAnsi" w:cstheme="majorHAnsi"/>
          <w:color w:val="000000"/>
        </w:rPr>
        <w:t xml:space="preserve">Düz senaryo tahmininin dikkat çekici bir özelliği, Türkiye’nin hanehalkı tasarruf oranına olan yakınlığıdır: en muhafazakâr </w:t>
      </w:r>
      <w:r w:rsidR="00EA0FF3">
        <w:rPr>
          <w:rFonts w:asciiTheme="majorHAnsi" w:eastAsia="Palatino Linotype" w:hAnsiTheme="majorHAnsi" w:cstheme="majorHAnsi"/>
          <w:color w:val="000000"/>
        </w:rPr>
        <w:t xml:space="preserve">varsayım </w:t>
      </w:r>
      <w:r>
        <w:rPr>
          <w:rFonts w:asciiTheme="majorHAnsi" w:eastAsia="Palatino Linotype" w:hAnsiTheme="majorHAnsi" w:cstheme="majorHAnsi"/>
          <w:color w:val="000000"/>
        </w:rPr>
        <w:t>altında ortalama ücretli çalışan için tahmin edilen yüzde 11,3’lük kayıp, Türk</w:t>
      </w:r>
      <w:r w:rsidR="00EA0FF3">
        <w:rPr>
          <w:rFonts w:asciiTheme="majorHAnsi" w:eastAsia="Palatino Linotype" w:hAnsiTheme="majorHAnsi" w:cstheme="majorHAnsi"/>
          <w:color w:val="000000"/>
        </w:rPr>
        <w:t>iye</w:t>
      </w:r>
      <w:r>
        <w:rPr>
          <w:rFonts w:asciiTheme="majorHAnsi" w:eastAsia="Palatino Linotype" w:hAnsiTheme="majorHAnsi" w:cstheme="majorHAnsi"/>
          <w:color w:val="000000"/>
        </w:rPr>
        <w:t xml:space="preserve"> hanehalk</w:t>
      </w:r>
      <w:r w:rsidR="00EA0FF3">
        <w:rPr>
          <w:rFonts w:asciiTheme="majorHAnsi" w:eastAsia="Palatino Linotype" w:hAnsiTheme="majorHAnsi" w:cstheme="majorHAnsi"/>
          <w:color w:val="000000"/>
        </w:rPr>
        <w:t>ının</w:t>
      </w:r>
      <w:r>
        <w:rPr>
          <w:rFonts w:asciiTheme="majorHAnsi" w:eastAsia="Palatino Linotype" w:hAnsiTheme="majorHAnsi" w:cstheme="majorHAnsi"/>
          <w:color w:val="000000"/>
        </w:rPr>
        <w:t xml:space="preserve"> tipik olarak tasarruf ettiği, kullanılabilir gelirin yüzde 10,9’una neredeyse özdeştir. Bu durum, dolaylı da olsa makul bir okumayı akla getirmektedir: en temkinli varsayımlar altında bile, reel ücretlerdeki erime öncelikle olağan tüketimin yerini almamış, bunun yerine aksi hâlde ortalama işçinin tüm tasarruf marjı olacak kısmı yutmuştur. Asgari ücret için ise benzer bir tesadüf söz konusu değildir; düz senaryodaki kaybı (yüzde 2,1) tasarruf oranının hayli altında kalmakta, bu da asgari ücretli çalışanların baştan itibaren aşınacak neredeyse hiç tasarruf marjına sahip olmadığı görüşüyle uyumludur.</w:t>
      </w:r>
    </w:p>
    <w:p w14:paraId="44C49642" w14:textId="77777777" w:rsidR="00322E2B" w:rsidRDefault="00322E2B">
      <w:pPr>
        <w:spacing w:before="120" w:after="120" w:line="360" w:lineRule="auto"/>
        <w:jc w:val="both"/>
        <w:rPr>
          <w:rFonts w:ascii="Palatino Linotype" w:eastAsia="Palatino Linotype" w:hAnsi="Palatino Linotype" w:cs="Palatino Linotype"/>
          <w:sz w:val="18"/>
          <w:szCs w:val="18"/>
        </w:rPr>
      </w:pPr>
    </w:p>
    <w:p w14:paraId="44C53466" w14:textId="77777777" w:rsidR="00322E2B" w:rsidRPr="000839A9" w:rsidRDefault="00000000" w:rsidP="00766059">
      <w:pPr>
        <w:pStyle w:val="Heading2"/>
        <w:numPr>
          <w:ilvl w:val="0"/>
          <w:numId w:val="2"/>
        </w:numPr>
        <w:spacing w:after="120"/>
        <w:ind w:left="360"/>
        <w:rPr>
          <w:rFonts w:asciiTheme="majorHAnsi" w:hAnsiTheme="majorHAnsi" w:cstheme="majorHAnsi"/>
        </w:rPr>
      </w:pPr>
      <w:r>
        <w:rPr>
          <w:rFonts w:asciiTheme="majorHAnsi" w:eastAsia="Palatino Linotype" w:hAnsiTheme="majorHAnsi" w:cstheme="majorHAnsi"/>
        </w:rPr>
        <w:t>Sonuçlar</w:t>
      </w:r>
    </w:p>
    <w:p w14:paraId="5C77FF66" w14:textId="0D7CB863"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Bu araştırma notu boyunca belgelenen ayrışma, aynı on yılın birbirinden keskin biçimde farklı iki tablosunun hikâyesidir. Nominal ücretlerin resmi TÜİK TÜFE’siyle deflate edilmesi, hem ortalama hem de asgari ücretin 2015 ile 2025 arasında reel olarak sırasıyla yaklaşık yüzde 75 ve yüzde 66 arttığını ima etmektedir. Aynı nominal ücretlerin bağımsız ENAG TÜFE’siyle deflate edilmesi ise aynı dönemde her iki seride de yaklaşık yüzde 60’lık bir çöküşe işaret etmektedir. Bunlar küçük derece farkları değildir; Türk</w:t>
      </w:r>
      <w:r w:rsidR="006F4F37">
        <w:rPr>
          <w:rFonts w:asciiTheme="majorHAnsi" w:eastAsia="Palatino Linotype" w:hAnsiTheme="majorHAnsi" w:cstheme="majorHAnsi"/>
          <w:color w:val="000000"/>
        </w:rPr>
        <w:t>iye</w:t>
      </w:r>
      <w:r>
        <w:rPr>
          <w:rFonts w:asciiTheme="majorHAnsi" w:eastAsia="Palatino Linotype" w:hAnsiTheme="majorHAnsi" w:cstheme="majorHAnsi"/>
          <w:color w:val="000000"/>
        </w:rPr>
        <w:t xml:space="preserve"> işçilerin net olarak on yıl öncesine kıyasla daha iyi mi yoksa daha kötü durumda mı olduğuna ilişkin taban tabana zıt sonuçlardır.</w:t>
      </w:r>
    </w:p>
    <w:p w14:paraId="028DDDCD" w14:textId="77777777"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lastRenderedPageBreak/>
        <w:t>Her iki yerli endeks de farklı derecelerde tartışmalı olduğundan, bu araştırma notu üçüncü, taraf tutmayan bir kıyas noktası da oluşturmuştur: nominal ücretlerin dönemin döviz kuruyla avroya çevrilip Euro Bölgesi TÜFE’si kullanılarak deflate edilmesi, yani ne TÜİK’e ne de ENAG’a bağlı olan bir ölçüt. Bu seri, tam da yerli tartışmanın dışında kalması nedeniyle yararlı bir hakemdir.</w:t>
      </w:r>
    </w:p>
    <w:p w14:paraId="1782AA9C" w14:textId="0EBBBE8A" w:rsidR="00322E2B"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 xml:space="preserve">Avro tabanlı seri, yerli anlatıların </w:t>
      </w:r>
      <w:r w:rsidR="00743484">
        <w:rPr>
          <w:rFonts w:asciiTheme="majorHAnsi" w:eastAsia="Palatino Linotype" w:hAnsiTheme="majorHAnsi" w:cstheme="majorHAnsi"/>
          <w:color w:val="000000"/>
        </w:rPr>
        <w:t>ikisinin de</w:t>
      </w:r>
      <w:r>
        <w:rPr>
          <w:rFonts w:asciiTheme="majorHAnsi" w:eastAsia="Palatino Linotype" w:hAnsiTheme="majorHAnsi" w:cstheme="majorHAnsi"/>
          <w:color w:val="000000"/>
        </w:rPr>
        <w:t xml:space="preserve"> tek başına tamamen doğru olmadığını düşündürmektedir. Avro cinsinden reel ücretler, resmi TÜİK enflasyonunun Türk</w:t>
      </w:r>
      <w:r w:rsidR="00F27CB6">
        <w:rPr>
          <w:rFonts w:asciiTheme="majorHAnsi" w:eastAsia="Palatino Linotype" w:hAnsiTheme="majorHAnsi" w:cstheme="majorHAnsi"/>
          <w:color w:val="000000"/>
        </w:rPr>
        <w:t>iye</w:t>
      </w:r>
      <w:r>
        <w:rPr>
          <w:rFonts w:asciiTheme="majorHAnsi" w:eastAsia="Palatino Linotype" w:hAnsiTheme="majorHAnsi" w:cstheme="majorHAnsi"/>
          <w:color w:val="000000"/>
        </w:rPr>
        <w:t xml:space="preserve"> hanehalk</w:t>
      </w:r>
      <w:r w:rsidR="00F27CB6">
        <w:rPr>
          <w:rFonts w:asciiTheme="majorHAnsi" w:eastAsia="Palatino Linotype" w:hAnsiTheme="majorHAnsi" w:cstheme="majorHAnsi"/>
          <w:color w:val="000000"/>
        </w:rPr>
        <w:t>ının</w:t>
      </w:r>
      <w:r>
        <w:rPr>
          <w:rFonts w:asciiTheme="majorHAnsi" w:eastAsia="Palatino Linotype" w:hAnsiTheme="majorHAnsi" w:cstheme="majorHAnsi"/>
          <w:color w:val="000000"/>
        </w:rPr>
        <w:t xml:space="preserve"> o yıllarda karşılaştığı gerçek geçim maliyeti baskılarını olduğundan düşük gösterdiği görüşüyle uyumlu biçimde, 2018-2022 döneminde keskin biçimde gerilemiştir. Ancak 2023’ten itibaren avro tabanlı seri güçlü biçimde toparlanmış ve şimdi 2015 düzeyine yakın</w:t>
      </w:r>
      <w:r w:rsidR="00F27CB6">
        <w:rPr>
          <w:rFonts w:asciiTheme="majorHAnsi" w:eastAsia="Palatino Linotype" w:hAnsiTheme="majorHAnsi" w:cstheme="majorHAnsi"/>
          <w:color w:val="000000"/>
        </w:rPr>
        <w:t xml:space="preserve"> (</w:t>
      </w:r>
      <w:r>
        <w:rPr>
          <w:rFonts w:asciiTheme="majorHAnsi" w:eastAsia="Palatino Linotype" w:hAnsiTheme="majorHAnsi" w:cstheme="majorHAnsi"/>
          <w:color w:val="000000"/>
        </w:rPr>
        <w:t>ortalama ücret için bu düzeyin üzerinde</w:t>
      </w:r>
      <w:r w:rsidR="00F27CB6">
        <w:rPr>
          <w:rFonts w:asciiTheme="majorHAnsi" w:eastAsia="Palatino Linotype" w:hAnsiTheme="majorHAnsi" w:cstheme="majorHAnsi"/>
          <w:color w:val="000000"/>
        </w:rPr>
        <w:t>)</w:t>
      </w:r>
      <w:r>
        <w:rPr>
          <w:rFonts w:asciiTheme="majorHAnsi" w:eastAsia="Palatino Linotype" w:hAnsiTheme="majorHAnsi" w:cstheme="majorHAnsi"/>
          <w:color w:val="000000"/>
        </w:rPr>
        <w:t xml:space="preserve"> seyretmektedir; bu seyir, TÜİK’in 2023 sonrası döneme ilişkin anlatısına, hâlâ derin ve telafi edilmemiş bir kayıp gösteren ENAG’ın anlatısından çok daha yakındır. Bu durum makul bir orta yol okumasına işaret etmektedir: TÜİK, 2023 öncesi kriz yıllarında enflasyonu muhtemelen olduğundan düşük göstermiş, ENAG’ın tahminleri ise 2023 sonrası kötüleşmenin boyutunu olduğundan fazla göstermiş olabilir.</w:t>
      </w:r>
    </w:p>
    <w:p w14:paraId="6EB2C659" w14:textId="0F330052" w:rsidR="00F83C22" w:rsidRPr="00F96A94" w:rsidRDefault="00000000">
      <w:pPr>
        <w:widowControl w:val="0"/>
        <w:pBdr>
          <w:top w:val="nil"/>
          <w:left w:val="nil"/>
          <w:bottom w:val="nil"/>
          <w:right w:val="nil"/>
          <w:between w:val="nil"/>
        </w:pBdr>
        <w:spacing w:before="290" w:line="352" w:lineRule="auto"/>
        <w:ind w:right="256"/>
        <w:jc w:val="both"/>
        <w:rPr>
          <w:rFonts w:asciiTheme="majorHAnsi" w:eastAsia="Palatino Linotype" w:hAnsiTheme="majorHAnsi" w:cstheme="majorHAnsi"/>
          <w:color w:val="000000"/>
        </w:rPr>
      </w:pPr>
      <w:r>
        <w:rPr>
          <w:rFonts w:asciiTheme="majorHAnsi" w:eastAsia="Palatino Linotype" w:hAnsiTheme="majorHAnsi" w:cstheme="majorHAnsi"/>
          <w:color w:val="000000"/>
        </w:rPr>
        <w:t xml:space="preserve">Tablo 1’de belgelenen zararın büyüklüğü, ele alınan üç senaryodan hangisi altında olursa olsun önemlidir. Ortalama çalışanın kaybettiği tasarruf yılı aralığı 9,5 ile 30 arasında, asgari ücretli çalışanlar için ise 1,8 ile 22,3 arasındadır. Gerçek </w:t>
      </w:r>
      <w:r w:rsidR="00F1222E">
        <w:rPr>
          <w:rFonts w:asciiTheme="majorHAnsi" w:eastAsia="Palatino Linotype" w:hAnsiTheme="majorHAnsi" w:cstheme="majorHAnsi"/>
          <w:color w:val="000000"/>
        </w:rPr>
        <w:t>sayının</w:t>
      </w:r>
      <w:r>
        <w:rPr>
          <w:rFonts w:asciiTheme="majorHAnsi" w:eastAsia="Palatino Linotype" w:hAnsiTheme="majorHAnsi" w:cstheme="majorHAnsi"/>
          <w:color w:val="000000"/>
        </w:rPr>
        <w:t xml:space="preserve"> büyük olasılıkla bu sınırlar içinde yer alması beklenmekle birlikte, alt sınırda bile bu kayıp, geçtiğimiz on yılın yükselen bir refah dönemi olduğu yönündeki herhangi bir anlatıyla bağdaştırılması güç, hanehalkı tasarruf kapasitesi</w:t>
      </w:r>
      <w:r w:rsidR="00A25201">
        <w:rPr>
          <w:rFonts w:asciiTheme="majorHAnsi" w:eastAsia="Palatino Linotype" w:hAnsiTheme="majorHAnsi" w:cstheme="majorHAnsi"/>
          <w:color w:val="000000"/>
        </w:rPr>
        <w:t>nde çok yıllı bir</w:t>
      </w:r>
      <w:r>
        <w:rPr>
          <w:rFonts w:asciiTheme="majorHAnsi" w:eastAsia="Palatino Linotype" w:hAnsiTheme="majorHAnsi" w:cstheme="majorHAnsi"/>
          <w:color w:val="000000"/>
        </w:rPr>
        <w:t xml:space="preserve"> geri</w:t>
      </w:r>
      <w:r w:rsidR="006D3598">
        <w:rPr>
          <w:rFonts w:asciiTheme="majorHAnsi" w:eastAsia="Palatino Linotype" w:hAnsiTheme="majorHAnsi" w:cstheme="majorHAnsi"/>
          <w:color w:val="000000"/>
        </w:rPr>
        <w:t>ye</w:t>
      </w:r>
      <w:r>
        <w:rPr>
          <w:rFonts w:asciiTheme="majorHAnsi" w:eastAsia="Palatino Linotype" w:hAnsiTheme="majorHAnsi" w:cstheme="majorHAnsi"/>
          <w:color w:val="000000"/>
        </w:rPr>
        <w:t xml:space="preserve"> gidişi temsil etmektedir.</w:t>
      </w:r>
    </w:p>
    <w:p w14:paraId="196408C3" w14:textId="35FEF7A3" w:rsidR="00322E2B" w:rsidRPr="00F96A94" w:rsidRDefault="00000000">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sz w:val="28"/>
          <w:szCs w:val="28"/>
        </w:rPr>
      </w:pPr>
      <w:r>
        <w:rPr>
          <w:rFonts w:asciiTheme="majorHAnsi" w:eastAsia="Palatino Linotype" w:hAnsiTheme="majorHAnsi" w:cstheme="majorHAnsi"/>
          <w:color w:val="000000"/>
        </w:rPr>
        <w:t xml:space="preserve">Bir arada değerlendirildiğinde, bu bulgular tek bir kapsayıcı sonuca işaret etmektedir: birbiriyle rekabet eden ve birbiriyle çelişen iki enflasyon ölçütünün bir arada var olması, hem ücretlerinin geçim maliyetiyle aynı hızda artıp artmadığını güvenilir biçimde bilemeyen </w:t>
      </w:r>
      <w:r w:rsidR="006D3598">
        <w:rPr>
          <w:rFonts w:asciiTheme="majorHAnsi" w:eastAsia="Palatino Linotype" w:hAnsiTheme="majorHAnsi" w:cstheme="majorHAnsi"/>
          <w:color w:val="000000"/>
        </w:rPr>
        <w:t>tekil</w:t>
      </w:r>
      <w:r>
        <w:rPr>
          <w:rFonts w:asciiTheme="majorHAnsi" w:eastAsia="Palatino Linotype" w:hAnsiTheme="majorHAnsi" w:cstheme="majorHAnsi"/>
          <w:color w:val="000000"/>
        </w:rPr>
        <w:t xml:space="preserve"> </w:t>
      </w:r>
      <w:r w:rsidR="006D3598">
        <w:rPr>
          <w:rFonts w:asciiTheme="majorHAnsi" w:eastAsia="Palatino Linotype" w:hAnsiTheme="majorHAnsi" w:cstheme="majorHAnsi"/>
          <w:color w:val="000000"/>
        </w:rPr>
        <w:t>işçilere</w:t>
      </w:r>
      <w:r>
        <w:rPr>
          <w:rFonts w:asciiTheme="majorHAnsi" w:eastAsia="Palatino Linotype" w:hAnsiTheme="majorHAnsi" w:cstheme="majorHAnsi"/>
          <w:color w:val="000000"/>
        </w:rPr>
        <w:t xml:space="preserve"> hem de daha geniş anlamda ekonomi politikası yapımının güvenilirliğine gerçek maliyetler yüklemektedir. Tek, güvenilir bir tüketici fiyat endeksine duyulan güvenin yeniden tesis edilmesi (TÜİK’te yöntemsel reform, bağımsız denetim veya ikisinin bir bileşimi yoluyla olsun) yalnızca istatistiki bir düzenleme meselesi değildir. Bu, işçilerin satın alma gücünün korunması ve işleyen her ekonominin gerektirdiği temel kamu güveninin yeniden tesis edilmesi için bir ön koşuldur.</w:t>
      </w:r>
    </w:p>
    <w:p w14:paraId="082DCF94" w14:textId="77777777" w:rsidR="004464CE" w:rsidRDefault="004464CE">
      <w:pPr>
        <w:widowControl w:val="0"/>
        <w:pBdr>
          <w:top w:val="nil"/>
          <w:left w:val="nil"/>
          <w:bottom w:val="nil"/>
          <w:right w:val="nil"/>
          <w:between w:val="nil"/>
        </w:pBdr>
        <w:spacing w:before="290" w:line="352" w:lineRule="auto"/>
        <w:ind w:right="256"/>
        <w:jc w:val="both"/>
        <w:rPr>
          <w:rFonts w:ascii="Palatino Linotype" w:eastAsia="Palatino Linotype" w:hAnsi="Palatino Linotype" w:cs="Palatino Linotype"/>
          <w:color w:val="000000"/>
        </w:rPr>
      </w:pPr>
    </w:p>
    <w:p w14:paraId="2DB0D8AA" w14:textId="2246D522" w:rsidR="00322E2B" w:rsidRPr="00F96A94" w:rsidRDefault="00F96A94">
      <w:pPr>
        <w:spacing w:line="360" w:lineRule="auto"/>
        <w:jc w:val="both"/>
        <w:rPr>
          <w:rFonts w:asciiTheme="majorHAnsi" w:eastAsia="Palatino Linotype" w:hAnsiTheme="majorHAnsi" w:cstheme="majorHAnsi"/>
          <w:b/>
          <w:bCs/>
        </w:rPr>
      </w:pPr>
      <w:r>
        <w:rPr>
          <w:rFonts w:asciiTheme="majorHAnsi" w:eastAsia="Palatino Linotype" w:hAnsiTheme="majorHAnsi" w:cstheme="majorHAnsi"/>
          <w:b/>
          <w:bCs/>
        </w:rPr>
        <w:t>Kaynakça</w:t>
      </w:r>
    </w:p>
    <w:p w14:paraId="292ED525" w14:textId="35AC06CA" w:rsidR="000839A9" w:rsidRPr="00F96A94" w:rsidRDefault="000839A9" w:rsidP="000839A9">
      <w:pPr>
        <w:spacing w:after="120"/>
        <w:jc w:val="both"/>
        <w:rPr>
          <w:rFonts w:asciiTheme="majorHAnsi" w:eastAsia="Palatino Linotype" w:hAnsiTheme="majorHAnsi" w:cstheme="majorHAnsi"/>
          <w:lang w:val="en-US"/>
        </w:rPr>
      </w:pPr>
      <w:r>
        <w:rPr>
          <w:rFonts w:asciiTheme="majorHAnsi" w:eastAsia="Palatino Linotype" w:hAnsiTheme="majorHAnsi" w:cstheme="majorHAnsi"/>
          <w:lang w:val="en-US"/>
        </w:rPr>
        <w:t>Aldan, A. and Gürcihan Yüncüler, H. B. (2016). Real Wages and the Business Cycle in Turkey. CBRT Working Paper No. 16/25. Central Bank of the Republic of Turkey, Ankara.</w:t>
      </w:r>
    </w:p>
    <w:p w14:paraId="6AB71F00" w14:textId="7F738E64" w:rsidR="000839A9" w:rsidRPr="00F96A94" w:rsidRDefault="000839A9" w:rsidP="000839A9">
      <w:pPr>
        <w:spacing w:after="120"/>
        <w:jc w:val="both"/>
        <w:rPr>
          <w:rFonts w:asciiTheme="majorHAnsi" w:eastAsia="Palatino Linotype" w:hAnsiTheme="majorHAnsi" w:cstheme="majorHAnsi"/>
          <w:lang w:val="en-US"/>
        </w:rPr>
      </w:pPr>
      <w:r>
        <w:rPr>
          <w:rFonts w:asciiTheme="majorHAnsi" w:eastAsia="Palatino Linotype" w:hAnsiTheme="majorHAnsi" w:cstheme="majorHAnsi"/>
          <w:lang w:val="en-US"/>
        </w:rPr>
        <w:t>Betti, G., Ceritoğlu, E., Küçükbayrak, M. and Sevinç, Ö. (2022). Central Bank of the Republic of Turkey Household Finance and Consumption Survey Methodology. CBRT Working Paper No. 22/01. Central Bank of the Republic of Turkey, Ankara.</w:t>
      </w:r>
    </w:p>
    <w:p w14:paraId="0E2D33C5" w14:textId="76CF3FCE" w:rsidR="000839A9" w:rsidRPr="00F96A94" w:rsidRDefault="000839A9" w:rsidP="000839A9">
      <w:pPr>
        <w:spacing w:after="120"/>
        <w:jc w:val="both"/>
        <w:rPr>
          <w:rFonts w:asciiTheme="majorHAnsi" w:eastAsia="Palatino Linotype" w:hAnsiTheme="majorHAnsi" w:cstheme="majorHAnsi"/>
          <w:lang w:val="en-US"/>
        </w:rPr>
      </w:pPr>
      <w:r>
        <w:rPr>
          <w:rFonts w:asciiTheme="majorHAnsi" w:eastAsia="Palatino Linotype" w:hAnsiTheme="majorHAnsi" w:cstheme="majorHAnsi"/>
          <w:lang w:val="en-US"/>
        </w:rPr>
        <w:t xml:space="preserve">Ceritoğlu, E. and Cılasun, S. M. (2017). Have Our Views on the Savings Gap Changed After the National Income Revision? CBRT Blog, Central Bank of the Republic of Turkey. </w:t>
      </w:r>
    </w:p>
    <w:p w14:paraId="47F1EF4F" w14:textId="3578D5C3" w:rsidR="000839A9" w:rsidRPr="00F96A94" w:rsidRDefault="000839A9" w:rsidP="000839A9">
      <w:pPr>
        <w:spacing w:after="120"/>
        <w:jc w:val="both"/>
        <w:rPr>
          <w:rFonts w:asciiTheme="majorHAnsi" w:eastAsia="Palatino Linotype" w:hAnsiTheme="majorHAnsi" w:cstheme="majorHAnsi"/>
          <w:lang w:val="en-US"/>
        </w:rPr>
      </w:pPr>
      <w:r>
        <w:rPr>
          <w:rFonts w:asciiTheme="majorHAnsi" w:eastAsia="Palatino Linotype" w:hAnsiTheme="majorHAnsi" w:cstheme="majorHAnsi"/>
          <w:lang w:val="en-US"/>
        </w:rPr>
        <w:t xml:space="preserve">Gürsel, S., Uysal, G. and Kökkızıl, M. (2016). Regional Effects of the Minimum Wage Increase. Betam Research Brief, Bahçeşehir University. </w:t>
      </w:r>
    </w:p>
    <w:p w14:paraId="277688C9" w14:textId="67C036BA" w:rsidR="000839A9" w:rsidRPr="00F96A94" w:rsidRDefault="000839A9" w:rsidP="000839A9">
      <w:pPr>
        <w:spacing w:after="120"/>
        <w:jc w:val="both"/>
        <w:rPr>
          <w:rFonts w:asciiTheme="majorHAnsi" w:eastAsia="Palatino Linotype" w:hAnsiTheme="majorHAnsi" w:cstheme="majorHAnsi"/>
          <w:lang w:val="en-US"/>
        </w:rPr>
      </w:pPr>
      <w:r>
        <w:rPr>
          <w:rFonts w:asciiTheme="majorHAnsi" w:eastAsia="Palatino Linotype" w:hAnsiTheme="majorHAnsi" w:cstheme="majorHAnsi"/>
          <w:lang w:val="en-US"/>
        </w:rPr>
        <w:t xml:space="preserve">International Labour Organization (2022). Global Wage Report 2022–23: The Impact of Inflation and COVID-19 on Wages and Purchasing Power. ILO, Geneva. </w:t>
      </w:r>
    </w:p>
    <w:p w14:paraId="7474B198" w14:textId="6A1267FC" w:rsidR="00322E2B" w:rsidRPr="000839A9" w:rsidRDefault="000839A9" w:rsidP="007A4F82">
      <w:pPr>
        <w:spacing w:after="120"/>
        <w:jc w:val="both"/>
        <w:rPr>
          <w:rFonts w:ascii="Palatino Linotype" w:eastAsia="Palatino Linotype" w:hAnsi="Palatino Linotype" w:cs="Palatino Linotype"/>
          <w:lang w:val="en-US"/>
        </w:rPr>
      </w:pPr>
      <w:r>
        <w:rPr>
          <w:rFonts w:asciiTheme="majorHAnsi" w:eastAsia="Palatino Linotype" w:hAnsiTheme="majorHAnsi" w:cstheme="majorHAnsi"/>
          <w:lang w:val="en-US"/>
        </w:rPr>
        <w:t xml:space="preserve">International Labour Organization (2024). Global Wage Report 2024–25: Is Wage Inequality Decreasing Globally? ILO, Geneva. </w:t>
      </w:r>
    </w:p>
    <w:sectPr w:rsidR="00322E2B" w:rsidRPr="000839A9">
      <w:footerReference w:type="default" r:id="rId13"/>
      <w:pgSz w:w="11905" w:h="16837"/>
      <w:pgMar w:top="1296" w:right="1296" w:bottom="1296" w:left="1296"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DF930" w14:textId="77777777" w:rsidR="00D03D7D" w:rsidRDefault="00D03D7D">
      <w:r>
        <w:separator/>
      </w:r>
    </w:p>
  </w:endnote>
  <w:endnote w:type="continuationSeparator" w:id="0">
    <w:p w14:paraId="23025C32" w14:textId="77777777" w:rsidR="00D03D7D" w:rsidRDefault="00D03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embedRegular r:id="rId1" w:fontKey="{211DAE3D-8469-4380-AD01-339873ADF65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2BF9C78-BCF2-4591-BA82-F064C89C5E12}"/>
  </w:font>
  <w:font w:name="Palatino Linotype">
    <w:panose1 w:val="02040502050505030304"/>
    <w:charset w:val="00"/>
    <w:family w:val="roman"/>
    <w:pitch w:val="variable"/>
    <w:sig w:usb0="E0000287" w:usb1="40000013" w:usb2="00000000" w:usb3="00000000" w:csb0="0000019F" w:csb1="00000000"/>
    <w:embedRegular r:id="rId3" w:fontKey="{F1D411F8-5A1D-4BC2-B486-67BEB87CAD46}"/>
    <w:embedBold r:id="rId4" w:fontKey="{C28291D6-254D-4A2C-BB51-879A74E7A82D}"/>
    <w:embedBoldItalic r:id="rId5" w:fontKey="{B37B6276-6419-4FAD-8D19-DCE91C0B6530}"/>
  </w:font>
  <w:font w:name="Calibri">
    <w:panose1 w:val="020F0502020204030204"/>
    <w:charset w:val="00"/>
    <w:family w:val="swiss"/>
    <w:pitch w:val="variable"/>
    <w:sig w:usb0="E4002EFF" w:usb1="C200247B" w:usb2="00000009" w:usb3="00000000" w:csb0="000001FF" w:csb1="00000000"/>
    <w:embedRegular r:id="rId6" w:fontKey="{C937A9BA-E5A4-4D96-B737-3592661761B3}"/>
    <w:embedBold r:id="rId7" w:fontKey="{F110B909-135F-4A5C-B618-D086555FDE43}"/>
    <w:embedBoldItalic r:id="rId8" w:fontKey="{B7BBC0F4-6229-4D13-A596-634388199CA2}"/>
  </w:font>
  <w:font w:name="Cambria">
    <w:panose1 w:val="02040503050406030204"/>
    <w:charset w:val="00"/>
    <w:family w:val="roman"/>
    <w:pitch w:val="variable"/>
    <w:sig w:usb0="E00006FF" w:usb1="420024FF" w:usb2="02000000" w:usb3="00000000" w:csb0="0000019F" w:csb1="00000000"/>
    <w:embedRegular r:id="rId9" w:fontKey="{C2731BC3-926F-452B-B050-CC3A9DEA63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5716" w14:textId="77777777" w:rsidR="00322E2B" w:rsidRDefault="00000000">
    <w:pPr>
      <w:pBdr>
        <w:top w:val="nil"/>
        <w:left w:val="nil"/>
        <w:bottom w:val="nil"/>
        <w:right w:val="nil"/>
        <w:between w:val="nil"/>
      </w:pBdr>
      <w:tabs>
        <w:tab w:val="center" w:pos="4536"/>
        <w:tab w:val="right" w:pos="9072"/>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0743E9">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674EC2A1" w14:textId="77777777" w:rsidR="00322E2B" w:rsidRDefault="00000000">
    <w:pPr>
      <w:pBdr>
        <w:top w:val="nil"/>
        <w:left w:val="nil"/>
        <w:bottom w:val="nil"/>
        <w:right w:val="nil"/>
        <w:between w:val="nil"/>
      </w:pBdr>
      <w:tabs>
        <w:tab w:val="center" w:pos="4536"/>
        <w:tab w:val="right" w:pos="9072"/>
      </w:tabs>
      <w:ind w:right="360"/>
      <w:jc w:val="center"/>
      <w:rPr>
        <w:rFonts w:ascii="Arial" w:eastAsia="Arial" w:hAnsi="Arial" w:cs="Arial"/>
        <w:b/>
        <w:bCs/>
        <w:i/>
        <w:iCs/>
        <w:color w:val="000000"/>
        <w:sz w:val="20"/>
        <w:szCs w:val="20"/>
      </w:rPr>
    </w:pPr>
    <w:r>
      <w:rPr>
        <w:rFonts w:ascii="Arial" w:eastAsia="Arial" w:hAnsi="Arial" w:cs="Arial"/>
        <w:b/>
        <w:bCs/>
        <w:i/>
        <w:iCs/>
        <w:color w:val="000000"/>
        <w:sz w:val="20"/>
        <w:szCs w:val="20"/>
      </w:rPr>
      <w:t>betam.bahcesehir.edu.tr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26D9" w14:textId="77777777" w:rsidR="00D03D7D" w:rsidRDefault="00D03D7D">
      <w:r>
        <w:separator/>
      </w:r>
    </w:p>
  </w:footnote>
  <w:footnote w:type="continuationSeparator" w:id="0">
    <w:p w14:paraId="289CE6ED" w14:textId="77777777" w:rsidR="00D03D7D" w:rsidRDefault="00D03D7D">
      <w:r>
        <w:continuationSeparator/>
      </w:r>
    </w:p>
  </w:footnote>
  <w:footnote w:id="1">
    <w:p w14:paraId="1C13ECA1" w14:textId="3C294AA6" w:rsidR="00322E2B" w:rsidRDefault="00000000">
      <w:pPr>
        <w:pBdr>
          <w:top w:val="nil"/>
          <w:left w:val="nil"/>
          <w:bottom w:val="nil"/>
          <w:right w:val="nil"/>
          <w:between w:val="nil"/>
        </w:pBdr>
        <w:jc w:val="both"/>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Çevrimiçi ek dosyalarına Betam web sitesinden ulaşılabilir: </w:t>
      </w:r>
      <w:hyperlink r:id="rId1" w:history="1">
        <w:r w:rsidR="009C58E1" w:rsidRPr="003F5CD4">
          <w:rPr>
            <w:rStyle w:val="Hyperlink"/>
            <w:sz w:val="20"/>
            <w:szCs w:val="20"/>
          </w:rPr>
          <w:t>https://betam.bahcesehir.edu.tr/2026/08/</w:t>
        </w:r>
      </w:hyperlink>
      <w:r>
        <w:rPr>
          <w:color w:val="000000"/>
          <w:sz w:val="20"/>
          <w:szCs w:val="20"/>
        </w:rPr>
        <w:t>?</w:t>
      </w:r>
    </w:p>
    <w:p w14:paraId="4369A073" w14:textId="77777777" w:rsidR="00322E2B" w:rsidRDefault="00322E2B">
      <w:pPr>
        <w:pBdr>
          <w:top w:val="nil"/>
          <w:left w:val="nil"/>
          <w:bottom w:val="nil"/>
          <w:right w:val="nil"/>
          <w:between w:val="nil"/>
        </w:pBdr>
        <w:jc w:val="both"/>
        <w:rPr>
          <w:rFonts w:ascii="Palatino Linotype" w:eastAsia="Palatino Linotype" w:hAnsi="Palatino Linotype" w:cs="Palatino Linotype"/>
          <w:color w:val="000000"/>
          <w:sz w:val="18"/>
          <w:szCs w:val="18"/>
        </w:rPr>
      </w:pPr>
    </w:p>
    <w:p w14:paraId="463D2BF3" w14:textId="77777777" w:rsidR="00322E2B" w:rsidRPr="000743E9" w:rsidRDefault="00000000">
      <w:pPr>
        <w:pBdr>
          <w:top w:val="nil"/>
          <w:left w:val="nil"/>
          <w:bottom w:val="nil"/>
          <w:right w:val="nil"/>
          <w:between w:val="nil"/>
        </w:pBdr>
        <w:jc w:val="both"/>
        <w:rPr>
          <w:rFonts w:ascii="Palatino Linotype" w:eastAsia="Palatino Linotype" w:hAnsi="Palatino Linotype" w:cs="Palatino Linotype"/>
          <w:color w:val="000000"/>
          <w:sz w:val="18"/>
          <w:szCs w:val="18"/>
          <w:lang w:val="es-ES"/>
        </w:rPr>
      </w:pPr>
      <w:r w:rsidRPr="000743E9">
        <w:rPr>
          <w:rFonts w:ascii="Palatino Linotype" w:eastAsia="Palatino Linotype" w:hAnsi="Palatino Linotype" w:cs="Palatino Linotype"/>
          <w:color w:val="000000"/>
          <w:sz w:val="18"/>
          <w:szCs w:val="18"/>
          <w:vertAlign w:val="superscript"/>
          <w:lang w:val="es-ES"/>
        </w:rPr>
        <w:t>*</w:t>
      </w:r>
      <w:r w:rsidRPr="000743E9">
        <w:rPr>
          <w:rFonts w:ascii="Palatino Linotype" w:eastAsia="Palatino Linotype" w:hAnsi="Palatino Linotype" w:cs="Palatino Linotype"/>
          <w:color w:val="000000"/>
          <w:sz w:val="18"/>
          <w:szCs w:val="18"/>
          <w:lang w:val="es-ES"/>
        </w:rPr>
        <w:t xml:space="preserve"> Luis Pinedo Caro, </w:t>
      </w:r>
      <w:r w:rsidRPr="000743E9">
        <w:rPr>
          <w:rFonts w:ascii="Palatino Linotype" w:eastAsia="Palatino Linotype" w:hAnsi="Palatino Linotype" w:cs="Palatino Linotype"/>
          <w:b/>
          <w:bCs/>
          <w:color w:val="000000"/>
          <w:sz w:val="18"/>
          <w:szCs w:val="18"/>
          <w:lang w:val="es-ES"/>
        </w:rPr>
        <w:t>Betam</w:t>
      </w:r>
      <w:r w:rsidRPr="000743E9">
        <w:rPr>
          <w:rFonts w:ascii="Palatino Linotype" w:eastAsia="Palatino Linotype" w:hAnsi="Palatino Linotype" w:cs="Palatino Linotype"/>
          <w:color w:val="000000"/>
          <w:sz w:val="18"/>
          <w:szCs w:val="18"/>
          <w:lang w:val="es-ES"/>
        </w:rPr>
        <w:t xml:space="preserve">, </w:t>
      </w:r>
      <w:hyperlink r:id="rId2">
        <w:r w:rsidR="00322E2B" w:rsidRPr="000743E9">
          <w:rPr>
            <w:rFonts w:ascii="Palatino Linotype" w:eastAsia="Palatino Linotype" w:hAnsi="Palatino Linotype" w:cs="Palatino Linotype"/>
            <w:color w:val="0000FF"/>
            <w:sz w:val="18"/>
            <w:szCs w:val="18"/>
            <w:u w:val="single"/>
            <w:lang w:val="es-ES"/>
          </w:rPr>
          <w:t>luis.pinedo@bau.edu.tr</w:t>
        </w:r>
      </w:hyperlink>
    </w:p>
  </w:footnote>
  <w:footnote w:id="2">
    <w:p w14:paraId="33CBF0C1" w14:textId="58578630" w:rsidR="00322E2B"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Yahoo News / Reuters: </w:t>
      </w:r>
      <w:r>
        <w:rPr>
          <w:i/>
          <w:iCs/>
          <w:color w:val="000000"/>
          <w:sz w:val="20"/>
          <w:szCs w:val="20"/>
        </w:rPr>
        <w:t>"Turkish opposition questions credibility of inflation data"</w:t>
      </w:r>
      <w:r>
        <w:rPr>
          <w:color w:val="000000"/>
          <w:sz w:val="20"/>
          <w:szCs w:val="20"/>
        </w:rPr>
        <w:t xml:space="preserve"> (</w:t>
      </w:r>
      <w:r w:rsidR="00D43171">
        <w:rPr>
          <w:color w:val="000000"/>
          <w:sz w:val="20"/>
          <w:szCs w:val="20"/>
        </w:rPr>
        <w:t>19 Haziran</w:t>
      </w:r>
      <w:r>
        <w:rPr>
          <w:color w:val="000000"/>
          <w:sz w:val="20"/>
          <w:szCs w:val="20"/>
        </w:rPr>
        <w:t xml:space="preserve"> 2019). </w:t>
      </w:r>
      <w:hyperlink r:id="rId3">
        <w:r w:rsidR="00322E2B">
          <w:rPr>
            <w:color w:val="0000FF"/>
            <w:sz w:val="20"/>
            <w:szCs w:val="20"/>
            <w:u w:val="single"/>
          </w:rPr>
          <w:t>https://www.yahoo.com/news/turkish-opposition-questions-credibility-inflation-141819922.html</w:t>
        </w:r>
      </w:hyperlink>
    </w:p>
  </w:footnote>
  <w:footnote w:id="3">
    <w:p w14:paraId="31DFF009" w14:textId="15E5D3BE"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w:t>
      </w:r>
      <w:r w:rsidR="004E1ACA">
        <w:rPr>
          <w:color w:val="000000"/>
          <w:sz w:val="20"/>
          <w:szCs w:val="20"/>
        </w:rPr>
        <w:t>English bianet</w:t>
      </w:r>
      <w:r w:rsidRPr="00611AB1">
        <w:rPr>
          <w:color w:val="000000"/>
          <w:sz w:val="20"/>
          <w:szCs w:val="20"/>
        </w:rPr>
        <w:t xml:space="preserve">: </w:t>
      </w:r>
      <w:r w:rsidRPr="00611AB1">
        <w:rPr>
          <w:i/>
          <w:iCs/>
          <w:color w:val="000000"/>
          <w:sz w:val="20"/>
          <w:szCs w:val="20"/>
        </w:rPr>
        <w:t>"</w:t>
      </w:r>
      <w:r w:rsidR="004E1ACA" w:rsidRPr="004E1ACA">
        <w:t xml:space="preserve"> </w:t>
      </w:r>
      <w:r w:rsidR="004E1ACA" w:rsidRPr="004E1ACA">
        <w:rPr>
          <w:i/>
          <w:iCs/>
          <w:color w:val="000000"/>
          <w:sz w:val="20"/>
          <w:szCs w:val="20"/>
        </w:rPr>
        <w:t>TurkStat files complaint against independent Inflation Research Group</w:t>
      </w:r>
      <w:r w:rsidRPr="00611AB1">
        <w:rPr>
          <w:i/>
          <w:iCs/>
          <w:color w:val="000000"/>
          <w:sz w:val="20"/>
          <w:szCs w:val="20"/>
        </w:rPr>
        <w:t>"</w:t>
      </w:r>
      <w:r w:rsidRPr="00611AB1">
        <w:rPr>
          <w:color w:val="000000"/>
          <w:sz w:val="20"/>
          <w:szCs w:val="20"/>
        </w:rPr>
        <w:t xml:space="preserve"> (</w:t>
      </w:r>
      <w:r w:rsidR="000F0383">
        <w:rPr>
          <w:color w:val="000000"/>
          <w:sz w:val="20"/>
          <w:szCs w:val="20"/>
        </w:rPr>
        <w:t>8 Mayıs</w:t>
      </w:r>
      <w:r w:rsidRPr="00611AB1">
        <w:rPr>
          <w:color w:val="000000"/>
          <w:sz w:val="20"/>
          <w:szCs w:val="20"/>
        </w:rPr>
        <w:t xml:space="preserve"> 202</w:t>
      </w:r>
      <w:r w:rsidR="000F0383">
        <w:rPr>
          <w:color w:val="000000"/>
          <w:sz w:val="20"/>
          <w:szCs w:val="20"/>
        </w:rPr>
        <w:t>1</w:t>
      </w:r>
      <w:r w:rsidRPr="00611AB1">
        <w:rPr>
          <w:color w:val="000000"/>
          <w:sz w:val="20"/>
          <w:szCs w:val="20"/>
        </w:rPr>
        <w:t xml:space="preserve">). </w:t>
      </w:r>
      <w:hyperlink r:id="rId4" w:history="1">
        <w:r w:rsidR="000F0383" w:rsidRPr="000F0383">
          <w:rPr>
            <w:rStyle w:val="Hyperlink"/>
            <w:sz w:val="20"/>
            <w:szCs w:val="20"/>
          </w:rPr>
          <w:t>https://bianet.org/english/freedom-of-expression/243775-turkstat-files-complaint-against-independent-inflation-research-group</w:t>
        </w:r>
      </w:hyperlink>
    </w:p>
  </w:footnote>
  <w:footnote w:id="4">
    <w:p w14:paraId="77084D87" w14:textId="77B25706"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bne IntelliNews: </w:t>
      </w:r>
      <w:r w:rsidRPr="00611AB1">
        <w:rPr>
          <w:i/>
          <w:iCs/>
          <w:color w:val="000000"/>
          <w:sz w:val="20"/>
          <w:szCs w:val="20"/>
        </w:rPr>
        <w:t>"Turkey moving to jail researchers who publish unapproved economic data"</w:t>
      </w:r>
      <w:r w:rsidRPr="00611AB1">
        <w:rPr>
          <w:color w:val="000000"/>
          <w:sz w:val="20"/>
          <w:szCs w:val="20"/>
        </w:rPr>
        <w:t xml:space="preserve"> (14 </w:t>
      </w:r>
      <w:r w:rsidR="00D43171">
        <w:rPr>
          <w:color w:val="000000"/>
          <w:sz w:val="20"/>
          <w:szCs w:val="20"/>
        </w:rPr>
        <w:t xml:space="preserve">Nisan </w:t>
      </w:r>
      <w:r w:rsidRPr="00611AB1">
        <w:rPr>
          <w:color w:val="000000"/>
          <w:sz w:val="20"/>
          <w:szCs w:val="20"/>
        </w:rPr>
        <w:t xml:space="preserve">2022). </w:t>
      </w:r>
      <w:hyperlink r:id="rId5">
        <w:r w:rsidR="00322E2B" w:rsidRPr="00611AB1">
          <w:rPr>
            <w:color w:val="0000FF"/>
            <w:sz w:val="20"/>
            <w:szCs w:val="20"/>
            <w:u w:val="single"/>
          </w:rPr>
          <w:t>https://www.intellinews.com/turkey-moving-to-jail-researchers-who-publish-unapproved-economic-data-241561/</w:t>
        </w:r>
      </w:hyperlink>
    </w:p>
  </w:footnote>
  <w:footnote w:id="5">
    <w:p w14:paraId="14932018" w14:textId="72156DF2" w:rsidR="00322E2B" w:rsidRPr="00611AB1"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Nordic Monitor: </w:t>
      </w:r>
      <w:r w:rsidRPr="00611AB1">
        <w:rPr>
          <w:i/>
          <w:iCs/>
          <w:color w:val="000000"/>
          <w:sz w:val="20"/>
          <w:szCs w:val="20"/>
        </w:rPr>
        <w:t>"Turkey's inflation data is deliberately underreported, lawsuit alleges, casting doubts on reliability of official statistics"</w:t>
      </w:r>
      <w:r w:rsidRPr="00611AB1">
        <w:rPr>
          <w:color w:val="000000"/>
          <w:sz w:val="20"/>
          <w:szCs w:val="20"/>
        </w:rPr>
        <w:t xml:space="preserve"> (25 </w:t>
      </w:r>
      <w:r w:rsidR="00D43171">
        <w:rPr>
          <w:color w:val="000000"/>
          <w:sz w:val="20"/>
          <w:szCs w:val="20"/>
        </w:rPr>
        <w:t>Mart</w:t>
      </w:r>
      <w:r w:rsidRPr="00611AB1">
        <w:rPr>
          <w:color w:val="000000"/>
          <w:sz w:val="20"/>
          <w:szCs w:val="20"/>
        </w:rPr>
        <w:t xml:space="preserve"> 2025). </w:t>
      </w:r>
      <w:hyperlink r:id="rId6">
        <w:r w:rsidR="00322E2B" w:rsidRPr="00611AB1">
          <w:rPr>
            <w:color w:val="0000FF"/>
            <w:sz w:val="20"/>
            <w:szCs w:val="20"/>
            <w:u w:val="single"/>
          </w:rPr>
          <w:t>https://nordicmonitor.com/2025/03/turkeys-inflation-data-is-deliberately-underreported-lawsuit-alleges-casting-doubts-on-reliability-of-official-statistics/</w:t>
        </w:r>
      </w:hyperlink>
    </w:p>
  </w:footnote>
  <w:footnote w:id="6">
    <w:p w14:paraId="6BEFB188" w14:textId="07F241D3" w:rsidR="00A20499" w:rsidRPr="00A20499" w:rsidRDefault="00A20499">
      <w:pPr>
        <w:pStyle w:val="FootnoteText"/>
        <w:rPr>
          <w:lang w:val="en-US"/>
        </w:rPr>
      </w:pPr>
      <w:r>
        <w:rPr>
          <w:rStyle w:val="FootnoteReference"/>
        </w:rPr>
        <w:footnoteRef/>
      </w:r>
      <w:r>
        <w:t xml:space="preserve"> </w:t>
      </w:r>
      <w:r w:rsidR="000F0383">
        <w:t>A.g.e.</w:t>
      </w:r>
    </w:p>
  </w:footnote>
  <w:footnote w:id="7">
    <w:p w14:paraId="6B42E97F" w14:textId="256A0E3E" w:rsidR="00322E2B" w:rsidRDefault="00000000">
      <w:pPr>
        <w:pBdr>
          <w:top w:val="nil"/>
          <w:left w:val="nil"/>
          <w:bottom w:val="nil"/>
          <w:right w:val="nil"/>
          <w:between w:val="nil"/>
        </w:pBdr>
        <w:rPr>
          <w:color w:val="000000"/>
          <w:sz w:val="20"/>
          <w:szCs w:val="20"/>
        </w:rPr>
      </w:pPr>
      <w:r w:rsidRPr="00611AB1">
        <w:rPr>
          <w:sz w:val="20"/>
          <w:szCs w:val="20"/>
          <w:vertAlign w:val="superscript"/>
        </w:rPr>
        <w:footnoteRef/>
      </w:r>
      <w:r w:rsidRPr="00611AB1">
        <w:rPr>
          <w:color w:val="000000"/>
          <w:sz w:val="20"/>
          <w:szCs w:val="20"/>
        </w:rPr>
        <w:t xml:space="preserve"> </w:t>
      </w:r>
      <w:r w:rsidR="00215FED" w:rsidRPr="00215FED">
        <w:rPr>
          <w:color w:val="000000"/>
          <w:sz w:val="20"/>
          <w:szCs w:val="20"/>
        </w:rPr>
        <w:t xml:space="preserve">Türkiye Cumhuriyet Merkez Bankası (TCMB), "Revisions to the 2026 Consumer Price Index and Their Implications," </w:t>
      </w:r>
      <w:r w:rsidR="00215FED" w:rsidRPr="00215FED">
        <w:rPr>
          <w:i/>
          <w:iCs/>
          <w:color w:val="000000"/>
          <w:sz w:val="20"/>
          <w:szCs w:val="20"/>
        </w:rPr>
        <w:t>Merkezin Güncesi</w:t>
      </w:r>
      <w:r w:rsidR="00215FED" w:rsidRPr="00215FED">
        <w:rPr>
          <w:color w:val="000000"/>
          <w:sz w:val="20"/>
          <w:szCs w:val="20"/>
        </w:rPr>
        <w:t xml:space="preserve"> (TCMB Blog), 4 Şubat 2026, erişim adresi:</w:t>
      </w:r>
      <w:r w:rsidRPr="00611AB1">
        <w:rPr>
          <w:color w:val="000000"/>
          <w:sz w:val="20"/>
          <w:szCs w:val="20"/>
        </w:rPr>
        <w:t xml:space="preserve"> </w:t>
      </w:r>
      <w:hyperlink r:id="rId7" w:history="1">
        <w:r w:rsidR="00611AB1" w:rsidRPr="00611AB1">
          <w:rPr>
            <w:rStyle w:val="Hyperlink"/>
            <w:sz w:val="20"/>
            <w:szCs w:val="20"/>
          </w:rPr>
          <w:t>https://tcmbblog.org/wps/wcm/connect/blog/en/main+menu/analyses/revisions+to+the+2026+consumer+price+index+and+their+implications</w:t>
        </w:r>
      </w:hyperlink>
      <w:r w:rsidR="00611AB1" w:rsidRPr="00611AB1">
        <w:rPr>
          <w:sz w:val="20"/>
          <w:szCs w:val="20"/>
        </w:rPr>
        <w:t xml:space="preserve"> </w:t>
      </w:r>
    </w:p>
  </w:footnote>
  <w:footnote w:id="8">
    <w:p w14:paraId="0104907F" w14:textId="77777777" w:rsidR="00322E2B" w:rsidRDefault="0000000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ILO: </w:t>
      </w:r>
      <w:r>
        <w:rPr>
          <w:i/>
          <w:iCs/>
          <w:color w:val="000000"/>
          <w:sz w:val="20"/>
          <w:szCs w:val="20"/>
        </w:rPr>
        <w:t>"Global Wage Report: Data"</w:t>
      </w:r>
      <w:r>
        <w:rPr>
          <w:color w:val="000000"/>
          <w:sz w:val="20"/>
          <w:szCs w:val="20"/>
        </w:rPr>
        <w:t xml:space="preserve">. </w:t>
      </w:r>
      <w:hyperlink r:id="rId8">
        <w:r w:rsidR="00322E2B">
          <w:rPr>
            <w:color w:val="0000FF"/>
            <w:sz w:val="20"/>
            <w:szCs w:val="20"/>
            <w:u w:val="single"/>
          </w:rPr>
          <w:t>https://www.ilo.org/publications/global-wage-report-data</w:t>
        </w:r>
      </w:hyperlink>
    </w:p>
  </w:footnote>
  <w:footnote w:id="9">
    <w:p w14:paraId="27280638" w14:textId="4425065E" w:rsidR="00322E2B" w:rsidRPr="00A20499" w:rsidRDefault="00000000">
      <w:pPr>
        <w:pBdr>
          <w:top w:val="nil"/>
          <w:left w:val="nil"/>
          <w:bottom w:val="nil"/>
          <w:right w:val="nil"/>
          <w:between w:val="nil"/>
        </w:pBdr>
        <w:rPr>
          <w:color w:val="000000"/>
          <w:sz w:val="20"/>
          <w:szCs w:val="20"/>
          <w:lang w:val="en-US"/>
        </w:rPr>
      </w:pPr>
      <w:r>
        <w:rPr>
          <w:vertAlign w:val="superscript"/>
        </w:rPr>
        <w:footnoteRef/>
      </w:r>
      <w:r w:rsidR="00494ED4">
        <w:rPr>
          <w:color w:val="000000"/>
          <w:sz w:val="20"/>
          <w:szCs w:val="20"/>
        </w:rPr>
        <w:t xml:space="preserve"> </w:t>
      </w:r>
      <w:r w:rsidR="00494ED4" w:rsidRPr="00494ED4">
        <w:rPr>
          <w:color w:val="000000"/>
          <w:sz w:val="20"/>
          <w:szCs w:val="20"/>
        </w:rPr>
        <w:t xml:space="preserve">Sait Erdal Dinçer, </w:t>
      </w:r>
      <w:r w:rsidR="00494ED4">
        <w:rPr>
          <w:color w:val="000000"/>
          <w:sz w:val="20"/>
          <w:szCs w:val="20"/>
        </w:rPr>
        <w:t>Ocak 2022’de görevden alınmadan önce</w:t>
      </w:r>
      <w:r w:rsidR="00494ED4" w:rsidRPr="00494ED4">
        <w:rPr>
          <w:color w:val="000000"/>
          <w:sz w:val="20"/>
          <w:szCs w:val="20"/>
        </w:rPr>
        <w:t xml:space="preserve"> TÜİK Başkanı’ydı</w:t>
      </w:r>
      <w:r w:rsidR="00494ED4" w:rsidRPr="00494ED4">
        <w:rPr>
          <w:i/>
          <w:iCs/>
          <w:color w:val="000000"/>
          <w:sz w:val="20"/>
          <w:szCs w:val="20"/>
        </w:rPr>
        <w:t>.</w:t>
      </w:r>
      <w:r w:rsidR="000F0383" w:rsidRPr="000F0383">
        <w:rPr>
          <w:color w:val="000000"/>
          <w:sz w:val="20"/>
          <w:szCs w:val="20"/>
        </w:rPr>
        <w:t xml:space="preserve"> Al Jazeera, </w:t>
      </w:r>
      <w:r w:rsidR="000F0383" w:rsidRPr="000F0383">
        <w:rPr>
          <w:i/>
          <w:iCs/>
          <w:color w:val="000000"/>
          <w:sz w:val="20"/>
          <w:szCs w:val="20"/>
        </w:rPr>
        <w:t xml:space="preserve"> "Erdogan sacks statistics chief after record annual inflation"</w:t>
      </w:r>
      <w:r w:rsidR="000F0383" w:rsidRPr="000F0383">
        <w:rPr>
          <w:color w:val="000000"/>
          <w:sz w:val="20"/>
          <w:szCs w:val="20"/>
        </w:rPr>
        <w:t xml:space="preserve"> (29 Ocak 2022). </w:t>
      </w:r>
      <w:hyperlink r:id="rId9" w:history="1">
        <w:r w:rsidR="000F0383" w:rsidRPr="000F0383">
          <w:rPr>
            <w:rStyle w:val="Hyperlink"/>
            <w:i/>
            <w:iCs/>
            <w:sz w:val="20"/>
            <w:szCs w:val="20"/>
          </w:rPr>
          <w:t>https://www.aljazeera.com/economy/2022/1/29/erdogan-sacks-statistics-chief-after-record-inflation</w:t>
        </w:r>
      </w:hyperlink>
    </w:p>
  </w:footnote>
  <w:footnote w:id="10">
    <w:p w14:paraId="318D7332" w14:textId="1AFCDB3A" w:rsidR="00E76F7E" w:rsidRPr="00E76F7E" w:rsidRDefault="00E76F7E">
      <w:pPr>
        <w:pStyle w:val="FootnoteText"/>
      </w:pPr>
      <w:r>
        <w:rPr>
          <w:rStyle w:val="FootnoteReference"/>
        </w:rPr>
        <w:footnoteRef/>
      </w:r>
      <w:r>
        <w:t xml:space="preserve"> </w:t>
      </w:r>
      <w:r w:rsidRPr="00E76F7E">
        <w:t>Aylık ücret serisi, TÜİK’in Hanehalkı İşgücü Anketi mikro verilerinden, hanehalkı kimlik numaralarına dayalı özel zamansal eşleştirme algoritmaları ile yeniden ölçeklendirilmiş örneklem ağırlıkları kullanılarak oluşturulmuş ve uyumlaştırılmıştır (20</w:t>
      </w:r>
      <w:r w:rsidR="00611AB1">
        <w:t>15</w:t>
      </w:r>
      <w:r w:rsidRPr="00E76F7E">
        <w:t>-2025)</w:t>
      </w:r>
      <w:r>
        <w:t>.</w:t>
      </w:r>
    </w:p>
  </w:footnote>
  <w:footnote w:id="11">
    <w:p w14:paraId="2D9A1346" w14:textId="0E790245" w:rsidR="004C7DB2" w:rsidRPr="004C7DB2" w:rsidRDefault="004C7DB2">
      <w:pPr>
        <w:pStyle w:val="FootnoteText"/>
      </w:pPr>
      <w:r>
        <w:rPr>
          <w:rStyle w:val="FootnoteReference"/>
        </w:rPr>
        <w:footnoteRef/>
      </w:r>
      <w:r>
        <w:t xml:space="preserve"> Bkz. </w:t>
      </w:r>
      <w:r w:rsidRPr="004C7DB2">
        <w:t>Betti, Ceritoğlu, Küçükbayrak &amp; Sevinç (2022)</w:t>
      </w:r>
      <w:r>
        <w:t>.</w:t>
      </w:r>
    </w:p>
  </w:footnote>
  <w:footnote w:id="12">
    <w:p w14:paraId="3863967D" w14:textId="76683EE3" w:rsidR="003A0ABF" w:rsidRPr="003A0ABF" w:rsidRDefault="003A0ABF">
      <w:pPr>
        <w:pStyle w:val="FootnoteText"/>
        <w:rPr>
          <w:lang w:val="en-US"/>
        </w:rPr>
      </w:pPr>
      <w:r>
        <w:rPr>
          <w:rStyle w:val="FootnoteReference"/>
        </w:rPr>
        <w:footnoteRef/>
      </w:r>
      <w:r>
        <w:t xml:space="preserve"> </w:t>
      </w:r>
      <w:r w:rsidRPr="003A0ABF">
        <w:rPr>
          <w:lang w:val="en-US"/>
        </w:rPr>
        <w:t>Asgari</w:t>
      </w:r>
      <w:r>
        <w:rPr>
          <w:lang w:val="en-US"/>
        </w:rPr>
        <w:t xml:space="preserve"> ücretli bir</w:t>
      </w:r>
      <w:r w:rsidRPr="003A0ABF">
        <w:rPr>
          <w:lang w:val="en-US"/>
        </w:rPr>
        <w:t xml:space="preserve"> çalışanın tasarruf kapasitesi</w:t>
      </w:r>
      <w:r>
        <w:rPr>
          <w:lang w:val="en-US"/>
        </w:rPr>
        <w:t xml:space="preserve">nin, ülkedeki ortalama kişininkinden büyük olasılıkla daha düşük olduğu ve bu nedenle etkiye ilişkin rakamın </w:t>
      </w:r>
      <w:r w:rsidR="001D2DFB">
        <w:rPr>
          <w:lang w:val="en-US"/>
        </w:rPr>
        <w:t>aslında daha</w:t>
      </w:r>
      <w:r>
        <w:rPr>
          <w:lang w:val="en-US"/>
        </w:rPr>
        <w:t xml:space="preserve"> yüksek olabileceği söylenebilir.</w:t>
      </w:r>
      <w:r w:rsidR="00CE394E">
        <w:rPr>
          <w:lang w:val="en-US"/>
        </w:rPr>
        <w:t xml:space="preserve"> Burada, </w:t>
      </w:r>
      <w:r w:rsidR="00C46F65" w:rsidRPr="00C46F65">
        <w:t>notun</w:t>
      </w:r>
      <w:r w:rsidR="00C46F65">
        <w:t xml:space="preserve"> </w:t>
      </w:r>
      <w:r w:rsidR="00CE394E">
        <w:rPr>
          <w:lang w:val="en-US"/>
        </w:rPr>
        <w:t>genel yaklaşımıyla tutarlı olacak şekilde muhafazakâr bir varsayım benimsenmiştir.</w:t>
      </w:r>
      <w:r w:rsidR="004C7DB2">
        <w:rPr>
          <w:lang w:val="en-US"/>
        </w:rPr>
        <w:t xml:space="preserve"> Diğer ülkelere kıyasla görece düşük olan tasarruf oranı, </w:t>
      </w:r>
      <w:r w:rsidR="004C7DB2" w:rsidRPr="004C7DB2">
        <w:t>Ceritoğlu &amp; Cılasun (2017)</w:t>
      </w:r>
      <w:r w:rsidR="004C7DB2">
        <w:t xml:space="preserve"> çalışmasında açıklanmaktadır.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65762"/>
    <w:multiLevelType w:val="multilevel"/>
    <w:tmpl w:val="1B76E028"/>
    <w:lvl w:ilvl="0">
      <w:start w:val="3"/>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0183113"/>
    <w:multiLevelType w:val="multilevel"/>
    <w:tmpl w:val="D8F0FA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00916205">
    <w:abstractNumId w:val="1"/>
  </w:num>
  <w:num w:numId="2" w16cid:durableId="1880778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2B"/>
    <w:rsid w:val="00067FF7"/>
    <w:rsid w:val="000743E9"/>
    <w:rsid w:val="000839A9"/>
    <w:rsid w:val="00092B1E"/>
    <w:rsid w:val="000B0422"/>
    <w:rsid w:val="000B3A44"/>
    <w:rsid w:val="000F0383"/>
    <w:rsid w:val="0011192A"/>
    <w:rsid w:val="00120231"/>
    <w:rsid w:val="00137888"/>
    <w:rsid w:val="00167F35"/>
    <w:rsid w:val="00180D52"/>
    <w:rsid w:val="0019549C"/>
    <w:rsid w:val="001C6F14"/>
    <w:rsid w:val="001D2DFB"/>
    <w:rsid w:val="00215FED"/>
    <w:rsid w:val="0024593F"/>
    <w:rsid w:val="00253CFA"/>
    <w:rsid w:val="003140FD"/>
    <w:rsid w:val="00322E2B"/>
    <w:rsid w:val="003346A8"/>
    <w:rsid w:val="0035593F"/>
    <w:rsid w:val="003A0ABF"/>
    <w:rsid w:val="003A608A"/>
    <w:rsid w:val="003C4AE5"/>
    <w:rsid w:val="004464CE"/>
    <w:rsid w:val="004706F0"/>
    <w:rsid w:val="00494ED4"/>
    <w:rsid w:val="004C1768"/>
    <w:rsid w:val="004C7DB2"/>
    <w:rsid w:val="004D5DA4"/>
    <w:rsid w:val="004E1ACA"/>
    <w:rsid w:val="005279FF"/>
    <w:rsid w:val="00530BF3"/>
    <w:rsid w:val="005322F0"/>
    <w:rsid w:val="00594E20"/>
    <w:rsid w:val="005D7B17"/>
    <w:rsid w:val="005D7E06"/>
    <w:rsid w:val="005F0961"/>
    <w:rsid w:val="005F0F2A"/>
    <w:rsid w:val="005F672D"/>
    <w:rsid w:val="00611AB1"/>
    <w:rsid w:val="0067101B"/>
    <w:rsid w:val="006D3598"/>
    <w:rsid w:val="006F4F37"/>
    <w:rsid w:val="00743484"/>
    <w:rsid w:val="00766059"/>
    <w:rsid w:val="0077452E"/>
    <w:rsid w:val="00774B6A"/>
    <w:rsid w:val="00793026"/>
    <w:rsid w:val="007A341F"/>
    <w:rsid w:val="007A4F82"/>
    <w:rsid w:val="007E2752"/>
    <w:rsid w:val="00895466"/>
    <w:rsid w:val="008A0FCC"/>
    <w:rsid w:val="00971708"/>
    <w:rsid w:val="00992D32"/>
    <w:rsid w:val="009C58E1"/>
    <w:rsid w:val="00A20499"/>
    <w:rsid w:val="00A25201"/>
    <w:rsid w:val="00A51F75"/>
    <w:rsid w:val="00A925EB"/>
    <w:rsid w:val="00AE5750"/>
    <w:rsid w:val="00AF602C"/>
    <w:rsid w:val="00B2142B"/>
    <w:rsid w:val="00B357CD"/>
    <w:rsid w:val="00BC74BA"/>
    <w:rsid w:val="00BD2E6D"/>
    <w:rsid w:val="00BD4E98"/>
    <w:rsid w:val="00BF0C0E"/>
    <w:rsid w:val="00C46F65"/>
    <w:rsid w:val="00C75C2B"/>
    <w:rsid w:val="00C833E5"/>
    <w:rsid w:val="00C9670C"/>
    <w:rsid w:val="00CD5DB8"/>
    <w:rsid w:val="00CE394E"/>
    <w:rsid w:val="00D03600"/>
    <w:rsid w:val="00D03D7D"/>
    <w:rsid w:val="00D43171"/>
    <w:rsid w:val="00D809CE"/>
    <w:rsid w:val="00DC3B68"/>
    <w:rsid w:val="00E1226E"/>
    <w:rsid w:val="00E60B25"/>
    <w:rsid w:val="00E76F7E"/>
    <w:rsid w:val="00EA0FF3"/>
    <w:rsid w:val="00EB4E0B"/>
    <w:rsid w:val="00F1222E"/>
    <w:rsid w:val="00F27CB6"/>
    <w:rsid w:val="00F41A66"/>
    <w:rsid w:val="00F65318"/>
    <w:rsid w:val="00F6758E"/>
    <w:rsid w:val="00F83C22"/>
    <w:rsid w:val="00F85CFD"/>
    <w:rsid w:val="00F96A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A5BF5"/>
  <w15:docId w15:val="{6B4F7782-ADF6-4B5B-A49C-E7BEFCDC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Arial" w:eastAsia="Arial" w:hAnsi="Arial" w:cs="Arial"/>
      <w:b/>
      <w:bCs/>
      <w:sz w:val="18"/>
      <w:szCs w:val="18"/>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70" w:type="dxa"/>
        <w:bottom w:w="0" w:type="dxa"/>
        <w:right w:w="70" w:type="dxa"/>
      </w:tblCellMar>
    </w:tblPr>
  </w:style>
  <w:style w:type="paragraph" w:styleId="FootnoteText">
    <w:name w:val="footnote text"/>
    <w:basedOn w:val="Normal"/>
    <w:link w:val="FootnoteTextChar"/>
    <w:uiPriority w:val="99"/>
    <w:semiHidden/>
    <w:unhideWhenUsed/>
    <w:rsid w:val="003A0ABF"/>
    <w:rPr>
      <w:sz w:val="20"/>
      <w:szCs w:val="20"/>
    </w:rPr>
  </w:style>
  <w:style w:type="character" w:customStyle="1" w:styleId="FootnoteTextChar">
    <w:name w:val="Footnote Text Char"/>
    <w:basedOn w:val="DefaultParagraphFont"/>
    <w:link w:val="FootnoteText"/>
    <w:uiPriority w:val="99"/>
    <w:semiHidden/>
    <w:rsid w:val="003A0ABF"/>
    <w:rPr>
      <w:sz w:val="20"/>
      <w:szCs w:val="20"/>
    </w:rPr>
  </w:style>
  <w:style w:type="character" w:styleId="FootnoteReference">
    <w:name w:val="footnote reference"/>
    <w:basedOn w:val="DefaultParagraphFont"/>
    <w:uiPriority w:val="99"/>
    <w:semiHidden/>
    <w:unhideWhenUsed/>
    <w:rsid w:val="003A0ABF"/>
    <w:rPr>
      <w:vertAlign w:val="superscript"/>
    </w:rPr>
  </w:style>
  <w:style w:type="character" w:styleId="Hyperlink">
    <w:name w:val="Hyperlink"/>
    <w:basedOn w:val="DefaultParagraphFont"/>
    <w:uiPriority w:val="99"/>
    <w:unhideWhenUsed/>
    <w:rsid w:val="000839A9"/>
    <w:rPr>
      <w:color w:val="0000FF" w:themeColor="hyperlink"/>
      <w:u w:val="single"/>
    </w:rPr>
  </w:style>
  <w:style w:type="character" w:styleId="UnresolvedMention">
    <w:name w:val="Unresolved Mention"/>
    <w:basedOn w:val="DefaultParagraphFont"/>
    <w:uiPriority w:val="99"/>
    <w:semiHidden/>
    <w:unhideWhenUsed/>
    <w:rsid w:val="000839A9"/>
    <w:rPr>
      <w:color w:val="605E5C"/>
      <w:shd w:val="clear" w:color="auto" w:fill="E1DFDD"/>
    </w:rPr>
  </w:style>
  <w:style w:type="character" w:styleId="FollowedHyperlink">
    <w:name w:val="FollowedHyperlink"/>
    <w:basedOn w:val="DefaultParagraphFont"/>
    <w:uiPriority w:val="99"/>
    <w:semiHidden/>
    <w:unhideWhenUsed/>
    <w:rsid w:val="00F675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ilo.org/publications/global-wage-report-data" TargetMode="External"/><Relationship Id="rId3" Type="http://schemas.openxmlformats.org/officeDocument/2006/relationships/hyperlink" Target="https://www.yahoo.com/news/turkish-opposition-questions-credibility-inflation-141819922.html" TargetMode="External"/><Relationship Id="rId7" Type="http://schemas.openxmlformats.org/officeDocument/2006/relationships/hyperlink" Target="https://tcmbblog.org/wps/wcm/connect/blog/en/main+menu/analyses/revisions+to+the+2026+consumer+price+index+and+their+implications" TargetMode="External"/><Relationship Id="rId2" Type="http://schemas.openxmlformats.org/officeDocument/2006/relationships/hyperlink" Target="mailto:luis.pinedo@bau.edu.tr" TargetMode="External"/><Relationship Id="rId1" Type="http://schemas.openxmlformats.org/officeDocument/2006/relationships/hyperlink" Target="https://betam.bahcesehir.edu.tr/2026/08/" TargetMode="External"/><Relationship Id="rId6" Type="http://schemas.openxmlformats.org/officeDocument/2006/relationships/hyperlink" Target="https://nordicmonitor.com/2025/03/turkeys-inflation-data-is-deliberately-underreported-lawsuit-alleges-casting-doubts-on-reliability-of-official-statistics/" TargetMode="External"/><Relationship Id="rId5" Type="http://schemas.openxmlformats.org/officeDocument/2006/relationships/hyperlink" Target="https://www.intellinews.com/turkey-moving-to-jail-researchers-who-publish-unapproved-economic-data-241561/" TargetMode="External"/><Relationship Id="rId4" Type="http://schemas.openxmlformats.org/officeDocument/2006/relationships/hyperlink" Target="https://bianet.org/english/freedom-of-expression/243775-turkstat-files-complaint-against-independent-inflation-research-group" TargetMode="External"/><Relationship Id="rId9" Type="http://schemas.openxmlformats.org/officeDocument/2006/relationships/hyperlink" Target="https://www.aljazeera.com/economy/2022/1/29/erdogan-sacks-statistics-chief-after-record-inflatio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3%2013-8-202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uis%20Pinedo\Documents\BAU\Research\-%20BETAM%20briefs\Special%20editions\1%20-%20Inflation%20and%20salaries\Data\main%20dataset%20v4%2015-8-202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72676497419998"/>
          <c:y val="6.3437139561707032E-2"/>
          <c:w val="0.64801737643848956"/>
          <c:h val="0.7031813929833165"/>
        </c:manualLayout>
      </c:layout>
      <c:lineChart>
        <c:grouping val="standard"/>
        <c:varyColors val="0"/>
        <c:ser>
          <c:idx val="1"/>
          <c:order val="0"/>
          <c:tx>
            <c:strRef>
              <c:f>Figures!$H$1:$H$2</c:f>
              <c:strCache>
                <c:ptCount val="2"/>
                <c:pt idx="1">
                  <c:v>ENAG ortalama ücret (2020-)</c:v>
                </c:pt>
              </c:strCache>
            </c:strRef>
          </c:tx>
          <c:spPr>
            <a:ln w="9525" cap="rnd">
              <a:solidFill>
                <a:srgbClr val="00B050"/>
              </a:solidFill>
              <a:round/>
            </a:ln>
            <a:effectLst/>
          </c:spPr>
          <c:marker>
            <c:symbol val="square"/>
            <c:size val="2"/>
            <c:spPr>
              <a:solidFill>
                <a:srgbClr val="92D050"/>
              </a:solidFill>
              <a:ln w="9525">
                <a:solidFill>
                  <a:srgbClr val="00B050"/>
                </a:solidFill>
              </a:ln>
              <a:effectLst/>
            </c:spPr>
          </c:marker>
          <c:dPt>
            <c:idx val="82"/>
            <c:marker>
              <c:symbol val="square"/>
              <c:size val="2"/>
              <c:spPr>
                <a:solidFill>
                  <a:srgbClr val="92D050"/>
                </a:solidFill>
                <a:ln w="9525">
                  <a:solidFill>
                    <a:srgbClr val="00B050"/>
                  </a:solidFill>
                </a:ln>
                <a:effectLst/>
              </c:spPr>
            </c:marker>
            <c:bubble3D val="0"/>
            <c:spPr>
              <a:ln w="12700" cap="rnd" cmpd="dbl">
                <a:solidFill>
                  <a:srgbClr val="00B050"/>
                </a:solidFill>
                <a:round/>
              </a:ln>
              <a:effectLst/>
            </c:spPr>
            <c:extLst>
              <c:ext xmlns:c16="http://schemas.microsoft.com/office/drawing/2014/chart" uri="{C3380CC4-5D6E-409C-BE32-E72D297353CC}">
                <c16:uniqueId val="{00000001-2998-47F9-BD83-32F701CD5B84}"/>
              </c:ext>
            </c:extLst>
          </c:dPt>
          <c:cat>
            <c:multiLvlStrRef>
              <c:f>Figures!$E$3:$F$134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Figures!$H$3:$H$134</c:f>
              <c:numCache>
                <c:formatCode>General</c:formatCode>
                <c:ptCount val="132"/>
                <c:pt idx="68">
                  <c:v>1896.0250027725549</c:v>
                </c:pt>
                <c:pt idx="69">
                  <c:v>1832.4208693260393</c:v>
                </c:pt>
                <c:pt idx="70">
                  <c:v>1801.0739889024956</c:v>
                </c:pt>
                <c:pt idx="71">
                  <c:v>1763.1280100002564</c:v>
                </c:pt>
                <c:pt idx="72">
                  <c:v>1785.8842440941351</c:v>
                </c:pt>
                <c:pt idx="73">
                  <c:v>1843.7987303330397</c:v>
                </c:pt>
                <c:pt idx="74">
                  <c:v>1759.1041739118086</c:v>
                </c:pt>
                <c:pt idx="75">
                  <c:v>1756.2691720576058</c:v>
                </c:pt>
                <c:pt idx="76">
                  <c:v>1664.1964119915056</c:v>
                </c:pt>
                <c:pt idx="77">
                  <c:v>1623.5915912685809</c:v>
                </c:pt>
                <c:pt idx="78">
                  <c:v>1547.38817394177</c:v>
                </c:pt>
                <c:pt idx="79">
                  <c:v>1483.8098364038865</c:v>
                </c:pt>
                <c:pt idx="80">
                  <c:v>1451.1917150469164</c:v>
                </c:pt>
                <c:pt idx="81">
                  <c:v>1380.445308118479</c:v>
                </c:pt>
                <c:pt idx="82">
                  <c:v>1304.3751388691533</c:v>
                </c:pt>
                <c:pt idx="83">
                  <c:v>1071.6978505672432</c:v>
                </c:pt>
                <c:pt idx="84">
                  <c:v>1067.084321813343</c:v>
                </c:pt>
                <c:pt idx="85">
                  <c:v>1196.1210068314092</c:v>
                </c:pt>
                <c:pt idx="86">
                  <c:v>1088.1112170329793</c:v>
                </c:pt>
                <c:pt idx="87">
                  <c:v>1030.9590666444549</c:v>
                </c:pt>
                <c:pt idx="88">
                  <c:v>1000.0793630403157</c:v>
                </c:pt>
                <c:pt idx="89">
                  <c:v>912.7349855052189</c:v>
                </c:pt>
                <c:pt idx="90">
                  <c:v>1012.3264360595336</c:v>
                </c:pt>
                <c:pt idx="91">
                  <c:v>1016.8138308909306</c:v>
                </c:pt>
                <c:pt idx="92">
                  <c:v>996.03307295936202</c:v>
                </c:pt>
                <c:pt idx="93">
                  <c:v>973.70144996319766</c:v>
                </c:pt>
                <c:pt idx="94">
                  <c:v>949.71260769303103</c:v>
                </c:pt>
                <c:pt idx="95">
                  <c:v>886.94325001846175</c:v>
                </c:pt>
                <c:pt idx="96">
                  <c:v>965.03526826645862</c:v>
                </c:pt>
                <c:pt idx="97">
                  <c:v>1107.6108283916246</c:v>
                </c:pt>
                <c:pt idx="98">
                  <c:v>1076.3067709327206</c:v>
                </c:pt>
                <c:pt idx="99">
                  <c:v>1073.7677097047192</c:v>
                </c:pt>
                <c:pt idx="100">
                  <c:v>990.77604066929314</c:v>
                </c:pt>
                <c:pt idx="101">
                  <c:v>899.35955533884226</c:v>
                </c:pt>
                <c:pt idx="102">
                  <c:v>920.2329097301913</c:v>
                </c:pt>
                <c:pt idx="103">
                  <c:v>989.16037512795992</c:v>
                </c:pt>
                <c:pt idx="104">
                  <c:v>951.92936278355069</c:v>
                </c:pt>
                <c:pt idx="105">
                  <c:v>943.72060190798834</c:v>
                </c:pt>
                <c:pt idx="106">
                  <c:v>925.27946335342142</c:v>
                </c:pt>
                <c:pt idx="107">
                  <c:v>866.92679111899633</c:v>
                </c:pt>
                <c:pt idx="108">
                  <c:v>912.94600428125989</c:v>
                </c:pt>
                <c:pt idx="109">
                  <c:v>1025.9754896292698</c:v>
                </c:pt>
                <c:pt idx="110">
                  <c:v>1001.6267286773024</c:v>
                </c:pt>
                <c:pt idx="111">
                  <c:v>1001.3379787949374</c:v>
                </c:pt>
                <c:pt idx="112">
                  <c:v>944.59927109890111</c:v>
                </c:pt>
                <c:pt idx="113">
                  <c:v>911.03863865674896</c:v>
                </c:pt>
                <c:pt idx="114">
                  <c:v>905.39333201050681</c:v>
                </c:pt>
                <c:pt idx="115">
                  <c:v>883.83148048891451</c:v>
                </c:pt>
                <c:pt idx="116">
                  <c:v>844.41418363551577</c:v>
                </c:pt>
                <c:pt idx="117">
                  <c:v>821.9615447429818</c:v>
                </c:pt>
                <c:pt idx="118">
                  <c:v>783.22947791919194</c:v>
                </c:pt>
                <c:pt idx="119">
                  <c:v>765.34692346188308</c:v>
                </c:pt>
                <c:pt idx="120">
                  <c:v>771.89552431807022</c:v>
                </c:pt>
                <c:pt idx="121">
                  <c:v>820.22033968576943</c:v>
                </c:pt>
                <c:pt idx="122">
                  <c:v>816.51064535391117</c:v>
                </c:pt>
                <c:pt idx="123">
                  <c:v>803.71276173104229</c:v>
                </c:pt>
                <c:pt idx="124">
                  <c:v>777.67530794280731</c:v>
                </c:pt>
                <c:pt idx="125">
                  <c:v>774.01694222318599</c:v>
                </c:pt>
                <c:pt idx="126">
                  <c:v>744.85259970554864</c:v>
                </c:pt>
                <c:pt idx="127">
                  <c:v>744.64087450873626</c:v>
                </c:pt>
                <c:pt idx="128">
                  <c:v>715.00678021337137</c:v>
                </c:pt>
                <c:pt idx="129">
                  <c:v>691.7758558273672</c:v>
                </c:pt>
                <c:pt idx="130">
                  <c:v>693.05186795797192</c:v>
                </c:pt>
                <c:pt idx="131">
                  <c:v>674.68036332410168</c:v>
                </c:pt>
              </c:numCache>
            </c:numRef>
          </c:val>
          <c:smooth val="0"/>
          <c:extLst>
            <c:ext xmlns:c16="http://schemas.microsoft.com/office/drawing/2014/chart" uri="{C3380CC4-5D6E-409C-BE32-E72D297353CC}">
              <c16:uniqueId val="{00000002-2998-47F9-BD83-32F701CD5B84}"/>
            </c:ext>
          </c:extLst>
        </c:ser>
        <c:ser>
          <c:idx val="3"/>
          <c:order val="1"/>
          <c:tx>
            <c:strRef>
              <c:f>Figures!$J$1:$J$2</c:f>
              <c:strCache>
                <c:ptCount val="2"/>
                <c:pt idx="1">
                  <c:v>TÜİK ortalama ücret</c:v>
                </c:pt>
              </c:strCache>
            </c:strRef>
          </c:tx>
          <c:spPr>
            <a:ln w="12700" cap="rnd">
              <a:solidFill>
                <a:schemeClr val="accent2">
                  <a:lumMod val="50000"/>
                </a:schemeClr>
              </a:solidFill>
              <a:round/>
            </a:ln>
            <a:effectLst/>
          </c:spPr>
          <c:marker>
            <c:symbol val="square"/>
            <c:size val="2"/>
            <c:spPr>
              <a:solidFill>
                <a:schemeClr val="accent2">
                  <a:lumMod val="50000"/>
                </a:schemeClr>
              </a:solidFill>
              <a:ln w="9525">
                <a:solidFill>
                  <a:schemeClr val="accent2">
                    <a:lumMod val="50000"/>
                  </a:schemeClr>
                </a:solidFill>
              </a:ln>
              <a:effectLst/>
            </c:spPr>
          </c:marker>
          <c:cat>
            <c:multiLvlStrRef>
              <c:f>Figures!$E$3:$F$134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Figures!$J$3:$J$134</c:f>
              <c:numCache>
                <c:formatCode>General</c:formatCode>
                <c:ptCount val="132"/>
                <c:pt idx="0">
                  <c:v>1670.1925000000001</c:v>
                </c:pt>
                <c:pt idx="1">
                  <c:v>1601.2665077946579</c:v>
                </c:pt>
                <c:pt idx="2">
                  <c:v>1653.9718900049197</c:v>
                </c:pt>
                <c:pt idx="3">
                  <c:v>1613.6588327197555</c:v>
                </c:pt>
                <c:pt idx="4">
                  <c:v>1554.024725491799</c:v>
                </c:pt>
                <c:pt idx="5">
                  <c:v>1657.2535115477497</c:v>
                </c:pt>
                <c:pt idx="6">
                  <c:v>1629.2716019537861</c:v>
                </c:pt>
                <c:pt idx="7">
                  <c:v>1571.0931507782682</c:v>
                </c:pt>
                <c:pt idx="8">
                  <c:v>1647.8385197944356</c:v>
                </c:pt>
                <c:pt idx="9">
                  <c:v>1611.0388408734216</c:v>
                </c:pt>
                <c:pt idx="10">
                  <c:v>1604.8502082252467</c:v>
                </c:pt>
                <c:pt idx="11">
                  <c:v>1660.2448639877268</c:v>
                </c:pt>
                <c:pt idx="12">
                  <c:v>1717.9149459478592</c:v>
                </c:pt>
                <c:pt idx="13">
                  <c:v>1768.8333414845672</c:v>
                </c:pt>
                <c:pt idx="14">
                  <c:v>1844.3388016061224</c:v>
                </c:pt>
                <c:pt idx="15">
                  <c:v>1762.9741022087385</c:v>
                </c:pt>
                <c:pt idx="16">
                  <c:v>1736.5613211216571</c:v>
                </c:pt>
                <c:pt idx="17">
                  <c:v>1862.2151940783651</c:v>
                </c:pt>
                <c:pt idx="18">
                  <c:v>1722.1308779985409</c:v>
                </c:pt>
                <c:pt idx="19">
                  <c:v>1705.2723373311494</c:v>
                </c:pt>
                <c:pt idx="20">
                  <c:v>1792.905986597661</c:v>
                </c:pt>
                <c:pt idx="21">
                  <c:v>1736.1261708717061</c:v>
                </c:pt>
                <c:pt idx="22">
                  <c:v>1732.0600281452325</c:v>
                </c:pt>
                <c:pt idx="23">
                  <c:v>1793.0662981106152</c:v>
                </c:pt>
                <c:pt idx="24">
                  <c:v>1794.619260300218</c:v>
                </c:pt>
                <c:pt idx="25">
                  <c:v>1763.9360163362649</c:v>
                </c:pt>
                <c:pt idx="26">
                  <c:v>1843.5577855587621</c:v>
                </c:pt>
                <c:pt idx="27">
                  <c:v>1773.1601720801796</c:v>
                </c:pt>
                <c:pt idx="28">
                  <c:v>1710.9667669483854</c:v>
                </c:pt>
                <c:pt idx="29">
                  <c:v>1790.2915693530697</c:v>
                </c:pt>
                <c:pt idx="30">
                  <c:v>1741.4062671807246</c:v>
                </c:pt>
                <c:pt idx="31">
                  <c:v>1723.4597991714438</c:v>
                </c:pt>
                <c:pt idx="32">
                  <c:v>1768.9496645757247</c:v>
                </c:pt>
                <c:pt idx="33">
                  <c:v>1736.3758076491263</c:v>
                </c:pt>
                <c:pt idx="34">
                  <c:v>1713.7229530758364</c:v>
                </c:pt>
                <c:pt idx="35">
                  <c:v>1720.347857047668</c:v>
                </c:pt>
                <c:pt idx="36">
                  <c:v>1784.9114215046216</c:v>
                </c:pt>
                <c:pt idx="37">
                  <c:v>1774.1928741612953</c:v>
                </c:pt>
                <c:pt idx="38">
                  <c:v>1830.0947247491929</c:v>
                </c:pt>
                <c:pt idx="39">
                  <c:v>1795.679965259623</c:v>
                </c:pt>
                <c:pt idx="40">
                  <c:v>1753.9512295296979</c:v>
                </c:pt>
                <c:pt idx="41">
                  <c:v>1770.05963070296</c:v>
                </c:pt>
                <c:pt idx="42">
                  <c:v>1755.7151258536767</c:v>
                </c:pt>
                <c:pt idx="43">
                  <c:v>1689.8997581994863</c:v>
                </c:pt>
                <c:pt idx="44">
                  <c:v>1675.7269407874392</c:v>
                </c:pt>
                <c:pt idx="45">
                  <c:v>1636.5292901976213</c:v>
                </c:pt>
                <c:pt idx="46">
                  <c:v>1650.8745365377622</c:v>
                </c:pt>
                <c:pt idx="47">
                  <c:v>1684.9463818688873</c:v>
                </c:pt>
                <c:pt idx="48">
                  <c:v>1739.3935633208755</c:v>
                </c:pt>
                <c:pt idx="49">
                  <c:v>1842.8624550749582</c:v>
                </c:pt>
                <c:pt idx="50">
                  <c:v>1864.3511617505749</c:v>
                </c:pt>
                <c:pt idx="51">
                  <c:v>1809.3085240188773</c:v>
                </c:pt>
                <c:pt idx="52">
                  <c:v>1818.3465582224735</c:v>
                </c:pt>
                <c:pt idx="53">
                  <c:v>1856.1549953965284</c:v>
                </c:pt>
                <c:pt idx="54">
                  <c:v>1793.8099204038922</c:v>
                </c:pt>
                <c:pt idx="55">
                  <c:v>1840.3441978778603</c:v>
                </c:pt>
                <c:pt idx="56">
                  <c:v>1861.6883414536551</c:v>
                </c:pt>
                <c:pt idx="57">
                  <c:v>1786.2202569470862</c:v>
                </c:pt>
                <c:pt idx="58">
                  <c:v>1824.7085608937655</c:v>
                </c:pt>
                <c:pt idx="59">
                  <c:v>1822.8578121851663</c:v>
                </c:pt>
                <c:pt idx="60">
                  <c:v>1880.0107410879732</c:v>
                </c:pt>
                <c:pt idx="61">
                  <c:v>2027.3575200873681</c:v>
                </c:pt>
                <c:pt idx="62">
                  <c:v>1957.0635710728707</c:v>
                </c:pt>
                <c:pt idx="63">
                  <c:v>2027.7153763114088</c:v>
                </c:pt>
                <c:pt idx="64">
                  <c:v>2027.1964867358488</c:v>
                </c:pt>
                <c:pt idx="65">
                  <c:v>1943.6144032613879</c:v>
                </c:pt>
                <c:pt idx="66">
                  <c:v>1922.8791225453272</c:v>
                </c:pt>
                <c:pt idx="67">
                  <c:v>1898.2838059047479</c:v>
                </c:pt>
                <c:pt idx="68">
                  <c:v>1945.5991931986175</c:v>
                </c:pt>
                <c:pt idx="69">
                  <c:v>1888.2488418436847</c:v>
                </c:pt>
                <c:pt idx="70">
                  <c:v>1876.4476072402235</c:v>
                </c:pt>
                <c:pt idx="71">
                  <c:v>1888.2564865972881</c:v>
                </c:pt>
                <c:pt idx="72">
                  <c:v>1937.2691681970332</c:v>
                </c:pt>
                <c:pt idx="73">
                  <c:v>2018.5260427858664</c:v>
                </c:pt>
                <c:pt idx="74">
                  <c:v>1969.2446393066589</c:v>
                </c:pt>
                <c:pt idx="75">
                  <c:v>1984.246686664869</c:v>
                </c:pt>
                <c:pt idx="76">
                  <c:v>1937.0630520743762</c:v>
                </c:pt>
                <c:pt idx="77">
                  <c:v>1914.6419470773217</c:v>
                </c:pt>
                <c:pt idx="78">
                  <c:v>1880.1667014005111</c:v>
                </c:pt>
                <c:pt idx="79">
                  <c:v>1855.3339423957927</c:v>
                </c:pt>
                <c:pt idx="80">
                  <c:v>1843.939933334681</c:v>
                </c:pt>
                <c:pt idx="81">
                  <c:v>1831.3078061208907</c:v>
                </c:pt>
                <c:pt idx="82">
                  <c:v>1837.382406522785</c:v>
                </c:pt>
                <c:pt idx="83">
                  <c:v>1586.3169311497788</c:v>
                </c:pt>
                <c:pt idx="84">
                  <c:v>1646.1648873438342</c:v>
                </c:pt>
                <c:pt idx="85">
                  <c:v>1856.3180556449693</c:v>
                </c:pt>
                <c:pt idx="86">
                  <c:v>1792.2941830463853</c:v>
                </c:pt>
                <c:pt idx="87">
                  <c:v>1720.7974711624665</c:v>
                </c:pt>
                <c:pt idx="88">
                  <c:v>1709.4550356245343</c:v>
                </c:pt>
                <c:pt idx="89">
                  <c:v>1610.104362747838</c:v>
                </c:pt>
                <c:pt idx="90">
                  <c:v>1832.1902582667817</c:v>
                </c:pt>
                <c:pt idx="91">
                  <c:v>1920.120427943275</c:v>
                </c:pt>
                <c:pt idx="92">
                  <c:v>1921.38653868809</c:v>
                </c:pt>
                <c:pt idx="93">
                  <c:v>1944.3408166242839</c:v>
                </c:pt>
                <c:pt idx="94">
                  <c:v>1921.5081330889209</c:v>
                </c:pt>
                <c:pt idx="95">
                  <c:v>1865.4531565344603</c:v>
                </c:pt>
                <c:pt idx="96">
                  <c:v>2079.371258659874</c:v>
                </c:pt>
                <c:pt idx="97">
                  <c:v>2480.5164301833684</c:v>
                </c:pt>
                <c:pt idx="98">
                  <c:v>2476.155263664722</c:v>
                </c:pt>
                <c:pt idx="99">
                  <c:v>2529.9063827045557</c:v>
                </c:pt>
                <c:pt idx="100">
                  <c:v>2504.9437182537922</c:v>
                </c:pt>
                <c:pt idx="101">
                  <c:v>2374.9064615701323</c:v>
                </c:pt>
                <c:pt idx="102">
                  <c:v>2511.9220042412999</c:v>
                </c:pt>
                <c:pt idx="103">
                  <c:v>2687.6950513723859</c:v>
                </c:pt>
                <c:pt idx="104">
                  <c:v>2623.3246164556676</c:v>
                </c:pt>
                <c:pt idx="105">
                  <c:v>2642.4429203871227</c:v>
                </c:pt>
                <c:pt idx="106">
                  <c:v>2648.5033726502338</c:v>
                </c:pt>
                <c:pt idx="107">
                  <c:v>2510.164702427543</c:v>
                </c:pt>
                <c:pt idx="108">
                  <c:v>2709.8071582824714</c:v>
                </c:pt>
                <c:pt idx="109">
                  <c:v>3039.1833912130883</c:v>
                </c:pt>
                <c:pt idx="110">
                  <c:v>3039.5360450063313</c:v>
                </c:pt>
                <c:pt idx="111">
                  <c:v>3092.8479617501621</c:v>
                </c:pt>
                <c:pt idx="112">
                  <c:v>2982.2330525402667</c:v>
                </c:pt>
                <c:pt idx="113">
                  <c:v>2950.7029223793011</c:v>
                </c:pt>
                <c:pt idx="114">
                  <c:v>3008.5485392635883</c:v>
                </c:pt>
                <c:pt idx="115">
                  <c:v>2965.5613311664888</c:v>
                </c:pt>
                <c:pt idx="116">
                  <c:v>2898.515083327969</c:v>
                </c:pt>
                <c:pt idx="117">
                  <c:v>2895.2169374076188</c:v>
                </c:pt>
                <c:pt idx="118">
                  <c:v>2807.8998667588462</c:v>
                </c:pt>
                <c:pt idx="119">
                  <c:v>2779.3676114463201</c:v>
                </c:pt>
                <c:pt idx="120">
                  <c:v>2888.2869526501663</c:v>
                </c:pt>
                <c:pt idx="121">
                  <c:v>3102.1201206472497</c:v>
                </c:pt>
                <c:pt idx="122">
                  <c:v>3131.7920729808629</c:v>
                </c:pt>
                <c:pt idx="123">
                  <c:v>3126.4013556185705</c:v>
                </c:pt>
                <c:pt idx="124">
                  <c:v>3088.5809909159771</c:v>
                </c:pt>
                <c:pt idx="125">
                  <c:v>3124.9976918203579</c:v>
                </c:pt>
                <c:pt idx="126">
                  <c:v>3057.0469823833205</c:v>
                </c:pt>
                <c:pt idx="127">
                  <c:v>3091.8194464317576</c:v>
                </c:pt>
                <c:pt idx="128">
                  <c:v>2984.8808347375161</c:v>
                </c:pt>
                <c:pt idx="129">
                  <c:v>2921.4120524836426</c:v>
                </c:pt>
                <c:pt idx="130">
                  <c:v>2963.3603508169763</c:v>
                </c:pt>
                <c:pt idx="131">
                  <c:v>2919.6914071132796</c:v>
                </c:pt>
              </c:numCache>
            </c:numRef>
          </c:val>
          <c:smooth val="0"/>
          <c:extLst>
            <c:ext xmlns:c16="http://schemas.microsoft.com/office/drawing/2014/chart" uri="{C3380CC4-5D6E-409C-BE32-E72D297353CC}">
              <c16:uniqueId val="{00000003-2998-47F9-BD83-32F701CD5B84}"/>
            </c:ext>
          </c:extLst>
        </c:ser>
        <c:dLbls>
          <c:showLegendKey val="0"/>
          <c:showVal val="0"/>
          <c:showCatName val="0"/>
          <c:showSerName val="0"/>
          <c:showPercent val="0"/>
          <c:showBubbleSize val="0"/>
        </c:dLbls>
        <c:marker val="1"/>
        <c:smooth val="0"/>
        <c:axId val="859530767"/>
        <c:axId val="579398895"/>
      </c:lineChart>
      <c:catAx>
        <c:axId val="85953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s-ES"/>
          </a:p>
        </c:txPr>
        <c:crossAx val="579398895"/>
        <c:crosses val="autoZero"/>
        <c:auto val="1"/>
        <c:lblAlgn val="ctr"/>
        <c:lblOffset val="100"/>
        <c:noMultiLvlLbl val="0"/>
      </c:catAx>
      <c:valAx>
        <c:axId val="57939889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Reel 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859530767"/>
        <c:crosses val="autoZero"/>
        <c:crossBetween val="between"/>
      </c:valAx>
      <c:spPr>
        <a:noFill/>
        <a:ln>
          <a:noFill/>
        </a:ln>
        <a:effectLst/>
      </c:spPr>
    </c:plotArea>
    <c:legend>
      <c:legendPos val="r"/>
      <c:layout>
        <c:manualLayout>
          <c:xMode val="edge"/>
          <c:yMode val="edge"/>
          <c:x val="0.76674414141268954"/>
          <c:y val="0.24368852682342043"/>
          <c:w val="0.22037064437062409"/>
          <c:h val="0.431884768729168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72676497419998"/>
          <c:y val="5.4685558041262738E-2"/>
          <c:w val="0.64759886062239647"/>
          <c:h val="0.74332548476183202"/>
        </c:manualLayout>
      </c:layout>
      <c:lineChart>
        <c:grouping val="standard"/>
        <c:varyColors val="0"/>
        <c:ser>
          <c:idx val="0"/>
          <c:order val="0"/>
          <c:tx>
            <c:strRef>
              <c:f>Figures!$G$2</c:f>
              <c:strCache>
                <c:ptCount val="1"/>
                <c:pt idx="0">
                  <c:v>ENAG asgari ücret (2020-)</c:v>
                </c:pt>
              </c:strCache>
            </c:strRef>
          </c:tx>
          <c:spPr>
            <a:ln w="12700" cap="rnd" cmpd="dbl">
              <a:solidFill>
                <a:srgbClr val="00B050"/>
              </a:solidFill>
              <a:round/>
            </a:ln>
            <a:effectLst/>
          </c:spPr>
          <c:marker>
            <c:symbol val="square"/>
            <c:size val="2"/>
            <c:spPr>
              <a:solidFill>
                <a:srgbClr val="92D050"/>
              </a:solidFill>
              <a:ln w="9525">
                <a:solidFill>
                  <a:srgbClr val="00B050"/>
                </a:solidFill>
              </a:ln>
              <a:effectLst/>
            </c:spPr>
          </c:marker>
          <c:cat>
            <c:multiLvlStrRef>
              <c:f>Figures!$A$3:$B$134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Figures!$G$3:$G$134</c:f>
              <c:numCache>
                <c:formatCode>General</c:formatCode>
                <c:ptCount val="132"/>
                <c:pt idx="68">
                  <c:v>1189.2878449720556</c:v>
                </c:pt>
                <c:pt idx="69">
                  <c:v>1159.6020329290716</c:v>
                </c:pt>
                <c:pt idx="70">
                  <c:v>1121.1467010819601</c:v>
                </c:pt>
                <c:pt idx="71">
                  <c:v>1077.1970609934285</c:v>
                </c:pt>
                <c:pt idx="72">
                  <c:v>1271.4172730538362</c:v>
                </c:pt>
                <c:pt idx="73">
                  <c:v>1248.4458690630759</c:v>
                </c:pt>
                <c:pt idx="74">
                  <c:v>1207.8617154248022</c:v>
                </c:pt>
                <c:pt idx="75">
                  <c:v>1177.0236946256111</c:v>
                </c:pt>
                <c:pt idx="76">
                  <c:v>1132.4068641770359</c:v>
                </c:pt>
                <c:pt idx="77">
                  <c:v>1096.4435168251705</c:v>
                </c:pt>
                <c:pt idx="78">
                  <c:v>1045.3270252885598</c:v>
                </c:pt>
                <c:pt idx="79">
                  <c:v>1004.5425958952142</c:v>
                </c:pt>
                <c:pt idx="80">
                  <c:v>976.32675274099938</c:v>
                </c:pt>
                <c:pt idx="81">
                  <c:v>913.30846842001824</c:v>
                </c:pt>
                <c:pt idx="82">
                  <c:v>830.96030244747362</c:v>
                </c:pt>
                <c:pt idx="83">
                  <c:v>696.23820900500516</c:v>
                </c:pt>
                <c:pt idx="84">
                  <c:v>905.03679617929708</c:v>
                </c:pt>
                <c:pt idx="85">
                  <c:v>858.34294023074449</c:v>
                </c:pt>
                <c:pt idx="86">
                  <c:v>766.85691077525644</c:v>
                </c:pt>
                <c:pt idx="87">
                  <c:v>705.60996574830369</c:v>
                </c:pt>
                <c:pt idx="88">
                  <c:v>669.07829105661267</c:v>
                </c:pt>
                <c:pt idx="89">
                  <c:v>617.74378271314993</c:v>
                </c:pt>
                <c:pt idx="90">
                  <c:v>760.58738231480766</c:v>
                </c:pt>
                <c:pt idx="91">
                  <c:v>718.48420774117483</c:v>
                </c:pt>
                <c:pt idx="92">
                  <c:v>682.32118493938742</c:v>
                </c:pt>
                <c:pt idx="93">
                  <c:v>636.61241364003297</c:v>
                </c:pt>
                <c:pt idx="94">
                  <c:v>610.71797164239547</c:v>
                </c:pt>
                <c:pt idx="95">
                  <c:v>580.64077927590358</c:v>
                </c:pt>
                <c:pt idx="96">
                  <c:v>821.92548163291576</c:v>
                </c:pt>
                <c:pt idx="97">
                  <c:v>766.65001551433227</c:v>
                </c:pt>
                <c:pt idx="98">
                  <c:v>729.58699611185034</c:v>
                </c:pt>
                <c:pt idx="99">
                  <c:v>695.77245480817317</c:v>
                </c:pt>
                <c:pt idx="100">
                  <c:v>648.13456432992382</c:v>
                </c:pt>
                <c:pt idx="101">
                  <c:v>597.13890209132467</c:v>
                </c:pt>
                <c:pt idx="102">
                  <c:v>707.16778464323772</c:v>
                </c:pt>
                <c:pt idx="103">
                  <c:v>651.22735486070326</c:v>
                </c:pt>
                <c:pt idx="104">
                  <c:v>612.9775554035233</c:v>
                </c:pt>
                <c:pt idx="105">
                  <c:v>583.28818670046951</c:v>
                </c:pt>
                <c:pt idx="106">
                  <c:v>552.46087014630564</c:v>
                </c:pt>
                <c:pt idx="107">
                  <c:v>530.60014420505729</c:v>
                </c:pt>
                <c:pt idx="108">
                  <c:v>723.33469492293864</c:v>
                </c:pt>
                <c:pt idx="109">
                  <c:v>693.38065080803165</c:v>
                </c:pt>
                <c:pt idx="110">
                  <c:v>656.11340916732752</c:v>
                </c:pt>
                <c:pt idx="111">
                  <c:v>624.75091331872738</c:v>
                </c:pt>
                <c:pt idx="112">
                  <c:v>591.28422612031738</c:v>
                </c:pt>
                <c:pt idx="113">
                  <c:v>567.07032331477649</c:v>
                </c:pt>
                <c:pt idx="114">
                  <c:v>535.42661062673642</c:v>
                </c:pt>
                <c:pt idx="115">
                  <c:v>517.47038815766541</c:v>
                </c:pt>
                <c:pt idx="116">
                  <c:v>491.23826481646614</c:v>
                </c:pt>
                <c:pt idx="117">
                  <c:v>465.31994393906041</c:v>
                </c:pt>
                <c:pt idx="118">
                  <c:v>447.16504318572015</c:v>
                </c:pt>
                <c:pt idx="119">
                  <c:v>436.94063238784457</c:v>
                </c:pt>
                <c:pt idx="120">
                  <c:v>524.92331393907205</c:v>
                </c:pt>
                <c:pt idx="121">
                  <c:v>507.81011312670222</c:v>
                </c:pt>
                <c:pt idx="122">
                  <c:v>488.70187000933714</c:v>
                </c:pt>
                <c:pt idx="123">
                  <c:v>467.836367996685</c:v>
                </c:pt>
                <c:pt idx="124">
                  <c:v>451.31812463504247</c:v>
                </c:pt>
                <c:pt idx="125">
                  <c:v>437.96033443478166</c:v>
                </c:pt>
                <c:pt idx="126">
                  <c:v>422.13044282870516</c:v>
                </c:pt>
                <c:pt idx="127">
                  <c:v>408.92225402373845</c:v>
                </c:pt>
                <c:pt idx="128">
                  <c:v>393.99003181784218</c:v>
                </c:pt>
                <c:pt idx="129">
                  <c:v>379.78603414096989</c:v>
                </c:pt>
                <c:pt idx="130">
                  <c:v>371.86530318316841</c:v>
                </c:pt>
                <c:pt idx="131">
                  <c:v>364.18108234567467</c:v>
                </c:pt>
              </c:numCache>
            </c:numRef>
          </c:val>
          <c:smooth val="0"/>
          <c:extLst>
            <c:ext xmlns:c16="http://schemas.microsoft.com/office/drawing/2014/chart" uri="{C3380CC4-5D6E-409C-BE32-E72D297353CC}">
              <c16:uniqueId val="{00000000-3567-4F68-954F-554763F833A1}"/>
            </c:ext>
          </c:extLst>
        </c:ser>
        <c:ser>
          <c:idx val="2"/>
          <c:order val="1"/>
          <c:tx>
            <c:strRef>
              <c:f>Figures!$I$2</c:f>
              <c:strCache>
                <c:ptCount val="1"/>
                <c:pt idx="0">
                  <c:v>TÜİK asgari ücret</c:v>
                </c:pt>
              </c:strCache>
            </c:strRef>
          </c:tx>
          <c:spPr>
            <a:ln w="12700" cap="rnd" cmpd="sng">
              <a:solidFill>
                <a:schemeClr val="accent2">
                  <a:lumMod val="50000"/>
                </a:schemeClr>
              </a:solidFill>
              <a:round/>
            </a:ln>
            <a:effectLst/>
          </c:spPr>
          <c:marker>
            <c:symbol val="square"/>
            <c:size val="2"/>
            <c:spPr>
              <a:solidFill>
                <a:schemeClr val="accent2">
                  <a:lumMod val="40000"/>
                  <a:lumOff val="60000"/>
                </a:schemeClr>
              </a:solidFill>
              <a:ln w="9525">
                <a:solidFill>
                  <a:schemeClr val="accent2">
                    <a:lumMod val="50000"/>
                  </a:schemeClr>
                </a:solidFill>
              </a:ln>
              <a:effectLst/>
            </c:spPr>
          </c:marker>
          <c:cat>
            <c:multiLvlStrRef>
              <c:f>Figures!$A$3:$B$134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Figures!$I$3:$I$134</c:f>
              <c:numCache>
                <c:formatCode>General</c:formatCode>
                <c:ptCount val="132"/>
                <c:pt idx="0">
                  <c:v>949</c:v>
                </c:pt>
                <c:pt idx="1">
                  <c:v>942.30960182702802</c:v>
                </c:pt>
                <c:pt idx="2">
                  <c:v>931.22798876077468</c:v>
                </c:pt>
                <c:pt idx="3">
                  <c:v>916.29242227764894</c:v>
                </c:pt>
                <c:pt idx="4">
                  <c:v>911.18975962375589</c:v>
                </c:pt>
                <c:pt idx="5">
                  <c:v>915.86064893331582</c:v>
                </c:pt>
                <c:pt idx="6">
                  <c:v>964.73259807347245</c:v>
                </c:pt>
                <c:pt idx="7">
                  <c:v>960.88904190584901</c:v>
                </c:pt>
                <c:pt idx="8">
                  <c:v>952.4125700325593</c:v>
                </c:pt>
                <c:pt idx="9">
                  <c:v>937.87549978587822</c:v>
                </c:pt>
                <c:pt idx="10">
                  <c:v>931.6335549675955</c:v>
                </c:pt>
                <c:pt idx="11">
                  <c:v>929.68122439636318</c:v>
                </c:pt>
                <c:pt idx="12">
                  <c:v>1187.2453303888308</c:v>
                </c:pt>
                <c:pt idx="13">
                  <c:v>1187.4828269542215</c:v>
                </c:pt>
                <c:pt idx="14">
                  <c:v>1187.9580101582847</c:v>
                </c:pt>
                <c:pt idx="15">
                  <c:v>1178.7636536597386</c:v>
                </c:pt>
                <c:pt idx="16">
                  <c:v>1171.9662494131424</c:v>
                </c:pt>
                <c:pt idx="17">
                  <c:v>1166.4837756675054</c:v>
                </c:pt>
                <c:pt idx="18">
                  <c:v>1153.107726045379</c:v>
                </c:pt>
                <c:pt idx="19">
                  <c:v>1156.4614642918252</c:v>
                </c:pt>
                <c:pt idx="20">
                  <c:v>1154.3835738588793</c:v>
                </c:pt>
                <c:pt idx="21">
                  <c:v>1137.9964253340688</c:v>
                </c:pt>
                <c:pt idx="22">
                  <c:v>1132.1094561620262</c:v>
                </c:pt>
                <c:pt idx="23">
                  <c:v>1113.84244014367</c:v>
                </c:pt>
                <c:pt idx="24">
                  <c:v>1173.2244865218097</c:v>
                </c:pt>
                <c:pt idx="25">
                  <c:v>1163.7977249497171</c:v>
                </c:pt>
                <c:pt idx="26">
                  <c:v>1152.0468471092033</c:v>
                </c:pt>
                <c:pt idx="27">
                  <c:v>1137.1501797544202</c:v>
                </c:pt>
                <c:pt idx="28">
                  <c:v>1132.055928078069</c:v>
                </c:pt>
                <c:pt idx="29">
                  <c:v>1135.1207541141771</c:v>
                </c:pt>
                <c:pt idx="30">
                  <c:v>1133.420623179408</c:v>
                </c:pt>
                <c:pt idx="31">
                  <c:v>1127.5573250889454</c:v>
                </c:pt>
                <c:pt idx="32">
                  <c:v>1120.2755341171837</c:v>
                </c:pt>
                <c:pt idx="33">
                  <c:v>1097.4486031712224</c:v>
                </c:pt>
                <c:pt idx="34">
                  <c:v>1081.3366865417504</c:v>
                </c:pt>
                <c:pt idx="35">
                  <c:v>1073.9265930497077</c:v>
                </c:pt>
                <c:pt idx="36">
                  <c:v>1213.8012986381743</c:v>
                </c:pt>
                <c:pt idx="37">
                  <c:v>1205.0047638619817</c:v>
                </c:pt>
                <c:pt idx="38">
                  <c:v>1193.192161463493</c:v>
                </c:pt>
                <c:pt idx="39">
                  <c:v>1171.2890561141583</c:v>
                </c:pt>
                <c:pt idx="40">
                  <c:v>1152.6166661229661</c:v>
                </c:pt>
                <c:pt idx="41">
                  <c:v>1123.2985733583141</c:v>
                </c:pt>
                <c:pt idx="42">
                  <c:v>1117.1542251201533</c:v>
                </c:pt>
                <c:pt idx="43">
                  <c:v>1092.0373657088498</c:v>
                </c:pt>
                <c:pt idx="44">
                  <c:v>1027.3164305821731</c:v>
                </c:pt>
                <c:pt idx="45">
                  <c:v>1000.6003999047172</c:v>
                </c:pt>
                <c:pt idx="46">
                  <c:v>1015.2195615916368</c:v>
                </c:pt>
                <c:pt idx="47">
                  <c:v>1019.2967485859806</c:v>
                </c:pt>
                <c:pt idx="48">
                  <c:v>1271.4524898404181</c:v>
                </c:pt>
                <c:pt idx="49">
                  <c:v>1269.4214155754971</c:v>
                </c:pt>
                <c:pt idx="50">
                  <c:v>1256.4796749237823</c:v>
                </c:pt>
                <c:pt idx="51">
                  <c:v>1235.5980675816525</c:v>
                </c:pt>
                <c:pt idx="52">
                  <c:v>1223.9703492636477</c:v>
                </c:pt>
                <c:pt idx="53">
                  <c:v>1223.6032682831628</c:v>
                </c:pt>
                <c:pt idx="54">
                  <c:v>1207.1855448728913</c:v>
                </c:pt>
                <c:pt idx="55">
                  <c:v>1196.8922713393729</c:v>
                </c:pt>
                <c:pt idx="56">
                  <c:v>1185.1591953058448</c:v>
                </c:pt>
                <c:pt idx="57">
                  <c:v>1161.9207797116126</c:v>
                </c:pt>
                <c:pt idx="58">
                  <c:v>1157.5221953692096</c:v>
                </c:pt>
                <c:pt idx="59">
                  <c:v>1149.0194514286377</c:v>
                </c:pt>
                <c:pt idx="60">
                  <c:v>1304.1501259693471</c:v>
                </c:pt>
                <c:pt idx="61">
                  <c:v>1299.601520647082</c:v>
                </c:pt>
                <c:pt idx="62">
                  <c:v>1292.2357767197793</c:v>
                </c:pt>
                <c:pt idx="63">
                  <c:v>1281.3443497469304</c:v>
                </c:pt>
                <c:pt idx="64">
                  <c:v>1264.1518841228594</c:v>
                </c:pt>
                <c:pt idx="65">
                  <c:v>1250.026583726747</c:v>
                </c:pt>
                <c:pt idx="66">
                  <c:v>1242.8182379466566</c:v>
                </c:pt>
                <c:pt idx="67">
                  <c:v>1232.2211361755469</c:v>
                </c:pt>
                <c:pt idx="68">
                  <c:v>1220.3834170303526</c:v>
                </c:pt>
                <c:pt idx="69">
                  <c:v>1194.9313786647924</c:v>
                </c:pt>
                <c:pt idx="70">
                  <c:v>1168.0658637974511</c:v>
                </c:pt>
                <c:pt idx="71">
                  <c:v>1153.6452975777297</c:v>
                </c:pt>
                <c:pt idx="72">
                  <c:v>1379.1921235352561</c:v>
                </c:pt>
                <c:pt idx="73">
                  <c:v>1366.754656164162</c:v>
                </c:pt>
                <c:pt idx="74">
                  <c:v>1352.1514208193137</c:v>
                </c:pt>
                <c:pt idx="75">
                  <c:v>1329.8106026940536</c:v>
                </c:pt>
                <c:pt idx="76">
                  <c:v>1318.0796934225928</c:v>
                </c:pt>
                <c:pt idx="77">
                  <c:v>1292.995579186377</c:v>
                </c:pt>
                <c:pt idx="78">
                  <c:v>1270.1331819119616</c:v>
                </c:pt>
                <c:pt idx="79">
                  <c:v>1256.0652510996454</c:v>
                </c:pt>
                <c:pt idx="80">
                  <c:v>1240.5582726910079</c:v>
                </c:pt>
                <c:pt idx="81">
                  <c:v>1211.601008585807</c:v>
                </c:pt>
                <c:pt idx="82">
                  <c:v>1170.5159004789946</c:v>
                </c:pt>
                <c:pt idx="83">
                  <c:v>1030.5651527372729</c:v>
                </c:pt>
                <c:pt idx="84">
                  <c:v>1396.1781324766982</c:v>
                </c:pt>
                <c:pt idx="85">
                  <c:v>1332.1039332856581</c:v>
                </c:pt>
                <c:pt idx="86">
                  <c:v>1263.1366710465184</c:v>
                </c:pt>
                <c:pt idx="87">
                  <c:v>1177.7498098335834</c:v>
                </c:pt>
                <c:pt idx="88">
                  <c:v>1143.6684888653947</c:v>
                </c:pt>
                <c:pt idx="89">
                  <c:v>1089.7270022538301</c:v>
                </c:pt>
                <c:pt idx="90">
                  <c:v>1376.5725588103387</c:v>
                </c:pt>
                <c:pt idx="91">
                  <c:v>1356.7638072248556</c:v>
                </c:pt>
                <c:pt idx="92">
                  <c:v>1316.2241047971049</c:v>
                </c:pt>
                <c:pt idx="93">
                  <c:v>1271.2228170727301</c:v>
                </c:pt>
                <c:pt idx="94">
                  <c:v>1235.6364862682058</c:v>
                </c:pt>
                <c:pt idx="95">
                  <c:v>1221.2260192411602</c:v>
                </c:pt>
                <c:pt idx="96">
                  <c:v>1771.0111531341026</c:v>
                </c:pt>
                <c:pt idx="97">
                  <c:v>1716.9279235425133</c:v>
                </c:pt>
                <c:pt idx="98">
                  <c:v>1678.4904912919285</c:v>
                </c:pt>
                <c:pt idx="99">
                  <c:v>1639.3109593631491</c:v>
                </c:pt>
                <c:pt idx="100">
                  <c:v>1638.6554971642834</c:v>
                </c:pt>
                <c:pt idx="101">
                  <c:v>1576.8432420749457</c:v>
                </c:pt>
                <c:pt idx="102">
                  <c:v>1930.3268771997521</c:v>
                </c:pt>
                <c:pt idx="103">
                  <c:v>1769.4810497751876</c:v>
                </c:pt>
                <c:pt idx="104">
                  <c:v>1689.2420522913483</c:v>
                </c:pt>
                <c:pt idx="105">
                  <c:v>1633.2225198601452</c:v>
                </c:pt>
                <c:pt idx="106">
                  <c:v>1581.3541052092808</c:v>
                </c:pt>
                <c:pt idx="107">
                  <c:v>1536.3393619054511</c:v>
                </c:pt>
                <c:pt idx="108">
                  <c:v>2147.0026977985226</c:v>
                </c:pt>
                <c:pt idx="109">
                  <c:v>2053.9583830465158</c:v>
                </c:pt>
                <c:pt idx="110">
                  <c:v>1991.0414725150406</c:v>
                </c:pt>
                <c:pt idx="111">
                  <c:v>1929.6777209876336</c:v>
                </c:pt>
                <c:pt idx="112">
                  <c:v>1866.7676511440779</c:v>
                </c:pt>
                <c:pt idx="113">
                  <c:v>1836.6466461472628</c:v>
                </c:pt>
                <c:pt idx="114">
                  <c:v>1779.1791593018143</c:v>
                </c:pt>
                <c:pt idx="115">
                  <c:v>1736.2927288980329</c:v>
                </c:pt>
                <c:pt idx="116">
                  <c:v>1686.21222579201</c:v>
                </c:pt>
                <c:pt idx="117">
                  <c:v>1639.0087731259821</c:v>
                </c:pt>
                <c:pt idx="118">
                  <c:v>1603.0993477366803</c:v>
                </c:pt>
                <c:pt idx="119">
                  <c:v>1586.7557633739289</c:v>
                </c:pt>
                <c:pt idx="120">
                  <c:v>1964.1636867003872</c:v>
                </c:pt>
                <c:pt idx="121">
                  <c:v>1920.5668198889091</c:v>
                </c:pt>
                <c:pt idx="122">
                  <c:v>1874.4552214414493</c:v>
                </c:pt>
                <c:pt idx="123">
                  <c:v>1819.8594382926692</c:v>
                </c:pt>
                <c:pt idx="124">
                  <c:v>1792.4351800380864</c:v>
                </c:pt>
                <c:pt idx="125">
                  <c:v>1768.2106935366344</c:v>
                </c:pt>
                <c:pt idx="126">
                  <c:v>1732.5207657619385</c:v>
                </c:pt>
                <c:pt idx="127">
                  <c:v>1697.8839335181679</c:v>
                </c:pt>
                <c:pt idx="128">
                  <c:v>1644.7582422921319</c:v>
                </c:pt>
                <c:pt idx="129">
                  <c:v>1603.8598169596603</c:v>
                </c:pt>
                <c:pt idx="130">
                  <c:v>1590.0265856643803</c:v>
                </c:pt>
                <c:pt idx="131">
                  <c:v>1576.0001840265443</c:v>
                </c:pt>
              </c:numCache>
            </c:numRef>
          </c:val>
          <c:smooth val="0"/>
          <c:extLst>
            <c:ext xmlns:c16="http://schemas.microsoft.com/office/drawing/2014/chart" uri="{C3380CC4-5D6E-409C-BE32-E72D297353CC}">
              <c16:uniqueId val="{00000001-3567-4F68-954F-554763F833A1}"/>
            </c:ext>
          </c:extLst>
        </c:ser>
        <c:dLbls>
          <c:showLegendKey val="0"/>
          <c:showVal val="0"/>
          <c:showCatName val="0"/>
          <c:showSerName val="0"/>
          <c:showPercent val="0"/>
          <c:showBubbleSize val="0"/>
        </c:dLbls>
        <c:marker val="1"/>
        <c:smooth val="0"/>
        <c:axId val="859530767"/>
        <c:axId val="579398895"/>
      </c:lineChart>
      <c:catAx>
        <c:axId val="85953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579398895"/>
        <c:crosses val="autoZero"/>
        <c:auto val="1"/>
        <c:lblAlgn val="ctr"/>
        <c:lblOffset val="100"/>
        <c:noMultiLvlLbl val="0"/>
      </c:catAx>
      <c:valAx>
        <c:axId val="57939889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Reel 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859530767"/>
        <c:crosses val="autoZero"/>
        <c:crossBetween val="between"/>
      </c:valAx>
      <c:spPr>
        <a:noFill/>
        <a:ln>
          <a:noFill/>
        </a:ln>
        <a:effectLst/>
      </c:spPr>
    </c:plotArea>
    <c:legend>
      <c:legendPos val="r"/>
      <c:layout>
        <c:manualLayout>
          <c:xMode val="edge"/>
          <c:yMode val="edge"/>
          <c:x val="0.77276823270493955"/>
          <c:y val="0.31384812916282556"/>
          <c:w val="0.21434655307837405"/>
          <c:h val="0.267903648509260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Figures!$C$1:$C$2</c:f>
              <c:strCache>
                <c:ptCount val="2"/>
                <c:pt idx="1">
                  <c:v>Ortalama ücret</c:v>
                </c:pt>
              </c:strCache>
            </c:strRef>
          </c:tx>
          <c:spPr>
            <a:ln w="28575" cap="rnd" cmpd="thinThick">
              <a:solidFill>
                <a:srgbClr val="00B0F0"/>
              </a:solidFill>
              <a:prstDash val="solid"/>
              <a:round/>
            </a:ln>
            <a:effectLst/>
          </c:spPr>
          <c:marker>
            <c:symbol val="none"/>
          </c:marker>
          <c:cat>
            <c:multiLvlStrRef>
              <c:f>Figures!$A$3:$B$134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Figures!$C$3:$C$134</c:f>
              <c:numCache>
                <c:formatCode>General</c:formatCode>
                <c:ptCount val="132"/>
                <c:pt idx="0">
                  <c:v>605.14221014492762</c:v>
                </c:pt>
                <c:pt idx="1">
                  <c:v>580.08471223021593</c:v>
                </c:pt>
                <c:pt idx="2">
                  <c:v>599.83526690391454</c:v>
                </c:pt>
                <c:pt idx="3">
                  <c:v>582.32031358885013</c:v>
                </c:pt>
                <c:pt idx="4">
                  <c:v>552.39238907849824</c:v>
                </c:pt>
                <c:pt idx="5">
                  <c:v>574.32083612040128</c:v>
                </c:pt>
                <c:pt idx="6">
                  <c:v>568.93747474747477</c:v>
                </c:pt>
                <c:pt idx="7">
                  <c:v>506.4780495356037</c:v>
                </c:pt>
                <c:pt idx="8">
                  <c:v>510.65112094395278</c:v>
                </c:pt>
                <c:pt idx="9">
                  <c:v>523.98810975609763</c:v>
                </c:pt>
                <c:pt idx="10">
                  <c:v>568.8283168316832</c:v>
                </c:pt>
                <c:pt idx="11">
                  <c:v>565.43860759493668</c:v>
                </c:pt>
                <c:pt idx="12">
                  <c:v>572.04539045539957</c:v>
                </c:pt>
                <c:pt idx="13">
                  <c:v>598.89884627793901</c:v>
                </c:pt>
                <c:pt idx="14">
                  <c:v>633.42710124802272</c:v>
                </c:pt>
                <c:pt idx="15">
                  <c:v>607.74131120976847</c:v>
                </c:pt>
                <c:pt idx="16">
                  <c:v>581.34288254338935</c:v>
                </c:pt>
                <c:pt idx="17">
                  <c:v>629.06292308391266</c:v>
                </c:pt>
                <c:pt idx="18">
                  <c:v>589.57174019971512</c:v>
                </c:pt>
                <c:pt idx="19">
                  <c:v>578.30127194492366</c:v>
                </c:pt>
                <c:pt idx="20">
                  <c:v>604.37068542646216</c:v>
                </c:pt>
                <c:pt idx="21">
                  <c:v>584.29420942624165</c:v>
                </c:pt>
                <c:pt idx="22">
                  <c:v>557.45330603625746</c:v>
                </c:pt>
                <c:pt idx="23">
                  <c:v>565.94124885897668</c:v>
                </c:pt>
                <c:pt idx="24">
                  <c:v>527.43241030459535</c:v>
                </c:pt>
                <c:pt idx="25">
                  <c:v>533.13850182641931</c:v>
                </c:pt>
                <c:pt idx="26">
                  <c:v>567.65836443904846</c:v>
                </c:pt>
                <c:pt idx="27">
                  <c:v>549.5234064677594</c:v>
                </c:pt>
                <c:pt idx="28">
                  <c:v>527.88343067424989</c:v>
                </c:pt>
                <c:pt idx="29">
                  <c:v>553.20565328471116</c:v>
                </c:pt>
                <c:pt idx="30">
                  <c:v>518.31315203553811</c:v>
                </c:pt>
                <c:pt idx="31">
                  <c:v>508.16943490024107</c:v>
                </c:pt>
                <c:pt idx="32">
                  <c:v>527.74322872400307</c:v>
                </c:pt>
                <c:pt idx="33">
                  <c:v>508.24084269993415</c:v>
                </c:pt>
                <c:pt idx="34">
                  <c:v>483.10330743204958</c:v>
                </c:pt>
                <c:pt idx="35">
                  <c:v>483.49999942247308</c:v>
                </c:pt>
                <c:pt idx="36">
                  <c:v>495.71340392019397</c:v>
                </c:pt>
                <c:pt idx="37">
                  <c:v>490.91039844274462</c:v>
                </c:pt>
                <c:pt idx="38">
                  <c:v>496.73589587737774</c:v>
                </c:pt>
                <c:pt idx="39">
                  <c:v>479.72423649015616</c:v>
                </c:pt>
                <c:pt idx="40">
                  <c:v>450.06858470905524</c:v>
                </c:pt>
                <c:pt idx="41">
                  <c:v>454.33665357442635</c:v>
                </c:pt>
                <c:pt idx="42">
                  <c:v>431.39149919953104</c:v>
                </c:pt>
                <c:pt idx="43">
                  <c:v>347.07735400732196</c:v>
                </c:pt>
                <c:pt idx="44">
                  <c:v>340.87919514771835</c:v>
                </c:pt>
                <c:pt idx="45">
                  <c:v>384.13048514513355</c:v>
                </c:pt>
                <c:pt idx="46">
                  <c:v>412.59430340293454</c:v>
                </c:pt>
                <c:pt idx="47">
                  <c:v>420.34845748433065</c:v>
                </c:pt>
                <c:pt idx="48">
                  <c:v>430.26927943368509</c:v>
                </c:pt>
                <c:pt idx="49">
                  <c:v>471.08950169923156</c:v>
                </c:pt>
                <c:pt idx="50">
                  <c:v>465.73123567189731</c:v>
                </c:pt>
                <c:pt idx="51">
                  <c:v>435.06149083300062</c:v>
                </c:pt>
                <c:pt idx="52">
                  <c:v>424.40241322273766</c:v>
                </c:pt>
                <c:pt idx="53">
                  <c:v>445.87843664018692</c:v>
                </c:pt>
                <c:pt idx="54">
                  <c:v>450.51865347693126</c:v>
                </c:pt>
                <c:pt idx="55">
                  <c:v>472.2143181024141</c:v>
                </c:pt>
                <c:pt idx="56">
                  <c:v>481.59898770740455</c:v>
                </c:pt>
                <c:pt idx="57">
                  <c:v>465.34847806732779</c:v>
                </c:pt>
                <c:pt idx="58">
                  <c:v>478.90321096533802</c:v>
                </c:pt>
                <c:pt idx="59">
                  <c:v>464.37021848397495</c:v>
                </c:pt>
                <c:pt idx="60">
                  <c:v>480.82756078168569</c:v>
                </c:pt>
                <c:pt idx="61">
                  <c:v>519.51298519951979</c:v>
                </c:pt>
                <c:pt idx="62">
                  <c:v>477.08564996543862</c:v>
                </c:pt>
                <c:pt idx="63">
                  <c:v>472.28294093585231</c:v>
                </c:pt>
                <c:pt idx="64">
                  <c:v>476.52864615830089</c:v>
                </c:pt>
                <c:pt idx="65">
                  <c:v>446.78404499378024</c:v>
                </c:pt>
                <c:pt idx="66">
                  <c:v>433.32288879323301</c:v>
                </c:pt>
                <c:pt idx="67">
                  <c:v>395.16818169203611</c:v>
                </c:pt>
                <c:pt idx="68">
                  <c:v>396.23278967412188</c:v>
                </c:pt>
                <c:pt idx="69">
                  <c:v>378.13192690531145</c:v>
                </c:pt>
                <c:pt idx="70">
                  <c:v>373.94280109845147</c:v>
                </c:pt>
                <c:pt idx="71">
                  <c:v>381.01622242927698</c:v>
                </c:pt>
                <c:pt idx="72">
                  <c:v>410.50263579949905</c:v>
                </c:pt>
                <c:pt idx="73">
                  <c:v>456.15022085161002</c:v>
                </c:pt>
                <c:pt idx="74">
                  <c:v>424.57381618359187</c:v>
                </c:pt>
                <c:pt idx="75">
                  <c:v>403.36329777350198</c:v>
                </c:pt>
                <c:pt idx="76">
                  <c:v>383.62161223124087</c:v>
                </c:pt>
                <c:pt idx="77">
                  <c:v>377.75112788554048</c:v>
                </c:pt>
                <c:pt idx="78">
                  <c:v>382.64189246355039</c:v>
                </c:pt>
                <c:pt idx="79">
                  <c:v>386.17773072295182</c:v>
                </c:pt>
                <c:pt idx="80">
                  <c:v>381.547118995836</c:v>
                </c:pt>
                <c:pt idx="81">
                  <c:v>366.47042062299914</c:v>
                </c:pt>
                <c:pt idx="82">
                  <c:v>319.10883571668876</c:v>
                </c:pt>
                <c:pt idx="83">
                  <c:v>259.36626563942502</c:v>
                </c:pt>
                <c:pt idx="84">
                  <c:v>290.89332908093985</c:v>
                </c:pt>
                <c:pt idx="85">
                  <c:v>340.04807895042291</c:v>
                </c:pt>
                <c:pt idx="86">
                  <c:v>327.5113458619133</c:v>
                </c:pt>
                <c:pt idx="87">
                  <c:v>343.16993235328312</c:v>
                </c:pt>
                <c:pt idx="88">
                  <c:v>332.33120706346745</c:v>
                </c:pt>
                <c:pt idx="89">
                  <c:v>303.9351913985613</c:v>
                </c:pt>
                <c:pt idx="90">
                  <c:v>350.51347456744605</c:v>
                </c:pt>
                <c:pt idx="91">
                  <c:v>362.32290455952949</c:v>
                </c:pt>
                <c:pt idx="92">
                  <c:v>374.18929741796285</c:v>
                </c:pt>
                <c:pt idx="93">
                  <c:v>384.71065266964388</c:v>
                </c:pt>
                <c:pt idx="94">
                  <c:v>368.38410472394094</c:v>
                </c:pt>
                <c:pt idx="95">
                  <c:v>351.30251305734731</c:v>
                </c:pt>
                <c:pt idx="96">
                  <c:v>402.92930297556489</c:v>
                </c:pt>
                <c:pt idx="97">
                  <c:v>499.80035032936269</c:v>
                </c:pt>
                <c:pt idx="98">
                  <c:v>505.35897709630382</c:v>
                </c:pt>
                <c:pt idx="99">
                  <c:v>504.00308050995972</c:v>
                </c:pt>
                <c:pt idx="100">
                  <c:v>496.98473382769237</c:v>
                </c:pt>
                <c:pt idx="101">
                  <c:v>416.44184897260737</c:v>
                </c:pt>
                <c:pt idx="102">
                  <c:v>408.18593879358093</c:v>
                </c:pt>
                <c:pt idx="103">
                  <c:v>475.49203378463511</c:v>
                </c:pt>
                <c:pt idx="104">
                  <c:v>495.72979117489251</c:v>
                </c:pt>
                <c:pt idx="105">
                  <c:v>502.70846310234668</c:v>
                </c:pt>
                <c:pt idx="106">
                  <c:v>495.866263694005</c:v>
                </c:pt>
                <c:pt idx="107">
                  <c:v>472.39178438049817</c:v>
                </c:pt>
                <c:pt idx="108">
                  <c:v>520.03835886233878</c:v>
                </c:pt>
                <c:pt idx="109">
                  <c:v>602.29883387576513</c:v>
                </c:pt>
                <c:pt idx="110">
                  <c:v>595.2292358594359</c:v>
                </c:pt>
                <c:pt idx="111">
                  <c:v>629.44480205082846</c:v>
                </c:pt>
                <c:pt idx="112">
                  <c:v>618.84004510169734</c:v>
                </c:pt>
                <c:pt idx="113">
                  <c:v>617.57217948502239</c:v>
                </c:pt>
                <c:pt idx="114">
                  <c:v>638.84709976281476</c:v>
                </c:pt>
                <c:pt idx="115">
                  <c:v>623.41766410522575</c:v>
                </c:pt>
                <c:pt idx="116">
                  <c:v>615.9256300515832</c:v>
                </c:pt>
                <c:pt idx="117">
                  <c:v>638.36879509472647</c:v>
                </c:pt>
                <c:pt idx="118">
                  <c:v>644.35974473312478</c:v>
                </c:pt>
                <c:pt idx="119">
                  <c:v>613.71907167974325</c:v>
                </c:pt>
                <c:pt idx="120">
                  <c:v>638.03037309875265</c:v>
                </c:pt>
                <c:pt idx="121">
                  <c:v>691.65589392425932</c:v>
                </c:pt>
                <c:pt idx="122">
                  <c:v>700.11954404703954</c:v>
                </c:pt>
                <c:pt idx="123">
                  <c:v>705.20944080393508</c:v>
                </c:pt>
                <c:pt idx="124">
                  <c:v>685.21710133780846</c:v>
                </c:pt>
                <c:pt idx="125">
                  <c:v>680.50941094980544</c:v>
                </c:pt>
                <c:pt idx="126">
                  <c:v>657.39816940331025</c:v>
                </c:pt>
                <c:pt idx="127">
                  <c:v>665.90724480785855</c:v>
                </c:pt>
                <c:pt idx="128">
                  <c:v>654.61613371180692</c:v>
                </c:pt>
                <c:pt idx="129">
                  <c:v>646.91816370419917</c:v>
                </c:pt>
                <c:pt idx="130">
                  <c:v>651.41298643924995</c:v>
                </c:pt>
                <c:pt idx="131">
                  <c:v>638.67674424094025</c:v>
                </c:pt>
              </c:numCache>
            </c:numRef>
          </c:val>
          <c:smooth val="0"/>
          <c:extLst>
            <c:ext xmlns:c16="http://schemas.microsoft.com/office/drawing/2014/chart" uri="{C3380CC4-5D6E-409C-BE32-E72D297353CC}">
              <c16:uniqueId val="{00000000-29A0-4412-A723-0CEDC828E466}"/>
            </c:ext>
          </c:extLst>
        </c:ser>
        <c:ser>
          <c:idx val="1"/>
          <c:order val="1"/>
          <c:tx>
            <c:strRef>
              <c:f>Figures!$D$1:$D$2</c:f>
              <c:strCache>
                <c:ptCount val="2"/>
                <c:pt idx="1">
                  <c:v>Asgari ücret</c:v>
                </c:pt>
              </c:strCache>
            </c:strRef>
          </c:tx>
          <c:spPr>
            <a:ln w="28575" cap="rnd" cmpd="dbl">
              <a:solidFill>
                <a:srgbClr val="00B050"/>
              </a:solidFill>
              <a:prstDash val="solid"/>
              <a:round/>
            </a:ln>
            <a:effectLst/>
          </c:spPr>
          <c:marker>
            <c:symbol val="none"/>
          </c:marker>
          <c:cat>
            <c:multiLvlStrRef>
              <c:f>Figures!$A$3:$B$134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Figures!$D$3:$D$134</c:f>
              <c:numCache>
                <c:formatCode>General</c:formatCode>
                <c:ptCount val="132"/>
                <c:pt idx="0">
                  <c:v>343.84057971014494</c:v>
                </c:pt>
                <c:pt idx="1">
                  <c:v>341.36690647482015</c:v>
                </c:pt>
                <c:pt idx="2">
                  <c:v>337.72241992882562</c:v>
                </c:pt>
                <c:pt idx="3">
                  <c:v>330.66202090592333</c:v>
                </c:pt>
                <c:pt idx="4">
                  <c:v>323.89078498293514</c:v>
                </c:pt>
                <c:pt idx="5">
                  <c:v>317.39130434782606</c:v>
                </c:pt>
                <c:pt idx="6">
                  <c:v>336.88215488215485</c:v>
                </c:pt>
                <c:pt idx="7">
                  <c:v>309.76470588235293</c:v>
                </c:pt>
                <c:pt idx="8">
                  <c:v>295.14454277286131</c:v>
                </c:pt>
                <c:pt idx="9">
                  <c:v>305.04268292682929</c:v>
                </c:pt>
                <c:pt idx="10">
                  <c:v>330.21122112211219</c:v>
                </c:pt>
                <c:pt idx="11">
                  <c:v>316.62658227848101</c:v>
                </c:pt>
                <c:pt idx="12">
                  <c:v>395.33867505524449</c:v>
                </c:pt>
                <c:pt idx="13">
                  <c:v>402.06280510342458</c:v>
                </c:pt>
                <c:pt idx="14">
                  <c:v>407.99705462122154</c:v>
                </c:pt>
                <c:pt idx="15">
                  <c:v>406.34934318324224</c:v>
                </c:pt>
                <c:pt idx="16">
                  <c:v>392.33526014349746</c:v>
                </c:pt>
                <c:pt idx="17">
                  <c:v>394.04237275301745</c:v>
                </c:pt>
                <c:pt idx="18">
                  <c:v>394.76658677209235</c:v>
                </c:pt>
                <c:pt idx="19">
                  <c:v>392.18553020213534</c:v>
                </c:pt>
                <c:pt idx="20">
                  <c:v>389.13116303554546</c:v>
                </c:pt>
                <c:pt idx="21">
                  <c:v>382.99331743648628</c:v>
                </c:pt>
                <c:pt idx="22">
                  <c:v>364.36275237425747</c:v>
                </c:pt>
                <c:pt idx="23">
                  <c:v>351.55943886250594</c:v>
                </c:pt>
                <c:pt idx="24">
                  <c:v>344.80662970877302</c:v>
                </c:pt>
                <c:pt idx="25">
                  <c:v>351.75049988344148</c:v>
                </c:pt>
                <c:pt idx="26">
                  <c:v>354.73204805943311</c:v>
                </c:pt>
                <c:pt idx="27">
                  <c:v>352.41635261352872</c:v>
                </c:pt>
                <c:pt idx="28">
                  <c:v>349.27245728730185</c:v>
                </c:pt>
                <c:pt idx="29">
                  <c:v>350.75583725375071</c:v>
                </c:pt>
                <c:pt idx="30">
                  <c:v>337.35195907689649</c:v>
                </c:pt>
                <c:pt idx="31">
                  <c:v>332.46506183871691</c:v>
                </c:pt>
                <c:pt idx="32">
                  <c:v>334.21970069301591</c:v>
                </c:pt>
                <c:pt idx="33">
                  <c:v>321.22550915447749</c:v>
                </c:pt>
                <c:pt idx="34">
                  <c:v>304.83184506475806</c:v>
                </c:pt>
                <c:pt idx="35">
                  <c:v>301.8247181767058</c:v>
                </c:pt>
                <c:pt idx="36">
                  <c:v>337.10220360597509</c:v>
                </c:pt>
                <c:pt idx="37">
                  <c:v>333.41886182049439</c:v>
                </c:pt>
                <c:pt idx="38">
                  <c:v>323.86377014428052</c:v>
                </c:pt>
                <c:pt idx="39">
                  <c:v>312.9153073066671</c:v>
                </c:pt>
                <c:pt idx="40">
                  <c:v>295.76452463454859</c:v>
                </c:pt>
                <c:pt idx="41">
                  <c:v>288.32684839089939</c:v>
                </c:pt>
                <c:pt idx="42">
                  <c:v>274.49261495502884</c:v>
                </c:pt>
                <c:pt idx="43">
                  <c:v>224.28634451737213</c:v>
                </c:pt>
                <c:pt idx="44">
                  <c:v>208.9784376530464</c:v>
                </c:pt>
                <c:pt idx="45">
                  <c:v>234.86357338914453</c:v>
                </c:pt>
                <c:pt idx="46">
                  <c:v>253.72843214021708</c:v>
                </c:pt>
                <c:pt idx="47">
                  <c:v>254.28691416974172</c:v>
                </c:pt>
                <c:pt idx="48">
                  <c:v>314.51590840277311</c:v>
                </c:pt>
                <c:pt idx="49">
                  <c:v>324.50121302485923</c:v>
                </c:pt>
                <c:pt idx="50">
                  <c:v>313.87961860651149</c:v>
                </c:pt>
                <c:pt idx="51">
                  <c:v>297.10860818717936</c:v>
                </c:pt>
                <c:pt idx="52">
                  <c:v>285.67489931532293</c:v>
                </c:pt>
                <c:pt idx="53">
                  <c:v>293.92928590716559</c:v>
                </c:pt>
                <c:pt idx="54">
                  <c:v>303.18686499988576</c:v>
                </c:pt>
                <c:pt idx="55">
                  <c:v>307.1108482882189</c:v>
                </c:pt>
                <c:pt idx="56">
                  <c:v>306.58808782448716</c:v>
                </c:pt>
                <c:pt idx="57">
                  <c:v>302.70514757106969</c:v>
                </c:pt>
                <c:pt idx="58">
                  <c:v>303.79705998334248</c:v>
                </c:pt>
                <c:pt idx="59">
                  <c:v>292.71093452024735</c:v>
                </c:pt>
                <c:pt idx="60">
                  <c:v>333.54667090895413</c:v>
                </c:pt>
                <c:pt idx="61">
                  <c:v>333.0245696043317</c:v>
                </c:pt>
                <c:pt idx="62">
                  <c:v>315.01641262832226</c:v>
                </c:pt>
                <c:pt idx="63">
                  <c:v>298.44281151078076</c:v>
                </c:pt>
                <c:pt idx="64">
                  <c:v>297.16141963599745</c:v>
                </c:pt>
                <c:pt idx="65">
                  <c:v>287.34708514715783</c:v>
                </c:pt>
                <c:pt idx="66">
                  <c:v>280.0704333401311</c:v>
                </c:pt>
                <c:pt idx="67">
                  <c:v>256.51305895901379</c:v>
                </c:pt>
                <c:pt idx="68">
                  <c:v>248.53830505911901</c:v>
                </c:pt>
                <c:pt idx="69">
                  <c:v>239.29139778683006</c:v>
                </c:pt>
                <c:pt idx="70">
                  <c:v>232.7748556850504</c:v>
                </c:pt>
                <c:pt idx="71">
                  <c:v>232.7848872366198</c:v>
                </c:pt>
                <c:pt idx="72">
                  <c:v>292.24746425507993</c:v>
                </c:pt>
                <c:pt idx="73">
                  <c:v>308.86172635097705</c:v>
                </c:pt>
                <c:pt idx="74">
                  <c:v>291.527054250329</c:v>
                </c:pt>
                <c:pt idx="75">
                  <c:v>270.32767332897498</c:v>
                </c:pt>
                <c:pt idx="76">
                  <c:v>261.03634391175194</c:v>
                </c:pt>
                <c:pt idx="77">
                  <c:v>255.1028087179721</c:v>
                </c:pt>
                <c:pt idx="78">
                  <c:v>258.49099659382568</c:v>
                </c:pt>
                <c:pt idx="79">
                  <c:v>261.44319209902022</c:v>
                </c:pt>
                <c:pt idx="80">
                  <c:v>256.6956907515455</c:v>
                </c:pt>
                <c:pt idx="81">
                  <c:v>242.45838398090669</c:v>
                </c:pt>
                <c:pt idx="82">
                  <c:v>203.29027036707478</c:v>
                </c:pt>
                <c:pt idx="83">
                  <c:v>168.49964210484276</c:v>
                </c:pt>
                <c:pt idx="84">
                  <c:v>246.71824072343125</c:v>
                </c:pt>
                <c:pt idx="85">
                  <c:v>244.0203509838214</c:v>
                </c:pt>
                <c:pt idx="86">
                  <c:v>230.8167906000929</c:v>
                </c:pt>
                <c:pt idx="87">
                  <c:v>234.87268510259449</c:v>
                </c:pt>
                <c:pt idx="88">
                  <c:v>222.33795067106323</c:v>
                </c:pt>
                <c:pt idx="89">
                  <c:v>205.70491743588252</c:v>
                </c:pt>
                <c:pt idx="90">
                  <c:v>263.34995964843449</c:v>
                </c:pt>
                <c:pt idx="91">
                  <c:v>256.01863106134186</c:v>
                </c:pt>
                <c:pt idx="92">
                  <c:v>256.33414365175219</c:v>
                </c:pt>
                <c:pt idx="93">
                  <c:v>251.52635559730462</c:v>
                </c:pt>
                <c:pt idx="94">
                  <c:v>236.89144631743517</c:v>
                </c:pt>
                <c:pt idx="95">
                  <c:v>229.98152918910603</c:v>
                </c:pt>
                <c:pt idx="96">
                  <c:v>343.17695145703601</c:v>
                </c:pt>
                <c:pt idx="97">
                  <c:v>345.94456510549225</c:v>
                </c:pt>
                <c:pt idx="98">
                  <c:v>342.56342895467776</c:v>
                </c:pt>
                <c:pt idx="99">
                  <c:v>326.5803743099417</c:v>
                </c:pt>
                <c:pt idx="100">
                  <c:v>325.11180197740691</c:v>
                </c:pt>
                <c:pt idx="101">
                  <c:v>276.50079103979039</c:v>
                </c:pt>
                <c:pt idx="102">
                  <c:v>313.67705176269959</c:v>
                </c:pt>
                <c:pt idx="103">
                  <c:v>313.04672852351837</c:v>
                </c:pt>
                <c:pt idx="104">
                  <c:v>319.21615974375487</c:v>
                </c:pt>
                <c:pt idx="105">
                  <c:v>310.71050826814167</c:v>
                </c:pt>
                <c:pt idx="106">
                  <c:v>296.06915355469232</c:v>
                </c:pt>
                <c:pt idx="107">
                  <c:v>289.12608478744284</c:v>
                </c:pt>
                <c:pt idx="108">
                  <c:v>412.03070706471681</c:v>
                </c:pt>
                <c:pt idx="109">
                  <c:v>407.04905880802471</c:v>
                </c:pt>
                <c:pt idx="110">
                  <c:v>389.90361578262025</c:v>
                </c:pt>
                <c:pt idx="111">
                  <c:v>392.72076291187295</c:v>
                </c:pt>
                <c:pt idx="112">
                  <c:v>387.37099249985346</c:v>
                </c:pt>
                <c:pt idx="113">
                  <c:v>384.40395459750624</c:v>
                </c:pt>
                <c:pt idx="114">
                  <c:v>377.79794177979983</c:v>
                </c:pt>
                <c:pt idx="115">
                  <c:v>365.001912412558</c:v>
                </c:pt>
                <c:pt idx="116">
                  <c:v>358.31496394324955</c:v>
                </c:pt>
                <c:pt idx="117">
                  <c:v>361.3864101620552</c:v>
                </c:pt>
                <c:pt idx="118">
                  <c:v>367.88088447107077</c:v>
                </c:pt>
                <c:pt idx="119">
                  <c:v>350.37548472171147</c:v>
                </c:pt>
                <c:pt idx="120">
                  <c:v>433.88905271430576</c:v>
                </c:pt>
                <c:pt idx="121">
                  <c:v>428.21403072372766</c:v>
                </c:pt>
                <c:pt idx="122">
                  <c:v>419.0389094775</c:v>
                </c:pt>
                <c:pt idx="123">
                  <c:v>410.49817692591631</c:v>
                </c:pt>
                <c:pt idx="124">
                  <c:v>397.66068690248665</c:v>
                </c:pt>
                <c:pt idx="125">
                  <c:v>385.05117000353079</c:v>
                </c:pt>
                <c:pt idx="126">
                  <c:v>372.56737839768897</c:v>
                </c:pt>
                <c:pt idx="127">
                  <c:v>365.68539391181673</c:v>
                </c:pt>
                <c:pt idx="128">
                  <c:v>360.71298690709176</c:v>
                </c:pt>
                <c:pt idx="129">
                  <c:v>355.15909053103564</c:v>
                </c:pt>
                <c:pt idx="130">
                  <c:v>349.5234612286979</c:v>
                </c:pt>
                <c:pt idx="131">
                  <c:v>344.74693592785684</c:v>
                </c:pt>
              </c:numCache>
            </c:numRef>
          </c:val>
          <c:smooth val="0"/>
          <c:extLst>
            <c:ext xmlns:c16="http://schemas.microsoft.com/office/drawing/2014/chart" uri="{C3380CC4-5D6E-409C-BE32-E72D297353CC}">
              <c16:uniqueId val="{00000001-29A0-4412-A723-0CEDC828E466}"/>
            </c:ext>
          </c:extLst>
        </c:ser>
        <c:dLbls>
          <c:showLegendKey val="0"/>
          <c:showVal val="0"/>
          <c:showCatName val="0"/>
          <c:showSerName val="0"/>
          <c:showPercent val="0"/>
          <c:showBubbleSize val="0"/>
        </c:dLbls>
        <c:smooth val="0"/>
        <c:axId val="742037839"/>
        <c:axId val="579467055"/>
      </c:lineChart>
      <c:catAx>
        <c:axId val="742037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579467055"/>
        <c:crosses val="autoZero"/>
        <c:auto val="1"/>
        <c:lblAlgn val="ctr"/>
        <c:lblOffset val="100"/>
        <c:noMultiLvlLbl val="0"/>
      </c:catAx>
      <c:valAx>
        <c:axId val="579467055"/>
        <c:scaling>
          <c:orientation val="minMax"/>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2015 Reel Avro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7420378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Data!$O$2</c:f>
              <c:strCache>
                <c:ptCount val="1"/>
                <c:pt idx="0">
                  <c:v>asgari/ortalama oranı</c:v>
                </c:pt>
              </c:strCache>
            </c:strRef>
          </c:tx>
          <c:spPr>
            <a:ln w="28575" cap="rnd" cmpd="dbl">
              <a:solidFill>
                <a:srgbClr val="00B050"/>
              </a:solidFill>
              <a:round/>
            </a:ln>
            <a:effectLst/>
          </c:spPr>
          <c:marker>
            <c:symbol val="none"/>
          </c:marker>
          <c:trendline>
            <c:spPr>
              <a:ln w="28575" cap="rnd">
                <a:solidFill>
                  <a:srgbClr val="FF0000"/>
                </a:solidFill>
                <a:prstDash val="sysDot"/>
              </a:ln>
              <a:effectLst/>
            </c:spPr>
            <c:trendlineType val="poly"/>
            <c:order val="2"/>
            <c:dispRSqr val="0"/>
            <c:dispEq val="0"/>
          </c:trendline>
          <c:cat>
            <c:multiLvlStrRef>
              <c:f>Data!$A$3:$B$134</c:f>
              <c:multiLvlStrCache>
                <c:ptCount val="132"/>
                <c:lvl>
                  <c:pt idx="0">
                    <c:v>Oca</c:v>
                  </c:pt>
                  <c:pt idx="1">
                    <c:v>Şub</c:v>
                  </c:pt>
                  <c:pt idx="2">
                    <c:v>Mar</c:v>
                  </c:pt>
                  <c:pt idx="3">
                    <c:v>Nis</c:v>
                  </c:pt>
                  <c:pt idx="4">
                    <c:v>May</c:v>
                  </c:pt>
                  <c:pt idx="5">
                    <c:v>Haz</c:v>
                  </c:pt>
                  <c:pt idx="6">
                    <c:v>Tem</c:v>
                  </c:pt>
                  <c:pt idx="7">
                    <c:v>Ağu</c:v>
                  </c:pt>
                  <c:pt idx="8">
                    <c:v>Eyl</c:v>
                  </c:pt>
                  <c:pt idx="9">
                    <c:v>Eki</c:v>
                  </c:pt>
                  <c:pt idx="10">
                    <c:v>Kas</c:v>
                  </c:pt>
                  <c:pt idx="11">
                    <c:v>Ara</c:v>
                  </c:pt>
                  <c:pt idx="12">
                    <c:v>Oca</c:v>
                  </c:pt>
                  <c:pt idx="13">
                    <c:v>Şub</c:v>
                  </c:pt>
                  <c:pt idx="14">
                    <c:v>Mar</c:v>
                  </c:pt>
                  <c:pt idx="15">
                    <c:v>Nis</c:v>
                  </c:pt>
                  <c:pt idx="16">
                    <c:v>May</c:v>
                  </c:pt>
                  <c:pt idx="17">
                    <c:v>Haz</c:v>
                  </c:pt>
                  <c:pt idx="18">
                    <c:v>Tem</c:v>
                  </c:pt>
                  <c:pt idx="19">
                    <c:v>Ağu</c:v>
                  </c:pt>
                  <c:pt idx="20">
                    <c:v>Eyl</c:v>
                  </c:pt>
                  <c:pt idx="21">
                    <c:v>Eki</c:v>
                  </c:pt>
                  <c:pt idx="22">
                    <c:v>Kas</c:v>
                  </c:pt>
                  <c:pt idx="23">
                    <c:v>Ara</c:v>
                  </c:pt>
                  <c:pt idx="24">
                    <c:v>Oca</c:v>
                  </c:pt>
                  <c:pt idx="25">
                    <c:v>Şub</c:v>
                  </c:pt>
                  <c:pt idx="26">
                    <c:v>Mar</c:v>
                  </c:pt>
                  <c:pt idx="27">
                    <c:v>Nis</c:v>
                  </c:pt>
                  <c:pt idx="28">
                    <c:v>May</c:v>
                  </c:pt>
                  <c:pt idx="29">
                    <c:v>Haz</c:v>
                  </c:pt>
                  <c:pt idx="30">
                    <c:v>Tem</c:v>
                  </c:pt>
                  <c:pt idx="31">
                    <c:v>Ağu</c:v>
                  </c:pt>
                  <c:pt idx="32">
                    <c:v>Eyl</c:v>
                  </c:pt>
                  <c:pt idx="33">
                    <c:v>Eki</c:v>
                  </c:pt>
                  <c:pt idx="34">
                    <c:v>Kas</c:v>
                  </c:pt>
                  <c:pt idx="35">
                    <c:v>Ara</c:v>
                  </c:pt>
                  <c:pt idx="36">
                    <c:v>Oca</c:v>
                  </c:pt>
                  <c:pt idx="37">
                    <c:v>Şub</c:v>
                  </c:pt>
                  <c:pt idx="38">
                    <c:v>Mar</c:v>
                  </c:pt>
                  <c:pt idx="39">
                    <c:v>Nis</c:v>
                  </c:pt>
                  <c:pt idx="40">
                    <c:v>May</c:v>
                  </c:pt>
                  <c:pt idx="41">
                    <c:v>Haz</c:v>
                  </c:pt>
                  <c:pt idx="42">
                    <c:v>Tem</c:v>
                  </c:pt>
                  <c:pt idx="43">
                    <c:v>Ağu</c:v>
                  </c:pt>
                  <c:pt idx="44">
                    <c:v>Eyl</c:v>
                  </c:pt>
                  <c:pt idx="45">
                    <c:v>Eki</c:v>
                  </c:pt>
                  <c:pt idx="46">
                    <c:v>Kas</c:v>
                  </c:pt>
                  <c:pt idx="47">
                    <c:v>Ara</c:v>
                  </c:pt>
                  <c:pt idx="48">
                    <c:v>Oca</c:v>
                  </c:pt>
                  <c:pt idx="49">
                    <c:v>Şub</c:v>
                  </c:pt>
                  <c:pt idx="50">
                    <c:v>Mar</c:v>
                  </c:pt>
                  <c:pt idx="51">
                    <c:v>Nis</c:v>
                  </c:pt>
                  <c:pt idx="52">
                    <c:v>May</c:v>
                  </c:pt>
                  <c:pt idx="53">
                    <c:v>Haz</c:v>
                  </c:pt>
                  <c:pt idx="54">
                    <c:v>Tem</c:v>
                  </c:pt>
                  <c:pt idx="55">
                    <c:v>Ağu</c:v>
                  </c:pt>
                  <c:pt idx="56">
                    <c:v>Eyl</c:v>
                  </c:pt>
                  <c:pt idx="57">
                    <c:v>Eki</c:v>
                  </c:pt>
                  <c:pt idx="58">
                    <c:v>Kas</c:v>
                  </c:pt>
                  <c:pt idx="59">
                    <c:v>Ara</c:v>
                  </c:pt>
                  <c:pt idx="60">
                    <c:v>Oca</c:v>
                  </c:pt>
                  <c:pt idx="61">
                    <c:v>Şub</c:v>
                  </c:pt>
                  <c:pt idx="62">
                    <c:v>Mar</c:v>
                  </c:pt>
                  <c:pt idx="63">
                    <c:v>Nis</c:v>
                  </c:pt>
                  <c:pt idx="64">
                    <c:v>May</c:v>
                  </c:pt>
                  <c:pt idx="65">
                    <c:v>Haz</c:v>
                  </c:pt>
                  <c:pt idx="66">
                    <c:v>Tem</c:v>
                  </c:pt>
                  <c:pt idx="67">
                    <c:v>Ağu</c:v>
                  </c:pt>
                  <c:pt idx="68">
                    <c:v>Eyl</c:v>
                  </c:pt>
                  <c:pt idx="69">
                    <c:v>Eki</c:v>
                  </c:pt>
                  <c:pt idx="70">
                    <c:v>Kas</c:v>
                  </c:pt>
                  <c:pt idx="71">
                    <c:v>Ara</c:v>
                  </c:pt>
                  <c:pt idx="72">
                    <c:v>Oca</c:v>
                  </c:pt>
                  <c:pt idx="73">
                    <c:v>Şub</c:v>
                  </c:pt>
                  <c:pt idx="74">
                    <c:v>Mar</c:v>
                  </c:pt>
                  <c:pt idx="75">
                    <c:v>Nis</c:v>
                  </c:pt>
                  <c:pt idx="76">
                    <c:v>May</c:v>
                  </c:pt>
                  <c:pt idx="77">
                    <c:v>Haz</c:v>
                  </c:pt>
                  <c:pt idx="78">
                    <c:v>Tem</c:v>
                  </c:pt>
                  <c:pt idx="79">
                    <c:v>Ağu</c:v>
                  </c:pt>
                  <c:pt idx="80">
                    <c:v>Eyl</c:v>
                  </c:pt>
                  <c:pt idx="81">
                    <c:v>Eki</c:v>
                  </c:pt>
                  <c:pt idx="82">
                    <c:v>Kas</c:v>
                  </c:pt>
                  <c:pt idx="83">
                    <c:v>Ara</c:v>
                  </c:pt>
                  <c:pt idx="84">
                    <c:v>Oca</c:v>
                  </c:pt>
                  <c:pt idx="85">
                    <c:v>Şub</c:v>
                  </c:pt>
                  <c:pt idx="86">
                    <c:v>Mar</c:v>
                  </c:pt>
                  <c:pt idx="87">
                    <c:v>Nis</c:v>
                  </c:pt>
                  <c:pt idx="88">
                    <c:v>May</c:v>
                  </c:pt>
                  <c:pt idx="89">
                    <c:v>Haz</c:v>
                  </c:pt>
                  <c:pt idx="90">
                    <c:v>Tem</c:v>
                  </c:pt>
                  <c:pt idx="91">
                    <c:v>Ağu</c:v>
                  </c:pt>
                  <c:pt idx="92">
                    <c:v>Eyl</c:v>
                  </c:pt>
                  <c:pt idx="93">
                    <c:v>Eki</c:v>
                  </c:pt>
                  <c:pt idx="94">
                    <c:v>Kas</c:v>
                  </c:pt>
                  <c:pt idx="95">
                    <c:v>Ara</c:v>
                  </c:pt>
                  <c:pt idx="96">
                    <c:v>Oca</c:v>
                  </c:pt>
                  <c:pt idx="97">
                    <c:v>Şub</c:v>
                  </c:pt>
                  <c:pt idx="98">
                    <c:v>Mar</c:v>
                  </c:pt>
                  <c:pt idx="99">
                    <c:v>Nis</c:v>
                  </c:pt>
                  <c:pt idx="100">
                    <c:v>May</c:v>
                  </c:pt>
                  <c:pt idx="101">
                    <c:v>Haz</c:v>
                  </c:pt>
                  <c:pt idx="102">
                    <c:v>Tem</c:v>
                  </c:pt>
                  <c:pt idx="103">
                    <c:v>Ağu</c:v>
                  </c:pt>
                  <c:pt idx="104">
                    <c:v>Eyl</c:v>
                  </c:pt>
                  <c:pt idx="105">
                    <c:v>Eki</c:v>
                  </c:pt>
                  <c:pt idx="106">
                    <c:v>Kas</c:v>
                  </c:pt>
                  <c:pt idx="107">
                    <c:v>Ara</c:v>
                  </c:pt>
                  <c:pt idx="108">
                    <c:v>Oca</c:v>
                  </c:pt>
                  <c:pt idx="109">
                    <c:v>Şub</c:v>
                  </c:pt>
                  <c:pt idx="110">
                    <c:v>Mar</c:v>
                  </c:pt>
                  <c:pt idx="111">
                    <c:v>Nis</c:v>
                  </c:pt>
                  <c:pt idx="112">
                    <c:v>May</c:v>
                  </c:pt>
                  <c:pt idx="113">
                    <c:v>Haz</c:v>
                  </c:pt>
                  <c:pt idx="114">
                    <c:v>Tem</c:v>
                  </c:pt>
                  <c:pt idx="115">
                    <c:v>Ağu</c:v>
                  </c:pt>
                  <c:pt idx="116">
                    <c:v>Eyl</c:v>
                  </c:pt>
                  <c:pt idx="117">
                    <c:v>Eki</c:v>
                  </c:pt>
                  <c:pt idx="118">
                    <c:v>Kas</c:v>
                  </c:pt>
                  <c:pt idx="119">
                    <c:v>Ara</c:v>
                  </c:pt>
                  <c:pt idx="120">
                    <c:v>Oca</c:v>
                  </c:pt>
                  <c:pt idx="121">
                    <c:v>Şub</c:v>
                  </c:pt>
                  <c:pt idx="122">
                    <c:v>Mar</c:v>
                  </c:pt>
                  <c:pt idx="123">
                    <c:v>Nis</c:v>
                  </c:pt>
                  <c:pt idx="124">
                    <c:v>May</c:v>
                  </c:pt>
                  <c:pt idx="125">
                    <c:v>Haz</c:v>
                  </c:pt>
                  <c:pt idx="126">
                    <c:v>Tem</c:v>
                  </c:pt>
                  <c:pt idx="127">
                    <c:v>Ağu</c:v>
                  </c:pt>
                  <c:pt idx="128">
                    <c:v>Eyl</c:v>
                  </c:pt>
                  <c:pt idx="129">
                    <c:v>Eki</c:v>
                  </c:pt>
                  <c:pt idx="130">
                    <c:v>Kas</c:v>
                  </c:pt>
                  <c:pt idx="131">
                    <c:v>Ara</c:v>
                  </c:pt>
                </c:lvl>
                <c:lvl>
                  <c:pt idx="0">
                    <c:v>2015</c:v>
                  </c:pt>
                  <c:pt idx="12">
                    <c:v>2016</c:v>
                  </c:pt>
                  <c:pt idx="24">
                    <c:v>2017</c:v>
                  </c:pt>
                  <c:pt idx="36">
                    <c:v>2018</c:v>
                  </c:pt>
                  <c:pt idx="48">
                    <c:v>2019</c:v>
                  </c:pt>
                  <c:pt idx="60">
                    <c:v>2020</c:v>
                  </c:pt>
                  <c:pt idx="72">
                    <c:v>2021</c:v>
                  </c:pt>
                  <c:pt idx="84">
                    <c:v>2022</c:v>
                  </c:pt>
                  <c:pt idx="96">
                    <c:v>2023</c:v>
                  </c:pt>
                  <c:pt idx="108">
                    <c:v>2024</c:v>
                  </c:pt>
                  <c:pt idx="120">
                    <c:v>2025</c:v>
                  </c:pt>
                </c:lvl>
              </c:multiLvlStrCache>
            </c:multiLvlStrRef>
          </c:cat>
          <c:val>
            <c:numRef>
              <c:f>Data!$O$3:$O$134</c:f>
              <c:numCache>
                <c:formatCode>0</c:formatCode>
                <c:ptCount val="132"/>
                <c:pt idx="0">
                  <c:v>0.56819797717927722</c:v>
                </c:pt>
                <c:pt idx="1">
                  <c:v>0.58847768141033729</c:v>
                </c:pt>
                <c:pt idx="2">
                  <c:v>0.56302528137766883</c:v>
                </c:pt>
                <c:pt idx="3">
                  <c:v>0.56783528444688391</c:v>
                </c:pt>
                <c:pt idx="4">
                  <c:v>0.58634186745992312</c:v>
                </c:pt>
                <c:pt idx="5">
                  <c:v>0.5526376275878101</c:v>
                </c:pt>
                <c:pt idx="6">
                  <c:v>0.59212509253619017</c:v>
                </c:pt>
                <c:pt idx="7">
                  <c:v>0.61160539171713402</c:v>
                </c:pt>
                <c:pt idx="8">
                  <c:v>0.57797688219557508</c:v>
                </c:pt>
                <c:pt idx="9">
                  <c:v>0.58215573454294312</c:v>
                </c:pt>
                <c:pt idx="10">
                  <c:v>0.58051122166588975</c:v>
                </c:pt>
                <c:pt idx="11">
                  <c:v>0.55996633060702283</c:v>
                </c:pt>
                <c:pt idx="12">
                  <c:v>0.69109668856962447</c:v>
                </c:pt>
                <c:pt idx="13">
                  <c:v>0.67133675010760308</c:v>
                </c:pt>
                <c:pt idx="14">
                  <c:v>0.64411051219210069</c:v>
                </c:pt>
                <c:pt idx="15">
                  <c:v>0.66862221752601303</c:v>
                </c:pt>
                <c:pt idx="16">
                  <c:v>0.67487754976378334</c:v>
                </c:pt>
                <c:pt idx="17">
                  <c:v>0.62639579967814274</c:v>
                </c:pt>
                <c:pt idx="18">
                  <c:v>0.66958193525077481</c:v>
                </c:pt>
                <c:pt idx="19">
                  <c:v>0.67816819576265164</c:v>
                </c:pt>
                <c:pt idx="20">
                  <c:v>0.64386174316340772</c:v>
                </c:pt>
                <c:pt idx="21">
                  <c:v>0.65548025508001106</c:v>
                </c:pt>
                <c:pt idx="22">
                  <c:v>0.65362021971856232</c:v>
                </c:pt>
                <c:pt idx="23">
                  <c:v>0.62119423097592374</c:v>
                </c:pt>
                <c:pt idx="24">
                  <c:v>0.65374562308305084</c:v>
                </c:pt>
                <c:pt idx="25">
                  <c:v>0.65977320842223719</c:v>
                </c:pt>
                <c:pt idx="26">
                  <c:v>0.62490411536518797</c:v>
                </c:pt>
                <c:pt idx="27">
                  <c:v>0.64131272383609572</c:v>
                </c:pt>
                <c:pt idx="28">
                  <c:v>0.66164694133548863</c:v>
                </c:pt>
                <c:pt idx="29">
                  <c:v>0.63404239485100089</c:v>
                </c:pt>
                <c:pt idx="30">
                  <c:v>0.65086513385206546</c:v>
                </c:pt>
                <c:pt idx="31">
                  <c:v>0.65424057215086795</c:v>
                </c:pt>
                <c:pt idx="32">
                  <c:v>0.63329983693226077</c:v>
                </c:pt>
                <c:pt idx="33">
                  <c:v>0.63203403222776666</c:v>
                </c:pt>
                <c:pt idx="34">
                  <c:v>0.63098687252857177</c:v>
                </c:pt>
                <c:pt idx="35">
                  <c:v>0.62424967639550522</c:v>
                </c:pt>
                <c:pt idx="36">
                  <c:v>0.68003447342780732</c:v>
                </c:pt>
                <c:pt idx="37">
                  <c:v>0.67918476137021855</c:v>
                </c:pt>
                <c:pt idx="38">
                  <c:v>0.65198382648035613</c:v>
                </c:pt>
                <c:pt idx="39">
                  <c:v>0.65228163078870849</c:v>
                </c:pt>
                <c:pt idx="40">
                  <c:v>0.65715434198933065</c:v>
                </c:pt>
                <c:pt idx="41">
                  <c:v>0.63461058253286551</c:v>
                </c:pt>
                <c:pt idx="42">
                  <c:v>0.63629583676165136</c:v>
                </c:pt>
                <c:pt idx="43">
                  <c:v>0.6462142860310055</c:v>
                </c:pt>
                <c:pt idx="44">
                  <c:v>0.61305717869489396</c:v>
                </c:pt>
                <c:pt idx="45">
                  <c:v>0.61141612673726631</c:v>
                </c:pt>
                <c:pt idx="46">
                  <c:v>0.61495864108533038</c:v>
                </c:pt>
                <c:pt idx="47">
                  <c:v>0.60494313620556284</c:v>
                </c:pt>
                <c:pt idx="48">
                  <c:v>0.7309745860005038</c:v>
                </c:pt>
                <c:pt idx="49">
                  <c:v>0.68883134065687157</c:v>
                </c:pt>
                <c:pt idx="50">
                  <c:v>0.67395011235114211</c:v>
                </c:pt>
                <c:pt idx="51">
                  <c:v>0.68291175948097227</c:v>
                </c:pt>
                <c:pt idx="52">
                  <c:v>0.67312270245125383</c:v>
                </c:pt>
                <c:pt idx="53">
                  <c:v>0.65921395105356806</c:v>
                </c:pt>
                <c:pt idx="54">
                  <c:v>0.67297294498242211</c:v>
                </c:pt>
                <c:pt idx="55">
                  <c:v>0.65036327047925846</c:v>
                </c:pt>
                <c:pt idx="56">
                  <c:v>0.63660451049526445</c:v>
                </c:pt>
                <c:pt idx="57">
                  <c:v>0.65049132389613951</c:v>
                </c:pt>
                <c:pt idx="58">
                  <c:v>0.63436003983136924</c:v>
                </c:pt>
                <c:pt idx="59">
                  <c:v>0.63033959299943465</c:v>
                </c:pt>
                <c:pt idx="60">
                  <c:v>0.69369291220890994</c:v>
                </c:pt>
                <c:pt idx="61">
                  <c:v>0.64103223421149536</c:v>
                </c:pt>
                <c:pt idx="62">
                  <c:v>0.66029320448255557</c:v>
                </c:pt>
                <c:pt idx="63">
                  <c:v>0.63191528984595846</c:v>
                </c:pt>
                <c:pt idx="64">
                  <c:v>0.62359613012075188</c:v>
                </c:pt>
                <c:pt idx="65">
                  <c:v>0.64314535930028127</c:v>
                </c:pt>
                <c:pt idx="66">
                  <c:v>0.64633196303131646</c:v>
                </c:pt>
                <c:pt idx="67">
                  <c:v>0.64912376765931146</c:v>
                </c:pt>
                <c:pt idx="68">
                  <c:v>0.62725324994816078</c:v>
                </c:pt>
                <c:pt idx="69">
                  <c:v>0.63282516169747116</c:v>
                </c:pt>
                <c:pt idx="70">
                  <c:v>0.62248786445755255</c:v>
                </c:pt>
                <c:pt idx="71">
                  <c:v>0.61095794229556355</c:v>
                </c:pt>
                <c:pt idx="72">
                  <c:v>0.71192591415618034</c:v>
                </c:pt>
                <c:pt idx="73">
                  <c:v>0.67710528732036435</c:v>
                </c:pt>
                <c:pt idx="74">
                  <c:v>0.68663455714440114</c:v>
                </c:pt>
                <c:pt idx="75">
                  <c:v>0.67018411149734891</c:v>
                </c:pt>
                <c:pt idx="76">
                  <c:v>0.68045265331506788</c:v>
                </c:pt>
                <c:pt idx="77">
                  <c:v>0.67531978036944162</c:v>
                </c:pt>
                <c:pt idx="78">
                  <c:v>0.67554285530418989</c:v>
                </c:pt>
                <c:pt idx="79">
                  <c:v>0.67700224870445069</c:v>
                </c:pt>
                <c:pt idx="80">
                  <c:v>0.67277585905280279</c:v>
                </c:pt>
                <c:pt idx="81">
                  <c:v>0.66160423962383597</c:v>
                </c:pt>
                <c:pt idx="82">
                  <c:v>0.63705622537998285</c:v>
                </c:pt>
                <c:pt idx="83">
                  <c:v>0.64965905141686209</c:v>
                </c:pt>
                <c:pt idx="84">
                  <c:v>0.84813990579613108</c:v>
                </c:pt>
                <c:pt idx="85">
                  <c:v>0.71760543902204554</c:v>
                </c:pt>
                <c:pt idx="86">
                  <c:v>0.70475967784459848</c:v>
                </c:pt>
                <c:pt idx="87">
                  <c:v>0.6844209324865913</c:v>
                </c:pt>
                <c:pt idx="88">
                  <c:v>0.66902519518307513</c:v>
                </c:pt>
                <c:pt idx="89">
                  <c:v>0.67680519813888274</c:v>
                </c:pt>
                <c:pt idx="90">
                  <c:v>0.7513262078538453</c:v>
                </c:pt>
                <c:pt idx="91">
                  <c:v>0.70660349605162254</c:v>
                </c:pt>
                <c:pt idx="92">
                  <c:v>0.68503868341651541</c:v>
                </c:pt>
                <c:pt idx="93">
                  <c:v>0.65380657866340297</c:v>
                </c:pt>
                <c:pt idx="94">
                  <c:v>0.64305555880310439</c:v>
                </c:pt>
                <c:pt idx="95">
                  <c:v>0.65465381157567581</c:v>
                </c:pt>
                <c:pt idx="96">
                  <c:v>0.85170512276653043</c:v>
                </c:pt>
                <c:pt idx="97">
                  <c:v>0.69216551144375704</c:v>
                </c:pt>
                <c:pt idx="98">
                  <c:v>0.67786156866744862</c:v>
                </c:pt>
                <c:pt idx="99">
                  <c:v>0.64797297266417819</c:v>
                </c:pt>
                <c:pt idx="100">
                  <c:v>0.65416858878833317</c:v>
                </c:pt>
                <c:pt idx="101">
                  <c:v>0.66396014646928048</c:v>
                </c:pt>
                <c:pt idx="102">
                  <c:v>0.76846608849337561</c:v>
                </c:pt>
                <c:pt idx="103">
                  <c:v>0.65836377116952249</c:v>
                </c:pt>
                <c:pt idx="104">
                  <c:v>0.64393176570486976</c:v>
                </c:pt>
                <c:pt idx="105">
                  <c:v>0.61807296091787489</c:v>
                </c:pt>
                <c:pt idx="106">
                  <c:v>0.59707460505398313</c:v>
                </c:pt>
                <c:pt idx="107">
                  <c:v>0.61204723356187751</c:v>
                </c:pt>
                <c:pt idx="108">
                  <c:v>0.79230829811496073</c:v>
                </c:pt>
                <c:pt idx="109">
                  <c:v>0.67582574614777668</c:v>
                </c:pt>
                <c:pt idx="110">
                  <c:v>0.65504782408688078</c:v>
                </c:pt>
                <c:pt idx="111">
                  <c:v>0.62391612677128794</c:v>
                </c:pt>
                <c:pt idx="112">
                  <c:v>0.6259630344965712</c:v>
                </c:pt>
                <c:pt idx="113">
                  <c:v>0.62244376830259873</c:v>
                </c:pt>
                <c:pt idx="114">
                  <c:v>0.59137459013285831</c:v>
                </c:pt>
                <c:pt idx="115">
                  <c:v>0.585485355049147</c:v>
                </c:pt>
                <c:pt idx="116">
                  <c:v>0.58175037124732254</c:v>
                </c:pt>
                <c:pt idx="117">
                  <c:v>0.56610914088999231</c:v>
                </c:pt>
                <c:pt idx="118">
                  <c:v>0.57092468528343043</c:v>
                </c:pt>
                <c:pt idx="119">
                  <c:v>0.57090532279327277</c:v>
                </c:pt>
                <c:pt idx="120">
                  <c:v>0.68004451043140157</c:v>
                </c:pt>
                <c:pt idx="121">
                  <c:v>0.61911426546828485</c:v>
                </c:pt>
                <c:pt idx="122">
                  <c:v>0.5985247991439383</c:v>
                </c:pt>
                <c:pt idx="123">
                  <c:v>0.58209398963512249</c:v>
                </c:pt>
                <c:pt idx="124">
                  <c:v>0.58034261860379632</c:v>
                </c:pt>
                <c:pt idx="125">
                  <c:v>0.56582783986205931</c:v>
                </c:pt>
                <c:pt idx="126">
                  <c:v>0.56673017318537866</c:v>
                </c:pt>
                <c:pt idx="127">
                  <c:v>0.54915364979597414</c:v>
                </c:pt>
                <c:pt idx="128">
                  <c:v>0.55102978422144222</c:v>
                </c:pt>
                <c:pt idx="129">
                  <c:v>0.54900157463105448</c:v>
                </c:pt>
                <c:pt idx="130">
                  <c:v>0.53656200982307867</c:v>
                </c:pt>
                <c:pt idx="131">
                  <c:v>0.53978313604887007</c:v>
                </c:pt>
              </c:numCache>
            </c:numRef>
          </c:val>
          <c:smooth val="0"/>
          <c:extLst>
            <c:ext xmlns:c16="http://schemas.microsoft.com/office/drawing/2014/chart" uri="{C3380CC4-5D6E-409C-BE32-E72D297353CC}">
              <c16:uniqueId val="{00000001-0791-45E6-B63F-FED9D6CED530}"/>
            </c:ext>
          </c:extLst>
        </c:ser>
        <c:dLbls>
          <c:showLegendKey val="0"/>
          <c:showVal val="0"/>
          <c:showCatName val="0"/>
          <c:showSerName val="0"/>
          <c:showPercent val="0"/>
          <c:showBubbleSize val="0"/>
        </c:dLbls>
        <c:smooth val="0"/>
        <c:axId val="1584621248"/>
        <c:axId val="1389844304"/>
      </c:lineChart>
      <c:catAx>
        <c:axId val="158462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1389844304"/>
        <c:crosses val="autoZero"/>
        <c:auto val="1"/>
        <c:lblAlgn val="ctr"/>
        <c:lblOffset val="100"/>
        <c:noMultiLvlLbl val="0"/>
      </c:catAx>
      <c:valAx>
        <c:axId val="1389844304"/>
        <c:scaling>
          <c:orientation val="minMax"/>
          <c:max val="1"/>
        </c:scaling>
        <c:delete val="0"/>
        <c:axPos val="l"/>
        <c:majorGridlines>
          <c:spPr>
            <a:ln w="9525" cap="flat" cmpd="sng" algn="ctr">
              <a:solidFill>
                <a:schemeClr val="tx1"/>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s-ES"/>
                  <a:t>Asgari ücretin</a:t>
                </a:r>
                <a:r>
                  <a:rPr lang="es-ES" baseline="0"/>
                  <a:t> ortalama ücrete oranı</a:t>
                </a:r>
                <a:endParaRPr lang="es-E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ES"/>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crossAx val="1584621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FDA2D-E979-4704-9782-AB2F23B0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3348</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Pinedo</dc:creator>
  <cp:lastModifiedBy>Alp Ata TURKOGLU</cp:lastModifiedBy>
  <cp:revision>42</cp:revision>
  <dcterms:created xsi:type="dcterms:W3CDTF">2026-08-16T15:42:00Z</dcterms:created>
  <dcterms:modified xsi:type="dcterms:W3CDTF">2026-08-26T10:07:00Z</dcterms:modified>
</cp:coreProperties>
</file>