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3010E" w14:textId="3D27F292" w:rsidR="00DC0CC4" w:rsidRDefault="00B13307">
      <w:pPr>
        <w:rPr>
          <w:rFonts w:ascii="Arial" w:eastAsia="Arial" w:hAnsi="Arial" w:cs="Arial"/>
          <w:sz w:val="20"/>
          <w:szCs w:val="20"/>
        </w:rPr>
      </w:pPr>
      <w:r w:rsidRPr="0029586B">
        <w:rPr>
          <w:rFonts w:ascii="Arial" w:hAnsi="Arial" w:cs="Arial"/>
          <w:noProof/>
          <w:lang w:val="en-US"/>
        </w:rPr>
        <mc:AlternateContent>
          <mc:Choice Requires="wpg">
            <w:drawing>
              <wp:anchor distT="0" distB="0" distL="114300" distR="114300" simplePos="0" relativeHeight="251662336" behindDoc="1" locked="0" layoutInCell="1" allowOverlap="1" wp14:anchorId="13FBFA6A" wp14:editId="6DA867EB">
                <wp:simplePos x="0" y="0"/>
                <wp:positionH relativeFrom="page">
                  <wp:posOffset>151765</wp:posOffset>
                </wp:positionH>
                <wp:positionV relativeFrom="page">
                  <wp:posOffset>145886</wp:posOffset>
                </wp:positionV>
                <wp:extent cx="7306361" cy="1823705"/>
                <wp:effectExtent l="12700" t="12700" r="8890" b="0"/>
                <wp:wrapTight wrapText="bothSides">
                  <wp:wrapPolygon edited="0">
                    <wp:start x="-38" y="-150"/>
                    <wp:lineTo x="-38" y="20313"/>
                    <wp:lineTo x="17496" y="21216"/>
                    <wp:lineTo x="21213" y="21216"/>
                    <wp:lineTo x="21439" y="20915"/>
                    <wp:lineTo x="21589" y="20163"/>
                    <wp:lineTo x="21589" y="-150"/>
                    <wp:lineTo x="-38" y="-150"/>
                  </wp:wrapPolygon>
                </wp:wrapTight>
                <wp:docPr id="43" name="Group 43"/>
                <wp:cNvGraphicFramePr/>
                <a:graphic xmlns:a="http://schemas.openxmlformats.org/drawingml/2006/main">
                  <a:graphicData uri="http://schemas.microsoft.com/office/word/2010/wordprocessingGroup">
                    <wpg:wgp>
                      <wpg:cNvGrpSpPr/>
                      <wpg:grpSpPr>
                        <a:xfrm>
                          <a:off x="0" y="0"/>
                          <a:ext cx="7306361" cy="1823705"/>
                          <a:chOff x="93217" y="1348"/>
                          <a:chExt cx="7307580" cy="1823936"/>
                        </a:xfrm>
                      </wpg:grpSpPr>
                      <wpg:grpSp>
                        <wpg:cNvPr id="11" name="Grup 11">
                          <a:extLst>
                            <a:ext uri="{FF2B5EF4-FFF2-40B4-BE49-F238E27FC236}">
                              <a16:creationId xmlns:a16="http://schemas.microsoft.com/office/drawing/2014/main" id="{8BE1DD16-803E-4716-B8ED-20DE7FCD0C0A}"/>
                            </a:ext>
                          </a:extLst>
                        </wpg:cNvPr>
                        <wpg:cNvGrpSpPr/>
                        <wpg:grpSpPr>
                          <a:xfrm>
                            <a:off x="93217" y="1348"/>
                            <a:ext cx="7307580" cy="1713230"/>
                            <a:chOff x="93217" y="1349"/>
                            <a:chExt cx="7307580" cy="1713865"/>
                          </a:xfrm>
                        </wpg:grpSpPr>
                        <pic:pic xmlns:pic="http://schemas.openxmlformats.org/drawingml/2006/picture">
                          <pic:nvPicPr>
                            <pic:cNvPr id="15" name="Resim 15">
                              <a:extLst>
                                <a:ext uri="{FF2B5EF4-FFF2-40B4-BE49-F238E27FC236}">
                                  <a16:creationId xmlns:a16="http://schemas.microsoft.com/office/drawing/2014/main" id="{A9309F26-715D-4B1D-93C3-C7A0B8641969}"/>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3217" y="1349"/>
                              <a:ext cx="7307580" cy="1713865"/>
                            </a:xfrm>
                            <a:prstGeom prst="rect">
                              <a:avLst/>
                            </a:prstGeom>
                            <a:noFill/>
                            <a:ln>
                              <a:solidFill>
                                <a:schemeClr val="tx1"/>
                              </a:solidFill>
                            </a:ln>
                          </pic:spPr>
                        </pic:pic>
                        <wps:wsp>
                          <wps:cNvPr id="16" name="Metin Kutusu 11">
                            <a:extLst>
                              <a:ext uri="{FF2B5EF4-FFF2-40B4-BE49-F238E27FC236}">
                                <a16:creationId xmlns:a16="http://schemas.microsoft.com/office/drawing/2014/main" id="{F4FA7D2D-FE02-4C1D-B003-67E56A6099C8}"/>
                              </a:ext>
                            </a:extLst>
                          </wps:cNvPr>
                          <wps:cNvSpPr txBox="1">
                            <a:spLocks noChangeArrowheads="1"/>
                          </wps:cNvSpPr>
                          <wps:spPr bwMode="auto">
                            <a:xfrm>
                              <a:off x="2820388" y="722928"/>
                              <a:ext cx="3389769" cy="950378"/>
                            </a:xfrm>
                            <a:prstGeom prst="rect">
                              <a:avLst/>
                            </a:prstGeom>
                            <a:solidFill>
                              <a:srgbClr val="FFFFFF">
                                <a:alpha val="0"/>
                              </a:srgbClr>
                            </a:solidFill>
                            <a:ln>
                              <a:noFill/>
                            </a:ln>
                          </wps:spPr>
                          <wps:txbx>
                            <w:txbxContent>
                              <w:p w14:paraId="1D4F17D1" w14:textId="1877FB7E" w:rsidR="00B13307" w:rsidRPr="00041B5A" w:rsidRDefault="00B13307" w:rsidP="00B13307">
                                <w:pPr>
                                  <w:pStyle w:val="Balk1"/>
                                  <w:rPr>
                                    <w:rFonts w:ascii="Palatino Linotype" w:hAnsi="Palatino Linotype"/>
                                    <w:b w:val="0"/>
                                    <w:sz w:val="48"/>
                                    <w:szCs w:val="48"/>
                                  </w:rPr>
                                </w:pPr>
                                <w:r>
                                  <w:rPr>
                                    <w:rFonts w:ascii="Palatino Linotype" w:hAnsi="Palatino Linotype"/>
                                    <w:sz w:val="48"/>
                                    <w:szCs w:val="48"/>
                                  </w:rPr>
                                  <w:t>Research Brief</w:t>
                                </w:r>
                                <w:r w:rsidRPr="00041B5A">
                                  <w:rPr>
                                    <w:rFonts w:ascii="Palatino Linotype" w:hAnsi="Palatino Linotype"/>
                                    <w:sz w:val="48"/>
                                    <w:szCs w:val="48"/>
                                  </w:rPr>
                                  <w:t xml:space="preserve"> 25/28</w:t>
                                </w:r>
                                <w:r>
                                  <w:rPr>
                                    <w:rFonts w:ascii="Palatino Linotype" w:hAnsi="Palatino Linotype"/>
                                    <w:sz w:val="48"/>
                                    <w:szCs w:val="48"/>
                                  </w:rPr>
                                  <w:t>3</w:t>
                                </w:r>
                              </w:p>
                              <w:p w14:paraId="7E51736E" w14:textId="77777777" w:rsidR="00B13307" w:rsidRPr="00041B5A" w:rsidRDefault="00B13307" w:rsidP="00B13307">
                                <w:pPr>
                                  <w:jc w:val="center"/>
                                  <w:rPr>
                                    <w:rFonts w:ascii="Arial" w:hAnsi="Arial" w:cs="Arial"/>
                                    <w:b/>
                                    <w:szCs w:val="28"/>
                                  </w:rPr>
                                </w:pPr>
                              </w:p>
                            </w:txbxContent>
                          </wps:txbx>
                          <wps:bodyPr rot="0" vert="horz" wrap="square" lIns="0" tIns="0" rIns="0" bIns="0" anchor="t" anchorCtr="0" upright="1">
                            <a:noAutofit/>
                          </wps:bodyPr>
                        </wps:wsp>
                      </wpg:grpSp>
                      <wps:wsp>
                        <wps:cNvPr id="14" name="Rectangle 14"/>
                        <wps:cNvSpPr/>
                        <wps:spPr>
                          <a:xfrm>
                            <a:off x="5947383" y="1373811"/>
                            <a:ext cx="1397565" cy="451473"/>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19B58F8" w14:textId="16CF875B" w:rsidR="00B13307" w:rsidRPr="00C07536" w:rsidRDefault="00B13307" w:rsidP="00B13307">
                              <w:pPr>
                                <w:jc w:val="center"/>
                                <w:rPr>
                                  <w:color w:val="FFFFFF" w:themeColor="background1"/>
                                </w:rPr>
                              </w:pPr>
                              <w:r>
                                <w:rPr>
                                  <w:color w:val="FFFFFF" w:themeColor="background1"/>
                                </w:rPr>
                                <w:t>June 17t</w:t>
                              </w:r>
                              <w:r>
                                <w:rPr>
                                  <w:color w:val="FFFFFF" w:themeColor="background1"/>
                                </w:rPr>
                                <w:t>h, 202</w:t>
                              </w:r>
                              <w:r>
                                <w:rPr>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BFA6A" id="Group 43" o:spid="_x0000_s1026" style="position:absolute;margin-left:11.95pt;margin-top:11.5pt;width:575.3pt;height:143.6pt;z-index:-251654144;mso-position-horizontal-relative:page;mso-position-vertical-relative:page;mso-width-relative:margin;mso-height-relative:margin" coordorigin="932,13" coordsize="73075,18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">
                <v:group id="Grup 11" o:spid="_x0000_s1027" style="position:absolute;left:932;top:13;width:73075;height:17132" coordorigin="932,13" coordsize="73075,17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 o:spid="_x0000_s1028" type="#_x0000_t75" style="position:absolute;left:932;top:13;width:73075;height:17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" stroked="t" strokecolor="black [3213]">
                    <v:imagedata r:id="rId9" o:title=""/>
                  </v:shape>
                  <v:shapetype id="_x0000_t202" coordsize="21600,21600" o:spt="202" path="m,l,21600r21600,l21600,xe">
                    <v:stroke joinstyle="miter"/>
                    <v:path gradientshapeok="t" o:connecttype="rect"/>
                  </v:shapetype>
                  <v:shape id="Metin Kutusu 11" o:spid="_x0000_s1029" type="#_x0000_t202" style="position:absolute;left:28203;top:7229;width:33898;height:9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" stroked="f">
                    <v:fill opacity="0"/>
                    <v:textbox inset="0,0,0,0">
                      <w:txbxContent>
                        <w:p w14:paraId="1D4F17D1" w14:textId="1877FB7E" w:rsidR="00B13307" w:rsidRPr="00041B5A" w:rsidRDefault="00B13307" w:rsidP="00B13307">
                          <w:pPr>
                            <w:pStyle w:val="Balk1"/>
                            <w:rPr>
                              <w:rFonts w:ascii="Palatino Linotype" w:hAnsi="Palatino Linotype"/>
                              <w:b w:val="0"/>
                              <w:sz w:val="48"/>
                              <w:szCs w:val="48"/>
                            </w:rPr>
                          </w:pPr>
                          <w:r>
                            <w:rPr>
                              <w:rFonts w:ascii="Palatino Linotype" w:hAnsi="Palatino Linotype"/>
                              <w:sz w:val="48"/>
                              <w:szCs w:val="48"/>
                            </w:rPr>
                            <w:t>Research Brief</w:t>
                          </w:r>
                          <w:r w:rsidRPr="00041B5A">
                            <w:rPr>
                              <w:rFonts w:ascii="Palatino Linotype" w:hAnsi="Palatino Linotype"/>
                              <w:sz w:val="48"/>
                              <w:szCs w:val="48"/>
                            </w:rPr>
                            <w:t xml:space="preserve"> 25/28</w:t>
                          </w:r>
                          <w:r>
                            <w:rPr>
                              <w:rFonts w:ascii="Palatino Linotype" w:hAnsi="Palatino Linotype"/>
                              <w:sz w:val="48"/>
                              <w:szCs w:val="48"/>
                            </w:rPr>
                            <w:t>3</w:t>
                          </w:r>
                        </w:p>
                        <w:p w14:paraId="7E51736E" w14:textId="77777777" w:rsidR="00B13307" w:rsidRPr="00041B5A" w:rsidRDefault="00B13307" w:rsidP="00B13307">
                          <w:pPr>
                            <w:jc w:val="center"/>
                            <w:rPr>
                              <w:rFonts w:ascii="Arial" w:hAnsi="Arial" w:cs="Arial"/>
                              <w:b/>
                              <w:szCs w:val="28"/>
                            </w:rPr>
                          </w:pPr>
                        </w:p>
                      </w:txbxContent>
                    </v:textbox>
                  </v:shape>
                </v:group>
                <v:rect id="Rectangle 14" o:spid="_x0000_s1030" style="position:absolute;left:59473;top:13738;width:13976;height:4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" filled="f" stroked="f">
                  <v:textbox>
                    <w:txbxContent>
                      <w:p w14:paraId="719B58F8" w14:textId="16CF875B" w:rsidR="00B13307" w:rsidRPr="00C07536" w:rsidRDefault="00B13307" w:rsidP="00B13307">
                        <w:pPr>
                          <w:jc w:val="center"/>
                          <w:rPr>
                            <w:color w:val="FFFFFF" w:themeColor="background1"/>
                          </w:rPr>
                        </w:pPr>
                        <w:r>
                          <w:rPr>
                            <w:color w:val="FFFFFF" w:themeColor="background1"/>
                          </w:rPr>
                          <w:t>June 17t</w:t>
                        </w:r>
                        <w:r>
                          <w:rPr>
                            <w:color w:val="FFFFFF" w:themeColor="background1"/>
                          </w:rPr>
                          <w:t>h, 202</w:t>
                        </w:r>
                        <w:r>
                          <w:rPr>
                            <w:color w:val="FFFFFF" w:themeColor="background1"/>
                          </w:rPr>
                          <w:t>6</w:t>
                        </w:r>
                      </w:p>
                    </w:txbxContent>
                  </v:textbox>
                </v:rect>
                <w10:wrap type="tight" anchorx="page" anchory="page"/>
              </v:group>
            </w:pict>
          </mc:Fallback>
        </mc:AlternateContent>
      </w:r>
    </w:p>
    <w:p w14:paraId="77CC63A1" w14:textId="59544CFE" w:rsidR="00DC0CC4" w:rsidRDefault="00DC0CC4">
      <w:pPr>
        <w:rPr>
          <w:rFonts w:ascii="Arial" w:eastAsia="Arial" w:hAnsi="Arial" w:cs="Arial"/>
          <w:sz w:val="20"/>
          <w:szCs w:val="20"/>
        </w:rPr>
      </w:pPr>
    </w:p>
    <w:p w14:paraId="771706E7" w14:textId="77777777" w:rsidR="00DC0CC4" w:rsidRDefault="00DC0CC4">
      <w:pPr>
        <w:rPr>
          <w:rFonts w:ascii="Arial" w:eastAsia="Arial" w:hAnsi="Arial" w:cs="Arial"/>
          <w:sz w:val="20"/>
          <w:szCs w:val="20"/>
        </w:rPr>
      </w:pPr>
    </w:p>
    <w:p w14:paraId="4970D004" w14:textId="77777777" w:rsidR="00DC0CC4" w:rsidRDefault="00DC0CC4">
      <w:pPr>
        <w:rPr>
          <w:rFonts w:ascii="Arial" w:eastAsia="Arial" w:hAnsi="Arial" w:cs="Arial"/>
          <w:sz w:val="20"/>
          <w:szCs w:val="20"/>
        </w:rPr>
      </w:pPr>
    </w:p>
    <w:p w14:paraId="07E90C4A" w14:textId="77777777" w:rsidR="00DC0CC4" w:rsidRDefault="00DC0CC4">
      <w:pPr>
        <w:rPr>
          <w:rFonts w:ascii="Palatino Linotype" w:eastAsia="Palatino Linotype" w:hAnsi="Palatino Linotype" w:cs="Palatino Linotype"/>
          <w:b/>
          <w:bCs/>
          <w:sz w:val="20"/>
          <w:szCs w:val="20"/>
        </w:rPr>
      </w:pPr>
    </w:p>
    <w:p w14:paraId="12891667" w14:textId="6ACF537B" w:rsidR="00DC0CC4" w:rsidRDefault="00000000">
      <w:pPr>
        <w:jc w:val="center"/>
        <w:rPr>
          <w:rFonts w:ascii="Palatino Linotype" w:eastAsia="Palatino Linotype" w:hAnsi="Palatino Linotype" w:cs="Palatino Linotype"/>
          <w:b/>
          <w:bCs/>
          <w:sz w:val="20"/>
          <w:szCs w:val="20"/>
          <w:vertAlign w:val="superscript"/>
        </w:rPr>
      </w:pPr>
      <w:r>
        <w:rPr>
          <w:rFonts w:ascii="Palatino Linotype" w:eastAsia="Palatino Linotype" w:hAnsi="Palatino Linotype" w:cs="Palatino Linotype"/>
          <w:b/>
          <w:bCs/>
          <w:sz w:val="28"/>
          <w:szCs w:val="28"/>
        </w:rPr>
        <w:t>RETHINKING THE NEET CONCEPT: TOWARDS A MORE FLEXIBLE UNDERSTANDING OF ISTANBUL’S YOUTH DISENGAGEMENT</w:t>
      </w:r>
    </w:p>
    <w:p w14:paraId="302D24A4" w14:textId="77777777" w:rsidR="00DC0CC4" w:rsidRDefault="00DC0CC4">
      <w:pPr>
        <w:jc w:val="center"/>
        <w:rPr>
          <w:rFonts w:ascii="Arial" w:eastAsia="Arial" w:hAnsi="Arial" w:cs="Arial"/>
          <w:sz w:val="20"/>
          <w:szCs w:val="20"/>
        </w:rPr>
      </w:pPr>
    </w:p>
    <w:p w14:paraId="4EE37C65" w14:textId="5E82CB8D" w:rsidR="00DC0CC4" w:rsidRDefault="00000000">
      <w:pPr>
        <w:jc w:val="center"/>
        <w:rPr>
          <w:rFonts w:ascii="Palatino Linotype" w:eastAsia="Palatino Linotype" w:hAnsi="Palatino Linotype" w:cs="Palatino Linotype"/>
          <w:vertAlign w:val="superscript"/>
        </w:rPr>
      </w:pPr>
      <w:r>
        <w:rPr>
          <w:rFonts w:ascii="Palatino Linotype" w:eastAsia="Palatino Linotype" w:hAnsi="Palatino Linotype" w:cs="Palatino Linotype"/>
        </w:rPr>
        <w:t xml:space="preserve">Luis </w:t>
      </w:r>
      <w:proofErr w:type="spellStart"/>
      <w:r>
        <w:rPr>
          <w:rFonts w:ascii="Palatino Linotype" w:eastAsia="Palatino Linotype" w:hAnsi="Palatino Linotype" w:cs="Palatino Linotype"/>
        </w:rPr>
        <w:t>Pinedo</w:t>
      </w:r>
      <w:proofErr w:type="spellEnd"/>
      <w:r>
        <w:rPr>
          <w:rFonts w:ascii="Palatino Linotype" w:eastAsia="Palatino Linotype" w:hAnsi="Palatino Linotype" w:cs="Palatino Linotype"/>
        </w:rPr>
        <w:t xml:space="preserve"> Caro</w:t>
      </w:r>
      <w:r w:rsidR="00153717" w:rsidRPr="0029586B">
        <w:rPr>
          <w:rFonts w:ascii="Arial" w:hAnsi="Arial" w:cs="Arial"/>
          <w:b/>
          <w:lang w:val="en-US"/>
        </w:rPr>
        <w:footnoteReference w:customMarkFollows="1" w:id="1"/>
        <w:t>*</w:t>
      </w:r>
    </w:p>
    <w:p w14:paraId="08282036" w14:textId="77777777" w:rsidR="00DC0CC4" w:rsidRDefault="00DC0CC4">
      <w:pPr>
        <w:jc w:val="center"/>
        <w:rPr>
          <w:rFonts w:ascii="Palatino Linotype" w:eastAsia="Palatino Linotype" w:hAnsi="Palatino Linotype" w:cs="Palatino Linotype"/>
          <w:b/>
          <w:bCs/>
        </w:rPr>
      </w:pPr>
    </w:p>
    <w:p w14:paraId="06687237" w14:textId="77777777" w:rsidR="00DC0CC4"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Summary</w:t>
      </w:r>
    </w:p>
    <w:p w14:paraId="6FF25D1A" w14:textId="77777777" w:rsidR="00DC0CC4" w:rsidRDefault="00DC0CC4">
      <w:pPr>
        <w:jc w:val="center"/>
        <w:rPr>
          <w:rFonts w:ascii="Arial" w:eastAsia="Arial" w:hAnsi="Arial" w:cs="Arial"/>
          <w:b/>
          <w:bCs/>
          <w:sz w:val="22"/>
          <w:szCs w:val="22"/>
        </w:rPr>
      </w:pPr>
    </w:p>
    <w:p w14:paraId="3FEAA655" w14:textId="617D58D8" w:rsidR="00DC0CC4" w:rsidRDefault="00000000">
      <w:pPr>
        <w:spacing w:before="202" w:line="360" w:lineRule="auto"/>
        <w:ind w:right="754"/>
        <w:jc w:val="both"/>
        <w:rPr>
          <w:rFonts w:ascii="Calibri" w:eastAsia="Calibri" w:hAnsi="Calibri" w:cs="Calibri"/>
          <w:sz w:val="22"/>
          <w:szCs w:val="22"/>
        </w:rPr>
      </w:pPr>
      <w:r>
        <w:rPr>
          <w:rFonts w:ascii="Calibri" w:eastAsia="Calibri" w:hAnsi="Calibri" w:cs="Calibri"/>
          <w:sz w:val="22"/>
          <w:szCs w:val="22"/>
        </w:rPr>
        <w:t xml:space="preserve">Over the years the NEET concept as a measure of youth disengagement has grown in popularity and has even been adopted as an international standard as part of the Sustainable Development Goals. It is a simple idea measuring how many young people neither work nor study while simultaneously creating stigma not only on purportedly </w:t>
      </w:r>
      <w:r>
        <w:rPr>
          <w:rFonts w:ascii="Calibri" w:eastAsia="Calibri" w:hAnsi="Calibri" w:cs="Calibri"/>
          <w:i/>
          <w:iCs/>
          <w:sz w:val="22"/>
          <w:szCs w:val="22"/>
        </w:rPr>
        <w:t xml:space="preserve">lazy, hopeless </w:t>
      </w:r>
      <w:r>
        <w:rPr>
          <w:rFonts w:ascii="Calibri" w:eastAsia="Calibri" w:hAnsi="Calibri" w:cs="Calibri"/>
          <w:sz w:val="22"/>
          <w:szCs w:val="22"/>
        </w:rPr>
        <w:t xml:space="preserve">young people (fairly or unfairly), but also on everyone whose focus and time is devoted to </w:t>
      </w:r>
      <w:r w:rsidR="006330CE">
        <w:rPr>
          <w:rFonts w:ascii="Calibri" w:eastAsia="Calibri" w:hAnsi="Calibri" w:cs="Calibri"/>
          <w:sz w:val="22"/>
          <w:szCs w:val="22"/>
        </w:rPr>
        <w:t>non-market activities</w:t>
      </w:r>
      <w:r>
        <w:rPr>
          <w:rFonts w:ascii="Calibri" w:eastAsia="Calibri" w:hAnsi="Calibri" w:cs="Calibri"/>
          <w:sz w:val="22"/>
          <w:szCs w:val="22"/>
        </w:rPr>
        <w:t xml:space="preserve">. This brief has the twofold aim of investigating the definition of “student” as well as the extent to which young people are involved in the care and the social economy, de facto opening the definitions of employment and studying to </w:t>
      </w:r>
      <w:proofErr w:type="spellStart"/>
      <w:proofErr w:type="gramStart"/>
      <w:r>
        <w:rPr>
          <w:rFonts w:ascii="Calibri" w:eastAsia="Calibri" w:hAnsi="Calibri" w:cs="Calibri"/>
          <w:sz w:val="22"/>
          <w:szCs w:val="22"/>
        </w:rPr>
        <w:t>non paying</w:t>
      </w:r>
      <w:proofErr w:type="spellEnd"/>
      <w:proofErr w:type="gramEnd"/>
      <w:r>
        <w:rPr>
          <w:rFonts w:ascii="Calibri" w:eastAsia="Calibri" w:hAnsi="Calibri" w:cs="Calibri"/>
          <w:sz w:val="22"/>
          <w:szCs w:val="22"/>
        </w:rPr>
        <w:t xml:space="preserve"> activities. It is found that once we account for informal learning activities, intention to study </w:t>
      </w:r>
      <w:proofErr w:type="gramStart"/>
      <w:r>
        <w:rPr>
          <w:rFonts w:ascii="Calibri" w:eastAsia="Calibri" w:hAnsi="Calibri" w:cs="Calibri"/>
          <w:sz w:val="22"/>
          <w:szCs w:val="22"/>
        </w:rPr>
        <w:t>in the near future</w:t>
      </w:r>
      <w:proofErr w:type="gramEnd"/>
      <w:r>
        <w:rPr>
          <w:rFonts w:ascii="Calibri" w:eastAsia="Calibri" w:hAnsi="Calibri" w:cs="Calibri"/>
          <w:sz w:val="22"/>
          <w:szCs w:val="22"/>
        </w:rPr>
        <w:t xml:space="preserve">, the care economy and the NGO sector, the NEET rate in our sample goes down from 35.5 per cent to 19.4 per cent. Moreover, we show that the care economy is rather small (2.7 per cent) among young (18-29) people, hardly explaining observed gender differences in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 status, and the non-profit sector of Istanbul benefits from the time of 5.6 per cent of the survey respondents, although those who participate are mostly employed (two thirds vs one third).</w:t>
      </w:r>
    </w:p>
    <w:p w14:paraId="6B3B23E3" w14:textId="77777777" w:rsidR="009D6FEF" w:rsidRDefault="009D6FEF">
      <w:pPr>
        <w:spacing w:before="202" w:line="360" w:lineRule="auto"/>
        <w:ind w:right="754"/>
        <w:jc w:val="both"/>
        <w:rPr>
          <w:rFonts w:ascii="Calibri" w:eastAsia="Calibri" w:hAnsi="Calibri" w:cs="Calibri"/>
          <w:sz w:val="22"/>
          <w:szCs w:val="22"/>
        </w:rPr>
      </w:pPr>
    </w:p>
    <w:p w14:paraId="27FBD655" w14:textId="77777777" w:rsidR="00DC0CC4" w:rsidRDefault="00000000">
      <w:pPr>
        <w:pStyle w:val="Balk2"/>
        <w:spacing w:line="360" w:lineRule="auto"/>
        <w:ind w:firstLine="340"/>
        <w:rPr>
          <w:rFonts w:ascii="Calibri" w:eastAsia="Calibri" w:hAnsi="Calibri" w:cs="Calibri"/>
          <w:sz w:val="20"/>
          <w:szCs w:val="20"/>
        </w:rPr>
      </w:pPr>
      <w:r>
        <w:rPr>
          <w:rFonts w:ascii="Calibri" w:eastAsia="Calibri" w:hAnsi="Calibri" w:cs="Calibri"/>
          <w:sz w:val="24"/>
          <w:szCs w:val="24"/>
        </w:rPr>
        <w:t>Introduction</w:t>
      </w:r>
    </w:p>
    <w:p w14:paraId="035A515A" w14:textId="6D70F949" w:rsidR="00DC0CC4" w:rsidRDefault="00000000">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The "Not in Employment, Education or Training" indicator is now widely used as a measure of youth disengagement — whatever disengagement is intended to mean — for a group typically framed as </w:t>
      </w:r>
      <w:r>
        <w:rPr>
          <w:rFonts w:ascii="Calibri" w:eastAsia="Calibri" w:hAnsi="Calibri" w:cs="Calibri"/>
          <w:color w:val="000000"/>
          <w:sz w:val="22"/>
          <w:szCs w:val="22"/>
        </w:rPr>
        <w:lastRenderedPageBreak/>
        <w:t>those aged 15–24, 15–29, or similar age group</w:t>
      </w:r>
      <w:r w:rsidR="006330CE">
        <w:rPr>
          <w:rFonts w:ascii="Calibri" w:eastAsia="Calibri" w:hAnsi="Calibri" w:cs="Calibri"/>
          <w:color w:val="000000"/>
          <w:sz w:val="22"/>
          <w:szCs w:val="22"/>
        </w:rPr>
        <w:t>s</w:t>
      </w:r>
      <w:r>
        <w:rPr>
          <w:rFonts w:ascii="Calibri" w:eastAsia="Calibri" w:hAnsi="Calibri" w:cs="Calibri"/>
          <w:color w:val="000000"/>
          <w:sz w:val="22"/>
          <w:szCs w:val="22"/>
        </w:rPr>
        <w:t xml:space="preserve">. According to Eurostat's definition, young people are supposed to either follow any formal or informal education or training during the last four weeks, or to be employed during the last week, for them not to be labelled as NEETs. This definition is designed to raise a red flag whenever long-term damage to someone's career trajectory is highly likely, with the intention of preventing the problem from becoming chronic and </w:t>
      </w:r>
      <w:r w:rsidR="006330CE">
        <w:rPr>
          <w:rFonts w:ascii="Calibri" w:eastAsia="Calibri" w:hAnsi="Calibri" w:cs="Calibri"/>
          <w:color w:val="000000"/>
          <w:sz w:val="22"/>
          <w:szCs w:val="22"/>
        </w:rPr>
        <w:t>an increase in</w:t>
      </w:r>
      <w:r>
        <w:rPr>
          <w:rFonts w:ascii="Calibri" w:eastAsia="Calibri" w:hAnsi="Calibri" w:cs="Calibri"/>
          <w:color w:val="000000"/>
          <w:sz w:val="22"/>
          <w:szCs w:val="22"/>
        </w:rPr>
        <w:t xml:space="preserve"> the future burden of a country's social services.</w:t>
      </w:r>
    </w:p>
    <w:p w14:paraId="3AEF8E56" w14:textId="30B2B713" w:rsidR="00DC0CC4" w:rsidRDefault="00000000">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The term was coined in the United Kingdom during the late 1990s in the context of a dying manufacturing industry and an unemployed urban youth running after jobseeker's allowances and housing benefits. The expectation in the UK, and in many other Western economies, was simple: work or study, but do something productive and stay away from the streets. The measure was created to come up with a shortcoming of the unemployment rate, its severe composition effect during the early twenties and late teenage years rendering it unfit for measuring youth </w:t>
      </w:r>
      <w:proofErr w:type="gramStart"/>
      <w:r>
        <w:rPr>
          <w:rFonts w:ascii="Calibri" w:eastAsia="Calibri" w:hAnsi="Calibri" w:cs="Calibri"/>
          <w:color w:val="000000"/>
          <w:sz w:val="22"/>
          <w:szCs w:val="22"/>
        </w:rPr>
        <w:t>issues as a whole</w:t>
      </w:r>
      <w:proofErr w:type="gramEnd"/>
      <w:r>
        <w:rPr>
          <w:rFonts w:ascii="Calibri" w:eastAsia="Calibri" w:hAnsi="Calibri" w:cs="Calibri"/>
          <w:color w:val="000000"/>
          <w:sz w:val="22"/>
          <w:szCs w:val="22"/>
        </w:rPr>
        <w:t xml:space="preserve">. Likewise, attendance rates beyond high school lack policy punch since schooling is no longer compulsory by then. As a result, the NEET concept looked like a clever solution: if someone neither studies nor </w:t>
      </w:r>
      <w:proofErr w:type="gramStart"/>
      <w:r>
        <w:rPr>
          <w:rFonts w:ascii="Calibri" w:eastAsia="Calibri" w:hAnsi="Calibri" w:cs="Calibri"/>
          <w:color w:val="000000"/>
          <w:sz w:val="22"/>
          <w:szCs w:val="22"/>
        </w:rPr>
        <w:t>works</w:t>
      </w:r>
      <w:proofErr w:type="gramEnd"/>
      <w:r>
        <w:rPr>
          <w:rFonts w:ascii="Calibri" w:eastAsia="Calibri" w:hAnsi="Calibri" w:cs="Calibri"/>
          <w:color w:val="000000"/>
          <w:sz w:val="22"/>
          <w:szCs w:val="22"/>
        </w:rPr>
        <w:t xml:space="preserve">, the indicator leaves no escape route — the person is marked. It was designed to corner </w:t>
      </w:r>
      <w:r w:rsidR="006330CE">
        <w:rPr>
          <w:rFonts w:ascii="Calibri" w:eastAsia="Calibri" w:hAnsi="Calibri" w:cs="Calibri"/>
          <w:color w:val="000000"/>
          <w:sz w:val="22"/>
          <w:szCs w:val="22"/>
        </w:rPr>
        <w:t>unproductive individuals with</w:t>
      </w:r>
      <w:r>
        <w:rPr>
          <w:rFonts w:ascii="Calibri" w:eastAsia="Calibri" w:hAnsi="Calibri" w:cs="Calibri"/>
          <w:color w:val="000000"/>
          <w:sz w:val="22"/>
          <w:szCs w:val="22"/>
        </w:rPr>
        <w:t xml:space="preserve"> a single indicator in a specific social context.</w:t>
      </w:r>
    </w:p>
    <w:p w14:paraId="694E8318" w14:textId="7CB277B8" w:rsidR="00A5794D" w:rsidRDefault="00A5794D">
      <w:pPr>
        <w:widowControl w:val="0"/>
        <w:pBdr>
          <w:top w:val="nil"/>
          <w:left w:val="nil"/>
          <w:bottom w:val="nil"/>
          <w:right w:val="nil"/>
          <w:between w:val="nil"/>
        </w:pBdr>
        <w:spacing w:before="241" w:line="352" w:lineRule="auto"/>
        <w:ind w:right="256"/>
        <w:jc w:val="both"/>
        <w:rPr>
          <w:rFonts w:ascii="Calibri" w:eastAsia="Calibri" w:hAnsi="Calibri" w:cs="Calibri"/>
          <w:b/>
          <w:bCs/>
          <w:color w:val="000000"/>
          <w:sz w:val="22"/>
          <w:szCs w:val="22"/>
        </w:rPr>
      </w:pPr>
      <w:r w:rsidRPr="00A5794D">
        <w:rPr>
          <w:rFonts w:ascii="Calibri" w:eastAsia="Calibri" w:hAnsi="Calibri" w:cs="Calibri"/>
          <w:color w:val="000000"/>
          <w:sz w:val="22"/>
          <w:szCs w:val="22"/>
        </w:rPr>
        <w:t xml:space="preserve">What might have remained a useful </w:t>
      </w:r>
      <w:r w:rsidR="00CF10F7">
        <w:rPr>
          <w:rFonts w:ascii="Calibri" w:eastAsia="Calibri" w:hAnsi="Calibri" w:cs="Calibri"/>
          <w:color w:val="000000"/>
          <w:sz w:val="22"/>
          <w:szCs w:val="22"/>
        </w:rPr>
        <w:t>even if</w:t>
      </w:r>
      <w:r w:rsidRPr="00A5794D">
        <w:rPr>
          <w:rFonts w:ascii="Calibri" w:eastAsia="Calibri" w:hAnsi="Calibri" w:cs="Calibri"/>
          <w:color w:val="000000"/>
          <w:sz w:val="22"/>
          <w:szCs w:val="22"/>
        </w:rPr>
        <w:t xml:space="preserve"> imperfect tool for a narrow set of Western welfare states did not stay local for long. The NEET concept made it into the UN's Sustainable Development Goals and</w:t>
      </w:r>
      <w:proofErr w:type="gramStart"/>
      <w:r w:rsidRPr="00A5794D">
        <w:rPr>
          <w:rFonts w:ascii="Calibri" w:eastAsia="Calibri" w:hAnsi="Calibri" w:cs="Calibri"/>
          <w:color w:val="000000"/>
          <w:sz w:val="22"/>
          <w:szCs w:val="22"/>
        </w:rPr>
        <w:t>, in particular, became</w:t>
      </w:r>
      <w:proofErr w:type="gramEnd"/>
      <w:r w:rsidRPr="00A5794D">
        <w:rPr>
          <w:rFonts w:ascii="Calibri" w:eastAsia="Calibri" w:hAnsi="Calibri" w:cs="Calibri"/>
          <w:color w:val="000000"/>
          <w:sz w:val="22"/>
          <w:szCs w:val="22"/>
        </w:rPr>
        <w:t xml:space="preserve"> target 8.6 — carrying a Western societal norm all the way to global standard status. This move, perhaps well-intentioned, had a profound and underappreciated consequence. It cast stigma over a wide range of non-market activities that the 13th International Conference of </w:t>
      </w:r>
      <w:proofErr w:type="spellStart"/>
      <w:r w:rsidRPr="00A5794D">
        <w:rPr>
          <w:rFonts w:ascii="Calibri" w:eastAsia="Calibri" w:hAnsi="Calibri" w:cs="Calibri"/>
          <w:color w:val="000000"/>
          <w:sz w:val="22"/>
          <w:szCs w:val="22"/>
        </w:rPr>
        <w:t>Labour</w:t>
      </w:r>
      <w:proofErr w:type="spellEnd"/>
      <w:r w:rsidRPr="00A5794D">
        <w:rPr>
          <w:rFonts w:ascii="Calibri" w:eastAsia="Calibri" w:hAnsi="Calibri" w:cs="Calibri"/>
          <w:color w:val="000000"/>
          <w:sz w:val="22"/>
          <w:szCs w:val="22"/>
        </w:rPr>
        <w:t xml:space="preserve"> Statisticians — the very same ICLS whose framework provided the mathematical foundation for the NEET concept — had itself classified as productive work. Under the 13th ICLS framework, any activity that is not carried out for a fee but could have been performed by someone else carries </w:t>
      </w:r>
      <w:proofErr w:type="spellStart"/>
      <w:r w:rsidRPr="00A5794D">
        <w:rPr>
          <w:rFonts w:ascii="Calibri" w:eastAsia="Calibri" w:hAnsi="Calibri" w:cs="Calibri"/>
          <w:color w:val="000000"/>
          <w:sz w:val="22"/>
          <w:szCs w:val="22"/>
        </w:rPr>
        <w:t>recognised</w:t>
      </w:r>
      <w:proofErr w:type="spellEnd"/>
      <w:r w:rsidRPr="00A5794D">
        <w:rPr>
          <w:rFonts w:ascii="Calibri" w:eastAsia="Calibri" w:hAnsi="Calibri" w:cs="Calibri"/>
          <w:color w:val="000000"/>
          <w:sz w:val="22"/>
          <w:szCs w:val="22"/>
        </w:rPr>
        <w:t xml:space="preserve"> market potential. Care work, subsistence agriculture, household production: all of these are, by the standards of the international statistical community, forms of work. The NEET definition ignores this entirely. The pro-market bias that underlies national accounting has at least a pragmatic justification: money is a common denominator, measurable and aggregable in ways that a barter economy is not. Whatever its limitations, that bias has a coherent internal logic. Applying the same bias to measure social disengagement does not. There is no theoretical, empirical, or normative reason to conclude that a young woman spending eighty hours a week raising children, or a graduate studying forty hours a week for a competitive public examination, is disengaged from society. The NEET definition reaches that </w:t>
      </w:r>
      <w:proofErr w:type="gramStart"/>
      <w:r w:rsidRPr="00A5794D">
        <w:rPr>
          <w:rFonts w:ascii="Calibri" w:eastAsia="Calibri" w:hAnsi="Calibri" w:cs="Calibri"/>
          <w:color w:val="000000"/>
          <w:sz w:val="22"/>
          <w:szCs w:val="22"/>
        </w:rPr>
        <w:t>conclusion</w:t>
      </w:r>
      <w:proofErr w:type="gramEnd"/>
      <w:r w:rsidRPr="00A5794D">
        <w:rPr>
          <w:rFonts w:ascii="Calibri" w:eastAsia="Calibri" w:hAnsi="Calibri" w:cs="Calibri"/>
          <w:color w:val="000000"/>
          <w:sz w:val="22"/>
          <w:szCs w:val="22"/>
        </w:rPr>
        <w:t xml:space="preserve"> nonetheless.</w:t>
      </w:r>
    </w:p>
    <w:p w14:paraId="585E8A11" w14:textId="761881B0" w:rsidR="00DC0CC4" w:rsidRDefault="00000000">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All of a sudden, roughly 250 million people</w:t>
      </w:r>
      <w:r w:rsidR="00985D8A">
        <w:rPr>
          <w:rFonts w:ascii="Calibri" w:eastAsia="Calibri" w:hAnsi="Calibri" w:cs="Calibri"/>
          <w:color w:val="000000"/>
          <w:sz w:val="22"/>
          <w:szCs w:val="22"/>
        </w:rPr>
        <w:t xml:space="preserve"> globally</w:t>
      </w:r>
      <w:r>
        <w:rPr>
          <w:rFonts w:ascii="Calibri" w:eastAsia="Calibri" w:hAnsi="Calibri" w:cs="Calibri"/>
          <w:color w:val="000000"/>
          <w:sz w:val="22"/>
          <w:szCs w:val="22"/>
        </w:rPr>
        <w:t xml:space="preserve"> across very different contexts became </w:t>
      </w:r>
      <w:proofErr w:type="gramStart"/>
      <w:r>
        <w:rPr>
          <w:rFonts w:ascii="Calibri" w:eastAsia="Calibri" w:hAnsi="Calibri" w:cs="Calibri"/>
          <w:color w:val="000000"/>
          <w:sz w:val="22"/>
          <w:szCs w:val="22"/>
        </w:rPr>
        <w:t>NEETs, and</w:t>
      </w:r>
      <w:proofErr w:type="gramEnd"/>
      <w:r>
        <w:rPr>
          <w:rFonts w:ascii="Calibri" w:eastAsia="Calibri" w:hAnsi="Calibri" w:cs="Calibri"/>
          <w:color w:val="000000"/>
          <w:sz w:val="22"/>
          <w:szCs w:val="22"/>
        </w:rPr>
        <w:t xml:space="preserve"> </w:t>
      </w:r>
      <w:r>
        <w:rPr>
          <w:rFonts w:ascii="Calibri" w:eastAsia="Calibri" w:hAnsi="Calibri" w:cs="Calibri"/>
          <w:color w:val="000000"/>
          <w:sz w:val="22"/>
          <w:szCs w:val="22"/>
        </w:rPr>
        <w:lastRenderedPageBreak/>
        <w:t xml:space="preserve">started to be targeted by youth activation policies designed for entirely different realities. Consider the following: the NEET rates of Türkiye, India, Bangladesh, Mexico, Zambia and South Africa are, respectively, 24.4%, 24.2%, 21.8%, 17.8%, 35.4% and 41.2% — yet the interpretation of each figure varies enormously. In Zambia, the elevated rate reflects a large share of young men engaged in non-market agricultural activities. In South Africa, it captures a rampant and chronically high unemployment rate. In India, Bangladesh and Mexico, the figures are driven primarily by women performing unpaid domestic and care work. Türkiye presents both simultaneously: a substantial rate of unemployment including discouraged </w:t>
      </w:r>
      <w:proofErr w:type="gramStart"/>
      <w:r>
        <w:rPr>
          <w:rFonts w:ascii="Calibri" w:eastAsia="Calibri" w:hAnsi="Calibri" w:cs="Calibri"/>
          <w:color w:val="000000"/>
          <w:sz w:val="22"/>
          <w:szCs w:val="22"/>
        </w:rPr>
        <w:t>job-seekers</w:t>
      </w:r>
      <w:proofErr w:type="gramEnd"/>
      <w:r>
        <w:rPr>
          <w:rFonts w:ascii="Calibri" w:eastAsia="Calibri" w:hAnsi="Calibri" w:cs="Calibri"/>
          <w:color w:val="000000"/>
          <w:sz w:val="22"/>
          <w:szCs w:val="22"/>
        </w:rPr>
        <w:t xml:space="preserve">, and a large share of women </w:t>
      </w:r>
      <w:r w:rsidR="00985D8A">
        <w:rPr>
          <w:rFonts w:ascii="Calibri" w:eastAsia="Calibri" w:hAnsi="Calibri" w:cs="Calibri"/>
          <w:color w:val="000000"/>
          <w:sz w:val="22"/>
          <w:szCs w:val="22"/>
        </w:rPr>
        <w:t>facing societal norms that incentivize them to stay at home</w:t>
      </w:r>
      <w:r>
        <w:rPr>
          <w:rFonts w:ascii="Calibri" w:eastAsia="Calibri" w:hAnsi="Calibri" w:cs="Calibri"/>
          <w:color w:val="000000"/>
          <w:sz w:val="22"/>
          <w:szCs w:val="22"/>
        </w:rPr>
        <w:t xml:space="preserve"> with childcare and household responsibilities. </w:t>
      </w:r>
      <w:r w:rsidR="00836CE7">
        <w:rPr>
          <w:rFonts w:ascii="Calibri" w:eastAsia="Calibri" w:hAnsi="Calibri" w:cs="Calibri"/>
          <w:color w:val="000000"/>
          <w:sz w:val="22"/>
          <w:szCs w:val="22"/>
        </w:rPr>
        <w:t>Similar figures</w:t>
      </w:r>
      <w:r>
        <w:rPr>
          <w:rFonts w:ascii="Calibri" w:eastAsia="Calibri" w:hAnsi="Calibri" w:cs="Calibri"/>
          <w:color w:val="000000"/>
          <w:sz w:val="22"/>
          <w:szCs w:val="22"/>
        </w:rPr>
        <w:t>,</w:t>
      </w:r>
      <w:r w:rsidR="00836CE7">
        <w:rPr>
          <w:rFonts w:ascii="Calibri" w:eastAsia="Calibri" w:hAnsi="Calibri" w:cs="Calibri"/>
          <w:color w:val="000000"/>
          <w:sz w:val="22"/>
          <w:szCs w:val="22"/>
        </w:rPr>
        <w:t xml:space="preserve"> </w:t>
      </w:r>
      <w:r>
        <w:rPr>
          <w:rFonts w:ascii="Calibri" w:eastAsia="Calibri" w:hAnsi="Calibri" w:cs="Calibri"/>
          <w:color w:val="000000"/>
          <w:sz w:val="22"/>
          <w:szCs w:val="22"/>
        </w:rPr>
        <w:t>produced by the same formula, mean something entirely different in each case. It does not measure the same phenomenon. It does not call for the same response.</w:t>
      </w:r>
    </w:p>
    <w:p w14:paraId="3DE3A550" w14:textId="394028D1" w:rsidR="00DC0CC4" w:rsidRDefault="00836CE7">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As a result, in treating any absence from formal employment or formal schooling as equivalent disengagement, the NEET definition ignores the wide range of productive, developmental, and socially valuable activities that fill the weeks of millions of young people who hold no paid job and sit in no classroom. It generates a false sense of emergency where none may exist, while simultaneously failing to distinguish genuinely </w:t>
      </w:r>
      <w:proofErr w:type="spellStart"/>
      <w:r>
        <w:rPr>
          <w:rFonts w:ascii="Calibri" w:eastAsia="Calibri" w:hAnsi="Calibri" w:cs="Calibri"/>
          <w:color w:val="000000"/>
          <w:sz w:val="22"/>
          <w:szCs w:val="22"/>
        </w:rPr>
        <w:t>marginalised</w:t>
      </w:r>
      <w:proofErr w:type="spellEnd"/>
      <w:r>
        <w:rPr>
          <w:rFonts w:ascii="Calibri" w:eastAsia="Calibri" w:hAnsi="Calibri" w:cs="Calibri"/>
          <w:color w:val="000000"/>
          <w:sz w:val="22"/>
          <w:szCs w:val="22"/>
        </w:rPr>
        <w:t xml:space="preserve"> youth from those making rational, socially productive choices within the constraints of their specific context.</w:t>
      </w:r>
    </w:p>
    <w:p w14:paraId="6149C08F" w14:textId="6E05DC54" w:rsidR="00DC0CC4" w:rsidRDefault="00000000">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This brief uses a representative household survey </w:t>
      </w:r>
      <w:r w:rsidR="00E753B3">
        <w:rPr>
          <w:rFonts w:ascii="Calibri" w:eastAsia="Calibri" w:hAnsi="Calibri" w:cs="Calibri"/>
          <w:color w:val="000000"/>
          <w:sz w:val="22"/>
          <w:szCs w:val="22"/>
        </w:rPr>
        <w:t>of Istanbul with 3,000 of</w:t>
      </w:r>
      <w:r>
        <w:rPr>
          <w:rFonts w:ascii="Calibri" w:eastAsia="Calibri" w:hAnsi="Calibri" w:cs="Calibri"/>
          <w:color w:val="000000"/>
          <w:sz w:val="22"/>
          <w:szCs w:val="22"/>
        </w:rPr>
        <w:t xml:space="preserve"> </w:t>
      </w:r>
      <w:r w:rsidR="00E753B3">
        <w:rPr>
          <w:rFonts w:ascii="Calibri" w:eastAsia="Calibri" w:hAnsi="Calibri" w:cs="Calibri"/>
          <w:color w:val="000000"/>
          <w:sz w:val="22"/>
          <w:szCs w:val="22"/>
        </w:rPr>
        <w:t>the city’s</w:t>
      </w:r>
      <w:r>
        <w:rPr>
          <w:rFonts w:ascii="Calibri" w:eastAsia="Calibri" w:hAnsi="Calibri" w:cs="Calibri"/>
          <w:color w:val="000000"/>
          <w:sz w:val="22"/>
          <w:szCs w:val="22"/>
        </w:rPr>
        <w:t xml:space="preserve"> educated youth to build alternative definitions of disengagement adapted to the Turkish context. It documents the non-market activities — care provision, structured self-directed study for public examinations, and planned educational transitions — that the standard NEET measure systematically renders invisible, and it shows how recovering these activities from the NEET category transforms both the estimated rate and its policy implications.</w:t>
      </w:r>
    </w:p>
    <w:p w14:paraId="656D0743" w14:textId="77777777" w:rsidR="00DC0CC4" w:rsidRDefault="00000000">
      <w:pPr>
        <w:pStyle w:val="Balk2"/>
        <w:numPr>
          <w:ilvl w:val="0"/>
          <w:numId w:val="1"/>
        </w:numPr>
        <w:spacing w:after="120"/>
        <w:rPr>
          <w:rFonts w:ascii="Calibri" w:eastAsia="Calibri" w:hAnsi="Calibri" w:cs="Calibri"/>
        </w:rPr>
      </w:pPr>
      <w:r>
        <w:rPr>
          <w:rFonts w:ascii="Calibri" w:eastAsia="Calibri" w:hAnsi="Calibri" w:cs="Calibri"/>
        </w:rPr>
        <w:t>Alternative definitions of disengagement</w:t>
      </w:r>
    </w:p>
    <w:p w14:paraId="22BC82F6" w14:textId="0AA6D35B" w:rsidR="00DC0CC4"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This research brief discusses the suitability of the term NEET to measure disengagement in Istanbul thanks to an ad-hoc module implemented in a household survey carried out in Istanbul during January and February 2026</w:t>
      </w:r>
      <w:r w:rsidR="00E753B3">
        <w:rPr>
          <w:rFonts w:ascii="Calibri" w:eastAsia="Calibri" w:hAnsi="Calibri" w:cs="Calibri"/>
          <w:color w:val="000000"/>
          <w:sz w:val="22"/>
          <w:szCs w:val="22"/>
        </w:rPr>
        <w:t xml:space="preserve"> among young people with at least vocational school</w:t>
      </w:r>
      <w:r>
        <w:rPr>
          <w:rFonts w:ascii="Calibri" w:eastAsia="Calibri" w:hAnsi="Calibri" w:cs="Calibri"/>
          <w:color w:val="000000"/>
          <w:sz w:val="22"/>
          <w:szCs w:val="22"/>
        </w:rPr>
        <w:t xml:space="preserve">. The questionnaire was designed to play with the definition of “student”, which is a core component of the NEET concept,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to better understand the prevalence of certain non-market activities performed by Istanbul’s young people including the care-economy and the NGO sector. In addition</w:t>
      </w:r>
      <w:r w:rsidR="00E753B3">
        <w:rPr>
          <w:rFonts w:ascii="Calibri" w:eastAsia="Calibri" w:hAnsi="Calibri" w:cs="Calibri"/>
          <w:color w:val="000000"/>
          <w:sz w:val="22"/>
          <w:szCs w:val="22"/>
        </w:rPr>
        <w:t>,</w:t>
      </w:r>
      <w:r>
        <w:rPr>
          <w:rFonts w:ascii="Calibri" w:eastAsia="Calibri" w:hAnsi="Calibri" w:cs="Calibri"/>
          <w:color w:val="000000"/>
          <w:sz w:val="22"/>
          <w:szCs w:val="22"/>
        </w:rPr>
        <w:t xml:space="preserve"> a question about incoming plans to further study was asked to all participants, with a similar spirit to the question sometimes asked in LFSs of whether a person</w:t>
      </w:r>
      <w:r w:rsidR="00E753B3">
        <w:rPr>
          <w:rFonts w:ascii="Calibri" w:eastAsia="Calibri" w:hAnsi="Calibri" w:cs="Calibri"/>
          <w:color w:val="000000"/>
          <w:sz w:val="22"/>
          <w:szCs w:val="22"/>
        </w:rPr>
        <w:t xml:space="preserve"> is planning to join a company in the coming weeks or not</w:t>
      </w:r>
      <w:r>
        <w:rPr>
          <w:rFonts w:ascii="Calibri" w:eastAsia="Calibri" w:hAnsi="Calibri" w:cs="Calibri"/>
          <w:color w:val="000000"/>
          <w:sz w:val="22"/>
          <w:szCs w:val="22"/>
        </w:rPr>
        <w:t xml:space="preserve">. This is also in line with the latest </w:t>
      </w:r>
      <w:proofErr w:type="spellStart"/>
      <w:r>
        <w:rPr>
          <w:rFonts w:ascii="Calibri" w:eastAsia="Calibri" w:hAnsi="Calibri" w:cs="Calibri"/>
          <w:color w:val="000000"/>
          <w:sz w:val="22"/>
          <w:szCs w:val="22"/>
        </w:rPr>
        <w:t>Turkstat</w:t>
      </w:r>
      <w:proofErr w:type="spellEnd"/>
      <w:r>
        <w:rPr>
          <w:rFonts w:ascii="Calibri" w:eastAsia="Calibri" w:hAnsi="Calibri" w:cs="Calibri"/>
          <w:color w:val="000000"/>
          <w:sz w:val="22"/>
          <w:szCs w:val="22"/>
        </w:rPr>
        <w:t xml:space="preserve"> changes in its HLFS questionnaire. Indeed, since 2021 </w:t>
      </w:r>
      <w:proofErr w:type="spellStart"/>
      <w:r w:rsidR="00E753B3">
        <w:rPr>
          <w:rFonts w:ascii="Calibri" w:eastAsia="Calibri" w:hAnsi="Calibri" w:cs="Calibri"/>
          <w:color w:val="000000"/>
          <w:sz w:val="22"/>
          <w:szCs w:val="22"/>
        </w:rPr>
        <w:t>Turkstat</w:t>
      </w:r>
      <w:proofErr w:type="spellEnd"/>
      <w:r>
        <w:rPr>
          <w:rFonts w:ascii="Calibri" w:eastAsia="Calibri" w:hAnsi="Calibri" w:cs="Calibri"/>
          <w:color w:val="000000"/>
          <w:sz w:val="22"/>
          <w:szCs w:val="22"/>
        </w:rPr>
        <w:t xml:space="preserve"> modified the </w:t>
      </w:r>
      <w:r w:rsidR="00E753B3">
        <w:rPr>
          <w:rFonts w:ascii="Calibri" w:eastAsia="Calibri" w:hAnsi="Calibri" w:cs="Calibri"/>
          <w:color w:val="000000"/>
          <w:sz w:val="22"/>
          <w:szCs w:val="22"/>
        </w:rPr>
        <w:t>answer</w:t>
      </w:r>
      <w:r>
        <w:rPr>
          <w:rFonts w:ascii="Calibri" w:eastAsia="Calibri" w:hAnsi="Calibri" w:cs="Calibri"/>
          <w:color w:val="000000"/>
          <w:sz w:val="22"/>
          <w:szCs w:val="22"/>
        </w:rPr>
        <w:t xml:space="preserve"> to the question of whether a person is currently studying to also include those </w:t>
      </w:r>
      <w:r>
        <w:rPr>
          <w:rFonts w:ascii="Calibri" w:eastAsia="Calibri" w:hAnsi="Calibri" w:cs="Calibri"/>
          <w:color w:val="000000"/>
          <w:sz w:val="22"/>
          <w:szCs w:val="22"/>
        </w:rPr>
        <w:lastRenderedPageBreak/>
        <w:t xml:space="preserve">on holidays and expected to return. The move is sensible, as historically the EUROSTAT definition had the potential of classifying teenagers on summer holidays as NEETs. Likely as a result of the abovementioned </w:t>
      </w:r>
      <w:proofErr w:type="gramStart"/>
      <w:r>
        <w:rPr>
          <w:rFonts w:ascii="Calibri" w:eastAsia="Calibri" w:hAnsi="Calibri" w:cs="Calibri"/>
          <w:color w:val="000000"/>
          <w:sz w:val="22"/>
          <w:szCs w:val="22"/>
        </w:rPr>
        <w:t>change,  the</w:t>
      </w:r>
      <w:proofErr w:type="gramEnd"/>
      <w:r>
        <w:rPr>
          <w:rFonts w:ascii="Calibri" w:eastAsia="Calibri" w:hAnsi="Calibri" w:cs="Calibri"/>
          <w:color w:val="000000"/>
          <w:sz w:val="22"/>
          <w:szCs w:val="22"/>
        </w:rPr>
        <w:t xml:space="preserve"> official NEET rate of </w:t>
      </w:r>
      <w:proofErr w:type="spellStart"/>
      <w:r w:rsidR="00E753B3">
        <w:rPr>
          <w:rFonts w:ascii="Calibri" w:eastAsia="Calibri" w:hAnsi="Calibri" w:cs="Calibri"/>
          <w:color w:val="000000"/>
          <w:sz w:val="22"/>
          <w:szCs w:val="22"/>
        </w:rPr>
        <w:t>Turkstat</w:t>
      </w:r>
      <w:proofErr w:type="spellEnd"/>
      <w:r>
        <w:rPr>
          <w:rFonts w:ascii="Calibri" w:eastAsia="Calibri" w:hAnsi="Calibri" w:cs="Calibri"/>
          <w:color w:val="000000"/>
          <w:sz w:val="22"/>
          <w:szCs w:val="22"/>
        </w:rPr>
        <w:t xml:space="preserve"> shows a sizable break in series since 2021 of approximately 7 percentage points, rendering the long-term series of NEETs in T</w:t>
      </w:r>
      <w:r w:rsidR="00667B59">
        <w:rPr>
          <w:rFonts w:ascii="Calibri" w:eastAsia="Calibri" w:hAnsi="Calibri" w:cs="Calibri"/>
          <w:color w:val="000000"/>
          <w:sz w:val="22"/>
          <w:szCs w:val="22"/>
        </w:rPr>
        <w:t>ü</w:t>
      </w:r>
      <w:r>
        <w:rPr>
          <w:rFonts w:ascii="Calibri" w:eastAsia="Calibri" w:hAnsi="Calibri" w:cs="Calibri"/>
          <w:color w:val="000000"/>
          <w:sz w:val="22"/>
          <w:szCs w:val="22"/>
        </w:rPr>
        <w:t xml:space="preserve">rkiye </w:t>
      </w:r>
      <w:r w:rsidR="00E753B3">
        <w:rPr>
          <w:rFonts w:ascii="Calibri" w:eastAsia="Calibri" w:hAnsi="Calibri" w:cs="Calibri"/>
          <w:color w:val="000000"/>
          <w:sz w:val="22"/>
          <w:szCs w:val="22"/>
        </w:rPr>
        <w:t xml:space="preserve">unsuitable </w:t>
      </w:r>
      <w:r>
        <w:rPr>
          <w:rFonts w:ascii="Calibri" w:eastAsia="Calibri" w:hAnsi="Calibri" w:cs="Calibri"/>
          <w:color w:val="000000"/>
          <w:sz w:val="22"/>
          <w:szCs w:val="22"/>
        </w:rPr>
        <w:t xml:space="preserve"> for comparison. A move in a similar direction is intended in this brief, with the intention of </w:t>
      </w:r>
      <w:proofErr w:type="gramStart"/>
      <w:r>
        <w:rPr>
          <w:rFonts w:ascii="Calibri" w:eastAsia="Calibri" w:hAnsi="Calibri" w:cs="Calibri"/>
          <w:color w:val="000000"/>
          <w:sz w:val="22"/>
          <w:szCs w:val="22"/>
        </w:rPr>
        <w:t>opening up</w:t>
      </w:r>
      <w:proofErr w:type="gramEnd"/>
      <w:r>
        <w:rPr>
          <w:rFonts w:ascii="Calibri" w:eastAsia="Calibri" w:hAnsi="Calibri" w:cs="Calibri"/>
          <w:color w:val="000000"/>
          <w:sz w:val="22"/>
          <w:szCs w:val="22"/>
        </w:rPr>
        <w:t xml:space="preserve"> the </w:t>
      </w:r>
      <w:r w:rsidR="00E753B3">
        <w:rPr>
          <w:rFonts w:ascii="Calibri" w:eastAsia="Calibri" w:hAnsi="Calibri" w:cs="Calibri"/>
          <w:color w:val="000000"/>
          <w:sz w:val="22"/>
          <w:szCs w:val="22"/>
        </w:rPr>
        <w:t xml:space="preserve">NEET </w:t>
      </w:r>
      <w:r>
        <w:rPr>
          <w:rFonts w:ascii="Calibri" w:eastAsia="Calibri" w:hAnsi="Calibri" w:cs="Calibri"/>
          <w:color w:val="000000"/>
          <w:sz w:val="22"/>
          <w:szCs w:val="22"/>
        </w:rPr>
        <w:t xml:space="preserve">black box to allow for conceptual changes in </w:t>
      </w:r>
      <w:r w:rsidR="00E753B3">
        <w:rPr>
          <w:rFonts w:ascii="Calibri" w:eastAsia="Calibri" w:hAnsi="Calibri" w:cs="Calibri"/>
          <w:color w:val="000000"/>
          <w:sz w:val="22"/>
          <w:szCs w:val="22"/>
        </w:rPr>
        <w:t>its components</w:t>
      </w:r>
      <w:r>
        <w:rPr>
          <w:rFonts w:ascii="Calibri" w:eastAsia="Calibri" w:hAnsi="Calibri" w:cs="Calibri"/>
          <w:color w:val="000000"/>
          <w:sz w:val="22"/>
          <w:szCs w:val="22"/>
        </w:rPr>
        <w:t xml:space="preserve">. These changes include several definitions of what a “student” is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w:t>
      </w:r>
      <w:r w:rsidR="00E753B3">
        <w:rPr>
          <w:rFonts w:ascii="Calibri" w:eastAsia="Calibri" w:hAnsi="Calibri" w:cs="Calibri"/>
          <w:color w:val="000000"/>
          <w:sz w:val="22"/>
          <w:szCs w:val="22"/>
        </w:rPr>
        <w:t>includes</w:t>
      </w:r>
      <w:r>
        <w:rPr>
          <w:rFonts w:ascii="Calibri" w:eastAsia="Calibri" w:hAnsi="Calibri" w:cs="Calibri"/>
          <w:color w:val="000000"/>
          <w:sz w:val="22"/>
          <w:szCs w:val="22"/>
        </w:rPr>
        <w:t xml:space="preserve"> </w:t>
      </w:r>
      <w:r w:rsidR="00E753B3">
        <w:rPr>
          <w:rFonts w:ascii="Calibri" w:eastAsia="Calibri" w:hAnsi="Calibri" w:cs="Calibri"/>
          <w:color w:val="000000"/>
          <w:sz w:val="22"/>
          <w:szCs w:val="22"/>
        </w:rPr>
        <w:t xml:space="preserve">certain </w:t>
      </w:r>
      <w:proofErr w:type="spellStart"/>
      <w:r>
        <w:rPr>
          <w:rFonts w:ascii="Calibri" w:eastAsia="Calibri" w:hAnsi="Calibri" w:cs="Calibri"/>
          <w:color w:val="000000"/>
          <w:sz w:val="22"/>
          <w:szCs w:val="22"/>
        </w:rPr>
        <w:t>non remunerated</w:t>
      </w:r>
      <w:proofErr w:type="spellEnd"/>
      <w:r>
        <w:rPr>
          <w:rFonts w:ascii="Calibri" w:eastAsia="Calibri" w:hAnsi="Calibri" w:cs="Calibri"/>
          <w:color w:val="000000"/>
          <w:sz w:val="22"/>
          <w:szCs w:val="22"/>
        </w:rPr>
        <w:t xml:space="preserve"> activities.</w:t>
      </w:r>
      <w:r w:rsidR="00CC1A32">
        <w:rPr>
          <w:rFonts w:ascii="Calibri" w:eastAsia="Calibri" w:hAnsi="Calibri" w:cs="Calibri"/>
          <w:color w:val="000000"/>
          <w:sz w:val="22"/>
          <w:szCs w:val="22"/>
        </w:rPr>
        <w:t xml:space="preserve"> Some of these</w:t>
      </w:r>
      <w:r>
        <w:rPr>
          <w:rFonts w:ascii="Calibri" w:eastAsia="Calibri" w:hAnsi="Calibri" w:cs="Calibri"/>
          <w:color w:val="000000"/>
          <w:sz w:val="22"/>
          <w:szCs w:val="22"/>
        </w:rPr>
        <w:t xml:space="preserve"> new definitions of disengagement </w:t>
      </w:r>
      <w:r w:rsidR="00CC1A32">
        <w:rPr>
          <w:rFonts w:ascii="Calibri" w:eastAsia="Calibri" w:hAnsi="Calibri" w:cs="Calibri"/>
          <w:color w:val="000000"/>
          <w:sz w:val="22"/>
          <w:szCs w:val="22"/>
        </w:rPr>
        <w:t xml:space="preserve">not only extend the concept of student but also </w:t>
      </w:r>
      <w:r>
        <w:rPr>
          <w:rFonts w:ascii="Calibri" w:eastAsia="Calibri" w:hAnsi="Calibri" w:cs="Calibri"/>
          <w:color w:val="000000"/>
          <w:sz w:val="22"/>
          <w:szCs w:val="22"/>
        </w:rPr>
        <w:t>bring the concept of “at work”</w:t>
      </w:r>
      <w:r w:rsidR="005E66D4">
        <w:rPr>
          <w:rFonts w:ascii="Calibri" w:eastAsia="Calibri" w:hAnsi="Calibri" w:cs="Calibri"/>
          <w:color w:val="000000"/>
          <w:sz w:val="22"/>
          <w:szCs w:val="22"/>
        </w:rPr>
        <w:t>,</w:t>
      </w:r>
      <w:r>
        <w:rPr>
          <w:rFonts w:ascii="Calibri" w:eastAsia="Calibri" w:hAnsi="Calibri" w:cs="Calibri"/>
          <w:color w:val="000000"/>
          <w:sz w:val="22"/>
          <w:szCs w:val="22"/>
        </w:rPr>
        <w:t xml:space="preserve"> as developed by the ICLS</w:t>
      </w:r>
      <w:r w:rsidR="005E66D4">
        <w:rPr>
          <w:rFonts w:ascii="Calibri" w:eastAsia="Calibri" w:hAnsi="Calibri" w:cs="Calibri"/>
          <w:color w:val="000000"/>
          <w:sz w:val="22"/>
          <w:szCs w:val="22"/>
        </w:rPr>
        <w:t>,</w:t>
      </w:r>
      <w:r>
        <w:rPr>
          <w:rFonts w:ascii="Calibri" w:eastAsia="Calibri" w:hAnsi="Calibri" w:cs="Calibri"/>
          <w:color w:val="000000"/>
          <w:sz w:val="22"/>
          <w:szCs w:val="22"/>
        </w:rPr>
        <w:t xml:space="preserve"> to the NEET definition. </w:t>
      </w:r>
      <w:r w:rsidR="00CC1A32">
        <w:rPr>
          <w:rFonts w:ascii="Calibri" w:eastAsia="Calibri" w:hAnsi="Calibri" w:cs="Calibri"/>
          <w:color w:val="000000"/>
          <w:sz w:val="22"/>
          <w:szCs w:val="22"/>
        </w:rPr>
        <w:t>In fact, t</w:t>
      </w:r>
      <w:r>
        <w:rPr>
          <w:rFonts w:ascii="Calibri" w:eastAsia="Calibri" w:hAnsi="Calibri" w:cs="Calibri"/>
          <w:color w:val="000000"/>
          <w:sz w:val="22"/>
          <w:szCs w:val="22"/>
        </w:rPr>
        <w:t xml:space="preserve">his brief can be seen as part of a broader criticism against accounting systems that </w:t>
      </w:r>
      <w:proofErr w:type="spellStart"/>
      <w:r>
        <w:rPr>
          <w:rFonts w:ascii="Calibri" w:eastAsia="Calibri" w:hAnsi="Calibri" w:cs="Calibri"/>
          <w:color w:val="000000"/>
          <w:sz w:val="22"/>
          <w:szCs w:val="22"/>
        </w:rPr>
        <w:t>favour</w:t>
      </w:r>
      <w:proofErr w:type="spellEnd"/>
      <w:r>
        <w:rPr>
          <w:rFonts w:ascii="Calibri" w:eastAsia="Calibri" w:hAnsi="Calibri" w:cs="Calibri"/>
          <w:color w:val="000000"/>
          <w:sz w:val="22"/>
          <w:szCs w:val="22"/>
        </w:rPr>
        <w:t xml:space="preserve"> market </w:t>
      </w:r>
      <w:proofErr w:type="spellStart"/>
      <w:r>
        <w:rPr>
          <w:rFonts w:ascii="Calibri" w:eastAsia="Calibri" w:hAnsi="Calibri" w:cs="Calibri"/>
          <w:color w:val="000000"/>
          <w:sz w:val="22"/>
          <w:szCs w:val="22"/>
        </w:rPr>
        <w:t>activites</w:t>
      </w:r>
      <w:proofErr w:type="spellEnd"/>
      <w:r>
        <w:rPr>
          <w:rFonts w:ascii="Calibri" w:eastAsia="Calibri" w:hAnsi="Calibri" w:cs="Calibri"/>
          <w:color w:val="000000"/>
          <w:sz w:val="22"/>
          <w:szCs w:val="22"/>
        </w:rPr>
        <w:t xml:space="preserve"> with the added concern that the NEET concept measures disengagement, which is far more controversial than economic exchanges</w:t>
      </w:r>
      <w:r w:rsidR="00206AEE">
        <w:rPr>
          <w:rFonts w:ascii="Calibri" w:eastAsia="Calibri" w:hAnsi="Calibri" w:cs="Calibri"/>
          <w:color w:val="000000"/>
          <w:sz w:val="22"/>
          <w:szCs w:val="22"/>
        </w:rPr>
        <w:t xml:space="preserve"> from a societal standpoint.</w:t>
      </w:r>
    </w:p>
    <w:p w14:paraId="34F8E73E" w14:textId="1468C050" w:rsidR="00DC0CC4"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For the purpose of</w:t>
      </w:r>
      <w:proofErr w:type="gramEnd"/>
      <w:r>
        <w:rPr>
          <w:rFonts w:ascii="Calibri" w:eastAsia="Calibri" w:hAnsi="Calibri" w:cs="Calibri"/>
          <w:color w:val="000000"/>
          <w:sz w:val="22"/>
          <w:szCs w:val="22"/>
        </w:rPr>
        <w:t xml:space="preserve"> comparing disengagement measures, the NEET rate is calculated as per Eurostat’s definition to include those that neither spent one hour in paid employment during the reference week and were not </w:t>
      </w:r>
      <w:proofErr w:type="spellStart"/>
      <w:r>
        <w:rPr>
          <w:rFonts w:ascii="Calibri" w:eastAsia="Calibri" w:hAnsi="Calibri" w:cs="Calibri"/>
          <w:color w:val="000000"/>
          <w:sz w:val="22"/>
          <w:szCs w:val="22"/>
        </w:rPr>
        <w:t>enroled</w:t>
      </w:r>
      <w:proofErr w:type="spellEnd"/>
      <w:r>
        <w:rPr>
          <w:rFonts w:ascii="Calibri" w:eastAsia="Calibri" w:hAnsi="Calibri" w:cs="Calibri"/>
          <w:color w:val="000000"/>
          <w:sz w:val="22"/>
          <w:szCs w:val="22"/>
        </w:rPr>
        <w:t xml:space="preserve"> in a formal or informal course during the last four weeks prior to the interview. In addition to th</w:t>
      </w:r>
      <w:r w:rsidR="00206AEE">
        <w:rPr>
          <w:rFonts w:ascii="Calibri" w:eastAsia="Calibri" w:hAnsi="Calibri" w:cs="Calibri"/>
          <w:color w:val="000000"/>
          <w:sz w:val="22"/>
          <w:szCs w:val="22"/>
        </w:rPr>
        <w:t xml:space="preserve">e official NEET </w:t>
      </w:r>
      <w:r>
        <w:rPr>
          <w:rFonts w:ascii="Calibri" w:eastAsia="Calibri" w:hAnsi="Calibri" w:cs="Calibri"/>
          <w:color w:val="000000"/>
          <w:sz w:val="22"/>
          <w:szCs w:val="22"/>
        </w:rPr>
        <w:t xml:space="preserve">rate, three more measures </w:t>
      </w:r>
      <w:r w:rsidR="00206AEE">
        <w:rPr>
          <w:rFonts w:ascii="Calibri" w:eastAsia="Calibri" w:hAnsi="Calibri" w:cs="Calibri"/>
          <w:color w:val="000000"/>
          <w:sz w:val="22"/>
          <w:szCs w:val="22"/>
        </w:rPr>
        <w:t xml:space="preserve">of disengagement </w:t>
      </w:r>
      <w:r>
        <w:rPr>
          <w:rFonts w:ascii="Calibri" w:eastAsia="Calibri" w:hAnsi="Calibri" w:cs="Calibri"/>
          <w:color w:val="000000"/>
          <w:sz w:val="22"/>
          <w:szCs w:val="22"/>
        </w:rPr>
        <w:t xml:space="preserve">are offered; the first one reclassifies informal students, </w:t>
      </w:r>
      <w:proofErr w:type="spellStart"/>
      <w:r>
        <w:rPr>
          <w:rFonts w:ascii="Calibri" w:eastAsia="Calibri" w:hAnsi="Calibri" w:cs="Calibri"/>
          <w:color w:val="000000"/>
          <w:sz w:val="22"/>
          <w:szCs w:val="22"/>
        </w:rPr>
        <w:t>ie</w:t>
      </w:r>
      <w:proofErr w:type="spellEnd"/>
      <w:r>
        <w:rPr>
          <w:rFonts w:ascii="Calibri" w:eastAsia="Calibri" w:hAnsi="Calibri" w:cs="Calibri"/>
          <w:color w:val="000000"/>
          <w:sz w:val="22"/>
          <w:szCs w:val="22"/>
        </w:rPr>
        <w:t xml:space="preserve"> those studying on their own,</w:t>
      </w:r>
      <w:r>
        <w:rPr>
          <w:rFonts w:ascii="Calibri" w:eastAsia="Calibri" w:hAnsi="Calibri" w:cs="Calibri"/>
          <w:color w:val="000000"/>
          <w:sz w:val="22"/>
          <w:szCs w:val="22"/>
          <w:vertAlign w:val="superscript"/>
        </w:rPr>
        <w:footnoteReference w:id="2"/>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survey internal contradictions regarding the student status. The former requires a threshold of at least 10 hours of weekly self-study to avoid hobby-like activities. The latter shows contradictions as a curious case of how a person may state not to had attended a school/academy during the last 4 weeks and yet argue to be in education when justifying why they are not actively seeking employment. The criteria of statistical agencies </w:t>
      </w:r>
      <w:proofErr w:type="gramStart"/>
      <w:r>
        <w:rPr>
          <w:rFonts w:ascii="Calibri" w:eastAsia="Calibri" w:hAnsi="Calibri" w:cs="Calibri"/>
          <w:color w:val="000000"/>
          <w:sz w:val="22"/>
          <w:szCs w:val="22"/>
        </w:rPr>
        <w:t>is</w:t>
      </w:r>
      <w:proofErr w:type="gramEnd"/>
      <w:r>
        <w:rPr>
          <w:rFonts w:ascii="Calibri" w:eastAsia="Calibri" w:hAnsi="Calibri" w:cs="Calibri"/>
          <w:color w:val="000000"/>
          <w:sz w:val="22"/>
          <w:szCs w:val="22"/>
        </w:rPr>
        <w:t xml:space="preserve"> to count them as NEETs. Not anymore in this measure. The second measure excludes as NEETs those that foresee joining formal or informal studies within three months</w:t>
      </w:r>
      <w:r>
        <w:rPr>
          <w:rFonts w:ascii="Calibri" w:eastAsia="Calibri" w:hAnsi="Calibri" w:cs="Calibri"/>
          <w:color w:val="000000"/>
          <w:sz w:val="22"/>
          <w:szCs w:val="22"/>
          <w:vertAlign w:val="superscript"/>
        </w:rPr>
        <w:footnoteReference w:id="3"/>
      </w:r>
      <w:r>
        <w:rPr>
          <w:rFonts w:ascii="Calibri" w:eastAsia="Calibri" w:hAnsi="Calibri" w:cs="Calibri"/>
          <w:color w:val="000000"/>
          <w:sz w:val="22"/>
          <w:szCs w:val="22"/>
        </w:rPr>
        <w:t xml:space="preserve"> since the interview. This idea is in line with the above-mentioned </w:t>
      </w:r>
      <w:proofErr w:type="spellStart"/>
      <w:r w:rsidR="00E753B3">
        <w:rPr>
          <w:rFonts w:ascii="Calibri" w:eastAsia="Calibri" w:hAnsi="Calibri" w:cs="Calibri"/>
          <w:color w:val="000000"/>
          <w:sz w:val="22"/>
          <w:szCs w:val="22"/>
        </w:rPr>
        <w:t>Turkstat</w:t>
      </w:r>
      <w:proofErr w:type="spellEnd"/>
      <w:r>
        <w:rPr>
          <w:rFonts w:ascii="Calibri" w:eastAsia="Calibri" w:hAnsi="Calibri" w:cs="Calibri"/>
          <w:color w:val="000000"/>
          <w:sz w:val="22"/>
          <w:szCs w:val="22"/>
        </w:rPr>
        <w:t xml:space="preserve"> recent move of reclassifying students on holidays as non-NEETs </w:t>
      </w:r>
      <w:proofErr w:type="gramStart"/>
      <w:r>
        <w:rPr>
          <w:rFonts w:ascii="Calibri" w:eastAsia="Calibri" w:hAnsi="Calibri" w:cs="Calibri"/>
          <w:color w:val="000000"/>
          <w:sz w:val="22"/>
          <w:szCs w:val="22"/>
        </w:rPr>
        <w:t>and also</w:t>
      </w:r>
      <w:proofErr w:type="gramEnd"/>
      <w:r>
        <w:rPr>
          <w:rFonts w:ascii="Calibri" w:eastAsia="Calibri" w:hAnsi="Calibri" w:cs="Calibri"/>
          <w:color w:val="000000"/>
          <w:sz w:val="22"/>
          <w:szCs w:val="22"/>
        </w:rPr>
        <w:t xml:space="preserve"> follows a similar logic to the one applied in </w:t>
      </w:r>
      <w:proofErr w:type="spellStart"/>
      <w:r>
        <w:rPr>
          <w:rFonts w:ascii="Calibri" w:eastAsia="Calibri" w:hAnsi="Calibri" w:cs="Calibri"/>
          <w:color w:val="000000"/>
          <w:sz w:val="22"/>
          <w:szCs w:val="22"/>
        </w:rPr>
        <w:t>labour</w:t>
      </w:r>
      <w:proofErr w:type="spellEnd"/>
      <w:r>
        <w:rPr>
          <w:rFonts w:ascii="Calibri" w:eastAsia="Calibri" w:hAnsi="Calibri" w:cs="Calibri"/>
          <w:color w:val="000000"/>
          <w:sz w:val="22"/>
          <w:szCs w:val="22"/>
        </w:rPr>
        <w:t xml:space="preserve"> force surveys to individuals that do not seek a job and yet are classified as unemployed (instead of as economically inactive) because they have already found one and will be joining it soon. Furthermore, in terms of justifying the reclassification, if a person has got an exit to their NEET </w:t>
      </w:r>
      <w:r w:rsidR="00970588">
        <w:rPr>
          <w:rFonts w:ascii="Calibri" w:eastAsia="Calibri" w:hAnsi="Calibri" w:cs="Calibri"/>
          <w:color w:val="000000"/>
          <w:sz w:val="22"/>
          <w:szCs w:val="22"/>
        </w:rPr>
        <w:t xml:space="preserve">status </w:t>
      </w:r>
      <w:r>
        <w:rPr>
          <w:rFonts w:ascii="Calibri" w:eastAsia="Calibri" w:hAnsi="Calibri" w:cs="Calibri"/>
          <w:color w:val="000000"/>
          <w:sz w:val="22"/>
          <w:szCs w:val="22"/>
        </w:rPr>
        <w:t xml:space="preserve">already ahead of them, it is hard to argue </w:t>
      </w:r>
      <w:r w:rsidR="00206AEE">
        <w:rPr>
          <w:rFonts w:ascii="Calibri" w:eastAsia="Calibri" w:hAnsi="Calibri" w:cs="Calibri"/>
          <w:color w:val="000000"/>
          <w:sz w:val="22"/>
          <w:szCs w:val="22"/>
        </w:rPr>
        <w:t xml:space="preserve">in </w:t>
      </w:r>
      <w:proofErr w:type="spellStart"/>
      <w:r w:rsidR="00206AEE">
        <w:rPr>
          <w:rFonts w:ascii="Calibri" w:eastAsia="Calibri" w:hAnsi="Calibri" w:cs="Calibri"/>
          <w:color w:val="000000"/>
          <w:sz w:val="22"/>
          <w:szCs w:val="22"/>
        </w:rPr>
        <w:t>favour</w:t>
      </w:r>
      <w:proofErr w:type="spellEnd"/>
      <w:r w:rsidR="00206AEE">
        <w:rPr>
          <w:rFonts w:ascii="Calibri" w:eastAsia="Calibri" w:hAnsi="Calibri" w:cs="Calibri"/>
          <w:color w:val="000000"/>
          <w:sz w:val="22"/>
          <w:szCs w:val="22"/>
        </w:rPr>
        <w:t xml:space="preserve"> of</w:t>
      </w:r>
      <w:r>
        <w:rPr>
          <w:rFonts w:ascii="Calibri" w:eastAsia="Calibri" w:hAnsi="Calibri" w:cs="Calibri"/>
          <w:color w:val="000000"/>
          <w:sz w:val="22"/>
          <w:szCs w:val="22"/>
        </w:rPr>
        <w:t xml:space="preserve"> the idea of a permanent scar due to their inactivity. </w:t>
      </w:r>
    </w:p>
    <w:p w14:paraId="67E57CAB" w14:textId="77777777" w:rsidR="009D6FEF"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The third and last alternative definition of disengagement directly brings the concept of “at work” as developed by the 13</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ICLS to the forefront of the NEET discussion. In this case, people who spend at </w:t>
      </w:r>
      <w:r>
        <w:rPr>
          <w:rFonts w:ascii="Calibri" w:eastAsia="Calibri" w:hAnsi="Calibri" w:cs="Calibri"/>
          <w:color w:val="000000"/>
          <w:sz w:val="22"/>
          <w:szCs w:val="22"/>
        </w:rPr>
        <w:lastRenderedPageBreak/>
        <w:t xml:space="preserve">least 10 hours a week caring about children, dependents or spending time as volunteers in NGOs are reclassified as non-NEETs. The </w:t>
      </w:r>
      <w:proofErr w:type="gramStart"/>
      <w:r>
        <w:rPr>
          <w:rFonts w:ascii="Calibri" w:eastAsia="Calibri" w:hAnsi="Calibri" w:cs="Calibri"/>
          <w:color w:val="000000"/>
          <w:sz w:val="22"/>
          <w:szCs w:val="22"/>
        </w:rPr>
        <w:t>10 hour</w:t>
      </w:r>
      <w:proofErr w:type="gramEnd"/>
      <w:r>
        <w:rPr>
          <w:rFonts w:ascii="Calibri" w:eastAsia="Calibri" w:hAnsi="Calibri" w:cs="Calibri"/>
          <w:color w:val="000000"/>
          <w:sz w:val="22"/>
          <w:szCs w:val="22"/>
        </w:rPr>
        <w:t xml:space="preserve"> threshold is applied individually at each category, </w:t>
      </w:r>
      <w:proofErr w:type="spellStart"/>
      <w:r>
        <w:rPr>
          <w:rFonts w:ascii="Calibri" w:eastAsia="Calibri" w:hAnsi="Calibri" w:cs="Calibri"/>
          <w:color w:val="000000"/>
          <w:sz w:val="22"/>
          <w:szCs w:val="22"/>
        </w:rPr>
        <w:t>ie</w:t>
      </w:r>
      <w:proofErr w:type="spellEnd"/>
      <w:r>
        <w:rPr>
          <w:rFonts w:ascii="Calibri" w:eastAsia="Calibri" w:hAnsi="Calibri" w:cs="Calibri"/>
          <w:color w:val="000000"/>
          <w:sz w:val="22"/>
          <w:szCs w:val="22"/>
        </w:rPr>
        <w:t xml:space="preserve"> a person must spend at least 10 hours in a sole category, not as the sum of all three</w:t>
      </w:r>
      <w:r w:rsidR="008302BF">
        <w:rPr>
          <w:rFonts w:ascii="Calibri" w:eastAsia="Calibri" w:hAnsi="Calibri" w:cs="Calibri"/>
          <w:color w:val="000000"/>
          <w:sz w:val="22"/>
          <w:szCs w:val="22"/>
        </w:rPr>
        <w:t xml:space="preserve"> -a harsher criteria than the one imposed in the official definition,</w:t>
      </w:r>
      <w:r>
        <w:rPr>
          <w:rFonts w:ascii="Calibri" w:eastAsia="Calibri" w:hAnsi="Calibri" w:cs="Calibri"/>
          <w:color w:val="000000"/>
          <w:sz w:val="22"/>
          <w:szCs w:val="22"/>
        </w:rPr>
        <w:t xml:space="preserve"> to qualify for the reclassification.</w:t>
      </w:r>
    </w:p>
    <w:p w14:paraId="3606700F" w14:textId="77777777" w:rsidR="009D6FEF" w:rsidRDefault="009D6FEF">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p>
    <w:p w14:paraId="4BCC0120" w14:textId="69ECA1C2" w:rsidR="00DC0CC4"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25E9696" w14:textId="77777777" w:rsidR="009D6FEF" w:rsidRDefault="009D6FEF" w:rsidP="009D6FEF">
      <w:pPr>
        <w:widowControl w:val="0"/>
        <w:pBdr>
          <w:top w:val="nil"/>
          <w:left w:val="nil"/>
          <w:bottom w:val="nil"/>
          <w:right w:val="nil"/>
          <w:between w:val="nil"/>
        </w:pBdr>
        <w:spacing w:before="280" w:line="352" w:lineRule="auto"/>
        <w:ind w:right="256"/>
        <w:rPr>
          <w:rFonts w:ascii="Calibri" w:eastAsia="Calibri" w:hAnsi="Calibri" w:cs="Calibri"/>
          <w:noProof/>
          <w:color w:val="000000"/>
          <w:sz w:val="20"/>
          <w:szCs w:val="20"/>
        </w:rPr>
      </w:pPr>
      <w:r>
        <w:rPr>
          <w:rFonts w:ascii="Calibri" w:eastAsia="Calibri" w:hAnsi="Calibri" w:cs="Calibri"/>
          <w:b/>
          <w:bCs/>
          <w:color w:val="000000"/>
          <w:sz w:val="22"/>
          <w:szCs w:val="22"/>
        </w:rPr>
        <w:t>Figure 1. Official NEET rate and its disaggregation</w:t>
      </w:r>
      <w:r>
        <w:rPr>
          <w:rFonts w:ascii="Calibri" w:eastAsia="Calibri" w:hAnsi="Calibri" w:cs="Calibri"/>
          <w:color w:val="000000"/>
          <w:sz w:val="20"/>
          <w:szCs w:val="20"/>
        </w:rPr>
        <w:t xml:space="preserve"> </w:t>
      </w:r>
    </w:p>
    <w:p w14:paraId="61C3F0C0" w14:textId="77777777" w:rsidR="009D6FEF" w:rsidRDefault="009D6FEF" w:rsidP="009D6FEF">
      <w:pPr>
        <w:widowControl w:val="0"/>
        <w:pBdr>
          <w:top w:val="nil"/>
          <w:left w:val="nil"/>
          <w:bottom w:val="nil"/>
          <w:right w:val="nil"/>
          <w:between w:val="nil"/>
        </w:pBdr>
        <w:spacing w:before="280" w:line="352" w:lineRule="auto"/>
        <w:ind w:right="256"/>
        <w:rPr>
          <w:rFonts w:ascii="Calibri" w:eastAsia="Calibri" w:hAnsi="Calibri" w:cs="Calibri"/>
          <w:color w:val="000000"/>
          <w:sz w:val="22"/>
          <w:szCs w:val="22"/>
        </w:rPr>
      </w:pPr>
      <w:r>
        <w:rPr>
          <w:noProof/>
        </w:rPr>
        <w:drawing>
          <wp:inline distT="0" distB="0" distL="0" distR="0" wp14:anchorId="24F46239" wp14:editId="7259EDE0">
            <wp:extent cx="5913755" cy="2125980"/>
            <wp:effectExtent l="0" t="0" r="0" b="7620"/>
            <wp:docPr id="1226918914" name="Chart 1">
              <a:extLst xmlns:a="http://schemas.openxmlformats.org/drawingml/2006/main">
                <a:ext uri="{FF2B5EF4-FFF2-40B4-BE49-F238E27FC236}">
                  <a16:creationId xmlns:a16="http://schemas.microsoft.com/office/drawing/2014/main" id="{664D2757-C526-80A9-8B7E-9D419DAC0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69368D" w14:textId="34F7E40C" w:rsidR="009D6FEF" w:rsidRDefault="009D6FEF" w:rsidP="009D6FEF">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b/>
          <w:bCs/>
          <w:i/>
          <w:iCs/>
          <w:color w:val="000000"/>
          <w:sz w:val="18"/>
          <w:szCs w:val="18"/>
        </w:rPr>
        <w:t xml:space="preserve">Source: </w:t>
      </w:r>
      <w:r>
        <w:rPr>
          <w:rFonts w:ascii="Calibri" w:eastAsia="Calibri" w:hAnsi="Calibri" w:cs="Calibri"/>
          <w:i/>
          <w:iCs/>
          <w:color w:val="000000"/>
          <w:sz w:val="18"/>
          <w:szCs w:val="18"/>
        </w:rPr>
        <w:t>BETAM’s own survey and author’s own calculations.</w:t>
      </w:r>
      <w:r>
        <w:rPr>
          <w:rFonts w:ascii="Calibri" w:eastAsia="Calibri" w:hAnsi="Calibri" w:cs="Calibri"/>
          <w:b/>
          <w:bCs/>
          <w:i/>
          <w:iCs/>
          <w:color w:val="000000"/>
          <w:sz w:val="18"/>
          <w:szCs w:val="18"/>
        </w:rPr>
        <w:t xml:space="preserve"> Notes: </w:t>
      </w:r>
      <w:r>
        <w:rPr>
          <w:rFonts w:ascii="Calibri" w:eastAsia="Calibri" w:hAnsi="Calibri" w:cs="Calibri"/>
          <w:i/>
          <w:iCs/>
          <w:color w:val="000000"/>
          <w:sz w:val="18"/>
          <w:szCs w:val="18"/>
        </w:rPr>
        <w:t xml:space="preserve">The figure shows the NEET rate of young people aged 18-29 with at least vocational school using the official definition of </w:t>
      </w:r>
      <w:proofErr w:type="spellStart"/>
      <w:r>
        <w:rPr>
          <w:rFonts w:ascii="Calibri" w:eastAsia="Calibri" w:hAnsi="Calibri" w:cs="Calibri"/>
          <w:i/>
          <w:iCs/>
          <w:color w:val="000000"/>
          <w:sz w:val="18"/>
          <w:szCs w:val="18"/>
        </w:rPr>
        <w:t>Turkstat</w:t>
      </w:r>
      <w:proofErr w:type="spellEnd"/>
      <w:r>
        <w:rPr>
          <w:rFonts w:ascii="Calibri" w:eastAsia="Calibri" w:hAnsi="Calibri" w:cs="Calibri"/>
          <w:i/>
          <w:iCs/>
          <w:color w:val="000000"/>
          <w:sz w:val="18"/>
          <w:szCs w:val="18"/>
        </w:rPr>
        <w:t xml:space="preserve"> and Eurostat. In addition, it splits NEETs into several categories based on their closeness to be a non-NEET. These categories are not mutually </w:t>
      </w:r>
      <w:proofErr w:type="gramStart"/>
      <w:r>
        <w:rPr>
          <w:rFonts w:ascii="Calibri" w:eastAsia="Calibri" w:hAnsi="Calibri" w:cs="Calibri"/>
          <w:i/>
          <w:iCs/>
          <w:color w:val="000000"/>
          <w:sz w:val="18"/>
          <w:szCs w:val="18"/>
        </w:rPr>
        <w:t>exclusive</w:t>
      </w:r>
      <w:proofErr w:type="gramEnd"/>
      <w:r>
        <w:rPr>
          <w:rFonts w:ascii="Calibri" w:eastAsia="Calibri" w:hAnsi="Calibri" w:cs="Calibri"/>
          <w:i/>
          <w:iCs/>
          <w:color w:val="000000"/>
          <w:sz w:val="18"/>
          <w:szCs w:val="18"/>
        </w:rPr>
        <w:t xml:space="preserve"> and an order of preference is made explicit, </w:t>
      </w:r>
      <w:proofErr w:type="spellStart"/>
      <w:r>
        <w:rPr>
          <w:rFonts w:ascii="Calibri" w:eastAsia="Calibri" w:hAnsi="Calibri" w:cs="Calibri"/>
          <w:i/>
          <w:iCs/>
          <w:color w:val="000000"/>
          <w:sz w:val="18"/>
          <w:szCs w:val="18"/>
        </w:rPr>
        <w:t>ie</w:t>
      </w:r>
      <w:proofErr w:type="spellEnd"/>
      <w:r>
        <w:rPr>
          <w:rFonts w:ascii="Calibri" w:eastAsia="Calibri" w:hAnsi="Calibri" w:cs="Calibri"/>
          <w:i/>
          <w:iCs/>
          <w:color w:val="000000"/>
          <w:sz w:val="18"/>
          <w:szCs w:val="18"/>
        </w:rPr>
        <w:t xml:space="preserve"> an informal student may also has plans to join a formal course of study in the short-term, yet being a current informal student is given preference.</w:t>
      </w:r>
    </w:p>
    <w:p w14:paraId="6C540D07" w14:textId="16D75F21" w:rsidR="00DC0CC4"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According to the survey, the NEET rate of the subpopulation under analysis (individuals aged 18-29 years old with at least </w:t>
      </w:r>
      <w:r w:rsidR="0031048D">
        <w:rPr>
          <w:rFonts w:ascii="Calibri" w:eastAsia="Calibri" w:hAnsi="Calibri" w:cs="Calibri"/>
          <w:color w:val="000000"/>
          <w:sz w:val="22"/>
          <w:szCs w:val="22"/>
        </w:rPr>
        <w:t xml:space="preserve">vocational </w:t>
      </w:r>
      <w:r>
        <w:rPr>
          <w:rFonts w:ascii="Calibri" w:eastAsia="Calibri" w:hAnsi="Calibri" w:cs="Calibri"/>
          <w:color w:val="000000"/>
          <w:sz w:val="22"/>
          <w:szCs w:val="22"/>
        </w:rPr>
        <w:t xml:space="preserve">school finished) is 35.5 per cent. Informal students </w:t>
      </w:r>
      <w:r w:rsidR="008302BF">
        <w:rPr>
          <w:rFonts w:ascii="Calibri" w:eastAsia="Calibri" w:hAnsi="Calibri" w:cs="Calibri"/>
          <w:color w:val="000000"/>
          <w:sz w:val="22"/>
          <w:szCs w:val="22"/>
        </w:rPr>
        <w:t>account for</w:t>
      </w:r>
      <w:r>
        <w:rPr>
          <w:rFonts w:ascii="Calibri" w:eastAsia="Calibri" w:hAnsi="Calibri" w:cs="Calibri"/>
          <w:color w:val="000000"/>
          <w:sz w:val="22"/>
          <w:szCs w:val="22"/>
        </w:rPr>
        <w:t xml:space="preserve"> 23.4 per cent </w:t>
      </w:r>
      <w:r w:rsidR="008302BF">
        <w:rPr>
          <w:rFonts w:ascii="Calibri" w:eastAsia="Calibri" w:hAnsi="Calibri" w:cs="Calibri"/>
          <w:color w:val="000000"/>
          <w:sz w:val="22"/>
          <w:szCs w:val="22"/>
        </w:rPr>
        <w:t>of the official</w:t>
      </w:r>
      <w:r>
        <w:rPr>
          <w:rFonts w:ascii="Calibri" w:eastAsia="Calibri" w:hAnsi="Calibri" w:cs="Calibri"/>
          <w:color w:val="000000"/>
          <w:sz w:val="22"/>
          <w:szCs w:val="22"/>
        </w:rPr>
        <w:t xml:space="preserve"> NEETs,</w:t>
      </w:r>
      <w:r w:rsidR="008302BF">
        <w:rPr>
          <w:rFonts w:ascii="Calibri" w:eastAsia="Calibri" w:hAnsi="Calibri" w:cs="Calibri"/>
          <w:color w:val="000000"/>
          <w:sz w:val="22"/>
          <w:szCs w:val="22"/>
        </w:rPr>
        <w:t xml:space="preserve"> and once subtracted lower</w:t>
      </w:r>
      <w:r>
        <w:rPr>
          <w:rFonts w:ascii="Calibri" w:eastAsia="Calibri" w:hAnsi="Calibri" w:cs="Calibri"/>
          <w:color w:val="000000"/>
          <w:sz w:val="22"/>
          <w:szCs w:val="22"/>
        </w:rPr>
        <w:t xml:space="preserve"> the NEET rate by nearly 8 percentage points down to 27.4 per cent. The reclassification of </w:t>
      </w:r>
      <w:r w:rsidR="008302BF">
        <w:rPr>
          <w:rFonts w:ascii="Calibri" w:eastAsia="Calibri" w:hAnsi="Calibri" w:cs="Calibri"/>
          <w:color w:val="000000"/>
          <w:sz w:val="22"/>
          <w:szCs w:val="22"/>
        </w:rPr>
        <w:t>“</w:t>
      </w:r>
      <w:r>
        <w:rPr>
          <w:rFonts w:ascii="Calibri" w:eastAsia="Calibri" w:hAnsi="Calibri" w:cs="Calibri"/>
          <w:color w:val="000000"/>
          <w:sz w:val="22"/>
          <w:szCs w:val="22"/>
        </w:rPr>
        <w:t>students to be</w:t>
      </w:r>
      <w:r w:rsidR="008302BF">
        <w:rPr>
          <w:rFonts w:ascii="Calibri" w:eastAsia="Calibri" w:hAnsi="Calibri" w:cs="Calibri"/>
          <w:color w:val="000000"/>
          <w:sz w:val="22"/>
          <w:szCs w:val="22"/>
        </w:rPr>
        <w:t>”</w:t>
      </w:r>
      <w:r>
        <w:rPr>
          <w:rFonts w:ascii="Calibri" w:eastAsia="Calibri" w:hAnsi="Calibri" w:cs="Calibri"/>
          <w:color w:val="000000"/>
          <w:sz w:val="22"/>
          <w:szCs w:val="22"/>
        </w:rPr>
        <w:t xml:space="preserve"> further lowers the rate down to 21.2 per cent and the </w:t>
      </w:r>
      <w:r w:rsidR="008302BF">
        <w:rPr>
          <w:rFonts w:ascii="Calibri" w:eastAsia="Calibri" w:hAnsi="Calibri" w:cs="Calibri"/>
          <w:color w:val="000000"/>
          <w:sz w:val="22"/>
          <w:szCs w:val="22"/>
        </w:rPr>
        <w:t xml:space="preserve">elimination </w:t>
      </w:r>
      <w:r>
        <w:rPr>
          <w:rFonts w:ascii="Calibri" w:eastAsia="Calibri" w:hAnsi="Calibri" w:cs="Calibri"/>
          <w:color w:val="000000"/>
          <w:sz w:val="22"/>
          <w:szCs w:val="22"/>
        </w:rPr>
        <w:t>of</w:t>
      </w:r>
      <w:r w:rsidR="008302BF">
        <w:rPr>
          <w:rFonts w:ascii="Calibri" w:eastAsia="Calibri" w:hAnsi="Calibri" w:cs="Calibri"/>
          <w:color w:val="000000"/>
          <w:sz w:val="22"/>
          <w:szCs w:val="22"/>
        </w:rPr>
        <w:t xml:space="preserve"> individuals involved in</w:t>
      </w:r>
      <w:r>
        <w:rPr>
          <w:rFonts w:ascii="Calibri" w:eastAsia="Calibri" w:hAnsi="Calibri" w:cs="Calibri"/>
          <w:color w:val="000000"/>
          <w:sz w:val="22"/>
          <w:szCs w:val="22"/>
        </w:rPr>
        <w:t xml:space="preserve"> the care economy and volunteers results in</w:t>
      </w:r>
      <w:r w:rsidR="008302BF">
        <w:rPr>
          <w:rFonts w:ascii="Calibri" w:eastAsia="Calibri" w:hAnsi="Calibri" w:cs="Calibri"/>
          <w:color w:val="000000"/>
          <w:sz w:val="22"/>
          <w:szCs w:val="22"/>
        </w:rPr>
        <w:t xml:space="preserve"> an even lower</w:t>
      </w:r>
      <w:r>
        <w:rPr>
          <w:rFonts w:ascii="Calibri" w:eastAsia="Calibri" w:hAnsi="Calibri" w:cs="Calibri"/>
          <w:color w:val="000000"/>
          <w:sz w:val="22"/>
          <w:szCs w:val="22"/>
        </w:rPr>
        <w:t xml:space="preserve"> 19.4 per cent adjusted NEET rate, a drop of 16 percentage points </w:t>
      </w:r>
      <w:proofErr w:type="gramStart"/>
      <w:r>
        <w:rPr>
          <w:rFonts w:ascii="Calibri" w:eastAsia="Calibri" w:hAnsi="Calibri" w:cs="Calibri"/>
          <w:color w:val="000000"/>
          <w:sz w:val="22"/>
          <w:szCs w:val="22"/>
        </w:rPr>
        <w:t>in spite of</w:t>
      </w:r>
      <w:proofErr w:type="gramEnd"/>
      <w:r>
        <w:rPr>
          <w:rFonts w:ascii="Calibri" w:eastAsia="Calibri" w:hAnsi="Calibri" w:cs="Calibri"/>
          <w:color w:val="000000"/>
          <w:sz w:val="22"/>
          <w:szCs w:val="22"/>
        </w:rPr>
        <w:t xml:space="preserve"> </w:t>
      </w:r>
      <w:r w:rsidR="00817A69">
        <w:rPr>
          <w:rFonts w:ascii="Calibri" w:eastAsia="Calibri" w:hAnsi="Calibri" w:cs="Calibri"/>
          <w:color w:val="000000"/>
          <w:sz w:val="22"/>
          <w:szCs w:val="22"/>
        </w:rPr>
        <w:t>the</w:t>
      </w:r>
      <w:r w:rsidR="008302BF">
        <w:rPr>
          <w:rFonts w:ascii="Calibri" w:eastAsia="Calibri" w:hAnsi="Calibri" w:cs="Calibri"/>
          <w:color w:val="000000"/>
          <w:sz w:val="22"/>
          <w:szCs w:val="22"/>
        </w:rPr>
        <w:t xml:space="preserve"> </w:t>
      </w:r>
      <w:r>
        <w:rPr>
          <w:rFonts w:ascii="Calibri" w:eastAsia="Calibri" w:hAnsi="Calibri" w:cs="Calibri"/>
          <w:color w:val="000000"/>
          <w:sz w:val="22"/>
          <w:szCs w:val="22"/>
        </w:rPr>
        <w:t>strict criteria</w:t>
      </w:r>
      <w:r w:rsidR="00817A69">
        <w:rPr>
          <w:rFonts w:ascii="Calibri" w:eastAsia="Calibri" w:hAnsi="Calibri" w:cs="Calibri"/>
          <w:color w:val="000000"/>
          <w:sz w:val="22"/>
          <w:szCs w:val="22"/>
        </w:rPr>
        <w:t xml:space="preserve"> used</w:t>
      </w:r>
      <w:r>
        <w:rPr>
          <w:rFonts w:ascii="Calibri" w:eastAsia="Calibri" w:hAnsi="Calibri" w:cs="Calibri"/>
          <w:color w:val="000000"/>
          <w:sz w:val="22"/>
          <w:szCs w:val="22"/>
        </w:rPr>
        <w:t xml:space="preserve"> </w:t>
      </w:r>
      <w:r w:rsidR="00817A69">
        <w:rPr>
          <w:rFonts w:ascii="Calibri" w:eastAsia="Calibri" w:hAnsi="Calibri" w:cs="Calibri"/>
          <w:color w:val="000000"/>
          <w:sz w:val="22"/>
          <w:szCs w:val="22"/>
        </w:rPr>
        <w:t>-</w:t>
      </w:r>
      <w:r w:rsidR="008302BF">
        <w:rPr>
          <w:rFonts w:ascii="Calibri" w:eastAsia="Calibri" w:hAnsi="Calibri" w:cs="Calibri"/>
          <w:color w:val="000000"/>
          <w:sz w:val="22"/>
          <w:szCs w:val="22"/>
        </w:rPr>
        <w:t>imposing a</w:t>
      </w:r>
      <w:r>
        <w:rPr>
          <w:rFonts w:ascii="Calibri" w:eastAsia="Calibri" w:hAnsi="Calibri" w:cs="Calibri"/>
          <w:color w:val="000000"/>
          <w:sz w:val="22"/>
          <w:szCs w:val="22"/>
        </w:rPr>
        <w:t xml:space="preserve"> threshold of 10 hours in at least a one separate activity</w:t>
      </w:r>
      <w:r w:rsidR="00817A69">
        <w:rPr>
          <w:rFonts w:ascii="Calibri" w:eastAsia="Calibri" w:hAnsi="Calibri" w:cs="Calibri"/>
          <w:color w:val="000000"/>
          <w:sz w:val="22"/>
          <w:szCs w:val="22"/>
        </w:rPr>
        <w:t xml:space="preserve">- </w:t>
      </w:r>
      <w:r>
        <w:rPr>
          <w:rFonts w:ascii="Calibri" w:eastAsia="Calibri" w:hAnsi="Calibri" w:cs="Calibri"/>
          <w:color w:val="000000"/>
          <w:sz w:val="22"/>
          <w:szCs w:val="22"/>
        </w:rPr>
        <w:t>to</w:t>
      </w:r>
      <w:r w:rsidR="008302BF">
        <w:rPr>
          <w:rFonts w:ascii="Calibri" w:eastAsia="Calibri" w:hAnsi="Calibri" w:cs="Calibri"/>
          <w:color w:val="000000"/>
          <w:sz w:val="22"/>
          <w:szCs w:val="22"/>
        </w:rPr>
        <w:t xml:space="preserve"> warrant a </w:t>
      </w:r>
      <w:r>
        <w:rPr>
          <w:rFonts w:ascii="Calibri" w:eastAsia="Calibri" w:hAnsi="Calibri" w:cs="Calibri"/>
          <w:color w:val="000000"/>
          <w:sz w:val="22"/>
          <w:szCs w:val="22"/>
        </w:rPr>
        <w:t>reclassifi</w:t>
      </w:r>
      <w:r w:rsidR="008302BF">
        <w:rPr>
          <w:rFonts w:ascii="Calibri" w:eastAsia="Calibri" w:hAnsi="Calibri" w:cs="Calibri"/>
          <w:color w:val="000000"/>
          <w:sz w:val="22"/>
          <w:szCs w:val="22"/>
        </w:rPr>
        <w:t>cation</w:t>
      </w:r>
      <w:r>
        <w:rPr>
          <w:rFonts w:ascii="Calibri" w:eastAsia="Calibri" w:hAnsi="Calibri" w:cs="Calibri"/>
          <w:color w:val="000000"/>
          <w:sz w:val="22"/>
          <w:szCs w:val="22"/>
        </w:rPr>
        <w:t xml:space="preserve">. </w:t>
      </w:r>
    </w:p>
    <w:p w14:paraId="2455F2B7" w14:textId="77777777" w:rsidR="009D6FEF" w:rsidRDefault="009D6FEF" w:rsidP="009D6FEF">
      <w:pPr>
        <w:widowControl w:val="0"/>
        <w:pBdr>
          <w:top w:val="nil"/>
          <w:left w:val="nil"/>
          <w:bottom w:val="nil"/>
          <w:right w:val="nil"/>
          <w:between w:val="nil"/>
        </w:pBdr>
        <w:spacing w:before="290" w:line="352" w:lineRule="auto"/>
        <w:ind w:right="256"/>
        <w:rPr>
          <w:rFonts w:ascii="Calibri" w:eastAsia="Calibri" w:hAnsi="Calibri" w:cs="Calibri"/>
          <w:noProof/>
          <w:color w:val="000000"/>
          <w:sz w:val="20"/>
          <w:szCs w:val="20"/>
        </w:rPr>
      </w:pPr>
      <w:r>
        <w:rPr>
          <w:rFonts w:ascii="Calibri" w:eastAsia="Calibri" w:hAnsi="Calibri" w:cs="Calibri"/>
          <w:b/>
          <w:bCs/>
          <w:color w:val="000000"/>
        </w:rPr>
        <w:t>Figure 2. Official NEET rate and other disengagement measures, by gender</w:t>
      </w:r>
      <w:r>
        <w:rPr>
          <w:rFonts w:ascii="Calibri" w:eastAsia="Calibri" w:hAnsi="Calibri" w:cs="Calibri"/>
          <w:color w:val="000000"/>
          <w:sz w:val="20"/>
          <w:szCs w:val="20"/>
        </w:rPr>
        <w:t xml:space="preserve"> </w:t>
      </w:r>
    </w:p>
    <w:p w14:paraId="502DA9F7" w14:textId="104D229C" w:rsidR="00DC0CC4" w:rsidRDefault="009D6FEF" w:rsidP="009D6FEF">
      <w:pPr>
        <w:widowControl w:val="0"/>
        <w:pBdr>
          <w:top w:val="nil"/>
          <w:left w:val="nil"/>
          <w:bottom w:val="nil"/>
          <w:right w:val="nil"/>
          <w:between w:val="nil"/>
        </w:pBdr>
        <w:spacing w:before="120" w:line="352" w:lineRule="auto"/>
        <w:ind w:right="256"/>
        <w:jc w:val="both"/>
        <w:rPr>
          <w:rFonts w:ascii="Calibri" w:eastAsia="Calibri" w:hAnsi="Calibri" w:cs="Calibri"/>
          <w:i/>
          <w:iCs/>
          <w:color w:val="000000"/>
          <w:sz w:val="18"/>
          <w:szCs w:val="18"/>
        </w:rPr>
      </w:pPr>
      <w:r>
        <w:rPr>
          <w:noProof/>
        </w:rPr>
        <w:lastRenderedPageBreak/>
        <w:drawing>
          <wp:inline distT="0" distB="0" distL="0" distR="0" wp14:anchorId="7A358320" wp14:editId="56AEE259">
            <wp:extent cx="5913755" cy="2407920"/>
            <wp:effectExtent l="0" t="0" r="0" b="0"/>
            <wp:docPr id="735079250" name="Chart 1">
              <a:extLst xmlns:a="http://schemas.openxmlformats.org/drawingml/2006/main">
                <a:ext uri="{FF2B5EF4-FFF2-40B4-BE49-F238E27FC236}">
                  <a16:creationId xmlns:a16="http://schemas.microsoft.com/office/drawing/2014/main" id="{8202AD7D-2875-D5A8-F0E4-4E9C0348F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DE4C77" w14:textId="36FCBDEA" w:rsidR="00DC0CC4" w:rsidRDefault="00000000">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sidR="00817A69">
        <w:rPr>
          <w:rFonts w:ascii="Calibri" w:eastAsia="Calibri" w:hAnsi="Calibri" w:cs="Calibri"/>
          <w:color w:val="000000"/>
          <w:sz w:val="22"/>
          <w:szCs w:val="22"/>
        </w:rPr>
        <w:t xml:space="preserve">changes </w:t>
      </w:r>
      <w:r>
        <w:rPr>
          <w:rFonts w:ascii="Calibri" w:eastAsia="Calibri" w:hAnsi="Calibri" w:cs="Calibri"/>
          <w:color w:val="000000"/>
          <w:sz w:val="22"/>
          <w:szCs w:val="22"/>
        </w:rPr>
        <w:t xml:space="preserve">by gender are even more dramatic, with the female NEET rate (see Figure 2) going down by nearly 20 points. More importantly, the rate did not go much down because of the care economy, rather because of the desire to continue studying. In this case, the perhaps expected mechanism whereby caring of others keep women away from employment does not seem to apply, at least among </w:t>
      </w:r>
      <w:r w:rsidR="009D6FEF">
        <w:rPr>
          <w:rFonts w:ascii="Calibri" w:eastAsia="Calibri" w:hAnsi="Calibri" w:cs="Calibri"/>
          <w:color w:val="000000"/>
          <w:sz w:val="22"/>
          <w:szCs w:val="22"/>
        </w:rPr>
        <w:t xml:space="preserve">highly educated </w:t>
      </w:r>
      <w:r>
        <w:rPr>
          <w:rFonts w:ascii="Calibri" w:eastAsia="Calibri" w:hAnsi="Calibri" w:cs="Calibri"/>
          <w:color w:val="000000"/>
          <w:sz w:val="22"/>
          <w:szCs w:val="22"/>
        </w:rPr>
        <w:t xml:space="preserve">young Istanbul women. </w:t>
      </w:r>
    </w:p>
    <w:p w14:paraId="0EB93514" w14:textId="77777777" w:rsidR="00DC0CC4" w:rsidRDefault="00000000">
      <w:pPr>
        <w:pStyle w:val="Balk2"/>
        <w:numPr>
          <w:ilvl w:val="0"/>
          <w:numId w:val="1"/>
        </w:numPr>
        <w:spacing w:after="120"/>
        <w:rPr>
          <w:rFonts w:ascii="Calibri" w:eastAsia="Calibri" w:hAnsi="Calibri" w:cs="Calibri"/>
        </w:rPr>
      </w:pPr>
      <w:r>
        <w:rPr>
          <w:rFonts w:ascii="Calibri" w:eastAsia="Calibri" w:hAnsi="Calibri" w:cs="Calibri"/>
        </w:rPr>
        <w:t xml:space="preserve">Measuring non-market activities: Prevalence and intensity </w:t>
      </w:r>
    </w:p>
    <w:p w14:paraId="72360A38" w14:textId="03E1A621" w:rsidR="00DC0CC4" w:rsidRDefault="00000000">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rPr>
      </w:pPr>
      <w:r>
        <w:rPr>
          <w:rFonts w:ascii="Calibri" w:eastAsia="Calibri" w:hAnsi="Calibri" w:cs="Calibri"/>
          <w:color w:val="000000"/>
          <w:sz w:val="22"/>
          <w:szCs w:val="22"/>
        </w:rPr>
        <w:t xml:space="preserve">In spite of their relevance, there are few </w:t>
      </w:r>
      <w:proofErr w:type="gramStart"/>
      <w:r>
        <w:rPr>
          <w:rFonts w:ascii="Calibri" w:eastAsia="Calibri" w:hAnsi="Calibri" w:cs="Calibri"/>
          <w:color w:val="000000"/>
          <w:sz w:val="22"/>
          <w:szCs w:val="22"/>
        </w:rPr>
        <w:t>time</w:t>
      </w:r>
      <w:proofErr w:type="gramEnd"/>
      <w:r>
        <w:rPr>
          <w:rFonts w:ascii="Calibri" w:eastAsia="Calibri" w:hAnsi="Calibri" w:cs="Calibri"/>
          <w:color w:val="000000"/>
          <w:sz w:val="22"/>
          <w:szCs w:val="22"/>
        </w:rPr>
        <w:t xml:space="preserve"> use surveys in T</w:t>
      </w:r>
      <w:r w:rsidR="00667B59">
        <w:rPr>
          <w:rFonts w:ascii="Calibri" w:eastAsia="Calibri" w:hAnsi="Calibri" w:cs="Calibri"/>
          <w:color w:val="000000"/>
          <w:sz w:val="22"/>
          <w:szCs w:val="22"/>
        </w:rPr>
        <w:t>ü</w:t>
      </w:r>
      <w:r>
        <w:rPr>
          <w:rFonts w:ascii="Calibri" w:eastAsia="Calibri" w:hAnsi="Calibri" w:cs="Calibri"/>
          <w:color w:val="000000"/>
          <w:sz w:val="22"/>
          <w:szCs w:val="22"/>
        </w:rPr>
        <w:t>rkiye, with the last representative one dating back from 2014, and</w:t>
      </w:r>
      <w:r w:rsidR="00EE03DC">
        <w:rPr>
          <w:rFonts w:ascii="Calibri" w:eastAsia="Calibri" w:hAnsi="Calibri" w:cs="Calibri"/>
          <w:color w:val="000000"/>
          <w:sz w:val="22"/>
          <w:szCs w:val="22"/>
        </w:rPr>
        <w:t xml:space="preserve"> a</w:t>
      </w:r>
      <w:r>
        <w:rPr>
          <w:rFonts w:ascii="Calibri" w:eastAsia="Calibri" w:hAnsi="Calibri" w:cs="Calibri"/>
          <w:color w:val="000000"/>
          <w:sz w:val="22"/>
          <w:szCs w:val="22"/>
        </w:rPr>
        <w:t xml:space="preserve"> mini time use survey implemented by BETAM in collaboration with ISPER in 2025 for Istanbul</w:t>
      </w:r>
      <w:r w:rsidR="00EE03DC">
        <w:rPr>
          <w:rFonts w:ascii="Calibri" w:eastAsia="Calibri" w:hAnsi="Calibri" w:cs="Calibri"/>
          <w:color w:val="000000"/>
          <w:sz w:val="22"/>
          <w:szCs w:val="22"/>
        </w:rPr>
        <w:t xml:space="preserve"> to measure unpaid care</w:t>
      </w:r>
      <w:r>
        <w:rPr>
          <w:rFonts w:ascii="Calibri" w:eastAsia="Calibri" w:hAnsi="Calibri" w:cs="Calibri"/>
          <w:color w:val="000000"/>
          <w:sz w:val="22"/>
          <w:szCs w:val="22"/>
        </w:rPr>
        <w:t xml:space="preserve">. Such effort </w:t>
      </w:r>
      <w:r w:rsidR="00D072B9">
        <w:rPr>
          <w:rFonts w:ascii="Calibri" w:eastAsia="Calibri" w:hAnsi="Calibri" w:cs="Calibri"/>
          <w:color w:val="000000"/>
          <w:sz w:val="22"/>
          <w:szCs w:val="22"/>
        </w:rPr>
        <w:t xml:space="preserve">by BETAM and ISPER </w:t>
      </w:r>
      <w:r>
        <w:rPr>
          <w:rFonts w:ascii="Calibri" w:eastAsia="Calibri" w:hAnsi="Calibri" w:cs="Calibri"/>
          <w:color w:val="000000"/>
          <w:sz w:val="22"/>
          <w:szCs w:val="22"/>
        </w:rPr>
        <w:t xml:space="preserve">continued in 2026 with questions expanded to non-market activities such as self-study and volunteering. </w:t>
      </w:r>
    </w:p>
    <w:p w14:paraId="1E32EAE6" w14:textId="788C45FB" w:rsidR="00DC0CC4" w:rsidRDefault="00000000">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rPr>
      </w:pPr>
      <w:r>
        <w:rPr>
          <w:rFonts w:ascii="Calibri" w:eastAsia="Calibri" w:hAnsi="Calibri" w:cs="Calibri"/>
          <w:color w:val="000000"/>
          <w:sz w:val="22"/>
          <w:szCs w:val="22"/>
        </w:rPr>
        <w:t xml:space="preserve">According to the survey results, 5.6 per cent of Istanbul’s youth regularly volunteers, with more relevance found in education-related activities. The figure goes well with TÜSEV’s estimate of 3.5 per cent for the adult population, since it is understood young people tend to be more involved in this kind of activity. It is also remarkable that two thirds of the volunteers of the sample are employed, </w:t>
      </w:r>
      <w:proofErr w:type="spellStart"/>
      <w:r>
        <w:rPr>
          <w:rFonts w:ascii="Calibri" w:eastAsia="Calibri" w:hAnsi="Calibri" w:cs="Calibri"/>
          <w:color w:val="000000"/>
          <w:sz w:val="22"/>
          <w:szCs w:val="22"/>
        </w:rPr>
        <w:t>ie</w:t>
      </w:r>
      <w:proofErr w:type="spellEnd"/>
      <w:r>
        <w:rPr>
          <w:rFonts w:ascii="Calibri" w:eastAsia="Calibri" w:hAnsi="Calibri" w:cs="Calibri"/>
          <w:color w:val="000000"/>
          <w:sz w:val="22"/>
          <w:szCs w:val="22"/>
        </w:rPr>
        <w:t xml:space="preserve"> those economically inactive or unemployed have less involvement, implying that volunteering behaves like </w:t>
      </w:r>
      <w:r w:rsidR="00AA16ED">
        <w:rPr>
          <w:rFonts w:ascii="Calibri" w:eastAsia="Calibri" w:hAnsi="Calibri" w:cs="Calibri"/>
          <w:color w:val="000000"/>
          <w:sz w:val="22"/>
          <w:szCs w:val="22"/>
        </w:rPr>
        <w:t xml:space="preserve">a </w:t>
      </w:r>
      <w:r>
        <w:rPr>
          <w:rFonts w:ascii="Calibri" w:eastAsia="Calibri" w:hAnsi="Calibri" w:cs="Calibri"/>
          <w:color w:val="000000"/>
          <w:sz w:val="22"/>
          <w:szCs w:val="22"/>
        </w:rPr>
        <w:t xml:space="preserve">luxury good in </w:t>
      </w:r>
      <w:proofErr w:type="spellStart"/>
      <w:r>
        <w:rPr>
          <w:rFonts w:ascii="Calibri" w:eastAsia="Calibri" w:hAnsi="Calibri" w:cs="Calibri"/>
          <w:color w:val="000000"/>
          <w:sz w:val="22"/>
          <w:szCs w:val="22"/>
        </w:rPr>
        <w:t>istanbul</w:t>
      </w:r>
      <w:proofErr w:type="spellEnd"/>
      <w:r>
        <w:rPr>
          <w:rFonts w:ascii="Calibri" w:eastAsia="Calibri" w:hAnsi="Calibri" w:cs="Calibri"/>
          <w:color w:val="000000"/>
          <w:sz w:val="22"/>
          <w:szCs w:val="22"/>
        </w:rPr>
        <w:t xml:space="preserve"> and those with more resources are the ones that can afford to carry it out.</w:t>
      </w:r>
    </w:p>
    <w:p w14:paraId="226A4A68" w14:textId="77777777" w:rsidR="00DC0CC4" w:rsidRDefault="00000000">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Figure 3. Non-market activities, prevalence and weekly hours, by gender</w:t>
      </w:r>
    </w:p>
    <w:p w14:paraId="62B52AE1" w14:textId="38A644E3" w:rsidR="00DC0CC4" w:rsidRDefault="00274725">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rPr>
      </w:pPr>
      <w:r>
        <w:rPr>
          <w:noProof/>
        </w:rPr>
        <w:lastRenderedPageBreak/>
        <w:drawing>
          <wp:inline distT="0" distB="0" distL="0" distR="0" wp14:anchorId="5DAD9599" wp14:editId="6CB2F640">
            <wp:extent cx="5768340" cy="2743200"/>
            <wp:effectExtent l="0" t="0" r="3810" b="0"/>
            <wp:docPr id="827420096" name="Chart 1">
              <a:extLst xmlns:a="http://schemas.openxmlformats.org/drawingml/2006/main">
                <a:ext uri="{FF2B5EF4-FFF2-40B4-BE49-F238E27FC236}">
                  <a16:creationId xmlns:a16="http://schemas.microsoft.com/office/drawing/2014/main" id="{73C7F5B4-0F90-1D04-7CC0-38C0B2F53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3AF54B" w14:textId="60FC2569" w:rsidR="00DC0CC4" w:rsidRDefault="00000000">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rPr>
      </w:pPr>
      <w:r>
        <w:rPr>
          <w:rFonts w:ascii="Calibri" w:eastAsia="Calibri" w:hAnsi="Calibri" w:cs="Calibri"/>
          <w:color w:val="000000"/>
          <w:sz w:val="22"/>
          <w:szCs w:val="22"/>
        </w:rPr>
        <w:t xml:space="preserve">The prevalence among young people regarding care to children and other adults, though dominated by women, is </w:t>
      </w:r>
      <w:proofErr w:type="gramStart"/>
      <w:r>
        <w:rPr>
          <w:rFonts w:ascii="Calibri" w:eastAsia="Calibri" w:hAnsi="Calibri" w:cs="Calibri"/>
          <w:color w:val="000000"/>
          <w:sz w:val="22"/>
          <w:szCs w:val="22"/>
        </w:rPr>
        <w:t>low</w:t>
      </w:r>
      <w:proofErr w:type="gramEnd"/>
      <w:r>
        <w:rPr>
          <w:rFonts w:ascii="Calibri" w:eastAsia="Calibri" w:hAnsi="Calibri" w:cs="Calibri"/>
          <w:color w:val="000000"/>
          <w:sz w:val="22"/>
          <w:szCs w:val="22"/>
        </w:rPr>
        <w:t xml:space="preserve"> nonetheless. Henceforth it cannot be used to explain the difference in</w:t>
      </w:r>
      <w:r w:rsidR="00D072B9">
        <w:rPr>
          <w:rFonts w:ascii="Calibri" w:eastAsia="Calibri" w:hAnsi="Calibri" w:cs="Calibri"/>
          <w:color w:val="000000"/>
          <w:sz w:val="22"/>
          <w:szCs w:val="22"/>
        </w:rPr>
        <w:t xml:space="preserve"> </w:t>
      </w:r>
      <w:proofErr w:type="spellStart"/>
      <w:r w:rsidR="00D072B9">
        <w:rPr>
          <w:rFonts w:ascii="Calibri" w:eastAsia="Calibri" w:hAnsi="Calibri" w:cs="Calibri"/>
          <w:color w:val="000000"/>
          <w:sz w:val="22"/>
          <w:szCs w:val="22"/>
        </w:rPr>
        <w:t>labour</w:t>
      </w:r>
      <w:proofErr w:type="spellEnd"/>
      <w:r w:rsidR="00D072B9">
        <w:rPr>
          <w:rFonts w:ascii="Calibri" w:eastAsia="Calibri" w:hAnsi="Calibri" w:cs="Calibri"/>
          <w:color w:val="000000"/>
          <w:sz w:val="22"/>
          <w:szCs w:val="22"/>
        </w:rPr>
        <w:t xml:space="preserve"> force participation</w:t>
      </w:r>
      <w:r>
        <w:rPr>
          <w:rFonts w:ascii="Calibri" w:eastAsia="Calibri" w:hAnsi="Calibri" w:cs="Calibri"/>
          <w:color w:val="000000"/>
          <w:sz w:val="22"/>
          <w:szCs w:val="22"/>
        </w:rPr>
        <w:t xml:space="preserve"> between men and women; it is not about women having children, not </w:t>
      </w:r>
      <w:r w:rsidR="00D072B9">
        <w:rPr>
          <w:rFonts w:ascii="Calibri" w:eastAsia="Calibri" w:hAnsi="Calibri" w:cs="Calibri"/>
          <w:color w:val="000000"/>
          <w:sz w:val="22"/>
          <w:szCs w:val="22"/>
        </w:rPr>
        <w:t>for</w:t>
      </w:r>
      <w:r>
        <w:rPr>
          <w:rFonts w:ascii="Calibri" w:eastAsia="Calibri" w:hAnsi="Calibri" w:cs="Calibri"/>
          <w:color w:val="000000"/>
          <w:sz w:val="22"/>
          <w:szCs w:val="22"/>
        </w:rPr>
        <w:t xml:space="preserve"> that age</w:t>
      </w:r>
      <w:r w:rsidR="00D072B9">
        <w:rPr>
          <w:rFonts w:ascii="Calibri" w:eastAsia="Calibri" w:hAnsi="Calibri" w:cs="Calibri"/>
          <w:color w:val="000000"/>
          <w:sz w:val="22"/>
          <w:szCs w:val="22"/>
        </w:rPr>
        <w:t xml:space="preserve"> group</w:t>
      </w:r>
      <w:r>
        <w:rPr>
          <w:rFonts w:ascii="Calibri" w:eastAsia="Calibri" w:hAnsi="Calibri" w:cs="Calibri"/>
          <w:color w:val="000000"/>
          <w:sz w:val="22"/>
          <w:szCs w:val="22"/>
        </w:rPr>
        <w:t xml:space="preserve">, not among </w:t>
      </w:r>
      <w:r w:rsidR="00D072B9">
        <w:rPr>
          <w:rFonts w:ascii="Calibri" w:eastAsia="Calibri" w:hAnsi="Calibri" w:cs="Calibri"/>
          <w:color w:val="000000"/>
          <w:sz w:val="22"/>
          <w:szCs w:val="22"/>
        </w:rPr>
        <w:t xml:space="preserve">Istanbul </w:t>
      </w:r>
      <w:r>
        <w:rPr>
          <w:rFonts w:ascii="Calibri" w:eastAsia="Calibri" w:hAnsi="Calibri" w:cs="Calibri"/>
          <w:color w:val="000000"/>
          <w:sz w:val="22"/>
          <w:szCs w:val="22"/>
        </w:rPr>
        <w:t>highly educated women that</w:t>
      </w:r>
      <w:r w:rsidR="00D072B9">
        <w:rPr>
          <w:rFonts w:ascii="Calibri" w:eastAsia="Calibri" w:hAnsi="Calibri" w:cs="Calibri"/>
          <w:color w:val="000000"/>
          <w:sz w:val="22"/>
          <w:szCs w:val="22"/>
        </w:rPr>
        <w:t>, in fact,</w:t>
      </w:r>
      <w:r>
        <w:rPr>
          <w:rFonts w:ascii="Calibri" w:eastAsia="Calibri" w:hAnsi="Calibri" w:cs="Calibri"/>
          <w:color w:val="000000"/>
          <w:sz w:val="22"/>
          <w:szCs w:val="22"/>
        </w:rPr>
        <w:t xml:space="preserve"> tend to postpone marriage. Still, the differences in prevalence and intensity shows the existence of marked gender attitudes toward who is expected to take care of children, with women doubling</w:t>
      </w:r>
      <w:r w:rsidR="00D072B9">
        <w:rPr>
          <w:rFonts w:ascii="Calibri" w:eastAsia="Calibri" w:hAnsi="Calibri" w:cs="Calibri"/>
          <w:color w:val="000000"/>
          <w:sz w:val="22"/>
          <w:szCs w:val="22"/>
        </w:rPr>
        <w:t xml:space="preserve"> men’s </w:t>
      </w:r>
      <w:r>
        <w:rPr>
          <w:rFonts w:ascii="Calibri" w:eastAsia="Calibri" w:hAnsi="Calibri" w:cs="Calibri"/>
          <w:color w:val="000000"/>
          <w:sz w:val="22"/>
          <w:szCs w:val="22"/>
        </w:rPr>
        <w:t>time devoted to this task</w:t>
      </w:r>
      <w:r w:rsidR="00D14C1C">
        <w:rPr>
          <w:rFonts w:ascii="Calibri" w:eastAsia="Calibri" w:hAnsi="Calibri" w:cs="Calibri"/>
          <w:color w:val="000000"/>
          <w:sz w:val="22"/>
          <w:szCs w:val="22"/>
        </w:rPr>
        <w:t>. I</w:t>
      </w:r>
      <w:r>
        <w:rPr>
          <w:rFonts w:ascii="Calibri" w:eastAsia="Calibri" w:hAnsi="Calibri" w:cs="Calibri"/>
          <w:color w:val="000000"/>
          <w:sz w:val="22"/>
          <w:szCs w:val="22"/>
        </w:rPr>
        <w:t>n other words, even if kids have not damaged their acces</w:t>
      </w:r>
      <w:r w:rsidR="00FF7F1C">
        <w:rPr>
          <w:rFonts w:ascii="Calibri" w:eastAsia="Calibri" w:hAnsi="Calibri" w:cs="Calibri"/>
          <w:color w:val="000000"/>
          <w:sz w:val="22"/>
          <w:szCs w:val="22"/>
        </w:rPr>
        <w:t>s</w:t>
      </w:r>
      <w:r>
        <w:rPr>
          <w:rFonts w:ascii="Calibri" w:eastAsia="Calibri" w:hAnsi="Calibri" w:cs="Calibri"/>
          <w:color w:val="000000"/>
          <w:sz w:val="22"/>
          <w:szCs w:val="22"/>
        </w:rPr>
        <w:t xml:space="preserve"> to the </w:t>
      </w:r>
      <w:proofErr w:type="spellStart"/>
      <w:r>
        <w:rPr>
          <w:rFonts w:ascii="Calibri" w:eastAsia="Calibri" w:hAnsi="Calibri" w:cs="Calibri"/>
          <w:color w:val="000000"/>
          <w:sz w:val="22"/>
          <w:szCs w:val="22"/>
        </w:rPr>
        <w:t>labour</w:t>
      </w:r>
      <w:proofErr w:type="spellEnd"/>
      <w:r>
        <w:rPr>
          <w:rFonts w:ascii="Calibri" w:eastAsia="Calibri" w:hAnsi="Calibri" w:cs="Calibri"/>
          <w:color w:val="000000"/>
          <w:sz w:val="22"/>
          <w:szCs w:val="22"/>
        </w:rPr>
        <w:t xml:space="preserve"> market so far, it will </w:t>
      </w:r>
      <w:r w:rsidR="00D14C1C">
        <w:rPr>
          <w:rFonts w:ascii="Calibri" w:eastAsia="Calibri" w:hAnsi="Calibri" w:cs="Calibri"/>
          <w:color w:val="000000"/>
          <w:sz w:val="22"/>
          <w:szCs w:val="22"/>
        </w:rPr>
        <w:t xml:space="preserve">likely be the case </w:t>
      </w:r>
      <w:r>
        <w:rPr>
          <w:rFonts w:ascii="Calibri" w:eastAsia="Calibri" w:hAnsi="Calibri" w:cs="Calibri"/>
          <w:color w:val="000000"/>
          <w:sz w:val="22"/>
          <w:szCs w:val="22"/>
        </w:rPr>
        <w:t xml:space="preserve">in their 30s. A gender gap is also found in adult care, but not just as </w:t>
      </w:r>
      <w:proofErr w:type="spellStart"/>
      <w:r w:rsidR="00052107">
        <w:rPr>
          <w:rFonts w:ascii="Calibri" w:eastAsia="Calibri" w:hAnsi="Calibri" w:cs="Calibri"/>
          <w:color w:val="000000"/>
          <w:sz w:val="22"/>
          <w:szCs w:val="22"/>
        </w:rPr>
        <w:t>profund</w:t>
      </w:r>
      <w:proofErr w:type="spellEnd"/>
      <w:r w:rsidR="00052107">
        <w:rPr>
          <w:rFonts w:ascii="Calibri" w:eastAsia="Calibri" w:hAnsi="Calibri" w:cs="Calibri"/>
          <w:color w:val="000000"/>
          <w:sz w:val="22"/>
          <w:szCs w:val="22"/>
        </w:rPr>
        <w:t xml:space="preserve"> </w:t>
      </w:r>
      <w:r>
        <w:rPr>
          <w:rFonts w:ascii="Calibri" w:eastAsia="Calibri" w:hAnsi="Calibri" w:cs="Calibri"/>
          <w:color w:val="000000"/>
          <w:sz w:val="22"/>
          <w:szCs w:val="22"/>
        </w:rPr>
        <w:t>as the one regarding childcare.</w:t>
      </w:r>
    </w:p>
    <w:p w14:paraId="7FE12C3D" w14:textId="432A8E01" w:rsidR="00DC0CC4" w:rsidRDefault="00000000">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rPr>
      </w:pPr>
      <w:r>
        <w:rPr>
          <w:rFonts w:ascii="Calibri" w:eastAsia="Calibri" w:hAnsi="Calibri" w:cs="Calibri"/>
          <w:color w:val="000000"/>
          <w:sz w:val="22"/>
          <w:szCs w:val="22"/>
        </w:rPr>
        <w:t xml:space="preserve">There is a, perhaps unexpected, gap in the share of NEETs devoting time to self-study, with women’s percentage raising to 15 per cent and men staying at 10 per cent. This gap is taken as an indicator of either women having a harder time accessing the </w:t>
      </w:r>
      <w:proofErr w:type="spellStart"/>
      <w:r>
        <w:rPr>
          <w:rFonts w:ascii="Calibri" w:eastAsia="Calibri" w:hAnsi="Calibri" w:cs="Calibri"/>
          <w:color w:val="000000"/>
          <w:sz w:val="22"/>
          <w:szCs w:val="22"/>
        </w:rPr>
        <w:t>labour</w:t>
      </w:r>
      <w:proofErr w:type="spellEnd"/>
      <w:r>
        <w:rPr>
          <w:rFonts w:ascii="Calibri" w:eastAsia="Calibri" w:hAnsi="Calibri" w:cs="Calibri"/>
          <w:color w:val="000000"/>
          <w:sz w:val="22"/>
          <w:szCs w:val="22"/>
        </w:rPr>
        <w:t xml:space="preserve"> market or pursuing careers in the public sector (due to their studies, desires, expectations) or both. No gender gap is found regardi</w:t>
      </w:r>
      <w:r w:rsidR="00FF7F1C">
        <w:rPr>
          <w:rFonts w:ascii="Calibri" w:eastAsia="Calibri" w:hAnsi="Calibri" w:cs="Calibri"/>
          <w:color w:val="000000"/>
          <w:sz w:val="22"/>
          <w:szCs w:val="22"/>
        </w:rPr>
        <w:t>n</w:t>
      </w:r>
      <w:r>
        <w:rPr>
          <w:rFonts w:ascii="Calibri" w:eastAsia="Calibri" w:hAnsi="Calibri" w:cs="Calibri"/>
          <w:color w:val="000000"/>
          <w:sz w:val="22"/>
          <w:szCs w:val="22"/>
        </w:rPr>
        <w:t>g volunteering, yet the professional composition shows that those with a background in teaching have a higher tendency to devote their time</w:t>
      </w:r>
      <w:r w:rsidR="00052107">
        <w:rPr>
          <w:rFonts w:ascii="Calibri" w:eastAsia="Calibri" w:hAnsi="Calibri" w:cs="Calibri"/>
          <w:color w:val="000000"/>
          <w:sz w:val="22"/>
          <w:szCs w:val="22"/>
        </w:rPr>
        <w:t xml:space="preserve"> to social causes than others</w:t>
      </w:r>
      <w:r>
        <w:rPr>
          <w:rFonts w:ascii="Calibri" w:eastAsia="Calibri" w:hAnsi="Calibri" w:cs="Calibri"/>
          <w:color w:val="000000"/>
          <w:sz w:val="22"/>
          <w:szCs w:val="22"/>
        </w:rPr>
        <w:t>.</w:t>
      </w:r>
    </w:p>
    <w:p w14:paraId="7C6B12DF" w14:textId="77777777" w:rsidR="00DC0CC4" w:rsidRDefault="00DC0CC4">
      <w:pPr>
        <w:spacing w:before="120" w:after="120" w:line="360" w:lineRule="auto"/>
        <w:jc w:val="both"/>
        <w:rPr>
          <w:rFonts w:ascii="Palatino Linotype" w:eastAsia="Palatino Linotype" w:hAnsi="Palatino Linotype" w:cs="Palatino Linotype"/>
          <w:sz w:val="16"/>
          <w:szCs w:val="16"/>
        </w:rPr>
      </w:pPr>
    </w:p>
    <w:p w14:paraId="32BFF8D0" w14:textId="77777777" w:rsidR="00DC0CC4" w:rsidRDefault="00000000">
      <w:pPr>
        <w:pStyle w:val="Balk2"/>
        <w:numPr>
          <w:ilvl w:val="0"/>
          <w:numId w:val="2"/>
        </w:numPr>
        <w:spacing w:after="120"/>
      </w:pPr>
      <w:r>
        <w:t>Conclusions</w:t>
      </w:r>
    </w:p>
    <w:p w14:paraId="210129BE" w14:textId="2BF00B74" w:rsidR="00A5794D" w:rsidRPr="00A83453" w:rsidRDefault="00A5794D" w:rsidP="00A83453">
      <w:pPr>
        <w:spacing w:before="80" w:after="160" w:line="360" w:lineRule="auto"/>
        <w:jc w:val="both"/>
        <w:rPr>
          <w:rFonts w:asciiTheme="majorHAnsi" w:eastAsia="Arial" w:hAnsiTheme="majorHAnsi" w:cstheme="majorHAnsi"/>
          <w:sz w:val="22"/>
          <w:szCs w:val="22"/>
        </w:rPr>
      </w:pPr>
      <w:r w:rsidRPr="00A5794D">
        <w:rPr>
          <w:rFonts w:asciiTheme="majorHAnsi" w:eastAsia="Arial" w:hAnsiTheme="majorHAnsi" w:cstheme="majorHAnsi"/>
          <w:sz w:val="22"/>
          <w:szCs w:val="22"/>
        </w:rPr>
        <w:t>The NEET rate is a western construct that imports the pro-market bias of national accounting into a domain</w:t>
      </w:r>
      <w:r w:rsidR="00052107">
        <w:rPr>
          <w:rFonts w:asciiTheme="majorHAnsi" w:eastAsia="Arial" w:hAnsiTheme="majorHAnsi" w:cstheme="majorHAnsi"/>
          <w:sz w:val="22"/>
          <w:szCs w:val="22"/>
        </w:rPr>
        <w:t xml:space="preserve"> (disengagement)</w:t>
      </w:r>
      <w:r w:rsidRPr="00A5794D">
        <w:rPr>
          <w:rFonts w:asciiTheme="majorHAnsi" w:eastAsia="Arial" w:hAnsiTheme="majorHAnsi" w:cstheme="majorHAnsi"/>
          <w:sz w:val="22"/>
          <w:szCs w:val="22"/>
        </w:rPr>
        <w:t xml:space="preserve"> where that bias has no justification. In national accounts, privileging market transactions makes pragmatic sense: monetary values are observable, comparable, and aggregable in ways that non-market production is not. Disengagement, however, is not an economic concept — it is a social one. Measuring it with criteria designed for GDP accounting is a category error, and one with real </w:t>
      </w:r>
      <w:r w:rsidRPr="00A5794D">
        <w:rPr>
          <w:rFonts w:asciiTheme="majorHAnsi" w:eastAsia="Arial" w:hAnsiTheme="majorHAnsi" w:cstheme="majorHAnsi"/>
          <w:sz w:val="22"/>
          <w:szCs w:val="22"/>
        </w:rPr>
        <w:lastRenderedPageBreak/>
        <w:t xml:space="preserve">consequences for the millions of young people it misclassifies. This research brief uses an ad-hoc module </w:t>
      </w:r>
      <w:r w:rsidR="00052107">
        <w:rPr>
          <w:rFonts w:asciiTheme="majorHAnsi" w:eastAsia="Arial" w:hAnsiTheme="majorHAnsi" w:cstheme="majorHAnsi"/>
          <w:sz w:val="22"/>
          <w:szCs w:val="22"/>
        </w:rPr>
        <w:t>from a</w:t>
      </w:r>
      <w:r w:rsidRPr="00A5794D">
        <w:rPr>
          <w:rFonts w:asciiTheme="majorHAnsi" w:eastAsia="Arial" w:hAnsiTheme="majorHAnsi" w:cstheme="majorHAnsi"/>
          <w:sz w:val="22"/>
          <w:szCs w:val="22"/>
        </w:rPr>
        <w:t xml:space="preserve"> household survey that took place in Istanbul in 2026</w:t>
      </w:r>
      <w:r w:rsidR="00052107">
        <w:rPr>
          <w:rFonts w:asciiTheme="majorHAnsi" w:eastAsia="Arial" w:hAnsiTheme="majorHAnsi" w:cstheme="majorHAnsi"/>
          <w:sz w:val="22"/>
          <w:szCs w:val="22"/>
        </w:rPr>
        <w:t xml:space="preserve"> among </w:t>
      </w:r>
      <w:proofErr w:type="gramStart"/>
      <w:r w:rsidR="00052107">
        <w:rPr>
          <w:rFonts w:asciiTheme="majorHAnsi" w:eastAsia="Arial" w:hAnsiTheme="majorHAnsi" w:cstheme="majorHAnsi"/>
          <w:sz w:val="22"/>
          <w:szCs w:val="22"/>
        </w:rPr>
        <w:t>young educated</w:t>
      </w:r>
      <w:proofErr w:type="gramEnd"/>
      <w:r w:rsidR="00052107">
        <w:rPr>
          <w:rFonts w:asciiTheme="majorHAnsi" w:eastAsia="Arial" w:hAnsiTheme="majorHAnsi" w:cstheme="majorHAnsi"/>
          <w:sz w:val="22"/>
          <w:szCs w:val="22"/>
        </w:rPr>
        <w:t xml:space="preserve"> people</w:t>
      </w:r>
      <w:r w:rsidRPr="00A5794D">
        <w:rPr>
          <w:rFonts w:asciiTheme="majorHAnsi" w:eastAsia="Arial" w:hAnsiTheme="majorHAnsi" w:cstheme="majorHAnsi"/>
          <w:sz w:val="22"/>
          <w:szCs w:val="22"/>
        </w:rPr>
        <w:t xml:space="preserve"> to enumerate and measure some of the non-market activities that young people in the city perform on a regular basis, and </w:t>
      </w:r>
      <w:r w:rsidR="00052107">
        <w:rPr>
          <w:rFonts w:asciiTheme="majorHAnsi" w:eastAsia="Arial" w:hAnsiTheme="majorHAnsi" w:cstheme="majorHAnsi"/>
          <w:sz w:val="22"/>
          <w:szCs w:val="22"/>
        </w:rPr>
        <w:t xml:space="preserve">also </w:t>
      </w:r>
      <w:r w:rsidRPr="00A5794D">
        <w:rPr>
          <w:rFonts w:asciiTheme="majorHAnsi" w:eastAsia="Arial" w:hAnsiTheme="majorHAnsi" w:cstheme="majorHAnsi"/>
          <w:sz w:val="22"/>
          <w:szCs w:val="22"/>
        </w:rPr>
        <w:t xml:space="preserve">to show how much the </w:t>
      </w:r>
      <w:r w:rsidR="00052107">
        <w:rPr>
          <w:rFonts w:asciiTheme="majorHAnsi" w:eastAsia="Arial" w:hAnsiTheme="majorHAnsi" w:cstheme="majorHAnsi"/>
          <w:sz w:val="22"/>
          <w:szCs w:val="22"/>
        </w:rPr>
        <w:t>NEET rate</w:t>
      </w:r>
      <w:r w:rsidRPr="00A5794D">
        <w:rPr>
          <w:rFonts w:asciiTheme="majorHAnsi" w:eastAsia="Arial" w:hAnsiTheme="majorHAnsi" w:cstheme="majorHAnsi"/>
          <w:sz w:val="22"/>
          <w:szCs w:val="22"/>
        </w:rPr>
        <w:t xml:space="preserve"> changes once those activities are taken seriously.</w:t>
      </w:r>
    </w:p>
    <w:p w14:paraId="16944C14" w14:textId="5B76C429" w:rsidR="00A83453" w:rsidRPr="00A83453" w:rsidRDefault="00A83453" w:rsidP="00A83453">
      <w:pPr>
        <w:spacing w:line="360" w:lineRule="auto"/>
        <w:jc w:val="both"/>
        <w:rPr>
          <w:rFonts w:asciiTheme="majorHAnsi" w:eastAsia="Palatino Linotype" w:hAnsiTheme="majorHAnsi" w:cstheme="majorHAnsi"/>
          <w:sz w:val="22"/>
          <w:szCs w:val="22"/>
          <w:lang w:val="en-US"/>
        </w:rPr>
      </w:pPr>
      <w:r w:rsidRPr="00A83453">
        <w:rPr>
          <w:rFonts w:asciiTheme="majorHAnsi" w:eastAsia="Palatino Linotype" w:hAnsiTheme="majorHAnsi" w:cstheme="majorHAnsi"/>
          <w:sz w:val="22"/>
          <w:szCs w:val="22"/>
          <w:lang w:val="en-US"/>
        </w:rPr>
        <w:t xml:space="preserve">The results </w:t>
      </w:r>
      <w:r>
        <w:rPr>
          <w:rFonts w:asciiTheme="majorHAnsi" w:eastAsia="Palatino Linotype" w:hAnsiTheme="majorHAnsi" w:cstheme="majorHAnsi"/>
          <w:sz w:val="22"/>
          <w:szCs w:val="22"/>
          <w:lang w:val="en-US"/>
        </w:rPr>
        <w:t>show that the</w:t>
      </w:r>
      <w:r w:rsidRPr="00A83453">
        <w:rPr>
          <w:rFonts w:asciiTheme="majorHAnsi" w:eastAsia="Palatino Linotype" w:hAnsiTheme="majorHAnsi" w:cstheme="majorHAnsi"/>
          <w:sz w:val="22"/>
          <w:szCs w:val="22"/>
          <w:lang w:val="en-US"/>
        </w:rPr>
        <w:t xml:space="preserve"> NEET rate</w:t>
      </w:r>
      <w:r>
        <w:rPr>
          <w:rFonts w:asciiTheme="majorHAnsi" w:eastAsia="Palatino Linotype" w:hAnsiTheme="majorHAnsi" w:cstheme="majorHAnsi"/>
          <w:sz w:val="22"/>
          <w:szCs w:val="22"/>
          <w:lang w:val="en-US"/>
        </w:rPr>
        <w:t xml:space="preserve"> as calculated using the definition of EUROSTAT</w:t>
      </w:r>
      <w:r w:rsidRPr="00A83453">
        <w:rPr>
          <w:rFonts w:asciiTheme="majorHAnsi" w:eastAsia="Palatino Linotype" w:hAnsiTheme="majorHAnsi" w:cstheme="majorHAnsi"/>
          <w:sz w:val="22"/>
          <w:szCs w:val="22"/>
          <w:lang w:val="en-US"/>
        </w:rPr>
        <w:t xml:space="preserve"> for</w:t>
      </w:r>
      <w:r>
        <w:rPr>
          <w:rFonts w:asciiTheme="majorHAnsi" w:eastAsia="Palatino Linotype" w:hAnsiTheme="majorHAnsi" w:cstheme="majorHAnsi"/>
          <w:sz w:val="22"/>
          <w:szCs w:val="22"/>
          <w:lang w:val="en-US"/>
        </w:rPr>
        <w:t xml:space="preserve"> the</w:t>
      </w:r>
      <w:r w:rsidRPr="00A83453">
        <w:rPr>
          <w:rFonts w:asciiTheme="majorHAnsi" w:eastAsia="Palatino Linotype" w:hAnsiTheme="majorHAnsi" w:cstheme="majorHAnsi"/>
          <w:sz w:val="22"/>
          <w:szCs w:val="22"/>
          <w:lang w:val="en-US"/>
        </w:rPr>
        <w:t xml:space="preserve"> educated youth aged 18–29 i</w:t>
      </w:r>
      <w:r w:rsidR="00052107">
        <w:rPr>
          <w:rFonts w:asciiTheme="majorHAnsi" w:eastAsia="Palatino Linotype" w:hAnsiTheme="majorHAnsi" w:cstheme="majorHAnsi"/>
          <w:sz w:val="22"/>
          <w:szCs w:val="22"/>
          <w:lang w:val="en-US"/>
        </w:rPr>
        <w:t>n</w:t>
      </w:r>
      <w:r w:rsidRPr="00A83453">
        <w:rPr>
          <w:rFonts w:asciiTheme="majorHAnsi" w:eastAsia="Palatino Linotype" w:hAnsiTheme="majorHAnsi" w:cstheme="majorHAnsi"/>
          <w:sz w:val="22"/>
          <w:szCs w:val="22"/>
          <w:lang w:val="en-US"/>
        </w:rPr>
        <w:t xml:space="preserve"> Istanbul stands at 35.5 per cent. Once informal learners — those studying on their own for at least 10 hours per week, including for competitive public examinations — are reclassified, the rate falls to 27.4 per cent. Accounting further for those with concrete plans to enter formal or informal education within three months brings it down to 21.2 per cent. Finally, incorporating those engaged in the care economy or volunteering in the NGO sector for at least 10 hours per week yields an adjusted NEET rate of 19.4 per cent — a reduction of 16 percentage points relative to the official figure.</w:t>
      </w:r>
    </w:p>
    <w:p w14:paraId="03400550" w14:textId="75FD5139" w:rsidR="00A83453" w:rsidRPr="00A83453" w:rsidRDefault="00A83453" w:rsidP="00A83453">
      <w:pPr>
        <w:spacing w:line="360" w:lineRule="auto"/>
        <w:jc w:val="both"/>
        <w:rPr>
          <w:rFonts w:asciiTheme="majorHAnsi" w:eastAsia="Palatino Linotype" w:hAnsiTheme="majorHAnsi" w:cstheme="majorHAnsi"/>
          <w:sz w:val="22"/>
          <w:szCs w:val="22"/>
          <w:lang w:val="en-US"/>
        </w:rPr>
      </w:pPr>
      <w:r w:rsidRPr="00A83453">
        <w:rPr>
          <w:rFonts w:asciiTheme="majorHAnsi" w:eastAsia="Palatino Linotype" w:hAnsiTheme="majorHAnsi" w:cstheme="majorHAnsi"/>
          <w:sz w:val="22"/>
          <w:szCs w:val="22"/>
          <w:lang w:val="en-US"/>
        </w:rPr>
        <w:t>The gender dimension is equally revealing. The female NEET rate falls by nearly 20 percentage points once these reclassifications are applied, and the main driver is not the care economy but rather the desire to continue studying. Contrary to what might be expected, care responsibilities do not appear to be the primary mechanism keeping young</w:t>
      </w:r>
      <w:r>
        <w:rPr>
          <w:rFonts w:asciiTheme="majorHAnsi" w:eastAsia="Palatino Linotype" w:hAnsiTheme="majorHAnsi" w:cstheme="majorHAnsi"/>
          <w:sz w:val="22"/>
          <w:szCs w:val="22"/>
          <w:lang w:val="en-US"/>
        </w:rPr>
        <w:t>, educated,</w:t>
      </w:r>
      <w:r w:rsidRPr="00A83453">
        <w:rPr>
          <w:rFonts w:asciiTheme="majorHAnsi" w:eastAsia="Palatino Linotype" w:hAnsiTheme="majorHAnsi" w:cstheme="majorHAnsi"/>
          <w:sz w:val="22"/>
          <w:szCs w:val="22"/>
          <w:lang w:val="en-US"/>
        </w:rPr>
        <w:t xml:space="preserve"> Istanbul women out of employment — at least not yet. However, </w:t>
      </w:r>
      <w:r>
        <w:rPr>
          <w:rFonts w:asciiTheme="majorHAnsi" w:eastAsia="Palatino Linotype" w:hAnsiTheme="majorHAnsi" w:cstheme="majorHAnsi"/>
          <w:sz w:val="22"/>
          <w:szCs w:val="22"/>
          <w:lang w:val="en-US"/>
        </w:rPr>
        <w:t xml:space="preserve">the </w:t>
      </w:r>
      <w:r w:rsidRPr="00A83453">
        <w:rPr>
          <w:rFonts w:asciiTheme="majorHAnsi" w:eastAsia="Palatino Linotype" w:hAnsiTheme="majorHAnsi" w:cstheme="majorHAnsi"/>
          <w:sz w:val="22"/>
          <w:szCs w:val="22"/>
          <w:lang w:val="en-US"/>
        </w:rPr>
        <w:t xml:space="preserve">women </w:t>
      </w:r>
      <w:r>
        <w:rPr>
          <w:rFonts w:asciiTheme="majorHAnsi" w:eastAsia="Palatino Linotype" w:hAnsiTheme="majorHAnsi" w:cstheme="majorHAnsi"/>
          <w:sz w:val="22"/>
          <w:szCs w:val="22"/>
          <w:lang w:val="en-US"/>
        </w:rPr>
        <w:t xml:space="preserve">who do have kids </w:t>
      </w:r>
      <w:r w:rsidRPr="00A83453">
        <w:rPr>
          <w:rFonts w:asciiTheme="majorHAnsi" w:eastAsia="Palatino Linotype" w:hAnsiTheme="majorHAnsi" w:cstheme="majorHAnsi"/>
          <w:sz w:val="22"/>
          <w:szCs w:val="22"/>
          <w:lang w:val="en-US"/>
        </w:rPr>
        <w:t xml:space="preserve">devote double the time to childcare compared to men, suggesting that the </w:t>
      </w:r>
      <w:proofErr w:type="spellStart"/>
      <w:r w:rsidRPr="00A83453">
        <w:rPr>
          <w:rFonts w:asciiTheme="majorHAnsi" w:eastAsia="Palatino Linotype" w:hAnsiTheme="majorHAnsi" w:cstheme="majorHAnsi"/>
          <w:sz w:val="22"/>
          <w:szCs w:val="22"/>
          <w:lang w:val="en-US"/>
        </w:rPr>
        <w:t>labour</w:t>
      </w:r>
      <w:proofErr w:type="spellEnd"/>
      <w:r w:rsidRPr="00A83453">
        <w:rPr>
          <w:rFonts w:asciiTheme="majorHAnsi" w:eastAsia="Palatino Linotype" w:hAnsiTheme="majorHAnsi" w:cstheme="majorHAnsi"/>
          <w:sz w:val="22"/>
          <w:szCs w:val="22"/>
          <w:lang w:val="en-US"/>
        </w:rPr>
        <w:t xml:space="preserve"> market penalty will likely </w:t>
      </w:r>
      <w:proofErr w:type="spellStart"/>
      <w:r w:rsidRPr="00A83453">
        <w:rPr>
          <w:rFonts w:asciiTheme="majorHAnsi" w:eastAsia="Palatino Linotype" w:hAnsiTheme="majorHAnsi" w:cstheme="majorHAnsi"/>
          <w:sz w:val="22"/>
          <w:szCs w:val="22"/>
          <w:lang w:val="en-US"/>
        </w:rPr>
        <w:t>materialise</w:t>
      </w:r>
      <w:proofErr w:type="spellEnd"/>
      <w:r w:rsidRPr="00A83453">
        <w:rPr>
          <w:rFonts w:asciiTheme="majorHAnsi" w:eastAsia="Palatino Linotype" w:hAnsiTheme="majorHAnsi" w:cstheme="majorHAnsi"/>
          <w:sz w:val="22"/>
          <w:szCs w:val="22"/>
          <w:lang w:val="en-US"/>
        </w:rPr>
        <w:t xml:space="preserve"> in their thirties.</w:t>
      </w:r>
      <w:r>
        <w:rPr>
          <w:rFonts w:asciiTheme="majorHAnsi" w:eastAsia="Palatino Linotype" w:hAnsiTheme="majorHAnsi" w:cstheme="majorHAnsi"/>
          <w:sz w:val="22"/>
          <w:szCs w:val="22"/>
          <w:lang w:val="en-US"/>
        </w:rPr>
        <w:t xml:space="preserve"> </w:t>
      </w:r>
      <w:r w:rsidRPr="00A83453">
        <w:rPr>
          <w:rFonts w:asciiTheme="majorHAnsi" w:eastAsia="Palatino Linotype" w:hAnsiTheme="majorHAnsi" w:cstheme="majorHAnsi"/>
          <w:sz w:val="22"/>
          <w:szCs w:val="22"/>
          <w:lang w:val="en-US"/>
        </w:rPr>
        <w:t>The care economy, while dominated by women,</w:t>
      </w:r>
      <w:r>
        <w:rPr>
          <w:rFonts w:asciiTheme="majorHAnsi" w:eastAsia="Palatino Linotype" w:hAnsiTheme="majorHAnsi" w:cstheme="majorHAnsi"/>
          <w:sz w:val="22"/>
          <w:szCs w:val="22"/>
          <w:lang w:val="en-US"/>
        </w:rPr>
        <w:t xml:space="preserve"> thus</w:t>
      </w:r>
      <w:r w:rsidRPr="00A83453">
        <w:rPr>
          <w:rFonts w:asciiTheme="majorHAnsi" w:eastAsia="Palatino Linotype" w:hAnsiTheme="majorHAnsi" w:cstheme="majorHAnsi"/>
          <w:sz w:val="22"/>
          <w:szCs w:val="22"/>
          <w:lang w:val="en-US"/>
        </w:rPr>
        <w:t xml:space="preserve"> remains limited in prevalence among this age group, and cannot on its own explain observed gender gaps in </w:t>
      </w:r>
      <w:proofErr w:type="spellStart"/>
      <w:r w:rsidRPr="00A83453">
        <w:rPr>
          <w:rFonts w:asciiTheme="majorHAnsi" w:eastAsia="Palatino Linotype" w:hAnsiTheme="majorHAnsi" w:cstheme="majorHAnsi"/>
          <w:sz w:val="22"/>
          <w:szCs w:val="22"/>
          <w:lang w:val="en-US"/>
        </w:rPr>
        <w:t>labour</w:t>
      </w:r>
      <w:proofErr w:type="spellEnd"/>
      <w:r w:rsidRPr="00A83453">
        <w:rPr>
          <w:rFonts w:asciiTheme="majorHAnsi" w:eastAsia="Palatino Linotype" w:hAnsiTheme="majorHAnsi" w:cstheme="majorHAnsi"/>
          <w:sz w:val="22"/>
          <w:szCs w:val="22"/>
          <w:lang w:val="en-US"/>
        </w:rPr>
        <w:t xml:space="preserve"> force status.</w:t>
      </w:r>
    </w:p>
    <w:p w14:paraId="3155A3DB" w14:textId="4BD13A12" w:rsidR="00A83453" w:rsidRPr="00A83453" w:rsidRDefault="00A83453" w:rsidP="00A83453">
      <w:pPr>
        <w:spacing w:line="360" w:lineRule="auto"/>
        <w:jc w:val="both"/>
        <w:rPr>
          <w:rFonts w:asciiTheme="majorHAnsi" w:eastAsia="Palatino Linotype" w:hAnsiTheme="majorHAnsi" w:cstheme="majorHAnsi"/>
          <w:sz w:val="22"/>
          <w:szCs w:val="22"/>
          <w:lang w:val="en-US"/>
        </w:rPr>
      </w:pPr>
      <w:r w:rsidRPr="00A83453">
        <w:rPr>
          <w:rFonts w:asciiTheme="majorHAnsi" w:eastAsia="Palatino Linotype" w:hAnsiTheme="majorHAnsi" w:cstheme="majorHAnsi"/>
          <w:sz w:val="22"/>
          <w:szCs w:val="22"/>
          <w:lang w:val="en-US"/>
        </w:rPr>
        <w:t xml:space="preserve">Non-market activities are neither marginal nor invisible in Istanbul. Some 5.6 per cent of young people regularly volunteer, with two thirds of them already employed — suggesting that civic participation behaves more like a complement to employment than a substitute. </w:t>
      </w:r>
    </w:p>
    <w:p w14:paraId="3D7BE3AC" w14:textId="2AE5DAA8" w:rsidR="00A83453" w:rsidRPr="00A83453" w:rsidRDefault="00A83453" w:rsidP="00A83453">
      <w:pPr>
        <w:spacing w:line="360" w:lineRule="auto"/>
        <w:jc w:val="both"/>
        <w:rPr>
          <w:rFonts w:asciiTheme="majorHAnsi" w:eastAsia="Palatino Linotype" w:hAnsiTheme="majorHAnsi" w:cstheme="majorHAnsi"/>
          <w:sz w:val="22"/>
          <w:szCs w:val="22"/>
          <w:lang w:val="en-US"/>
        </w:rPr>
      </w:pPr>
      <w:r>
        <w:rPr>
          <w:rFonts w:asciiTheme="majorHAnsi" w:eastAsia="Palatino Linotype" w:hAnsiTheme="majorHAnsi" w:cstheme="majorHAnsi"/>
          <w:sz w:val="22"/>
          <w:szCs w:val="22"/>
          <w:lang w:val="en-US"/>
        </w:rPr>
        <w:t>To sum up, t</w:t>
      </w:r>
      <w:r w:rsidRPr="00A83453">
        <w:rPr>
          <w:rFonts w:asciiTheme="majorHAnsi" w:eastAsia="Palatino Linotype" w:hAnsiTheme="majorHAnsi" w:cstheme="majorHAnsi"/>
          <w:sz w:val="22"/>
          <w:szCs w:val="22"/>
          <w:lang w:val="en-US"/>
        </w:rPr>
        <w:t xml:space="preserve">he NEET concept was born in a specific institutional context — formal school-to-work transitions, limited extended family structures, minimal informal learning infrastructure — that does not map onto the realities of a city where family, informal education, and community are central </w:t>
      </w:r>
      <w:proofErr w:type="spellStart"/>
      <w:r w:rsidRPr="00A83453">
        <w:rPr>
          <w:rFonts w:asciiTheme="majorHAnsi" w:eastAsia="Palatino Linotype" w:hAnsiTheme="majorHAnsi" w:cstheme="majorHAnsi"/>
          <w:sz w:val="22"/>
          <w:szCs w:val="22"/>
          <w:lang w:val="en-US"/>
        </w:rPr>
        <w:t>organising</w:t>
      </w:r>
      <w:proofErr w:type="spellEnd"/>
      <w:r w:rsidRPr="00A83453">
        <w:rPr>
          <w:rFonts w:asciiTheme="majorHAnsi" w:eastAsia="Palatino Linotype" w:hAnsiTheme="majorHAnsi" w:cstheme="majorHAnsi"/>
          <w:sz w:val="22"/>
          <w:szCs w:val="22"/>
          <w:lang w:val="en-US"/>
        </w:rPr>
        <w:t xml:space="preserve"> principles of young adult life. Adapting the measurement framework to the city is not a methodological indulgence; it is a prerequisite for policies that </w:t>
      </w:r>
      <w:proofErr w:type="gramStart"/>
      <w:r w:rsidRPr="00A83453">
        <w:rPr>
          <w:rFonts w:asciiTheme="majorHAnsi" w:eastAsia="Palatino Linotype" w:hAnsiTheme="majorHAnsi" w:cstheme="majorHAnsi"/>
          <w:sz w:val="22"/>
          <w:szCs w:val="22"/>
          <w:lang w:val="en-US"/>
        </w:rPr>
        <w:t>actually reach</w:t>
      </w:r>
      <w:proofErr w:type="gramEnd"/>
      <w:r w:rsidRPr="00A83453">
        <w:rPr>
          <w:rFonts w:asciiTheme="majorHAnsi" w:eastAsia="Palatino Linotype" w:hAnsiTheme="majorHAnsi" w:cstheme="majorHAnsi"/>
          <w:sz w:val="22"/>
          <w:szCs w:val="22"/>
          <w:lang w:val="en-US"/>
        </w:rPr>
        <w:t xml:space="preserve"> the people who need them.</w:t>
      </w:r>
    </w:p>
    <w:p w14:paraId="50E76789" w14:textId="77777777" w:rsidR="00DC0CC4" w:rsidRPr="00A83453" w:rsidRDefault="00DC0CC4">
      <w:pPr>
        <w:spacing w:line="360" w:lineRule="auto"/>
        <w:jc w:val="both"/>
        <w:rPr>
          <w:rFonts w:asciiTheme="majorHAnsi" w:eastAsia="Palatino Linotype" w:hAnsiTheme="majorHAnsi" w:cstheme="majorHAnsi"/>
          <w:sz w:val="22"/>
          <w:szCs w:val="22"/>
          <w:lang w:val="en-US"/>
        </w:rPr>
      </w:pPr>
    </w:p>
    <w:p w14:paraId="587BC484" w14:textId="77777777" w:rsidR="00DC0CC4" w:rsidRPr="00A83453" w:rsidRDefault="00000000">
      <w:pPr>
        <w:spacing w:line="360" w:lineRule="auto"/>
        <w:jc w:val="both"/>
        <w:rPr>
          <w:rFonts w:asciiTheme="majorHAnsi" w:eastAsia="Palatino Linotype" w:hAnsiTheme="majorHAnsi" w:cstheme="majorHAnsi"/>
          <w:b/>
          <w:bCs/>
          <w:sz w:val="22"/>
          <w:szCs w:val="22"/>
        </w:rPr>
      </w:pPr>
      <w:r w:rsidRPr="00A83453">
        <w:rPr>
          <w:rFonts w:asciiTheme="majorHAnsi" w:eastAsia="Palatino Linotype" w:hAnsiTheme="majorHAnsi" w:cstheme="majorHAnsi"/>
          <w:b/>
          <w:bCs/>
          <w:sz w:val="22"/>
          <w:szCs w:val="22"/>
        </w:rPr>
        <w:t>References</w:t>
      </w:r>
    </w:p>
    <w:p w14:paraId="1F2EDC50" w14:textId="77777777" w:rsidR="00DC0CC4" w:rsidRPr="00A5794D" w:rsidRDefault="00000000">
      <w:pPr>
        <w:spacing w:line="360" w:lineRule="auto"/>
        <w:jc w:val="both"/>
        <w:rPr>
          <w:rFonts w:asciiTheme="majorHAnsi" w:eastAsia="Palatino Linotype" w:hAnsiTheme="majorHAnsi" w:cstheme="majorHAnsi"/>
          <w:sz w:val="22"/>
          <w:szCs w:val="22"/>
        </w:rPr>
      </w:pPr>
      <w:r w:rsidRPr="00A5794D">
        <w:rPr>
          <w:rFonts w:asciiTheme="majorHAnsi" w:eastAsia="Palatino Linotype" w:hAnsiTheme="majorHAnsi" w:cstheme="majorHAnsi"/>
          <w:sz w:val="22"/>
          <w:szCs w:val="22"/>
        </w:rPr>
        <w:t xml:space="preserve">Third Sector Foundation of Turkey (TÜSEV), 2020. </w:t>
      </w:r>
      <w:r w:rsidRPr="00A5794D">
        <w:rPr>
          <w:rFonts w:asciiTheme="majorHAnsi" w:eastAsia="Palatino Linotype" w:hAnsiTheme="majorHAnsi" w:cstheme="majorHAnsi"/>
          <w:i/>
          <w:iCs/>
          <w:sz w:val="22"/>
          <w:szCs w:val="22"/>
        </w:rPr>
        <w:t>Individual giving and philanthropy in Turkey</w:t>
      </w:r>
      <w:r w:rsidRPr="00A5794D">
        <w:rPr>
          <w:rFonts w:asciiTheme="majorHAnsi" w:eastAsia="Palatino Linotype" w:hAnsiTheme="majorHAnsi" w:cstheme="majorHAnsi"/>
          <w:sz w:val="22"/>
          <w:szCs w:val="22"/>
        </w:rPr>
        <w:t>. Istanbul: TÜSEV Publications.</w:t>
      </w:r>
    </w:p>
    <w:p w14:paraId="46CD5D4E" w14:textId="58356E48" w:rsidR="00A5794D" w:rsidRPr="00A5794D" w:rsidRDefault="00A5794D">
      <w:pPr>
        <w:spacing w:line="360" w:lineRule="auto"/>
        <w:jc w:val="both"/>
        <w:rPr>
          <w:rFonts w:asciiTheme="majorHAnsi" w:eastAsia="Palatino Linotype" w:hAnsiTheme="majorHAnsi" w:cstheme="majorHAnsi"/>
          <w:sz w:val="22"/>
          <w:szCs w:val="22"/>
        </w:rPr>
      </w:pPr>
      <w:proofErr w:type="spellStart"/>
      <w:r w:rsidRPr="00A5794D">
        <w:rPr>
          <w:rFonts w:asciiTheme="majorHAnsi" w:eastAsia="Palatino Linotype" w:hAnsiTheme="majorHAnsi" w:cstheme="majorHAnsi"/>
          <w:sz w:val="22"/>
          <w:szCs w:val="22"/>
        </w:rPr>
        <w:t>Gökşen</w:t>
      </w:r>
      <w:proofErr w:type="spellEnd"/>
      <w:r w:rsidRPr="00A5794D">
        <w:rPr>
          <w:rFonts w:asciiTheme="majorHAnsi" w:eastAsia="Palatino Linotype" w:hAnsiTheme="majorHAnsi" w:cstheme="majorHAnsi"/>
          <w:sz w:val="22"/>
          <w:szCs w:val="22"/>
        </w:rPr>
        <w:t xml:space="preserve">, F., </w:t>
      </w:r>
      <w:proofErr w:type="spellStart"/>
      <w:r w:rsidRPr="00A5794D">
        <w:rPr>
          <w:rFonts w:asciiTheme="majorHAnsi" w:eastAsia="Palatino Linotype" w:hAnsiTheme="majorHAnsi" w:cstheme="majorHAnsi"/>
          <w:sz w:val="22"/>
          <w:szCs w:val="22"/>
        </w:rPr>
        <w:t>Küçük</w:t>
      </w:r>
      <w:proofErr w:type="spellEnd"/>
      <w:r w:rsidRPr="00A5794D">
        <w:rPr>
          <w:rFonts w:asciiTheme="majorHAnsi" w:eastAsia="Palatino Linotype" w:hAnsiTheme="majorHAnsi" w:cstheme="majorHAnsi"/>
          <w:sz w:val="22"/>
          <w:szCs w:val="22"/>
        </w:rPr>
        <w:t xml:space="preserve">, B., </w:t>
      </w:r>
      <w:proofErr w:type="spellStart"/>
      <w:r w:rsidRPr="00A5794D">
        <w:rPr>
          <w:rFonts w:asciiTheme="majorHAnsi" w:eastAsia="Palatino Linotype" w:hAnsiTheme="majorHAnsi" w:cstheme="majorHAnsi"/>
          <w:sz w:val="22"/>
          <w:szCs w:val="22"/>
        </w:rPr>
        <w:t>Cöbek</w:t>
      </w:r>
      <w:proofErr w:type="spellEnd"/>
      <w:r w:rsidRPr="00A5794D">
        <w:rPr>
          <w:rFonts w:asciiTheme="majorHAnsi" w:eastAsia="Palatino Linotype" w:hAnsiTheme="majorHAnsi" w:cstheme="majorHAnsi"/>
          <w:sz w:val="22"/>
          <w:szCs w:val="22"/>
        </w:rPr>
        <w:t xml:space="preserve">, G., Bayram, S. and </w:t>
      </w:r>
      <w:proofErr w:type="spellStart"/>
      <w:r w:rsidRPr="00A5794D">
        <w:rPr>
          <w:rFonts w:asciiTheme="majorHAnsi" w:eastAsia="Palatino Linotype" w:hAnsiTheme="majorHAnsi" w:cstheme="majorHAnsi"/>
          <w:sz w:val="22"/>
          <w:szCs w:val="22"/>
        </w:rPr>
        <w:t>Cemalcılar</w:t>
      </w:r>
      <w:proofErr w:type="spellEnd"/>
      <w:r w:rsidRPr="00A5794D">
        <w:rPr>
          <w:rFonts w:asciiTheme="majorHAnsi" w:eastAsia="Palatino Linotype" w:hAnsiTheme="majorHAnsi" w:cstheme="majorHAnsi"/>
          <w:sz w:val="22"/>
          <w:szCs w:val="22"/>
        </w:rPr>
        <w:t xml:space="preserve">, Z. (2022). "Gendering the NEET category: young NEET women in Turkey." </w:t>
      </w:r>
      <w:r w:rsidRPr="00A5794D">
        <w:rPr>
          <w:rFonts w:asciiTheme="majorHAnsi" w:eastAsia="Palatino Linotype" w:hAnsiTheme="majorHAnsi" w:cstheme="majorHAnsi"/>
          <w:i/>
          <w:iCs/>
          <w:sz w:val="22"/>
          <w:szCs w:val="22"/>
        </w:rPr>
        <w:t>Turkish Studies</w:t>
      </w:r>
      <w:r w:rsidRPr="00A5794D">
        <w:rPr>
          <w:rFonts w:asciiTheme="majorHAnsi" w:eastAsia="Palatino Linotype" w:hAnsiTheme="majorHAnsi" w:cstheme="majorHAnsi"/>
          <w:sz w:val="22"/>
          <w:szCs w:val="22"/>
        </w:rPr>
        <w:t>, 23(2)</w:t>
      </w:r>
    </w:p>
    <w:p w14:paraId="605ECB09" w14:textId="15755376" w:rsidR="00A5794D" w:rsidRPr="00A5794D" w:rsidRDefault="00A5794D">
      <w:pPr>
        <w:spacing w:line="360" w:lineRule="auto"/>
        <w:jc w:val="both"/>
        <w:rPr>
          <w:rFonts w:asciiTheme="majorHAnsi" w:eastAsia="Palatino Linotype" w:hAnsiTheme="majorHAnsi" w:cstheme="majorHAnsi"/>
          <w:sz w:val="22"/>
          <w:szCs w:val="22"/>
        </w:rPr>
      </w:pPr>
      <w:r w:rsidRPr="00A5794D">
        <w:rPr>
          <w:rFonts w:asciiTheme="majorHAnsi" w:eastAsia="Palatino Linotype" w:hAnsiTheme="majorHAnsi" w:cstheme="majorHAnsi"/>
          <w:sz w:val="22"/>
          <w:szCs w:val="22"/>
        </w:rPr>
        <w:lastRenderedPageBreak/>
        <w:t xml:space="preserve">Erdoğan, E., </w:t>
      </w:r>
      <w:proofErr w:type="spellStart"/>
      <w:r w:rsidRPr="00A5794D">
        <w:rPr>
          <w:rFonts w:asciiTheme="majorHAnsi" w:eastAsia="Palatino Linotype" w:hAnsiTheme="majorHAnsi" w:cstheme="majorHAnsi"/>
          <w:sz w:val="22"/>
          <w:szCs w:val="22"/>
        </w:rPr>
        <w:t>Yentürk</w:t>
      </w:r>
      <w:proofErr w:type="spellEnd"/>
      <w:r w:rsidRPr="00A5794D">
        <w:rPr>
          <w:rFonts w:asciiTheme="majorHAnsi" w:eastAsia="Palatino Linotype" w:hAnsiTheme="majorHAnsi" w:cstheme="majorHAnsi"/>
          <w:sz w:val="22"/>
          <w:szCs w:val="22"/>
        </w:rPr>
        <w:t xml:space="preserve">, N., </w:t>
      </w:r>
      <w:proofErr w:type="spellStart"/>
      <w:r w:rsidRPr="00A5794D">
        <w:rPr>
          <w:rFonts w:asciiTheme="majorHAnsi" w:eastAsia="Palatino Linotype" w:hAnsiTheme="majorHAnsi" w:cstheme="majorHAnsi"/>
          <w:sz w:val="22"/>
          <w:szCs w:val="22"/>
        </w:rPr>
        <w:t>Akyüz</w:t>
      </w:r>
      <w:proofErr w:type="spellEnd"/>
      <w:r w:rsidRPr="00A5794D">
        <w:rPr>
          <w:rFonts w:asciiTheme="majorHAnsi" w:eastAsia="Palatino Linotype" w:hAnsiTheme="majorHAnsi" w:cstheme="majorHAnsi"/>
          <w:sz w:val="22"/>
          <w:szCs w:val="22"/>
        </w:rPr>
        <w:t xml:space="preserve">, A.A., </w:t>
      </w:r>
      <w:proofErr w:type="spellStart"/>
      <w:r w:rsidRPr="00A5794D">
        <w:rPr>
          <w:rFonts w:asciiTheme="majorHAnsi" w:eastAsia="Palatino Linotype" w:hAnsiTheme="majorHAnsi" w:cstheme="majorHAnsi"/>
          <w:sz w:val="22"/>
          <w:szCs w:val="22"/>
        </w:rPr>
        <w:t>Kurtaran</w:t>
      </w:r>
      <w:proofErr w:type="spellEnd"/>
      <w:r w:rsidRPr="00A5794D">
        <w:rPr>
          <w:rFonts w:asciiTheme="majorHAnsi" w:eastAsia="Palatino Linotype" w:hAnsiTheme="majorHAnsi" w:cstheme="majorHAnsi"/>
          <w:sz w:val="22"/>
          <w:szCs w:val="22"/>
        </w:rPr>
        <w:t xml:space="preserve">, Y., </w:t>
      </w:r>
      <w:proofErr w:type="spellStart"/>
      <w:r w:rsidRPr="00A5794D">
        <w:rPr>
          <w:rFonts w:asciiTheme="majorHAnsi" w:eastAsia="Palatino Linotype" w:hAnsiTheme="majorHAnsi" w:cstheme="majorHAnsi"/>
          <w:sz w:val="22"/>
          <w:szCs w:val="22"/>
        </w:rPr>
        <w:t>Yurttagüler</w:t>
      </w:r>
      <w:proofErr w:type="spellEnd"/>
      <w:r w:rsidRPr="00A5794D">
        <w:rPr>
          <w:rFonts w:asciiTheme="majorHAnsi" w:eastAsia="Palatino Linotype" w:hAnsiTheme="majorHAnsi" w:cstheme="majorHAnsi"/>
          <w:sz w:val="22"/>
          <w:szCs w:val="22"/>
        </w:rPr>
        <w:t xml:space="preserve">, L., </w:t>
      </w:r>
      <w:proofErr w:type="spellStart"/>
      <w:r w:rsidRPr="00A5794D">
        <w:rPr>
          <w:rFonts w:asciiTheme="majorHAnsi" w:eastAsia="Palatino Linotype" w:hAnsiTheme="majorHAnsi" w:cstheme="majorHAnsi"/>
          <w:sz w:val="22"/>
          <w:szCs w:val="22"/>
        </w:rPr>
        <w:t>Dursun</w:t>
      </w:r>
      <w:proofErr w:type="spellEnd"/>
      <w:r w:rsidRPr="00A5794D">
        <w:rPr>
          <w:rFonts w:asciiTheme="majorHAnsi" w:eastAsia="Palatino Linotype" w:hAnsiTheme="majorHAnsi" w:cstheme="majorHAnsi"/>
          <w:sz w:val="22"/>
          <w:szCs w:val="22"/>
        </w:rPr>
        <w:t xml:space="preserve">, K. and Oy, B. (2017). "Being a NEET in Turkey: Determinants and Consequences." </w:t>
      </w:r>
      <w:r w:rsidRPr="00A5794D">
        <w:rPr>
          <w:rFonts w:asciiTheme="majorHAnsi" w:eastAsia="Palatino Linotype" w:hAnsiTheme="majorHAnsi" w:cstheme="majorHAnsi"/>
          <w:i/>
          <w:iCs/>
          <w:sz w:val="22"/>
          <w:szCs w:val="22"/>
        </w:rPr>
        <w:t>IAI Working Paper</w:t>
      </w:r>
      <w:r w:rsidRPr="00A5794D">
        <w:rPr>
          <w:rFonts w:asciiTheme="majorHAnsi" w:eastAsia="Palatino Linotype" w:hAnsiTheme="majorHAnsi" w:cstheme="majorHAnsi"/>
          <w:sz w:val="22"/>
          <w:szCs w:val="22"/>
        </w:rPr>
        <w:t xml:space="preserve">, No. 30. Rome: </w:t>
      </w:r>
      <w:proofErr w:type="spellStart"/>
      <w:r w:rsidRPr="00A5794D">
        <w:rPr>
          <w:rFonts w:asciiTheme="majorHAnsi" w:eastAsia="Palatino Linotype" w:hAnsiTheme="majorHAnsi" w:cstheme="majorHAnsi"/>
          <w:sz w:val="22"/>
          <w:szCs w:val="22"/>
        </w:rPr>
        <w:t>Istituto</w:t>
      </w:r>
      <w:proofErr w:type="spellEnd"/>
      <w:r w:rsidRPr="00A5794D">
        <w:rPr>
          <w:rFonts w:asciiTheme="majorHAnsi" w:eastAsia="Palatino Linotype" w:hAnsiTheme="majorHAnsi" w:cstheme="majorHAnsi"/>
          <w:sz w:val="22"/>
          <w:szCs w:val="22"/>
        </w:rPr>
        <w:t xml:space="preserve"> </w:t>
      </w:r>
      <w:proofErr w:type="spellStart"/>
      <w:r w:rsidRPr="00A5794D">
        <w:rPr>
          <w:rFonts w:asciiTheme="majorHAnsi" w:eastAsia="Palatino Linotype" w:hAnsiTheme="majorHAnsi" w:cstheme="majorHAnsi"/>
          <w:sz w:val="22"/>
          <w:szCs w:val="22"/>
        </w:rPr>
        <w:t>Affari</w:t>
      </w:r>
      <w:proofErr w:type="spellEnd"/>
      <w:r w:rsidRPr="00A5794D">
        <w:rPr>
          <w:rFonts w:asciiTheme="majorHAnsi" w:eastAsia="Palatino Linotype" w:hAnsiTheme="majorHAnsi" w:cstheme="majorHAnsi"/>
          <w:sz w:val="22"/>
          <w:szCs w:val="22"/>
        </w:rPr>
        <w:t xml:space="preserve"> </w:t>
      </w:r>
      <w:proofErr w:type="spellStart"/>
      <w:r w:rsidRPr="00A5794D">
        <w:rPr>
          <w:rFonts w:asciiTheme="majorHAnsi" w:eastAsia="Palatino Linotype" w:hAnsiTheme="majorHAnsi" w:cstheme="majorHAnsi"/>
          <w:sz w:val="22"/>
          <w:szCs w:val="22"/>
        </w:rPr>
        <w:t>Internazionali</w:t>
      </w:r>
      <w:proofErr w:type="spellEnd"/>
      <w:r w:rsidRPr="00A5794D">
        <w:rPr>
          <w:rFonts w:asciiTheme="majorHAnsi" w:eastAsia="Palatino Linotype" w:hAnsiTheme="majorHAnsi" w:cstheme="majorHAnsi"/>
          <w:sz w:val="22"/>
          <w:szCs w:val="22"/>
        </w:rPr>
        <w:t>.</w:t>
      </w:r>
    </w:p>
    <w:p w14:paraId="68B760CE" w14:textId="716539A3" w:rsidR="00A5794D" w:rsidRDefault="00A5794D">
      <w:pPr>
        <w:spacing w:line="360" w:lineRule="auto"/>
        <w:jc w:val="both"/>
        <w:rPr>
          <w:rFonts w:ascii="Palatino Linotype" w:eastAsia="Palatino Linotype" w:hAnsi="Palatino Linotype" w:cs="Palatino Linotype"/>
        </w:rPr>
      </w:pPr>
      <w:proofErr w:type="spellStart"/>
      <w:r w:rsidRPr="00A5794D">
        <w:rPr>
          <w:rFonts w:asciiTheme="majorHAnsi" w:eastAsia="Palatino Linotype" w:hAnsiTheme="majorHAnsi" w:cstheme="majorHAnsi"/>
          <w:sz w:val="22"/>
          <w:szCs w:val="22"/>
        </w:rPr>
        <w:t>Dedeoğlu</w:t>
      </w:r>
      <w:proofErr w:type="spellEnd"/>
      <w:r w:rsidRPr="00A5794D">
        <w:rPr>
          <w:rFonts w:asciiTheme="majorHAnsi" w:eastAsia="Palatino Linotype" w:hAnsiTheme="majorHAnsi" w:cstheme="majorHAnsi"/>
          <w:sz w:val="22"/>
          <w:szCs w:val="22"/>
        </w:rPr>
        <w:t xml:space="preserve">, S. (2022). "Special dossier editor's introduction: Gender, care, and work in Turkey: from </w:t>
      </w:r>
      <w:proofErr w:type="spellStart"/>
      <w:r w:rsidRPr="00A5794D">
        <w:rPr>
          <w:rFonts w:asciiTheme="majorHAnsi" w:eastAsia="Palatino Linotype" w:hAnsiTheme="majorHAnsi" w:cstheme="majorHAnsi"/>
          <w:sz w:val="22"/>
          <w:szCs w:val="22"/>
        </w:rPr>
        <w:t>familialism</w:t>
      </w:r>
      <w:proofErr w:type="spellEnd"/>
      <w:r w:rsidRPr="00A5794D">
        <w:rPr>
          <w:rFonts w:asciiTheme="majorHAnsi" w:eastAsia="Palatino Linotype" w:hAnsiTheme="majorHAnsi" w:cstheme="majorHAnsi"/>
          <w:sz w:val="22"/>
          <w:szCs w:val="22"/>
        </w:rPr>
        <w:t xml:space="preserve"> to neo-paternalism." </w:t>
      </w:r>
      <w:r w:rsidRPr="00A5794D">
        <w:rPr>
          <w:rFonts w:asciiTheme="majorHAnsi" w:eastAsia="Palatino Linotype" w:hAnsiTheme="majorHAnsi" w:cstheme="majorHAnsi"/>
          <w:i/>
          <w:iCs/>
          <w:sz w:val="22"/>
          <w:szCs w:val="22"/>
        </w:rPr>
        <w:t>New Perspectives on Turkey</w:t>
      </w:r>
      <w:r w:rsidRPr="00A5794D">
        <w:rPr>
          <w:rFonts w:asciiTheme="majorHAnsi" w:eastAsia="Palatino Linotype" w:hAnsiTheme="majorHAnsi" w:cstheme="majorHAnsi"/>
          <w:sz w:val="22"/>
          <w:szCs w:val="22"/>
        </w:rPr>
        <w:t>, 66.</w:t>
      </w:r>
    </w:p>
    <w:sectPr w:rsidR="00A5794D">
      <w:footerReference w:type="default" r:id="rId13"/>
      <w:pgSz w:w="11905" w:h="16837"/>
      <w:pgMar w:top="1296" w:right="1296" w:bottom="1296" w:left="129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3C2C4" w14:textId="77777777" w:rsidR="00F61F6D" w:rsidRDefault="00F61F6D">
      <w:r>
        <w:separator/>
      </w:r>
    </w:p>
  </w:endnote>
  <w:endnote w:type="continuationSeparator" w:id="0">
    <w:p w14:paraId="1C8F7169" w14:textId="77777777" w:rsidR="00F61F6D" w:rsidRDefault="00F6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embedRegular r:id="rId1" w:fontKey="{4D3F3D37-E29A-E442-8EDB-72E3E5079DFA}"/>
  </w:font>
  <w:font w:name="Times New Roman">
    <w:panose1 w:val="02020603050405020304"/>
    <w:charset w:val="00"/>
    <w:family w:val="roman"/>
    <w:pitch w:val="variable"/>
    <w:sig w:usb0="E0002EFF" w:usb1="C000785B" w:usb2="00000009" w:usb3="00000000" w:csb0="000001FF" w:csb1="00000000"/>
    <w:embedRegular r:id="rId2" w:fontKey="{723AA0C3-1437-5C43-B221-3AB6C958A2D8}"/>
    <w:embedBold r:id="rId3" w:fontKey="{D527D7D2-4255-E74B-96BD-3A38A856B580}"/>
  </w:font>
  <w:font w:name="Arial">
    <w:panose1 w:val="020B0604020202020204"/>
    <w:charset w:val="00"/>
    <w:family w:val="swiss"/>
    <w:pitch w:val="variable"/>
    <w:sig w:usb0="E0002AFF" w:usb1="C0007843" w:usb2="00000009" w:usb3="00000000" w:csb0="000001FF" w:csb1="00000000"/>
    <w:embedRegular r:id="rId4" w:fontKey="{A8C112AC-4EB1-7343-86DE-D2FAF5736988}"/>
    <w:embedBold r:id="rId5" w:fontKey="{56E01F38-ED98-CE4A-93CA-FA448D5BD523}"/>
    <w:embedBoldItalic r:id="rId6" w:fontKey="{8EF46281-7AC2-E540-AE6F-8D357D5D38F9}"/>
  </w:font>
  <w:font w:name="Georgia">
    <w:panose1 w:val="02040502050405020303"/>
    <w:charset w:val="00"/>
    <w:family w:val="roman"/>
    <w:pitch w:val="variable"/>
    <w:sig w:usb0="00000287" w:usb1="00000000" w:usb2="00000000" w:usb3="00000000" w:csb0="0000009F" w:csb1="00000000"/>
    <w:embedItalic r:id="rId7" w:fontKey="{1D8319FA-2716-BF44-BD1B-1CDC9AB3C240}"/>
  </w:font>
  <w:font w:name="Palatino Linotype">
    <w:panose1 w:val="02040502050505030304"/>
    <w:charset w:val="00"/>
    <w:family w:val="roman"/>
    <w:pitch w:val="variable"/>
    <w:sig w:usb0="E0000287" w:usb1="40000013" w:usb2="00000000" w:usb3="00000000" w:csb0="0000019F" w:csb1="00000000"/>
    <w:embedRegular r:id="rId8" w:fontKey="{DAAC978E-5655-B34A-BFDC-9A80FCAA6882}"/>
    <w:embedBold r:id="rId9" w:fontKey="{24AF6DC3-6091-A64D-899D-90E5B74E9730}"/>
    <w:embedItalic r:id="rId10" w:fontKey="{CEC4CBA5-ED9B-4844-B3ED-60E7654656BE}"/>
  </w:font>
  <w:font w:name="Calibri">
    <w:panose1 w:val="020F0502020204030204"/>
    <w:charset w:val="A2"/>
    <w:family w:val="swiss"/>
    <w:pitch w:val="variable"/>
    <w:sig w:usb0="E4002EFF" w:usb1="C000247B" w:usb2="00000009" w:usb3="00000000" w:csb0="000001FF" w:csb1="00000000"/>
    <w:embedRegular r:id="rId11" w:fontKey="{ED487671-DA3D-0E46-8B2D-356218D63FD4}"/>
    <w:embedBold r:id="rId12" w:fontKey="{01E9BE85-F9E3-C24E-80CE-1523FBD54045}"/>
    <w:embedItalic r:id="rId13" w:fontKey="{94187F50-1501-C243-AD1F-39EAAD0FE4E8}"/>
    <w:embedBoldItalic r:id="rId14" w:fontKey="{A06D48F8-E9BE-CF4D-BDE5-580422B35DF8}"/>
  </w:font>
  <w:font w:name="Cambria">
    <w:panose1 w:val="02040503050406030204"/>
    <w:charset w:val="00"/>
    <w:family w:val="roman"/>
    <w:pitch w:val="variable"/>
    <w:sig w:usb0="E00002FF" w:usb1="400004FF" w:usb2="00000000" w:usb3="00000000" w:csb0="0000019F" w:csb1="00000000"/>
    <w:embedRegular r:id="rId15" w:fontKey="{A6B83018-A52C-8E43-9971-4EBF4F653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E0D01" w14:textId="77777777" w:rsidR="00DC0CC4"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E91751">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2DC5D873" w14:textId="77777777" w:rsidR="00DC0CC4" w:rsidRDefault="00000000">
    <w:pPr>
      <w:pBdr>
        <w:top w:val="nil"/>
        <w:left w:val="nil"/>
        <w:bottom w:val="nil"/>
        <w:right w:val="nil"/>
        <w:between w:val="nil"/>
      </w:pBdr>
      <w:tabs>
        <w:tab w:val="center" w:pos="4536"/>
        <w:tab w:val="right" w:pos="9072"/>
      </w:tabs>
      <w:ind w:right="360"/>
      <w:jc w:val="center"/>
      <w:rPr>
        <w:rFonts w:ascii="Arial" w:eastAsia="Arial" w:hAnsi="Arial" w:cs="Arial"/>
        <w:b/>
        <w:bCs/>
        <w:i/>
        <w:iCs/>
        <w:color w:val="000000"/>
        <w:sz w:val="20"/>
        <w:szCs w:val="20"/>
      </w:rPr>
    </w:pPr>
    <w:r>
      <w:rPr>
        <w:rFonts w:ascii="Arial" w:eastAsia="Arial" w:hAnsi="Arial" w:cs="Arial"/>
        <w:b/>
        <w:bCs/>
        <w:i/>
        <w:iCs/>
        <w:color w:val="000000"/>
        <w:sz w:val="20"/>
        <w:szCs w:val="20"/>
      </w:rPr>
      <w:t>betam.bahcesehir.edu.tr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E2AEB" w14:textId="77777777" w:rsidR="00F61F6D" w:rsidRDefault="00F61F6D">
      <w:r>
        <w:separator/>
      </w:r>
    </w:p>
  </w:footnote>
  <w:footnote w:type="continuationSeparator" w:id="0">
    <w:p w14:paraId="2FC9C18C" w14:textId="77777777" w:rsidR="00F61F6D" w:rsidRDefault="00F61F6D">
      <w:r>
        <w:continuationSeparator/>
      </w:r>
    </w:p>
  </w:footnote>
  <w:footnote w:id="1">
    <w:p w14:paraId="5AC7CEAA" w14:textId="7D66B8D0" w:rsidR="00153717" w:rsidRPr="008D5862" w:rsidRDefault="00153717" w:rsidP="00153717">
      <w:pPr>
        <w:pStyle w:val="DipnotMetni"/>
        <w:rPr>
          <w:rFonts w:ascii="Arial" w:hAnsi="Arial" w:cs="Arial"/>
          <w:sz w:val="16"/>
          <w:szCs w:val="16"/>
        </w:rPr>
      </w:pPr>
      <w:r w:rsidRPr="008D5862">
        <w:rPr>
          <w:rStyle w:val="DipnotBavurusu"/>
          <w:rFonts w:ascii="Arial" w:eastAsiaTheme="majorEastAsia" w:hAnsi="Arial" w:cs="Arial"/>
          <w:b/>
          <w:bCs/>
          <w:sz w:val="16"/>
          <w:szCs w:val="16"/>
        </w:rPr>
        <w:t>*</w:t>
      </w:r>
      <w:r w:rsidRPr="008D5862">
        <w:rPr>
          <w:rFonts w:ascii="Arial" w:hAnsi="Arial" w:cs="Arial"/>
          <w:sz w:val="16"/>
          <w:szCs w:val="16"/>
        </w:rPr>
        <w:t>Dr.</w:t>
      </w:r>
      <w:r>
        <w:rPr>
          <w:rFonts w:ascii="Arial" w:hAnsi="Arial" w:cs="Arial"/>
          <w:sz w:val="16"/>
          <w:szCs w:val="16"/>
        </w:rPr>
        <w:t xml:space="preserve"> Luis </w:t>
      </w:r>
      <w:proofErr w:type="spellStart"/>
      <w:r>
        <w:rPr>
          <w:rFonts w:ascii="Arial" w:hAnsi="Arial" w:cs="Arial"/>
          <w:sz w:val="16"/>
          <w:szCs w:val="16"/>
        </w:rPr>
        <w:t>Pinedo</w:t>
      </w:r>
      <w:proofErr w:type="spellEnd"/>
      <w:r>
        <w:rPr>
          <w:rFonts w:ascii="Arial" w:hAnsi="Arial" w:cs="Arial"/>
          <w:sz w:val="16"/>
          <w:szCs w:val="16"/>
        </w:rPr>
        <w:t xml:space="preserve"> Caro,</w:t>
      </w:r>
      <w:r w:rsidRPr="008D5862">
        <w:rPr>
          <w:rFonts w:ascii="Arial" w:hAnsi="Arial" w:cs="Arial"/>
          <w:sz w:val="16"/>
          <w:szCs w:val="16"/>
        </w:rPr>
        <w:t xml:space="preserve"> </w:t>
      </w:r>
      <w:proofErr w:type="spellStart"/>
      <w:r w:rsidRPr="008D5862">
        <w:rPr>
          <w:rFonts w:ascii="Arial" w:hAnsi="Arial" w:cs="Arial"/>
          <w:sz w:val="16"/>
          <w:szCs w:val="16"/>
        </w:rPr>
        <w:t>Betam</w:t>
      </w:r>
      <w:proofErr w:type="spellEnd"/>
      <w:r w:rsidRPr="008D5862">
        <w:rPr>
          <w:rFonts w:ascii="Arial" w:hAnsi="Arial" w:cs="Arial"/>
          <w:sz w:val="16"/>
          <w:szCs w:val="16"/>
        </w:rPr>
        <w:t xml:space="preserve">, Researcher, </w:t>
      </w:r>
      <w:hyperlink r:id="rId1" w:history="1">
        <w:r w:rsidRPr="00F92B46">
          <w:rPr>
            <w:rStyle w:val="Kpr"/>
          </w:rPr>
          <w:t>luis.pinedo@bau.edu.tr</w:t>
        </w:r>
      </w:hyperlink>
      <w:r>
        <w:t xml:space="preserve"> </w:t>
      </w:r>
    </w:p>
  </w:footnote>
  <w:footnote w:id="2">
    <w:p w14:paraId="6F6D5ECE" w14:textId="77777777" w:rsidR="00DC0CC4" w:rsidRDefault="00000000">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The question in its original form was: “Son 1 ay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haftada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ortalama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kaç</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saat</w:t>
      </w:r>
      <w:proofErr w:type="spellEnd"/>
      <w:r>
        <w:rPr>
          <w:rFonts w:ascii="Calibri" w:eastAsia="Calibri" w:hAnsi="Calibri" w:cs="Calibri"/>
          <w:color w:val="000000"/>
          <w:sz w:val="18"/>
          <w:szCs w:val="18"/>
        </w:rPr>
        <w:t xml:space="preserve"> KPSS, ALES, </w:t>
      </w:r>
      <w:proofErr w:type="spellStart"/>
      <w:r>
        <w:rPr>
          <w:rFonts w:ascii="Calibri" w:eastAsia="Calibri" w:hAnsi="Calibri" w:cs="Calibri"/>
          <w:color w:val="000000"/>
          <w:sz w:val="18"/>
          <w:szCs w:val="18"/>
        </w:rPr>
        <w:t>yabancı</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diller</w:t>
      </w:r>
      <w:proofErr w:type="spellEnd"/>
      <w:r>
        <w:rPr>
          <w:rFonts w:ascii="Calibri" w:eastAsia="Calibri" w:hAnsi="Calibri" w:cs="Calibri"/>
          <w:color w:val="000000"/>
          <w:sz w:val="18"/>
          <w:szCs w:val="18"/>
        </w:rPr>
        <w:t xml:space="preserve"> vb. </w:t>
      </w:r>
      <w:proofErr w:type="spellStart"/>
      <w:r>
        <w:rPr>
          <w:rFonts w:ascii="Calibri" w:eastAsia="Calibri" w:hAnsi="Calibri" w:cs="Calibri"/>
          <w:color w:val="000000"/>
          <w:sz w:val="18"/>
          <w:szCs w:val="18"/>
        </w:rPr>
        <w:t>alanlarda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u w:val="single"/>
        </w:rPr>
        <w:t>kendi</w:t>
      </w:r>
      <w:proofErr w:type="spellEnd"/>
      <w:r>
        <w:rPr>
          <w:rFonts w:ascii="Calibri" w:eastAsia="Calibri" w:hAnsi="Calibri" w:cs="Calibri"/>
          <w:color w:val="000000"/>
          <w:sz w:val="18"/>
          <w:szCs w:val="18"/>
          <w:u w:val="single"/>
        </w:rPr>
        <w:t xml:space="preserve"> </w:t>
      </w:r>
      <w:proofErr w:type="spellStart"/>
      <w:r>
        <w:rPr>
          <w:rFonts w:ascii="Calibri" w:eastAsia="Calibri" w:hAnsi="Calibri" w:cs="Calibri"/>
          <w:color w:val="000000"/>
          <w:sz w:val="18"/>
          <w:szCs w:val="18"/>
          <w:u w:val="single"/>
        </w:rPr>
        <w:t>kendinize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öğrenim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yaptınız</w:t>
      </w:r>
      <w:proofErr w:type="spellEnd"/>
      <w:r>
        <w:rPr>
          <w:rFonts w:ascii="Calibri" w:eastAsia="Calibri" w:hAnsi="Calibri" w:cs="Calibri"/>
          <w:color w:val="000000"/>
          <w:sz w:val="18"/>
          <w:szCs w:val="18"/>
        </w:rPr>
        <w:t>?”.</w:t>
      </w:r>
    </w:p>
  </w:footnote>
  <w:footnote w:id="3">
    <w:p w14:paraId="51DAF78D" w14:textId="77777777" w:rsidR="00DC0CC4" w:rsidRDefault="00000000">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18"/>
          <w:szCs w:val="18"/>
        </w:rPr>
        <w:t xml:space="preserve"> The question in its original form was “</w:t>
      </w:r>
      <w:proofErr w:type="spellStart"/>
      <w:r>
        <w:rPr>
          <w:rFonts w:ascii="Calibri" w:eastAsia="Calibri" w:hAnsi="Calibri" w:cs="Calibri"/>
          <w:color w:val="000000"/>
          <w:sz w:val="18"/>
          <w:szCs w:val="18"/>
        </w:rPr>
        <w:t>Kısa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süre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önümüzdeki</w:t>
      </w:r>
      <w:proofErr w:type="spellEnd"/>
      <w:r>
        <w:rPr>
          <w:rFonts w:ascii="Calibri" w:eastAsia="Calibri" w:hAnsi="Calibri" w:cs="Calibri"/>
          <w:color w:val="000000"/>
          <w:sz w:val="18"/>
          <w:szCs w:val="18"/>
        </w:rPr>
        <w:t xml:space="preserve"> 3 ay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herhangi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bir</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eğitim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almayı</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düşünüyor</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musunuz</w:t>
      </w:r>
      <w:proofErr w:type="spellEnd"/>
      <w:r>
        <w:rPr>
          <w:rFonts w:ascii="Calibri" w:eastAsia="Calibri" w:hAnsi="Calibri" w:cs="Calibri"/>
          <w:color w:val="000000"/>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2D725E"/>
    <w:multiLevelType w:val="multilevel"/>
    <w:tmpl w:val="9E5A77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1F36B17"/>
    <w:multiLevelType w:val="multilevel"/>
    <w:tmpl w:val="3F20FBB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35C7C54"/>
    <w:multiLevelType w:val="multilevel"/>
    <w:tmpl w:val="DC4032AC"/>
    <w:lvl w:ilvl="0">
      <w:start w:val="3"/>
      <w:numFmt w:val="decimal"/>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6590666">
    <w:abstractNumId w:val="0"/>
  </w:num>
  <w:num w:numId="2" w16cid:durableId="1265305973">
    <w:abstractNumId w:val="2"/>
  </w:num>
  <w:num w:numId="3" w16cid:durableId="1969894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CC4"/>
    <w:rsid w:val="00011275"/>
    <w:rsid w:val="00052107"/>
    <w:rsid w:val="00153717"/>
    <w:rsid w:val="001D6CBE"/>
    <w:rsid w:val="00206AEE"/>
    <w:rsid w:val="00274725"/>
    <w:rsid w:val="00282EBA"/>
    <w:rsid w:val="0031048D"/>
    <w:rsid w:val="003A1196"/>
    <w:rsid w:val="003F5D08"/>
    <w:rsid w:val="00460F2A"/>
    <w:rsid w:val="0047490F"/>
    <w:rsid w:val="005745F7"/>
    <w:rsid w:val="0059039E"/>
    <w:rsid w:val="005E66D4"/>
    <w:rsid w:val="006330CE"/>
    <w:rsid w:val="00636981"/>
    <w:rsid w:val="00667B59"/>
    <w:rsid w:val="007B36D7"/>
    <w:rsid w:val="00817A69"/>
    <w:rsid w:val="008302BF"/>
    <w:rsid w:val="00836CE7"/>
    <w:rsid w:val="008B3369"/>
    <w:rsid w:val="008F208D"/>
    <w:rsid w:val="00970588"/>
    <w:rsid w:val="00985D8A"/>
    <w:rsid w:val="009D6FEF"/>
    <w:rsid w:val="00A5794D"/>
    <w:rsid w:val="00A83453"/>
    <w:rsid w:val="00AA16ED"/>
    <w:rsid w:val="00AC3228"/>
    <w:rsid w:val="00B13307"/>
    <w:rsid w:val="00B1705F"/>
    <w:rsid w:val="00B37F87"/>
    <w:rsid w:val="00B529AE"/>
    <w:rsid w:val="00C07C05"/>
    <w:rsid w:val="00C61F67"/>
    <w:rsid w:val="00CB74A8"/>
    <w:rsid w:val="00CC1A32"/>
    <w:rsid w:val="00CC60D5"/>
    <w:rsid w:val="00CF10F7"/>
    <w:rsid w:val="00D02A06"/>
    <w:rsid w:val="00D072B9"/>
    <w:rsid w:val="00D14C1C"/>
    <w:rsid w:val="00DC0CC4"/>
    <w:rsid w:val="00E16BC8"/>
    <w:rsid w:val="00E753B3"/>
    <w:rsid w:val="00E91751"/>
    <w:rsid w:val="00EE03DC"/>
    <w:rsid w:val="00F23DFE"/>
    <w:rsid w:val="00F46D48"/>
    <w:rsid w:val="00F61F6D"/>
    <w:rsid w:val="00F651F8"/>
    <w:rsid w:val="00FF7F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B5B11"/>
  <w15:docId w15:val="{5191496C-0834-47C9-B1BC-DC87D90B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jc w:val="center"/>
      <w:outlineLvl w:val="0"/>
    </w:pPr>
    <w:rPr>
      <w:rFonts w:ascii="Arial" w:eastAsia="Arial" w:hAnsi="Arial" w:cs="Arial"/>
      <w:b/>
      <w:bCs/>
      <w:sz w:val="18"/>
      <w:szCs w:val="18"/>
    </w:rPr>
  </w:style>
  <w:style w:type="paragraph" w:styleId="Balk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Balk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DipnotMetni">
    <w:name w:val="footnote text"/>
    <w:basedOn w:val="Normal"/>
    <w:link w:val="DipnotMetniChar"/>
    <w:uiPriority w:val="99"/>
    <w:semiHidden/>
    <w:unhideWhenUsed/>
    <w:rsid w:val="00153717"/>
    <w:rPr>
      <w:sz w:val="20"/>
      <w:szCs w:val="20"/>
    </w:rPr>
  </w:style>
  <w:style w:type="character" w:customStyle="1" w:styleId="DipnotMetniChar">
    <w:name w:val="Dipnot Metni Char"/>
    <w:basedOn w:val="VarsaylanParagrafYazTipi"/>
    <w:link w:val="DipnotMetni"/>
    <w:uiPriority w:val="99"/>
    <w:semiHidden/>
    <w:rsid w:val="00153717"/>
    <w:rPr>
      <w:sz w:val="20"/>
      <w:szCs w:val="20"/>
    </w:rPr>
  </w:style>
  <w:style w:type="character" w:styleId="DipnotBavurusu">
    <w:name w:val="footnote reference"/>
    <w:basedOn w:val="VarsaylanParagrafYazTipi"/>
    <w:uiPriority w:val="99"/>
    <w:semiHidden/>
    <w:unhideWhenUsed/>
    <w:rsid w:val="00153717"/>
    <w:rPr>
      <w:vertAlign w:val="superscript"/>
    </w:rPr>
  </w:style>
  <w:style w:type="character" w:styleId="Kpr">
    <w:name w:val="Hyperlink"/>
    <w:basedOn w:val="VarsaylanParagrafYazTipi"/>
    <w:uiPriority w:val="99"/>
    <w:unhideWhenUsed/>
    <w:rsid w:val="00153717"/>
    <w:rPr>
      <w:color w:val="0000FF"/>
      <w:u w:val="single"/>
    </w:rPr>
  </w:style>
  <w:style w:type="character" w:styleId="zmlenmeyenBahsetme">
    <w:name w:val="Unresolved Mention"/>
    <w:basedOn w:val="VarsaylanParagrafYazTipi"/>
    <w:uiPriority w:val="99"/>
    <w:semiHidden/>
    <w:unhideWhenUsed/>
    <w:rsid w:val="00153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mailto:luis.pinedo@bau.edu.t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s%20Pinedo\Documents\BAU\Research\-%20BETAM%20briefs\Special%20editions\3-%20NEETs%20alternative\figures%20v1%2026-5-20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is%20Pinedo\Documents\BAU\Research\-%20BETAM%20briefs\Special%20editions\3-%20NEETs%20alternative\figures%20v1%2026-5-202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uis%20Pinedo\Documents\BAU\Research\-%20BETAM%20briefs\Special%20editions\3-%20NEETs%20alternative\figures%20v1%2026-5-202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'Figure 1'!$C$9</c:f>
              <c:strCache>
                <c:ptCount val="1"/>
                <c:pt idx="0">
                  <c:v>Non-NEET</c:v>
                </c:pt>
              </c:strCache>
            </c:strRef>
          </c:tx>
          <c:spPr>
            <a:solidFill>
              <a:schemeClr val="accent1">
                <a:lumMod val="60000"/>
                <a:lumOff val="40000"/>
              </a:schemeClr>
            </a:solidFill>
            <a:ln>
              <a:solidFill>
                <a:schemeClr val="tx2">
                  <a:lumMod val="50000"/>
                </a:schemeClr>
              </a:solidFill>
            </a:ln>
            <a:effectLst/>
          </c:spPr>
          <c:invertIfNegative val="0"/>
          <c:dLbls>
            <c:dLbl>
              <c:idx val="3"/>
              <c:tx>
                <c:rich>
                  <a:bodyPr/>
                  <a:lstStyle/>
                  <a:p>
                    <a:r>
                      <a:rPr lang="en-US"/>
                      <a:t>64.5% non</a:t>
                    </a:r>
                    <a:r>
                      <a:rPr lang="en-US" baseline="0"/>
                      <a:t> NEETs</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74-4FB6-B212-A53E4E315B17}"/>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1'!$B$10:$B$13</c:f>
              <c:numCache>
                <c:formatCode>General</c:formatCode>
                <c:ptCount val="4"/>
              </c:numCache>
            </c:numRef>
          </c:cat>
          <c:val>
            <c:numRef>
              <c:f>'Figure 1'!$C$10:$C$13</c:f>
              <c:numCache>
                <c:formatCode>General</c:formatCode>
                <c:ptCount val="4"/>
                <c:pt idx="0">
                  <c:v>1045327</c:v>
                </c:pt>
                <c:pt idx="1">
                  <c:v>1045327</c:v>
                </c:pt>
                <c:pt idx="2">
                  <c:v>1045327</c:v>
                </c:pt>
                <c:pt idx="3">
                  <c:v>1045327</c:v>
                </c:pt>
              </c:numCache>
            </c:numRef>
          </c:val>
          <c:extLst>
            <c:ext xmlns:c16="http://schemas.microsoft.com/office/drawing/2014/chart" uri="{C3380CC4-5D6E-409C-BE32-E72D297353CC}">
              <c16:uniqueId val="{00000001-DC74-4FB6-B212-A53E4E315B17}"/>
            </c:ext>
          </c:extLst>
        </c:ser>
        <c:ser>
          <c:idx val="1"/>
          <c:order val="1"/>
          <c:tx>
            <c:strRef>
              <c:f>'Figure 1'!$D$9</c:f>
              <c:strCache>
                <c:ptCount val="1"/>
                <c:pt idx="0">
                  <c:v>Informal students</c:v>
                </c:pt>
              </c:strCache>
            </c:strRef>
          </c:tx>
          <c:spPr>
            <a:solidFill>
              <a:schemeClr val="accent2">
                <a:lumMod val="20000"/>
                <a:lumOff val="80000"/>
              </a:schemeClr>
            </a:solidFill>
            <a:ln>
              <a:solidFill>
                <a:schemeClr val="accent2">
                  <a:lumMod val="50000"/>
                </a:schemeClr>
              </a:solidFill>
            </a:ln>
            <a:effectLst/>
          </c:spPr>
          <c:invertIfNegative val="0"/>
          <c:cat>
            <c:numRef>
              <c:f>'Figure 1'!$B$10:$B$13</c:f>
              <c:numCache>
                <c:formatCode>General</c:formatCode>
                <c:ptCount val="4"/>
              </c:numCache>
            </c:numRef>
          </c:cat>
          <c:val>
            <c:numRef>
              <c:f>'Figure 1'!$D$10:$D$13</c:f>
              <c:numCache>
                <c:formatCode>General</c:formatCode>
                <c:ptCount val="4"/>
                <c:pt idx="0">
                  <c:v>134419</c:v>
                </c:pt>
                <c:pt idx="1">
                  <c:v>134419</c:v>
                </c:pt>
                <c:pt idx="2">
                  <c:v>134419</c:v>
                </c:pt>
                <c:pt idx="3">
                  <c:v>0</c:v>
                </c:pt>
              </c:numCache>
            </c:numRef>
          </c:val>
          <c:extLst>
            <c:ext xmlns:c16="http://schemas.microsoft.com/office/drawing/2014/chart" uri="{C3380CC4-5D6E-409C-BE32-E72D297353CC}">
              <c16:uniqueId val="{00000002-DC74-4FB6-B212-A53E4E315B17}"/>
            </c:ext>
          </c:extLst>
        </c:ser>
        <c:ser>
          <c:idx val="2"/>
          <c:order val="2"/>
          <c:tx>
            <c:strRef>
              <c:f>'Figure 1'!$E$9</c:f>
              <c:strCache>
                <c:ptCount val="1"/>
                <c:pt idx="0">
                  <c:v>Future students</c:v>
                </c:pt>
              </c:strCache>
            </c:strRef>
          </c:tx>
          <c:spPr>
            <a:solidFill>
              <a:schemeClr val="accent3">
                <a:lumMod val="60000"/>
                <a:lumOff val="40000"/>
              </a:schemeClr>
            </a:solidFill>
            <a:ln>
              <a:solidFill>
                <a:schemeClr val="tx1"/>
              </a:solidFill>
            </a:ln>
            <a:effectLst/>
          </c:spPr>
          <c:invertIfNegative val="0"/>
          <c:cat>
            <c:numRef>
              <c:f>'Figure 1'!$B$10:$B$13</c:f>
              <c:numCache>
                <c:formatCode>General</c:formatCode>
                <c:ptCount val="4"/>
              </c:numCache>
            </c:numRef>
          </c:cat>
          <c:val>
            <c:numRef>
              <c:f>'Figure 1'!$E$10:$E$13</c:f>
              <c:numCache>
                <c:formatCode>General</c:formatCode>
                <c:ptCount val="4"/>
                <c:pt idx="0">
                  <c:v>97610</c:v>
                </c:pt>
                <c:pt idx="1">
                  <c:v>97610</c:v>
                </c:pt>
                <c:pt idx="2">
                  <c:v>0</c:v>
                </c:pt>
                <c:pt idx="3">
                  <c:v>0</c:v>
                </c:pt>
              </c:numCache>
            </c:numRef>
          </c:val>
          <c:extLst>
            <c:ext xmlns:c16="http://schemas.microsoft.com/office/drawing/2014/chart" uri="{C3380CC4-5D6E-409C-BE32-E72D297353CC}">
              <c16:uniqueId val="{00000003-DC74-4FB6-B212-A53E4E315B17}"/>
            </c:ext>
          </c:extLst>
        </c:ser>
        <c:ser>
          <c:idx val="3"/>
          <c:order val="3"/>
          <c:tx>
            <c:strRef>
              <c:f>'Figure 1'!$F$9</c:f>
              <c:strCache>
                <c:ptCount val="1"/>
                <c:pt idx="0">
                  <c:v>Care economy</c:v>
                </c:pt>
              </c:strCache>
            </c:strRef>
          </c:tx>
          <c:spPr>
            <a:solidFill>
              <a:srgbClr val="7030A0"/>
            </a:solidFill>
            <a:ln>
              <a:solidFill>
                <a:schemeClr val="tx1"/>
              </a:solidFill>
            </a:ln>
            <a:effectLst/>
          </c:spPr>
          <c:invertIfNegative val="0"/>
          <c:cat>
            <c:numRef>
              <c:f>'Figure 1'!$B$10:$B$13</c:f>
              <c:numCache>
                <c:formatCode>General</c:formatCode>
                <c:ptCount val="4"/>
              </c:numCache>
            </c:numRef>
          </c:cat>
          <c:val>
            <c:numRef>
              <c:f>'Figure 1'!$F$10:$F$13</c:f>
              <c:numCache>
                <c:formatCode>General</c:formatCode>
                <c:ptCount val="4"/>
                <c:pt idx="0">
                  <c:v>29091</c:v>
                </c:pt>
                <c:pt idx="1">
                  <c:v>0</c:v>
                </c:pt>
                <c:pt idx="2">
                  <c:v>0</c:v>
                </c:pt>
                <c:pt idx="3">
                  <c:v>0</c:v>
                </c:pt>
              </c:numCache>
            </c:numRef>
          </c:val>
          <c:extLst>
            <c:ext xmlns:c16="http://schemas.microsoft.com/office/drawing/2014/chart" uri="{C3380CC4-5D6E-409C-BE32-E72D297353CC}">
              <c16:uniqueId val="{00000004-DC74-4FB6-B212-A53E4E315B17}"/>
            </c:ext>
          </c:extLst>
        </c:ser>
        <c:ser>
          <c:idx val="4"/>
          <c:order val="4"/>
          <c:tx>
            <c:strRef>
              <c:f>'Figure 1'!$G$9</c:f>
              <c:strCache>
                <c:ptCount val="1"/>
                <c:pt idx="0">
                  <c:v>Short-term unemp</c:v>
                </c:pt>
              </c:strCache>
            </c:strRef>
          </c:tx>
          <c:spPr>
            <a:solidFill>
              <a:srgbClr val="FFFF00"/>
            </a:solidFill>
            <a:ln>
              <a:solidFill>
                <a:schemeClr val="tx1"/>
              </a:solidFill>
            </a:ln>
            <a:effectLst/>
          </c:spPr>
          <c:invertIfNegative val="0"/>
          <c:cat>
            <c:numRef>
              <c:f>'Figure 1'!$B$10:$B$13</c:f>
              <c:numCache>
                <c:formatCode>General</c:formatCode>
                <c:ptCount val="4"/>
              </c:numCache>
            </c:numRef>
          </c:cat>
          <c:val>
            <c:numRef>
              <c:f>'Figure 1'!$G$10:$G$13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DC74-4FB6-B212-A53E4E315B17}"/>
            </c:ext>
          </c:extLst>
        </c:ser>
        <c:ser>
          <c:idx val="5"/>
          <c:order val="5"/>
          <c:tx>
            <c:strRef>
              <c:f>'Figure 1'!$H$9</c:f>
              <c:strCache>
                <c:ptCount val="1"/>
                <c:pt idx="0">
                  <c:v>Genuinely disengaged</c:v>
                </c:pt>
              </c:strCache>
            </c:strRef>
          </c:tx>
          <c:spPr>
            <a:solidFill>
              <a:srgbClr val="FF0000"/>
            </a:solidFill>
            <a:ln>
              <a:solidFill>
                <a:schemeClr val="tx1"/>
              </a:solidFill>
            </a:ln>
            <a:effectLst/>
          </c:spPr>
          <c:invertIfNegative val="0"/>
          <c:dLbls>
            <c:dLbl>
              <c:idx val="0"/>
              <c:layout>
                <c:manualLayout>
                  <c:x val="2.4033968265509738E-2"/>
                  <c:y val="-7.6885013029285312E-2"/>
                </c:manualLayout>
              </c:layout>
              <c:tx>
                <c:rich>
                  <a:bodyPr/>
                  <a:lstStyle/>
                  <a:p>
                    <a:r>
                      <a:rPr lang="en-US"/>
                      <a:t>19.4% adjusted</a:t>
                    </a:r>
                    <a:r>
                      <a:rPr lang="en-US" baseline="0"/>
                      <a:t> NEET rate</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C74-4FB6-B212-A53E4E315B17}"/>
                </c:ext>
              </c:extLst>
            </c:dLbl>
            <c:dLbl>
              <c:idx val="1"/>
              <c:delete val="1"/>
              <c:extLst>
                <c:ext xmlns:c15="http://schemas.microsoft.com/office/drawing/2012/chart" uri="{CE6537A1-D6FC-4f65-9D91-7224C49458BB}"/>
                <c:ext xmlns:c16="http://schemas.microsoft.com/office/drawing/2014/chart" uri="{C3380CC4-5D6E-409C-BE32-E72D297353CC}">
                  <c16:uniqueId val="{00000007-DC74-4FB6-B212-A53E4E315B17}"/>
                </c:ext>
              </c:extLst>
            </c:dLbl>
            <c:dLbl>
              <c:idx val="2"/>
              <c:delete val="1"/>
              <c:extLst>
                <c:ext xmlns:c15="http://schemas.microsoft.com/office/drawing/2012/chart" uri="{CE6537A1-D6FC-4f65-9D91-7224C49458BB}"/>
                <c:ext xmlns:c16="http://schemas.microsoft.com/office/drawing/2014/chart" uri="{C3380CC4-5D6E-409C-BE32-E72D297353CC}">
                  <c16:uniqueId val="{00000008-DC74-4FB6-B212-A53E4E315B17}"/>
                </c:ext>
              </c:extLst>
            </c:dLbl>
            <c:dLbl>
              <c:idx val="3"/>
              <c:layout>
                <c:manualLayout>
                  <c:x val="0.12056737588652482"/>
                  <c:y val="0"/>
                </c:manualLayout>
              </c:layout>
              <c:tx>
                <c:rich>
                  <a:bodyPr/>
                  <a:lstStyle/>
                  <a:p>
                    <a:r>
                      <a:rPr lang="en-US"/>
                      <a:t>35.5% NEET rate</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C74-4FB6-B212-A53E4E315B17}"/>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1'!$B$10:$B$13</c:f>
              <c:numCache>
                <c:formatCode>General</c:formatCode>
                <c:ptCount val="4"/>
              </c:numCache>
            </c:numRef>
          </c:cat>
          <c:val>
            <c:numRef>
              <c:f>'Figure 1'!$H$10:$H$13</c:f>
              <c:numCache>
                <c:formatCode>General</c:formatCode>
                <c:ptCount val="4"/>
                <c:pt idx="0">
                  <c:v>314651</c:v>
                </c:pt>
                <c:pt idx="1">
                  <c:v>0</c:v>
                </c:pt>
                <c:pt idx="2">
                  <c:v>0</c:v>
                </c:pt>
                <c:pt idx="3">
                  <c:v>0</c:v>
                </c:pt>
              </c:numCache>
            </c:numRef>
          </c:val>
          <c:extLst>
            <c:ext xmlns:c16="http://schemas.microsoft.com/office/drawing/2014/chart" uri="{C3380CC4-5D6E-409C-BE32-E72D297353CC}">
              <c16:uniqueId val="{0000000A-DC74-4FB6-B212-A53E4E315B17}"/>
            </c:ext>
          </c:extLst>
        </c:ser>
        <c:ser>
          <c:idx val="6"/>
          <c:order val="6"/>
          <c:tx>
            <c:strRef>
              <c:f>'Figure 1'!$I$9</c:f>
              <c:strCache>
                <c:ptCount val="1"/>
                <c:pt idx="0">
                  <c:v>Remaining NEET</c:v>
                </c:pt>
              </c:strCache>
            </c:strRef>
          </c:tx>
          <c:spPr>
            <a:solidFill>
              <a:schemeClr val="bg1">
                <a:lumMod val="65000"/>
              </a:schemeClr>
            </a:solidFill>
            <a:ln>
              <a:solidFill>
                <a:schemeClr val="tx1"/>
              </a:solidFill>
            </a:ln>
            <a:effectLst/>
          </c:spPr>
          <c:invertIfNegative val="0"/>
          <c:cat>
            <c:numRef>
              <c:f>'Figure 1'!$B$10:$B$13</c:f>
              <c:numCache>
                <c:formatCode>General</c:formatCode>
                <c:ptCount val="4"/>
              </c:numCache>
            </c:numRef>
          </c:cat>
          <c:val>
            <c:numRef>
              <c:f>'Figure 1'!$I$10:$I$13</c:f>
              <c:numCache>
                <c:formatCode>General</c:formatCode>
                <c:ptCount val="4"/>
                <c:pt idx="0">
                  <c:v>0</c:v>
                </c:pt>
                <c:pt idx="1">
                  <c:v>343082</c:v>
                </c:pt>
                <c:pt idx="2">
                  <c:v>440692</c:v>
                </c:pt>
                <c:pt idx="3">
                  <c:v>575111</c:v>
                </c:pt>
              </c:numCache>
            </c:numRef>
          </c:val>
          <c:extLst>
            <c:ext xmlns:c16="http://schemas.microsoft.com/office/drawing/2014/chart" uri="{C3380CC4-5D6E-409C-BE32-E72D297353CC}">
              <c16:uniqueId val="{0000000B-DC74-4FB6-B212-A53E4E315B17}"/>
            </c:ext>
          </c:extLst>
        </c:ser>
        <c:dLbls>
          <c:showLegendKey val="0"/>
          <c:showVal val="0"/>
          <c:showCatName val="0"/>
          <c:showSerName val="0"/>
          <c:showPercent val="0"/>
          <c:showBubbleSize val="0"/>
        </c:dLbls>
        <c:gapWidth val="70"/>
        <c:overlap val="100"/>
        <c:axId val="1626072944"/>
        <c:axId val="1626090224"/>
      </c:barChart>
      <c:catAx>
        <c:axId val="162607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26090224"/>
        <c:crosses val="autoZero"/>
        <c:auto val="1"/>
        <c:lblAlgn val="ctr"/>
        <c:lblOffset val="100"/>
        <c:noMultiLvlLbl val="0"/>
      </c:catAx>
      <c:valAx>
        <c:axId val="16260902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26072944"/>
        <c:crosses val="autoZero"/>
        <c:crossBetween val="between"/>
      </c:valAx>
      <c:spPr>
        <a:noFill/>
        <a:ln>
          <a:noFill/>
        </a:ln>
        <a:effectLst/>
      </c:spPr>
    </c:plotArea>
    <c:legend>
      <c:legendPos val="r"/>
      <c:legendEntry>
        <c:idx val="4"/>
        <c:delete val="1"/>
      </c:legendEntry>
      <c:legendEntry>
        <c:idx val="5"/>
        <c:delete val="1"/>
      </c:legendEntry>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2'!$D$15</c:f>
              <c:strCache>
                <c:ptCount val="1"/>
                <c:pt idx="0">
                  <c:v>Rate</c:v>
                </c:pt>
              </c:strCache>
            </c:strRef>
          </c:tx>
          <c:spPr>
            <a:solidFill>
              <a:schemeClr val="bg1">
                <a:lumMod val="75000"/>
              </a:schemeClr>
            </a:solidFill>
            <a:ln>
              <a:solidFill>
                <a:schemeClr val="accent2">
                  <a:lumMod val="50000"/>
                </a:schemeClr>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3ABA-4D35-8D9C-5F71311CFB29}"/>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2'!$B$16:$C$24</c:f>
              <c:multiLvlStrCache>
                <c:ptCount val="9"/>
                <c:lvl>
                  <c:pt idx="0">
                    <c:v>NEET rate</c:v>
                  </c:pt>
                  <c:pt idx="1">
                    <c:v>minus informal students</c:v>
                  </c:pt>
                  <c:pt idx="2">
                    <c:v>minus future students</c:v>
                  </c:pt>
                  <c:pt idx="3">
                    <c:v>minus care/ngo economy</c:v>
                  </c:pt>
                  <c:pt idx="5">
                    <c:v>NEET rate</c:v>
                  </c:pt>
                  <c:pt idx="6">
                    <c:v>minus informal students</c:v>
                  </c:pt>
                  <c:pt idx="7">
                    <c:v>minus future students</c:v>
                  </c:pt>
                  <c:pt idx="8">
                    <c:v>minus care/ngo economy</c:v>
                  </c:pt>
                </c:lvl>
                <c:lvl>
                  <c:pt idx="0">
                    <c:v>Men</c:v>
                  </c:pt>
                  <c:pt idx="4">
                    <c:v>.</c:v>
                  </c:pt>
                  <c:pt idx="5">
                    <c:v>Women</c:v>
                  </c:pt>
                </c:lvl>
              </c:multiLvlStrCache>
            </c:multiLvlStrRef>
          </c:cat>
          <c:val>
            <c:numRef>
              <c:f>'Figure 2'!$D$16:$D$24</c:f>
              <c:numCache>
                <c:formatCode>General</c:formatCode>
                <c:ptCount val="9"/>
                <c:pt idx="0">
                  <c:v>28.45</c:v>
                </c:pt>
                <c:pt idx="1">
                  <c:v>20.58</c:v>
                </c:pt>
                <c:pt idx="2">
                  <c:v>15.84</c:v>
                </c:pt>
                <c:pt idx="3">
                  <c:v>15.51</c:v>
                </c:pt>
                <c:pt idx="4">
                  <c:v>0</c:v>
                </c:pt>
                <c:pt idx="5">
                  <c:v>41.2</c:v>
                </c:pt>
                <c:pt idx="6">
                  <c:v>32.6</c:v>
                </c:pt>
                <c:pt idx="7">
                  <c:v>25.5</c:v>
                </c:pt>
                <c:pt idx="8">
                  <c:v>22.6</c:v>
                </c:pt>
              </c:numCache>
            </c:numRef>
          </c:val>
          <c:extLst>
            <c:ext xmlns:c16="http://schemas.microsoft.com/office/drawing/2014/chart" uri="{C3380CC4-5D6E-409C-BE32-E72D297353CC}">
              <c16:uniqueId val="{00000001-3ABA-4D35-8D9C-5F71311CFB29}"/>
            </c:ext>
          </c:extLst>
        </c:ser>
        <c:dLbls>
          <c:showLegendKey val="0"/>
          <c:showVal val="0"/>
          <c:showCatName val="0"/>
          <c:showSerName val="0"/>
          <c:showPercent val="0"/>
          <c:showBubbleSize val="0"/>
        </c:dLbls>
        <c:gapWidth val="50"/>
        <c:overlap val="-27"/>
        <c:axId val="644338832"/>
        <c:axId val="644333072"/>
      </c:barChart>
      <c:catAx>
        <c:axId val="64433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44333072"/>
        <c:crosses val="autoZero"/>
        <c:auto val="1"/>
        <c:lblAlgn val="ctr"/>
        <c:lblOffset val="100"/>
        <c:noMultiLvlLbl val="0"/>
      </c:catAx>
      <c:valAx>
        <c:axId val="644333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Percentage</a:t>
                </a:r>
                <a:r>
                  <a:rPr lang="es-ES" baseline="0"/>
                  <a:t> (%)</a:t>
                </a:r>
                <a:endParaRPr lang="es-E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4433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3'!$D$15</c:f>
              <c:strCache>
                <c:ptCount val="1"/>
                <c:pt idx="0">
                  <c:v>Participation rate</c:v>
                </c:pt>
              </c:strCache>
            </c:strRef>
          </c:tx>
          <c:spPr>
            <a:solidFill>
              <a:schemeClr val="accent2">
                <a:lumMod val="20000"/>
                <a:lumOff val="80000"/>
              </a:schemeClr>
            </a:solidFill>
            <a:ln w="19050">
              <a:solidFill>
                <a:schemeClr val="accent2">
                  <a:lumMod val="50000"/>
                </a:schemeClr>
              </a:solidFill>
            </a:ln>
            <a:effectLst/>
          </c:spPr>
          <c:invertIfNegative val="0"/>
          <c:cat>
            <c:multiLvlStrRef>
              <c:f>'Figure 3'!$B$16:$C$23</c:f>
              <c:multiLvlStrCache>
                <c:ptCount val="8"/>
                <c:lvl>
                  <c:pt idx="0">
                    <c:v>Men</c:v>
                  </c:pt>
                  <c:pt idx="1">
                    <c:v>Women</c:v>
                  </c:pt>
                  <c:pt idx="2">
                    <c:v>Men</c:v>
                  </c:pt>
                  <c:pt idx="3">
                    <c:v>Women</c:v>
                  </c:pt>
                  <c:pt idx="4">
                    <c:v>Men</c:v>
                  </c:pt>
                  <c:pt idx="5">
                    <c:v>Women</c:v>
                  </c:pt>
                  <c:pt idx="6">
                    <c:v>Men</c:v>
                  </c:pt>
                  <c:pt idx="7">
                    <c:v>Women</c:v>
                  </c:pt>
                </c:lvl>
                <c:lvl>
                  <c:pt idx="0">
                    <c:v>Childcare</c:v>
                  </c:pt>
                  <c:pt idx="2">
                    <c:v>Adultcare</c:v>
                  </c:pt>
                  <c:pt idx="4">
                    <c:v>Volunteer</c:v>
                  </c:pt>
                  <c:pt idx="6">
                    <c:v>Self-study</c:v>
                  </c:pt>
                </c:lvl>
              </c:multiLvlStrCache>
            </c:multiLvlStrRef>
          </c:cat>
          <c:val>
            <c:numRef>
              <c:f>'Figure 3'!$D$16:$D$23</c:f>
              <c:numCache>
                <c:formatCode>General</c:formatCode>
                <c:ptCount val="8"/>
                <c:pt idx="0">
                  <c:v>1.1356678361527632</c:v>
                </c:pt>
                <c:pt idx="1">
                  <c:v>6.3501977697825653</c:v>
                </c:pt>
                <c:pt idx="2">
                  <c:v>1.446847974256408</c:v>
                </c:pt>
                <c:pt idx="3">
                  <c:v>3.3854387807548774</c:v>
                </c:pt>
                <c:pt idx="4">
                  <c:v>5.1446959708596838</c:v>
                </c:pt>
                <c:pt idx="5">
                  <c:v>4.9599991061252764</c:v>
                </c:pt>
                <c:pt idx="6">
                  <c:v>9.8517285302464863</c:v>
                </c:pt>
                <c:pt idx="7">
                  <c:v>15.209725356991218</c:v>
                </c:pt>
              </c:numCache>
            </c:numRef>
          </c:val>
          <c:extLst>
            <c:ext xmlns:c16="http://schemas.microsoft.com/office/drawing/2014/chart" uri="{C3380CC4-5D6E-409C-BE32-E72D297353CC}">
              <c16:uniqueId val="{00000000-F617-475B-A049-6D469DB03496}"/>
            </c:ext>
          </c:extLst>
        </c:ser>
        <c:dLbls>
          <c:showLegendKey val="0"/>
          <c:showVal val="0"/>
          <c:showCatName val="0"/>
          <c:showSerName val="0"/>
          <c:showPercent val="0"/>
          <c:showBubbleSize val="0"/>
        </c:dLbls>
        <c:gapWidth val="219"/>
        <c:axId val="1708082399"/>
        <c:axId val="1708074719"/>
      </c:barChart>
      <c:lineChart>
        <c:grouping val="standard"/>
        <c:varyColors val="0"/>
        <c:ser>
          <c:idx val="1"/>
          <c:order val="1"/>
          <c:tx>
            <c:strRef>
              <c:f>'Figure 3'!$E$15</c:f>
              <c:strCache>
                <c:ptCount val="1"/>
                <c:pt idx="0">
                  <c:v>Weekly hours (among active ones)</c:v>
                </c:pt>
              </c:strCache>
            </c:strRef>
          </c:tx>
          <c:spPr>
            <a:ln w="28575" cap="rnd">
              <a:noFill/>
              <a:round/>
            </a:ln>
            <a:effectLst/>
          </c:spPr>
          <c:marker>
            <c:symbol val="diamond"/>
            <c:size val="7"/>
            <c:spPr>
              <a:solidFill>
                <a:schemeClr val="accent3">
                  <a:lumMod val="40000"/>
                  <a:lumOff val="60000"/>
                </a:schemeClr>
              </a:solidFill>
              <a:ln w="15875">
                <a:solidFill>
                  <a:schemeClr val="accent3">
                    <a:lumMod val="50000"/>
                  </a:schemeClr>
                </a:solidFill>
              </a:ln>
              <a:effectLst/>
            </c:spPr>
          </c:marker>
          <c:cat>
            <c:multiLvlStrRef>
              <c:f>'Figure 3'!$B$16:$C$23</c:f>
              <c:multiLvlStrCache>
                <c:ptCount val="8"/>
                <c:lvl>
                  <c:pt idx="0">
                    <c:v>Men</c:v>
                  </c:pt>
                  <c:pt idx="1">
                    <c:v>Women</c:v>
                  </c:pt>
                  <c:pt idx="2">
                    <c:v>Men</c:v>
                  </c:pt>
                  <c:pt idx="3">
                    <c:v>Women</c:v>
                  </c:pt>
                  <c:pt idx="4">
                    <c:v>Men</c:v>
                  </c:pt>
                  <c:pt idx="5">
                    <c:v>Women</c:v>
                  </c:pt>
                  <c:pt idx="6">
                    <c:v>Men</c:v>
                  </c:pt>
                  <c:pt idx="7">
                    <c:v>Women</c:v>
                  </c:pt>
                </c:lvl>
                <c:lvl>
                  <c:pt idx="0">
                    <c:v>Childcare</c:v>
                  </c:pt>
                  <c:pt idx="2">
                    <c:v>Adultcare</c:v>
                  </c:pt>
                  <c:pt idx="4">
                    <c:v>Volunteer</c:v>
                  </c:pt>
                  <c:pt idx="6">
                    <c:v>Self-study</c:v>
                  </c:pt>
                </c:lvl>
              </c:multiLvlStrCache>
            </c:multiLvlStrRef>
          </c:cat>
          <c:val>
            <c:numRef>
              <c:f>'Figure 3'!$E$16:$E$23</c:f>
              <c:numCache>
                <c:formatCode>General</c:formatCode>
                <c:ptCount val="8"/>
                <c:pt idx="0">
                  <c:v>23.3</c:v>
                </c:pt>
                <c:pt idx="1">
                  <c:v>58.5</c:v>
                </c:pt>
                <c:pt idx="2">
                  <c:v>17.399999999999999</c:v>
                </c:pt>
                <c:pt idx="3">
                  <c:v>12.2</c:v>
                </c:pt>
                <c:pt idx="4">
                  <c:v>4.2</c:v>
                </c:pt>
                <c:pt idx="5">
                  <c:v>4.3</c:v>
                </c:pt>
                <c:pt idx="6">
                  <c:v>18.5</c:v>
                </c:pt>
                <c:pt idx="7">
                  <c:v>17.899999999999999</c:v>
                </c:pt>
              </c:numCache>
            </c:numRef>
          </c:val>
          <c:smooth val="0"/>
          <c:extLst>
            <c:ext xmlns:c16="http://schemas.microsoft.com/office/drawing/2014/chart" uri="{C3380CC4-5D6E-409C-BE32-E72D297353CC}">
              <c16:uniqueId val="{00000001-F617-475B-A049-6D469DB03496}"/>
            </c:ext>
          </c:extLst>
        </c:ser>
        <c:dLbls>
          <c:showLegendKey val="0"/>
          <c:showVal val="0"/>
          <c:showCatName val="0"/>
          <c:showSerName val="0"/>
          <c:showPercent val="0"/>
          <c:showBubbleSize val="0"/>
        </c:dLbls>
        <c:marker val="1"/>
        <c:smooth val="0"/>
        <c:axId val="1964658911"/>
        <c:axId val="1964664671"/>
      </c:lineChart>
      <c:catAx>
        <c:axId val="170808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08074719"/>
        <c:crosses val="autoZero"/>
        <c:auto val="1"/>
        <c:lblAlgn val="ctr"/>
        <c:lblOffset val="100"/>
        <c:noMultiLvlLbl val="0"/>
      </c:catAx>
      <c:valAx>
        <c:axId val="1708074719"/>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Participation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08082399"/>
        <c:crosses val="autoZero"/>
        <c:crossBetween val="between"/>
      </c:valAx>
      <c:valAx>
        <c:axId val="196466467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Weekly 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64658911"/>
        <c:crosses val="max"/>
        <c:crossBetween val="between"/>
      </c:valAx>
      <c:catAx>
        <c:axId val="1964658911"/>
        <c:scaling>
          <c:orientation val="minMax"/>
        </c:scaling>
        <c:delete val="1"/>
        <c:axPos val="b"/>
        <c:numFmt formatCode="General" sourceLinked="1"/>
        <c:majorTickMark val="out"/>
        <c:minorTickMark val="none"/>
        <c:tickLblPos val="nextTo"/>
        <c:crossAx val="19646646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46790-107D-B04D-8ECE-28090B82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Pinedo</dc:creator>
  <cp:lastModifiedBy>Merve AKGUL CEYLAN</cp:lastModifiedBy>
  <cp:revision>3</cp:revision>
  <cp:lastPrinted>2026-06-22T07:49:00Z</cp:lastPrinted>
  <dcterms:created xsi:type="dcterms:W3CDTF">2026-06-22T07:49:00Z</dcterms:created>
  <dcterms:modified xsi:type="dcterms:W3CDTF">2026-06-22T07:49:00Z</dcterms:modified>
</cp:coreProperties>
</file>