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45BEF" w14:textId="55C4350A" w:rsidR="00D07713" w:rsidRPr="00CC0355" w:rsidRDefault="00245B1A">
      <w:pPr>
        <w:rPr>
          <w:rFonts w:ascii="Palatino Linotype" w:hAnsi="Palatino Linotype" w:cstheme="minorHAnsi"/>
        </w:rPr>
      </w:pPr>
      <w:r w:rsidRPr="00CC0355">
        <w:rPr>
          <w:rFonts w:ascii="Palatino Linotype" w:hAnsi="Palatino Linotype" w:cstheme="minorHAnsi"/>
          <w:noProof/>
          <w:lang w:val="en-GB" w:eastAsia="en-GB"/>
        </w:rPr>
        <mc:AlternateContent>
          <mc:Choice Requires="wps">
            <w:drawing>
              <wp:anchor distT="0" distB="0" distL="114935" distR="114935" simplePos="0" relativeHeight="251658241" behindDoc="0" locked="0" layoutInCell="1" allowOverlap="1" wp14:anchorId="1A71AF94" wp14:editId="5995FB28">
                <wp:simplePos x="0" y="0"/>
                <wp:positionH relativeFrom="column">
                  <wp:posOffset>1797013</wp:posOffset>
                </wp:positionH>
                <wp:positionV relativeFrom="paragraph">
                  <wp:posOffset>-294603</wp:posOffset>
                </wp:positionV>
                <wp:extent cx="3819525" cy="64770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647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AA76D" w14:textId="77777777" w:rsidR="00D07713" w:rsidRDefault="00D07713" w:rsidP="00D07713">
                            <w:pPr>
                              <w:pStyle w:val="Heading1"/>
                              <w:rPr>
                                <w:rFonts w:ascii="Times New Roman" w:hAnsi="Times New Roman" w:cs="Times New Roman"/>
                                <w:sz w:val="40"/>
                                <w:szCs w:val="40"/>
                              </w:rPr>
                            </w:pPr>
                            <w:r w:rsidRPr="00803E3E">
                              <w:rPr>
                                <w:rFonts w:ascii="Times New Roman" w:hAnsi="Times New Roman" w:cs="Times New Roman"/>
                                <w:sz w:val="40"/>
                                <w:szCs w:val="40"/>
                              </w:rPr>
                              <w:t xml:space="preserve">Büyüme </w:t>
                            </w:r>
                            <w:r w:rsidR="00125770">
                              <w:rPr>
                                <w:rFonts w:ascii="Times New Roman" w:hAnsi="Times New Roman" w:cs="Times New Roman"/>
                                <w:sz w:val="40"/>
                                <w:szCs w:val="40"/>
                              </w:rPr>
                              <w:t>Değerlendirmesi</w:t>
                            </w:r>
                            <w:r w:rsidR="00125770" w:rsidRPr="00803E3E">
                              <w:rPr>
                                <w:rFonts w:ascii="Times New Roman" w:hAnsi="Times New Roman" w:cs="Times New Roman"/>
                                <w:sz w:val="40"/>
                                <w:szCs w:val="40"/>
                              </w:rPr>
                              <w:t>:</w:t>
                            </w:r>
                          </w:p>
                          <w:p w14:paraId="28E5CBD4" w14:textId="7257DB26" w:rsidR="00D07713" w:rsidRPr="00526178" w:rsidRDefault="001537D8" w:rsidP="00D07713">
                            <w:pPr>
                              <w:pStyle w:val="Heading1"/>
                              <w:rPr>
                                <w:b w:val="0"/>
                                <w:bCs w:val="0"/>
                                <w:i/>
                                <w:iCs/>
                              </w:rPr>
                            </w:pPr>
                            <w:r>
                              <w:rPr>
                                <w:rFonts w:ascii="Times New Roman" w:hAnsi="Times New Roman" w:cs="Times New Roman"/>
                                <w:sz w:val="40"/>
                                <w:szCs w:val="40"/>
                              </w:rPr>
                              <w:t>20</w:t>
                            </w:r>
                            <w:r w:rsidR="00BB0912">
                              <w:rPr>
                                <w:rFonts w:ascii="Times New Roman" w:hAnsi="Times New Roman" w:cs="Times New Roman"/>
                                <w:sz w:val="40"/>
                                <w:szCs w:val="40"/>
                              </w:rPr>
                              <w:t>2</w:t>
                            </w:r>
                            <w:r w:rsidR="008D5917">
                              <w:rPr>
                                <w:rFonts w:ascii="Times New Roman" w:hAnsi="Times New Roman" w:cs="Times New Roman"/>
                                <w:sz w:val="40"/>
                                <w:szCs w:val="40"/>
                              </w:rPr>
                              <w:t>5</w:t>
                            </w:r>
                            <w:r>
                              <w:rPr>
                                <w:rFonts w:ascii="Times New Roman" w:hAnsi="Times New Roman" w:cs="Times New Roman"/>
                                <w:sz w:val="40"/>
                                <w:szCs w:val="40"/>
                              </w:rPr>
                              <w:t xml:space="preserve"> </w:t>
                            </w:r>
                            <w:r w:rsidR="006A51CC">
                              <w:rPr>
                                <w:rFonts w:ascii="Times New Roman" w:hAnsi="Times New Roman" w:cs="Times New Roman"/>
                                <w:sz w:val="40"/>
                                <w:szCs w:val="40"/>
                              </w:rPr>
                              <w:t>4</w:t>
                            </w:r>
                            <w:r w:rsidR="00D07713" w:rsidRPr="00803E3E">
                              <w:rPr>
                                <w:rFonts w:ascii="Times New Roman" w:hAnsi="Times New Roman" w:cs="Times New Roman"/>
                                <w:sz w:val="40"/>
                                <w:szCs w:val="40"/>
                              </w:rPr>
                              <w:t>. Çeyrek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1AF94" id="_x0000_t202" coordsize="21600,21600" o:spt="202" path="m,l,21600r21600,l21600,xe">
                <v:stroke joinstyle="miter"/>
                <v:path gradientshapeok="t" o:connecttype="rect"/>
              </v:shapetype>
              <v:shape id="Text Box 2" o:spid="_x0000_s1026" type="#_x0000_t202" style="position:absolute;margin-left:141.5pt;margin-top:-23.2pt;width:300.75pt;height:51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" stroked="f">
                <v:fill opacity="0"/>
                <v:textbox inset="0,0,0,0">
                  <w:txbxContent>
                    <w:p w14:paraId="37AAA76D" w14:textId="77777777" w:rsidR="00D07713" w:rsidRDefault="00D07713" w:rsidP="00D07713">
                      <w:pPr>
                        <w:pStyle w:val="Balk1"/>
                        <w:rPr>
                          <w:rFonts w:ascii="Times New Roman" w:hAnsi="Times New Roman" w:cs="Times New Roman"/>
                          <w:sz w:val="40"/>
                          <w:szCs w:val="40"/>
                        </w:rPr>
                      </w:pPr>
                      <w:r w:rsidRPr="00803E3E">
                        <w:rPr>
                          <w:rFonts w:ascii="Times New Roman" w:hAnsi="Times New Roman" w:cs="Times New Roman"/>
                          <w:sz w:val="40"/>
                          <w:szCs w:val="40"/>
                        </w:rPr>
                        <w:t xml:space="preserve">Büyüme </w:t>
                      </w:r>
                      <w:r w:rsidR="00125770">
                        <w:rPr>
                          <w:rFonts w:ascii="Times New Roman" w:hAnsi="Times New Roman" w:cs="Times New Roman"/>
                          <w:sz w:val="40"/>
                          <w:szCs w:val="40"/>
                        </w:rPr>
                        <w:t>Değerlendirmesi</w:t>
                      </w:r>
                      <w:r w:rsidR="00125770" w:rsidRPr="00803E3E">
                        <w:rPr>
                          <w:rFonts w:ascii="Times New Roman" w:hAnsi="Times New Roman" w:cs="Times New Roman"/>
                          <w:sz w:val="40"/>
                          <w:szCs w:val="40"/>
                        </w:rPr>
                        <w:t>:</w:t>
                      </w:r>
                    </w:p>
                    <w:p w14:paraId="28E5CBD4" w14:textId="7257DB26" w:rsidR="00D07713" w:rsidRPr="00526178" w:rsidRDefault="001537D8" w:rsidP="00D07713">
                      <w:pPr>
                        <w:pStyle w:val="Balk1"/>
                        <w:rPr>
                          <w:b w:val="0"/>
                          <w:bCs w:val="0"/>
                          <w:i/>
                          <w:iCs/>
                        </w:rPr>
                      </w:pPr>
                      <w:r>
                        <w:rPr>
                          <w:rFonts w:ascii="Times New Roman" w:hAnsi="Times New Roman" w:cs="Times New Roman"/>
                          <w:sz w:val="40"/>
                          <w:szCs w:val="40"/>
                        </w:rPr>
                        <w:t>20</w:t>
                      </w:r>
                      <w:r w:rsidR="00BB0912">
                        <w:rPr>
                          <w:rFonts w:ascii="Times New Roman" w:hAnsi="Times New Roman" w:cs="Times New Roman"/>
                          <w:sz w:val="40"/>
                          <w:szCs w:val="40"/>
                        </w:rPr>
                        <w:t>2</w:t>
                      </w:r>
                      <w:r w:rsidR="008D5917">
                        <w:rPr>
                          <w:rFonts w:ascii="Times New Roman" w:hAnsi="Times New Roman" w:cs="Times New Roman"/>
                          <w:sz w:val="40"/>
                          <w:szCs w:val="40"/>
                        </w:rPr>
                        <w:t>5</w:t>
                      </w:r>
                      <w:r>
                        <w:rPr>
                          <w:rFonts w:ascii="Times New Roman" w:hAnsi="Times New Roman" w:cs="Times New Roman"/>
                          <w:sz w:val="40"/>
                          <w:szCs w:val="40"/>
                        </w:rPr>
                        <w:t xml:space="preserve"> </w:t>
                      </w:r>
                      <w:r w:rsidR="006A51CC">
                        <w:rPr>
                          <w:rFonts w:ascii="Times New Roman" w:hAnsi="Times New Roman" w:cs="Times New Roman"/>
                          <w:sz w:val="40"/>
                          <w:szCs w:val="40"/>
                        </w:rPr>
                        <w:t>4</w:t>
                      </w:r>
                      <w:r w:rsidR="00D07713" w:rsidRPr="00803E3E">
                        <w:rPr>
                          <w:rFonts w:ascii="Times New Roman" w:hAnsi="Times New Roman" w:cs="Times New Roman"/>
                          <w:sz w:val="40"/>
                          <w:szCs w:val="40"/>
                        </w:rPr>
                        <w:t>. Çeyrek</w:t>
                      </w:r>
                    </w:p>
                  </w:txbxContent>
                </v:textbox>
              </v:shape>
            </w:pict>
          </mc:Fallback>
        </mc:AlternateContent>
      </w:r>
      <w:r>
        <w:rPr>
          <w:noProof/>
        </w:rPr>
        <w:drawing>
          <wp:anchor distT="0" distB="0" distL="114300" distR="114300" simplePos="0" relativeHeight="251659266" behindDoc="1" locked="0" layoutInCell="1" allowOverlap="1" wp14:anchorId="75ACD14E" wp14:editId="366DC11A">
            <wp:simplePos x="0" y="0"/>
            <wp:positionH relativeFrom="column">
              <wp:posOffset>-658495</wp:posOffset>
            </wp:positionH>
            <wp:positionV relativeFrom="paragraph">
              <wp:posOffset>-685388</wp:posOffset>
            </wp:positionV>
            <wp:extent cx="7141135" cy="1674312"/>
            <wp:effectExtent l="12700" t="12700" r="9525" b="15240"/>
            <wp:wrapNone/>
            <wp:docPr id="1597556025" name="Resim 1" descr="A close-up of a rainb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56025" name="Resim 1" descr="A close-up of a rainbow&#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68453" cy="170416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A2A657A" w14:textId="5BF14AB3" w:rsidR="00D07713" w:rsidRDefault="00D07713" w:rsidP="009E4A1F">
      <w:pPr>
        <w:spacing w:line="288" w:lineRule="auto"/>
        <w:ind w:right="-319"/>
        <w:outlineLvl w:val="0"/>
        <w:rPr>
          <w:rFonts w:ascii="Palatino Linotype" w:hAnsi="Palatino Linotype" w:cstheme="minorHAnsi"/>
        </w:rPr>
      </w:pPr>
    </w:p>
    <w:p w14:paraId="48D1A525" w14:textId="05487E48" w:rsidR="009E4A1F" w:rsidRPr="00245B1A" w:rsidRDefault="009E4A1F" w:rsidP="009E4A1F">
      <w:pPr>
        <w:spacing w:line="288" w:lineRule="auto"/>
        <w:ind w:right="-319"/>
        <w:outlineLvl w:val="0"/>
        <w:rPr>
          <w:rFonts w:ascii="Palatino Linotype" w:hAnsi="Palatino Linotype" w:cstheme="minorHAnsi"/>
          <w:b/>
          <w:bCs/>
          <w:sz w:val="28"/>
          <w:szCs w:val="28"/>
        </w:rPr>
      </w:pPr>
    </w:p>
    <w:p w14:paraId="6ED00D96" w14:textId="1C87C430" w:rsidR="00245B1A" w:rsidRDefault="00245B1A" w:rsidP="0002466A">
      <w:pPr>
        <w:spacing w:line="288" w:lineRule="auto"/>
        <w:ind w:right="-319"/>
        <w:jc w:val="center"/>
        <w:outlineLvl w:val="0"/>
        <w:rPr>
          <w:rFonts w:ascii="Palatino Linotype" w:hAnsi="Palatino Linotype" w:cstheme="minorHAnsi"/>
          <w:b/>
          <w:bCs/>
          <w:sz w:val="28"/>
          <w:szCs w:val="28"/>
        </w:rPr>
      </w:pPr>
      <w:r>
        <w:rPr>
          <w:noProof/>
        </w:rPr>
        <mc:AlternateContent>
          <mc:Choice Requires="wps">
            <w:drawing>
              <wp:anchor distT="0" distB="0" distL="114935" distR="114935" simplePos="0" relativeHeight="251661314" behindDoc="0" locked="0" layoutInCell="1" allowOverlap="1" wp14:anchorId="445C63A7" wp14:editId="5F93ADAA">
                <wp:simplePos x="0" y="0"/>
                <wp:positionH relativeFrom="margin">
                  <wp:posOffset>5284694</wp:posOffset>
                </wp:positionH>
                <wp:positionV relativeFrom="page">
                  <wp:posOffset>1675392</wp:posOffset>
                </wp:positionV>
                <wp:extent cx="1087120" cy="216000"/>
                <wp:effectExtent l="0" t="0" r="0" b="0"/>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87120" cy="216000"/>
                        </a:xfrm>
                        <a:prstGeom prst="rect">
                          <a:avLst/>
                        </a:prstGeom>
                        <a:solidFill>
                          <a:srgbClr val="FFFFFF">
                            <a:alpha val="0"/>
                          </a:srgbClr>
                        </a:solidFill>
                        <a:ln>
                          <a:noFill/>
                        </a:ln>
                      </wps:spPr>
                      <wps:txbx>
                        <w:txbxContent>
                          <w:p w14:paraId="7C2CA3C4" w14:textId="22D2C67C" w:rsidR="00245B1A" w:rsidRPr="00F458F8" w:rsidRDefault="006A51CC" w:rsidP="00245B1A">
                            <w:pPr>
                              <w:jc w:val="center"/>
                              <w:rPr>
                                <w:b/>
                                <w:bCs/>
                                <w:color w:val="FFFFFF" w:themeColor="background1"/>
                              </w:rPr>
                            </w:pPr>
                            <w:r>
                              <w:rPr>
                                <w:b/>
                                <w:bCs/>
                                <w:color w:val="FFFFFF" w:themeColor="background1"/>
                              </w:rPr>
                              <w:t>2</w:t>
                            </w:r>
                            <w:r w:rsidR="00457E4E">
                              <w:rPr>
                                <w:b/>
                                <w:bCs/>
                                <w:color w:val="FFFFFF" w:themeColor="background1"/>
                              </w:rPr>
                              <w:t xml:space="preserve">6 </w:t>
                            </w:r>
                            <w:r>
                              <w:rPr>
                                <w:b/>
                                <w:bCs/>
                                <w:color w:val="FFFFFF" w:themeColor="background1"/>
                              </w:rPr>
                              <w:t>Mart</w:t>
                            </w:r>
                            <w:r w:rsidR="00245B1A" w:rsidRPr="00245B1A">
                              <w:rPr>
                                <w:b/>
                                <w:bCs/>
                                <w:color w:val="FFFFFF" w:themeColor="background1"/>
                              </w:rPr>
                              <w:t xml:space="preserve"> 2025</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C63A7" id="_x0000_t202" coordsize="21600,21600" o:spt="202" path="m,l,21600r21600,l21600,xe">
                <v:stroke joinstyle="miter"/>
                <v:path gradientshapeok="t" o:connecttype="rect"/>
              </v:shapetype>
              <v:shape id="Metin Kutusu 18" o:spid="_x0000_s1027" type="#_x0000_t202" style="position:absolute;left:0;text-align:left;margin-left:416.1pt;margin-top:131.9pt;width:85.6pt;height:17pt;flip:y;z-index:251661314;visibility:visible;mso-wrap-style:square;mso-width-percent:0;mso-height-percent:0;mso-wrap-distance-left:9.05pt;mso-wrap-distance-top:0;mso-wrap-distance-right:9.0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" stroked="f">
                <v:fill opacity="0"/>
                <v:textbox inset="0,0,0,0">
                  <w:txbxContent>
                    <w:p w14:paraId="7C2CA3C4" w14:textId="22D2C67C" w:rsidR="00245B1A" w:rsidRPr="00F458F8" w:rsidRDefault="006A51CC" w:rsidP="00245B1A">
                      <w:pPr>
                        <w:jc w:val="center"/>
                        <w:rPr>
                          <w:b/>
                          <w:bCs/>
                          <w:color w:val="FFFFFF" w:themeColor="background1"/>
                        </w:rPr>
                      </w:pPr>
                      <w:r>
                        <w:rPr>
                          <w:b/>
                          <w:bCs/>
                          <w:color w:val="FFFFFF" w:themeColor="background1"/>
                        </w:rPr>
                        <w:t>2</w:t>
                      </w:r>
                      <w:r w:rsidR="00457E4E">
                        <w:rPr>
                          <w:b/>
                          <w:bCs/>
                          <w:color w:val="FFFFFF" w:themeColor="background1"/>
                        </w:rPr>
                        <w:t xml:space="preserve">6 </w:t>
                      </w:r>
                      <w:r>
                        <w:rPr>
                          <w:b/>
                          <w:bCs/>
                          <w:color w:val="FFFFFF" w:themeColor="background1"/>
                        </w:rPr>
                        <w:t>Mart</w:t>
                      </w:r>
                      <w:r w:rsidR="00245B1A" w:rsidRPr="00245B1A">
                        <w:rPr>
                          <w:b/>
                          <w:bCs/>
                          <w:color w:val="FFFFFF" w:themeColor="background1"/>
                        </w:rPr>
                        <w:t xml:space="preserve"> 2025</w:t>
                      </w:r>
                    </w:p>
                  </w:txbxContent>
                </v:textbox>
                <w10:wrap anchorx="margin" anchory="page"/>
              </v:shape>
            </w:pict>
          </mc:Fallback>
        </mc:AlternateContent>
      </w:r>
      <w:r w:rsidR="00810D9B" w:rsidRPr="00245B1A">
        <w:rPr>
          <w:rFonts w:ascii="Palatino Linotype" w:hAnsi="Palatino Linotype" w:cstheme="minorHAnsi"/>
          <w:b/>
          <w:bCs/>
          <w:sz w:val="28"/>
          <w:szCs w:val="28"/>
        </w:rPr>
        <w:t xml:space="preserve"> </w:t>
      </w:r>
    </w:p>
    <w:p w14:paraId="05B02CBB" w14:textId="2D2E617D" w:rsidR="00245B1A" w:rsidRDefault="00245B1A" w:rsidP="0002466A">
      <w:pPr>
        <w:spacing w:line="288" w:lineRule="auto"/>
        <w:ind w:right="-319"/>
        <w:jc w:val="center"/>
        <w:outlineLvl w:val="0"/>
        <w:rPr>
          <w:rFonts w:ascii="Palatino Linotype" w:hAnsi="Palatino Linotype" w:cstheme="minorHAnsi"/>
          <w:b/>
          <w:bCs/>
          <w:sz w:val="28"/>
          <w:szCs w:val="28"/>
        </w:rPr>
      </w:pPr>
    </w:p>
    <w:p w14:paraId="6D031923" w14:textId="31259916" w:rsidR="0002466A" w:rsidRPr="00245B1A" w:rsidRDefault="006A51CC" w:rsidP="0002466A">
      <w:pPr>
        <w:spacing w:line="288" w:lineRule="auto"/>
        <w:ind w:right="-319"/>
        <w:jc w:val="center"/>
        <w:outlineLvl w:val="0"/>
        <w:rPr>
          <w:rFonts w:ascii="Palatino Linotype" w:hAnsi="Palatino Linotype" w:cstheme="minorHAnsi"/>
          <w:b/>
          <w:bCs/>
          <w:sz w:val="28"/>
          <w:szCs w:val="28"/>
        </w:rPr>
      </w:pPr>
      <w:r>
        <w:rPr>
          <w:rFonts w:ascii="Palatino Linotype" w:hAnsi="Palatino Linotype" w:cstheme="minorHAnsi"/>
          <w:b/>
          <w:bCs/>
          <w:sz w:val="28"/>
          <w:szCs w:val="28"/>
        </w:rPr>
        <w:t>ÖZEL TÜKETİM</w:t>
      </w:r>
      <w:r w:rsidR="00E41A80">
        <w:rPr>
          <w:rFonts w:ascii="Palatino Linotype" w:hAnsi="Palatino Linotype" w:cstheme="minorHAnsi"/>
          <w:b/>
          <w:bCs/>
          <w:sz w:val="28"/>
          <w:szCs w:val="28"/>
        </w:rPr>
        <w:t xml:space="preserve">E DAYALI </w:t>
      </w:r>
      <w:r w:rsidR="00725F5E" w:rsidRPr="00245B1A">
        <w:rPr>
          <w:rFonts w:ascii="Palatino Linotype" w:hAnsi="Palatino Linotype" w:cstheme="minorHAnsi"/>
          <w:b/>
          <w:bCs/>
          <w:sz w:val="28"/>
          <w:szCs w:val="28"/>
        </w:rPr>
        <w:t>BÜYÜME</w:t>
      </w:r>
    </w:p>
    <w:p w14:paraId="428E7403" w14:textId="60898856" w:rsidR="00D07713" w:rsidRPr="00637DF8" w:rsidRDefault="006F4B75" w:rsidP="004623F2">
      <w:pPr>
        <w:spacing w:line="288" w:lineRule="auto"/>
        <w:ind w:right="-319"/>
        <w:jc w:val="center"/>
        <w:outlineLvl w:val="0"/>
        <w:rPr>
          <w:rFonts w:ascii="Palatino Linotype" w:hAnsi="Palatino Linotype" w:cstheme="minorHAnsi"/>
        </w:rPr>
      </w:pPr>
      <w:r>
        <w:rPr>
          <w:rFonts w:ascii="Palatino Linotype" w:hAnsi="Palatino Linotype" w:cstheme="minorHAnsi"/>
          <w:b/>
          <w:bCs/>
          <w:sz w:val="22"/>
          <w:szCs w:val="22"/>
        </w:rPr>
        <w:t>Seyfettin Gürsel</w:t>
      </w:r>
      <w:r w:rsidR="00C32789" w:rsidRPr="00637DF8">
        <w:rPr>
          <w:rStyle w:val="FootnoteReference"/>
          <w:rFonts w:ascii="Palatino Linotype" w:hAnsi="Palatino Linotype" w:cstheme="minorHAnsi"/>
          <w:b/>
          <w:bCs/>
          <w:sz w:val="22"/>
          <w:szCs w:val="22"/>
        </w:rPr>
        <w:footnoteReference w:id="2"/>
      </w:r>
      <w:r w:rsidR="001537D8" w:rsidRPr="00637DF8">
        <w:rPr>
          <w:rFonts w:ascii="Palatino Linotype" w:hAnsi="Palatino Linotype" w:cstheme="minorHAnsi"/>
          <w:b/>
          <w:bCs/>
          <w:sz w:val="22"/>
          <w:szCs w:val="22"/>
        </w:rPr>
        <w:t xml:space="preserve"> ve </w:t>
      </w:r>
      <w:r w:rsidR="006A51CC">
        <w:rPr>
          <w:rFonts w:ascii="Palatino Linotype" w:hAnsi="Palatino Linotype" w:cstheme="minorHAnsi"/>
          <w:b/>
          <w:bCs/>
          <w:sz w:val="22"/>
          <w:szCs w:val="22"/>
        </w:rPr>
        <w:t>Saliha Tanrıverdi</w:t>
      </w:r>
      <w:r w:rsidR="001537D8" w:rsidRPr="00637DF8">
        <w:rPr>
          <w:rStyle w:val="FootnoteReference"/>
          <w:rFonts w:ascii="Palatino Linotype" w:hAnsi="Palatino Linotype" w:cstheme="minorHAnsi"/>
          <w:b/>
          <w:bCs/>
          <w:sz w:val="22"/>
          <w:szCs w:val="22"/>
        </w:rPr>
        <w:footnoteReference w:id="3"/>
      </w:r>
    </w:p>
    <w:p w14:paraId="6E057918" w14:textId="77777777" w:rsidR="00405BD8" w:rsidRPr="00637DF8" w:rsidRDefault="00405BD8" w:rsidP="00751F72">
      <w:pPr>
        <w:jc w:val="center"/>
        <w:rPr>
          <w:rFonts w:ascii="Palatino Linotype" w:hAnsi="Palatino Linotype" w:cstheme="minorHAnsi"/>
          <w:b/>
          <w:sz w:val="22"/>
          <w:szCs w:val="22"/>
        </w:rPr>
      </w:pPr>
    </w:p>
    <w:p w14:paraId="2F0E4C03" w14:textId="77777777" w:rsidR="00C34D9B" w:rsidRPr="00637DF8" w:rsidRDefault="00D257C1" w:rsidP="00C34D9B">
      <w:pPr>
        <w:spacing w:line="360" w:lineRule="auto"/>
        <w:jc w:val="center"/>
        <w:rPr>
          <w:rFonts w:ascii="Palatino Linotype" w:hAnsi="Palatino Linotype" w:cstheme="minorHAnsi"/>
          <w:b/>
          <w:sz w:val="22"/>
          <w:szCs w:val="22"/>
        </w:rPr>
      </w:pPr>
      <w:r w:rsidRPr="00637DF8">
        <w:rPr>
          <w:rFonts w:ascii="Palatino Linotype" w:hAnsi="Palatino Linotype" w:cstheme="minorHAnsi"/>
          <w:b/>
          <w:sz w:val="22"/>
          <w:szCs w:val="22"/>
        </w:rPr>
        <w:t>Yönetici</w:t>
      </w:r>
      <w:r w:rsidR="00C86475" w:rsidRPr="00637DF8">
        <w:rPr>
          <w:rFonts w:ascii="Palatino Linotype" w:hAnsi="Palatino Linotype" w:cstheme="minorHAnsi"/>
          <w:b/>
          <w:sz w:val="22"/>
          <w:szCs w:val="22"/>
        </w:rPr>
        <w:t xml:space="preserve"> </w:t>
      </w:r>
      <w:r w:rsidRPr="00637DF8">
        <w:rPr>
          <w:rFonts w:ascii="Palatino Linotype" w:hAnsi="Palatino Linotype" w:cstheme="minorHAnsi"/>
          <w:b/>
          <w:sz w:val="22"/>
          <w:szCs w:val="22"/>
        </w:rPr>
        <w:t>Özeti</w:t>
      </w:r>
      <w:bookmarkStart w:id="0" w:name="OLE_LINK5"/>
      <w:bookmarkStart w:id="1" w:name="OLE_LINK6"/>
    </w:p>
    <w:p w14:paraId="2AB983CC" w14:textId="2DBF16A8" w:rsidR="000B09B0" w:rsidRPr="000B09B0" w:rsidRDefault="00034933" w:rsidP="000B09B0">
      <w:pPr>
        <w:spacing w:line="360" w:lineRule="auto"/>
        <w:jc w:val="both"/>
        <w:rPr>
          <w:rFonts w:ascii="Palatino Linotype" w:hAnsi="Palatino Linotype" w:cstheme="minorHAnsi"/>
          <w:sz w:val="22"/>
          <w:szCs w:val="22"/>
        </w:rPr>
      </w:pPr>
      <w:r w:rsidRPr="000B09B0">
        <w:rPr>
          <w:rFonts w:ascii="Palatino Linotype" w:hAnsi="Palatino Linotype" w:cstheme="minorHAnsi"/>
          <w:sz w:val="22"/>
          <w:szCs w:val="22"/>
        </w:rPr>
        <w:t>Türkiye ekonomisi 2025 yılının dördüncü çeyreğinde yıllık yüzde 3,4, çeyreklik bazda ise yüzde 0,4 büyüdü</w:t>
      </w:r>
      <w:r>
        <w:rPr>
          <w:rFonts w:ascii="Palatino Linotype" w:hAnsi="Palatino Linotype" w:cstheme="minorHAnsi"/>
          <w:sz w:val="22"/>
          <w:szCs w:val="22"/>
        </w:rPr>
        <w:t xml:space="preserve"> (Şekil 2)</w:t>
      </w:r>
      <w:r w:rsidRPr="000B09B0">
        <w:rPr>
          <w:rFonts w:ascii="Palatino Linotype" w:hAnsi="Palatino Linotype" w:cstheme="minorHAnsi"/>
          <w:sz w:val="22"/>
          <w:szCs w:val="22"/>
        </w:rPr>
        <w:t xml:space="preserve">. </w:t>
      </w:r>
      <w:r w:rsidR="00905619" w:rsidRPr="00905619">
        <w:rPr>
          <w:rFonts w:ascii="Palatino Linotype" w:hAnsi="Palatino Linotype" w:cstheme="minorHAnsi"/>
          <w:sz w:val="22"/>
          <w:szCs w:val="22"/>
        </w:rPr>
        <w:t>2025'in dördüncü çeyreğinde Türkiye ekonomisindeki büyüme</w:t>
      </w:r>
      <w:r>
        <w:rPr>
          <w:rFonts w:ascii="Palatino Linotype" w:hAnsi="Palatino Linotype" w:cstheme="minorHAnsi"/>
          <w:sz w:val="22"/>
          <w:szCs w:val="22"/>
        </w:rPr>
        <w:t>ye en büyük katkı</w:t>
      </w:r>
      <w:r w:rsidR="00905619" w:rsidRPr="00905619">
        <w:rPr>
          <w:rFonts w:ascii="Palatino Linotype" w:hAnsi="Palatino Linotype" w:cstheme="minorHAnsi"/>
          <w:sz w:val="22"/>
          <w:szCs w:val="22"/>
        </w:rPr>
        <w:t xml:space="preserve"> özel tüketim</w:t>
      </w:r>
      <w:r>
        <w:rPr>
          <w:rFonts w:ascii="Palatino Linotype" w:hAnsi="Palatino Linotype" w:cstheme="minorHAnsi"/>
          <w:sz w:val="22"/>
          <w:szCs w:val="22"/>
        </w:rPr>
        <w:t>d</w:t>
      </w:r>
      <w:r w:rsidR="00905619" w:rsidRPr="00905619">
        <w:rPr>
          <w:rFonts w:ascii="Palatino Linotype" w:hAnsi="Palatino Linotype" w:cstheme="minorHAnsi"/>
          <w:sz w:val="22"/>
          <w:szCs w:val="22"/>
        </w:rPr>
        <w:t>e</w:t>
      </w:r>
      <w:r>
        <w:rPr>
          <w:rFonts w:ascii="Palatino Linotype" w:hAnsi="Palatino Linotype" w:cstheme="minorHAnsi"/>
          <w:sz w:val="22"/>
          <w:szCs w:val="22"/>
        </w:rPr>
        <w:t>n kaynaklandı</w:t>
      </w:r>
      <w:r w:rsidR="00E41A80">
        <w:rPr>
          <w:rFonts w:ascii="Palatino Linotype" w:hAnsi="Palatino Linotype" w:cstheme="minorHAnsi"/>
          <w:sz w:val="22"/>
          <w:szCs w:val="22"/>
        </w:rPr>
        <w:t>.</w:t>
      </w:r>
      <w:r w:rsidR="00905619" w:rsidRPr="00905619">
        <w:rPr>
          <w:rFonts w:ascii="Palatino Linotype" w:hAnsi="Palatino Linotype" w:cstheme="minorHAnsi"/>
          <w:sz w:val="22"/>
          <w:szCs w:val="22"/>
        </w:rPr>
        <w:t xml:space="preserve"> </w:t>
      </w:r>
      <w:r w:rsidRPr="000B09B0">
        <w:rPr>
          <w:rFonts w:ascii="Palatino Linotype" w:hAnsi="Palatino Linotype" w:cstheme="minorHAnsi"/>
          <w:sz w:val="22"/>
          <w:szCs w:val="22"/>
        </w:rPr>
        <w:t>Özel tüketim</w:t>
      </w:r>
      <w:r w:rsidR="00457E4E">
        <w:rPr>
          <w:rFonts w:ascii="Palatino Linotype" w:hAnsi="Palatino Linotype" w:cstheme="minorHAnsi"/>
          <w:sz w:val="22"/>
          <w:szCs w:val="22"/>
        </w:rPr>
        <w:t>deki artış</w:t>
      </w:r>
      <w:r w:rsidRPr="000B09B0">
        <w:rPr>
          <w:rFonts w:ascii="Palatino Linotype" w:hAnsi="Palatino Linotype" w:cstheme="minorHAnsi"/>
          <w:sz w:val="22"/>
          <w:szCs w:val="22"/>
        </w:rPr>
        <w:t xml:space="preserve"> bir önceki çeyreğe göre yüzde 1,6'dan yüzde 4,2'ye </w:t>
      </w:r>
      <w:r w:rsidR="00457E4E">
        <w:rPr>
          <w:rFonts w:ascii="Palatino Linotype" w:hAnsi="Palatino Linotype" w:cstheme="minorHAnsi"/>
          <w:sz w:val="22"/>
          <w:szCs w:val="22"/>
        </w:rPr>
        <w:t>yükseldi</w:t>
      </w:r>
      <w:r>
        <w:rPr>
          <w:rFonts w:ascii="Palatino Linotype" w:hAnsi="Palatino Linotype" w:cstheme="minorHAnsi"/>
          <w:sz w:val="22"/>
          <w:szCs w:val="22"/>
        </w:rPr>
        <w:t>. Y</w:t>
      </w:r>
      <w:r w:rsidRPr="000B09B0">
        <w:rPr>
          <w:rFonts w:ascii="Palatino Linotype" w:hAnsi="Palatino Linotype" w:cstheme="minorHAnsi"/>
          <w:sz w:val="22"/>
          <w:szCs w:val="22"/>
        </w:rPr>
        <w:t>ıllık yüzde 5,2 artan özel tüketim, toplam büyümenin 2,9 puanını tek başına karşıladı.</w:t>
      </w:r>
      <w:r>
        <w:rPr>
          <w:rFonts w:ascii="Palatino Linotype" w:hAnsi="Palatino Linotype" w:cstheme="minorHAnsi"/>
          <w:sz w:val="22"/>
          <w:szCs w:val="22"/>
        </w:rPr>
        <w:t xml:space="preserve"> </w:t>
      </w:r>
      <w:r w:rsidRPr="000B09B0">
        <w:rPr>
          <w:rFonts w:ascii="Palatino Linotype" w:hAnsi="Palatino Linotype" w:cstheme="minorHAnsi"/>
          <w:sz w:val="22"/>
          <w:szCs w:val="22"/>
        </w:rPr>
        <w:t xml:space="preserve">Yatırımlar yıllık bazda yüzde 5,4 artarak büyümeye 1,7 puan katkı yaparken çeyreklik bazda yüzde 0,3 geriledi. </w:t>
      </w:r>
      <w:r w:rsidR="00E41A80">
        <w:rPr>
          <w:rFonts w:ascii="Palatino Linotype" w:hAnsi="Palatino Linotype" w:cstheme="minorHAnsi"/>
          <w:sz w:val="22"/>
          <w:szCs w:val="22"/>
        </w:rPr>
        <w:t>D</w:t>
      </w:r>
      <w:r w:rsidR="00905619" w:rsidRPr="00905619">
        <w:rPr>
          <w:rFonts w:ascii="Palatino Linotype" w:hAnsi="Palatino Linotype" w:cstheme="minorHAnsi"/>
          <w:sz w:val="22"/>
          <w:szCs w:val="22"/>
        </w:rPr>
        <w:t>iğer bileşenlerin büyük çoğunluğu ya zayıfladı ya da büyümeyi aşağı çekti.</w:t>
      </w:r>
      <w:r w:rsidR="00905619">
        <w:rPr>
          <w:rFonts w:ascii="Palatino Linotype" w:hAnsi="Palatino Linotype" w:cstheme="minorHAnsi"/>
          <w:sz w:val="22"/>
          <w:szCs w:val="22"/>
        </w:rPr>
        <w:t xml:space="preserve"> </w:t>
      </w:r>
      <w:r w:rsidR="000B09B0" w:rsidRPr="000B09B0">
        <w:rPr>
          <w:rFonts w:ascii="Palatino Linotype" w:hAnsi="Palatino Linotype" w:cstheme="minorHAnsi"/>
          <w:sz w:val="22"/>
          <w:szCs w:val="22"/>
        </w:rPr>
        <w:t>Kamu tüketimi hem yıllık hem çeyreklik bazda daraldı. İhracattaki yüzde 4,5'lik çeyreklik gerileme ve ithalattaki yüzde 4,3'lük artış, dış ticaretin çeyreklik büyümeyi 1,2 puan aşağı çekmesine yol açtı. Stok değişiminin çeyreklik büyümeye 0,8 puanlık katkısı olmasaydı, çeyreklik büyüme yüzde 0,4'ün belirgin biçimde altında kalacaktı.</w:t>
      </w:r>
      <w:r w:rsidR="000B09B0">
        <w:rPr>
          <w:rFonts w:ascii="Palatino Linotype" w:hAnsi="Palatino Linotype" w:cstheme="minorHAnsi"/>
          <w:sz w:val="22"/>
          <w:szCs w:val="22"/>
        </w:rPr>
        <w:t xml:space="preserve"> </w:t>
      </w:r>
      <w:r w:rsidR="000B09B0" w:rsidRPr="000B09B0">
        <w:rPr>
          <w:rFonts w:ascii="Palatino Linotype" w:hAnsi="Palatino Linotype" w:cstheme="minorHAnsi"/>
          <w:sz w:val="22"/>
          <w:szCs w:val="22"/>
        </w:rPr>
        <w:t>Önümüzdeki dönemde büyümenin seyri, TCMB'nin para politikası duruşuna ve özel tüketimdeki ivmenin sürdürülebilirliğine bağlı olacaktır.</w:t>
      </w:r>
    </w:p>
    <w:p w14:paraId="71A7C2C9" w14:textId="0E5DA06C" w:rsidR="00B72927" w:rsidRPr="00E41A80" w:rsidRDefault="00646879" w:rsidP="00E41A80">
      <w:pPr>
        <w:spacing w:before="120" w:after="120" w:line="259" w:lineRule="auto"/>
        <w:rPr>
          <w:rFonts w:ascii="Palatino Linotype" w:hAnsi="Palatino Linotype" w:cstheme="minorHAnsi"/>
          <w:b/>
          <w:bCs/>
          <w:sz w:val="22"/>
          <w:szCs w:val="22"/>
        </w:rPr>
      </w:pPr>
      <w:r w:rsidRPr="005E0D21">
        <w:rPr>
          <w:rFonts w:ascii="Palatino Linotype" w:hAnsi="Palatino Linotype" w:cstheme="minorHAnsi"/>
          <w:b/>
          <w:bCs/>
          <w:sz w:val="22"/>
          <w:szCs w:val="22"/>
        </w:rPr>
        <w:t>Şekil</w:t>
      </w:r>
      <w:r w:rsidR="001F1CCF">
        <w:rPr>
          <w:rFonts w:ascii="Palatino Linotype" w:hAnsi="Palatino Linotype" w:cstheme="minorHAnsi"/>
          <w:b/>
          <w:bCs/>
          <w:sz w:val="22"/>
          <w:szCs w:val="22"/>
        </w:rPr>
        <w:t xml:space="preserve"> 1: GSYH alt kalemlerinin 202</w:t>
      </w:r>
      <w:r w:rsidR="007F13C1">
        <w:rPr>
          <w:rFonts w:ascii="Palatino Linotype" w:hAnsi="Palatino Linotype" w:cstheme="minorHAnsi"/>
          <w:b/>
          <w:bCs/>
          <w:sz w:val="22"/>
          <w:szCs w:val="22"/>
        </w:rPr>
        <w:t>5</w:t>
      </w:r>
      <w:r w:rsidR="001F1CCF">
        <w:rPr>
          <w:rFonts w:ascii="Palatino Linotype" w:hAnsi="Palatino Linotype" w:cstheme="minorHAnsi"/>
          <w:b/>
          <w:bCs/>
          <w:sz w:val="22"/>
          <w:szCs w:val="22"/>
        </w:rPr>
        <w:t xml:space="preserve"> </w:t>
      </w:r>
      <w:r w:rsidR="003F62A8">
        <w:rPr>
          <w:rFonts w:ascii="Palatino Linotype" w:hAnsi="Palatino Linotype" w:cstheme="minorHAnsi"/>
          <w:b/>
          <w:bCs/>
          <w:sz w:val="22"/>
          <w:szCs w:val="22"/>
        </w:rPr>
        <w:t>4</w:t>
      </w:r>
      <w:r w:rsidRPr="005E0D21">
        <w:rPr>
          <w:rFonts w:ascii="Palatino Linotype" w:hAnsi="Palatino Linotype" w:cstheme="minorHAnsi"/>
          <w:b/>
          <w:bCs/>
          <w:sz w:val="22"/>
          <w:szCs w:val="22"/>
        </w:rPr>
        <w:t>. çeyrekte bir önceki yılın aynı çeyreğine göre büyümeye katkıları (sol şekil) ve büyüme oranları (sağ şekil)</w:t>
      </w:r>
      <w:bookmarkEnd w:id="0"/>
      <w:bookmarkEnd w:id="1"/>
    </w:p>
    <w:p w14:paraId="7F96F020" w14:textId="1C624F8B" w:rsidR="00256FE3" w:rsidRDefault="00256FE3" w:rsidP="00245B1A">
      <w:pPr>
        <w:ind w:right="567"/>
        <w:jc w:val="both"/>
        <w:rPr>
          <w:rFonts w:ascii="Palatino Linotype" w:hAnsi="Palatino Linotype" w:cstheme="minorHAnsi"/>
          <w:sz w:val="18"/>
          <w:szCs w:val="18"/>
        </w:rPr>
      </w:pPr>
      <w:r>
        <w:rPr>
          <w:noProof/>
        </w:rPr>
        <w:drawing>
          <wp:inline distT="0" distB="0" distL="0" distR="0" wp14:anchorId="02923821" wp14:editId="220C4604">
            <wp:extent cx="5758180" cy="1973221"/>
            <wp:effectExtent l="0" t="0" r="0" b="0"/>
            <wp:docPr id="144187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87344" name=""/>
                    <pic:cNvPicPr/>
                  </pic:nvPicPr>
                  <pic:blipFill>
                    <a:blip r:embed="rId12"/>
                    <a:stretch>
                      <a:fillRect/>
                    </a:stretch>
                  </pic:blipFill>
                  <pic:spPr>
                    <a:xfrm>
                      <a:off x="0" y="0"/>
                      <a:ext cx="5800581" cy="1987751"/>
                    </a:xfrm>
                    <a:prstGeom prst="rect">
                      <a:avLst/>
                    </a:prstGeom>
                  </pic:spPr>
                </pic:pic>
              </a:graphicData>
            </a:graphic>
          </wp:inline>
        </w:drawing>
      </w:r>
    </w:p>
    <w:p w14:paraId="087463AA" w14:textId="0F45AF04" w:rsidR="006C3EE6" w:rsidRDefault="00C1422A" w:rsidP="00245B1A">
      <w:pPr>
        <w:ind w:right="567"/>
        <w:jc w:val="both"/>
        <w:rPr>
          <w:rFonts w:ascii="Palatino Linotype" w:hAnsi="Palatino Linotype" w:cstheme="minorHAnsi"/>
          <w:sz w:val="16"/>
          <w:szCs w:val="16"/>
        </w:rPr>
      </w:pPr>
      <w:r w:rsidRPr="005E0D21">
        <w:rPr>
          <w:rFonts w:ascii="Palatino Linotype" w:hAnsi="Palatino Linotype" w:cstheme="minorHAnsi"/>
          <w:sz w:val="18"/>
          <w:szCs w:val="18"/>
        </w:rPr>
        <w:t>Kaynak: TÜİK, Betam</w:t>
      </w:r>
      <w:r w:rsidRPr="005E0D21">
        <w:rPr>
          <w:rFonts w:ascii="Palatino Linotype" w:hAnsi="Palatino Linotype" w:cstheme="minorHAnsi"/>
          <w:sz w:val="16"/>
          <w:szCs w:val="16"/>
        </w:rPr>
        <w:t xml:space="preserve">. </w:t>
      </w:r>
    </w:p>
    <w:p w14:paraId="6A692BFF" w14:textId="7220CC46" w:rsidR="000B09B0" w:rsidRPr="000B09B0" w:rsidRDefault="00457E4E" w:rsidP="75C7ED0D">
      <w:pPr>
        <w:pStyle w:val="NormalWeb"/>
        <w:spacing w:before="0" w:beforeAutospacing="0" w:after="0" w:afterAutospacing="0" w:line="360" w:lineRule="auto"/>
        <w:ind w:right="77"/>
        <w:rPr>
          <w:rFonts w:ascii="Palatino Linotype" w:hAnsi="Palatino Linotype" w:cstheme="minorBidi"/>
          <w:b/>
          <w:bCs/>
          <w:sz w:val="22"/>
          <w:szCs w:val="22"/>
        </w:rPr>
      </w:pPr>
      <w:r w:rsidRPr="000B09B0">
        <w:rPr>
          <w:rFonts w:ascii="Palatino Linotype" w:hAnsi="Palatino Linotype" w:cstheme="minorBidi"/>
          <w:b/>
          <w:bCs/>
          <w:sz w:val="22"/>
          <w:szCs w:val="22"/>
        </w:rPr>
        <w:lastRenderedPageBreak/>
        <w:t>Özel tüketim üç kat hızlandı</w:t>
      </w:r>
    </w:p>
    <w:p w14:paraId="417E5394" w14:textId="3C97A5D7" w:rsidR="007038BC" w:rsidRDefault="00BB05D5" w:rsidP="00916C78">
      <w:pPr>
        <w:pStyle w:val="NormalWeb"/>
        <w:spacing w:before="0" w:beforeAutospacing="0" w:after="0" w:afterAutospacing="0" w:line="360" w:lineRule="auto"/>
        <w:ind w:right="77"/>
        <w:jc w:val="both"/>
        <w:rPr>
          <w:rFonts w:ascii="Palatino Linotype" w:hAnsi="Palatino Linotype" w:cstheme="minorHAnsi"/>
          <w:sz w:val="22"/>
          <w:szCs w:val="22"/>
        </w:rPr>
      </w:pPr>
      <w:r w:rsidRPr="00245B1A">
        <w:rPr>
          <w:rFonts w:ascii="Palatino Linotype" w:hAnsi="Palatino Linotype" w:cstheme="minorHAnsi"/>
          <w:sz w:val="22"/>
          <w:szCs w:val="22"/>
        </w:rPr>
        <w:t>202</w:t>
      </w:r>
      <w:r w:rsidR="007F13C1" w:rsidRPr="00245B1A">
        <w:rPr>
          <w:rFonts w:ascii="Palatino Linotype" w:hAnsi="Palatino Linotype" w:cstheme="minorHAnsi"/>
          <w:sz w:val="22"/>
          <w:szCs w:val="22"/>
        </w:rPr>
        <w:t>5</w:t>
      </w:r>
      <w:r w:rsidRPr="00245B1A">
        <w:rPr>
          <w:rFonts w:ascii="Palatino Linotype" w:hAnsi="Palatino Linotype" w:cstheme="minorHAnsi"/>
          <w:sz w:val="22"/>
          <w:szCs w:val="22"/>
        </w:rPr>
        <w:t xml:space="preserve"> yılının </w:t>
      </w:r>
      <w:r w:rsidR="003F62A8">
        <w:rPr>
          <w:rFonts w:ascii="Palatino Linotype" w:hAnsi="Palatino Linotype" w:cstheme="minorHAnsi"/>
          <w:sz w:val="22"/>
          <w:szCs w:val="22"/>
        </w:rPr>
        <w:t>dördüncü</w:t>
      </w:r>
      <w:r w:rsidRPr="00245B1A">
        <w:rPr>
          <w:rFonts w:ascii="Palatino Linotype" w:hAnsi="Palatino Linotype" w:cstheme="minorHAnsi"/>
          <w:sz w:val="22"/>
          <w:szCs w:val="22"/>
        </w:rPr>
        <w:t xml:space="preserve"> çeyreğinde </w:t>
      </w:r>
      <w:bookmarkStart w:id="2" w:name="OLE_LINK21"/>
      <w:bookmarkStart w:id="3" w:name="OLE_LINK22"/>
      <w:r w:rsidR="008611BF" w:rsidRPr="00245B1A">
        <w:rPr>
          <w:rFonts w:ascii="Palatino Linotype" w:hAnsi="Palatino Linotype" w:cstheme="minorHAnsi"/>
          <w:sz w:val="22"/>
          <w:szCs w:val="22"/>
        </w:rPr>
        <w:t>m</w:t>
      </w:r>
      <w:r w:rsidR="003F00A9" w:rsidRPr="00245B1A">
        <w:rPr>
          <w:rFonts w:ascii="Palatino Linotype" w:hAnsi="Palatino Linotype" w:cstheme="minorHAnsi"/>
          <w:sz w:val="22"/>
          <w:szCs w:val="22"/>
        </w:rPr>
        <w:t xml:space="preserve">evsim ve takvim etkilerinden arındırılmış rakamlara </w:t>
      </w:r>
      <w:r w:rsidR="006B3CCF" w:rsidRPr="00245B1A">
        <w:rPr>
          <w:rFonts w:ascii="Palatino Linotype" w:hAnsi="Palatino Linotype" w:cstheme="minorHAnsi"/>
          <w:sz w:val="22"/>
          <w:szCs w:val="22"/>
        </w:rPr>
        <w:t>göre</w:t>
      </w:r>
      <w:r w:rsidR="003F00A9" w:rsidRPr="00245B1A">
        <w:rPr>
          <w:rFonts w:ascii="Palatino Linotype" w:hAnsi="Palatino Linotype" w:cstheme="minorHAnsi"/>
          <w:sz w:val="22"/>
          <w:szCs w:val="22"/>
        </w:rPr>
        <w:t xml:space="preserve"> </w:t>
      </w:r>
      <w:r w:rsidR="00CD6CF2" w:rsidRPr="00245B1A">
        <w:rPr>
          <w:rFonts w:ascii="Palatino Linotype" w:hAnsi="Palatino Linotype" w:cstheme="minorHAnsi"/>
          <w:sz w:val="22"/>
          <w:szCs w:val="22"/>
        </w:rPr>
        <w:t>özel tüketim</w:t>
      </w:r>
      <w:r w:rsidR="006B3CCF" w:rsidRPr="00245B1A">
        <w:rPr>
          <w:rFonts w:ascii="Palatino Linotype" w:hAnsi="Palatino Linotype" w:cstheme="minorHAnsi"/>
          <w:sz w:val="22"/>
          <w:szCs w:val="22"/>
        </w:rPr>
        <w:t xml:space="preserve"> </w:t>
      </w:r>
      <w:bookmarkEnd w:id="2"/>
      <w:bookmarkEnd w:id="3"/>
      <w:r w:rsidR="00A22E43" w:rsidRPr="00245B1A">
        <w:rPr>
          <w:rFonts w:ascii="Palatino Linotype" w:hAnsi="Palatino Linotype" w:cstheme="minorHAnsi"/>
          <w:sz w:val="22"/>
          <w:szCs w:val="22"/>
        </w:rPr>
        <w:t>g</w:t>
      </w:r>
      <w:r w:rsidR="008611BF" w:rsidRPr="00245B1A">
        <w:rPr>
          <w:rFonts w:ascii="Palatino Linotype" w:hAnsi="Palatino Linotype" w:cstheme="minorHAnsi"/>
          <w:sz w:val="22"/>
          <w:szCs w:val="22"/>
        </w:rPr>
        <w:t xml:space="preserve">eçen yılın aynı çeyreğine kıyasla yıllık yüzde </w:t>
      </w:r>
      <w:r w:rsidR="003F62A8">
        <w:rPr>
          <w:rFonts w:ascii="Palatino Linotype" w:hAnsi="Palatino Linotype" w:cstheme="minorHAnsi"/>
          <w:sz w:val="22"/>
          <w:szCs w:val="22"/>
        </w:rPr>
        <w:t>5</w:t>
      </w:r>
      <w:r w:rsidR="008611BF" w:rsidRPr="00245B1A">
        <w:rPr>
          <w:rFonts w:ascii="Palatino Linotype" w:hAnsi="Palatino Linotype" w:cstheme="minorHAnsi"/>
          <w:sz w:val="22"/>
          <w:szCs w:val="22"/>
        </w:rPr>
        <w:t>,</w:t>
      </w:r>
      <w:r w:rsidR="003F62A8">
        <w:rPr>
          <w:rFonts w:ascii="Palatino Linotype" w:hAnsi="Palatino Linotype" w:cstheme="minorHAnsi"/>
          <w:sz w:val="22"/>
          <w:szCs w:val="22"/>
        </w:rPr>
        <w:t>2</w:t>
      </w:r>
      <w:r w:rsidR="008611BF" w:rsidRPr="00245B1A">
        <w:rPr>
          <w:rFonts w:ascii="Palatino Linotype" w:hAnsi="Palatino Linotype" w:cstheme="minorHAnsi"/>
          <w:sz w:val="22"/>
          <w:szCs w:val="22"/>
        </w:rPr>
        <w:t xml:space="preserve"> artarak </w:t>
      </w:r>
      <w:r w:rsidR="00B96DDB">
        <w:rPr>
          <w:rFonts w:ascii="Palatino Linotype" w:hAnsi="Palatino Linotype" w:cstheme="minorHAnsi"/>
          <w:sz w:val="22"/>
          <w:szCs w:val="22"/>
        </w:rPr>
        <w:t xml:space="preserve">yıllık </w:t>
      </w:r>
      <w:r w:rsidR="008611BF" w:rsidRPr="00245B1A">
        <w:rPr>
          <w:rFonts w:ascii="Palatino Linotype" w:hAnsi="Palatino Linotype" w:cstheme="minorHAnsi"/>
          <w:sz w:val="22"/>
          <w:szCs w:val="22"/>
        </w:rPr>
        <w:t>büyümeye 2,</w:t>
      </w:r>
      <w:r w:rsidR="003F62A8">
        <w:rPr>
          <w:rFonts w:ascii="Palatino Linotype" w:hAnsi="Palatino Linotype" w:cstheme="minorHAnsi"/>
          <w:sz w:val="22"/>
          <w:szCs w:val="22"/>
        </w:rPr>
        <w:t>9</w:t>
      </w:r>
      <w:r w:rsidR="008611BF" w:rsidRPr="00245B1A">
        <w:rPr>
          <w:rFonts w:ascii="Palatino Linotype" w:hAnsi="Palatino Linotype" w:cstheme="minorHAnsi"/>
          <w:sz w:val="22"/>
          <w:szCs w:val="22"/>
        </w:rPr>
        <w:t xml:space="preserve"> puan katkı yaptı.</w:t>
      </w:r>
      <w:r w:rsidR="00A22E43" w:rsidRPr="00245B1A">
        <w:rPr>
          <w:rFonts w:ascii="Palatino Linotype" w:hAnsi="Palatino Linotype" w:cstheme="minorHAnsi"/>
          <w:sz w:val="22"/>
          <w:szCs w:val="22"/>
        </w:rPr>
        <w:t xml:space="preserve"> </w:t>
      </w:r>
      <w:r w:rsidR="003F62A8">
        <w:rPr>
          <w:rFonts w:ascii="Palatino Linotype" w:hAnsi="Palatino Linotype" w:cstheme="minorHAnsi"/>
          <w:sz w:val="22"/>
          <w:szCs w:val="22"/>
        </w:rPr>
        <w:t>Üçüncü</w:t>
      </w:r>
      <w:r w:rsidR="00A22E43" w:rsidRPr="00245B1A">
        <w:rPr>
          <w:rFonts w:ascii="Palatino Linotype" w:hAnsi="Palatino Linotype" w:cstheme="minorHAnsi"/>
          <w:sz w:val="22"/>
          <w:szCs w:val="22"/>
        </w:rPr>
        <w:t xml:space="preserve"> çeyrekte özel tüketim yıllık yüzde 4,</w:t>
      </w:r>
      <w:r w:rsidR="003F62A8">
        <w:rPr>
          <w:rFonts w:ascii="Palatino Linotype" w:hAnsi="Palatino Linotype" w:cstheme="minorHAnsi"/>
          <w:sz w:val="22"/>
          <w:szCs w:val="22"/>
        </w:rPr>
        <w:t>3</w:t>
      </w:r>
      <w:r w:rsidR="00A22E43" w:rsidRPr="00245B1A">
        <w:rPr>
          <w:rFonts w:ascii="Palatino Linotype" w:hAnsi="Palatino Linotype" w:cstheme="minorHAnsi"/>
          <w:sz w:val="22"/>
          <w:szCs w:val="22"/>
        </w:rPr>
        <w:t xml:space="preserve"> büyümüştü (Tablo 1). Bir önceki çeyreğe göre ise özel tüketim yüzde </w:t>
      </w:r>
      <w:r w:rsidR="003F62A8">
        <w:rPr>
          <w:rFonts w:ascii="Palatino Linotype" w:hAnsi="Palatino Linotype" w:cstheme="minorHAnsi"/>
          <w:sz w:val="22"/>
          <w:szCs w:val="22"/>
        </w:rPr>
        <w:t>4</w:t>
      </w:r>
      <w:r w:rsidR="00A22E43" w:rsidRPr="00245B1A">
        <w:rPr>
          <w:rFonts w:ascii="Palatino Linotype" w:hAnsi="Palatino Linotype" w:cstheme="minorHAnsi"/>
          <w:sz w:val="22"/>
          <w:szCs w:val="22"/>
        </w:rPr>
        <w:t>,</w:t>
      </w:r>
      <w:r w:rsidR="003F62A8">
        <w:rPr>
          <w:rFonts w:ascii="Palatino Linotype" w:hAnsi="Palatino Linotype" w:cstheme="minorHAnsi"/>
          <w:sz w:val="22"/>
          <w:szCs w:val="22"/>
        </w:rPr>
        <w:t>2</w:t>
      </w:r>
      <w:r w:rsidR="00A22E43" w:rsidRPr="00245B1A">
        <w:rPr>
          <w:rFonts w:ascii="Palatino Linotype" w:hAnsi="Palatino Linotype" w:cstheme="minorHAnsi"/>
          <w:sz w:val="22"/>
          <w:szCs w:val="22"/>
        </w:rPr>
        <w:t xml:space="preserve"> artarak çeyreklik büyümeye </w:t>
      </w:r>
      <w:r w:rsidR="003F62A8">
        <w:rPr>
          <w:rFonts w:ascii="Palatino Linotype" w:hAnsi="Palatino Linotype" w:cstheme="minorHAnsi"/>
          <w:sz w:val="22"/>
          <w:szCs w:val="22"/>
        </w:rPr>
        <w:t>2</w:t>
      </w:r>
      <w:r w:rsidR="00A22E43" w:rsidRPr="00245B1A">
        <w:rPr>
          <w:rFonts w:ascii="Palatino Linotype" w:hAnsi="Palatino Linotype" w:cstheme="minorHAnsi"/>
          <w:sz w:val="22"/>
          <w:szCs w:val="22"/>
        </w:rPr>
        <w:t>,</w:t>
      </w:r>
      <w:r w:rsidR="003F62A8">
        <w:rPr>
          <w:rFonts w:ascii="Palatino Linotype" w:hAnsi="Palatino Linotype" w:cstheme="minorHAnsi"/>
          <w:sz w:val="22"/>
          <w:szCs w:val="22"/>
        </w:rPr>
        <w:t>3</w:t>
      </w:r>
      <w:r w:rsidR="00A22E43" w:rsidRPr="00245B1A">
        <w:rPr>
          <w:rFonts w:ascii="Palatino Linotype" w:hAnsi="Palatino Linotype" w:cstheme="minorHAnsi"/>
          <w:sz w:val="22"/>
          <w:szCs w:val="22"/>
        </w:rPr>
        <w:t xml:space="preserve"> puan katkıda bulundu. </w:t>
      </w:r>
      <w:r w:rsidR="003F62A8">
        <w:rPr>
          <w:rFonts w:ascii="Palatino Linotype" w:hAnsi="Palatino Linotype" w:cstheme="minorHAnsi"/>
          <w:sz w:val="22"/>
          <w:szCs w:val="22"/>
        </w:rPr>
        <w:t>İkinci</w:t>
      </w:r>
      <w:r w:rsidR="00A22E43" w:rsidRPr="00245B1A">
        <w:rPr>
          <w:rFonts w:ascii="Palatino Linotype" w:hAnsi="Palatino Linotype" w:cstheme="minorHAnsi"/>
          <w:sz w:val="22"/>
          <w:szCs w:val="22"/>
        </w:rPr>
        <w:t xml:space="preserve"> çeyrekten </w:t>
      </w:r>
      <w:r w:rsidR="003F62A8">
        <w:rPr>
          <w:rFonts w:ascii="Palatino Linotype" w:hAnsi="Palatino Linotype" w:cstheme="minorHAnsi"/>
          <w:sz w:val="22"/>
          <w:szCs w:val="22"/>
        </w:rPr>
        <w:t>üçüncü</w:t>
      </w:r>
      <w:r w:rsidR="00A22E43" w:rsidRPr="00245B1A">
        <w:rPr>
          <w:rFonts w:ascii="Palatino Linotype" w:hAnsi="Palatino Linotype" w:cstheme="minorHAnsi"/>
          <w:sz w:val="22"/>
          <w:szCs w:val="22"/>
        </w:rPr>
        <w:t xml:space="preserve"> çeyreğe </w:t>
      </w:r>
      <w:r w:rsidR="003F62A8">
        <w:rPr>
          <w:rFonts w:ascii="Palatino Linotype" w:hAnsi="Palatino Linotype" w:cstheme="minorHAnsi"/>
          <w:sz w:val="22"/>
          <w:szCs w:val="22"/>
        </w:rPr>
        <w:t xml:space="preserve">ise </w:t>
      </w:r>
      <w:r w:rsidR="00A22E43" w:rsidRPr="00245B1A">
        <w:rPr>
          <w:rFonts w:ascii="Palatino Linotype" w:hAnsi="Palatino Linotype" w:cstheme="minorHAnsi"/>
          <w:sz w:val="22"/>
          <w:szCs w:val="22"/>
        </w:rPr>
        <w:t>özel tüketimde yüzde 1,</w:t>
      </w:r>
      <w:r w:rsidR="003F62A8">
        <w:rPr>
          <w:rFonts w:ascii="Palatino Linotype" w:hAnsi="Palatino Linotype" w:cstheme="minorHAnsi"/>
          <w:sz w:val="22"/>
          <w:szCs w:val="22"/>
        </w:rPr>
        <w:t>6</w:t>
      </w:r>
      <w:r w:rsidR="00A22E43" w:rsidRPr="00245B1A">
        <w:rPr>
          <w:rFonts w:ascii="Palatino Linotype" w:hAnsi="Palatino Linotype" w:cstheme="minorHAnsi"/>
          <w:sz w:val="22"/>
          <w:szCs w:val="22"/>
        </w:rPr>
        <w:t xml:space="preserve"> </w:t>
      </w:r>
      <w:r w:rsidR="003F62A8">
        <w:rPr>
          <w:rFonts w:ascii="Palatino Linotype" w:hAnsi="Palatino Linotype" w:cstheme="minorHAnsi"/>
          <w:sz w:val="22"/>
          <w:szCs w:val="22"/>
        </w:rPr>
        <w:t>artış</w:t>
      </w:r>
      <w:r w:rsidR="00A22E43" w:rsidRPr="00245B1A">
        <w:rPr>
          <w:rFonts w:ascii="Palatino Linotype" w:hAnsi="Palatino Linotype" w:cstheme="minorHAnsi"/>
          <w:sz w:val="22"/>
          <w:szCs w:val="22"/>
        </w:rPr>
        <w:t xml:space="preserve"> olmuştu</w:t>
      </w:r>
      <w:r w:rsidR="007038BC" w:rsidRPr="00245B1A">
        <w:rPr>
          <w:rFonts w:ascii="Palatino Linotype" w:hAnsi="Palatino Linotype" w:cstheme="minorHAnsi"/>
          <w:sz w:val="22"/>
          <w:szCs w:val="22"/>
        </w:rPr>
        <w:t xml:space="preserve"> (Tablo 2)</w:t>
      </w:r>
      <w:r w:rsidR="00A22E43" w:rsidRPr="00245B1A">
        <w:rPr>
          <w:rFonts w:ascii="Palatino Linotype" w:hAnsi="Palatino Linotype" w:cstheme="minorHAnsi"/>
          <w:sz w:val="22"/>
          <w:szCs w:val="22"/>
        </w:rPr>
        <w:t>.</w:t>
      </w:r>
      <w:r w:rsidR="007038BC" w:rsidRPr="00245B1A">
        <w:rPr>
          <w:rFonts w:ascii="Palatino Linotype" w:hAnsi="Palatino Linotype" w:cstheme="minorHAnsi"/>
          <w:sz w:val="22"/>
          <w:szCs w:val="22"/>
        </w:rPr>
        <w:t xml:space="preserve"> Özel tüketimde</w:t>
      </w:r>
      <w:r w:rsidR="00BF4F25">
        <w:rPr>
          <w:rFonts w:ascii="Palatino Linotype" w:hAnsi="Palatino Linotype" w:cstheme="minorHAnsi"/>
          <w:sz w:val="22"/>
          <w:szCs w:val="22"/>
        </w:rPr>
        <w:t>ki artış</w:t>
      </w:r>
      <w:r w:rsidR="007038BC" w:rsidRPr="00245B1A">
        <w:rPr>
          <w:rFonts w:ascii="Palatino Linotype" w:hAnsi="Palatino Linotype" w:cstheme="minorHAnsi"/>
          <w:sz w:val="22"/>
          <w:szCs w:val="22"/>
        </w:rPr>
        <w:t xml:space="preserve"> </w:t>
      </w:r>
      <w:r w:rsidR="003F62A8">
        <w:rPr>
          <w:rFonts w:ascii="Palatino Linotype" w:hAnsi="Palatino Linotype" w:cstheme="minorHAnsi"/>
          <w:sz w:val="22"/>
          <w:szCs w:val="22"/>
        </w:rPr>
        <w:t xml:space="preserve">son iki </w:t>
      </w:r>
      <w:r w:rsidR="00BF4F25">
        <w:rPr>
          <w:rFonts w:ascii="Palatino Linotype" w:hAnsi="Palatino Linotype" w:cstheme="minorHAnsi"/>
          <w:sz w:val="22"/>
          <w:szCs w:val="22"/>
        </w:rPr>
        <w:t xml:space="preserve">yılın en yüksek düzeyindedir. </w:t>
      </w:r>
    </w:p>
    <w:p w14:paraId="57DBC4FC" w14:textId="77777777" w:rsidR="00E41A80" w:rsidRPr="00E41A80" w:rsidRDefault="00E41A80" w:rsidP="00E41A80">
      <w:pPr>
        <w:pStyle w:val="NormalWeb"/>
        <w:spacing w:before="0" w:beforeAutospacing="0" w:after="0" w:afterAutospacing="0" w:line="360" w:lineRule="auto"/>
        <w:ind w:right="77"/>
        <w:rPr>
          <w:rFonts w:ascii="Palatino Linotype" w:hAnsi="Palatino Linotype" w:cstheme="minorBidi"/>
          <w:b/>
          <w:bCs/>
          <w:sz w:val="22"/>
          <w:szCs w:val="22"/>
        </w:rPr>
      </w:pPr>
    </w:p>
    <w:p w14:paraId="0AF66471" w14:textId="354AE321" w:rsidR="004647F0" w:rsidRDefault="006C3EE6" w:rsidP="007F3FEB">
      <w:pPr>
        <w:keepNext/>
        <w:spacing w:after="120"/>
        <w:ind w:right="79"/>
        <w:jc w:val="both"/>
        <w:rPr>
          <w:rFonts w:ascii="Palatino Linotype" w:hAnsi="Palatino Linotype" w:cstheme="minorHAnsi"/>
          <w:b/>
          <w:bCs/>
          <w:sz w:val="22"/>
          <w:szCs w:val="22"/>
        </w:rPr>
      </w:pPr>
      <w:r w:rsidRPr="005E0D21">
        <w:rPr>
          <w:rFonts w:ascii="Palatino Linotype" w:hAnsi="Palatino Linotype" w:cstheme="minorHAnsi"/>
          <w:b/>
          <w:bCs/>
          <w:sz w:val="22"/>
          <w:szCs w:val="22"/>
        </w:rPr>
        <w:t xml:space="preserve">Tablo 1: </w:t>
      </w:r>
      <w:r w:rsidR="00D53424" w:rsidRPr="005E0D21">
        <w:rPr>
          <w:rFonts w:ascii="Palatino Linotype" w:hAnsi="Palatino Linotype" w:cstheme="minorHAnsi"/>
          <w:b/>
          <w:bCs/>
          <w:sz w:val="22"/>
          <w:szCs w:val="22"/>
        </w:rPr>
        <w:t xml:space="preserve">GSYH alt kalemlerinin </w:t>
      </w:r>
      <w:bookmarkStart w:id="4" w:name="OLE_LINK1"/>
      <w:bookmarkStart w:id="5" w:name="OLE_LINK2"/>
      <w:r w:rsidR="009F2483" w:rsidRPr="005E0D21">
        <w:rPr>
          <w:rFonts w:ascii="Palatino Linotype" w:hAnsi="Palatino Linotype" w:cstheme="minorHAnsi"/>
          <w:b/>
          <w:bCs/>
          <w:sz w:val="22"/>
          <w:szCs w:val="22"/>
        </w:rPr>
        <w:t>20</w:t>
      </w:r>
      <w:r w:rsidR="0001081A" w:rsidRPr="005E0D21">
        <w:rPr>
          <w:rFonts w:ascii="Palatino Linotype" w:hAnsi="Palatino Linotype" w:cstheme="minorHAnsi"/>
          <w:b/>
          <w:bCs/>
          <w:sz w:val="22"/>
          <w:szCs w:val="22"/>
        </w:rPr>
        <w:t>2</w:t>
      </w:r>
      <w:r w:rsidR="0044498D">
        <w:rPr>
          <w:rFonts w:ascii="Palatino Linotype" w:hAnsi="Palatino Linotype" w:cstheme="minorHAnsi"/>
          <w:b/>
          <w:bCs/>
          <w:sz w:val="22"/>
          <w:szCs w:val="22"/>
        </w:rPr>
        <w:t>5</w:t>
      </w:r>
      <w:r w:rsidR="009F2483" w:rsidRPr="005E0D21">
        <w:rPr>
          <w:rFonts w:ascii="Palatino Linotype" w:hAnsi="Palatino Linotype" w:cstheme="minorHAnsi"/>
          <w:b/>
          <w:bCs/>
          <w:sz w:val="22"/>
          <w:szCs w:val="22"/>
        </w:rPr>
        <w:t xml:space="preserve"> </w:t>
      </w:r>
      <w:r w:rsidR="003F62A8">
        <w:rPr>
          <w:rFonts w:ascii="Palatino Linotype" w:hAnsi="Palatino Linotype" w:cstheme="minorHAnsi"/>
          <w:b/>
          <w:bCs/>
          <w:sz w:val="22"/>
          <w:szCs w:val="22"/>
        </w:rPr>
        <w:t>3</w:t>
      </w:r>
      <w:r w:rsidR="00632CF6" w:rsidRPr="005E0D21">
        <w:rPr>
          <w:rFonts w:ascii="Palatino Linotype" w:hAnsi="Palatino Linotype" w:cstheme="minorHAnsi"/>
          <w:b/>
          <w:bCs/>
          <w:sz w:val="22"/>
          <w:szCs w:val="22"/>
        </w:rPr>
        <w:t>. ve 20</w:t>
      </w:r>
      <w:r w:rsidR="00BB0912" w:rsidRPr="005E0D21">
        <w:rPr>
          <w:rFonts w:ascii="Palatino Linotype" w:hAnsi="Palatino Linotype" w:cstheme="minorHAnsi"/>
          <w:b/>
          <w:bCs/>
          <w:sz w:val="22"/>
          <w:szCs w:val="22"/>
        </w:rPr>
        <w:t>2</w:t>
      </w:r>
      <w:r w:rsidR="007F13C1">
        <w:rPr>
          <w:rFonts w:ascii="Palatino Linotype" w:hAnsi="Palatino Linotype" w:cstheme="minorHAnsi"/>
          <w:b/>
          <w:bCs/>
          <w:sz w:val="22"/>
          <w:szCs w:val="22"/>
        </w:rPr>
        <w:t>5</w:t>
      </w:r>
      <w:r w:rsidR="00632CF6" w:rsidRPr="005E0D21">
        <w:rPr>
          <w:rFonts w:ascii="Palatino Linotype" w:hAnsi="Palatino Linotype" w:cstheme="minorHAnsi"/>
          <w:b/>
          <w:bCs/>
          <w:sz w:val="22"/>
          <w:szCs w:val="22"/>
        </w:rPr>
        <w:t xml:space="preserve"> </w:t>
      </w:r>
      <w:r w:rsidR="003F62A8">
        <w:rPr>
          <w:rFonts w:ascii="Palatino Linotype" w:hAnsi="Palatino Linotype" w:cstheme="minorHAnsi"/>
          <w:b/>
          <w:bCs/>
          <w:sz w:val="22"/>
          <w:szCs w:val="22"/>
        </w:rPr>
        <w:t>4</w:t>
      </w:r>
      <w:r w:rsidR="009F2483" w:rsidRPr="005E0D21">
        <w:rPr>
          <w:rFonts w:ascii="Palatino Linotype" w:hAnsi="Palatino Linotype" w:cstheme="minorHAnsi"/>
          <w:b/>
          <w:bCs/>
          <w:sz w:val="22"/>
          <w:szCs w:val="22"/>
        </w:rPr>
        <w:t>. çeyrekte</w:t>
      </w:r>
      <w:bookmarkEnd w:id="4"/>
      <w:bookmarkEnd w:id="5"/>
      <w:r w:rsidR="009F2483" w:rsidRPr="005E0D21">
        <w:rPr>
          <w:rFonts w:ascii="Palatino Linotype" w:hAnsi="Palatino Linotype" w:cstheme="minorHAnsi"/>
          <w:b/>
          <w:bCs/>
          <w:sz w:val="22"/>
          <w:szCs w:val="22"/>
        </w:rPr>
        <w:t xml:space="preserve"> </w:t>
      </w:r>
      <w:r w:rsidRPr="005E0D21">
        <w:rPr>
          <w:rFonts w:ascii="Palatino Linotype" w:hAnsi="Palatino Linotype" w:cstheme="minorHAnsi"/>
          <w:b/>
          <w:bCs/>
          <w:sz w:val="22"/>
          <w:szCs w:val="22"/>
        </w:rPr>
        <w:t>bir önceki yılın aynı çeyreğine göre büyüme oranları ve büyümeye katkıları</w:t>
      </w:r>
    </w:p>
    <w:tbl>
      <w:tblPr>
        <w:tblW w:w="7574" w:type="dxa"/>
        <w:tblCellMar>
          <w:left w:w="70" w:type="dxa"/>
          <w:right w:w="70" w:type="dxa"/>
        </w:tblCellMar>
        <w:tblLook w:val="04A0" w:firstRow="1" w:lastRow="0" w:firstColumn="1" w:lastColumn="0" w:noHBand="0" w:noVBand="1"/>
      </w:tblPr>
      <w:tblGrid>
        <w:gridCol w:w="1480"/>
        <w:gridCol w:w="1259"/>
        <w:gridCol w:w="1788"/>
        <w:gridCol w:w="1259"/>
        <w:gridCol w:w="1788"/>
      </w:tblGrid>
      <w:tr w:rsidR="004360BE" w14:paraId="3C398ED5" w14:textId="77777777" w:rsidTr="00D266AE">
        <w:trPr>
          <w:trHeight w:val="282"/>
        </w:trPr>
        <w:tc>
          <w:tcPr>
            <w:tcW w:w="1480" w:type="dxa"/>
            <w:tcBorders>
              <w:top w:val="single" w:sz="4" w:space="0" w:color="auto"/>
              <w:left w:val="single" w:sz="4" w:space="0" w:color="auto"/>
              <w:bottom w:val="nil"/>
              <w:right w:val="single" w:sz="4" w:space="0" w:color="auto"/>
            </w:tcBorders>
            <w:shd w:val="clear" w:color="000000" w:fill="FFFFFF"/>
            <w:noWrap/>
            <w:vAlign w:val="bottom"/>
            <w:hideMark/>
          </w:tcPr>
          <w:p w14:paraId="6A9DF109" w14:textId="77777777" w:rsidR="004360BE" w:rsidRDefault="004360BE" w:rsidP="004360BE">
            <w:pPr>
              <w:rPr>
                <w:rFonts w:ascii="Calibri" w:hAnsi="Calibri" w:cs="Calibri"/>
                <w:b/>
                <w:bCs/>
                <w:color w:val="000000"/>
                <w:sz w:val="20"/>
                <w:szCs w:val="20"/>
              </w:rPr>
            </w:pPr>
            <w:r>
              <w:rPr>
                <w:rFonts w:ascii="Calibri" w:hAnsi="Calibri" w:cs="Calibri"/>
                <w:b/>
                <w:bCs/>
                <w:color w:val="000000"/>
                <w:sz w:val="20"/>
                <w:szCs w:val="20"/>
              </w:rPr>
              <w:t> </w:t>
            </w:r>
          </w:p>
        </w:tc>
        <w:tc>
          <w:tcPr>
            <w:tcW w:w="3047"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834C85A" w14:textId="60D04BCA" w:rsidR="004360BE" w:rsidRDefault="004360BE" w:rsidP="004360BE">
            <w:pPr>
              <w:jc w:val="center"/>
              <w:rPr>
                <w:rFonts w:ascii="Calibri" w:hAnsi="Calibri" w:cs="Calibri"/>
                <w:b/>
                <w:bCs/>
                <w:color w:val="000000"/>
                <w:sz w:val="20"/>
                <w:szCs w:val="20"/>
              </w:rPr>
            </w:pPr>
            <w:r>
              <w:rPr>
                <w:rFonts w:ascii="Calibri" w:hAnsi="Calibri" w:cs="Calibri"/>
                <w:b/>
                <w:bCs/>
                <w:color w:val="000000"/>
                <w:sz w:val="20"/>
                <w:szCs w:val="20"/>
              </w:rPr>
              <w:t>2025Q3</w:t>
            </w:r>
          </w:p>
        </w:tc>
        <w:tc>
          <w:tcPr>
            <w:tcW w:w="3047"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BF6F59F" w14:textId="24D56DBF" w:rsidR="004360BE" w:rsidRDefault="004360BE" w:rsidP="004360BE">
            <w:pPr>
              <w:jc w:val="center"/>
              <w:rPr>
                <w:rFonts w:ascii="Calibri" w:hAnsi="Calibri" w:cs="Calibri"/>
                <w:b/>
                <w:bCs/>
                <w:color w:val="000000"/>
                <w:sz w:val="20"/>
                <w:szCs w:val="20"/>
              </w:rPr>
            </w:pPr>
            <w:r>
              <w:rPr>
                <w:rFonts w:ascii="Calibri" w:hAnsi="Calibri" w:cs="Calibri"/>
                <w:b/>
                <w:bCs/>
                <w:color w:val="000000"/>
                <w:sz w:val="20"/>
                <w:szCs w:val="20"/>
              </w:rPr>
              <w:t>2025Q4</w:t>
            </w:r>
          </w:p>
        </w:tc>
      </w:tr>
      <w:tr w:rsidR="004360BE" w14:paraId="7EF5F3CB" w14:textId="77777777" w:rsidTr="00D266AE">
        <w:trPr>
          <w:trHeight w:val="282"/>
        </w:trPr>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14:paraId="07295275" w14:textId="77777777" w:rsidR="004360BE" w:rsidRDefault="004360BE" w:rsidP="004360BE">
            <w:pPr>
              <w:rPr>
                <w:rFonts w:ascii="Calibri" w:hAnsi="Calibri" w:cs="Calibri"/>
                <w:b/>
                <w:bCs/>
                <w:color w:val="000000"/>
                <w:sz w:val="20"/>
                <w:szCs w:val="20"/>
              </w:rPr>
            </w:pPr>
            <w:r>
              <w:rPr>
                <w:rFonts w:ascii="Calibri" w:hAnsi="Calibri" w:cs="Calibri"/>
                <w:b/>
                <w:bCs/>
                <w:color w:val="000000"/>
                <w:sz w:val="20"/>
                <w:szCs w:val="20"/>
              </w:rPr>
              <w:t> </w:t>
            </w:r>
          </w:p>
        </w:tc>
        <w:tc>
          <w:tcPr>
            <w:tcW w:w="1259" w:type="dxa"/>
            <w:tcBorders>
              <w:top w:val="nil"/>
              <w:left w:val="nil"/>
              <w:bottom w:val="single" w:sz="4" w:space="0" w:color="auto"/>
              <w:right w:val="nil"/>
            </w:tcBorders>
            <w:shd w:val="clear" w:color="000000" w:fill="FFFFFF"/>
            <w:noWrap/>
            <w:vAlign w:val="bottom"/>
            <w:hideMark/>
          </w:tcPr>
          <w:p w14:paraId="574CF425" w14:textId="7B85C0F0" w:rsidR="004360BE" w:rsidRPr="00D266AE" w:rsidRDefault="004360BE" w:rsidP="004360BE">
            <w:pPr>
              <w:jc w:val="center"/>
              <w:rPr>
                <w:rFonts w:ascii="Calibri" w:hAnsi="Calibri" w:cs="Calibri"/>
                <w:b/>
                <w:bCs/>
                <w:color w:val="000000"/>
                <w:sz w:val="20"/>
                <w:szCs w:val="20"/>
              </w:rPr>
            </w:pPr>
            <w:r w:rsidRPr="00D266AE">
              <w:rPr>
                <w:rFonts w:ascii="Calibri" w:hAnsi="Calibri" w:cs="Calibri"/>
                <w:b/>
                <w:bCs/>
                <w:color w:val="000000"/>
                <w:sz w:val="20"/>
                <w:szCs w:val="20"/>
              </w:rPr>
              <w:t>Değişim (%)</w:t>
            </w:r>
          </w:p>
        </w:tc>
        <w:tc>
          <w:tcPr>
            <w:tcW w:w="1788" w:type="dxa"/>
            <w:tcBorders>
              <w:top w:val="nil"/>
              <w:left w:val="nil"/>
              <w:bottom w:val="nil"/>
              <w:right w:val="single" w:sz="4" w:space="0" w:color="auto"/>
            </w:tcBorders>
            <w:shd w:val="clear" w:color="000000" w:fill="FFFFFF"/>
            <w:noWrap/>
            <w:vAlign w:val="bottom"/>
            <w:hideMark/>
          </w:tcPr>
          <w:p w14:paraId="3E3F1EA3" w14:textId="42F970DC" w:rsidR="004360BE" w:rsidRPr="00D266AE" w:rsidRDefault="004360BE" w:rsidP="004360BE">
            <w:pPr>
              <w:jc w:val="center"/>
              <w:rPr>
                <w:rFonts w:ascii="Calibri" w:hAnsi="Calibri" w:cs="Calibri"/>
                <w:b/>
                <w:bCs/>
                <w:color w:val="000000"/>
                <w:sz w:val="20"/>
                <w:szCs w:val="20"/>
              </w:rPr>
            </w:pPr>
            <w:r w:rsidRPr="00D266AE">
              <w:rPr>
                <w:rFonts w:ascii="Calibri" w:hAnsi="Calibri" w:cs="Calibri"/>
                <w:b/>
                <w:bCs/>
                <w:color w:val="000000"/>
                <w:sz w:val="20"/>
                <w:szCs w:val="20"/>
              </w:rPr>
              <w:t>Katkı (</w:t>
            </w:r>
            <w:r w:rsidR="00D266AE" w:rsidRPr="00D266AE">
              <w:rPr>
                <w:rFonts w:ascii="Calibri" w:hAnsi="Calibri" w:cs="Calibri"/>
                <w:b/>
                <w:bCs/>
                <w:color w:val="000000"/>
                <w:sz w:val="20"/>
                <w:szCs w:val="20"/>
              </w:rPr>
              <w:t>yüzde puan</w:t>
            </w:r>
            <w:r w:rsidRPr="00D266AE">
              <w:rPr>
                <w:rFonts w:ascii="Calibri" w:hAnsi="Calibri" w:cs="Calibri"/>
                <w:b/>
                <w:bCs/>
                <w:color w:val="000000"/>
                <w:sz w:val="20"/>
                <w:szCs w:val="20"/>
              </w:rPr>
              <w:t>)</w:t>
            </w:r>
          </w:p>
        </w:tc>
        <w:tc>
          <w:tcPr>
            <w:tcW w:w="1259" w:type="dxa"/>
            <w:tcBorders>
              <w:top w:val="nil"/>
              <w:left w:val="nil"/>
              <w:bottom w:val="nil"/>
              <w:right w:val="nil"/>
            </w:tcBorders>
            <w:shd w:val="clear" w:color="000000" w:fill="FFFFFF"/>
            <w:noWrap/>
            <w:vAlign w:val="bottom"/>
            <w:hideMark/>
          </w:tcPr>
          <w:p w14:paraId="16871BF9" w14:textId="70CAF9F6" w:rsidR="004360BE" w:rsidRPr="00D266AE" w:rsidRDefault="004360BE" w:rsidP="004360BE">
            <w:pPr>
              <w:jc w:val="center"/>
              <w:rPr>
                <w:rFonts w:ascii="Calibri" w:hAnsi="Calibri" w:cs="Calibri"/>
                <w:b/>
                <w:bCs/>
                <w:color w:val="000000"/>
                <w:sz w:val="20"/>
                <w:szCs w:val="20"/>
              </w:rPr>
            </w:pPr>
            <w:r w:rsidRPr="00D266AE">
              <w:rPr>
                <w:rFonts w:ascii="Calibri" w:hAnsi="Calibri" w:cs="Calibri"/>
                <w:b/>
                <w:bCs/>
                <w:color w:val="000000"/>
                <w:sz w:val="20"/>
                <w:szCs w:val="20"/>
              </w:rPr>
              <w:t>Değişim (%)</w:t>
            </w:r>
          </w:p>
        </w:tc>
        <w:tc>
          <w:tcPr>
            <w:tcW w:w="1788" w:type="dxa"/>
            <w:tcBorders>
              <w:top w:val="nil"/>
              <w:left w:val="nil"/>
              <w:bottom w:val="nil"/>
              <w:right w:val="single" w:sz="4" w:space="0" w:color="auto"/>
            </w:tcBorders>
            <w:shd w:val="clear" w:color="000000" w:fill="FFFFFF"/>
            <w:noWrap/>
            <w:vAlign w:val="bottom"/>
            <w:hideMark/>
          </w:tcPr>
          <w:p w14:paraId="5848E13E" w14:textId="1E311767" w:rsidR="004360BE" w:rsidRPr="00D266AE" w:rsidRDefault="004360BE" w:rsidP="004360BE">
            <w:pPr>
              <w:jc w:val="center"/>
              <w:rPr>
                <w:rFonts w:ascii="Calibri" w:hAnsi="Calibri" w:cs="Calibri"/>
                <w:b/>
                <w:bCs/>
                <w:color w:val="000000"/>
                <w:sz w:val="20"/>
                <w:szCs w:val="20"/>
              </w:rPr>
            </w:pPr>
            <w:r w:rsidRPr="00D266AE">
              <w:rPr>
                <w:rFonts w:ascii="Calibri" w:hAnsi="Calibri" w:cs="Calibri"/>
                <w:b/>
                <w:bCs/>
                <w:color w:val="000000"/>
                <w:sz w:val="20"/>
                <w:szCs w:val="20"/>
              </w:rPr>
              <w:t xml:space="preserve">Katkı </w:t>
            </w:r>
            <w:r w:rsidR="00D266AE" w:rsidRPr="00D266AE">
              <w:rPr>
                <w:rFonts w:ascii="Calibri" w:hAnsi="Calibri" w:cs="Calibri"/>
                <w:b/>
                <w:bCs/>
                <w:color w:val="000000"/>
                <w:sz w:val="20"/>
                <w:szCs w:val="20"/>
              </w:rPr>
              <w:t>(yüzde puan</w:t>
            </w:r>
            <w:r w:rsidRPr="00D266AE">
              <w:rPr>
                <w:rFonts w:ascii="Calibri" w:hAnsi="Calibri" w:cs="Calibri"/>
                <w:b/>
                <w:bCs/>
                <w:color w:val="000000"/>
                <w:sz w:val="20"/>
                <w:szCs w:val="20"/>
              </w:rPr>
              <w:t>)</w:t>
            </w:r>
          </w:p>
        </w:tc>
      </w:tr>
      <w:tr w:rsidR="00A01C9D" w14:paraId="2CC0141B" w14:textId="77777777" w:rsidTr="00D266AE">
        <w:trPr>
          <w:trHeight w:val="282"/>
        </w:trPr>
        <w:tc>
          <w:tcPr>
            <w:tcW w:w="1480" w:type="dxa"/>
            <w:tcBorders>
              <w:top w:val="nil"/>
              <w:left w:val="single" w:sz="4" w:space="0" w:color="auto"/>
              <w:bottom w:val="nil"/>
              <w:right w:val="single" w:sz="4" w:space="0" w:color="auto"/>
            </w:tcBorders>
            <w:shd w:val="clear" w:color="000000" w:fill="FFFFFF"/>
            <w:noWrap/>
            <w:vAlign w:val="bottom"/>
            <w:hideMark/>
          </w:tcPr>
          <w:p w14:paraId="3C969EA5" w14:textId="77777777" w:rsidR="00A01C9D" w:rsidRDefault="00A01C9D" w:rsidP="00A01C9D">
            <w:pPr>
              <w:rPr>
                <w:rFonts w:ascii="Calibri" w:hAnsi="Calibri" w:cs="Calibri"/>
                <w:b/>
                <w:bCs/>
                <w:color w:val="000000"/>
                <w:sz w:val="20"/>
                <w:szCs w:val="20"/>
              </w:rPr>
            </w:pPr>
            <w:r>
              <w:rPr>
                <w:rFonts w:ascii="Calibri" w:hAnsi="Calibri" w:cs="Calibri"/>
                <w:b/>
                <w:bCs/>
                <w:color w:val="000000"/>
                <w:sz w:val="20"/>
                <w:szCs w:val="20"/>
              </w:rPr>
              <w:t>Özel Tüketim</w:t>
            </w:r>
          </w:p>
        </w:tc>
        <w:tc>
          <w:tcPr>
            <w:tcW w:w="1259" w:type="dxa"/>
            <w:tcBorders>
              <w:top w:val="nil"/>
              <w:left w:val="nil"/>
              <w:bottom w:val="nil"/>
              <w:right w:val="nil"/>
            </w:tcBorders>
            <w:shd w:val="clear" w:color="000000" w:fill="FFFFFF"/>
            <w:noWrap/>
            <w:vAlign w:val="bottom"/>
            <w:hideMark/>
          </w:tcPr>
          <w:p w14:paraId="7950E8FE" w14:textId="55EF0FDE"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4,3</w:t>
            </w:r>
          </w:p>
        </w:tc>
        <w:tc>
          <w:tcPr>
            <w:tcW w:w="1788" w:type="dxa"/>
            <w:tcBorders>
              <w:top w:val="single" w:sz="4" w:space="0" w:color="auto"/>
              <w:left w:val="nil"/>
              <w:bottom w:val="nil"/>
              <w:right w:val="single" w:sz="4" w:space="0" w:color="auto"/>
            </w:tcBorders>
            <w:shd w:val="clear" w:color="000000" w:fill="FFFFFF"/>
            <w:noWrap/>
            <w:vAlign w:val="bottom"/>
            <w:hideMark/>
          </w:tcPr>
          <w:p w14:paraId="30075C4C" w14:textId="7B8A5509"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2,3</w:t>
            </w:r>
          </w:p>
        </w:tc>
        <w:tc>
          <w:tcPr>
            <w:tcW w:w="1259" w:type="dxa"/>
            <w:tcBorders>
              <w:top w:val="single" w:sz="4" w:space="0" w:color="auto"/>
              <w:left w:val="nil"/>
              <w:bottom w:val="nil"/>
              <w:right w:val="nil"/>
            </w:tcBorders>
            <w:shd w:val="clear" w:color="000000" w:fill="FFFFFF"/>
            <w:noWrap/>
            <w:vAlign w:val="bottom"/>
            <w:hideMark/>
          </w:tcPr>
          <w:p w14:paraId="256CAB8C" w14:textId="1AC0F2F4"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5,2</w:t>
            </w:r>
          </w:p>
        </w:tc>
        <w:tc>
          <w:tcPr>
            <w:tcW w:w="1788" w:type="dxa"/>
            <w:tcBorders>
              <w:top w:val="single" w:sz="4" w:space="0" w:color="auto"/>
              <w:left w:val="nil"/>
              <w:bottom w:val="nil"/>
              <w:right w:val="single" w:sz="4" w:space="0" w:color="auto"/>
            </w:tcBorders>
            <w:shd w:val="clear" w:color="000000" w:fill="FFFFFF"/>
            <w:noWrap/>
            <w:vAlign w:val="bottom"/>
            <w:hideMark/>
          </w:tcPr>
          <w:p w14:paraId="54FDEED4" w14:textId="4E84A314"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2,9</w:t>
            </w:r>
          </w:p>
        </w:tc>
      </w:tr>
      <w:tr w:rsidR="00A01C9D" w14:paraId="267E8017" w14:textId="77777777" w:rsidTr="00D266AE">
        <w:trPr>
          <w:trHeight w:val="282"/>
        </w:trPr>
        <w:tc>
          <w:tcPr>
            <w:tcW w:w="1480" w:type="dxa"/>
            <w:tcBorders>
              <w:top w:val="nil"/>
              <w:left w:val="single" w:sz="4" w:space="0" w:color="auto"/>
              <w:bottom w:val="nil"/>
              <w:right w:val="single" w:sz="4" w:space="0" w:color="auto"/>
            </w:tcBorders>
            <w:shd w:val="clear" w:color="000000" w:fill="FFFFFF"/>
            <w:noWrap/>
            <w:vAlign w:val="bottom"/>
            <w:hideMark/>
          </w:tcPr>
          <w:p w14:paraId="5FD02886" w14:textId="77777777" w:rsidR="00A01C9D" w:rsidRDefault="00A01C9D" w:rsidP="00A01C9D">
            <w:pPr>
              <w:rPr>
                <w:rFonts w:ascii="Calibri" w:hAnsi="Calibri" w:cs="Calibri"/>
                <w:b/>
                <w:bCs/>
                <w:color w:val="000000"/>
                <w:sz w:val="20"/>
                <w:szCs w:val="20"/>
              </w:rPr>
            </w:pPr>
            <w:r>
              <w:rPr>
                <w:rFonts w:ascii="Calibri" w:hAnsi="Calibri" w:cs="Calibri"/>
                <w:b/>
                <w:bCs/>
                <w:color w:val="000000"/>
                <w:sz w:val="20"/>
                <w:szCs w:val="20"/>
              </w:rPr>
              <w:t>Kamu Tüketimi</w:t>
            </w:r>
          </w:p>
        </w:tc>
        <w:tc>
          <w:tcPr>
            <w:tcW w:w="1259" w:type="dxa"/>
            <w:tcBorders>
              <w:top w:val="nil"/>
              <w:left w:val="nil"/>
              <w:bottom w:val="nil"/>
              <w:right w:val="nil"/>
            </w:tcBorders>
            <w:shd w:val="clear" w:color="000000" w:fill="FFFFFF"/>
            <w:noWrap/>
            <w:vAlign w:val="bottom"/>
            <w:hideMark/>
          </w:tcPr>
          <w:p w14:paraId="4FAF78EA" w14:textId="7A07E787"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2,5</w:t>
            </w:r>
          </w:p>
        </w:tc>
        <w:tc>
          <w:tcPr>
            <w:tcW w:w="1788" w:type="dxa"/>
            <w:tcBorders>
              <w:top w:val="nil"/>
              <w:left w:val="nil"/>
              <w:bottom w:val="nil"/>
              <w:right w:val="single" w:sz="4" w:space="0" w:color="auto"/>
            </w:tcBorders>
            <w:shd w:val="clear" w:color="000000" w:fill="FFFFFF"/>
            <w:noWrap/>
            <w:vAlign w:val="bottom"/>
            <w:hideMark/>
          </w:tcPr>
          <w:p w14:paraId="19BE99DA" w14:textId="63EF0D87"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0,3</w:t>
            </w:r>
          </w:p>
        </w:tc>
        <w:tc>
          <w:tcPr>
            <w:tcW w:w="1259" w:type="dxa"/>
            <w:tcBorders>
              <w:top w:val="nil"/>
              <w:left w:val="nil"/>
              <w:bottom w:val="nil"/>
              <w:right w:val="nil"/>
            </w:tcBorders>
            <w:shd w:val="clear" w:color="000000" w:fill="FFFFFF"/>
            <w:noWrap/>
            <w:vAlign w:val="bottom"/>
            <w:hideMark/>
          </w:tcPr>
          <w:p w14:paraId="402108CD" w14:textId="08DC2197"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-0,9</w:t>
            </w:r>
          </w:p>
        </w:tc>
        <w:tc>
          <w:tcPr>
            <w:tcW w:w="1788" w:type="dxa"/>
            <w:tcBorders>
              <w:top w:val="nil"/>
              <w:left w:val="nil"/>
              <w:bottom w:val="nil"/>
              <w:right w:val="single" w:sz="4" w:space="0" w:color="auto"/>
            </w:tcBorders>
            <w:shd w:val="clear" w:color="000000" w:fill="FFFFFF"/>
            <w:noWrap/>
            <w:vAlign w:val="bottom"/>
            <w:hideMark/>
          </w:tcPr>
          <w:p w14:paraId="4E5B7AB0" w14:textId="5020BE74"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-0,1</w:t>
            </w:r>
          </w:p>
        </w:tc>
      </w:tr>
      <w:tr w:rsidR="00A01C9D" w14:paraId="71812687" w14:textId="77777777" w:rsidTr="00D266AE">
        <w:trPr>
          <w:trHeight w:val="282"/>
        </w:trPr>
        <w:tc>
          <w:tcPr>
            <w:tcW w:w="1480" w:type="dxa"/>
            <w:tcBorders>
              <w:top w:val="nil"/>
              <w:left w:val="single" w:sz="4" w:space="0" w:color="auto"/>
              <w:bottom w:val="nil"/>
              <w:right w:val="single" w:sz="4" w:space="0" w:color="auto"/>
            </w:tcBorders>
            <w:shd w:val="clear" w:color="000000" w:fill="FFFFFF"/>
            <w:noWrap/>
            <w:vAlign w:val="bottom"/>
            <w:hideMark/>
          </w:tcPr>
          <w:p w14:paraId="5E04B723" w14:textId="77777777" w:rsidR="00A01C9D" w:rsidRDefault="00A01C9D" w:rsidP="00A01C9D">
            <w:pPr>
              <w:rPr>
                <w:rFonts w:ascii="Calibri" w:hAnsi="Calibri" w:cs="Calibri"/>
                <w:b/>
                <w:bCs/>
                <w:color w:val="000000"/>
                <w:sz w:val="20"/>
                <w:szCs w:val="20"/>
              </w:rPr>
            </w:pPr>
            <w:r>
              <w:rPr>
                <w:rFonts w:ascii="Calibri" w:hAnsi="Calibri" w:cs="Calibri"/>
                <w:b/>
                <w:bCs/>
                <w:color w:val="000000"/>
                <w:sz w:val="20"/>
                <w:szCs w:val="20"/>
              </w:rPr>
              <w:t>Yatırım</w:t>
            </w:r>
          </w:p>
        </w:tc>
        <w:tc>
          <w:tcPr>
            <w:tcW w:w="1259" w:type="dxa"/>
            <w:tcBorders>
              <w:top w:val="nil"/>
              <w:left w:val="nil"/>
              <w:bottom w:val="nil"/>
              <w:right w:val="nil"/>
            </w:tcBorders>
            <w:shd w:val="clear" w:color="000000" w:fill="FFFFFF"/>
            <w:noWrap/>
            <w:vAlign w:val="bottom"/>
            <w:hideMark/>
          </w:tcPr>
          <w:p w14:paraId="75F2B02C" w14:textId="48DFC5BF"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11,5</w:t>
            </w:r>
          </w:p>
        </w:tc>
        <w:tc>
          <w:tcPr>
            <w:tcW w:w="1788" w:type="dxa"/>
            <w:tcBorders>
              <w:top w:val="nil"/>
              <w:left w:val="nil"/>
              <w:bottom w:val="nil"/>
              <w:right w:val="single" w:sz="4" w:space="0" w:color="auto"/>
            </w:tcBorders>
            <w:shd w:val="clear" w:color="000000" w:fill="FFFFFF"/>
            <w:noWrap/>
            <w:vAlign w:val="bottom"/>
            <w:hideMark/>
          </w:tcPr>
          <w:p w14:paraId="7A5D8EDA" w14:textId="05D8006C"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3,5</w:t>
            </w:r>
          </w:p>
        </w:tc>
        <w:tc>
          <w:tcPr>
            <w:tcW w:w="1259" w:type="dxa"/>
            <w:tcBorders>
              <w:top w:val="nil"/>
              <w:left w:val="nil"/>
              <w:bottom w:val="nil"/>
              <w:right w:val="nil"/>
            </w:tcBorders>
            <w:shd w:val="clear" w:color="000000" w:fill="FFFFFF"/>
            <w:noWrap/>
            <w:vAlign w:val="bottom"/>
            <w:hideMark/>
          </w:tcPr>
          <w:p w14:paraId="723E3F99" w14:textId="4CA7B357"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5,4</w:t>
            </w:r>
          </w:p>
        </w:tc>
        <w:tc>
          <w:tcPr>
            <w:tcW w:w="1788" w:type="dxa"/>
            <w:tcBorders>
              <w:top w:val="nil"/>
              <w:left w:val="nil"/>
              <w:bottom w:val="nil"/>
              <w:right w:val="single" w:sz="4" w:space="0" w:color="auto"/>
            </w:tcBorders>
            <w:shd w:val="clear" w:color="000000" w:fill="FFFFFF"/>
            <w:noWrap/>
            <w:vAlign w:val="bottom"/>
            <w:hideMark/>
          </w:tcPr>
          <w:p w14:paraId="591ABAE7" w14:textId="58A216B8"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1,7</w:t>
            </w:r>
          </w:p>
        </w:tc>
      </w:tr>
      <w:tr w:rsidR="00A01C9D" w14:paraId="2DF782AD" w14:textId="77777777" w:rsidTr="00D266AE">
        <w:trPr>
          <w:trHeight w:val="282"/>
        </w:trPr>
        <w:tc>
          <w:tcPr>
            <w:tcW w:w="1480" w:type="dxa"/>
            <w:tcBorders>
              <w:top w:val="nil"/>
              <w:left w:val="single" w:sz="4" w:space="0" w:color="auto"/>
              <w:bottom w:val="nil"/>
              <w:right w:val="single" w:sz="4" w:space="0" w:color="auto"/>
            </w:tcBorders>
            <w:shd w:val="clear" w:color="000000" w:fill="FFFFFF"/>
            <w:noWrap/>
            <w:vAlign w:val="bottom"/>
            <w:hideMark/>
          </w:tcPr>
          <w:p w14:paraId="02AFF77E" w14:textId="77777777" w:rsidR="00A01C9D" w:rsidRDefault="00A01C9D" w:rsidP="00A01C9D">
            <w:pPr>
              <w:rPr>
                <w:rFonts w:ascii="Calibri" w:hAnsi="Calibri" w:cs="Calibri"/>
                <w:b/>
                <w:bCs/>
                <w:color w:val="000000"/>
                <w:sz w:val="20"/>
                <w:szCs w:val="20"/>
              </w:rPr>
            </w:pPr>
            <w:r>
              <w:rPr>
                <w:rFonts w:ascii="Calibri" w:hAnsi="Calibri" w:cs="Calibri"/>
                <w:b/>
                <w:bCs/>
                <w:color w:val="000000"/>
                <w:sz w:val="20"/>
                <w:szCs w:val="20"/>
              </w:rPr>
              <w:t>Stok Değişimi</w:t>
            </w:r>
          </w:p>
        </w:tc>
        <w:tc>
          <w:tcPr>
            <w:tcW w:w="1259" w:type="dxa"/>
            <w:tcBorders>
              <w:top w:val="nil"/>
              <w:left w:val="nil"/>
              <w:bottom w:val="nil"/>
              <w:right w:val="nil"/>
            </w:tcBorders>
            <w:shd w:val="clear" w:color="000000" w:fill="FFFFFF"/>
            <w:noWrap/>
            <w:vAlign w:val="bottom"/>
            <w:hideMark/>
          </w:tcPr>
          <w:p w14:paraId="33B6465C" w14:textId="28985C9F"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 </w:t>
            </w:r>
          </w:p>
        </w:tc>
        <w:tc>
          <w:tcPr>
            <w:tcW w:w="1788" w:type="dxa"/>
            <w:tcBorders>
              <w:top w:val="nil"/>
              <w:left w:val="nil"/>
              <w:bottom w:val="nil"/>
              <w:right w:val="single" w:sz="4" w:space="0" w:color="auto"/>
            </w:tcBorders>
            <w:shd w:val="clear" w:color="000000" w:fill="FFFFFF"/>
            <w:noWrap/>
            <w:vAlign w:val="bottom"/>
            <w:hideMark/>
          </w:tcPr>
          <w:p w14:paraId="72B609FE" w14:textId="6660D542"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-0,4</w:t>
            </w:r>
          </w:p>
        </w:tc>
        <w:tc>
          <w:tcPr>
            <w:tcW w:w="1259" w:type="dxa"/>
            <w:tcBorders>
              <w:top w:val="nil"/>
              <w:left w:val="nil"/>
              <w:bottom w:val="nil"/>
              <w:right w:val="nil"/>
            </w:tcBorders>
            <w:shd w:val="clear" w:color="000000" w:fill="FFFFFF"/>
            <w:noWrap/>
            <w:vAlign w:val="bottom"/>
            <w:hideMark/>
          </w:tcPr>
          <w:p w14:paraId="4CAA4C8F" w14:textId="1D7181D7"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 </w:t>
            </w:r>
          </w:p>
        </w:tc>
        <w:tc>
          <w:tcPr>
            <w:tcW w:w="1788" w:type="dxa"/>
            <w:tcBorders>
              <w:top w:val="nil"/>
              <w:left w:val="nil"/>
              <w:bottom w:val="nil"/>
              <w:right w:val="single" w:sz="4" w:space="0" w:color="auto"/>
            </w:tcBorders>
            <w:shd w:val="clear" w:color="000000" w:fill="FFFFFF"/>
            <w:noWrap/>
            <w:vAlign w:val="bottom"/>
            <w:hideMark/>
          </w:tcPr>
          <w:p w14:paraId="3C47EA62" w14:textId="51D0E9D9"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0,0</w:t>
            </w:r>
          </w:p>
        </w:tc>
      </w:tr>
      <w:tr w:rsidR="00A01C9D" w14:paraId="0784A44A" w14:textId="77777777" w:rsidTr="00D266AE">
        <w:trPr>
          <w:trHeight w:val="282"/>
        </w:trPr>
        <w:tc>
          <w:tcPr>
            <w:tcW w:w="1480" w:type="dxa"/>
            <w:tcBorders>
              <w:top w:val="nil"/>
              <w:left w:val="single" w:sz="4" w:space="0" w:color="auto"/>
              <w:bottom w:val="nil"/>
              <w:right w:val="single" w:sz="4" w:space="0" w:color="auto"/>
            </w:tcBorders>
            <w:shd w:val="clear" w:color="000000" w:fill="FFFFFF"/>
            <w:noWrap/>
            <w:vAlign w:val="bottom"/>
            <w:hideMark/>
          </w:tcPr>
          <w:p w14:paraId="0B5CEEDB" w14:textId="77777777" w:rsidR="00A01C9D" w:rsidRDefault="00A01C9D" w:rsidP="00A01C9D">
            <w:pPr>
              <w:rPr>
                <w:rFonts w:ascii="Calibri" w:hAnsi="Calibri" w:cs="Calibri"/>
                <w:b/>
                <w:bCs/>
                <w:color w:val="000000"/>
                <w:sz w:val="20"/>
                <w:szCs w:val="20"/>
              </w:rPr>
            </w:pPr>
            <w:r>
              <w:rPr>
                <w:rFonts w:ascii="Calibri" w:hAnsi="Calibri" w:cs="Calibri"/>
                <w:b/>
                <w:bCs/>
                <w:color w:val="000000"/>
                <w:sz w:val="20"/>
                <w:szCs w:val="20"/>
              </w:rPr>
              <w:t>İhracat</w:t>
            </w:r>
          </w:p>
        </w:tc>
        <w:tc>
          <w:tcPr>
            <w:tcW w:w="1259" w:type="dxa"/>
            <w:tcBorders>
              <w:top w:val="nil"/>
              <w:left w:val="nil"/>
              <w:bottom w:val="nil"/>
              <w:right w:val="nil"/>
            </w:tcBorders>
            <w:shd w:val="clear" w:color="000000" w:fill="FFFFFF"/>
            <w:noWrap/>
            <w:vAlign w:val="bottom"/>
            <w:hideMark/>
          </w:tcPr>
          <w:p w14:paraId="07441065" w14:textId="0759A6E2"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-0,8</w:t>
            </w:r>
          </w:p>
        </w:tc>
        <w:tc>
          <w:tcPr>
            <w:tcW w:w="1788" w:type="dxa"/>
            <w:tcBorders>
              <w:top w:val="nil"/>
              <w:left w:val="nil"/>
              <w:bottom w:val="nil"/>
              <w:right w:val="single" w:sz="4" w:space="0" w:color="auto"/>
            </w:tcBorders>
            <w:shd w:val="clear" w:color="000000" w:fill="FFFFFF"/>
            <w:noWrap/>
            <w:vAlign w:val="bottom"/>
            <w:hideMark/>
          </w:tcPr>
          <w:p w14:paraId="59359515" w14:textId="342BBAF0"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-0,4</w:t>
            </w:r>
          </w:p>
        </w:tc>
        <w:tc>
          <w:tcPr>
            <w:tcW w:w="1259" w:type="dxa"/>
            <w:tcBorders>
              <w:top w:val="nil"/>
              <w:left w:val="nil"/>
              <w:bottom w:val="nil"/>
              <w:right w:val="nil"/>
            </w:tcBorders>
            <w:shd w:val="clear" w:color="000000" w:fill="FFFFFF"/>
            <w:noWrap/>
            <w:vAlign w:val="bottom"/>
            <w:hideMark/>
          </w:tcPr>
          <w:p w14:paraId="77A52EC7" w14:textId="3E126540"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-2,3</w:t>
            </w:r>
          </w:p>
        </w:tc>
        <w:tc>
          <w:tcPr>
            <w:tcW w:w="1788" w:type="dxa"/>
            <w:tcBorders>
              <w:top w:val="nil"/>
              <w:left w:val="nil"/>
              <w:bottom w:val="nil"/>
              <w:right w:val="single" w:sz="4" w:space="0" w:color="auto"/>
            </w:tcBorders>
            <w:shd w:val="clear" w:color="000000" w:fill="FFFFFF"/>
            <w:noWrap/>
            <w:vAlign w:val="bottom"/>
            <w:hideMark/>
          </w:tcPr>
          <w:p w14:paraId="17007491" w14:textId="74C5C997"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-0,5</w:t>
            </w:r>
          </w:p>
        </w:tc>
      </w:tr>
      <w:tr w:rsidR="00A01C9D" w14:paraId="7A68834D" w14:textId="77777777" w:rsidTr="00D266AE">
        <w:trPr>
          <w:trHeight w:val="282"/>
        </w:trPr>
        <w:tc>
          <w:tcPr>
            <w:tcW w:w="1480" w:type="dxa"/>
            <w:tcBorders>
              <w:top w:val="nil"/>
              <w:left w:val="single" w:sz="4" w:space="0" w:color="auto"/>
              <w:bottom w:val="nil"/>
              <w:right w:val="single" w:sz="4" w:space="0" w:color="auto"/>
            </w:tcBorders>
            <w:shd w:val="clear" w:color="000000" w:fill="FFFFFF"/>
            <w:noWrap/>
            <w:vAlign w:val="bottom"/>
            <w:hideMark/>
          </w:tcPr>
          <w:p w14:paraId="069F548C" w14:textId="77777777" w:rsidR="00A01C9D" w:rsidRDefault="00A01C9D" w:rsidP="00A01C9D">
            <w:pPr>
              <w:rPr>
                <w:rFonts w:ascii="Calibri" w:hAnsi="Calibri" w:cs="Calibri"/>
                <w:b/>
                <w:bCs/>
                <w:color w:val="000000"/>
                <w:sz w:val="20"/>
                <w:szCs w:val="20"/>
              </w:rPr>
            </w:pPr>
            <w:r>
              <w:rPr>
                <w:rFonts w:ascii="Calibri" w:hAnsi="Calibri" w:cs="Calibri"/>
                <w:b/>
                <w:bCs/>
                <w:color w:val="000000"/>
                <w:sz w:val="20"/>
                <w:szCs w:val="20"/>
              </w:rPr>
              <w:t>İthalat</w:t>
            </w:r>
          </w:p>
        </w:tc>
        <w:tc>
          <w:tcPr>
            <w:tcW w:w="1259" w:type="dxa"/>
            <w:tcBorders>
              <w:top w:val="nil"/>
              <w:left w:val="nil"/>
              <w:bottom w:val="nil"/>
              <w:right w:val="nil"/>
            </w:tcBorders>
            <w:shd w:val="clear" w:color="000000" w:fill="FFFFFF"/>
            <w:noWrap/>
            <w:vAlign w:val="bottom"/>
            <w:hideMark/>
          </w:tcPr>
          <w:p w14:paraId="297B3209" w14:textId="6CAD5E29"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4,4</w:t>
            </w:r>
          </w:p>
        </w:tc>
        <w:tc>
          <w:tcPr>
            <w:tcW w:w="1788" w:type="dxa"/>
            <w:tcBorders>
              <w:top w:val="nil"/>
              <w:left w:val="nil"/>
              <w:bottom w:val="nil"/>
              <w:right w:val="single" w:sz="4" w:space="0" w:color="auto"/>
            </w:tcBorders>
            <w:shd w:val="clear" w:color="000000" w:fill="FFFFFF"/>
            <w:noWrap/>
            <w:vAlign w:val="bottom"/>
            <w:hideMark/>
          </w:tcPr>
          <w:p w14:paraId="763B5F6E" w14:textId="39111D8E"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-1,4</w:t>
            </w:r>
          </w:p>
        </w:tc>
        <w:tc>
          <w:tcPr>
            <w:tcW w:w="1259" w:type="dxa"/>
            <w:tcBorders>
              <w:top w:val="nil"/>
              <w:left w:val="nil"/>
              <w:bottom w:val="nil"/>
              <w:right w:val="nil"/>
            </w:tcBorders>
            <w:shd w:val="clear" w:color="000000" w:fill="FFFFFF"/>
            <w:noWrap/>
            <w:vAlign w:val="bottom"/>
            <w:hideMark/>
          </w:tcPr>
          <w:p w14:paraId="5EC8E8D5" w14:textId="1CD1774C"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3,8</w:t>
            </w:r>
          </w:p>
        </w:tc>
        <w:tc>
          <w:tcPr>
            <w:tcW w:w="1788" w:type="dxa"/>
            <w:tcBorders>
              <w:top w:val="nil"/>
              <w:left w:val="nil"/>
              <w:bottom w:val="nil"/>
              <w:right w:val="single" w:sz="4" w:space="0" w:color="auto"/>
            </w:tcBorders>
            <w:shd w:val="clear" w:color="000000" w:fill="FFFFFF"/>
            <w:noWrap/>
            <w:vAlign w:val="bottom"/>
            <w:hideMark/>
          </w:tcPr>
          <w:p w14:paraId="5C99268B" w14:textId="14DF43EB"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-0,6</w:t>
            </w:r>
          </w:p>
        </w:tc>
      </w:tr>
      <w:tr w:rsidR="00A01C9D" w14:paraId="62E5B260" w14:textId="77777777" w:rsidTr="00D266AE">
        <w:trPr>
          <w:trHeight w:val="300"/>
        </w:trPr>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14:paraId="168214E4" w14:textId="77777777" w:rsidR="00A01C9D" w:rsidRDefault="00A01C9D" w:rsidP="00A01C9D">
            <w:pPr>
              <w:rPr>
                <w:rFonts w:ascii="Calibri" w:hAnsi="Calibri" w:cs="Calibri"/>
                <w:b/>
                <w:bCs/>
                <w:color w:val="000000"/>
                <w:sz w:val="20"/>
                <w:szCs w:val="20"/>
              </w:rPr>
            </w:pPr>
            <w:r>
              <w:rPr>
                <w:rFonts w:ascii="Calibri" w:hAnsi="Calibri" w:cs="Calibri"/>
                <w:b/>
                <w:bCs/>
                <w:color w:val="000000"/>
                <w:sz w:val="20"/>
                <w:szCs w:val="20"/>
              </w:rPr>
              <w:t>GSYH</w:t>
            </w:r>
          </w:p>
        </w:tc>
        <w:tc>
          <w:tcPr>
            <w:tcW w:w="1259" w:type="dxa"/>
            <w:tcBorders>
              <w:top w:val="nil"/>
              <w:left w:val="nil"/>
              <w:bottom w:val="single" w:sz="4" w:space="0" w:color="auto"/>
              <w:right w:val="nil"/>
            </w:tcBorders>
            <w:shd w:val="clear" w:color="000000" w:fill="FFFFFF"/>
            <w:noWrap/>
            <w:vAlign w:val="bottom"/>
            <w:hideMark/>
          </w:tcPr>
          <w:p w14:paraId="1768224F" w14:textId="4C591BE9"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3,8</w:t>
            </w:r>
          </w:p>
        </w:tc>
        <w:tc>
          <w:tcPr>
            <w:tcW w:w="1788" w:type="dxa"/>
            <w:tcBorders>
              <w:top w:val="nil"/>
              <w:left w:val="nil"/>
              <w:bottom w:val="single" w:sz="4" w:space="0" w:color="auto"/>
              <w:right w:val="single" w:sz="4" w:space="0" w:color="auto"/>
            </w:tcBorders>
            <w:shd w:val="clear" w:color="000000" w:fill="FFFFFF"/>
            <w:noWrap/>
            <w:vAlign w:val="bottom"/>
            <w:hideMark/>
          </w:tcPr>
          <w:p w14:paraId="10F8DC03" w14:textId="724BAFA8"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 </w:t>
            </w:r>
          </w:p>
        </w:tc>
        <w:tc>
          <w:tcPr>
            <w:tcW w:w="1259" w:type="dxa"/>
            <w:tcBorders>
              <w:top w:val="nil"/>
              <w:left w:val="nil"/>
              <w:bottom w:val="single" w:sz="4" w:space="0" w:color="auto"/>
              <w:right w:val="nil"/>
            </w:tcBorders>
            <w:shd w:val="clear" w:color="000000" w:fill="FFFFFF"/>
            <w:noWrap/>
            <w:vAlign w:val="bottom"/>
            <w:hideMark/>
          </w:tcPr>
          <w:p w14:paraId="361D121E" w14:textId="4EF44A21"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3,4</w:t>
            </w:r>
          </w:p>
        </w:tc>
        <w:tc>
          <w:tcPr>
            <w:tcW w:w="1788" w:type="dxa"/>
            <w:tcBorders>
              <w:top w:val="nil"/>
              <w:left w:val="nil"/>
              <w:bottom w:val="single" w:sz="4" w:space="0" w:color="auto"/>
              <w:right w:val="single" w:sz="4" w:space="0" w:color="auto"/>
            </w:tcBorders>
            <w:shd w:val="clear" w:color="000000" w:fill="FFFFFF"/>
            <w:noWrap/>
            <w:vAlign w:val="bottom"/>
            <w:hideMark/>
          </w:tcPr>
          <w:p w14:paraId="144CD720" w14:textId="255A76FD"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 </w:t>
            </w:r>
          </w:p>
        </w:tc>
      </w:tr>
    </w:tbl>
    <w:p w14:paraId="68ED2418" w14:textId="58DED315" w:rsidR="00405BD8" w:rsidRDefault="003D44CE" w:rsidP="003122C3">
      <w:pPr>
        <w:keepLines/>
        <w:widowControl w:val="0"/>
        <w:spacing w:before="120"/>
        <w:rPr>
          <w:rFonts w:ascii="Palatino Linotype" w:hAnsi="Palatino Linotype" w:cstheme="minorHAnsi"/>
          <w:sz w:val="18"/>
          <w:szCs w:val="18"/>
        </w:rPr>
      </w:pPr>
      <w:r w:rsidRPr="00CC0355">
        <w:rPr>
          <w:rFonts w:ascii="Palatino Linotype" w:hAnsi="Palatino Linotype" w:cstheme="minorHAnsi"/>
          <w:sz w:val="18"/>
          <w:szCs w:val="18"/>
        </w:rPr>
        <w:t>Ka</w:t>
      </w:r>
      <w:r w:rsidR="00062A8A" w:rsidRPr="00CC0355">
        <w:rPr>
          <w:rFonts w:ascii="Palatino Linotype" w:hAnsi="Palatino Linotype" w:cstheme="minorHAnsi"/>
          <w:sz w:val="18"/>
          <w:szCs w:val="18"/>
        </w:rPr>
        <w:t>ynak: TÜİK, Betam</w:t>
      </w:r>
    </w:p>
    <w:p w14:paraId="06E46BDB" w14:textId="77777777" w:rsidR="00311EFF" w:rsidRPr="00CC0355" w:rsidRDefault="00311EFF" w:rsidP="00405BD8">
      <w:pPr>
        <w:keepLines/>
        <w:widowControl w:val="0"/>
        <w:rPr>
          <w:rFonts w:ascii="Palatino Linotype" w:hAnsi="Palatino Linotype" w:cstheme="minorHAnsi"/>
          <w:sz w:val="18"/>
          <w:szCs w:val="18"/>
        </w:rPr>
      </w:pPr>
    </w:p>
    <w:p w14:paraId="0616481E" w14:textId="1F01509A" w:rsidR="00732DA5" w:rsidRPr="00CC0355" w:rsidRDefault="006C3EE6" w:rsidP="00732DA5">
      <w:pPr>
        <w:keepNext/>
        <w:spacing w:after="240"/>
        <w:ind w:right="77"/>
        <w:jc w:val="both"/>
        <w:rPr>
          <w:rFonts w:ascii="Palatino Linotype" w:hAnsi="Palatino Linotype" w:cstheme="minorHAnsi"/>
          <w:b/>
          <w:bCs/>
          <w:sz w:val="22"/>
          <w:szCs w:val="22"/>
        </w:rPr>
      </w:pPr>
      <w:r w:rsidRPr="00CC0355">
        <w:rPr>
          <w:rFonts w:ascii="Palatino Linotype" w:hAnsi="Palatino Linotype" w:cstheme="minorHAnsi"/>
          <w:b/>
          <w:bCs/>
          <w:sz w:val="22"/>
          <w:szCs w:val="22"/>
        </w:rPr>
        <w:t xml:space="preserve">Tablo 2: </w:t>
      </w:r>
      <w:r w:rsidR="00D53424" w:rsidRPr="00CC0355">
        <w:rPr>
          <w:rFonts w:ascii="Palatino Linotype" w:hAnsi="Palatino Linotype" w:cstheme="minorHAnsi"/>
          <w:b/>
          <w:bCs/>
          <w:sz w:val="22"/>
          <w:szCs w:val="22"/>
        </w:rPr>
        <w:t xml:space="preserve">GSYH </w:t>
      </w:r>
      <w:r w:rsidR="00D53424" w:rsidRPr="00CC0355">
        <w:rPr>
          <w:rFonts w:ascii="Palatino Linotype" w:hAnsi="Palatino Linotype" w:cstheme="minorHAnsi"/>
          <w:b/>
          <w:bCs/>
          <w:color w:val="000000" w:themeColor="text1"/>
          <w:sz w:val="22"/>
          <w:szCs w:val="22"/>
        </w:rPr>
        <w:t xml:space="preserve">alt </w:t>
      </w:r>
      <w:r w:rsidR="00D53424" w:rsidRPr="00CC0355">
        <w:rPr>
          <w:rFonts w:ascii="Palatino Linotype" w:hAnsi="Palatino Linotype" w:cstheme="minorHAnsi"/>
          <w:b/>
          <w:bCs/>
          <w:sz w:val="22"/>
          <w:szCs w:val="22"/>
        </w:rPr>
        <w:t xml:space="preserve">kalemlerinin </w:t>
      </w:r>
      <w:r w:rsidR="00BB3CF6" w:rsidRPr="005E0D21">
        <w:rPr>
          <w:rFonts w:ascii="Palatino Linotype" w:hAnsi="Palatino Linotype" w:cstheme="minorHAnsi"/>
          <w:b/>
          <w:bCs/>
          <w:sz w:val="22"/>
          <w:szCs w:val="22"/>
        </w:rPr>
        <w:t>202</w:t>
      </w:r>
      <w:r w:rsidR="0044498D">
        <w:rPr>
          <w:rFonts w:ascii="Palatino Linotype" w:hAnsi="Palatino Linotype" w:cstheme="minorHAnsi"/>
          <w:b/>
          <w:bCs/>
          <w:sz w:val="22"/>
          <w:szCs w:val="22"/>
        </w:rPr>
        <w:t>5</w:t>
      </w:r>
      <w:r w:rsidR="00BB3CF6" w:rsidRPr="005E0D21">
        <w:rPr>
          <w:rFonts w:ascii="Palatino Linotype" w:hAnsi="Palatino Linotype" w:cstheme="minorHAnsi"/>
          <w:b/>
          <w:bCs/>
          <w:sz w:val="22"/>
          <w:szCs w:val="22"/>
        </w:rPr>
        <w:t xml:space="preserve"> </w:t>
      </w:r>
      <w:r w:rsidR="003F62A8">
        <w:rPr>
          <w:rFonts w:ascii="Palatino Linotype" w:hAnsi="Palatino Linotype" w:cstheme="minorHAnsi"/>
          <w:b/>
          <w:bCs/>
          <w:sz w:val="22"/>
          <w:szCs w:val="22"/>
        </w:rPr>
        <w:t>3</w:t>
      </w:r>
      <w:r w:rsidR="00BB3CF6" w:rsidRPr="005E0D21">
        <w:rPr>
          <w:rFonts w:ascii="Palatino Linotype" w:hAnsi="Palatino Linotype" w:cstheme="minorHAnsi"/>
          <w:b/>
          <w:bCs/>
          <w:sz w:val="22"/>
          <w:szCs w:val="22"/>
        </w:rPr>
        <w:t>. ve 202</w:t>
      </w:r>
      <w:r w:rsidR="007F13C1">
        <w:rPr>
          <w:rFonts w:ascii="Palatino Linotype" w:hAnsi="Palatino Linotype" w:cstheme="minorHAnsi"/>
          <w:b/>
          <w:bCs/>
          <w:sz w:val="22"/>
          <w:szCs w:val="22"/>
        </w:rPr>
        <w:t>5</w:t>
      </w:r>
      <w:r w:rsidR="00BB3CF6" w:rsidRPr="005E0D21">
        <w:rPr>
          <w:rFonts w:ascii="Palatino Linotype" w:hAnsi="Palatino Linotype" w:cstheme="minorHAnsi"/>
          <w:b/>
          <w:bCs/>
          <w:sz w:val="22"/>
          <w:szCs w:val="22"/>
        </w:rPr>
        <w:t xml:space="preserve"> </w:t>
      </w:r>
      <w:r w:rsidR="003F62A8">
        <w:rPr>
          <w:rFonts w:ascii="Palatino Linotype" w:hAnsi="Palatino Linotype" w:cstheme="minorHAnsi"/>
          <w:b/>
          <w:bCs/>
          <w:sz w:val="22"/>
          <w:szCs w:val="22"/>
        </w:rPr>
        <w:t>4</w:t>
      </w:r>
      <w:r w:rsidR="00BB3CF6" w:rsidRPr="005E0D21">
        <w:rPr>
          <w:rFonts w:ascii="Palatino Linotype" w:hAnsi="Palatino Linotype" w:cstheme="minorHAnsi"/>
          <w:b/>
          <w:bCs/>
          <w:sz w:val="22"/>
          <w:szCs w:val="22"/>
        </w:rPr>
        <w:t xml:space="preserve">. </w:t>
      </w:r>
      <w:r w:rsidR="006F1912" w:rsidRPr="00CC0355">
        <w:rPr>
          <w:rFonts w:ascii="Palatino Linotype" w:hAnsi="Palatino Linotype" w:cstheme="minorHAnsi"/>
          <w:b/>
          <w:bCs/>
          <w:sz w:val="22"/>
          <w:szCs w:val="22"/>
        </w:rPr>
        <w:t>çeyrekte</w:t>
      </w:r>
      <w:r w:rsidR="00E4681E" w:rsidRPr="00CC0355">
        <w:rPr>
          <w:rFonts w:ascii="Palatino Linotype" w:hAnsi="Palatino Linotype" w:cstheme="minorHAnsi"/>
          <w:b/>
          <w:bCs/>
          <w:sz w:val="22"/>
          <w:szCs w:val="22"/>
        </w:rPr>
        <w:t xml:space="preserve"> </w:t>
      </w:r>
      <w:r w:rsidRPr="00CC0355">
        <w:rPr>
          <w:rFonts w:ascii="Palatino Linotype" w:hAnsi="Palatino Linotype" w:cstheme="minorHAnsi"/>
          <w:b/>
          <w:bCs/>
          <w:sz w:val="22"/>
          <w:szCs w:val="22"/>
        </w:rPr>
        <w:t>bir önceki çeyreğe göre büyüme oranları ve büyümeye katkıları</w:t>
      </w:r>
      <w:r w:rsidR="00CF5053" w:rsidRPr="00CC0355">
        <w:rPr>
          <w:rFonts w:ascii="Palatino Linotype" w:hAnsi="Palatino Linotype" w:cstheme="minorHAnsi"/>
          <w:b/>
          <w:bCs/>
          <w:sz w:val="22"/>
          <w:szCs w:val="22"/>
        </w:rPr>
        <w:t xml:space="preserve"> (mevsim ve takvim etkilerinden arındırılmış)</w:t>
      </w:r>
    </w:p>
    <w:tbl>
      <w:tblPr>
        <w:tblW w:w="7574" w:type="dxa"/>
        <w:tblCellMar>
          <w:left w:w="70" w:type="dxa"/>
          <w:right w:w="70" w:type="dxa"/>
        </w:tblCellMar>
        <w:tblLook w:val="04A0" w:firstRow="1" w:lastRow="0" w:firstColumn="1" w:lastColumn="0" w:noHBand="0" w:noVBand="1"/>
      </w:tblPr>
      <w:tblGrid>
        <w:gridCol w:w="1480"/>
        <w:gridCol w:w="1259"/>
        <w:gridCol w:w="1788"/>
        <w:gridCol w:w="1259"/>
        <w:gridCol w:w="1788"/>
      </w:tblGrid>
      <w:tr w:rsidR="004360BE" w14:paraId="0B569F4A" w14:textId="77777777" w:rsidTr="00D266AE">
        <w:trPr>
          <w:trHeight w:val="282"/>
        </w:trPr>
        <w:tc>
          <w:tcPr>
            <w:tcW w:w="1480" w:type="dxa"/>
            <w:tcBorders>
              <w:top w:val="single" w:sz="4" w:space="0" w:color="auto"/>
              <w:left w:val="single" w:sz="4" w:space="0" w:color="auto"/>
              <w:bottom w:val="nil"/>
              <w:right w:val="single" w:sz="4" w:space="0" w:color="auto"/>
            </w:tcBorders>
            <w:shd w:val="clear" w:color="000000" w:fill="FFFFFF"/>
            <w:noWrap/>
            <w:vAlign w:val="bottom"/>
            <w:hideMark/>
          </w:tcPr>
          <w:p w14:paraId="4C2C57A8" w14:textId="77777777" w:rsidR="004360BE" w:rsidRDefault="004360BE" w:rsidP="004360BE">
            <w:pPr>
              <w:rPr>
                <w:rFonts w:ascii="Calibri" w:hAnsi="Calibri" w:cs="Calibri"/>
                <w:b/>
                <w:bCs/>
                <w:color w:val="000000"/>
                <w:sz w:val="20"/>
                <w:szCs w:val="20"/>
              </w:rPr>
            </w:pPr>
            <w:r>
              <w:rPr>
                <w:rFonts w:ascii="Calibri" w:hAnsi="Calibri" w:cs="Calibri"/>
                <w:b/>
                <w:bCs/>
                <w:color w:val="000000"/>
                <w:sz w:val="20"/>
                <w:szCs w:val="20"/>
              </w:rPr>
              <w:t> </w:t>
            </w:r>
          </w:p>
        </w:tc>
        <w:tc>
          <w:tcPr>
            <w:tcW w:w="3047"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C2B9342" w14:textId="5D0FBA10" w:rsidR="004360BE" w:rsidRDefault="004360BE" w:rsidP="004360BE">
            <w:pPr>
              <w:jc w:val="center"/>
              <w:rPr>
                <w:rFonts w:ascii="Calibri" w:hAnsi="Calibri" w:cs="Calibri"/>
                <w:b/>
                <w:bCs/>
                <w:color w:val="000000"/>
                <w:sz w:val="20"/>
                <w:szCs w:val="20"/>
              </w:rPr>
            </w:pPr>
            <w:r>
              <w:rPr>
                <w:rFonts w:ascii="Calibri" w:hAnsi="Calibri" w:cs="Calibri"/>
                <w:b/>
                <w:bCs/>
                <w:color w:val="000000"/>
                <w:sz w:val="20"/>
                <w:szCs w:val="20"/>
              </w:rPr>
              <w:t>2025Q3</w:t>
            </w:r>
          </w:p>
        </w:tc>
        <w:tc>
          <w:tcPr>
            <w:tcW w:w="3047"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EBD32E8" w14:textId="2769DD32" w:rsidR="004360BE" w:rsidRDefault="004360BE" w:rsidP="004360BE">
            <w:pPr>
              <w:jc w:val="center"/>
              <w:rPr>
                <w:rFonts w:ascii="Calibri" w:hAnsi="Calibri" w:cs="Calibri"/>
                <w:b/>
                <w:bCs/>
                <w:color w:val="000000"/>
                <w:sz w:val="20"/>
                <w:szCs w:val="20"/>
              </w:rPr>
            </w:pPr>
            <w:r>
              <w:rPr>
                <w:rFonts w:ascii="Calibri" w:hAnsi="Calibri" w:cs="Calibri"/>
                <w:b/>
                <w:bCs/>
                <w:color w:val="000000"/>
                <w:sz w:val="20"/>
                <w:szCs w:val="20"/>
              </w:rPr>
              <w:t>2025Q4</w:t>
            </w:r>
          </w:p>
        </w:tc>
      </w:tr>
      <w:tr w:rsidR="002D0856" w14:paraId="5D1A18FC" w14:textId="77777777" w:rsidTr="00D266AE">
        <w:trPr>
          <w:trHeight w:val="282"/>
        </w:trPr>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14:paraId="1529856B" w14:textId="77777777" w:rsidR="002D0856" w:rsidRDefault="002D0856">
            <w:pPr>
              <w:rPr>
                <w:rFonts w:ascii="Calibri" w:hAnsi="Calibri" w:cs="Calibri"/>
                <w:b/>
                <w:bCs/>
                <w:color w:val="000000"/>
                <w:sz w:val="20"/>
                <w:szCs w:val="20"/>
              </w:rPr>
            </w:pPr>
            <w:r>
              <w:rPr>
                <w:rFonts w:ascii="Calibri" w:hAnsi="Calibri" w:cs="Calibri"/>
                <w:b/>
                <w:bCs/>
                <w:color w:val="000000"/>
                <w:sz w:val="20"/>
                <w:szCs w:val="20"/>
              </w:rPr>
              <w:t> </w:t>
            </w:r>
          </w:p>
        </w:tc>
        <w:tc>
          <w:tcPr>
            <w:tcW w:w="1259" w:type="dxa"/>
            <w:tcBorders>
              <w:top w:val="nil"/>
              <w:left w:val="nil"/>
              <w:bottom w:val="nil"/>
              <w:right w:val="nil"/>
            </w:tcBorders>
            <w:shd w:val="clear" w:color="000000" w:fill="FFFFFF"/>
            <w:noWrap/>
            <w:vAlign w:val="bottom"/>
            <w:hideMark/>
          </w:tcPr>
          <w:p w14:paraId="74F021CD" w14:textId="77777777" w:rsidR="002D0856" w:rsidRPr="00D266AE" w:rsidRDefault="002D0856">
            <w:pPr>
              <w:jc w:val="center"/>
              <w:rPr>
                <w:rFonts w:ascii="Calibri" w:hAnsi="Calibri" w:cs="Calibri"/>
                <w:b/>
                <w:bCs/>
                <w:color w:val="000000"/>
                <w:sz w:val="20"/>
                <w:szCs w:val="20"/>
              </w:rPr>
            </w:pPr>
            <w:r w:rsidRPr="00D266AE">
              <w:rPr>
                <w:rFonts w:ascii="Calibri" w:hAnsi="Calibri" w:cs="Calibri"/>
                <w:b/>
                <w:bCs/>
                <w:color w:val="000000"/>
                <w:sz w:val="20"/>
                <w:szCs w:val="20"/>
              </w:rPr>
              <w:t>Değişim (%)</w:t>
            </w:r>
          </w:p>
        </w:tc>
        <w:tc>
          <w:tcPr>
            <w:tcW w:w="1788" w:type="dxa"/>
            <w:tcBorders>
              <w:top w:val="nil"/>
              <w:left w:val="nil"/>
              <w:bottom w:val="nil"/>
              <w:right w:val="single" w:sz="4" w:space="0" w:color="auto"/>
            </w:tcBorders>
            <w:shd w:val="clear" w:color="000000" w:fill="FFFFFF"/>
            <w:noWrap/>
            <w:vAlign w:val="bottom"/>
            <w:hideMark/>
          </w:tcPr>
          <w:p w14:paraId="3B4D9DB3" w14:textId="62A22421" w:rsidR="002D0856" w:rsidRPr="00D266AE" w:rsidRDefault="002D0856">
            <w:pPr>
              <w:jc w:val="center"/>
              <w:rPr>
                <w:rFonts w:ascii="Calibri" w:hAnsi="Calibri" w:cs="Calibri"/>
                <w:b/>
                <w:bCs/>
                <w:color w:val="000000"/>
                <w:sz w:val="20"/>
                <w:szCs w:val="20"/>
              </w:rPr>
            </w:pPr>
            <w:r w:rsidRPr="00D266AE">
              <w:rPr>
                <w:rFonts w:ascii="Calibri" w:hAnsi="Calibri" w:cs="Calibri"/>
                <w:b/>
                <w:bCs/>
                <w:color w:val="000000"/>
                <w:sz w:val="20"/>
                <w:szCs w:val="20"/>
              </w:rPr>
              <w:t>Katkı (</w:t>
            </w:r>
            <w:r w:rsidR="00D266AE" w:rsidRPr="00D266AE">
              <w:rPr>
                <w:rFonts w:ascii="Calibri" w:hAnsi="Calibri" w:cs="Calibri"/>
                <w:b/>
                <w:bCs/>
                <w:color w:val="000000"/>
                <w:sz w:val="20"/>
                <w:szCs w:val="20"/>
              </w:rPr>
              <w:t>yüzde puan</w:t>
            </w:r>
            <w:r w:rsidRPr="00D266AE">
              <w:rPr>
                <w:rFonts w:ascii="Calibri" w:hAnsi="Calibri" w:cs="Calibri"/>
                <w:b/>
                <w:bCs/>
                <w:color w:val="000000"/>
                <w:sz w:val="20"/>
                <w:szCs w:val="20"/>
              </w:rPr>
              <w:t>)</w:t>
            </w:r>
          </w:p>
        </w:tc>
        <w:tc>
          <w:tcPr>
            <w:tcW w:w="1259" w:type="dxa"/>
            <w:tcBorders>
              <w:top w:val="nil"/>
              <w:left w:val="nil"/>
              <w:bottom w:val="nil"/>
              <w:right w:val="nil"/>
            </w:tcBorders>
            <w:shd w:val="clear" w:color="000000" w:fill="FFFFFF"/>
            <w:noWrap/>
            <w:vAlign w:val="bottom"/>
            <w:hideMark/>
          </w:tcPr>
          <w:p w14:paraId="2BA7A8FB" w14:textId="77777777" w:rsidR="002D0856" w:rsidRPr="00D266AE" w:rsidRDefault="002D0856">
            <w:pPr>
              <w:jc w:val="center"/>
              <w:rPr>
                <w:rFonts w:ascii="Calibri" w:hAnsi="Calibri" w:cs="Calibri"/>
                <w:b/>
                <w:bCs/>
                <w:color w:val="000000"/>
                <w:sz w:val="20"/>
                <w:szCs w:val="20"/>
              </w:rPr>
            </w:pPr>
            <w:r w:rsidRPr="00D266AE">
              <w:rPr>
                <w:rFonts w:ascii="Calibri" w:hAnsi="Calibri" w:cs="Calibri"/>
                <w:b/>
                <w:bCs/>
                <w:color w:val="000000"/>
                <w:sz w:val="20"/>
                <w:szCs w:val="20"/>
              </w:rPr>
              <w:t>Değişim (%)</w:t>
            </w:r>
          </w:p>
        </w:tc>
        <w:tc>
          <w:tcPr>
            <w:tcW w:w="1788" w:type="dxa"/>
            <w:tcBorders>
              <w:top w:val="nil"/>
              <w:left w:val="nil"/>
              <w:bottom w:val="nil"/>
              <w:right w:val="single" w:sz="4" w:space="0" w:color="auto"/>
            </w:tcBorders>
            <w:shd w:val="clear" w:color="000000" w:fill="FFFFFF"/>
            <w:noWrap/>
            <w:vAlign w:val="bottom"/>
            <w:hideMark/>
          </w:tcPr>
          <w:p w14:paraId="5A0A6D90" w14:textId="344782B2" w:rsidR="002D0856" w:rsidRDefault="002D0856">
            <w:pPr>
              <w:jc w:val="center"/>
              <w:rPr>
                <w:rFonts w:ascii="Calibri" w:hAnsi="Calibri" w:cs="Calibri"/>
                <w:b/>
                <w:bCs/>
                <w:color w:val="000000"/>
                <w:sz w:val="20"/>
                <w:szCs w:val="20"/>
              </w:rPr>
            </w:pPr>
            <w:r w:rsidRPr="00D266AE">
              <w:rPr>
                <w:rFonts w:ascii="Calibri" w:hAnsi="Calibri" w:cs="Calibri"/>
                <w:b/>
                <w:bCs/>
                <w:color w:val="000000"/>
                <w:sz w:val="20"/>
                <w:szCs w:val="20"/>
              </w:rPr>
              <w:t>Katkı (</w:t>
            </w:r>
            <w:r w:rsidR="00D266AE" w:rsidRPr="00D266AE">
              <w:rPr>
                <w:rFonts w:ascii="Calibri" w:hAnsi="Calibri" w:cs="Calibri"/>
                <w:b/>
                <w:bCs/>
                <w:color w:val="000000"/>
                <w:sz w:val="20"/>
                <w:szCs w:val="20"/>
              </w:rPr>
              <w:t>yüzde puan</w:t>
            </w:r>
            <w:r w:rsidRPr="00D266AE">
              <w:rPr>
                <w:rFonts w:ascii="Calibri" w:hAnsi="Calibri" w:cs="Calibri"/>
                <w:b/>
                <w:bCs/>
                <w:color w:val="000000"/>
                <w:sz w:val="20"/>
                <w:szCs w:val="20"/>
              </w:rPr>
              <w:t>)</w:t>
            </w:r>
          </w:p>
        </w:tc>
      </w:tr>
      <w:tr w:rsidR="00A01C9D" w14:paraId="21BB0FD1" w14:textId="77777777" w:rsidTr="00D266AE">
        <w:trPr>
          <w:trHeight w:val="282"/>
        </w:trPr>
        <w:tc>
          <w:tcPr>
            <w:tcW w:w="1480" w:type="dxa"/>
            <w:tcBorders>
              <w:top w:val="nil"/>
              <w:left w:val="single" w:sz="4" w:space="0" w:color="auto"/>
              <w:bottom w:val="nil"/>
              <w:right w:val="nil"/>
            </w:tcBorders>
            <w:shd w:val="clear" w:color="000000" w:fill="FFFFFF"/>
            <w:noWrap/>
            <w:vAlign w:val="bottom"/>
            <w:hideMark/>
          </w:tcPr>
          <w:p w14:paraId="4D3D560F" w14:textId="77777777" w:rsidR="00A01C9D" w:rsidRDefault="00A01C9D" w:rsidP="00A01C9D">
            <w:pPr>
              <w:rPr>
                <w:rFonts w:ascii="Calibri" w:hAnsi="Calibri" w:cs="Calibri"/>
                <w:b/>
                <w:bCs/>
                <w:color w:val="000000"/>
                <w:sz w:val="20"/>
                <w:szCs w:val="20"/>
              </w:rPr>
            </w:pPr>
            <w:r>
              <w:rPr>
                <w:rFonts w:ascii="Calibri" w:hAnsi="Calibri" w:cs="Calibri"/>
                <w:b/>
                <w:bCs/>
                <w:color w:val="000000"/>
                <w:sz w:val="20"/>
                <w:szCs w:val="20"/>
              </w:rPr>
              <w:t>Özel Tüketim</w:t>
            </w:r>
          </w:p>
        </w:tc>
        <w:tc>
          <w:tcPr>
            <w:tcW w:w="1259" w:type="dxa"/>
            <w:tcBorders>
              <w:top w:val="single" w:sz="4" w:space="0" w:color="auto"/>
              <w:left w:val="single" w:sz="4" w:space="0" w:color="auto"/>
              <w:bottom w:val="nil"/>
              <w:right w:val="nil"/>
            </w:tcBorders>
            <w:shd w:val="clear" w:color="000000" w:fill="FFFFFF"/>
            <w:noWrap/>
            <w:vAlign w:val="bottom"/>
            <w:hideMark/>
          </w:tcPr>
          <w:p w14:paraId="451B6779" w14:textId="7836FCED"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1,6</w:t>
            </w:r>
          </w:p>
        </w:tc>
        <w:tc>
          <w:tcPr>
            <w:tcW w:w="1788" w:type="dxa"/>
            <w:tcBorders>
              <w:top w:val="single" w:sz="4" w:space="0" w:color="auto"/>
              <w:left w:val="nil"/>
              <w:bottom w:val="nil"/>
              <w:right w:val="single" w:sz="4" w:space="0" w:color="auto"/>
            </w:tcBorders>
            <w:shd w:val="clear" w:color="000000" w:fill="FFFFFF"/>
            <w:noWrap/>
            <w:vAlign w:val="bottom"/>
            <w:hideMark/>
          </w:tcPr>
          <w:p w14:paraId="475D679F" w14:textId="2BDC0A80"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0,9</w:t>
            </w:r>
          </w:p>
        </w:tc>
        <w:tc>
          <w:tcPr>
            <w:tcW w:w="1259" w:type="dxa"/>
            <w:tcBorders>
              <w:top w:val="single" w:sz="4" w:space="0" w:color="auto"/>
              <w:left w:val="nil"/>
              <w:bottom w:val="nil"/>
              <w:right w:val="nil"/>
            </w:tcBorders>
            <w:shd w:val="clear" w:color="000000" w:fill="FFFFFF"/>
            <w:noWrap/>
            <w:vAlign w:val="bottom"/>
            <w:hideMark/>
          </w:tcPr>
          <w:p w14:paraId="655D105B" w14:textId="0E916E9C"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4,2</w:t>
            </w:r>
          </w:p>
        </w:tc>
        <w:tc>
          <w:tcPr>
            <w:tcW w:w="1788" w:type="dxa"/>
            <w:tcBorders>
              <w:top w:val="single" w:sz="4" w:space="0" w:color="auto"/>
              <w:left w:val="nil"/>
              <w:bottom w:val="nil"/>
              <w:right w:val="single" w:sz="4" w:space="0" w:color="auto"/>
            </w:tcBorders>
            <w:shd w:val="clear" w:color="000000" w:fill="FFFFFF"/>
            <w:noWrap/>
            <w:vAlign w:val="bottom"/>
            <w:hideMark/>
          </w:tcPr>
          <w:p w14:paraId="3E496BD8" w14:textId="34BE8C21"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2,3</w:t>
            </w:r>
          </w:p>
        </w:tc>
      </w:tr>
      <w:tr w:rsidR="00A01C9D" w14:paraId="75F86F83" w14:textId="77777777" w:rsidTr="00D266AE">
        <w:trPr>
          <w:trHeight w:val="282"/>
        </w:trPr>
        <w:tc>
          <w:tcPr>
            <w:tcW w:w="1480" w:type="dxa"/>
            <w:tcBorders>
              <w:top w:val="nil"/>
              <w:left w:val="single" w:sz="4" w:space="0" w:color="auto"/>
              <w:bottom w:val="nil"/>
              <w:right w:val="nil"/>
            </w:tcBorders>
            <w:shd w:val="clear" w:color="000000" w:fill="FFFFFF"/>
            <w:noWrap/>
            <w:vAlign w:val="bottom"/>
            <w:hideMark/>
          </w:tcPr>
          <w:p w14:paraId="205A904E" w14:textId="77777777" w:rsidR="00A01C9D" w:rsidRDefault="00A01C9D" w:rsidP="00A01C9D">
            <w:pPr>
              <w:rPr>
                <w:rFonts w:ascii="Calibri" w:hAnsi="Calibri" w:cs="Calibri"/>
                <w:b/>
                <w:bCs/>
                <w:color w:val="000000"/>
                <w:sz w:val="20"/>
                <w:szCs w:val="20"/>
              </w:rPr>
            </w:pPr>
            <w:r>
              <w:rPr>
                <w:rFonts w:ascii="Calibri" w:hAnsi="Calibri" w:cs="Calibri"/>
                <w:b/>
                <w:bCs/>
                <w:color w:val="000000"/>
                <w:sz w:val="20"/>
                <w:szCs w:val="20"/>
              </w:rPr>
              <w:t>Kamu Tüketimi</w:t>
            </w:r>
          </w:p>
        </w:tc>
        <w:tc>
          <w:tcPr>
            <w:tcW w:w="1259" w:type="dxa"/>
            <w:tcBorders>
              <w:top w:val="nil"/>
              <w:left w:val="single" w:sz="4" w:space="0" w:color="auto"/>
              <w:bottom w:val="nil"/>
              <w:right w:val="nil"/>
            </w:tcBorders>
            <w:shd w:val="clear" w:color="000000" w:fill="FFFFFF"/>
            <w:noWrap/>
            <w:vAlign w:val="bottom"/>
            <w:hideMark/>
          </w:tcPr>
          <w:p w14:paraId="4D5ECFD6" w14:textId="1F6145D4"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1,7</w:t>
            </w:r>
          </w:p>
        </w:tc>
        <w:tc>
          <w:tcPr>
            <w:tcW w:w="1788" w:type="dxa"/>
            <w:tcBorders>
              <w:top w:val="nil"/>
              <w:left w:val="nil"/>
              <w:bottom w:val="nil"/>
              <w:right w:val="single" w:sz="4" w:space="0" w:color="auto"/>
            </w:tcBorders>
            <w:shd w:val="clear" w:color="000000" w:fill="FFFFFF"/>
            <w:noWrap/>
            <w:vAlign w:val="bottom"/>
            <w:hideMark/>
          </w:tcPr>
          <w:p w14:paraId="495813DE" w14:textId="04DA1C42"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0,2</w:t>
            </w:r>
          </w:p>
        </w:tc>
        <w:tc>
          <w:tcPr>
            <w:tcW w:w="1259" w:type="dxa"/>
            <w:tcBorders>
              <w:top w:val="nil"/>
              <w:left w:val="nil"/>
              <w:bottom w:val="nil"/>
              <w:right w:val="nil"/>
            </w:tcBorders>
            <w:shd w:val="clear" w:color="000000" w:fill="FFFFFF"/>
            <w:noWrap/>
            <w:vAlign w:val="bottom"/>
            <w:hideMark/>
          </w:tcPr>
          <w:p w14:paraId="52FEFE4B" w14:textId="0430A745"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-1,7</w:t>
            </w:r>
          </w:p>
        </w:tc>
        <w:tc>
          <w:tcPr>
            <w:tcW w:w="1788" w:type="dxa"/>
            <w:tcBorders>
              <w:top w:val="nil"/>
              <w:left w:val="nil"/>
              <w:bottom w:val="nil"/>
              <w:right w:val="single" w:sz="4" w:space="0" w:color="auto"/>
            </w:tcBorders>
            <w:shd w:val="clear" w:color="000000" w:fill="FFFFFF"/>
            <w:noWrap/>
            <w:vAlign w:val="bottom"/>
            <w:hideMark/>
          </w:tcPr>
          <w:p w14:paraId="1B6E6A80" w14:textId="2A4CC042"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-0,2</w:t>
            </w:r>
          </w:p>
        </w:tc>
      </w:tr>
      <w:tr w:rsidR="00A01C9D" w14:paraId="35AD8372" w14:textId="77777777" w:rsidTr="00D266AE">
        <w:trPr>
          <w:trHeight w:val="282"/>
        </w:trPr>
        <w:tc>
          <w:tcPr>
            <w:tcW w:w="1480" w:type="dxa"/>
            <w:tcBorders>
              <w:top w:val="nil"/>
              <w:left w:val="single" w:sz="4" w:space="0" w:color="auto"/>
              <w:bottom w:val="nil"/>
              <w:right w:val="nil"/>
            </w:tcBorders>
            <w:shd w:val="clear" w:color="000000" w:fill="FFFFFF"/>
            <w:noWrap/>
            <w:vAlign w:val="bottom"/>
            <w:hideMark/>
          </w:tcPr>
          <w:p w14:paraId="56DAEB93" w14:textId="77777777" w:rsidR="00A01C9D" w:rsidRDefault="00A01C9D" w:rsidP="00A01C9D">
            <w:pPr>
              <w:rPr>
                <w:rFonts w:ascii="Calibri" w:hAnsi="Calibri" w:cs="Calibri"/>
                <w:b/>
                <w:bCs/>
                <w:color w:val="000000"/>
                <w:sz w:val="20"/>
                <w:szCs w:val="20"/>
              </w:rPr>
            </w:pPr>
            <w:r>
              <w:rPr>
                <w:rFonts w:ascii="Calibri" w:hAnsi="Calibri" w:cs="Calibri"/>
                <w:b/>
                <w:bCs/>
                <w:color w:val="000000"/>
                <w:sz w:val="20"/>
                <w:szCs w:val="20"/>
              </w:rPr>
              <w:t>Yatırım</w:t>
            </w:r>
          </w:p>
        </w:tc>
        <w:tc>
          <w:tcPr>
            <w:tcW w:w="1259" w:type="dxa"/>
            <w:tcBorders>
              <w:top w:val="nil"/>
              <w:left w:val="single" w:sz="4" w:space="0" w:color="auto"/>
              <w:bottom w:val="nil"/>
              <w:right w:val="nil"/>
            </w:tcBorders>
            <w:shd w:val="clear" w:color="000000" w:fill="FFFFFF"/>
            <w:noWrap/>
            <w:vAlign w:val="bottom"/>
            <w:hideMark/>
          </w:tcPr>
          <w:p w14:paraId="278C5154" w14:textId="718297FA"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3,7</w:t>
            </w:r>
          </w:p>
        </w:tc>
        <w:tc>
          <w:tcPr>
            <w:tcW w:w="1788" w:type="dxa"/>
            <w:tcBorders>
              <w:top w:val="nil"/>
              <w:left w:val="nil"/>
              <w:bottom w:val="nil"/>
              <w:right w:val="single" w:sz="4" w:space="0" w:color="auto"/>
            </w:tcBorders>
            <w:shd w:val="clear" w:color="000000" w:fill="FFFFFF"/>
            <w:noWrap/>
            <w:vAlign w:val="bottom"/>
            <w:hideMark/>
          </w:tcPr>
          <w:p w14:paraId="4D18BEB5" w14:textId="28DA66EA"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1,2</w:t>
            </w:r>
          </w:p>
        </w:tc>
        <w:tc>
          <w:tcPr>
            <w:tcW w:w="1259" w:type="dxa"/>
            <w:tcBorders>
              <w:top w:val="nil"/>
              <w:left w:val="nil"/>
              <w:bottom w:val="nil"/>
              <w:right w:val="nil"/>
            </w:tcBorders>
            <w:shd w:val="clear" w:color="000000" w:fill="FFFFFF"/>
            <w:noWrap/>
            <w:vAlign w:val="bottom"/>
            <w:hideMark/>
          </w:tcPr>
          <w:p w14:paraId="495912A0" w14:textId="027B559F"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-0,3</w:t>
            </w:r>
          </w:p>
        </w:tc>
        <w:tc>
          <w:tcPr>
            <w:tcW w:w="1788" w:type="dxa"/>
            <w:tcBorders>
              <w:top w:val="nil"/>
              <w:left w:val="nil"/>
              <w:bottom w:val="nil"/>
              <w:right w:val="single" w:sz="4" w:space="0" w:color="auto"/>
            </w:tcBorders>
            <w:shd w:val="clear" w:color="000000" w:fill="FFFFFF"/>
            <w:noWrap/>
            <w:vAlign w:val="bottom"/>
            <w:hideMark/>
          </w:tcPr>
          <w:p w14:paraId="792C5B0A" w14:textId="4E6364B0"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-0,1</w:t>
            </w:r>
          </w:p>
        </w:tc>
      </w:tr>
      <w:tr w:rsidR="00A01C9D" w14:paraId="5F160692" w14:textId="77777777" w:rsidTr="00D266AE">
        <w:trPr>
          <w:trHeight w:val="282"/>
        </w:trPr>
        <w:tc>
          <w:tcPr>
            <w:tcW w:w="1480" w:type="dxa"/>
            <w:tcBorders>
              <w:top w:val="nil"/>
              <w:left w:val="single" w:sz="4" w:space="0" w:color="auto"/>
              <w:bottom w:val="nil"/>
              <w:right w:val="nil"/>
            </w:tcBorders>
            <w:shd w:val="clear" w:color="000000" w:fill="FFFFFF"/>
            <w:noWrap/>
            <w:vAlign w:val="bottom"/>
            <w:hideMark/>
          </w:tcPr>
          <w:p w14:paraId="5C988D25" w14:textId="77777777" w:rsidR="00A01C9D" w:rsidRDefault="00A01C9D" w:rsidP="00A01C9D">
            <w:pPr>
              <w:rPr>
                <w:rFonts w:ascii="Calibri" w:hAnsi="Calibri" w:cs="Calibri"/>
                <w:b/>
                <w:bCs/>
                <w:color w:val="000000"/>
                <w:sz w:val="20"/>
                <w:szCs w:val="20"/>
              </w:rPr>
            </w:pPr>
            <w:r>
              <w:rPr>
                <w:rFonts w:ascii="Calibri" w:hAnsi="Calibri" w:cs="Calibri"/>
                <w:b/>
                <w:bCs/>
                <w:color w:val="000000"/>
                <w:sz w:val="20"/>
                <w:szCs w:val="20"/>
              </w:rPr>
              <w:t>Stok Değişimi</w:t>
            </w:r>
          </w:p>
        </w:tc>
        <w:tc>
          <w:tcPr>
            <w:tcW w:w="1259" w:type="dxa"/>
            <w:tcBorders>
              <w:top w:val="nil"/>
              <w:left w:val="single" w:sz="4" w:space="0" w:color="auto"/>
              <w:bottom w:val="nil"/>
              <w:right w:val="nil"/>
            </w:tcBorders>
            <w:shd w:val="clear" w:color="000000" w:fill="FFFFFF"/>
            <w:noWrap/>
            <w:vAlign w:val="bottom"/>
            <w:hideMark/>
          </w:tcPr>
          <w:p w14:paraId="636BB163" w14:textId="555BCA57"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 </w:t>
            </w:r>
          </w:p>
        </w:tc>
        <w:tc>
          <w:tcPr>
            <w:tcW w:w="1788" w:type="dxa"/>
            <w:tcBorders>
              <w:top w:val="nil"/>
              <w:left w:val="nil"/>
              <w:bottom w:val="nil"/>
              <w:right w:val="single" w:sz="4" w:space="0" w:color="auto"/>
            </w:tcBorders>
            <w:shd w:val="clear" w:color="000000" w:fill="FFFFFF"/>
            <w:noWrap/>
            <w:vAlign w:val="bottom"/>
            <w:hideMark/>
          </w:tcPr>
          <w:p w14:paraId="358100DA" w14:textId="4D6795AF"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-3,1</w:t>
            </w:r>
          </w:p>
        </w:tc>
        <w:tc>
          <w:tcPr>
            <w:tcW w:w="1259" w:type="dxa"/>
            <w:tcBorders>
              <w:top w:val="nil"/>
              <w:left w:val="nil"/>
              <w:bottom w:val="nil"/>
              <w:right w:val="nil"/>
            </w:tcBorders>
            <w:shd w:val="clear" w:color="000000" w:fill="FFFFFF"/>
            <w:noWrap/>
            <w:vAlign w:val="bottom"/>
            <w:hideMark/>
          </w:tcPr>
          <w:p w14:paraId="310A7587" w14:textId="31D6FCC4"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 </w:t>
            </w:r>
          </w:p>
        </w:tc>
        <w:tc>
          <w:tcPr>
            <w:tcW w:w="1788" w:type="dxa"/>
            <w:tcBorders>
              <w:top w:val="nil"/>
              <w:left w:val="nil"/>
              <w:bottom w:val="nil"/>
              <w:right w:val="single" w:sz="4" w:space="0" w:color="auto"/>
            </w:tcBorders>
            <w:shd w:val="clear" w:color="000000" w:fill="FFFFFF"/>
            <w:noWrap/>
            <w:vAlign w:val="bottom"/>
            <w:hideMark/>
          </w:tcPr>
          <w:p w14:paraId="794B76B5" w14:textId="172F7CA9"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0,8</w:t>
            </w:r>
          </w:p>
        </w:tc>
      </w:tr>
      <w:tr w:rsidR="00A01C9D" w14:paraId="61505D27" w14:textId="77777777" w:rsidTr="00D266AE">
        <w:trPr>
          <w:trHeight w:val="282"/>
        </w:trPr>
        <w:tc>
          <w:tcPr>
            <w:tcW w:w="1480" w:type="dxa"/>
            <w:tcBorders>
              <w:top w:val="nil"/>
              <w:left w:val="single" w:sz="4" w:space="0" w:color="auto"/>
              <w:bottom w:val="nil"/>
              <w:right w:val="nil"/>
            </w:tcBorders>
            <w:shd w:val="clear" w:color="000000" w:fill="FFFFFF"/>
            <w:noWrap/>
            <w:vAlign w:val="bottom"/>
            <w:hideMark/>
          </w:tcPr>
          <w:p w14:paraId="6B0702F3" w14:textId="77777777" w:rsidR="00A01C9D" w:rsidRDefault="00A01C9D" w:rsidP="00A01C9D">
            <w:pPr>
              <w:rPr>
                <w:rFonts w:ascii="Calibri" w:hAnsi="Calibri" w:cs="Calibri"/>
                <w:b/>
                <w:bCs/>
                <w:color w:val="000000"/>
                <w:sz w:val="20"/>
                <w:szCs w:val="20"/>
              </w:rPr>
            </w:pPr>
            <w:r>
              <w:rPr>
                <w:rFonts w:ascii="Calibri" w:hAnsi="Calibri" w:cs="Calibri"/>
                <w:b/>
                <w:bCs/>
                <w:color w:val="000000"/>
                <w:sz w:val="20"/>
                <w:szCs w:val="20"/>
              </w:rPr>
              <w:t>İhracat</w:t>
            </w:r>
          </w:p>
        </w:tc>
        <w:tc>
          <w:tcPr>
            <w:tcW w:w="1259" w:type="dxa"/>
            <w:tcBorders>
              <w:top w:val="nil"/>
              <w:left w:val="single" w:sz="4" w:space="0" w:color="auto"/>
              <w:bottom w:val="nil"/>
              <w:right w:val="nil"/>
            </w:tcBorders>
            <w:shd w:val="clear" w:color="000000" w:fill="FFFFFF"/>
            <w:noWrap/>
            <w:vAlign w:val="bottom"/>
            <w:hideMark/>
          </w:tcPr>
          <w:p w14:paraId="07092469" w14:textId="64B3BB4D"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2,7</w:t>
            </w:r>
          </w:p>
        </w:tc>
        <w:tc>
          <w:tcPr>
            <w:tcW w:w="1788" w:type="dxa"/>
            <w:tcBorders>
              <w:top w:val="nil"/>
              <w:left w:val="nil"/>
              <w:bottom w:val="nil"/>
              <w:right w:val="single" w:sz="4" w:space="0" w:color="auto"/>
            </w:tcBorders>
            <w:shd w:val="clear" w:color="000000" w:fill="FFFFFF"/>
            <w:noWrap/>
            <w:vAlign w:val="bottom"/>
            <w:hideMark/>
          </w:tcPr>
          <w:p w14:paraId="04C674A3" w14:textId="5BFA63CC"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0,7</w:t>
            </w:r>
          </w:p>
        </w:tc>
        <w:tc>
          <w:tcPr>
            <w:tcW w:w="1259" w:type="dxa"/>
            <w:tcBorders>
              <w:top w:val="nil"/>
              <w:left w:val="nil"/>
              <w:bottom w:val="nil"/>
              <w:right w:val="nil"/>
            </w:tcBorders>
            <w:shd w:val="clear" w:color="000000" w:fill="FFFFFF"/>
            <w:noWrap/>
            <w:vAlign w:val="bottom"/>
            <w:hideMark/>
          </w:tcPr>
          <w:p w14:paraId="4C75564C" w14:textId="5EB83138"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-4,5</w:t>
            </w:r>
          </w:p>
        </w:tc>
        <w:tc>
          <w:tcPr>
            <w:tcW w:w="1788" w:type="dxa"/>
            <w:tcBorders>
              <w:top w:val="nil"/>
              <w:left w:val="nil"/>
              <w:bottom w:val="nil"/>
              <w:right w:val="single" w:sz="4" w:space="0" w:color="auto"/>
            </w:tcBorders>
            <w:shd w:val="clear" w:color="000000" w:fill="FFFFFF"/>
            <w:noWrap/>
            <w:vAlign w:val="bottom"/>
            <w:hideMark/>
          </w:tcPr>
          <w:p w14:paraId="4C7C8D95" w14:textId="058DFBF0"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-1,2</w:t>
            </w:r>
          </w:p>
        </w:tc>
      </w:tr>
      <w:tr w:rsidR="00A01C9D" w14:paraId="2390423C" w14:textId="77777777" w:rsidTr="00D266AE">
        <w:trPr>
          <w:trHeight w:val="282"/>
        </w:trPr>
        <w:tc>
          <w:tcPr>
            <w:tcW w:w="1480" w:type="dxa"/>
            <w:tcBorders>
              <w:top w:val="nil"/>
              <w:left w:val="single" w:sz="4" w:space="0" w:color="auto"/>
              <w:bottom w:val="nil"/>
              <w:right w:val="nil"/>
            </w:tcBorders>
            <w:shd w:val="clear" w:color="000000" w:fill="FFFFFF"/>
            <w:noWrap/>
            <w:vAlign w:val="bottom"/>
            <w:hideMark/>
          </w:tcPr>
          <w:p w14:paraId="63127AB5" w14:textId="77777777" w:rsidR="00A01C9D" w:rsidRDefault="00A01C9D" w:rsidP="00A01C9D">
            <w:pPr>
              <w:rPr>
                <w:rFonts w:ascii="Calibri" w:hAnsi="Calibri" w:cs="Calibri"/>
                <w:b/>
                <w:bCs/>
                <w:color w:val="000000"/>
                <w:sz w:val="20"/>
                <w:szCs w:val="20"/>
              </w:rPr>
            </w:pPr>
            <w:r>
              <w:rPr>
                <w:rFonts w:ascii="Calibri" w:hAnsi="Calibri" w:cs="Calibri"/>
                <w:b/>
                <w:bCs/>
                <w:color w:val="000000"/>
                <w:sz w:val="20"/>
                <w:szCs w:val="20"/>
              </w:rPr>
              <w:t>İthalat</w:t>
            </w:r>
          </w:p>
        </w:tc>
        <w:tc>
          <w:tcPr>
            <w:tcW w:w="1259" w:type="dxa"/>
            <w:tcBorders>
              <w:top w:val="nil"/>
              <w:left w:val="single" w:sz="4" w:space="0" w:color="auto"/>
              <w:bottom w:val="nil"/>
              <w:right w:val="nil"/>
            </w:tcBorders>
            <w:shd w:val="clear" w:color="000000" w:fill="FFFFFF"/>
            <w:noWrap/>
            <w:vAlign w:val="bottom"/>
            <w:hideMark/>
          </w:tcPr>
          <w:p w14:paraId="56FA4DEA" w14:textId="26553D67"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-3,8</w:t>
            </w:r>
          </w:p>
        </w:tc>
        <w:tc>
          <w:tcPr>
            <w:tcW w:w="1788" w:type="dxa"/>
            <w:tcBorders>
              <w:top w:val="nil"/>
              <w:left w:val="nil"/>
              <w:bottom w:val="nil"/>
              <w:right w:val="single" w:sz="4" w:space="0" w:color="auto"/>
            </w:tcBorders>
            <w:shd w:val="clear" w:color="000000" w:fill="FFFFFF"/>
            <w:noWrap/>
            <w:vAlign w:val="bottom"/>
            <w:hideMark/>
          </w:tcPr>
          <w:p w14:paraId="5B8BF3E1" w14:textId="2BB41E81"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1,1</w:t>
            </w:r>
          </w:p>
        </w:tc>
        <w:tc>
          <w:tcPr>
            <w:tcW w:w="1259" w:type="dxa"/>
            <w:tcBorders>
              <w:top w:val="nil"/>
              <w:left w:val="nil"/>
              <w:bottom w:val="nil"/>
              <w:right w:val="nil"/>
            </w:tcBorders>
            <w:shd w:val="clear" w:color="000000" w:fill="FFFFFF"/>
            <w:noWrap/>
            <w:vAlign w:val="bottom"/>
            <w:hideMark/>
          </w:tcPr>
          <w:p w14:paraId="2317F1D5" w14:textId="649DC458"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4,3</w:t>
            </w:r>
          </w:p>
        </w:tc>
        <w:tc>
          <w:tcPr>
            <w:tcW w:w="1788" w:type="dxa"/>
            <w:tcBorders>
              <w:top w:val="nil"/>
              <w:left w:val="nil"/>
              <w:bottom w:val="nil"/>
              <w:right w:val="single" w:sz="4" w:space="0" w:color="auto"/>
            </w:tcBorders>
            <w:shd w:val="clear" w:color="000000" w:fill="FFFFFF"/>
            <w:noWrap/>
            <w:vAlign w:val="bottom"/>
            <w:hideMark/>
          </w:tcPr>
          <w:p w14:paraId="68A52BDA" w14:textId="07F42F94"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-1,1</w:t>
            </w:r>
          </w:p>
        </w:tc>
      </w:tr>
      <w:tr w:rsidR="00A01C9D" w14:paraId="688B1B2F" w14:textId="77777777" w:rsidTr="00D266AE">
        <w:trPr>
          <w:trHeight w:val="300"/>
        </w:trPr>
        <w:tc>
          <w:tcPr>
            <w:tcW w:w="1480" w:type="dxa"/>
            <w:tcBorders>
              <w:top w:val="nil"/>
              <w:left w:val="single" w:sz="4" w:space="0" w:color="auto"/>
              <w:bottom w:val="single" w:sz="4" w:space="0" w:color="auto"/>
              <w:right w:val="nil"/>
            </w:tcBorders>
            <w:shd w:val="clear" w:color="000000" w:fill="FFFFFF"/>
            <w:noWrap/>
            <w:vAlign w:val="bottom"/>
            <w:hideMark/>
          </w:tcPr>
          <w:p w14:paraId="7049AAD2" w14:textId="77777777" w:rsidR="00A01C9D" w:rsidRDefault="00A01C9D" w:rsidP="00A01C9D">
            <w:pPr>
              <w:rPr>
                <w:rFonts w:ascii="Calibri" w:hAnsi="Calibri" w:cs="Calibri"/>
                <w:b/>
                <w:bCs/>
                <w:color w:val="000000"/>
                <w:sz w:val="20"/>
                <w:szCs w:val="20"/>
              </w:rPr>
            </w:pPr>
            <w:r>
              <w:rPr>
                <w:rFonts w:ascii="Calibri" w:hAnsi="Calibri" w:cs="Calibri"/>
                <w:b/>
                <w:bCs/>
                <w:color w:val="000000"/>
                <w:sz w:val="20"/>
                <w:szCs w:val="20"/>
              </w:rPr>
              <w:t>GSYH</w:t>
            </w:r>
          </w:p>
        </w:tc>
        <w:tc>
          <w:tcPr>
            <w:tcW w:w="1259" w:type="dxa"/>
            <w:tcBorders>
              <w:top w:val="nil"/>
              <w:left w:val="single" w:sz="4" w:space="0" w:color="auto"/>
              <w:bottom w:val="single" w:sz="4" w:space="0" w:color="auto"/>
              <w:right w:val="nil"/>
            </w:tcBorders>
            <w:shd w:val="clear" w:color="000000" w:fill="FFFFFF"/>
            <w:noWrap/>
            <w:vAlign w:val="bottom"/>
            <w:hideMark/>
          </w:tcPr>
          <w:p w14:paraId="552B2EE0" w14:textId="3D2EA231"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1,0</w:t>
            </w:r>
          </w:p>
        </w:tc>
        <w:tc>
          <w:tcPr>
            <w:tcW w:w="1788" w:type="dxa"/>
            <w:tcBorders>
              <w:top w:val="nil"/>
              <w:left w:val="nil"/>
              <w:bottom w:val="single" w:sz="4" w:space="0" w:color="auto"/>
              <w:right w:val="single" w:sz="4" w:space="0" w:color="auto"/>
            </w:tcBorders>
            <w:shd w:val="clear" w:color="000000" w:fill="FFFFFF"/>
            <w:noWrap/>
            <w:vAlign w:val="bottom"/>
            <w:hideMark/>
          </w:tcPr>
          <w:p w14:paraId="74B2397D" w14:textId="465A1FDA"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 </w:t>
            </w:r>
          </w:p>
        </w:tc>
        <w:tc>
          <w:tcPr>
            <w:tcW w:w="1259" w:type="dxa"/>
            <w:tcBorders>
              <w:top w:val="nil"/>
              <w:left w:val="nil"/>
              <w:bottom w:val="single" w:sz="4" w:space="0" w:color="auto"/>
              <w:right w:val="nil"/>
            </w:tcBorders>
            <w:shd w:val="clear" w:color="000000" w:fill="FFFFFF"/>
            <w:noWrap/>
            <w:vAlign w:val="bottom"/>
            <w:hideMark/>
          </w:tcPr>
          <w:p w14:paraId="745462BF" w14:textId="24E93CB3"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0,4</w:t>
            </w:r>
          </w:p>
        </w:tc>
        <w:tc>
          <w:tcPr>
            <w:tcW w:w="1788" w:type="dxa"/>
            <w:tcBorders>
              <w:top w:val="nil"/>
              <w:left w:val="nil"/>
              <w:bottom w:val="single" w:sz="4" w:space="0" w:color="auto"/>
              <w:right w:val="single" w:sz="4" w:space="0" w:color="auto"/>
            </w:tcBorders>
            <w:shd w:val="clear" w:color="000000" w:fill="FFFFFF"/>
            <w:noWrap/>
            <w:vAlign w:val="bottom"/>
            <w:hideMark/>
          </w:tcPr>
          <w:p w14:paraId="645D40C8" w14:textId="49BD0EA7" w:rsidR="00A01C9D" w:rsidRDefault="00A01C9D" w:rsidP="00A01C9D">
            <w:pPr>
              <w:jc w:val="center"/>
              <w:rPr>
                <w:rFonts w:ascii="Calibri" w:hAnsi="Calibri" w:cs="Calibri"/>
                <w:color w:val="000000"/>
                <w:sz w:val="20"/>
                <w:szCs w:val="20"/>
              </w:rPr>
            </w:pPr>
            <w:r>
              <w:rPr>
                <w:rFonts w:ascii="Calibri" w:hAnsi="Calibri" w:cs="Calibri"/>
                <w:color w:val="000000"/>
                <w:sz w:val="20"/>
                <w:szCs w:val="20"/>
              </w:rPr>
              <w:t> </w:t>
            </w:r>
          </w:p>
        </w:tc>
      </w:tr>
    </w:tbl>
    <w:p w14:paraId="04FC8E76" w14:textId="758E56B3" w:rsidR="00F46A54" w:rsidRPr="00CC0355" w:rsidRDefault="003D44CE" w:rsidP="003122C3">
      <w:pPr>
        <w:keepNext/>
        <w:spacing w:before="120"/>
        <w:rPr>
          <w:rFonts w:ascii="Palatino Linotype" w:hAnsi="Palatino Linotype" w:cstheme="minorHAnsi"/>
          <w:sz w:val="18"/>
          <w:szCs w:val="18"/>
        </w:rPr>
      </w:pPr>
      <w:r w:rsidRPr="00CC0355">
        <w:rPr>
          <w:rFonts w:ascii="Palatino Linotype" w:hAnsi="Palatino Linotype" w:cstheme="minorHAnsi"/>
          <w:sz w:val="18"/>
          <w:szCs w:val="18"/>
        </w:rPr>
        <w:t>Ka</w:t>
      </w:r>
      <w:r w:rsidR="00062A8A" w:rsidRPr="00CC0355">
        <w:rPr>
          <w:rFonts w:ascii="Palatino Linotype" w:hAnsi="Palatino Linotype" w:cstheme="minorHAnsi"/>
          <w:sz w:val="18"/>
          <w:szCs w:val="18"/>
        </w:rPr>
        <w:t>ynak: TÜİK, Betam</w:t>
      </w:r>
    </w:p>
    <w:p w14:paraId="7ADB5CC9" w14:textId="77777777" w:rsidR="00E41A80" w:rsidRDefault="00E41A80" w:rsidP="00E41A80">
      <w:pPr>
        <w:pStyle w:val="NormalWeb"/>
        <w:spacing w:before="0" w:beforeAutospacing="0" w:after="0" w:afterAutospacing="0" w:line="360" w:lineRule="auto"/>
        <w:ind w:right="77"/>
        <w:rPr>
          <w:rFonts w:ascii="Palatino Linotype" w:hAnsi="Palatino Linotype" w:cstheme="minorBidi"/>
          <w:b/>
          <w:bCs/>
          <w:sz w:val="22"/>
          <w:szCs w:val="22"/>
        </w:rPr>
      </w:pPr>
      <w:bookmarkStart w:id="6" w:name="OLE_LINK23"/>
      <w:bookmarkStart w:id="7" w:name="OLE_LINK27"/>
      <w:bookmarkStart w:id="8" w:name="OLE_LINK28"/>
    </w:p>
    <w:p w14:paraId="0E158720" w14:textId="0CA1A5E0" w:rsidR="00E41A80" w:rsidRPr="000B09B0" w:rsidRDefault="00457E4E" w:rsidP="00E41A80">
      <w:pPr>
        <w:pStyle w:val="NormalWeb"/>
        <w:spacing w:before="0" w:beforeAutospacing="0" w:after="0" w:afterAutospacing="0" w:line="360" w:lineRule="auto"/>
        <w:ind w:right="77"/>
        <w:rPr>
          <w:rFonts w:ascii="Palatino Linotype" w:hAnsi="Palatino Linotype" w:cstheme="minorBidi"/>
          <w:b/>
          <w:bCs/>
          <w:sz w:val="22"/>
          <w:szCs w:val="22"/>
        </w:rPr>
      </w:pPr>
      <w:r w:rsidRPr="000B09B0">
        <w:rPr>
          <w:rFonts w:ascii="Palatino Linotype" w:hAnsi="Palatino Linotype" w:cstheme="minorBidi"/>
          <w:b/>
          <w:bCs/>
          <w:sz w:val="22"/>
          <w:szCs w:val="22"/>
        </w:rPr>
        <w:t>Yatırımlar yıllık bazda art</w:t>
      </w:r>
      <w:r w:rsidR="00E41A80">
        <w:rPr>
          <w:rFonts w:ascii="Palatino Linotype" w:hAnsi="Palatino Linotype" w:cstheme="minorBidi"/>
          <w:b/>
          <w:bCs/>
          <w:sz w:val="22"/>
          <w:szCs w:val="22"/>
        </w:rPr>
        <w:t>arken</w:t>
      </w:r>
      <w:r w:rsidRPr="000B09B0">
        <w:rPr>
          <w:rFonts w:ascii="Palatino Linotype" w:hAnsi="Palatino Linotype" w:cstheme="minorBidi"/>
          <w:b/>
          <w:bCs/>
          <w:sz w:val="22"/>
          <w:szCs w:val="22"/>
        </w:rPr>
        <w:t xml:space="preserve"> çeyreklik bazda</w:t>
      </w:r>
      <w:r>
        <w:rPr>
          <w:rFonts w:ascii="Palatino Linotype" w:hAnsi="Palatino Linotype" w:cstheme="minorBidi"/>
          <w:b/>
          <w:bCs/>
          <w:sz w:val="22"/>
          <w:szCs w:val="22"/>
        </w:rPr>
        <w:t xml:space="preserve"> geriledi</w:t>
      </w:r>
    </w:p>
    <w:p w14:paraId="6AED8E98" w14:textId="77777777" w:rsidR="00E41A80" w:rsidRDefault="00E41A80" w:rsidP="00E41A80">
      <w:pPr>
        <w:pStyle w:val="NormalWeb"/>
        <w:spacing w:before="0" w:beforeAutospacing="0" w:after="0" w:afterAutospacing="0" w:line="360" w:lineRule="auto"/>
        <w:ind w:right="77"/>
        <w:jc w:val="both"/>
        <w:rPr>
          <w:rFonts w:ascii="Palatino Linotype" w:hAnsi="Palatino Linotype" w:cstheme="minorHAnsi"/>
          <w:sz w:val="22"/>
          <w:szCs w:val="22"/>
        </w:rPr>
      </w:pPr>
      <w:r w:rsidRPr="00245B1A">
        <w:rPr>
          <w:rFonts w:ascii="Palatino Linotype" w:hAnsi="Palatino Linotype" w:cstheme="minorHAnsi"/>
          <w:sz w:val="22"/>
          <w:szCs w:val="22"/>
        </w:rPr>
        <w:t>2024 yılındaki büyüme değerlendirmelerinde</w:t>
      </w:r>
      <w:r>
        <w:rPr>
          <w:rFonts w:ascii="Palatino Linotype" w:hAnsi="Palatino Linotype" w:cstheme="minorHAnsi"/>
          <w:sz w:val="22"/>
          <w:szCs w:val="22"/>
        </w:rPr>
        <w:t xml:space="preserve"> görülen yatırımlardaki güçlü artış bu çeyrekte de azalarak da olsa devam etti. Yatırımlar 2025’in dördüncü çeyreğinde yıllık bazda yüzde 5,4 artarak büyümeye 1,7 yüzde puan katkı yaptı (Tablo 1). Çeyreklik bazda ise bir önceki </w:t>
      </w:r>
      <w:r>
        <w:rPr>
          <w:rFonts w:ascii="Palatino Linotype" w:hAnsi="Palatino Linotype" w:cstheme="minorHAnsi"/>
          <w:sz w:val="22"/>
          <w:szCs w:val="22"/>
        </w:rPr>
        <w:lastRenderedPageBreak/>
        <w:t>çeyreğe kıyasla yüzde 0,3 azalarak büyüme oranını 0,1 pua</w:t>
      </w:r>
      <w:r w:rsidRPr="00245B1A">
        <w:rPr>
          <w:rFonts w:ascii="Palatino Linotype" w:hAnsi="Palatino Linotype" w:cstheme="minorHAnsi"/>
          <w:sz w:val="22"/>
          <w:szCs w:val="22"/>
        </w:rPr>
        <w:t xml:space="preserve">n </w:t>
      </w:r>
      <w:r>
        <w:rPr>
          <w:rFonts w:ascii="Palatino Linotype" w:hAnsi="Palatino Linotype" w:cstheme="minorHAnsi"/>
          <w:sz w:val="22"/>
          <w:szCs w:val="22"/>
        </w:rPr>
        <w:t>düşürdü</w:t>
      </w:r>
      <w:r w:rsidRPr="00245B1A">
        <w:rPr>
          <w:rFonts w:ascii="Palatino Linotype" w:hAnsi="Palatino Linotype" w:cstheme="minorHAnsi"/>
          <w:sz w:val="22"/>
          <w:szCs w:val="22"/>
        </w:rPr>
        <w:t xml:space="preserve">. </w:t>
      </w:r>
      <w:r>
        <w:rPr>
          <w:rFonts w:ascii="Palatino Linotype" w:hAnsi="Palatino Linotype" w:cstheme="minorHAnsi"/>
          <w:sz w:val="22"/>
          <w:szCs w:val="22"/>
        </w:rPr>
        <w:t>Üçüncü</w:t>
      </w:r>
      <w:r w:rsidRPr="00245B1A">
        <w:rPr>
          <w:rFonts w:ascii="Palatino Linotype" w:hAnsi="Palatino Linotype" w:cstheme="minorHAnsi"/>
          <w:sz w:val="22"/>
          <w:szCs w:val="22"/>
        </w:rPr>
        <w:t xml:space="preserve"> çeyrekte </w:t>
      </w:r>
      <w:r>
        <w:rPr>
          <w:rFonts w:ascii="Palatino Linotype" w:hAnsi="Palatino Linotype" w:cstheme="minorHAnsi"/>
          <w:sz w:val="22"/>
          <w:szCs w:val="22"/>
        </w:rPr>
        <w:t xml:space="preserve">ise yatırımlarda </w:t>
      </w:r>
      <w:r w:rsidRPr="00245B1A">
        <w:rPr>
          <w:rFonts w:ascii="Palatino Linotype" w:hAnsi="Palatino Linotype" w:cstheme="minorHAnsi"/>
          <w:sz w:val="22"/>
          <w:szCs w:val="22"/>
        </w:rPr>
        <w:t xml:space="preserve">büyüme </w:t>
      </w:r>
      <w:r>
        <w:rPr>
          <w:rFonts w:ascii="Palatino Linotype" w:hAnsi="Palatino Linotype" w:cstheme="minorHAnsi"/>
          <w:sz w:val="22"/>
          <w:szCs w:val="22"/>
        </w:rPr>
        <w:t>ikinci</w:t>
      </w:r>
      <w:r w:rsidRPr="00245B1A">
        <w:rPr>
          <w:rFonts w:ascii="Palatino Linotype" w:hAnsi="Palatino Linotype" w:cstheme="minorHAnsi"/>
          <w:sz w:val="22"/>
          <w:szCs w:val="22"/>
        </w:rPr>
        <w:t xml:space="preserve"> çeyreğe kıyasla yüzde 3</w:t>
      </w:r>
      <w:r>
        <w:rPr>
          <w:rFonts w:ascii="Palatino Linotype" w:hAnsi="Palatino Linotype" w:cstheme="minorHAnsi"/>
          <w:sz w:val="22"/>
          <w:szCs w:val="22"/>
        </w:rPr>
        <w:t>,7</w:t>
      </w:r>
      <w:r w:rsidRPr="00245B1A">
        <w:rPr>
          <w:rFonts w:ascii="Palatino Linotype" w:hAnsi="Palatino Linotype" w:cstheme="minorHAnsi"/>
          <w:sz w:val="22"/>
          <w:szCs w:val="22"/>
        </w:rPr>
        <w:t>’</w:t>
      </w:r>
      <w:r>
        <w:rPr>
          <w:rFonts w:ascii="Palatino Linotype" w:hAnsi="Palatino Linotype" w:cstheme="minorHAnsi"/>
          <w:sz w:val="22"/>
          <w:szCs w:val="22"/>
        </w:rPr>
        <w:t>ydi</w:t>
      </w:r>
      <w:r w:rsidRPr="00245B1A">
        <w:rPr>
          <w:rFonts w:ascii="Palatino Linotype" w:hAnsi="Palatino Linotype" w:cstheme="minorHAnsi"/>
          <w:sz w:val="22"/>
          <w:szCs w:val="22"/>
        </w:rPr>
        <w:t xml:space="preserve"> (Tablo 2).</w:t>
      </w:r>
      <w:bookmarkEnd w:id="6"/>
    </w:p>
    <w:p w14:paraId="3684515C" w14:textId="77777777" w:rsidR="00E41A80" w:rsidRPr="000B09B0" w:rsidRDefault="00E41A80" w:rsidP="00E41A80">
      <w:pPr>
        <w:pStyle w:val="NormalWeb"/>
        <w:spacing w:before="0" w:beforeAutospacing="0" w:after="0" w:afterAutospacing="0" w:line="360" w:lineRule="auto"/>
        <w:ind w:right="77"/>
        <w:rPr>
          <w:rFonts w:ascii="Palatino Linotype" w:hAnsi="Palatino Linotype" w:cstheme="minorBidi"/>
          <w:b/>
          <w:bCs/>
          <w:sz w:val="22"/>
          <w:szCs w:val="22"/>
        </w:rPr>
      </w:pPr>
      <w:bookmarkStart w:id="9" w:name="OLE_LINK26"/>
    </w:p>
    <w:p w14:paraId="0D31FEE2" w14:textId="387BDF17" w:rsidR="00E41A80" w:rsidRPr="000B09B0" w:rsidRDefault="00457E4E" w:rsidP="00E41A80">
      <w:pPr>
        <w:pStyle w:val="NormalWeb"/>
        <w:spacing w:before="0" w:beforeAutospacing="0" w:after="0" w:afterAutospacing="0" w:line="360" w:lineRule="auto"/>
        <w:ind w:right="77"/>
        <w:rPr>
          <w:rFonts w:ascii="Palatino Linotype" w:hAnsi="Palatino Linotype" w:cstheme="minorBidi"/>
          <w:b/>
          <w:bCs/>
          <w:sz w:val="22"/>
          <w:szCs w:val="22"/>
        </w:rPr>
      </w:pPr>
      <w:bookmarkStart w:id="10" w:name="OLE_LINK11"/>
      <w:bookmarkStart w:id="11" w:name="OLE_LINK12"/>
      <w:r w:rsidRPr="000B09B0">
        <w:rPr>
          <w:rFonts w:ascii="Palatino Linotype" w:hAnsi="Palatino Linotype" w:cstheme="minorBidi"/>
          <w:b/>
          <w:bCs/>
          <w:sz w:val="22"/>
          <w:szCs w:val="22"/>
        </w:rPr>
        <w:t>Dış ticaret büyümeden 1,2 puan götürdü</w:t>
      </w:r>
    </w:p>
    <w:p w14:paraId="520BCA04" w14:textId="77777777" w:rsidR="00E41A80" w:rsidRDefault="00E41A80" w:rsidP="00E41A80">
      <w:pPr>
        <w:pStyle w:val="NormalWeb"/>
        <w:spacing w:before="0" w:beforeAutospacing="0" w:after="0" w:afterAutospacing="0" w:line="360" w:lineRule="auto"/>
        <w:ind w:right="77"/>
        <w:jc w:val="both"/>
        <w:rPr>
          <w:rFonts w:ascii="Palatino Linotype" w:hAnsi="Palatino Linotype" w:cstheme="minorHAnsi"/>
          <w:sz w:val="22"/>
          <w:szCs w:val="22"/>
        </w:rPr>
      </w:pPr>
      <w:r w:rsidRPr="00245B1A">
        <w:rPr>
          <w:rFonts w:ascii="Palatino Linotype" w:hAnsi="Palatino Linotype" w:cstheme="minorHAnsi"/>
          <w:sz w:val="22"/>
          <w:szCs w:val="22"/>
        </w:rPr>
        <w:t>2025 yılının</w:t>
      </w:r>
      <w:r>
        <w:rPr>
          <w:rFonts w:ascii="Palatino Linotype" w:hAnsi="Palatino Linotype" w:cstheme="minorHAnsi"/>
          <w:sz w:val="22"/>
          <w:szCs w:val="22"/>
        </w:rPr>
        <w:t xml:space="preserve"> dördüncü</w:t>
      </w:r>
      <w:r w:rsidRPr="00245B1A">
        <w:rPr>
          <w:rFonts w:ascii="Palatino Linotype" w:hAnsi="Palatino Linotype" w:cstheme="minorHAnsi"/>
          <w:sz w:val="22"/>
          <w:szCs w:val="22"/>
        </w:rPr>
        <w:t xml:space="preserve"> çeyreğinde mevsim ve takvim etkisinden arındırılmış rakamlara bakıldığında ihracatın bir önceki çeyreğe kıyasla yüzde </w:t>
      </w:r>
      <w:r>
        <w:rPr>
          <w:rFonts w:ascii="Palatino Linotype" w:hAnsi="Palatino Linotype" w:cstheme="minorHAnsi"/>
          <w:sz w:val="22"/>
          <w:szCs w:val="22"/>
        </w:rPr>
        <w:t>4</w:t>
      </w:r>
      <w:r w:rsidRPr="00245B1A">
        <w:rPr>
          <w:rFonts w:ascii="Palatino Linotype" w:hAnsi="Palatino Linotype" w:cstheme="minorHAnsi"/>
          <w:sz w:val="22"/>
          <w:szCs w:val="22"/>
        </w:rPr>
        <w:t>,</w:t>
      </w:r>
      <w:r>
        <w:rPr>
          <w:rFonts w:ascii="Palatino Linotype" w:hAnsi="Palatino Linotype" w:cstheme="minorHAnsi"/>
          <w:sz w:val="22"/>
          <w:szCs w:val="22"/>
        </w:rPr>
        <w:t>5</w:t>
      </w:r>
      <w:r w:rsidRPr="00245B1A">
        <w:rPr>
          <w:rFonts w:ascii="Palatino Linotype" w:hAnsi="Palatino Linotype" w:cstheme="minorHAnsi"/>
          <w:sz w:val="22"/>
          <w:szCs w:val="22"/>
        </w:rPr>
        <w:t xml:space="preserve"> </w:t>
      </w:r>
      <w:r>
        <w:rPr>
          <w:rFonts w:ascii="Palatino Linotype" w:hAnsi="Palatino Linotype" w:cstheme="minorHAnsi"/>
          <w:sz w:val="22"/>
          <w:szCs w:val="22"/>
        </w:rPr>
        <w:t>azaldığı,</w:t>
      </w:r>
      <w:r w:rsidRPr="00245B1A">
        <w:rPr>
          <w:rFonts w:ascii="Palatino Linotype" w:hAnsi="Palatino Linotype" w:cstheme="minorHAnsi"/>
          <w:sz w:val="22"/>
          <w:szCs w:val="22"/>
        </w:rPr>
        <w:t xml:space="preserve"> ithalatın ise yüzde 4,</w:t>
      </w:r>
      <w:r>
        <w:rPr>
          <w:rFonts w:ascii="Palatino Linotype" w:hAnsi="Palatino Linotype" w:cstheme="minorHAnsi"/>
          <w:sz w:val="22"/>
          <w:szCs w:val="22"/>
        </w:rPr>
        <w:t>3</w:t>
      </w:r>
      <w:r w:rsidRPr="00245B1A">
        <w:rPr>
          <w:rFonts w:ascii="Palatino Linotype" w:hAnsi="Palatino Linotype" w:cstheme="minorHAnsi"/>
          <w:sz w:val="22"/>
          <w:szCs w:val="22"/>
        </w:rPr>
        <w:t xml:space="preserve"> </w:t>
      </w:r>
      <w:r>
        <w:rPr>
          <w:rFonts w:ascii="Palatino Linotype" w:hAnsi="Palatino Linotype" w:cstheme="minorHAnsi"/>
          <w:sz w:val="22"/>
          <w:szCs w:val="22"/>
        </w:rPr>
        <w:t>arttığı</w:t>
      </w:r>
      <w:r w:rsidRPr="00245B1A">
        <w:rPr>
          <w:rFonts w:ascii="Palatino Linotype" w:hAnsi="Palatino Linotype" w:cstheme="minorHAnsi"/>
          <w:sz w:val="22"/>
          <w:szCs w:val="22"/>
        </w:rPr>
        <w:t xml:space="preserve"> görülmektedir. Net ihracat çeyreklik bazda büyümey</w:t>
      </w:r>
      <w:r>
        <w:rPr>
          <w:rFonts w:ascii="Palatino Linotype" w:hAnsi="Palatino Linotype" w:cstheme="minorHAnsi"/>
          <w:sz w:val="22"/>
          <w:szCs w:val="22"/>
        </w:rPr>
        <w:t>i</w:t>
      </w:r>
      <w:r w:rsidRPr="00245B1A">
        <w:rPr>
          <w:rFonts w:ascii="Palatino Linotype" w:hAnsi="Palatino Linotype" w:cstheme="minorHAnsi"/>
          <w:sz w:val="22"/>
          <w:szCs w:val="22"/>
        </w:rPr>
        <w:t xml:space="preserve"> </w:t>
      </w:r>
      <w:r>
        <w:rPr>
          <w:rFonts w:ascii="Palatino Linotype" w:hAnsi="Palatino Linotype" w:cstheme="minorHAnsi"/>
          <w:sz w:val="22"/>
          <w:szCs w:val="22"/>
        </w:rPr>
        <w:t>1,2</w:t>
      </w:r>
      <w:r w:rsidRPr="00245B1A">
        <w:rPr>
          <w:rFonts w:ascii="Palatino Linotype" w:hAnsi="Palatino Linotype" w:cstheme="minorHAnsi"/>
          <w:sz w:val="22"/>
          <w:szCs w:val="22"/>
        </w:rPr>
        <w:t xml:space="preserve"> puan </w:t>
      </w:r>
      <w:r>
        <w:rPr>
          <w:rFonts w:ascii="Palatino Linotype" w:hAnsi="Palatino Linotype" w:cstheme="minorHAnsi"/>
          <w:sz w:val="22"/>
          <w:szCs w:val="22"/>
        </w:rPr>
        <w:t>düşürmüştür</w:t>
      </w:r>
      <w:r w:rsidRPr="00245B1A">
        <w:rPr>
          <w:rFonts w:ascii="Palatino Linotype" w:hAnsi="Palatino Linotype" w:cstheme="minorHAnsi"/>
          <w:sz w:val="22"/>
          <w:szCs w:val="22"/>
        </w:rPr>
        <w:t xml:space="preserve"> (Tablo 2). Yıllık bazda ise ihracat yüzde </w:t>
      </w:r>
      <w:r>
        <w:rPr>
          <w:rFonts w:ascii="Palatino Linotype" w:hAnsi="Palatino Linotype" w:cstheme="minorHAnsi"/>
          <w:sz w:val="22"/>
          <w:szCs w:val="22"/>
        </w:rPr>
        <w:t>2</w:t>
      </w:r>
      <w:r w:rsidRPr="00245B1A">
        <w:rPr>
          <w:rFonts w:ascii="Palatino Linotype" w:hAnsi="Palatino Linotype" w:cstheme="minorHAnsi"/>
          <w:sz w:val="22"/>
          <w:szCs w:val="22"/>
        </w:rPr>
        <w:t>,</w:t>
      </w:r>
      <w:r>
        <w:rPr>
          <w:rFonts w:ascii="Palatino Linotype" w:hAnsi="Palatino Linotype" w:cstheme="minorHAnsi"/>
          <w:sz w:val="22"/>
          <w:szCs w:val="22"/>
        </w:rPr>
        <w:t>3</w:t>
      </w:r>
      <w:r w:rsidRPr="00245B1A">
        <w:rPr>
          <w:rFonts w:ascii="Palatino Linotype" w:hAnsi="Palatino Linotype" w:cstheme="minorHAnsi"/>
          <w:sz w:val="22"/>
          <w:szCs w:val="22"/>
        </w:rPr>
        <w:t xml:space="preserve"> düşerken ithalatta yüzde </w:t>
      </w:r>
      <w:r>
        <w:rPr>
          <w:rFonts w:ascii="Palatino Linotype" w:hAnsi="Palatino Linotype" w:cstheme="minorHAnsi"/>
          <w:sz w:val="22"/>
          <w:szCs w:val="22"/>
        </w:rPr>
        <w:t>3</w:t>
      </w:r>
      <w:r w:rsidRPr="00245B1A">
        <w:rPr>
          <w:rFonts w:ascii="Palatino Linotype" w:hAnsi="Palatino Linotype" w:cstheme="minorHAnsi"/>
          <w:sz w:val="22"/>
          <w:szCs w:val="22"/>
        </w:rPr>
        <w:t>,</w:t>
      </w:r>
      <w:r>
        <w:rPr>
          <w:rFonts w:ascii="Palatino Linotype" w:hAnsi="Palatino Linotype" w:cstheme="minorHAnsi"/>
          <w:sz w:val="22"/>
          <w:szCs w:val="22"/>
        </w:rPr>
        <w:t>8</w:t>
      </w:r>
      <w:r w:rsidRPr="00245B1A">
        <w:rPr>
          <w:rFonts w:ascii="Palatino Linotype" w:hAnsi="Palatino Linotype" w:cstheme="minorHAnsi"/>
          <w:sz w:val="22"/>
          <w:szCs w:val="22"/>
        </w:rPr>
        <w:t xml:space="preserve"> artış olmuştur. Neticede dış ticaretin büyümeye katkısı yıllık bazda eksi </w:t>
      </w:r>
      <w:r>
        <w:rPr>
          <w:rFonts w:ascii="Palatino Linotype" w:hAnsi="Palatino Linotype" w:cstheme="minorHAnsi"/>
          <w:sz w:val="22"/>
          <w:szCs w:val="22"/>
        </w:rPr>
        <w:t>1</w:t>
      </w:r>
      <w:r w:rsidRPr="00245B1A">
        <w:rPr>
          <w:rFonts w:ascii="Palatino Linotype" w:hAnsi="Palatino Linotype" w:cstheme="minorHAnsi"/>
          <w:sz w:val="22"/>
          <w:szCs w:val="22"/>
        </w:rPr>
        <w:t>,</w:t>
      </w:r>
      <w:r>
        <w:rPr>
          <w:rFonts w:ascii="Palatino Linotype" w:hAnsi="Palatino Linotype" w:cstheme="minorHAnsi"/>
          <w:sz w:val="22"/>
          <w:szCs w:val="22"/>
        </w:rPr>
        <w:t>1</w:t>
      </w:r>
      <w:r w:rsidRPr="00245B1A">
        <w:rPr>
          <w:rFonts w:ascii="Palatino Linotype" w:hAnsi="Palatino Linotype" w:cstheme="minorHAnsi"/>
          <w:sz w:val="22"/>
          <w:szCs w:val="22"/>
        </w:rPr>
        <w:t xml:space="preserve"> puan oldu. </w:t>
      </w:r>
      <w:bookmarkStart w:id="12" w:name="OLE_LINK13"/>
      <w:bookmarkStart w:id="13" w:name="OLE_LINK14"/>
      <w:r w:rsidRPr="00245B1A">
        <w:rPr>
          <w:rFonts w:ascii="Palatino Linotype" w:hAnsi="Palatino Linotype" w:cstheme="minorHAnsi"/>
          <w:sz w:val="22"/>
          <w:szCs w:val="22"/>
        </w:rPr>
        <w:t xml:space="preserve">Bu katkı bir önce çeyrekte eksi 1,8 puandı (Tablo 1). </w:t>
      </w:r>
      <w:bookmarkEnd w:id="9"/>
      <w:bookmarkEnd w:id="10"/>
      <w:bookmarkEnd w:id="11"/>
      <w:bookmarkEnd w:id="12"/>
      <w:bookmarkEnd w:id="13"/>
    </w:p>
    <w:p w14:paraId="2951D1D9" w14:textId="77777777" w:rsidR="00E41A80" w:rsidRPr="005E0D21" w:rsidRDefault="00E41A80" w:rsidP="00E41A80">
      <w:pPr>
        <w:pStyle w:val="NormalWeb"/>
        <w:spacing w:before="0" w:beforeAutospacing="0" w:after="0" w:afterAutospacing="0" w:line="360" w:lineRule="auto"/>
        <w:ind w:right="77"/>
        <w:jc w:val="both"/>
        <w:rPr>
          <w:rFonts w:ascii="Palatino Linotype" w:hAnsi="Palatino Linotype" w:cstheme="minorHAnsi"/>
          <w:sz w:val="22"/>
          <w:szCs w:val="22"/>
        </w:rPr>
      </w:pPr>
    </w:p>
    <w:p w14:paraId="1C90F036" w14:textId="1554139A" w:rsidR="000B09B0" w:rsidRPr="00245B1A" w:rsidRDefault="00457E4E" w:rsidP="008F1741">
      <w:pPr>
        <w:pStyle w:val="NormalWeb"/>
        <w:spacing w:before="0" w:beforeAutospacing="0" w:after="0" w:afterAutospacing="0" w:line="360" w:lineRule="auto"/>
        <w:ind w:right="77"/>
        <w:rPr>
          <w:rFonts w:ascii="Palatino Linotype" w:hAnsi="Palatino Linotype" w:cstheme="minorHAnsi"/>
          <w:b/>
          <w:bCs/>
          <w:sz w:val="22"/>
          <w:szCs w:val="22"/>
        </w:rPr>
      </w:pPr>
      <w:r w:rsidRPr="000B09B0">
        <w:rPr>
          <w:rFonts w:ascii="Palatino Linotype" w:hAnsi="Palatino Linotype" w:cstheme="minorHAnsi"/>
          <w:b/>
          <w:bCs/>
          <w:sz w:val="22"/>
          <w:szCs w:val="22"/>
        </w:rPr>
        <w:t>Kamu tüketimi hem yıllık hem çeyreklik bazda daraldı</w:t>
      </w:r>
    </w:p>
    <w:p w14:paraId="33628BD2" w14:textId="669AB8B3" w:rsidR="00B96DDB" w:rsidRPr="00245B1A" w:rsidRDefault="009C4B9E" w:rsidP="00BD6EC8">
      <w:pPr>
        <w:pStyle w:val="NormalWeb"/>
        <w:spacing w:before="0" w:beforeAutospacing="0" w:after="0" w:afterAutospacing="0" w:line="360" w:lineRule="auto"/>
        <w:ind w:right="77"/>
        <w:jc w:val="both"/>
        <w:rPr>
          <w:rFonts w:ascii="Palatino Linotype" w:hAnsi="Palatino Linotype" w:cstheme="minorHAnsi"/>
          <w:sz w:val="22"/>
          <w:szCs w:val="22"/>
        </w:rPr>
      </w:pPr>
      <w:r w:rsidRPr="00245B1A">
        <w:rPr>
          <w:rFonts w:ascii="Palatino Linotype" w:hAnsi="Palatino Linotype" w:cstheme="minorHAnsi"/>
          <w:sz w:val="22"/>
          <w:szCs w:val="22"/>
        </w:rPr>
        <w:t>202</w:t>
      </w:r>
      <w:r w:rsidR="000F431C" w:rsidRPr="00245B1A">
        <w:rPr>
          <w:rFonts w:ascii="Palatino Linotype" w:hAnsi="Palatino Linotype" w:cstheme="minorHAnsi"/>
          <w:sz w:val="22"/>
          <w:szCs w:val="22"/>
        </w:rPr>
        <w:t>5</w:t>
      </w:r>
      <w:r w:rsidR="00A94E9C" w:rsidRPr="00245B1A">
        <w:rPr>
          <w:rFonts w:ascii="Palatino Linotype" w:hAnsi="Palatino Linotype" w:cstheme="minorHAnsi"/>
          <w:sz w:val="22"/>
          <w:szCs w:val="22"/>
        </w:rPr>
        <w:t xml:space="preserve"> yılın</w:t>
      </w:r>
      <w:r w:rsidRPr="00245B1A">
        <w:rPr>
          <w:rFonts w:ascii="Palatino Linotype" w:hAnsi="Palatino Linotype" w:cstheme="minorHAnsi"/>
          <w:sz w:val="22"/>
          <w:szCs w:val="22"/>
        </w:rPr>
        <w:t>ın</w:t>
      </w:r>
      <w:r w:rsidR="00284764">
        <w:rPr>
          <w:rFonts w:ascii="Palatino Linotype" w:hAnsi="Palatino Linotype" w:cstheme="minorHAnsi"/>
          <w:sz w:val="22"/>
          <w:szCs w:val="22"/>
        </w:rPr>
        <w:t xml:space="preserve"> dördüncü</w:t>
      </w:r>
      <w:r w:rsidR="00A55021" w:rsidRPr="00245B1A">
        <w:rPr>
          <w:rFonts w:ascii="Palatino Linotype" w:hAnsi="Palatino Linotype" w:cstheme="minorHAnsi"/>
          <w:sz w:val="22"/>
          <w:szCs w:val="22"/>
        </w:rPr>
        <w:t xml:space="preserve"> </w:t>
      </w:r>
      <w:r w:rsidR="00A94E9C" w:rsidRPr="00245B1A">
        <w:rPr>
          <w:rFonts w:ascii="Palatino Linotype" w:hAnsi="Palatino Linotype" w:cstheme="minorHAnsi"/>
          <w:sz w:val="22"/>
          <w:szCs w:val="22"/>
        </w:rPr>
        <w:t>çeyreğinde</w:t>
      </w:r>
      <w:r w:rsidR="0021038D" w:rsidRPr="00245B1A">
        <w:rPr>
          <w:rFonts w:ascii="Palatino Linotype" w:hAnsi="Palatino Linotype" w:cstheme="minorHAnsi"/>
          <w:sz w:val="22"/>
          <w:szCs w:val="22"/>
        </w:rPr>
        <w:t xml:space="preserve"> mevsim ve takvim etkilerinden arındırılmış rakamlara göre çeyreklik bazda kamu tüketiminde yüzde </w:t>
      </w:r>
      <w:r w:rsidR="00BA5C29" w:rsidRPr="00245B1A">
        <w:rPr>
          <w:rFonts w:ascii="Palatino Linotype" w:hAnsi="Palatino Linotype" w:cstheme="minorHAnsi"/>
          <w:sz w:val="22"/>
          <w:szCs w:val="22"/>
        </w:rPr>
        <w:t>1</w:t>
      </w:r>
      <w:r w:rsidR="0021038D" w:rsidRPr="00245B1A">
        <w:rPr>
          <w:rFonts w:ascii="Palatino Linotype" w:hAnsi="Palatino Linotype" w:cstheme="minorHAnsi"/>
          <w:sz w:val="22"/>
          <w:szCs w:val="22"/>
        </w:rPr>
        <w:t>,</w:t>
      </w:r>
      <w:r w:rsidR="00284764">
        <w:rPr>
          <w:rFonts w:ascii="Palatino Linotype" w:hAnsi="Palatino Linotype" w:cstheme="minorHAnsi"/>
          <w:sz w:val="22"/>
          <w:szCs w:val="22"/>
        </w:rPr>
        <w:t>7’lik bir düşüş</w:t>
      </w:r>
      <w:r w:rsidR="0021038D" w:rsidRPr="00245B1A">
        <w:rPr>
          <w:rFonts w:ascii="Palatino Linotype" w:hAnsi="Palatino Linotype" w:cstheme="minorHAnsi"/>
          <w:sz w:val="22"/>
          <w:szCs w:val="22"/>
        </w:rPr>
        <w:t xml:space="preserve"> yaşanırken büyümeye katkısı </w:t>
      </w:r>
      <w:r w:rsidR="00284764">
        <w:rPr>
          <w:rFonts w:ascii="Palatino Linotype" w:hAnsi="Palatino Linotype" w:cstheme="minorHAnsi"/>
          <w:sz w:val="22"/>
          <w:szCs w:val="22"/>
        </w:rPr>
        <w:t>-</w:t>
      </w:r>
      <w:r w:rsidR="0021038D" w:rsidRPr="00245B1A">
        <w:rPr>
          <w:rFonts w:ascii="Palatino Linotype" w:hAnsi="Palatino Linotype" w:cstheme="minorHAnsi"/>
          <w:sz w:val="22"/>
          <w:szCs w:val="22"/>
        </w:rPr>
        <w:t>0,</w:t>
      </w:r>
      <w:r w:rsidR="00BA5C29" w:rsidRPr="00245B1A">
        <w:rPr>
          <w:rFonts w:ascii="Palatino Linotype" w:hAnsi="Palatino Linotype" w:cstheme="minorHAnsi"/>
          <w:sz w:val="22"/>
          <w:szCs w:val="22"/>
        </w:rPr>
        <w:t>2</w:t>
      </w:r>
      <w:r w:rsidR="0021038D" w:rsidRPr="00245B1A">
        <w:rPr>
          <w:rFonts w:ascii="Palatino Linotype" w:hAnsi="Palatino Linotype" w:cstheme="minorHAnsi"/>
          <w:sz w:val="22"/>
          <w:szCs w:val="22"/>
        </w:rPr>
        <w:t xml:space="preserve"> puan oldu (Tablo 2). </w:t>
      </w:r>
      <w:r w:rsidR="005E77BF" w:rsidRPr="00245B1A">
        <w:rPr>
          <w:rFonts w:ascii="Palatino Linotype" w:hAnsi="Palatino Linotype" w:cstheme="minorHAnsi"/>
          <w:sz w:val="22"/>
          <w:szCs w:val="22"/>
        </w:rPr>
        <w:t>K</w:t>
      </w:r>
      <w:r w:rsidR="00802F39" w:rsidRPr="00245B1A">
        <w:rPr>
          <w:rFonts w:ascii="Palatino Linotype" w:hAnsi="Palatino Linotype" w:cstheme="minorHAnsi"/>
          <w:sz w:val="22"/>
          <w:szCs w:val="22"/>
        </w:rPr>
        <w:t xml:space="preserve">amu harcamaları 2025’in </w:t>
      </w:r>
      <w:r w:rsidR="00284764">
        <w:rPr>
          <w:rFonts w:ascii="Palatino Linotype" w:hAnsi="Palatino Linotype" w:cstheme="minorHAnsi"/>
          <w:sz w:val="22"/>
          <w:szCs w:val="22"/>
        </w:rPr>
        <w:t>dördüncü</w:t>
      </w:r>
      <w:r w:rsidR="00802F39" w:rsidRPr="00245B1A">
        <w:rPr>
          <w:rFonts w:ascii="Palatino Linotype" w:hAnsi="Palatino Linotype" w:cstheme="minorHAnsi"/>
          <w:sz w:val="22"/>
          <w:szCs w:val="22"/>
        </w:rPr>
        <w:t xml:space="preserve"> çeyreğinde</w:t>
      </w:r>
      <w:r w:rsidR="0021038D" w:rsidRPr="00245B1A">
        <w:rPr>
          <w:rFonts w:ascii="Palatino Linotype" w:hAnsi="Palatino Linotype" w:cstheme="minorHAnsi"/>
          <w:sz w:val="22"/>
          <w:szCs w:val="22"/>
        </w:rPr>
        <w:t xml:space="preserve"> yıllık</w:t>
      </w:r>
      <w:r w:rsidR="00B96DDB">
        <w:rPr>
          <w:rFonts w:ascii="Palatino Linotype" w:hAnsi="Palatino Linotype" w:cstheme="minorHAnsi"/>
          <w:sz w:val="22"/>
          <w:szCs w:val="22"/>
        </w:rPr>
        <w:t xml:space="preserve"> bazda</w:t>
      </w:r>
      <w:r w:rsidR="00802F39" w:rsidRPr="00245B1A">
        <w:rPr>
          <w:rFonts w:ascii="Palatino Linotype" w:hAnsi="Palatino Linotype" w:cstheme="minorHAnsi"/>
          <w:sz w:val="22"/>
          <w:szCs w:val="22"/>
        </w:rPr>
        <w:t xml:space="preserve"> yüzde </w:t>
      </w:r>
      <w:r w:rsidR="005E77BF" w:rsidRPr="00245B1A">
        <w:rPr>
          <w:rFonts w:ascii="Palatino Linotype" w:hAnsi="Palatino Linotype" w:cstheme="minorHAnsi"/>
          <w:sz w:val="22"/>
          <w:szCs w:val="22"/>
        </w:rPr>
        <w:t>0,</w:t>
      </w:r>
      <w:r w:rsidR="00B96DDB">
        <w:rPr>
          <w:rFonts w:ascii="Palatino Linotype" w:hAnsi="Palatino Linotype" w:cstheme="minorHAnsi"/>
          <w:sz w:val="22"/>
          <w:szCs w:val="22"/>
        </w:rPr>
        <w:t>9</w:t>
      </w:r>
      <w:r w:rsidR="00284764">
        <w:rPr>
          <w:rFonts w:ascii="Palatino Linotype" w:hAnsi="Palatino Linotype" w:cstheme="minorHAnsi"/>
          <w:sz w:val="22"/>
          <w:szCs w:val="22"/>
        </w:rPr>
        <w:t xml:space="preserve"> daral</w:t>
      </w:r>
      <w:r w:rsidR="00B96DDB">
        <w:rPr>
          <w:rFonts w:ascii="Palatino Linotype" w:hAnsi="Palatino Linotype" w:cstheme="minorHAnsi"/>
          <w:sz w:val="22"/>
          <w:szCs w:val="22"/>
        </w:rPr>
        <w:t>ırken,</w:t>
      </w:r>
      <w:r w:rsidR="00284764">
        <w:rPr>
          <w:rFonts w:ascii="Palatino Linotype" w:hAnsi="Palatino Linotype" w:cstheme="minorHAnsi"/>
          <w:sz w:val="22"/>
          <w:szCs w:val="22"/>
        </w:rPr>
        <w:t xml:space="preserve"> </w:t>
      </w:r>
      <w:r w:rsidR="00802F39" w:rsidRPr="00245B1A">
        <w:rPr>
          <w:rFonts w:ascii="Palatino Linotype" w:hAnsi="Palatino Linotype" w:cstheme="minorHAnsi"/>
          <w:sz w:val="22"/>
          <w:szCs w:val="22"/>
        </w:rPr>
        <w:t>büyümey</w:t>
      </w:r>
      <w:r w:rsidR="001035A0">
        <w:rPr>
          <w:rFonts w:ascii="Palatino Linotype" w:hAnsi="Palatino Linotype" w:cstheme="minorHAnsi"/>
          <w:sz w:val="22"/>
          <w:szCs w:val="22"/>
        </w:rPr>
        <w:t>i</w:t>
      </w:r>
      <w:r w:rsidR="00802F39" w:rsidRPr="00245B1A">
        <w:rPr>
          <w:rFonts w:ascii="Palatino Linotype" w:hAnsi="Palatino Linotype" w:cstheme="minorHAnsi"/>
          <w:sz w:val="22"/>
          <w:szCs w:val="22"/>
        </w:rPr>
        <w:t xml:space="preserve"> 0,</w:t>
      </w:r>
      <w:r w:rsidR="00284764">
        <w:rPr>
          <w:rFonts w:ascii="Palatino Linotype" w:hAnsi="Palatino Linotype" w:cstheme="minorHAnsi"/>
          <w:sz w:val="22"/>
          <w:szCs w:val="22"/>
        </w:rPr>
        <w:t>1</w:t>
      </w:r>
      <w:r w:rsidR="00802F39" w:rsidRPr="00245B1A">
        <w:rPr>
          <w:rFonts w:ascii="Palatino Linotype" w:hAnsi="Palatino Linotype" w:cstheme="minorHAnsi"/>
          <w:sz w:val="22"/>
          <w:szCs w:val="22"/>
        </w:rPr>
        <w:t xml:space="preserve"> puan </w:t>
      </w:r>
      <w:r w:rsidR="00284764">
        <w:rPr>
          <w:rFonts w:ascii="Palatino Linotype" w:hAnsi="Palatino Linotype" w:cstheme="minorHAnsi"/>
          <w:sz w:val="22"/>
          <w:szCs w:val="22"/>
        </w:rPr>
        <w:t xml:space="preserve">düşürmüştür </w:t>
      </w:r>
      <w:r w:rsidR="00792837" w:rsidRPr="00245B1A">
        <w:rPr>
          <w:rFonts w:ascii="Palatino Linotype" w:hAnsi="Palatino Linotype" w:cstheme="minorHAnsi"/>
          <w:sz w:val="22"/>
          <w:szCs w:val="22"/>
        </w:rPr>
        <w:t>(Tablo 1)</w:t>
      </w:r>
      <w:r w:rsidRPr="00245B1A">
        <w:rPr>
          <w:rFonts w:ascii="Palatino Linotype" w:hAnsi="Palatino Linotype" w:cstheme="minorHAnsi"/>
          <w:sz w:val="22"/>
          <w:szCs w:val="22"/>
        </w:rPr>
        <w:t>.</w:t>
      </w:r>
      <w:r w:rsidR="00A94E9C" w:rsidRPr="00245B1A">
        <w:rPr>
          <w:rFonts w:ascii="Palatino Linotype" w:hAnsi="Palatino Linotype" w:cstheme="minorHAnsi"/>
          <w:sz w:val="22"/>
          <w:szCs w:val="22"/>
        </w:rPr>
        <w:t xml:space="preserve"> </w:t>
      </w:r>
    </w:p>
    <w:p w14:paraId="46CE47D0" w14:textId="77777777" w:rsidR="00BD0800" w:rsidRPr="00245B1A" w:rsidRDefault="00BD0800" w:rsidP="00BD6EC8">
      <w:pPr>
        <w:pStyle w:val="NormalWeb"/>
        <w:spacing w:before="0" w:beforeAutospacing="0" w:after="0" w:afterAutospacing="0" w:line="360" w:lineRule="auto"/>
        <w:ind w:right="77"/>
        <w:jc w:val="both"/>
        <w:rPr>
          <w:rFonts w:ascii="Palatino Linotype" w:hAnsi="Palatino Linotype" w:cstheme="minorHAnsi"/>
          <w:sz w:val="22"/>
          <w:szCs w:val="22"/>
        </w:rPr>
      </w:pPr>
    </w:p>
    <w:bookmarkEnd w:id="7"/>
    <w:bookmarkEnd w:id="8"/>
    <w:p w14:paraId="2E93A2FD" w14:textId="482B4ED1" w:rsidR="00BD0800" w:rsidRPr="000B09B0" w:rsidRDefault="00457E4E" w:rsidP="00BD0800">
      <w:pPr>
        <w:pStyle w:val="NormalWeb"/>
        <w:spacing w:before="0" w:beforeAutospacing="0" w:after="0" w:afterAutospacing="0" w:line="360" w:lineRule="auto"/>
        <w:ind w:right="77"/>
        <w:rPr>
          <w:rFonts w:ascii="Palatino Linotype" w:eastAsia="Palatino Linotype" w:hAnsi="Palatino Linotype" w:cs="Palatino Linotype"/>
          <w:b/>
          <w:bCs/>
          <w:sz w:val="22"/>
          <w:szCs w:val="22"/>
        </w:rPr>
      </w:pPr>
      <w:r w:rsidRPr="000B09B0">
        <w:rPr>
          <w:rFonts w:ascii="Palatino Linotype" w:eastAsia="Palatino Linotype" w:hAnsi="Palatino Linotype" w:cs="Palatino Linotype"/>
          <w:b/>
          <w:bCs/>
          <w:sz w:val="22"/>
          <w:szCs w:val="22"/>
        </w:rPr>
        <w:t>Stok değişimi 3,1 puanlık yükten 0,8 puanlık katkıya döndü</w:t>
      </w:r>
      <w:r w:rsidR="00BD0800" w:rsidRPr="000B09B0">
        <w:rPr>
          <w:rFonts w:eastAsia="Palatino Linotype" w:cs="Palatino Linotype"/>
          <w:vertAlign w:val="superscript"/>
        </w:rPr>
        <w:footnoteReference w:id="4"/>
      </w:r>
    </w:p>
    <w:p w14:paraId="70BC446D" w14:textId="03EEDD73" w:rsidR="00B96DDB" w:rsidRPr="006B1AFE" w:rsidRDefault="00BD0800" w:rsidP="001035A0">
      <w:pPr>
        <w:pStyle w:val="NormalWeb"/>
        <w:spacing w:before="0" w:beforeAutospacing="0" w:after="0" w:afterAutospacing="0" w:line="360" w:lineRule="auto"/>
        <w:ind w:right="77"/>
        <w:jc w:val="both"/>
        <w:rPr>
          <w:rFonts w:ascii="Palatino Linotype" w:hAnsi="Palatino Linotype" w:cstheme="minorHAnsi"/>
          <w:sz w:val="22"/>
          <w:szCs w:val="22"/>
        </w:rPr>
      </w:pPr>
      <w:bookmarkStart w:id="16" w:name="OLE_LINK7"/>
      <w:bookmarkStart w:id="17" w:name="OLE_LINK8"/>
      <w:r w:rsidRPr="00245B1A">
        <w:rPr>
          <w:rFonts w:ascii="Palatino Linotype" w:hAnsi="Palatino Linotype" w:cstheme="minorHAnsi"/>
          <w:sz w:val="22"/>
          <w:szCs w:val="22"/>
        </w:rPr>
        <w:t xml:space="preserve">Mevsim ve takvim etkisinden arındırılmış veriye göre </w:t>
      </w:r>
      <w:r w:rsidR="006B1AFE">
        <w:rPr>
          <w:rFonts w:ascii="Palatino Linotype" w:hAnsi="Palatino Linotype" w:cstheme="minorHAnsi"/>
          <w:sz w:val="22"/>
          <w:szCs w:val="22"/>
        </w:rPr>
        <w:t xml:space="preserve">üçüncü çeyrekte çeyreklik büyümeyi 3,1 puan düşüren stok değişimi, dördüncü çeyrekte </w:t>
      </w:r>
      <w:r w:rsidR="00284764">
        <w:rPr>
          <w:rFonts w:ascii="Palatino Linotype" w:hAnsi="Palatino Linotype" w:cstheme="minorHAnsi"/>
          <w:sz w:val="22"/>
          <w:szCs w:val="22"/>
        </w:rPr>
        <w:t>0</w:t>
      </w:r>
      <w:r w:rsidRPr="00245B1A">
        <w:rPr>
          <w:rFonts w:ascii="Palatino Linotype" w:hAnsi="Palatino Linotype" w:cstheme="minorHAnsi"/>
          <w:sz w:val="22"/>
          <w:szCs w:val="22"/>
        </w:rPr>
        <w:t>,</w:t>
      </w:r>
      <w:r w:rsidR="00284764">
        <w:rPr>
          <w:rFonts w:ascii="Palatino Linotype" w:hAnsi="Palatino Linotype" w:cstheme="minorHAnsi"/>
          <w:sz w:val="22"/>
          <w:szCs w:val="22"/>
        </w:rPr>
        <w:t>8</w:t>
      </w:r>
      <w:r w:rsidRPr="00245B1A">
        <w:rPr>
          <w:rFonts w:ascii="Palatino Linotype" w:hAnsi="Palatino Linotype" w:cstheme="minorHAnsi"/>
          <w:sz w:val="22"/>
          <w:szCs w:val="22"/>
        </w:rPr>
        <w:t xml:space="preserve"> puan </w:t>
      </w:r>
      <w:r w:rsidR="006B1AFE">
        <w:rPr>
          <w:rFonts w:ascii="Palatino Linotype" w:hAnsi="Palatino Linotype" w:cstheme="minorHAnsi"/>
          <w:sz w:val="22"/>
          <w:szCs w:val="22"/>
        </w:rPr>
        <w:t>arttırdı</w:t>
      </w:r>
      <w:r w:rsidRPr="00245B1A">
        <w:rPr>
          <w:rFonts w:ascii="Palatino Linotype" w:hAnsi="Palatino Linotype" w:cstheme="minorHAnsi"/>
          <w:sz w:val="22"/>
          <w:szCs w:val="22"/>
        </w:rPr>
        <w:t xml:space="preserve"> (Tablo 2). </w:t>
      </w:r>
      <w:r w:rsidR="006B1AFE" w:rsidRPr="00A01C9D">
        <w:rPr>
          <w:rFonts w:ascii="Palatino Linotype" w:hAnsi="Palatino Linotype" w:cstheme="minorHAnsi"/>
          <w:sz w:val="22"/>
          <w:szCs w:val="22"/>
        </w:rPr>
        <w:t xml:space="preserve">Bu teknik toparlama dördüncü çeyrek büyümesinin yüzde 0,4’ün altına düşmemesini sağladı. </w:t>
      </w:r>
      <w:r>
        <w:rPr>
          <w:rFonts w:ascii="Palatino Linotype" w:hAnsi="Palatino Linotype" w:cstheme="minorHAnsi"/>
          <w:sz w:val="22"/>
          <w:szCs w:val="22"/>
        </w:rPr>
        <w:t xml:space="preserve">Bir önceki çeyrekte yıllık büyümeye </w:t>
      </w:r>
      <w:r w:rsidR="001035A0">
        <w:rPr>
          <w:rFonts w:ascii="Palatino Linotype" w:hAnsi="Palatino Linotype" w:cstheme="minorHAnsi"/>
          <w:sz w:val="22"/>
          <w:szCs w:val="22"/>
        </w:rPr>
        <w:t>-0</w:t>
      </w:r>
      <w:r>
        <w:rPr>
          <w:rFonts w:ascii="Palatino Linotype" w:hAnsi="Palatino Linotype" w:cstheme="minorHAnsi"/>
          <w:sz w:val="22"/>
          <w:szCs w:val="22"/>
        </w:rPr>
        <w:t>,</w:t>
      </w:r>
      <w:r w:rsidR="001035A0">
        <w:rPr>
          <w:rFonts w:ascii="Palatino Linotype" w:hAnsi="Palatino Linotype" w:cstheme="minorHAnsi"/>
          <w:sz w:val="22"/>
          <w:szCs w:val="22"/>
        </w:rPr>
        <w:t>4</w:t>
      </w:r>
      <w:r>
        <w:rPr>
          <w:rFonts w:ascii="Palatino Linotype" w:hAnsi="Palatino Linotype" w:cstheme="minorHAnsi"/>
          <w:sz w:val="22"/>
          <w:szCs w:val="22"/>
        </w:rPr>
        <w:t xml:space="preserve"> puan katkı yapan stok değişimi bu çeyrekte</w:t>
      </w:r>
      <w:r w:rsidR="001035A0">
        <w:rPr>
          <w:rFonts w:ascii="Palatino Linotype" w:hAnsi="Palatino Linotype" w:cstheme="minorHAnsi"/>
          <w:sz w:val="22"/>
          <w:szCs w:val="22"/>
        </w:rPr>
        <w:t xml:space="preserve"> yıllık </w:t>
      </w:r>
      <w:r>
        <w:rPr>
          <w:rFonts w:ascii="Palatino Linotype" w:hAnsi="Palatino Linotype" w:cstheme="minorHAnsi"/>
          <w:sz w:val="22"/>
          <w:szCs w:val="22"/>
        </w:rPr>
        <w:t xml:space="preserve">büyümeyi </w:t>
      </w:r>
      <w:r w:rsidR="001035A0">
        <w:rPr>
          <w:rFonts w:ascii="Palatino Linotype" w:hAnsi="Palatino Linotype" w:cstheme="minorHAnsi"/>
          <w:sz w:val="22"/>
          <w:szCs w:val="22"/>
        </w:rPr>
        <w:t xml:space="preserve">etkilemedi </w:t>
      </w:r>
      <w:r w:rsidRPr="005E0D21">
        <w:rPr>
          <w:rFonts w:ascii="Palatino Linotype" w:hAnsi="Palatino Linotype" w:cstheme="minorHAnsi"/>
          <w:sz w:val="22"/>
          <w:szCs w:val="22"/>
        </w:rPr>
        <w:t>(Tablo 1</w:t>
      </w:r>
      <w:r w:rsidRPr="009C5BA8">
        <w:rPr>
          <w:rFonts w:ascii="Palatino Linotype" w:hAnsi="Palatino Linotype" w:cstheme="minorHAnsi"/>
          <w:sz w:val="22"/>
          <w:szCs w:val="22"/>
        </w:rPr>
        <w:t>).</w:t>
      </w:r>
      <w:bookmarkEnd w:id="16"/>
      <w:bookmarkEnd w:id="17"/>
      <w:r w:rsidR="006B1AFE" w:rsidRPr="00A01C9D">
        <w:rPr>
          <w:rFonts w:ascii="Palatino Linotype" w:hAnsi="Palatino Linotype" w:cstheme="minorHAnsi"/>
          <w:sz w:val="22"/>
          <w:szCs w:val="22"/>
        </w:rPr>
        <w:t xml:space="preserve"> </w:t>
      </w:r>
    </w:p>
    <w:p w14:paraId="7F2A4E53" w14:textId="77777777" w:rsidR="00DE613A" w:rsidRDefault="00DE613A" w:rsidP="00B366B7">
      <w:pPr>
        <w:pStyle w:val="NormalWeb"/>
        <w:spacing w:before="0" w:beforeAutospacing="0" w:after="0" w:afterAutospacing="0" w:line="360" w:lineRule="auto"/>
        <w:ind w:right="77"/>
        <w:rPr>
          <w:rFonts w:ascii="Palatino Linotype" w:hAnsi="Palatino Linotype" w:cstheme="minorHAnsi"/>
          <w:b/>
          <w:bCs/>
          <w:sz w:val="22"/>
          <w:szCs w:val="22"/>
        </w:rPr>
      </w:pPr>
    </w:p>
    <w:p w14:paraId="4C5F10E3" w14:textId="2F3B957D" w:rsidR="00955E90" w:rsidRPr="000B09B0" w:rsidRDefault="004F0543" w:rsidP="00B366B7">
      <w:pPr>
        <w:pStyle w:val="NormalWeb"/>
        <w:spacing w:before="0" w:beforeAutospacing="0" w:after="0" w:afterAutospacing="0" w:line="360" w:lineRule="auto"/>
        <w:ind w:right="77"/>
        <w:rPr>
          <w:rFonts w:ascii="Palatino Linotype" w:eastAsia="Palatino Linotype" w:hAnsi="Palatino Linotype" w:cs="Palatino Linotype"/>
          <w:b/>
          <w:bCs/>
          <w:sz w:val="22"/>
          <w:szCs w:val="22"/>
        </w:rPr>
      </w:pPr>
      <w:r w:rsidRPr="000B09B0">
        <w:rPr>
          <w:rFonts w:ascii="Palatino Linotype" w:eastAsia="Palatino Linotype" w:hAnsi="Palatino Linotype" w:cs="Palatino Linotype"/>
          <w:b/>
          <w:bCs/>
          <w:sz w:val="22"/>
          <w:szCs w:val="22"/>
        </w:rPr>
        <w:t>B</w:t>
      </w:r>
      <w:r w:rsidR="00B27C9F" w:rsidRPr="000B09B0">
        <w:rPr>
          <w:rFonts w:ascii="Palatino Linotype" w:eastAsia="Palatino Linotype" w:hAnsi="Palatino Linotype" w:cs="Palatino Linotype"/>
          <w:b/>
          <w:bCs/>
          <w:sz w:val="22"/>
          <w:szCs w:val="22"/>
        </w:rPr>
        <w:t xml:space="preserve">üyümenin </w:t>
      </w:r>
      <w:r w:rsidR="00457E4E">
        <w:rPr>
          <w:rFonts w:ascii="Palatino Linotype" w:eastAsia="Palatino Linotype" w:hAnsi="Palatino Linotype" w:cs="Palatino Linotype"/>
          <w:b/>
          <w:bCs/>
          <w:sz w:val="22"/>
          <w:szCs w:val="22"/>
        </w:rPr>
        <w:t>g</w:t>
      </w:r>
      <w:r w:rsidR="00B27C9F" w:rsidRPr="000B09B0">
        <w:rPr>
          <w:rFonts w:ascii="Palatino Linotype" w:eastAsia="Palatino Linotype" w:hAnsi="Palatino Linotype" w:cs="Palatino Linotype"/>
          <w:b/>
          <w:bCs/>
          <w:sz w:val="22"/>
          <w:szCs w:val="22"/>
        </w:rPr>
        <w:t>eleceği</w:t>
      </w:r>
      <w:r w:rsidR="000B09B0" w:rsidRPr="000B09B0">
        <w:rPr>
          <w:rFonts w:ascii="Palatino Linotype" w:eastAsia="Palatino Linotype" w:hAnsi="Palatino Linotype" w:cs="Palatino Linotype"/>
          <w:b/>
          <w:bCs/>
          <w:sz w:val="22"/>
          <w:szCs w:val="22"/>
        </w:rPr>
        <w:t xml:space="preserve">: 2026 </w:t>
      </w:r>
      <w:r w:rsidR="00457E4E">
        <w:rPr>
          <w:rFonts w:ascii="Palatino Linotype" w:eastAsia="Palatino Linotype" w:hAnsi="Palatino Linotype" w:cs="Palatino Linotype"/>
          <w:b/>
          <w:bCs/>
          <w:sz w:val="22"/>
          <w:szCs w:val="22"/>
        </w:rPr>
        <w:t>b</w:t>
      </w:r>
      <w:r w:rsidR="000B09B0" w:rsidRPr="000B09B0">
        <w:rPr>
          <w:rFonts w:ascii="Palatino Linotype" w:eastAsia="Palatino Linotype" w:hAnsi="Palatino Linotype" w:cs="Palatino Linotype"/>
          <w:b/>
          <w:bCs/>
          <w:sz w:val="22"/>
          <w:szCs w:val="22"/>
        </w:rPr>
        <w:t xml:space="preserve">üyümesi </w:t>
      </w:r>
      <w:r w:rsidR="00457E4E">
        <w:rPr>
          <w:rFonts w:ascii="Palatino Linotype" w:eastAsia="Palatino Linotype" w:hAnsi="Palatino Linotype" w:cs="Palatino Linotype"/>
          <w:b/>
          <w:bCs/>
          <w:sz w:val="22"/>
          <w:szCs w:val="22"/>
        </w:rPr>
        <w:t>t</w:t>
      </w:r>
      <w:r w:rsidR="000B09B0" w:rsidRPr="000B09B0">
        <w:rPr>
          <w:rFonts w:ascii="Palatino Linotype" w:eastAsia="Palatino Linotype" w:hAnsi="Palatino Linotype" w:cs="Palatino Linotype"/>
          <w:b/>
          <w:bCs/>
          <w:sz w:val="22"/>
          <w:szCs w:val="22"/>
        </w:rPr>
        <w:t xml:space="preserve">üketim </w:t>
      </w:r>
      <w:r w:rsidR="00457E4E">
        <w:rPr>
          <w:rFonts w:ascii="Palatino Linotype" w:eastAsia="Palatino Linotype" w:hAnsi="Palatino Linotype" w:cs="Palatino Linotype"/>
          <w:b/>
          <w:bCs/>
          <w:sz w:val="22"/>
          <w:szCs w:val="22"/>
        </w:rPr>
        <w:t>i</w:t>
      </w:r>
      <w:r w:rsidR="000B09B0" w:rsidRPr="000B09B0">
        <w:rPr>
          <w:rFonts w:ascii="Palatino Linotype" w:eastAsia="Palatino Linotype" w:hAnsi="Palatino Linotype" w:cs="Palatino Linotype"/>
          <w:b/>
          <w:bCs/>
          <w:sz w:val="22"/>
          <w:szCs w:val="22"/>
        </w:rPr>
        <w:t xml:space="preserve">vmesine ve </w:t>
      </w:r>
      <w:r w:rsidR="00457E4E">
        <w:rPr>
          <w:rFonts w:ascii="Palatino Linotype" w:eastAsia="Palatino Linotype" w:hAnsi="Palatino Linotype" w:cs="Palatino Linotype"/>
          <w:b/>
          <w:bCs/>
          <w:sz w:val="22"/>
          <w:szCs w:val="22"/>
        </w:rPr>
        <w:t>p</w:t>
      </w:r>
      <w:r w:rsidR="000B09B0" w:rsidRPr="000B09B0">
        <w:rPr>
          <w:rFonts w:ascii="Palatino Linotype" w:eastAsia="Palatino Linotype" w:hAnsi="Palatino Linotype" w:cs="Palatino Linotype"/>
          <w:b/>
          <w:bCs/>
          <w:sz w:val="22"/>
          <w:szCs w:val="22"/>
        </w:rPr>
        <w:t xml:space="preserve">ara </w:t>
      </w:r>
      <w:r w:rsidR="00457E4E">
        <w:rPr>
          <w:rFonts w:ascii="Palatino Linotype" w:eastAsia="Palatino Linotype" w:hAnsi="Palatino Linotype" w:cs="Palatino Linotype"/>
          <w:b/>
          <w:bCs/>
          <w:sz w:val="22"/>
          <w:szCs w:val="22"/>
        </w:rPr>
        <w:t>p</w:t>
      </w:r>
      <w:r w:rsidR="000B09B0" w:rsidRPr="000B09B0">
        <w:rPr>
          <w:rFonts w:ascii="Palatino Linotype" w:eastAsia="Palatino Linotype" w:hAnsi="Palatino Linotype" w:cs="Palatino Linotype"/>
          <w:b/>
          <w:bCs/>
          <w:sz w:val="22"/>
          <w:szCs w:val="22"/>
        </w:rPr>
        <w:t xml:space="preserve">olitikasına </w:t>
      </w:r>
      <w:r w:rsidR="00457E4E">
        <w:rPr>
          <w:rFonts w:ascii="Palatino Linotype" w:eastAsia="Palatino Linotype" w:hAnsi="Palatino Linotype" w:cs="Palatino Linotype"/>
          <w:b/>
          <w:bCs/>
          <w:sz w:val="22"/>
          <w:szCs w:val="22"/>
        </w:rPr>
        <w:t>b</w:t>
      </w:r>
      <w:r w:rsidR="000B09B0" w:rsidRPr="000B09B0">
        <w:rPr>
          <w:rFonts w:ascii="Palatino Linotype" w:eastAsia="Palatino Linotype" w:hAnsi="Palatino Linotype" w:cs="Palatino Linotype"/>
          <w:b/>
          <w:bCs/>
          <w:sz w:val="22"/>
          <w:szCs w:val="22"/>
        </w:rPr>
        <w:t>ağlı</w:t>
      </w:r>
      <w:r w:rsidR="00955E90" w:rsidRPr="000B09B0">
        <w:rPr>
          <w:rFonts w:ascii="Palatino Linotype" w:eastAsia="Palatino Linotype" w:hAnsi="Palatino Linotype" w:cs="Palatino Linotype"/>
          <w:b/>
          <w:bCs/>
          <w:sz w:val="22"/>
          <w:szCs w:val="22"/>
        </w:rPr>
        <w:t xml:space="preserve"> </w:t>
      </w:r>
    </w:p>
    <w:p w14:paraId="58C3A319" w14:textId="34963FFC" w:rsidR="00B96DDB" w:rsidRPr="00A01C9D" w:rsidRDefault="00905619" w:rsidP="75C7ED0D">
      <w:pPr>
        <w:pStyle w:val="NormalWeb"/>
        <w:spacing w:before="0" w:beforeAutospacing="0" w:after="0" w:afterAutospacing="0" w:line="360" w:lineRule="auto"/>
        <w:ind w:right="77"/>
        <w:jc w:val="both"/>
        <w:rPr>
          <w:rFonts w:ascii="Palatino Linotype" w:hAnsi="Palatino Linotype" w:cstheme="minorHAnsi"/>
          <w:sz w:val="22"/>
          <w:szCs w:val="22"/>
        </w:rPr>
      </w:pPr>
      <w:r w:rsidRPr="00905619">
        <w:rPr>
          <w:rFonts w:ascii="Palatino Linotype" w:hAnsi="Palatino Linotype" w:cstheme="minorHAnsi"/>
          <w:sz w:val="22"/>
          <w:szCs w:val="22"/>
        </w:rPr>
        <w:t>Şekil 2'de görüldüğü üzere 2025 boyunca çeyreklik büyüme ivmesi yavaşlamış, yıllık büyüme ise bir önceki yıla kıyasla toparlanma kaydetmiştir.</w:t>
      </w:r>
      <w:r>
        <w:rPr>
          <w:rFonts w:ascii="Palatino Linotype" w:hAnsi="Palatino Linotype" w:cstheme="minorHAnsi"/>
          <w:sz w:val="22"/>
          <w:szCs w:val="22"/>
        </w:rPr>
        <w:t xml:space="preserve"> Bununla birlikte d</w:t>
      </w:r>
      <w:r w:rsidRPr="00905619">
        <w:rPr>
          <w:rFonts w:ascii="Palatino Linotype" w:hAnsi="Palatino Linotype" w:cstheme="minorHAnsi"/>
          <w:sz w:val="22"/>
          <w:szCs w:val="22"/>
        </w:rPr>
        <w:t xml:space="preserve">ördüncü çeyrek büyümesi </w:t>
      </w:r>
      <w:r>
        <w:rPr>
          <w:rFonts w:ascii="Palatino Linotype" w:hAnsi="Palatino Linotype" w:cstheme="minorHAnsi"/>
          <w:sz w:val="22"/>
          <w:szCs w:val="22"/>
        </w:rPr>
        <w:t xml:space="preserve">neredeyse </w:t>
      </w:r>
      <w:r w:rsidRPr="00905619">
        <w:rPr>
          <w:rFonts w:ascii="Palatino Linotype" w:hAnsi="Palatino Linotype" w:cstheme="minorHAnsi"/>
          <w:sz w:val="22"/>
          <w:szCs w:val="22"/>
        </w:rPr>
        <w:t>tek ayaklıdır</w:t>
      </w:r>
      <w:r>
        <w:rPr>
          <w:rFonts w:ascii="Palatino Linotype" w:hAnsi="Palatino Linotype" w:cstheme="minorHAnsi"/>
          <w:sz w:val="22"/>
          <w:szCs w:val="22"/>
        </w:rPr>
        <w:t>.</w:t>
      </w:r>
      <w:r w:rsidRPr="00905619">
        <w:rPr>
          <w:rFonts w:ascii="Palatino Linotype" w:hAnsi="Palatino Linotype" w:cstheme="minorHAnsi"/>
          <w:sz w:val="22"/>
          <w:szCs w:val="22"/>
        </w:rPr>
        <w:t xml:space="preserve"> Özel tüketim</w:t>
      </w:r>
      <w:r>
        <w:rPr>
          <w:rFonts w:ascii="Palatino Linotype" w:hAnsi="Palatino Linotype" w:cstheme="minorHAnsi"/>
          <w:sz w:val="22"/>
          <w:szCs w:val="22"/>
        </w:rPr>
        <w:t>in</w:t>
      </w:r>
      <w:r w:rsidRPr="00905619">
        <w:rPr>
          <w:rFonts w:ascii="Palatino Linotype" w:hAnsi="Palatino Linotype" w:cstheme="minorHAnsi"/>
          <w:sz w:val="22"/>
          <w:szCs w:val="22"/>
        </w:rPr>
        <w:t xml:space="preserve"> desteği </w:t>
      </w:r>
      <w:r>
        <w:rPr>
          <w:rFonts w:ascii="Palatino Linotype" w:hAnsi="Palatino Linotype" w:cstheme="minorHAnsi"/>
          <w:sz w:val="22"/>
          <w:szCs w:val="22"/>
        </w:rPr>
        <w:t xml:space="preserve">dışındaki bileşenler </w:t>
      </w:r>
      <w:r w:rsidRPr="00905619">
        <w:rPr>
          <w:rFonts w:ascii="Palatino Linotype" w:hAnsi="Palatino Linotype" w:cstheme="minorHAnsi"/>
          <w:sz w:val="22"/>
          <w:szCs w:val="22"/>
        </w:rPr>
        <w:t xml:space="preserve">büyümeyi </w:t>
      </w:r>
      <w:proofErr w:type="gramStart"/>
      <w:r w:rsidRPr="00905619">
        <w:rPr>
          <w:rFonts w:ascii="Palatino Linotype" w:hAnsi="Palatino Linotype" w:cstheme="minorHAnsi"/>
          <w:sz w:val="22"/>
          <w:szCs w:val="22"/>
        </w:rPr>
        <w:lastRenderedPageBreak/>
        <w:t>taşıyacak</w:t>
      </w:r>
      <w:proofErr w:type="gramEnd"/>
      <w:r w:rsidRPr="00905619">
        <w:rPr>
          <w:rFonts w:ascii="Palatino Linotype" w:hAnsi="Palatino Linotype" w:cstheme="minorHAnsi"/>
          <w:sz w:val="22"/>
          <w:szCs w:val="22"/>
        </w:rPr>
        <w:t xml:space="preserve"> güç</w:t>
      </w:r>
      <w:r>
        <w:rPr>
          <w:rFonts w:ascii="Palatino Linotype" w:hAnsi="Palatino Linotype" w:cstheme="minorHAnsi"/>
          <w:sz w:val="22"/>
          <w:szCs w:val="22"/>
        </w:rPr>
        <w:t>te</w:t>
      </w:r>
      <w:r w:rsidRPr="00905619">
        <w:rPr>
          <w:rFonts w:ascii="Palatino Linotype" w:hAnsi="Palatino Linotype" w:cstheme="minorHAnsi"/>
          <w:sz w:val="22"/>
          <w:szCs w:val="22"/>
        </w:rPr>
        <w:t xml:space="preserve"> değildir.</w:t>
      </w:r>
      <w:r>
        <w:rPr>
          <w:rFonts w:ascii="Palatino Linotype" w:hAnsi="Palatino Linotype" w:cstheme="minorHAnsi"/>
          <w:sz w:val="22"/>
          <w:szCs w:val="22"/>
        </w:rPr>
        <w:t xml:space="preserve"> </w:t>
      </w:r>
      <w:r w:rsidR="00B96DDB" w:rsidRPr="00A01C9D">
        <w:rPr>
          <w:rFonts w:ascii="Palatino Linotype" w:hAnsi="Palatino Linotype" w:cstheme="minorHAnsi"/>
          <w:sz w:val="22"/>
          <w:szCs w:val="22"/>
        </w:rPr>
        <w:t>Özel tüketim</w:t>
      </w:r>
      <w:r>
        <w:rPr>
          <w:rFonts w:ascii="Palatino Linotype" w:hAnsi="Palatino Linotype" w:cstheme="minorHAnsi"/>
          <w:sz w:val="22"/>
          <w:szCs w:val="22"/>
        </w:rPr>
        <w:t>deki güçlü artış</w:t>
      </w:r>
      <w:r w:rsidR="00B96DDB" w:rsidRPr="00A01C9D">
        <w:rPr>
          <w:rFonts w:ascii="Palatino Linotype" w:hAnsi="Palatino Linotype" w:cstheme="minorHAnsi"/>
          <w:sz w:val="22"/>
          <w:szCs w:val="22"/>
        </w:rPr>
        <w:t xml:space="preserve"> ve yatırımla</w:t>
      </w:r>
      <w:r>
        <w:rPr>
          <w:rFonts w:ascii="Palatino Linotype" w:hAnsi="Palatino Linotype" w:cstheme="minorHAnsi"/>
          <w:sz w:val="22"/>
          <w:szCs w:val="22"/>
        </w:rPr>
        <w:t>rın katkısı</w:t>
      </w:r>
      <w:r w:rsidR="00B96DDB" w:rsidRPr="00A01C9D">
        <w:rPr>
          <w:rFonts w:ascii="Palatino Linotype" w:hAnsi="Palatino Linotype" w:cstheme="minorHAnsi"/>
          <w:sz w:val="22"/>
          <w:szCs w:val="22"/>
        </w:rPr>
        <w:t xml:space="preserve"> birlikte değerlendirildiğinde dikkat çekici bir tablo ortaya çıkmaktadır.</w:t>
      </w:r>
      <w:r w:rsidR="00E5060B">
        <w:rPr>
          <w:rFonts w:ascii="Palatino Linotype" w:hAnsi="Palatino Linotype" w:cstheme="minorHAnsi"/>
          <w:sz w:val="22"/>
          <w:szCs w:val="22"/>
        </w:rPr>
        <w:t xml:space="preserve"> Üçüncü çeyrek</w:t>
      </w:r>
      <w:r w:rsidR="00BF4F25" w:rsidRPr="00A01C9D">
        <w:rPr>
          <w:rFonts w:ascii="Palatino Linotype" w:hAnsi="Palatino Linotype" w:cstheme="minorHAnsi"/>
          <w:sz w:val="22"/>
          <w:szCs w:val="22"/>
        </w:rPr>
        <w:t xml:space="preserve">ten </w:t>
      </w:r>
      <w:r w:rsidR="00E5060B">
        <w:rPr>
          <w:rFonts w:ascii="Palatino Linotype" w:hAnsi="Palatino Linotype" w:cstheme="minorHAnsi"/>
          <w:sz w:val="22"/>
          <w:szCs w:val="22"/>
        </w:rPr>
        <w:t>dördüncü çeyreğe</w:t>
      </w:r>
      <w:r w:rsidR="00BF4F25" w:rsidRPr="00A01C9D">
        <w:rPr>
          <w:rFonts w:ascii="Palatino Linotype" w:hAnsi="Palatino Linotype" w:cstheme="minorHAnsi"/>
          <w:sz w:val="22"/>
          <w:szCs w:val="22"/>
        </w:rPr>
        <w:t xml:space="preserve"> özel tüketim</w:t>
      </w:r>
      <w:r w:rsidR="00E5060B">
        <w:rPr>
          <w:rFonts w:ascii="Palatino Linotype" w:hAnsi="Palatino Linotype" w:cstheme="minorHAnsi"/>
          <w:sz w:val="22"/>
          <w:szCs w:val="22"/>
        </w:rPr>
        <w:t>de büyüme</w:t>
      </w:r>
      <w:r w:rsidR="00BF4F25" w:rsidRPr="00A01C9D">
        <w:rPr>
          <w:rFonts w:ascii="Palatino Linotype" w:hAnsi="Palatino Linotype" w:cstheme="minorHAnsi"/>
          <w:sz w:val="22"/>
          <w:szCs w:val="22"/>
        </w:rPr>
        <w:t xml:space="preserve"> yüzde 1,6'dan yüzde 4,2'ye </w:t>
      </w:r>
      <w:r w:rsidR="00E5060B">
        <w:rPr>
          <w:rFonts w:ascii="Palatino Linotype" w:hAnsi="Palatino Linotype" w:cstheme="minorHAnsi"/>
          <w:sz w:val="22"/>
          <w:szCs w:val="22"/>
        </w:rPr>
        <w:t>sıçradı.</w:t>
      </w:r>
      <w:r w:rsidR="00BF4F25" w:rsidRPr="00A01C9D">
        <w:rPr>
          <w:rFonts w:ascii="Palatino Linotype" w:hAnsi="Palatino Linotype" w:cstheme="minorHAnsi"/>
          <w:sz w:val="22"/>
          <w:szCs w:val="22"/>
        </w:rPr>
        <w:t xml:space="preserve"> </w:t>
      </w:r>
      <w:r w:rsidR="00E5060B">
        <w:rPr>
          <w:rFonts w:ascii="Palatino Linotype" w:hAnsi="Palatino Linotype" w:cstheme="minorHAnsi"/>
          <w:sz w:val="22"/>
          <w:szCs w:val="22"/>
        </w:rPr>
        <w:t>B</w:t>
      </w:r>
      <w:r w:rsidR="00BF4F25" w:rsidRPr="00A01C9D">
        <w:rPr>
          <w:rFonts w:ascii="Palatino Linotype" w:hAnsi="Palatino Linotype" w:cstheme="minorHAnsi"/>
          <w:sz w:val="22"/>
          <w:szCs w:val="22"/>
        </w:rPr>
        <w:t>u üç kat hızlanma, 2025</w:t>
      </w:r>
      <w:r w:rsidR="00E5060B">
        <w:rPr>
          <w:rFonts w:ascii="Palatino Linotype" w:hAnsi="Palatino Linotype" w:cstheme="minorHAnsi"/>
          <w:sz w:val="22"/>
          <w:szCs w:val="22"/>
        </w:rPr>
        <w:t>’in</w:t>
      </w:r>
      <w:r w:rsidR="00BF4F25" w:rsidRPr="00A01C9D">
        <w:rPr>
          <w:rFonts w:ascii="Palatino Linotype" w:hAnsi="Palatino Linotype" w:cstheme="minorHAnsi"/>
          <w:sz w:val="22"/>
          <w:szCs w:val="22"/>
        </w:rPr>
        <w:t xml:space="preserve"> dördüncü çeyre</w:t>
      </w:r>
      <w:r w:rsidR="00E5060B">
        <w:rPr>
          <w:rFonts w:ascii="Palatino Linotype" w:hAnsi="Palatino Linotype" w:cstheme="minorHAnsi"/>
          <w:sz w:val="22"/>
          <w:szCs w:val="22"/>
        </w:rPr>
        <w:t>ğinde</w:t>
      </w:r>
      <w:r w:rsidR="00BF4F25" w:rsidRPr="00A01C9D">
        <w:rPr>
          <w:rFonts w:ascii="Palatino Linotype" w:hAnsi="Palatino Linotype" w:cstheme="minorHAnsi"/>
          <w:sz w:val="22"/>
          <w:szCs w:val="22"/>
        </w:rPr>
        <w:t xml:space="preserve"> neredeyse tüm büyümeyi tek başına taşıyan bir ivme olmuştur. </w:t>
      </w:r>
      <w:r w:rsidR="00B96DDB" w:rsidRPr="00A01C9D">
        <w:rPr>
          <w:rFonts w:ascii="Palatino Linotype" w:hAnsi="Palatino Linotype" w:cstheme="minorHAnsi"/>
          <w:sz w:val="22"/>
          <w:szCs w:val="22"/>
        </w:rPr>
        <w:t xml:space="preserve">Çeyreklik bazda özel tüketimin son iki yılın en yüksek çeyreklik artışını kaydetmesi, kredi faizlerindeki gevşemenin ve kampanyalı finansman imkânlarının tüketici talebini önemli ölçüde canlandırdığına işaret etmektedir. Öte yandan yatırımların yıllık bazda artmaya devam etmesine karşın çeyreklik bazda yüzde 0,3 oranında gerilemesi, </w:t>
      </w:r>
      <w:r w:rsidR="00457E4E">
        <w:rPr>
          <w:rFonts w:ascii="Palatino Linotype" w:hAnsi="Palatino Linotype" w:cstheme="minorHAnsi"/>
          <w:sz w:val="22"/>
          <w:szCs w:val="22"/>
        </w:rPr>
        <w:t xml:space="preserve">yatırımlarda </w:t>
      </w:r>
      <w:r w:rsidR="00B96DDB" w:rsidRPr="00A01C9D">
        <w:rPr>
          <w:rFonts w:ascii="Palatino Linotype" w:hAnsi="Palatino Linotype" w:cstheme="minorHAnsi"/>
          <w:sz w:val="22"/>
          <w:szCs w:val="22"/>
        </w:rPr>
        <w:t xml:space="preserve">ivmenin zayıflamaya başladığının erken sinyali olarak okunabilir. İhracatın çeyreklik bazda yüzde 4,5 daralması ve ithalatın aynı dönemde yüzde 4,3 artmasıyla dış ticaret dengesi belirgin biçimde bozulmuştur; bu eğilimin sürmesi durumunda net ihracatın büyüme üzerindeki olumsuz baskısı önümüzdeki dönemde de devam edebilir. </w:t>
      </w:r>
      <w:r w:rsidR="006B1AFE" w:rsidRPr="00A01C9D">
        <w:rPr>
          <w:rFonts w:ascii="Palatino Linotype" w:hAnsi="Palatino Linotype" w:cstheme="minorHAnsi"/>
          <w:sz w:val="22"/>
          <w:szCs w:val="22"/>
        </w:rPr>
        <w:t xml:space="preserve">Kamu tüketiminin hem yıllık hem çeyreklik bazda daralması, mali disiplin çabasının da büyüme üzerinde sessizce frene bastığını göstermektedir. </w:t>
      </w:r>
      <w:r w:rsidR="00B96DDB" w:rsidRPr="00A01C9D">
        <w:rPr>
          <w:rFonts w:ascii="Palatino Linotype" w:hAnsi="Palatino Linotype" w:cstheme="minorHAnsi"/>
          <w:sz w:val="22"/>
          <w:szCs w:val="22"/>
        </w:rPr>
        <w:t>TCMB'nin parasal sıkılaştırma hızı ve kredi koşullarındaki gelişmeler, 2026 büyüme performansının belirleyici değişkenleri olmaya devam edecektir.</w:t>
      </w:r>
      <w:r w:rsidR="00E5060B">
        <w:rPr>
          <w:rFonts w:ascii="Palatino Linotype" w:hAnsi="Palatino Linotype" w:cstheme="minorHAnsi"/>
          <w:sz w:val="22"/>
          <w:szCs w:val="22"/>
        </w:rPr>
        <w:t xml:space="preserve"> </w:t>
      </w:r>
      <w:r w:rsidR="00E5060B" w:rsidRPr="00457E4E">
        <w:rPr>
          <w:rFonts w:ascii="Palatino Linotype" w:hAnsi="Palatino Linotype" w:cstheme="minorHAnsi"/>
          <w:sz w:val="22"/>
          <w:szCs w:val="22"/>
        </w:rPr>
        <w:t>Bu koşullar altında 2026 yılı büyümesinin yüzde 4 civarında seyretmesi beklenmektedir.</w:t>
      </w:r>
    </w:p>
    <w:p w14:paraId="5E09B117" w14:textId="77777777" w:rsidR="00251690" w:rsidRPr="00B96DDB" w:rsidRDefault="00251690" w:rsidP="75C7ED0D">
      <w:pPr>
        <w:pStyle w:val="NormalWeb"/>
        <w:spacing w:before="0" w:beforeAutospacing="0" w:after="0" w:afterAutospacing="0" w:line="360" w:lineRule="auto"/>
        <w:ind w:right="77"/>
        <w:jc w:val="both"/>
        <w:rPr>
          <w:rFonts w:ascii="Palatino Linotype" w:hAnsi="Palatino Linotype" w:cstheme="minorBidi"/>
          <w:color w:val="EE0000"/>
          <w:sz w:val="22"/>
          <w:szCs w:val="22"/>
        </w:rPr>
      </w:pPr>
    </w:p>
    <w:p w14:paraId="2CECF811" w14:textId="2E58A18B" w:rsidR="00DF08BD" w:rsidRPr="003771C7" w:rsidRDefault="00E85F3F" w:rsidP="00DF08BD">
      <w:pPr>
        <w:pStyle w:val="NormalWeb"/>
        <w:spacing w:before="0" w:beforeAutospacing="0" w:after="0" w:afterAutospacing="0" w:line="360" w:lineRule="auto"/>
        <w:ind w:right="77"/>
        <w:jc w:val="both"/>
        <w:rPr>
          <w:rFonts w:ascii="Palatino Linotype" w:hAnsi="Palatino Linotype" w:cstheme="minorHAnsi"/>
          <w:b/>
          <w:bCs/>
          <w:vanish/>
          <w:sz w:val="22"/>
          <w:szCs w:val="22"/>
          <w:specVanish/>
        </w:rPr>
      </w:pPr>
      <w:r w:rsidRPr="00CC0355">
        <w:rPr>
          <w:rFonts w:ascii="Palatino Linotype" w:hAnsi="Palatino Linotype" w:cstheme="minorHAnsi"/>
          <w:b/>
          <w:bCs/>
          <w:sz w:val="22"/>
          <w:szCs w:val="22"/>
        </w:rPr>
        <w:t xml:space="preserve">Şekil </w:t>
      </w:r>
      <w:r w:rsidR="00F22A71" w:rsidRPr="00CC0355">
        <w:rPr>
          <w:rFonts w:ascii="Palatino Linotype" w:hAnsi="Palatino Linotype" w:cstheme="minorHAnsi"/>
          <w:b/>
          <w:bCs/>
          <w:sz w:val="22"/>
          <w:szCs w:val="22"/>
        </w:rPr>
        <w:t>2</w:t>
      </w:r>
      <w:r w:rsidRPr="00CC0355">
        <w:rPr>
          <w:rFonts w:ascii="Palatino Linotype" w:hAnsi="Palatino Linotype" w:cstheme="minorHAnsi"/>
          <w:b/>
          <w:bCs/>
          <w:sz w:val="22"/>
          <w:szCs w:val="22"/>
        </w:rPr>
        <w:t>: Bir önceki çeyreğe ve geçen yılın aynı çeyreğine göre GSYH büyüme oranları</w:t>
      </w:r>
    </w:p>
    <w:p w14:paraId="19F577E0" w14:textId="71D9C9E0" w:rsidR="003A4C32" w:rsidRPr="00CC0355" w:rsidRDefault="003A4C32" w:rsidP="00DF08BD">
      <w:pPr>
        <w:pStyle w:val="NormalWeb"/>
        <w:spacing w:before="0" w:beforeAutospacing="0" w:after="0" w:afterAutospacing="0" w:line="360" w:lineRule="auto"/>
        <w:ind w:right="77"/>
        <w:jc w:val="both"/>
        <w:rPr>
          <w:rFonts w:ascii="Palatino Linotype" w:hAnsi="Palatino Linotype" w:cstheme="minorHAnsi"/>
          <w:sz w:val="18"/>
          <w:szCs w:val="18"/>
        </w:rPr>
      </w:pPr>
    </w:p>
    <w:p w14:paraId="79047BBA" w14:textId="11473B4A" w:rsidR="001A080D" w:rsidRPr="00D25778" w:rsidRDefault="004360BE" w:rsidP="004360BE">
      <w:pPr>
        <w:pStyle w:val="NormalWeb"/>
        <w:spacing w:before="0" w:beforeAutospacing="0" w:after="0" w:afterAutospacing="0" w:line="360" w:lineRule="auto"/>
        <w:ind w:right="77"/>
        <w:jc w:val="both"/>
        <w:rPr>
          <w:rFonts w:ascii="Palatino Linotype" w:hAnsi="Palatino Linotype" w:cstheme="minorHAnsi"/>
          <w:noProof/>
          <w:sz w:val="18"/>
          <w:szCs w:val="18"/>
        </w:rPr>
      </w:pPr>
      <w:r w:rsidRPr="004360BE">
        <w:rPr>
          <w:rFonts w:ascii="Palatino Linotype" w:hAnsi="Palatino Linotype" w:cstheme="minorHAnsi"/>
          <w:b/>
          <w:bCs/>
          <w:noProof/>
          <w:sz w:val="22"/>
          <w:szCs w:val="22"/>
        </w:rPr>
        <w:drawing>
          <wp:inline distT="0" distB="0" distL="0" distR="0" wp14:anchorId="4698D5E1" wp14:editId="79B87FD2">
            <wp:extent cx="5760720" cy="3430298"/>
            <wp:effectExtent l="0" t="0" r="17780" b="11430"/>
            <wp:docPr id="1815231804" name="Chart 1">
              <a:extLst xmlns:a="http://schemas.openxmlformats.org/drawingml/2006/main">
                <a:ext uri="{FF2B5EF4-FFF2-40B4-BE49-F238E27FC236}">
                  <a16:creationId xmlns:a16="http://schemas.microsoft.com/office/drawing/2014/main" id="{C1FD32D0-15A7-477C-9047-F61AAE27CEFD}"/>
                </a:ext>
                <a:ext uri="{147F2762-F138-4A5C-976F-8EAC2B608ADB}">
                  <a16:predDERef xmlns:a16="http://schemas.microsoft.com/office/drawing/2014/main" pred="{2857B99D-F1A0-4429-B16E-4CC003DD67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CC0355">
        <w:rPr>
          <w:rFonts w:ascii="Palatino Linotype" w:hAnsi="Palatino Linotype" w:cstheme="minorHAnsi"/>
          <w:sz w:val="18"/>
          <w:szCs w:val="18"/>
        </w:rPr>
        <w:t xml:space="preserve"> </w:t>
      </w:r>
      <w:r w:rsidR="00062A8A" w:rsidRPr="00CC0355">
        <w:rPr>
          <w:rFonts w:ascii="Palatino Linotype" w:hAnsi="Palatino Linotype" w:cstheme="minorHAnsi"/>
          <w:sz w:val="18"/>
          <w:szCs w:val="18"/>
        </w:rPr>
        <w:t>Kaynak: TÜİK, Betam</w:t>
      </w:r>
    </w:p>
    <w:sectPr w:rsidR="001A080D" w:rsidRPr="00D25778" w:rsidSect="005047E6">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08B6" w14:textId="77777777" w:rsidR="00CB62F9" w:rsidRDefault="00CB62F9" w:rsidP="00DA0C5D">
      <w:r>
        <w:separator/>
      </w:r>
    </w:p>
  </w:endnote>
  <w:endnote w:type="continuationSeparator" w:id="0">
    <w:p w14:paraId="1BD5242D" w14:textId="77777777" w:rsidR="00CB62F9" w:rsidRDefault="00CB62F9" w:rsidP="00DA0C5D">
      <w:r>
        <w:continuationSeparator/>
      </w:r>
    </w:p>
  </w:endnote>
  <w:endnote w:type="continuationNotice" w:id="1">
    <w:p w14:paraId="677F4F59" w14:textId="77777777" w:rsidR="00CB62F9" w:rsidRDefault="00CB6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491006"/>
      <w:docPartObj>
        <w:docPartGallery w:val="Page Numbers (Bottom of Page)"/>
        <w:docPartUnique/>
      </w:docPartObj>
    </w:sdtPr>
    <w:sdtEndPr>
      <w:rPr>
        <w:noProof/>
      </w:rPr>
    </w:sdtEndPr>
    <w:sdtContent>
      <w:p w14:paraId="4958D66D" w14:textId="4FBAB67D" w:rsidR="002C542E" w:rsidRDefault="002C542E">
        <w:pPr>
          <w:pStyle w:val="Footer"/>
          <w:jc w:val="center"/>
        </w:pPr>
        <w:r>
          <w:fldChar w:fldCharType="begin"/>
        </w:r>
        <w:r>
          <w:instrText xml:space="preserve"> PAGE   \* MERGEFORMAT </w:instrText>
        </w:r>
        <w:r>
          <w:fldChar w:fldCharType="separate"/>
        </w:r>
        <w:r w:rsidR="002076D8">
          <w:rPr>
            <w:noProof/>
          </w:rPr>
          <w:t>1</w:t>
        </w:r>
        <w:r>
          <w:rPr>
            <w:noProof/>
          </w:rPr>
          <w:fldChar w:fldCharType="end"/>
        </w:r>
      </w:p>
    </w:sdtContent>
  </w:sdt>
  <w:p w14:paraId="19293457" w14:textId="77777777" w:rsidR="009030D2" w:rsidRDefault="00903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C73D6" w14:textId="77777777" w:rsidR="00CB62F9" w:rsidRDefault="00CB62F9" w:rsidP="00DA0C5D">
      <w:r>
        <w:separator/>
      </w:r>
    </w:p>
  </w:footnote>
  <w:footnote w:type="continuationSeparator" w:id="0">
    <w:p w14:paraId="29D05272" w14:textId="77777777" w:rsidR="00CB62F9" w:rsidRDefault="00CB62F9" w:rsidP="00DA0C5D">
      <w:r>
        <w:continuationSeparator/>
      </w:r>
    </w:p>
  </w:footnote>
  <w:footnote w:type="continuationNotice" w:id="1">
    <w:p w14:paraId="33433E8A" w14:textId="77777777" w:rsidR="00CB62F9" w:rsidRDefault="00CB62F9"/>
  </w:footnote>
  <w:footnote w:id="2">
    <w:p w14:paraId="6D61CC27" w14:textId="37D9E46D" w:rsidR="00C32789" w:rsidRPr="006F4B75" w:rsidRDefault="00C32789" w:rsidP="00173671">
      <w:pPr>
        <w:pStyle w:val="FootnoteText"/>
        <w:jc w:val="both"/>
        <w:rPr>
          <w:lang w:val="en-US"/>
        </w:rPr>
      </w:pPr>
      <w:r>
        <w:rPr>
          <w:rStyle w:val="FootnoteReference"/>
        </w:rPr>
        <w:footnoteRef/>
      </w:r>
      <w:r w:rsidR="001866FC">
        <w:t xml:space="preserve"> </w:t>
      </w:r>
      <w:r w:rsidRPr="001866FC">
        <w:rPr>
          <w:rFonts w:ascii="Palatino Linotype" w:hAnsi="Palatino Linotype"/>
          <w:sz w:val="18"/>
          <w:szCs w:val="18"/>
        </w:rPr>
        <w:t>Betam</w:t>
      </w:r>
      <w:r w:rsidR="006F4B75">
        <w:rPr>
          <w:rFonts w:ascii="Palatino Linotype" w:hAnsi="Palatino Linotype"/>
          <w:sz w:val="18"/>
          <w:szCs w:val="18"/>
        </w:rPr>
        <w:t xml:space="preserve">, </w:t>
      </w:r>
      <w:proofErr w:type="spellStart"/>
      <w:r w:rsidR="006F4B75">
        <w:rPr>
          <w:rFonts w:ascii="Palatino Linotype" w:hAnsi="Palatino Linotype"/>
          <w:sz w:val="18"/>
          <w:szCs w:val="18"/>
        </w:rPr>
        <w:t>seyfettin.gursel</w:t>
      </w:r>
      <w:proofErr w:type="spellEnd"/>
      <w:r w:rsidR="006F4B75">
        <w:rPr>
          <w:rFonts w:ascii="Palatino Linotype" w:hAnsi="Palatino Linotype"/>
          <w:sz w:val="18"/>
          <w:szCs w:val="18"/>
          <w:lang w:val="en-US"/>
        </w:rPr>
        <w:t>@bau.edu.tr</w:t>
      </w:r>
    </w:p>
  </w:footnote>
  <w:footnote w:id="3">
    <w:p w14:paraId="5BE1DCEB" w14:textId="0BD036B4" w:rsidR="001537D8" w:rsidRDefault="001537D8" w:rsidP="00173671">
      <w:pPr>
        <w:pStyle w:val="FootnoteText"/>
        <w:jc w:val="both"/>
      </w:pPr>
      <w:r>
        <w:rPr>
          <w:rStyle w:val="FootnoteReference"/>
        </w:rPr>
        <w:footnoteRef/>
      </w:r>
      <w:r w:rsidR="001866FC">
        <w:t xml:space="preserve"> </w:t>
      </w:r>
      <w:r w:rsidRPr="001866FC">
        <w:rPr>
          <w:rFonts w:ascii="Palatino Linotype" w:hAnsi="Palatino Linotype"/>
          <w:sz w:val="18"/>
          <w:szCs w:val="18"/>
        </w:rPr>
        <w:t>Betam,</w:t>
      </w:r>
      <w:r w:rsidR="00302EDD">
        <w:rPr>
          <w:rFonts w:ascii="Palatino Linotype" w:hAnsi="Palatino Linotype"/>
          <w:sz w:val="18"/>
          <w:szCs w:val="18"/>
        </w:rPr>
        <w:t xml:space="preserve"> </w:t>
      </w:r>
      <w:r w:rsidR="006A51CC">
        <w:rPr>
          <w:rFonts w:ascii="Palatino Linotype" w:hAnsi="Palatino Linotype"/>
          <w:sz w:val="18"/>
          <w:szCs w:val="18"/>
        </w:rPr>
        <w:t>saliha.tanriverdi</w:t>
      </w:r>
      <w:r w:rsidR="004D4272" w:rsidRPr="001866FC">
        <w:rPr>
          <w:rFonts w:ascii="Palatino Linotype" w:hAnsi="Palatino Linotype"/>
          <w:sz w:val="18"/>
          <w:szCs w:val="18"/>
        </w:rPr>
        <w:t>@bau.edu.tr</w:t>
      </w:r>
      <w:r>
        <w:t xml:space="preserve"> </w:t>
      </w:r>
    </w:p>
  </w:footnote>
  <w:footnote w:id="4">
    <w:p w14:paraId="728C91E1" w14:textId="77777777" w:rsidR="00BD0800" w:rsidRPr="00E22DFD" w:rsidRDefault="00BD0800" w:rsidP="00BD0800">
      <w:pPr>
        <w:pStyle w:val="FootnoteText"/>
        <w:jc w:val="both"/>
        <w:rPr>
          <w:rFonts w:ascii="Palatino Linotype" w:hAnsi="Palatino Linotype"/>
          <w:sz w:val="18"/>
          <w:szCs w:val="18"/>
        </w:rPr>
      </w:pPr>
      <w:r w:rsidRPr="00E22DFD">
        <w:rPr>
          <w:rStyle w:val="FootnoteReference"/>
          <w:rFonts w:ascii="Palatino Linotype" w:hAnsi="Palatino Linotype"/>
          <w:sz w:val="18"/>
          <w:szCs w:val="18"/>
        </w:rPr>
        <w:footnoteRef/>
      </w:r>
      <w:r w:rsidRPr="00E22DFD">
        <w:rPr>
          <w:rFonts w:ascii="Palatino Linotype" w:hAnsi="Palatino Linotype"/>
          <w:sz w:val="18"/>
          <w:szCs w:val="18"/>
        </w:rPr>
        <w:t xml:space="preserve"> “TÜİK yeni milli gelir serilerini hesaplarken zincirleme hacim endeksi yöntemini kullanıyor. Zincirleme yöntemde hem </w:t>
      </w:r>
      <w:proofErr w:type="spellStart"/>
      <w:r w:rsidRPr="00E22DFD">
        <w:rPr>
          <w:rFonts w:ascii="Palatino Linotype" w:hAnsi="Palatino Linotype"/>
          <w:sz w:val="18"/>
          <w:szCs w:val="18"/>
        </w:rPr>
        <w:t>toplamsallık</w:t>
      </w:r>
      <w:proofErr w:type="spellEnd"/>
      <w:r w:rsidRPr="00E22DFD">
        <w:rPr>
          <w:rFonts w:ascii="Palatino Linotype" w:hAnsi="Palatino Linotype"/>
          <w:sz w:val="18"/>
          <w:szCs w:val="18"/>
        </w:rPr>
        <w:t xml:space="preserve"> sorunu olduğu hem de "stoktaki değişiklikler" kalemi için zincirlenmiş endeks türetilemediği için stok değişiminin büyümeye katkısı kolayca hesaplanamamaktadır. Zincirleme hacim endeksi yaklaşımında stok değişimi kaleminin büyümeye katkısının nasıl hesaplanacağını yayınladığımız araştırma notunda detaylı olarak tartışmıştık (bkz. </w:t>
      </w:r>
      <w:bookmarkStart w:id="14" w:name="OLE_LINK3"/>
      <w:bookmarkStart w:id="15" w:name="OLE_LINK4"/>
      <w:r w:rsidRPr="00E22DFD">
        <w:rPr>
          <w:rFonts w:ascii="Palatino Linotype" w:hAnsi="Palatino Linotype"/>
          <w:sz w:val="18"/>
          <w:szCs w:val="18"/>
        </w:rPr>
        <w:t>Betam Araştırma Notu 17/217</w:t>
      </w:r>
      <w:bookmarkEnd w:id="14"/>
      <w:bookmarkEnd w:id="15"/>
      <w:r w:rsidRPr="00E22DFD">
        <w:rPr>
          <w:rFonts w:ascii="Palatino Linotype" w:hAnsi="Palatino Linotype"/>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50D03"/>
    <w:multiLevelType w:val="hybridMultilevel"/>
    <w:tmpl w:val="ABAEA2D4"/>
    <w:lvl w:ilvl="0" w:tplc="D6BC70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60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2MzQ1MzcytDQzNrBU0lEKTi0uzszPAykwrwUAwfjx3ywAAAA="/>
  </w:docVars>
  <w:rsids>
    <w:rsidRoot w:val="00D07713"/>
    <w:rsid w:val="0000013E"/>
    <w:rsid w:val="00000824"/>
    <w:rsid w:val="0000228F"/>
    <w:rsid w:val="0000232E"/>
    <w:rsid w:val="00002E42"/>
    <w:rsid w:val="000055F7"/>
    <w:rsid w:val="00007BF3"/>
    <w:rsid w:val="00007C3F"/>
    <w:rsid w:val="0001081A"/>
    <w:rsid w:val="00010B90"/>
    <w:rsid w:val="00010DAB"/>
    <w:rsid w:val="00013768"/>
    <w:rsid w:val="0001392F"/>
    <w:rsid w:val="000141C7"/>
    <w:rsid w:val="0001486D"/>
    <w:rsid w:val="00015F47"/>
    <w:rsid w:val="00016D27"/>
    <w:rsid w:val="00017B51"/>
    <w:rsid w:val="00020306"/>
    <w:rsid w:val="00021CFC"/>
    <w:rsid w:val="00022596"/>
    <w:rsid w:val="00022EB1"/>
    <w:rsid w:val="00023740"/>
    <w:rsid w:val="00023B97"/>
    <w:rsid w:val="0002466A"/>
    <w:rsid w:val="00024FE0"/>
    <w:rsid w:val="00030A2C"/>
    <w:rsid w:val="000314B6"/>
    <w:rsid w:val="0003173A"/>
    <w:rsid w:val="00032741"/>
    <w:rsid w:val="00034933"/>
    <w:rsid w:val="00036770"/>
    <w:rsid w:val="00037728"/>
    <w:rsid w:val="000404B3"/>
    <w:rsid w:val="0004087D"/>
    <w:rsid w:val="00041FB7"/>
    <w:rsid w:val="00042210"/>
    <w:rsid w:val="0004390D"/>
    <w:rsid w:val="00044AF3"/>
    <w:rsid w:val="00044D9E"/>
    <w:rsid w:val="00045626"/>
    <w:rsid w:val="0004588B"/>
    <w:rsid w:val="00047A79"/>
    <w:rsid w:val="00050D2C"/>
    <w:rsid w:val="00052012"/>
    <w:rsid w:val="0005290F"/>
    <w:rsid w:val="000529F2"/>
    <w:rsid w:val="00052B86"/>
    <w:rsid w:val="00053AAA"/>
    <w:rsid w:val="00054943"/>
    <w:rsid w:val="00054D9E"/>
    <w:rsid w:val="00055EA1"/>
    <w:rsid w:val="000561F7"/>
    <w:rsid w:val="0005747B"/>
    <w:rsid w:val="00057F8E"/>
    <w:rsid w:val="00062A8A"/>
    <w:rsid w:val="00063B28"/>
    <w:rsid w:val="000641A8"/>
    <w:rsid w:val="000652B6"/>
    <w:rsid w:val="00066842"/>
    <w:rsid w:val="00067288"/>
    <w:rsid w:val="0006775B"/>
    <w:rsid w:val="00070018"/>
    <w:rsid w:val="000714BA"/>
    <w:rsid w:val="000719F5"/>
    <w:rsid w:val="000725DB"/>
    <w:rsid w:val="00073415"/>
    <w:rsid w:val="000753CE"/>
    <w:rsid w:val="00077CA8"/>
    <w:rsid w:val="00077F9D"/>
    <w:rsid w:val="00080211"/>
    <w:rsid w:val="00080336"/>
    <w:rsid w:val="00085271"/>
    <w:rsid w:val="00086C64"/>
    <w:rsid w:val="00087011"/>
    <w:rsid w:val="000876CE"/>
    <w:rsid w:val="00087C70"/>
    <w:rsid w:val="000905E5"/>
    <w:rsid w:val="00091F3E"/>
    <w:rsid w:val="0009328A"/>
    <w:rsid w:val="00094206"/>
    <w:rsid w:val="00094647"/>
    <w:rsid w:val="0009673D"/>
    <w:rsid w:val="00096CDA"/>
    <w:rsid w:val="00097794"/>
    <w:rsid w:val="000978C8"/>
    <w:rsid w:val="000A05ED"/>
    <w:rsid w:val="000A1122"/>
    <w:rsid w:val="000A3019"/>
    <w:rsid w:val="000A4FA7"/>
    <w:rsid w:val="000A612E"/>
    <w:rsid w:val="000B09B0"/>
    <w:rsid w:val="000B0D12"/>
    <w:rsid w:val="000B0FC1"/>
    <w:rsid w:val="000B45D6"/>
    <w:rsid w:val="000B6CAD"/>
    <w:rsid w:val="000B75BE"/>
    <w:rsid w:val="000C0E23"/>
    <w:rsid w:val="000C12C0"/>
    <w:rsid w:val="000C1672"/>
    <w:rsid w:val="000C5C80"/>
    <w:rsid w:val="000C5EAB"/>
    <w:rsid w:val="000C634D"/>
    <w:rsid w:val="000D5974"/>
    <w:rsid w:val="000D5FD3"/>
    <w:rsid w:val="000D6E6C"/>
    <w:rsid w:val="000D70D1"/>
    <w:rsid w:val="000E1802"/>
    <w:rsid w:val="000E2388"/>
    <w:rsid w:val="000E2F54"/>
    <w:rsid w:val="000E3436"/>
    <w:rsid w:val="000E445D"/>
    <w:rsid w:val="000F0B6B"/>
    <w:rsid w:val="000F2C7A"/>
    <w:rsid w:val="000F34BE"/>
    <w:rsid w:val="000F378E"/>
    <w:rsid w:val="000F38B6"/>
    <w:rsid w:val="000F431C"/>
    <w:rsid w:val="000F6529"/>
    <w:rsid w:val="000F75B9"/>
    <w:rsid w:val="001004FF"/>
    <w:rsid w:val="0010209C"/>
    <w:rsid w:val="001020C4"/>
    <w:rsid w:val="001035A0"/>
    <w:rsid w:val="00111CED"/>
    <w:rsid w:val="0011291D"/>
    <w:rsid w:val="00112AEA"/>
    <w:rsid w:val="00115F49"/>
    <w:rsid w:val="0011613D"/>
    <w:rsid w:val="001167EB"/>
    <w:rsid w:val="00117128"/>
    <w:rsid w:val="001226D6"/>
    <w:rsid w:val="001239FD"/>
    <w:rsid w:val="00124B0C"/>
    <w:rsid w:val="0012527F"/>
    <w:rsid w:val="00125770"/>
    <w:rsid w:val="00126200"/>
    <w:rsid w:val="001264BF"/>
    <w:rsid w:val="001270D3"/>
    <w:rsid w:val="0012777A"/>
    <w:rsid w:val="00127E4D"/>
    <w:rsid w:val="00130D73"/>
    <w:rsid w:val="00131C5C"/>
    <w:rsid w:val="00132910"/>
    <w:rsid w:val="00132F7E"/>
    <w:rsid w:val="001365DD"/>
    <w:rsid w:val="0013699E"/>
    <w:rsid w:val="00137467"/>
    <w:rsid w:val="00140468"/>
    <w:rsid w:val="00141EDB"/>
    <w:rsid w:val="00143F17"/>
    <w:rsid w:val="0014542A"/>
    <w:rsid w:val="00150FFB"/>
    <w:rsid w:val="0015176F"/>
    <w:rsid w:val="001527FA"/>
    <w:rsid w:val="001531B2"/>
    <w:rsid w:val="001537D8"/>
    <w:rsid w:val="001540B7"/>
    <w:rsid w:val="00156849"/>
    <w:rsid w:val="00156D41"/>
    <w:rsid w:val="00157070"/>
    <w:rsid w:val="001570F3"/>
    <w:rsid w:val="0016084A"/>
    <w:rsid w:val="00160880"/>
    <w:rsid w:val="001648AB"/>
    <w:rsid w:val="00166779"/>
    <w:rsid w:val="00173671"/>
    <w:rsid w:val="00173752"/>
    <w:rsid w:val="00173CB3"/>
    <w:rsid w:val="0017424F"/>
    <w:rsid w:val="001744CD"/>
    <w:rsid w:val="00175FC8"/>
    <w:rsid w:val="00177002"/>
    <w:rsid w:val="001777A4"/>
    <w:rsid w:val="001804D3"/>
    <w:rsid w:val="00183AFA"/>
    <w:rsid w:val="00183D5C"/>
    <w:rsid w:val="00184174"/>
    <w:rsid w:val="00184B02"/>
    <w:rsid w:val="001851FE"/>
    <w:rsid w:val="001855BC"/>
    <w:rsid w:val="001866FC"/>
    <w:rsid w:val="00190944"/>
    <w:rsid w:val="00190CDF"/>
    <w:rsid w:val="00190F8D"/>
    <w:rsid w:val="0019364D"/>
    <w:rsid w:val="00194FF2"/>
    <w:rsid w:val="001978A0"/>
    <w:rsid w:val="001A080D"/>
    <w:rsid w:val="001A1825"/>
    <w:rsid w:val="001A18B0"/>
    <w:rsid w:val="001A42FF"/>
    <w:rsid w:val="001A5699"/>
    <w:rsid w:val="001B371C"/>
    <w:rsid w:val="001B3A44"/>
    <w:rsid w:val="001B584B"/>
    <w:rsid w:val="001B5FA8"/>
    <w:rsid w:val="001C2763"/>
    <w:rsid w:val="001C2C68"/>
    <w:rsid w:val="001C342D"/>
    <w:rsid w:val="001C41BB"/>
    <w:rsid w:val="001C566F"/>
    <w:rsid w:val="001C65BF"/>
    <w:rsid w:val="001C7370"/>
    <w:rsid w:val="001C77F0"/>
    <w:rsid w:val="001D0150"/>
    <w:rsid w:val="001D13E5"/>
    <w:rsid w:val="001D2107"/>
    <w:rsid w:val="001D36E7"/>
    <w:rsid w:val="001D37D1"/>
    <w:rsid w:val="001D420E"/>
    <w:rsid w:val="001D5B02"/>
    <w:rsid w:val="001D6465"/>
    <w:rsid w:val="001D7073"/>
    <w:rsid w:val="001D7513"/>
    <w:rsid w:val="001E181B"/>
    <w:rsid w:val="001E2682"/>
    <w:rsid w:val="001E2E49"/>
    <w:rsid w:val="001E3320"/>
    <w:rsid w:val="001E349F"/>
    <w:rsid w:val="001E44F8"/>
    <w:rsid w:val="001E495B"/>
    <w:rsid w:val="001E514D"/>
    <w:rsid w:val="001E7126"/>
    <w:rsid w:val="001E72E4"/>
    <w:rsid w:val="001E7D73"/>
    <w:rsid w:val="001F0FFC"/>
    <w:rsid w:val="001F12E3"/>
    <w:rsid w:val="001F1554"/>
    <w:rsid w:val="001F1CCF"/>
    <w:rsid w:val="001F2DE9"/>
    <w:rsid w:val="001F4A7A"/>
    <w:rsid w:val="001F4E3D"/>
    <w:rsid w:val="001F5399"/>
    <w:rsid w:val="001F5841"/>
    <w:rsid w:val="001F7023"/>
    <w:rsid w:val="001F729E"/>
    <w:rsid w:val="001F7B1D"/>
    <w:rsid w:val="001F7BC7"/>
    <w:rsid w:val="00200BCB"/>
    <w:rsid w:val="00201554"/>
    <w:rsid w:val="00201E79"/>
    <w:rsid w:val="00202302"/>
    <w:rsid w:val="002034A9"/>
    <w:rsid w:val="00204FB4"/>
    <w:rsid w:val="00205844"/>
    <w:rsid w:val="00206F72"/>
    <w:rsid w:val="002076D8"/>
    <w:rsid w:val="0021038D"/>
    <w:rsid w:val="002106DF"/>
    <w:rsid w:val="00211E95"/>
    <w:rsid w:val="00212579"/>
    <w:rsid w:val="00212782"/>
    <w:rsid w:val="00213402"/>
    <w:rsid w:val="002136B9"/>
    <w:rsid w:val="00214268"/>
    <w:rsid w:val="00214914"/>
    <w:rsid w:val="00214B5E"/>
    <w:rsid w:val="00215BC7"/>
    <w:rsid w:val="002176BD"/>
    <w:rsid w:val="00217A5A"/>
    <w:rsid w:val="00220425"/>
    <w:rsid w:val="00224895"/>
    <w:rsid w:val="0022537C"/>
    <w:rsid w:val="0022637C"/>
    <w:rsid w:val="0022673E"/>
    <w:rsid w:val="002270D8"/>
    <w:rsid w:val="00232635"/>
    <w:rsid w:val="002343A8"/>
    <w:rsid w:val="00235DBE"/>
    <w:rsid w:val="00236258"/>
    <w:rsid w:val="0023713A"/>
    <w:rsid w:val="002372CB"/>
    <w:rsid w:val="00242C10"/>
    <w:rsid w:val="00242F55"/>
    <w:rsid w:val="00244CF8"/>
    <w:rsid w:val="00245261"/>
    <w:rsid w:val="00245B1A"/>
    <w:rsid w:val="00247A3C"/>
    <w:rsid w:val="0025111C"/>
    <w:rsid w:val="00251690"/>
    <w:rsid w:val="00253E19"/>
    <w:rsid w:val="002561CB"/>
    <w:rsid w:val="00256FE3"/>
    <w:rsid w:val="00263C3E"/>
    <w:rsid w:val="00265553"/>
    <w:rsid w:val="00265568"/>
    <w:rsid w:val="002655E5"/>
    <w:rsid w:val="002663FD"/>
    <w:rsid w:val="00267F48"/>
    <w:rsid w:val="00270A75"/>
    <w:rsid w:val="00270E2B"/>
    <w:rsid w:val="002714F9"/>
    <w:rsid w:val="002729B4"/>
    <w:rsid w:val="002755D9"/>
    <w:rsid w:val="00275745"/>
    <w:rsid w:val="0027649A"/>
    <w:rsid w:val="002769F8"/>
    <w:rsid w:val="00277FED"/>
    <w:rsid w:val="002804E5"/>
    <w:rsid w:val="0028053F"/>
    <w:rsid w:val="00282242"/>
    <w:rsid w:val="002829BC"/>
    <w:rsid w:val="00282C5D"/>
    <w:rsid w:val="002836D7"/>
    <w:rsid w:val="00284401"/>
    <w:rsid w:val="00284764"/>
    <w:rsid w:val="002847DE"/>
    <w:rsid w:val="0028498B"/>
    <w:rsid w:val="00287B00"/>
    <w:rsid w:val="00287D00"/>
    <w:rsid w:val="0029215C"/>
    <w:rsid w:val="00295671"/>
    <w:rsid w:val="00295E9A"/>
    <w:rsid w:val="0029623C"/>
    <w:rsid w:val="0029624E"/>
    <w:rsid w:val="002A018C"/>
    <w:rsid w:val="002A037D"/>
    <w:rsid w:val="002A07A9"/>
    <w:rsid w:val="002A16BA"/>
    <w:rsid w:val="002A20F3"/>
    <w:rsid w:val="002A2C66"/>
    <w:rsid w:val="002A40B6"/>
    <w:rsid w:val="002A738E"/>
    <w:rsid w:val="002A7C37"/>
    <w:rsid w:val="002B2172"/>
    <w:rsid w:val="002B2A1B"/>
    <w:rsid w:val="002B3C10"/>
    <w:rsid w:val="002B4A1A"/>
    <w:rsid w:val="002C00A1"/>
    <w:rsid w:val="002C0F1D"/>
    <w:rsid w:val="002C16BE"/>
    <w:rsid w:val="002C4AF2"/>
    <w:rsid w:val="002C4CC7"/>
    <w:rsid w:val="002C4E2F"/>
    <w:rsid w:val="002C542E"/>
    <w:rsid w:val="002C57C6"/>
    <w:rsid w:val="002C5C24"/>
    <w:rsid w:val="002C64BB"/>
    <w:rsid w:val="002C7A07"/>
    <w:rsid w:val="002D0856"/>
    <w:rsid w:val="002D0F16"/>
    <w:rsid w:val="002D1797"/>
    <w:rsid w:val="002D4002"/>
    <w:rsid w:val="002D4D2D"/>
    <w:rsid w:val="002E1F54"/>
    <w:rsid w:val="002E3A79"/>
    <w:rsid w:val="002E526F"/>
    <w:rsid w:val="002E6C96"/>
    <w:rsid w:val="002F1503"/>
    <w:rsid w:val="002F2245"/>
    <w:rsid w:val="002F26B4"/>
    <w:rsid w:val="002F2D70"/>
    <w:rsid w:val="002F3163"/>
    <w:rsid w:val="002F63B2"/>
    <w:rsid w:val="0030250D"/>
    <w:rsid w:val="00302EDD"/>
    <w:rsid w:val="00303768"/>
    <w:rsid w:val="003061DC"/>
    <w:rsid w:val="00306FF4"/>
    <w:rsid w:val="003079ED"/>
    <w:rsid w:val="00310007"/>
    <w:rsid w:val="00310C5C"/>
    <w:rsid w:val="00311EFF"/>
    <w:rsid w:val="003122C3"/>
    <w:rsid w:val="00314264"/>
    <w:rsid w:val="003142E3"/>
    <w:rsid w:val="0031652F"/>
    <w:rsid w:val="003172DB"/>
    <w:rsid w:val="0031731B"/>
    <w:rsid w:val="00320281"/>
    <w:rsid w:val="0032176F"/>
    <w:rsid w:val="00321D78"/>
    <w:rsid w:val="0032280F"/>
    <w:rsid w:val="0032324A"/>
    <w:rsid w:val="0032427F"/>
    <w:rsid w:val="0032487F"/>
    <w:rsid w:val="00324C51"/>
    <w:rsid w:val="00326195"/>
    <w:rsid w:val="00326678"/>
    <w:rsid w:val="003279ED"/>
    <w:rsid w:val="00327CFB"/>
    <w:rsid w:val="00330240"/>
    <w:rsid w:val="00330F33"/>
    <w:rsid w:val="00334DFF"/>
    <w:rsid w:val="00334E27"/>
    <w:rsid w:val="0033649B"/>
    <w:rsid w:val="00336634"/>
    <w:rsid w:val="0034184B"/>
    <w:rsid w:val="00344A74"/>
    <w:rsid w:val="00351F12"/>
    <w:rsid w:val="003521D3"/>
    <w:rsid w:val="00354009"/>
    <w:rsid w:val="003569A9"/>
    <w:rsid w:val="00357BC6"/>
    <w:rsid w:val="00357CFF"/>
    <w:rsid w:val="00357ECA"/>
    <w:rsid w:val="00360632"/>
    <w:rsid w:val="00362359"/>
    <w:rsid w:val="003645F9"/>
    <w:rsid w:val="00364AAB"/>
    <w:rsid w:val="00370A07"/>
    <w:rsid w:val="00370FEE"/>
    <w:rsid w:val="003712A7"/>
    <w:rsid w:val="00375ACF"/>
    <w:rsid w:val="00375EB0"/>
    <w:rsid w:val="003771C7"/>
    <w:rsid w:val="003776CD"/>
    <w:rsid w:val="003777B5"/>
    <w:rsid w:val="00377868"/>
    <w:rsid w:val="003800CF"/>
    <w:rsid w:val="0038057D"/>
    <w:rsid w:val="00382D1A"/>
    <w:rsid w:val="00382EE8"/>
    <w:rsid w:val="003856F4"/>
    <w:rsid w:val="00385A29"/>
    <w:rsid w:val="00385C7B"/>
    <w:rsid w:val="003864E6"/>
    <w:rsid w:val="00390C2E"/>
    <w:rsid w:val="003967B5"/>
    <w:rsid w:val="003A1AFE"/>
    <w:rsid w:val="003A1B40"/>
    <w:rsid w:val="003A488B"/>
    <w:rsid w:val="003A4C32"/>
    <w:rsid w:val="003A5499"/>
    <w:rsid w:val="003A7596"/>
    <w:rsid w:val="003B1061"/>
    <w:rsid w:val="003B1DCA"/>
    <w:rsid w:val="003B2008"/>
    <w:rsid w:val="003B2D0B"/>
    <w:rsid w:val="003B42D2"/>
    <w:rsid w:val="003B44F9"/>
    <w:rsid w:val="003B5340"/>
    <w:rsid w:val="003B61AA"/>
    <w:rsid w:val="003C09C5"/>
    <w:rsid w:val="003C15C6"/>
    <w:rsid w:val="003C16BF"/>
    <w:rsid w:val="003C22D7"/>
    <w:rsid w:val="003C267D"/>
    <w:rsid w:val="003C2891"/>
    <w:rsid w:val="003C65A1"/>
    <w:rsid w:val="003D1EFE"/>
    <w:rsid w:val="003D3279"/>
    <w:rsid w:val="003D3CC0"/>
    <w:rsid w:val="003D4202"/>
    <w:rsid w:val="003D44CE"/>
    <w:rsid w:val="003D4627"/>
    <w:rsid w:val="003D6A00"/>
    <w:rsid w:val="003E0AEA"/>
    <w:rsid w:val="003E1EED"/>
    <w:rsid w:val="003E3299"/>
    <w:rsid w:val="003E4033"/>
    <w:rsid w:val="003E5C0F"/>
    <w:rsid w:val="003E774E"/>
    <w:rsid w:val="003F00A9"/>
    <w:rsid w:val="003F1276"/>
    <w:rsid w:val="003F48CF"/>
    <w:rsid w:val="003F4E89"/>
    <w:rsid w:val="003F62A8"/>
    <w:rsid w:val="003F6BFA"/>
    <w:rsid w:val="00400651"/>
    <w:rsid w:val="004017B2"/>
    <w:rsid w:val="00401813"/>
    <w:rsid w:val="004040C3"/>
    <w:rsid w:val="004048F5"/>
    <w:rsid w:val="00405BD8"/>
    <w:rsid w:val="0040718F"/>
    <w:rsid w:val="00407C84"/>
    <w:rsid w:val="00411A1B"/>
    <w:rsid w:val="004126A2"/>
    <w:rsid w:val="00414976"/>
    <w:rsid w:val="00416A4B"/>
    <w:rsid w:val="00417BAD"/>
    <w:rsid w:val="00417F6E"/>
    <w:rsid w:val="004230CD"/>
    <w:rsid w:val="00423F84"/>
    <w:rsid w:val="00424382"/>
    <w:rsid w:val="0042530D"/>
    <w:rsid w:val="00430276"/>
    <w:rsid w:val="00431236"/>
    <w:rsid w:val="004316F0"/>
    <w:rsid w:val="00431C38"/>
    <w:rsid w:val="00432B76"/>
    <w:rsid w:val="00433A75"/>
    <w:rsid w:val="00434406"/>
    <w:rsid w:val="00435806"/>
    <w:rsid w:val="004360BE"/>
    <w:rsid w:val="00437803"/>
    <w:rsid w:val="004426B4"/>
    <w:rsid w:val="004435E3"/>
    <w:rsid w:val="00443C08"/>
    <w:rsid w:val="00443D50"/>
    <w:rsid w:val="004445A3"/>
    <w:rsid w:val="0044498D"/>
    <w:rsid w:val="00444FC5"/>
    <w:rsid w:val="00445C96"/>
    <w:rsid w:val="00445D9F"/>
    <w:rsid w:val="00447743"/>
    <w:rsid w:val="00450756"/>
    <w:rsid w:val="00450CEA"/>
    <w:rsid w:val="0045146C"/>
    <w:rsid w:val="00451A8A"/>
    <w:rsid w:val="00451AAD"/>
    <w:rsid w:val="0045499E"/>
    <w:rsid w:val="0045586B"/>
    <w:rsid w:val="004574B5"/>
    <w:rsid w:val="00457E4E"/>
    <w:rsid w:val="004623F2"/>
    <w:rsid w:val="00462ED3"/>
    <w:rsid w:val="00464333"/>
    <w:rsid w:val="004647F0"/>
    <w:rsid w:val="004656BC"/>
    <w:rsid w:val="0046651A"/>
    <w:rsid w:val="0047041F"/>
    <w:rsid w:val="00476131"/>
    <w:rsid w:val="00476E22"/>
    <w:rsid w:val="00477AED"/>
    <w:rsid w:val="00480684"/>
    <w:rsid w:val="004834F0"/>
    <w:rsid w:val="00483EC5"/>
    <w:rsid w:val="0048406B"/>
    <w:rsid w:val="0048730C"/>
    <w:rsid w:val="0048774D"/>
    <w:rsid w:val="00490AAE"/>
    <w:rsid w:val="00491A9B"/>
    <w:rsid w:val="00492020"/>
    <w:rsid w:val="004922EF"/>
    <w:rsid w:val="00492E7A"/>
    <w:rsid w:val="004931A5"/>
    <w:rsid w:val="00494926"/>
    <w:rsid w:val="004950F8"/>
    <w:rsid w:val="00496A92"/>
    <w:rsid w:val="00497044"/>
    <w:rsid w:val="00497231"/>
    <w:rsid w:val="004A045A"/>
    <w:rsid w:val="004A1A4D"/>
    <w:rsid w:val="004A21DB"/>
    <w:rsid w:val="004B0D97"/>
    <w:rsid w:val="004B130D"/>
    <w:rsid w:val="004B2DAB"/>
    <w:rsid w:val="004B5355"/>
    <w:rsid w:val="004B5B3E"/>
    <w:rsid w:val="004B6E05"/>
    <w:rsid w:val="004B7166"/>
    <w:rsid w:val="004C548E"/>
    <w:rsid w:val="004C6ADE"/>
    <w:rsid w:val="004C74E9"/>
    <w:rsid w:val="004D1A55"/>
    <w:rsid w:val="004D1FAD"/>
    <w:rsid w:val="004D2CC0"/>
    <w:rsid w:val="004D2E16"/>
    <w:rsid w:val="004D34F7"/>
    <w:rsid w:val="004D4272"/>
    <w:rsid w:val="004D4EE0"/>
    <w:rsid w:val="004D626D"/>
    <w:rsid w:val="004D6586"/>
    <w:rsid w:val="004D6ECD"/>
    <w:rsid w:val="004D764F"/>
    <w:rsid w:val="004E0098"/>
    <w:rsid w:val="004E085E"/>
    <w:rsid w:val="004E0CE7"/>
    <w:rsid w:val="004E0D77"/>
    <w:rsid w:val="004E115D"/>
    <w:rsid w:val="004E324B"/>
    <w:rsid w:val="004E5018"/>
    <w:rsid w:val="004E78AD"/>
    <w:rsid w:val="004F0543"/>
    <w:rsid w:val="004F10AB"/>
    <w:rsid w:val="004F4BDC"/>
    <w:rsid w:val="004F54AE"/>
    <w:rsid w:val="004F7F5D"/>
    <w:rsid w:val="0050008F"/>
    <w:rsid w:val="00501199"/>
    <w:rsid w:val="005020BC"/>
    <w:rsid w:val="00502B3A"/>
    <w:rsid w:val="00502D9E"/>
    <w:rsid w:val="005033DB"/>
    <w:rsid w:val="005047E6"/>
    <w:rsid w:val="00505041"/>
    <w:rsid w:val="00505D2D"/>
    <w:rsid w:val="00506253"/>
    <w:rsid w:val="00507586"/>
    <w:rsid w:val="00510883"/>
    <w:rsid w:val="00510A73"/>
    <w:rsid w:val="00510E16"/>
    <w:rsid w:val="00511C6E"/>
    <w:rsid w:val="0051280A"/>
    <w:rsid w:val="00513359"/>
    <w:rsid w:val="005150C1"/>
    <w:rsid w:val="005204CE"/>
    <w:rsid w:val="00521326"/>
    <w:rsid w:val="005225E0"/>
    <w:rsid w:val="00524360"/>
    <w:rsid w:val="00524F9F"/>
    <w:rsid w:val="00530A3C"/>
    <w:rsid w:val="00530B9F"/>
    <w:rsid w:val="0053582F"/>
    <w:rsid w:val="0053586E"/>
    <w:rsid w:val="00537BE1"/>
    <w:rsid w:val="0054145E"/>
    <w:rsid w:val="00542345"/>
    <w:rsid w:val="005431B9"/>
    <w:rsid w:val="005438B0"/>
    <w:rsid w:val="00544773"/>
    <w:rsid w:val="00545103"/>
    <w:rsid w:val="005470D4"/>
    <w:rsid w:val="00547ED5"/>
    <w:rsid w:val="00551589"/>
    <w:rsid w:val="005600E7"/>
    <w:rsid w:val="00560478"/>
    <w:rsid w:val="00560CD9"/>
    <w:rsid w:val="00566F35"/>
    <w:rsid w:val="00570C1B"/>
    <w:rsid w:val="00572FD8"/>
    <w:rsid w:val="00573377"/>
    <w:rsid w:val="005748A8"/>
    <w:rsid w:val="00575EF2"/>
    <w:rsid w:val="005769BD"/>
    <w:rsid w:val="0058118D"/>
    <w:rsid w:val="005824BD"/>
    <w:rsid w:val="00583962"/>
    <w:rsid w:val="0058588C"/>
    <w:rsid w:val="00586424"/>
    <w:rsid w:val="005947A9"/>
    <w:rsid w:val="005A11A1"/>
    <w:rsid w:val="005A2246"/>
    <w:rsid w:val="005A3A4D"/>
    <w:rsid w:val="005A3B33"/>
    <w:rsid w:val="005A5AE7"/>
    <w:rsid w:val="005A611C"/>
    <w:rsid w:val="005A617F"/>
    <w:rsid w:val="005B0EEA"/>
    <w:rsid w:val="005B0FF1"/>
    <w:rsid w:val="005B22EB"/>
    <w:rsid w:val="005B35F3"/>
    <w:rsid w:val="005B3B05"/>
    <w:rsid w:val="005B40EC"/>
    <w:rsid w:val="005B6518"/>
    <w:rsid w:val="005B67B3"/>
    <w:rsid w:val="005C00FE"/>
    <w:rsid w:val="005C08B0"/>
    <w:rsid w:val="005C1B9B"/>
    <w:rsid w:val="005C2F2D"/>
    <w:rsid w:val="005C4B8A"/>
    <w:rsid w:val="005C51D9"/>
    <w:rsid w:val="005C6245"/>
    <w:rsid w:val="005C6EB6"/>
    <w:rsid w:val="005D00FB"/>
    <w:rsid w:val="005D0E8C"/>
    <w:rsid w:val="005D1F23"/>
    <w:rsid w:val="005D2580"/>
    <w:rsid w:val="005D27F8"/>
    <w:rsid w:val="005D2979"/>
    <w:rsid w:val="005D3C96"/>
    <w:rsid w:val="005D4126"/>
    <w:rsid w:val="005D5858"/>
    <w:rsid w:val="005D601F"/>
    <w:rsid w:val="005D72F5"/>
    <w:rsid w:val="005D7F3E"/>
    <w:rsid w:val="005E0D21"/>
    <w:rsid w:val="005E2717"/>
    <w:rsid w:val="005E458B"/>
    <w:rsid w:val="005E49F0"/>
    <w:rsid w:val="005E64E2"/>
    <w:rsid w:val="005E67C0"/>
    <w:rsid w:val="005E77BF"/>
    <w:rsid w:val="005F0C29"/>
    <w:rsid w:val="005F0FF9"/>
    <w:rsid w:val="005F26AF"/>
    <w:rsid w:val="005F6244"/>
    <w:rsid w:val="005F63C3"/>
    <w:rsid w:val="005F69B2"/>
    <w:rsid w:val="005F7787"/>
    <w:rsid w:val="005F7E5E"/>
    <w:rsid w:val="00602C2B"/>
    <w:rsid w:val="0060593A"/>
    <w:rsid w:val="00607E5C"/>
    <w:rsid w:val="00610889"/>
    <w:rsid w:val="00610D70"/>
    <w:rsid w:val="00611B7A"/>
    <w:rsid w:val="0061333E"/>
    <w:rsid w:val="0061365F"/>
    <w:rsid w:val="006138F0"/>
    <w:rsid w:val="00613D1F"/>
    <w:rsid w:val="0061410A"/>
    <w:rsid w:val="006145E6"/>
    <w:rsid w:val="0061732D"/>
    <w:rsid w:val="00625B95"/>
    <w:rsid w:val="0062628E"/>
    <w:rsid w:val="006268DA"/>
    <w:rsid w:val="006277D9"/>
    <w:rsid w:val="006279B9"/>
    <w:rsid w:val="00631D5B"/>
    <w:rsid w:val="00631DB2"/>
    <w:rsid w:val="00632221"/>
    <w:rsid w:val="006324E3"/>
    <w:rsid w:val="00632CF6"/>
    <w:rsid w:val="00636F71"/>
    <w:rsid w:val="0063715C"/>
    <w:rsid w:val="00637DF8"/>
    <w:rsid w:val="0064012D"/>
    <w:rsid w:val="00641831"/>
    <w:rsid w:val="00642408"/>
    <w:rsid w:val="0064287A"/>
    <w:rsid w:val="00642AA7"/>
    <w:rsid w:val="00643113"/>
    <w:rsid w:val="006432C9"/>
    <w:rsid w:val="006439C5"/>
    <w:rsid w:val="00643F5D"/>
    <w:rsid w:val="0064483B"/>
    <w:rsid w:val="00644A1E"/>
    <w:rsid w:val="00645147"/>
    <w:rsid w:val="00646879"/>
    <w:rsid w:val="00647318"/>
    <w:rsid w:val="0064747F"/>
    <w:rsid w:val="00647792"/>
    <w:rsid w:val="00650BB3"/>
    <w:rsid w:val="00653968"/>
    <w:rsid w:val="00653B30"/>
    <w:rsid w:val="00653DF4"/>
    <w:rsid w:val="006549E3"/>
    <w:rsid w:val="00654A8F"/>
    <w:rsid w:val="00655938"/>
    <w:rsid w:val="00655B95"/>
    <w:rsid w:val="00657B23"/>
    <w:rsid w:val="00663306"/>
    <w:rsid w:val="00666235"/>
    <w:rsid w:val="006668BE"/>
    <w:rsid w:val="0067008D"/>
    <w:rsid w:val="0067066F"/>
    <w:rsid w:val="00670BB4"/>
    <w:rsid w:val="006761BB"/>
    <w:rsid w:val="0067693E"/>
    <w:rsid w:val="00680AE4"/>
    <w:rsid w:val="00680E36"/>
    <w:rsid w:val="00681022"/>
    <w:rsid w:val="006813D8"/>
    <w:rsid w:val="00681AD9"/>
    <w:rsid w:val="006825C1"/>
    <w:rsid w:val="0068354F"/>
    <w:rsid w:val="0069267E"/>
    <w:rsid w:val="00692908"/>
    <w:rsid w:val="00693FB8"/>
    <w:rsid w:val="00694B4D"/>
    <w:rsid w:val="00694F52"/>
    <w:rsid w:val="00695471"/>
    <w:rsid w:val="006A0C4F"/>
    <w:rsid w:val="006A201E"/>
    <w:rsid w:val="006A308B"/>
    <w:rsid w:val="006A51CC"/>
    <w:rsid w:val="006B0633"/>
    <w:rsid w:val="006B1AFE"/>
    <w:rsid w:val="006B3CCF"/>
    <w:rsid w:val="006B5B6C"/>
    <w:rsid w:val="006B6C5D"/>
    <w:rsid w:val="006C122C"/>
    <w:rsid w:val="006C169A"/>
    <w:rsid w:val="006C1ABC"/>
    <w:rsid w:val="006C35FC"/>
    <w:rsid w:val="006C3EE6"/>
    <w:rsid w:val="006C49A7"/>
    <w:rsid w:val="006D02FD"/>
    <w:rsid w:val="006D1DD6"/>
    <w:rsid w:val="006D209A"/>
    <w:rsid w:val="006D32A0"/>
    <w:rsid w:val="006D40AC"/>
    <w:rsid w:val="006D419B"/>
    <w:rsid w:val="006D48CF"/>
    <w:rsid w:val="006D507A"/>
    <w:rsid w:val="006D5AD4"/>
    <w:rsid w:val="006D5EB5"/>
    <w:rsid w:val="006E07BA"/>
    <w:rsid w:val="006E09D6"/>
    <w:rsid w:val="006E116C"/>
    <w:rsid w:val="006E2065"/>
    <w:rsid w:val="006E7998"/>
    <w:rsid w:val="006F0FC6"/>
    <w:rsid w:val="006F1912"/>
    <w:rsid w:val="006F2CD8"/>
    <w:rsid w:val="006F469E"/>
    <w:rsid w:val="006F49E7"/>
    <w:rsid w:val="006F4B75"/>
    <w:rsid w:val="006F5E82"/>
    <w:rsid w:val="006F615A"/>
    <w:rsid w:val="006F6CBE"/>
    <w:rsid w:val="006F78AE"/>
    <w:rsid w:val="00700983"/>
    <w:rsid w:val="007011B6"/>
    <w:rsid w:val="007014CD"/>
    <w:rsid w:val="0070188F"/>
    <w:rsid w:val="007038BC"/>
    <w:rsid w:val="00707FAA"/>
    <w:rsid w:val="00707FBD"/>
    <w:rsid w:val="00711A8A"/>
    <w:rsid w:val="00712535"/>
    <w:rsid w:val="00713427"/>
    <w:rsid w:val="007135FC"/>
    <w:rsid w:val="00713C66"/>
    <w:rsid w:val="00715A66"/>
    <w:rsid w:val="0071724C"/>
    <w:rsid w:val="007201BD"/>
    <w:rsid w:val="00720250"/>
    <w:rsid w:val="00721715"/>
    <w:rsid w:val="007224AF"/>
    <w:rsid w:val="0072403D"/>
    <w:rsid w:val="00724E7C"/>
    <w:rsid w:val="00725F5E"/>
    <w:rsid w:val="00726531"/>
    <w:rsid w:val="00727B57"/>
    <w:rsid w:val="00731521"/>
    <w:rsid w:val="00731C9B"/>
    <w:rsid w:val="00732DA5"/>
    <w:rsid w:val="00734701"/>
    <w:rsid w:val="00734A5C"/>
    <w:rsid w:val="00734C55"/>
    <w:rsid w:val="007360F8"/>
    <w:rsid w:val="0074084C"/>
    <w:rsid w:val="00741EA6"/>
    <w:rsid w:val="0074205B"/>
    <w:rsid w:val="007442F6"/>
    <w:rsid w:val="007468E9"/>
    <w:rsid w:val="007504CD"/>
    <w:rsid w:val="0075142F"/>
    <w:rsid w:val="00751F72"/>
    <w:rsid w:val="00752DC5"/>
    <w:rsid w:val="007531E4"/>
    <w:rsid w:val="0075460E"/>
    <w:rsid w:val="00755D4C"/>
    <w:rsid w:val="00757AAC"/>
    <w:rsid w:val="00760406"/>
    <w:rsid w:val="00760788"/>
    <w:rsid w:val="00761147"/>
    <w:rsid w:val="00761711"/>
    <w:rsid w:val="00761E4E"/>
    <w:rsid w:val="007635D7"/>
    <w:rsid w:val="0076407C"/>
    <w:rsid w:val="00765445"/>
    <w:rsid w:val="007672BB"/>
    <w:rsid w:val="00767713"/>
    <w:rsid w:val="0077111C"/>
    <w:rsid w:val="007715F2"/>
    <w:rsid w:val="0077267F"/>
    <w:rsid w:val="00773A17"/>
    <w:rsid w:val="00773D8B"/>
    <w:rsid w:val="00775433"/>
    <w:rsid w:val="00775CAF"/>
    <w:rsid w:val="00776789"/>
    <w:rsid w:val="00777594"/>
    <w:rsid w:val="00777AEF"/>
    <w:rsid w:val="00780731"/>
    <w:rsid w:val="00782733"/>
    <w:rsid w:val="00783CD4"/>
    <w:rsid w:val="007908BD"/>
    <w:rsid w:val="0079216E"/>
    <w:rsid w:val="00792837"/>
    <w:rsid w:val="00792F4E"/>
    <w:rsid w:val="00793512"/>
    <w:rsid w:val="00793D58"/>
    <w:rsid w:val="00794EEB"/>
    <w:rsid w:val="00796867"/>
    <w:rsid w:val="00797437"/>
    <w:rsid w:val="007A0B34"/>
    <w:rsid w:val="007A0DBE"/>
    <w:rsid w:val="007A10D2"/>
    <w:rsid w:val="007A1767"/>
    <w:rsid w:val="007A28DD"/>
    <w:rsid w:val="007A3181"/>
    <w:rsid w:val="007A5AC1"/>
    <w:rsid w:val="007A5FB1"/>
    <w:rsid w:val="007A79C7"/>
    <w:rsid w:val="007B1D6E"/>
    <w:rsid w:val="007B25E9"/>
    <w:rsid w:val="007B3734"/>
    <w:rsid w:val="007B3FC0"/>
    <w:rsid w:val="007B5A28"/>
    <w:rsid w:val="007B70AD"/>
    <w:rsid w:val="007C1995"/>
    <w:rsid w:val="007C1F6A"/>
    <w:rsid w:val="007C27FB"/>
    <w:rsid w:val="007C379C"/>
    <w:rsid w:val="007C462A"/>
    <w:rsid w:val="007C47CA"/>
    <w:rsid w:val="007C7030"/>
    <w:rsid w:val="007C7A46"/>
    <w:rsid w:val="007D2341"/>
    <w:rsid w:val="007D4168"/>
    <w:rsid w:val="007D4953"/>
    <w:rsid w:val="007E7D29"/>
    <w:rsid w:val="007F13C1"/>
    <w:rsid w:val="007F13F2"/>
    <w:rsid w:val="007F39BB"/>
    <w:rsid w:val="007F3B7C"/>
    <w:rsid w:val="007F3C9B"/>
    <w:rsid w:val="007F3FEB"/>
    <w:rsid w:val="00802F39"/>
    <w:rsid w:val="008063E6"/>
    <w:rsid w:val="00806989"/>
    <w:rsid w:val="00806C7C"/>
    <w:rsid w:val="00810D9B"/>
    <w:rsid w:val="0081114C"/>
    <w:rsid w:val="00812C6D"/>
    <w:rsid w:val="00813308"/>
    <w:rsid w:val="00813BDA"/>
    <w:rsid w:val="008151D2"/>
    <w:rsid w:val="0081589C"/>
    <w:rsid w:val="00817A10"/>
    <w:rsid w:val="00820175"/>
    <w:rsid w:val="00820839"/>
    <w:rsid w:val="00820FBB"/>
    <w:rsid w:val="008221DF"/>
    <w:rsid w:val="008270C6"/>
    <w:rsid w:val="008275A8"/>
    <w:rsid w:val="00827E73"/>
    <w:rsid w:val="00830B62"/>
    <w:rsid w:val="00830C93"/>
    <w:rsid w:val="00830FDA"/>
    <w:rsid w:val="008312F9"/>
    <w:rsid w:val="00832402"/>
    <w:rsid w:val="00833C00"/>
    <w:rsid w:val="00833C34"/>
    <w:rsid w:val="008343C5"/>
    <w:rsid w:val="00835D87"/>
    <w:rsid w:val="0083655C"/>
    <w:rsid w:val="00836718"/>
    <w:rsid w:val="00837B95"/>
    <w:rsid w:val="00841E4C"/>
    <w:rsid w:val="0084215B"/>
    <w:rsid w:val="00843A6D"/>
    <w:rsid w:val="00844C00"/>
    <w:rsid w:val="00844C47"/>
    <w:rsid w:val="0084500C"/>
    <w:rsid w:val="00845815"/>
    <w:rsid w:val="00845A54"/>
    <w:rsid w:val="0084623F"/>
    <w:rsid w:val="008469D3"/>
    <w:rsid w:val="0084758E"/>
    <w:rsid w:val="008505DA"/>
    <w:rsid w:val="00852673"/>
    <w:rsid w:val="008549A0"/>
    <w:rsid w:val="00856A3C"/>
    <w:rsid w:val="00856B55"/>
    <w:rsid w:val="008611BF"/>
    <w:rsid w:val="0086495E"/>
    <w:rsid w:val="00865CE6"/>
    <w:rsid w:val="00866E5B"/>
    <w:rsid w:val="0086705F"/>
    <w:rsid w:val="00867DEE"/>
    <w:rsid w:val="0087023B"/>
    <w:rsid w:val="00870486"/>
    <w:rsid w:val="00870A3F"/>
    <w:rsid w:val="00874EB4"/>
    <w:rsid w:val="008753B3"/>
    <w:rsid w:val="008758C1"/>
    <w:rsid w:val="00877E97"/>
    <w:rsid w:val="00880210"/>
    <w:rsid w:val="0088079F"/>
    <w:rsid w:val="00881E18"/>
    <w:rsid w:val="00882151"/>
    <w:rsid w:val="0088270D"/>
    <w:rsid w:val="00884819"/>
    <w:rsid w:val="008858AB"/>
    <w:rsid w:val="00885F5C"/>
    <w:rsid w:val="0089048A"/>
    <w:rsid w:val="008914E6"/>
    <w:rsid w:val="0089158B"/>
    <w:rsid w:val="00893320"/>
    <w:rsid w:val="0089335E"/>
    <w:rsid w:val="008945AE"/>
    <w:rsid w:val="008949E0"/>
    <w:rsid w:val="00895516"/>
    <w:rsid w:val="008A2B29"/>
    <w:rsid w:val="008A3594"/>
    <w:rsid w:val="008A3BD9"/>
    <w:rsid w:val="008A49D1"/>
    <w:rsid w:val="008A6F03"/>
    <w:rsid w:val="008A7237"/>
    <w:rsid w:val="008B0385"/>
    <w:rsid w:val="008B135D"/>
    <w:rsid w:val="008B205A"/>
    <w:rsid w:val="008B29F8"/>
    <w:rsid w:val="008B5865"/>
    <w:rsid w:val="008B6FC3"/>
    <w:rsid w:val="008C0820"/>
    <w:rsid w:val="008C1653"/>
    <w:rsid w:val="008C2BC5"/>
    <w:rsid w:val="008C2BEB"/>
    <w:rsid w:val="008C32EA"/>
    <w:rsid w:val="008C51B5"/>
    <w:rsid w:val="008C51CA"/>
    <w:rsid w:val="008C56F9"/>
    <w:rsid w:val="008C628A"/>
    <w:rsid w:val="008C70C5"/>
    <w:rsid w:val="008C73E6"/>
    <w:rsid w:val="008D11CA"/>
    <w:rsid w:val="008D1D0A"/>
    <w:rsid w:val="008D34F0"/>
    <w:rsid w:val="008D5917"/>
    <w:rsid w:val="008D6DC6"/>
    <w:rsid w:val="008D7288"/>
    <w:rsid w:val="008D7843"/>
    <w:rsid w:val="008D7AA2"/>
    <w:rsid w:val="008E1CF4"/>
    <w:rsid w:val="008E3AE9"/>
    <w:rsid w:val="008E4870"/>
    <w:rsid w:val="008E4EEA"/>
    <w:rsid w:val="008E5BA2"/>
    <w:rsid w:val="008E6170"/>
    <w:rsid w:val="008F0316"/>
    <w:rsid w:val="008F10DA"/>
    <w:rsid w:val="008F1741"/>
    <w:rsid w:val="008F1F85"/>
    <w:rsid w:val="008F2BCD"/>
    <w:rsid w:val="008F37D3"/>
    <w:rsid w:val="00900E1A"/>
    <w:rsid w:val="00903000"/>
    <w:rsid w:val="009030D2"/>
    <w:rsid w:val="009032F9"/>
    <w:rsid w:val="00905619"/>
    <w:rsid w:val="00907B62"/>
    <w:rsid w:val="00910FB0"/>
    <w:rsid w:val="00911980"/>
    <w:rsid w:val="009128A0"/>
    <w:rsid w:val="00912A8A"/>
    <w:rsid w:val="009145CD"/>
    <w:rsid w:val="00914D26"/>
    <w:rsid w:val="00916142"/>
    <w:rsid w:val="0091617E"/>
    <w:rsid w:val="00916533"/>
    <w:rsid w:val="00916C78"/>
    <w:rsid w:val="009171AF"/>
    <w:rsid w:val="00917330"/>
    <w:rsid w:val="00917ED3"/>
    <w:rsid w:val="009204AA"/>
    <w:rsid w:val="0092053F"/>
    <w:rsid w:val="00920DA2"/>
    <w:rsid w:val="0092162F"/>
    <w:rsid w:val="0092349F"/>
    <w:rsid w:val="009247BA"/>
    <w:rsid w:val="00924CD9"/>
    <w:rsid w:val="00927D28"/>
    <w:rsid w:val="00933D1D"/>
    <w:rsid w:val="0093554D"/>
    <w:rsid w:val="00935D6E"/>
    <w:rsid w:val="00936595"/>
    <w:rsid w:val="009400E0"/>
    <w:rsid w:val="00940150"/>
    <w:rsid w:val="00940DA9"/>
    <w:rsid w:val="00941E44"/>
    <w:rsid w:val="0094295F"/>
    <w:rsid w:val="00943DB5"/>
    <w:rsid w:val="00943DE8"/>
    <w:rsid w:val="00944ED5"/>
    <w:rsid w:val="00944FB4"/>
    <w:rsid w:val="009455F2"/>
    <w:rsid w:val="00945950"/>
    <w:rsid w:val="00950149"/>
    <w:rsid w:val="009504DA"/>
    <w:rsid w:val="0095079F"/>
    <w:rsid w:val="00950B9D"/>
    <w:rsid w:val="00954846"/>
    <w:rsid w:val="0095529F"/>
    <w:rsid w:val="0095536D"/>
    <w:rsid w:val="00955C0A"/>
    <w:rsid w:val="00955DC8"/>
    <w:rsid w:val="00955E90"/>
    <w:rsid w:val="00956853"/>
    <w:rsid w:val="00957FE5"/>
    <w:rsid w:val="00961692"/>
    <w:rsid w:val="00961F5B"/>
    <w:rsid w:val="00963B04"/>
    <w:rsid w:val="00964A85"/>
    <w:rsid w:val="0096516A"/>
    <w:rsid w:val="009663D6"/>
    <w:rsid w:val="00966A14"/>
    <w:rsid w:val="00967571"/>
    <w:rsid w:val="00970950"/>
    <w:rsid w:val="0097116F"/>
    <w:rsid w:val="009815B6"/>
    <w:rsid w:val="00981F3D"/>
    <w:rsid w:val="00981FBB"/>
    <w:rsid w:val="00982B22"/>
    <w:rsid w:val="0098310A"/>
    <w:rsid w:val="00983612"/>
    <w:rsid w:val="009858E9"/>
    <w:rsid w:val="0098616F"/>
    <w:rsid w:val="0099008F"/>
    <w:rsid w:val="00990A16"/>
    <w:rsid w:val="00990E34"/>
    <w:rsid w:val="0099357E"/>
    <w:rsid w:val="00994CDA"/>
    <w:rsid w:val="00996151"/>
    <w:rsid w:val="00996EBD"/>
    <w:rsid w:val="00997694"/>
    <w:rsid w:val="00997713"/>
    <w:rsid w:val="00997B92"/>
    <w:rsid w:val="00997C54"/>
    <w:rsid w:val="009A292D"/>
    <w:rsid w:val="009A3D0F"/>
    <w:rsid w:val="009A61BE"/>
    <w:rsid w:val="009A71AF"/>
    <w:rsid w:val="009B1546"/>
    <w:rsid w:val="009B16AD"/>
    <w:rsid w:val="009B2A01"/>
    <w:rsid w:val="009B2E56"/>
    <w:rsid w:val="009B3197"/>
    <w:rsid w:val="009B385A"/>
    <w:rsid w:val="009B4BE2"/>
    <w:rsid w:val="009B50E4"/>
    <w:rsid w:val="009B5177"/>
    <w:rsid w:val="009B651F"/>
    <w:rsid w:val="009B7422"/>
    <w:rsid w:val="009C082A"/>
    <w:rsid w:val="009C0F0E"/>
    <w:rsid w:val="009C39E4"/>
    <w:rsid w:val="009C40EF"/>
    <w:rsid w:val="009C4B9E"/>
    <w:rsid w:val="009C5BA8"/>
    <w:rsid w:val="009C66C3"/>
    <w:rsid w:val="009C67CB"/>
    <w:rsid w:val="009D1AC7"/>
    <w:rsid w:val="009D4C7F"/>
    <w:rsid w:val="009D62AC"/>
    <w:rsid w:val="009D71BF"/>
    <w:rsid w:val="009E0348"/>
    <w:rsid w:val="009E25DA"/>
    <w:rsid w:val="009E35D9"/>
    <w:rsid w:val="009E4A1F"/>
    <w:rsid w:val="009E5241"/>
    <w:rsid w:val="009E5A32"/>
    <w:rsid w:val="009E68C6"/>
    <w:rsid w:val="009E77DC"/>
    <w:rsid w:val="009F23C4"/>
    <w:rsid w:val="009F2483"/>
    <w:rsid w:val="009F42CC"/>
    <w:rsid w:val="009F4574"/>
    <w:rsid w:val="009F603E"/>
    <w:rsid w:val="009F6C5C"/>
    <w:rsid w:val="009F75B1"/>
    <w:rsid w:val="009F7F15"/>
    <w:rsid w:val="00A00A3F"/>
    <w:rsid w:val="00A0130D"/>
    <w:rsid w:val="00A01C9D"/>
    <w:rsid w:val="00A03316"/>
    <w:rsid w:val="00A043BB"/>
    <w:rsid w:val="00A0483D"/>
    <w:rsid w:val="00A04EFA"/>
    <w:rsid w:val="00A06706"/>
    <w:rsid w:val="00A06A3E"/>
    <w:rsid w:val="00A076DB"/>
    <w:rsid w:val="00A10891"/>
    <w:rsid w:val="00A109C3"/>
    <w:rsid w:val="00A15DC3"/>
    <w:rsid w:val="00A16ACF"/>
    <w:rsid w:val="00A16BB2"/>
    <w:rsid w:val="00A17472"/>
    <w:rsid w:val="00A2147D"/>
    <w:rsid w:val="00A222CA"/>
    <w:rsid w:val="00A22E43"/>
    <w:rsid w:val="00A250C7"/>
    <w:rsid w:val="00A251CD"/>
    <w:rsid w:val="00A25823"/>
    <w:rsid w:val="00A25D4F"/>
    <w:rsid w:val="00A2601A"/>
    <w:rsid w:val="00A27141"/>
    <w:rsid w:val="00A303D5"/>
    <w:rsid w:val="00A3095F"/>
    <w:rsid w:val="00A310EA"/>
    <w:rsid w:val="00A322AA"/>
    <w:rsid w:val="00A327F6"/>
    <w:rsid w:val="00A34DB9"/>
    <w:rsid w:val="00A35731"/>
    <w:rsid w:val="00A40E31"/>
    <w:rsid w:val="00A444F9"/>
    <w:rsid w:val="00A446F8"/>
    <w:rsid w:val="00A449FC"/>
    <w:rsid w:val="00A44AB6"/>
    <w:rsid w:val="00A46C4A"/>
    <w:rsid w:val="00A479E8"/>
    <w:rsid w:val="00A50FB7"/>
    <w:rsid w:val="00A527AC"/>
    <w:rsid w:val="00A55021"/>
    <w:rsid w:val="00A6009C"/>
    <w:rsid w:val="00A60B49"/>
    <w:rsid w:val="00A611F1"/>
    <w:rsid w:val="00A6165E"/>
    <w:rsid w:val="00A6376F"/>
    <w:rsid w:val="00A648DB"/>
    <w:rsid w:val="00A675D3"/>
    <w:rsid w:val="00A67929"/>
    <w:rsid w:val="00A67F1D"/>
    <w:rsid w:val="00A719DB"/>
    <w:rsid w:val="00A72E1B"/>
    <w:rsid w:val="00A73EA9"/>
    <w:rsid w:val="00A744E9"/>
    <w:rsid w:val="00A750AB"/>
    <w:rsid w:val="00A7662B"/>
    <w:rsid w:val="00A80BBA"/>
    <w:rsid w:val="00A81A40"/>
    <w:rsid w:val="00A83037"/>
    <w:rsid w:val="00A842EA"/>
    <w:rsid w:val="00A8572B"/>
    <w:rsid w:val="00A85894"/>
    <w:rsid w:val="00A86808"/>
    <w:rsid w:val="00A874DA"/>
    <w:rsid w:val="00A90B4F"/>
    <w:rsid w:val="00A90F77"/>
    <w:rsid w:val="00A9178C"/>
    <w:rsid w:val="00A92286"/>
    <w:rsid w:val="00A9270B"/>
    <w:rsid w:val="00A9286D"/>
    <w:rsid w:val="00A94E9C"/>
    <w:rsid w:val="00AA12E1"/>
    <w:rsid w:val="00AA1706"/>
    <w:rsid w:val="00AA44FD"/>
    <w:rsid w:val="00AA678E"/>
    <w:rsid w:val="00AB1006"/>
    <w:rsid w:val="00AB36F7"/>
    <w:rsid w:val="00AB5197"/>
    <w:rsid w:val="00AB65FC"/>
    <w:rsid w:val="00AC2B3D"/>
    <w:rsid w:val="00AC2CCA"/>
    <w:rsid w:val="00AC40A4"/>
    <w:rsid w:val="00AC59ED"/>
    <w:rsid w:val="00AC689E"/>
    <w:rsid w:val="00AC7102"/>
    <w:rsid w:val="00AC7EB8"/>
    <w:rsid w:val="00AD01B6"/>
    <w:rsid w:val="00AD2D9B"/>
    <w:rsid w:val="00AD7ADC"/>
    <w:rsid w:val="00AE1B50"/>
    <w:rsid w:val="00AE29C6"/>
    <w:rsid w:val="00AE37EB"/>
    <w:rsid w:val="00AE59EE"/>
    <w:rsid w:val="00AF2318"/>
    <w:rsid w:val="00AF35DD"/>
    <w:rsid w:val="00AF3D11"/>
    <w:rsid w:val="00AF429C"/>
    <w:rsid w:val="00B008D0"/>
    <w:rsid w:val="00B01508"/>
    <w:rsid w:val="00B01533"/>
    <w:rsid w:val="00B02076"/>
    <w:rsid w:val="00B02D74"/>
    <w:rsid w:val="00B116CA"/>
    <w:rsid w:val="00B119E3"/>
    <w:rsid w:val="00B17241"/>
    <w:rsid w:val="00B172E7"/>
    <w:rsid w:val="00B17A6D"/>
    <w:rsid w:val="00B17B6A"/>
    <w:rsid w:val="00B2040D"/>
    <w:rsid w:val="00B2307D"/>
    <w:rsid w:val="00B24D13"/>
    <w:rsid w:val="00B25D14"/>
    <w:rsid w:val="00B26EA0"/>
    <w:rsid w:val="00B26FF9"/>
    <w:rsid w:val="00B27C9F"/>
    <w:rsid w:val="00B31727"/>
    <w:rsid w:val="00B31FC9"/>
    <w:rsid w:val="00B32129"/>
    <w:rsid w:val="00B34132"/>
    <w:rsid w:val="00B35751"/>
    <w:rsid w:val="00B35FDB"/>
    <w:rsid w:val="00B365E9"/>
    <w:rsid w:val="00B366B7"/>
    <w:rsid w:val="00B36BFA"/>
    <w:rsid w:val="00B407CD"/>
    <w:rsid w:val="00B45DFF"/>
    <w:rsid w:val="00B4685F"/>
    <w:rsid w:val="00B510B9"/>
    <w:rsid w:val="00B52948"/>
    <w:rsid w:val="00B56D03"/>
    <w:rsid w:val="00B606FC"/>
    <w:rsid w:val="00B6163A"/>
    <w:rsid w:val="00B61D3D"/>
    <w:rsid w:val="00B62037"/>
    <w:rsid w:val="00B67769"/>
    <w:rsid w:val="00B703DE"/>
    <w:rsid w:val="00B72658"/>
    <w:rsid w:val="00B72927"/>
    <w:rsid w:val="00B74387"/>
    <w:rsid w:val="00B752BD"/>
    <w:rsid w:val="00B757D8"/>
    <w:rsid w:val="00B76782"/>
    <w:rsid w:val="00B76C30"/>
    <w:rsid w:val="00B82B92"/>
    <w:rsid w:val="00B83B0D"/>
    <w:rsid w:val="00B83B33"/>
    <w:rsid w:val="00B90874"/>
    <w:rsid w:val="00B92DF9"/>
    <w:rsid w:val="00B92E7B"/>
    <w:rsid w:val="00B9319A"/>
    <w:rsid w:val="00B95E66"/>
    <w:rsid w:val="00B96009"/>
    <w:rsid w:val="00B96161"/>
    <w:rsid w:val="00B96DDB"/>
    <w:rsid w:val="00BA1266"/>
    <w:rsid w:val="00BA3C62"/>
    <w:rsid w:val="00BA5C29"/>
    <w:rsid w:val="00BA5FF0"/>
    <w:rsid w:val="00BA6343"/>
    <w:rsid w:val="00BA7E44"/>
    <w:rsid w:val="00BA7E74"/>
    <w:rsid w:val="00BB011A"/>
    <w:rsid w:val="00BB05D5"/>
    <w:rsid w:val="00BB0912"/>
    <w:rsid w:val="00BB208E"/>
    <w:rsid w:val="00BB27EB"/>
    <w:rsid w:val="00BB3448"/>
    <w:rsid w:val="00BB3CF6"/>
    <w:rsid w:val="00BB3FE6"/>
    <w:rsid w:val="00BB5725"/>
    <w:rsid w:val="00BC1EF8"/>
    <w:rsid w:val="00BC3613"/>
    <w:rsid w:val="00BC42E1"/>
    <w:rsid w:val="00BC71D9"/>
    <w:rsid w:val="00BD00B2"/>
    <w:rsid w:val="00BD0800"/>
    <w:rsid w:val="00BD3B96"/>
    <w:rsid w:val="00BD51DF"/>
    <w:rsid w:val="00BD5C34"/>
    <w:rsid w:val="00BD6621"/>
    <w:rsid w:val="00BD6EC8"/>
    <w:rsid w:val="00BD7ACC"/>
    <w:rsid w:val="00BD7F4E"/>
    <w:rsid w:val="00BE0415"/>
    <w:rsid w:val="00BE06CE"/>
    <w:rsid w:val="00BE1622"/>
    <w:rsid w:val="00BE280E"/>
    <w:rsid w:val="00BE5BD1"/>
    <w:rsid w:val="00BE6B05"/>
    <w:rsid w:val="00BE6CCA"/>
    <w:rsid w:val="00BE7C49"/>
    <w:rsid w:val="00BF1EC4"/>
    <w:rsid w:val="00BF4F25"/>
    <w:rsid w:val="00BF59B3"/>
    <w:rsid w:val="00BF69CA"/>
    <w:rsid w:val="00BF7DA2"/>
    <w:rsid w:val="00C027D4"/>
    <w:rsid w:val="00C066D2"/>
    <w:rsid w:val="00C10F5A"/>
    <w:rsid w:val="00C116E8"/>
    <w:rsid w:val="00C11B5A"/>
    <w:rsid w:val="00C126FC"/>
    <w:rsid w:val="00C1422A"/>
    <w:rsid w:val="00C14C86"/>
    <w:rsid w:val="00C157AD"/>
    <w:rsid w:val="00C167CC"/>
    <w:rsid w:val="00C16B82"/>
    <w:rsid w:val="00C21163"/>
    <w:rsid w:val="00C21BB8"/>
    <w:rsid w:val="00C21E02"/>
    <w:rsid w:val="00C2295B"/>
    <w:rsid w:val="00C271EE"/>
    <w:rsid w:val="00C271FA"/>
    <w:rsid w:val="00C32789"/>
    <w:rsid w:val="00C34C5C"/>
    <w:rsid w:val="00C34D9B"/>
    <w:rsid w:val="00C35660"/>
    <w:rsid w:val="00C411D5"/>
    <w:rsid w:val="00C43EBE"/>
    <w:rsid w:val="00C46CB1"/>
    <w:rsid w:val="00C5056E"/>
    <w:rsid w:val="00C50FD5"/>
    <w:rsid w:val="00C51BB1"/>
    <w:rsid w:val="00C53444"/>
    <w:rsid w:val="00C56C6E"/>
    <w:rsid w:val="00C575C9"/>
    <w:rsid w:val="00C57749"/>
    <w:rsid w:val="00C60221"/>
    <w:rsid w:val="00C60FB5"/>
    <w:rsid w:val="00C6130D"/>
    <w:rsid w:val="00C6689E"/>
    <w:rsid w:val="00C67B75"/>
    <w:rsid w:val="00C71FB7"/>
    <w:rsid w:val="00C7220A"/>
    <w:rsid w:val="00C73CC1"/>
    <w:rsid w:val="00C7426A"/>
    <w:rsid w:val="00C742C7"/>
    <w:rsid w:val="00C75096"/>
    <w:rsid w:val="00C754E1"/>
    <w:rsid w:val="00C757D6"/>
    <w:rsid w:val="00C7698F"/>
    <w:rsid w:val="00C80462"/>
    <w:rsid w:val="00C807B2"/>
    <w:rsid w:val="00C813E4"/>
    <w:rsid w:val="00C82B14"/>
    <w:rsid w:val="00C850EC"/>
    <w:rsid w:val="00C86475"/>
    <w:rsid w:val="00C87C00"/>
    <w:rsid w:val="00C9003F"/>
    <w:rsid w:val="00C900F9"/>
    <w:rsid w:val="00C9036E"/>
    <w:rsid w:val="00C957E5"/>
    <w:rsid w:val="00C97FD1"/>
    <w:rsid w:val="00CA234B"/>
    <w:rsid w:val="00CA77D7"/>
    <w:rsid w:val="00CA7D4F"/>
    <w:rsid w:val="00CB0E7B"/>
    <w:rsid w:val="00CB1AD7"/>
    <w:rsid w:val="00CB1F15"/>
    <w:rsid w:val="00CB3462"/>
    <w:rsid w:val="00CB4102"/>
    <w:rsid w:val="00CB41BA"/>
    <w:rsid w:val="00CB62F9"/>
    <w:rsid w:val="00CB72D1"/>
    <w:rsid w:val="00CB767C"/>
    <w:rsid w:val="00CB76B6"/>
    <w:rsid w:val="00CC0355"/>
    <w:rsid w:val="00CC1FD7"/>
    <w:rsid w:val="00CC2AF9"/>
    <w:rsid w:val="00CC3A3A"/>
    <w:rsid w:val="00CC3EAD"/>
    <w:rsid w:val="00CC44D3"/>
    <w:rsid w:val="00CC4C99"/>
    <w:rsid w:val="00CC5784"/>
    <w:rsid w:val="00CC79C0"/>
    <w:rsid w:val="00CC7EF6"/>
    <w:rsid w:val="00CD01B5"/>
    <w:rsid w:val="00CD1A86"/>
    <w:rsid w:val="00CD2067"/>
    <w:rsid w:val="00CD2C46"/>
    <w:rsid w:val="00CD37C9"/>
    <w:rsid w:val="00CD49E9"/>
    <w:rsid w:val="00CD4E6F"/>
    <w:rsid w:val="00CD6778"/>
    <w:rsid w:val="00CD6CF2"/>
    <w:rsid w:val="00CD6D68"/>
    <w:rsid w:val="00CE0B83"/>
    <w:rsid w:val="00CE2DF7"/>
    <w:rsid w:val="00CE6E39"/>
    <w:rsid w:val="00CF365B"/>
    <w:rsid w:val="00CF5053"/>
    <w:rsid w:val="00CF506B"/>
    <w:rsid w:val="00CF5773"/>
    <w:rsid w:val="00CF7180"/>
    <w:rsid w:val="00CF7798"/>
    <w:rsid w:val="00D00754"/>
    <w:rsid w:val="00D0155A"/>
    <w:rsid w:val="00D01A3E"/>
    <w:rsid w:val="00D0727A"/>
    <w:rsid w:val="00D07713"/>
    <w:rsid w:val="00D10C44"/>
    <w:rsid w:val="00D1282D"/>
    <w:rsid w:val="00D136A7"/>
    <w:rsid w:val="00D147ED"/>
    <w:rsid w:val="00D1686E"/>
    <w:rsid w:val="00D23363"/>
    <w:rsid w:val="00D24254"/>
    <w:rsid w:val="00D2454F"/>
    <w:rsid w:val="00D255C4"/>
    <w:rsid w:val="00D25778"/>
    <w:rsid w:val="00D257C1"/>
    <w:rsid w:val="00D26301"/>
    <w:rsid w:val="00D266AE"/>
    <w:rsid w:val="00D32C5D"/>
    <w:rsid w:val="00D336A0"/>
    <w:rsid w:val="00D34702"/>
    <w:rsid w:val="00D3553D"/>
    <w:rsid w:val="00D3771C"/>
    <w:rsid w:val="00D417C5"/>
    <w:rsid w:val="00D430ED"/>
    <w:rsid w:val="00D4385D"/>
    <w:rsid w:val="00D43C22"/>
    <w:rsid w:val="00D4418E"/>
    <w:rsid w:val="00D44562"/>
    <w:rsid w:val="00D45167"/>
    <w:rsid w:val="00D4574F"/>
    <w:rsid w:val="00D463B7"/>
    <w:rsid w:val="00D4648E"/>
    <w:rsid w:val="00D46884"/>
    <w:rsid w:val="00D468FA"/>
    <w:rsid w:val="00D4719D"/>
    <w:rsid w:val="00D50220"/>
    <w:rsid w:val="00D50428"/>
    <w:rsid w:val="00D51BB3"/>
    <w:rsid w:val="00D52EA8"/>
    <w:rsid w:val="00D53424"/>
    <w:rsid w:val="00D54395"/>
    <w:rsid w:val="00D60463"/>
    <w:rsid w:val="00D60AAF"/>
    <w:rsid w:val="00D60D3E"/>
    <w:rsid w:val="00D617A2"/>
    <w:rsid w:val="00D63430"/>
    <w:rsid w:val="00D64700"/>
    <w:rsid w:val="00D64ADA"/>
    <w:rsid w:val="00D65AAD"/>
    <w:rsid w:val="00D67F66"/>
    <w:rsid w:val="00D713C3"/>
    <w:rsid w:val="00D71D22"/>
    <w:rsid w:val="00D732A9"/>
    <w:rsid w:val="00D7363D"/>
    <w:rsid w:val="00D76361"/>
    <w:rsid w:val="00D803A1"/>
    <w:rsid w:val="00D81D89"/>
    <w:rsid w:val="00D83AB7"/>
    <w:rsid w:val="00D8482B"/>
    <w:rsid w:val="00D8592B"/>
    <w:rsid w:val="00D875B3"/>
    <w:rsid w:val="00D90931"/>
    <w:rsid w:val="00D91919"/>
    <w:rsid w:val="00D92A1A"/>
    <w:rsid w:val="00D9362E"/>
    <w:rsid w:val="00D94A3B"/>
    <w:rsid w:val="00D95031"/>
    <w:rsid w:val="00D95EA2"/>
    <w:rsid w:val="00D9649B"/>
    <w:rsid w:val="00D976E9"/>
    <w:rsid w:val="00DA0C5D"/>
    <w:rsid w:val="00DA1849"/>
    <w:rsid w:val="00DA1AC1"/>
    <w:rsid w:val="00DA4C48"/>
    <w:rsid w:val="00DA5524"/>
    <w:rsid w:val="00DA618C"/>
    <w:rsid w:val="00DA6E52"/>
    <w:rsid w:val="00DA7F08"/>
    <w:rsid w:val="00DB274A"/>
    <w:rsid w:val="00DB27CB"/>
    <w:rsid w:val="00DB320D"/>
    <w:rsid w:val="00DB4A16"/>
    <w:rsid w:val="00DB5024"/>
    <w:rsid w:val="00DB5518"/>
    <w:rsid w:val="00DB5EFB"/>
    <w:rsid w:val="00DB6C1E"/>
    <w:rsid w:val="00DC0056"/>
    <w:rsid w:val="00DC0B1C"/>
    <w:rsid w:val="00DC2AAD"/>
    <w:rsid w:val="00DC2C8D"/>
    <w:rsid w:val="00DC2DF9"/>
    <w:rsid w:val="00DC4167"/>
    <w:rsid w:val="00DC51C1"/>
    <w:rsid w:val="00DC6FC3"/>
    <w:rsid w:val="00DD00FB"/>
    <w:rsid w:val="00DD1374"/>
    <w:rsid w:val="00DD2D75"/>
    <w:rsid w:val="00DD4D85"/>
    <w:rsid w:val="00DD5ECD"/>
    <w:rsid w:val="00DD65C3"/>
    <w:rsid w:val="00DD6EE1"/>
    <w:rsid w:val="00DE251C"/>
    <w:rsid w:val="00DE57B8"/>
    <w:rsid w:val="00DE613A"/>
    <w:rsid w:val="00DF08BD"/>
    <w:rsid w:val="00DF1057"/>
    <w:rsid w:val="00DF44DE"/>
    <w:rsid w:val="00DF5012"/>
    <w:rsid w:val="00DF51D0"/>
    <w:rsid w:val="00DF6327"/>
    <w:rsid w:val="00E00E60"/>
    <w:rsid w:val="00E03417"/>
    <w:rsid w:val="00E03972"/>
    <w:rsid w:val="00E04EFE"/>
    <w:rsid w:val="00E055CA"/>
    <w:rsid w:val="00E05DE7"/>
    <w:rsid w:val="00E0602A"/>
    <w:rsid w:val="00E0647D"/>
    <w:rsid w:val="00E07DD7"/>
    <w:rsid w:val="00E109EA"/>
    <w:rsid w:val="00E1203D"/>
    <w:rsid w:val="00E122C5"/>
    <w:rsid w:val="00E13456"/>
    <w:rsid w:val="00E14637"/>
    <w:rsid w:val="00E17CED"/>
    <w:rsid w:val="00E21E9E"/>
    <w:rsid w:val="00E2254F"/>
    <w:rsid w:val="00E22DFD"/>
    <w:rsid w:val="00E23E54"/>
    <w:rsid w:val="00E24D8F"/>
    <w:rsid w:val="00E25A25"/>
    <w:rsid w:val="00E25E04"/>
    <w:rsid w:val="00E265D5"/>
    <w:rsid w:val="00E26B09"/>
    <w:rsid w:val="00E27199"/>
    <w:rsid w:val="00E306CB"/>
    <w:rsid w:val="00E34383"/>
    <w:rsid w:val="00E3778C"/>
    <w:rsid w:val="00E37C95"/>
    <w:rsid w:val="00E40827"/>
    <w:rsid w:val="00E40BEF"/>
    <w:rsid w:val="00E40CBC"/>
    <w:rsid w:val="00E40DD5"/>
    <w:rsid w:val="00E41840"/>
    <w:rsid w:val="00E41A80"/>
    <w:rsid w:val="00E431D7"/>
    <w:rsid w:val="00E4681E"/>
    <w:rsid w:val="00E500FB"/>
    <w:rsid w:val="00E5060B"/>
    <w:rsid w:val="00E540BC"/>
    <w:rsid w:val="00E565C5"/>
    <w:rsid w:val="00E57043"/>
    <w:rsid w:val="00E5723B"/>
    <w:rsid w:val="00E6119A"/>
    <w:rsid w:val="00E631F0"/>
    <w:rsid w:val="00E634D2"/>
    <w:rsid w:val="00E63F6E"/>
    <w:rsid w:val="00E64271"/>
    <w:rsid w:val="00E658A1"/>
    <w:rsid w:val="00E662EF"/>
    <w:rsid w:val="00E66594"/>
    <w:rsid w:val="00E667CB"/>
    <w:rsid w:val="00E66F64"/>
    <w:rsid w:val="00E67DCD"/>
    <w:rsid w:val="00E7272A"/>
    <w:rsid w:val="00E72925"/>
    <w:rsid w:val="00E7345F"/>
    <w:rsid w:val="00E750CC"/>
    <w:rsid w:val="00E77CAA"/>
    <w:rsid w:val="00E82940"/>
    <w:rsid w:val="00E83A84"/>
    <w:rsid w:val="00E85F3F"/>
    <w:rsid w:val="00E91593"/>
    <w:rsid w:val="00E92CAC"/>
    <w:rsid w:val="00E93ADB"/>
    <w:rsid w:val="00E94716"/>
    <w:rsid w:val="00EA0452"/>
    <w:rsid w:val="00EA0ED2"/>
    <w:rsid w:val="00EA2492"/>
    <w:rsid w:val="00EA64AF"/>
    <w:rsid w:val="00EA7527"/>
    <w:rsid w:val="00EA7C2D"/>
    <w:rsid w:val="00EB2C83"/>
    <w:rsid w:val="00EB3A96"/>
    <w:rsid w:val="00EB476F"/>
    <w:rsid w:val="00EB52B3"/>
    <w:rsid w:val="00EB5882"/>
    <w:rsid w:val="00EB7361"/>
    <w:rsid w:val="00EB7390"/>
    <w:rsid w:val="00EC1186"/>
    <w:rsid w:val="00EC136E"/>
    <w:rsid w:val="00EC2814"/>
    <w:rsid w:val="00EC37CB"/>
    <w:rsid w:val="00EC52FE"/>
    <w:rsid w:val="00EC59BA"/>
    <w:rsid w:val="00EC7241"/>
    <w:rsid w:val="00ED05FF"/>
    <w:rsid w:val="00ED0762"/>
    <w:rsid w:val="00ED07F9"/>
    <w:rsid w:val="00ED1313"/>
    <w:rsid w:val="00ED266F"/>
    <w:rsid w:val="00ED2FFE"/>
    <w:rsid w:val="00ED3807"/>
    <w:rsid w:val="00ED5E21"/>
    <w:rsid w:val="00ED61A8"/>
    <w:rsid w:val="00ED7062"/>
    <w:rsid w:val="00ED7C24"/>
    <w:rsid w:val="00ED7C53"/>
    <w:rsid w:val="00EE0633"/>
    <w:rsid w:val="00EE086D"/>
    <w:rsid w:val="00EE150B"/>
    <w:rsid w:val="00EE1BE5"/>
    <w:rsid w:val="00EE4425"/>
    <w:rsid w:val="00EE4795"/>
    <w:rsid w:val="00EE5E74"/>
    <w:rsid w:val="00EF09A7"/>
    <w:rsid w:val="00EF0DDA"/>
    <w:rsid w:val="00EF1154"/>
    <w:rsid w:val="00EF1E78"/>
    <w:rsid w:val="00EF29EC"/>
    <w:rsid w:val="00EF37F0"/>
    <w:rsid w:val="00EF4737"/>
    <w:rsid w:val="00EF6FEB"/>
    <w:rsid w:val="00EF7154"/>
    <w:rsid w:val="00F0076E"/>
    <w:rsid w:val="00F00B96"/>
    <w:rsid w:val="00F00FB7"/>
    <w:rsid w:val="00F022E0"/>
    <w:rsid w:val="00F0425A"/>
    <w:rsid w:val="00F0654E"/>
    <w:rsid w:val="00F07437"/>
    <w:rsid w:val="00F07BC3"/>
    <w:rsid w:val="00F1125F"/>
    <w:rsid w:val="00F118B1"/>
    <w:rsid w:val="00F11E6D"/>
    <w:rsid w:val="00F12F32"/>
    <w:rsid w:val="00F136EE"/>
    <w:rsid w:val="00F15A67"/>
    <w:rsid w:val="00F165EE"/>
    <w:rsid w:val="00F22A71"/>
    <w:rsid w:val="00F24C99"/>
    <w:rsid w:val="00F25256"/>
    <w:rsid w:val="00F259FE"/>
    <w:rsid w:val="00F27D86"/>
    <w:rsid w:val="00F30329"/>
    <w:rsid w:val="00F30CFB"/>
    <w:rsid w:val="00F31077"/>
    <w:rsid w:val="00F31726"/>
    <w:rsid w:val="00F31E52"/>
    <w:rsid w:val="00F320E7"/>
    <w:rsid w:val="00F32A84"/>
    <w:rsid w:val="00F33EED"/>
    <w:rsid w:val="00F3508B"/>
    <w:rsid w:val="00F36F06"/>
    <w:rsid w:val="00F41E19"/>
    <w:rsid w:val="00F4227E"/>
    <w:rsid w:val="00F43521"/>
    <w:rsid w:val="00F43C5B"/>
    <w:rsid w:val="00F441A2"/>
    <w:rsid w:val="00F44E44"/>
    <w:rsid w:val="00F453E2"/>
    <w:rsid w:val="00F46A54"/>
    <w:rsid w:val="00F47801"/>
    <w:rsid w:val="00F50705"/>
    <w:rsid w:val="00F5130C"/>
    <w:rsid w:val="00F524F5"/>
    <w:rsid w:val="00F5534B"/>
    <w:rsid w:val="00F63CEC"/>
    <w:rsid w:val="00F63DCE"/>
    <w:rsid w:val="00F646E5"/>
    <w:rsid w:val="00F65C09"/>
    <w:rsid w:val="00F676BF"/>
    <w:rsid w:val="00F67A16"/>
    <w:rsid w:val="00F67B66"/>
    <w:rsid w:val="00F7049F"/>
    <w:rsid w:val="00F70EC7"/>
    <w:rsid w:val="00F71F60"/>
    <w:rsid w:val="00F72AAB"/>
    <w:rsid w:val="00F7384F"/>
    <w:rsid w:val="00F75FED"/>
    <w:rsid w:val="00F80CE2"/>
    <w:rsid w:val="00F80F23"/>
    <w:rsid w:val="00F823F7"/>
    <w:rsid w:val="00F83779"/>
    <w:rsid w:val="00F85F95"/>
    <w:rsid w:val="00F87405"/>
    <w:rsid w:val="00F9160B"/>
    <w:rsid w:val="00F939BE"/>
    <w:rsid w:val="00F94070"/>
    <w:rsid w:val="00F94113"/>
    <w:rsid w:val="00F9530C"/>
    <w:rsid w:val="00F955C9"/>
    <w:rsid w:val="00F96D44"/>
    <w:rsid w:val="00F9745E"/>
    <w:rsid w:val="00F97520"/>
    <w:rsid w:val="00FA1A2D"/>
    <w:rsid w:val="00FA206C"/>
    <w:rsid w:val="00FA2070"/>
    <w:rsid w:val="00FA34AD"/>
    <w:rsid w:val="00FA63BA"/>
    <w:rsid w:val="00FA662C"/>
    <w:rsid w:val="00FA7FAC"/>
    <w:rsid w:val="00FB3FBF"/>
    <w:rsid w:val="00FB5611"/>
    <w:rsid w:val="00FB6066"/>
    <w:rsid w:val="00FB701E"/>
    <w:rsid w:val="00FC00B2"/>
    <w:rsid w:val="00FC0F20"/>
    <w:rsid w:val="00FC1D95"/>
    <w:rsid w:val="00FC5B54"/>
    <w:rsid w:val="00FD2267"/>
    <w:rsid w:val="00FD35CE"/>
    <w:rsid w:val="00FD575D"/>
    <w:rsid w:val="00FD7B4A"/>
    <w:rsid w:val="00FE2B4A"/>
    <w:rsid w:val="00FE2EDF"/>
    <w:rsid w:val="00FE385C"/>
    <w:rsid w:val="00FE720B"/>
    <w:rsid w:val="00FE7DE5"/>
    <w:rsid w:val="00FF0884"/>
    <w:rsid w:val="00FF13E3"/>
    <w:rsid w:val="00FF2649"/>
    <w:rsid w:val="00FF7C43"/>
    <w:rsid w:val="03557780"/>
    <w:rsid w:val="161DEB7A"/>
    <w:rsid w:val="2A3270FE"/>
    <w:rsid w:val="2D9D1309"/>
    <w:rsid w:val="3117203B"/>
    <w:rsid w:val="395F93F0"/>
    <w:rsid w:val="3A5672DA"/>
    <w:rsid w:val="4853BCFF"/>
    <w:rsid w:val="625ADE89"/>
    <w:rsid w:val="647E4B57"/>
    <w:rsid w:val="65A2823C"/>
    <w:rsid w:val="75C7ED0D"/>
    <w:rsid w:val="7B7B39BC"/>
    <w:rsid w:val="7F592662"/>
  </w:rsids>
  <m:mathPr>
    <m:mathFont m:val="Cambria Math"/>
    <m:brkBin m:val="before"/>
    <m:brkBinSub m:val="--"/>
    <m:smallFrac/>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C77F0"/>
  <w15:docId w15:val="{1F8F41A3-3DB4-A74D-8D60-FA2D3A2D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713"/>
    <w:pPr>
      <w:spacing w:after="0" w:line="240" w:lineRule="auto"/>
    </w:pPr>
    <w:rPr>
      <w:rFonts w:ascii="Times New Roman"/>
      <w:sz w:val="24"/>
      <w:szCs w:val="24"/>
      <w:lang w:val="tr-TR" w:eastAsia="tr-TR"/>
    </w:rPr>
  </w:style>
  <w:style w:type="paragraph" w:styleId="Heading1">
    <w:name w:val="heading 1"/>
    <w:basedOn w:val="Normal"/>
    <w:next w:val="Normal"/>
    <w:link w:val="Heading1Char"/>
    <w:uiPriority w:val="99"/>
    <w:qFormat/>
    <w:rsid w:val="00D07713"/>
    <w:pPr>
      <w:keepNext/>
      <w:tabs>
        <w:tab w:val="num" w:pos="432"/>
      </w:tabs>
      <w:suppressAutoHyphens/>
      <w:ind w:left="432" w:hanging="432"/>
      <w:jc w:val="center"/>
      <w:outlineLvl w:val="0"/>
    </w:pPr>
    <w:rPr>
      <w:rFonts w:ascii="Arial" w:hAnsi="Arial" w:cs="Arial"/>
      <w:b/>
      <w:bCs/>
      <w:sz w:val="18"/>
      <w:szCs w:val="18"/>
      <w:lang w:eastAsia="ar-SA"/>
    </w:rPr>
  </w:style>
  <w:style w:type="paragraph" w:styleId="Heading2">
    <w:name w:val="heading 2"/>
    <w:basedOn w:val="Normal"/>
    <w:next w:val="Normal"/>
    <w:link w:val="Heading2Char"/>
    <w:uiPriority w:val="99"/>
    <w:qFormat/>
    <w:rsid w:val="00D07713"/>
    <w:pPr>
      <w:keepNext/>
      <w:tabs>
        <w:tab w:val="num" w:pos="576"/>
      </w:tabs>
      <w:suppressAutoHyphens/>
      <w:spacing w:before="240" w:after="60"/>
      <w:ind w:left="576" w:hanging="576"/>
      <w:outlineLvl w:val="1"/>
    </w:pPr>
    <w:rPr>
      <w:rFonts w:ascii="Arial" w:hAnsi="Arial" w:cs="Arial"/>
      <w:b/>
      <w:bCs/>
      <w:i/>
      <w:iCs/>
      <w:sz w:val="28"/>
      <w:szCs w:val="28"/>
      <w:lang w:val="en-GB" w:eastAsia="ar-SA"/>
    </w:rPr>
  </w:style>
  <w:style w:type="paragraph" w:styleId="Heading3">
    <w:name w:val="heading 3"/>
    <w:basedOn w:val="Normal"/>
    <w:next w:val="Normal"/>
    <w:link w:val="Heading3Char"/>
    <w:uiPriority w:val="99"/>
    <w:unhideWhenUsed/>
    <w:qFormat/>
    <w:rsid w:val="00D0771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07713"/>
    <w:rPr>
      <w:rFonts w:ascii="Arial" w:hAnsi="Arial" w:cs="Arial"/>
      <w:b/>
      <w:bCs/>
      <w:sz w:val="18"/>
      <w:szCs w:val="18"/>
      <w:lang w:val="tr-TR" w:eastAsia="ar-SA"/>
    </w:rPr>
  </w:style>
  <w:style w:type="character" w:customStyle="1" w:styleId="Heading2Char">
    <w:name w:val="Heading 2 Char"/>
    <w:basedOn w:val="DefaultParagraphFont"/>
    <w:link w:val="Heading2"/>
    <w:uiPriority w:val="99"/>
    <w:rsid w:val="00D07713"/>
    <w:rPr>
      <w:rFonts w:ascii="Arial" w:hAnsi="Arial" w:cs="Arial"/>
      <w:b/>
      <w:bCs/>
      <w:i/>
      <w:iCs/>
      <w:sz w:val="28"/>
      <w:szCs w:val="28"/>
      <w:lang w:val="en-GB" w:eastAsia="ar-SA"/>
    </w:rPr>
  </w:style>
  <w:style w:type="character" w:customStyle="1" w:styleId="Heading3Char">
    <w:name w:val="Heading 3 Char"/>
    <w:basedOn w:val="DefaultParagraphFont"/>
    <w:link w:val="Heading3"/>
    <w:uiPriority w:val="9"/>
    <w:semiHidden/>
    <w:rsid w:val="00D07713"/>
    <w:rPr>
      <w:rFonts w:asciiTheme="majorHAnsi" w:eastAsiaTheme="majorEastAsia" w:hAnsiTheme="majorHAnsi" w:cstheme="majorBidi"/>
      <w:color w:val="1F3763" w:themeColor="accent1" w:themeShade="7F"/>
      <w:sz w:val="24"/>
      <w:szCs w:val="24"/>
      <w:lang w:val="tr-TR"/>
    </w:rPr>
  </w:style>
  <w:style w:type="paragraph" w:styleId="ListParagraph">
    <w:name w:val="List Paragraph"/>
    <w:basedOn w:val="Normal"/>
    <w:uiPriority w:val="34"/>
    <w:qFormat/>
    <w:rsid w:val="001C65BF"/>
    <w:pPr>
      <w:ind w:left="720"/>
      <w:contextualSpacing/>
    </w:pPr>
  </w:style>
  <w:style w:type="character" w:styleId="Hyperlink">
    <w:name w:val="Hyperlink"/>
    <w:basedOn w:val="DefaultParagraphFont"/>
    <w:uiPriority w:val="99"/>
    <w:unhideWhenUsed/>
    <w:rsid w:val="001C65BF"/>
    <w:rPr>
      <w:color w:val="0563C1" w:themeColor="hyperlink"/>
      <w:u w:val="single"/>
    </w:rPr>
  </w:style>
  <w:style w:type="character" w:customStyle="1" w:styleId="Mention1">
    <w:name w:val="Mention1"/>
    <w:basedOn w:val="DefaultParagraphFont"/>
    <w:uiPriority w:val="99"/>
    <w:semiHidden/>
    <w:unhideWhenUsed/>
    <w:rsid w:val="001C65BF"/>
    <w:rPr>
      <w:color w:val="2B579A"/>
      <w:shd w:val="clear" w:color="auto" w:fill="E6E6E6"/>
    </w:rPr>
  </w:style>
  <w:style w:type="paragraph" w:styleId="NormalWeb">
    <w:name w:val="Normal (Web)"/>
    <w:basedOn w:val="Normal"/>
    <w:uiPriority w:val="99"/>
    <w:rsid w:val="006C3EE6"/>
    <w:pPr>
      <w:spacing w:before="100" w:beforeAutospacing="1" w:after="100" w:afterAutospacing="1"/>
    </w:pPr>
  </w:style>
  <w:style w:type="character" w:customStyle="1" w:styleId="UnresolvedMention1">
    <w:name w:val="Unresolved Mention1"/>
    <w:basedOn w:val="DefaultParagraphFont"/>
    <w:uiPriority w:val="99"/>
    <w:semiHidden/>
    <w:unhideWhenUsed/>
    <w:rsid w:val="00DA0C5D"/>
    <w:rPr>
      <w:color w:val="808080"/>
      <w:shd w:val="clear" w:color="auto" w:fill="E6E6E6"/>
    </w:rPr>
  </w:style>
  <w:style w:type="paragraph" w:styleId="FootnoteText">
    <w:name w:val="footnote text"/>
    <w:basedOn w:val="Normal"/>
    <w:link w:val="FootnoteTextChar"/>
    <w:uiPriority w:val="99"/>
    <w:semiHidden/>
    <w:unhideWhenUsed/>
    <w:rsid w:val="00DA0C5D"/>
    <w:rPr>
      <w:sz w:val="20"/>
      <w:szCs w:val="20"/>
    </w:rPr>
  </w:style>
  <w:style w:type="character" w:customStyle="1" w:styleId="FootnoteTextChar">
    <w:name w:val="Footnote Text Char"/>
    <w:basedOn w:val="DefaultParagraphFont"/>
    <w:link w:val="FootnoteText"/>
    <w:uiPriority w:val="99"/>
    <w:semiHidden/>
    <w:rsid w:val="00DA0C5D"/>
    <w:rPr>
      <w:rFonts w:ascii="Times New Roman"/>
      <w:sz w:val="20"/>
      <w:szCs w:val="20"/>
      <w:lang w:val="tr-TR" w:eastAsia="tr-TR"/>
    </w:rPr>
  </w:style>
  <w:style w:type="character" w:styleId="FootnoteReference">
    <w:name w:val="footnote reference"/>
    <w:basedOn w:val="DefaultParagraphFont"/>
    <w:uiPriority w:val="99"/>
    <w:semiHidden/>
    <w:unhideWhenUsed/>
    <w:rsid w:val="00DA0C5D"/>
    <w:rPr>
      <w:vertAlign w:val="superscript"/>
    </w:rPr>
  </w:style>
  <w:style w:type="paragraph" w:styleId="BalloonText">
    <w:name w:val="Balloon Text"/>
    <w:basedOn w:val="Normal"/>
    <w:link w:val="BalloonTextChar"/>
    <w:uiPriority w:val="99"/>
    <w:semiHidden/>
    <w:unhideWhenUsed/>
    <w:rsid w:val="00845A54"/>
    <w:rPr>
      <w:rFonts w:ascii="Tahoma" w:hAnsi="Tahoma" w:cs="Tahoma"/>
      <w:sz w:val="16"/>
      <w:szCs w:val="16"/>
    </w:rPr>
  </w:style>
  <w:style w:type="character" w:customStyle="1" w:styleId="BalloonTextChar">
    <w:name w:val="Balloon Text Char"/>
    <w:basedOn w:val="DefaultParagraphFont"/>
    <w:link w:val="BalloonText"/>
    <w:uiPriority w:val="99"/>
    <w:semiHidden/>
    <w:rsid w:val="00845A54"/>
    <w:rPr>
      <w:rFonts w:ascii="Tahoma" w:hAnsi="Tahoma" w:cs="Tahoma"/>
      <w:sz w:val="16"/>
      <w:szCs w:val="16"/>
      <w:lang w:val="tr-TR" w:eastAsia="tr-TR"/>
    </w:rPr>
  </w:style>
  <w:style w:type="character" w:styleId="CommentReference">
    <w:name w:val="annotation reference"/>
    <w:basedOn w:val="DefaultParagraphFont"/>
    <w:uiPriority w:val="99"/>
    <w:semiHidden/>
    <w:unhideWhenUsed/>
    <w:rsid w:val="00492020"/>
    <w:rPr>
      <w:sz w:val="16"/>
      <w:szCs w:val="16"/>
    </w:rPr>
  </w:style>
  <w:style w:type="paragraph" w:styleId="CommentText">
    <w:name w:val="annotation text"/>
    <w:basedOn w:val="Normal"/>
    <w:link w:val="CommentTextChar"/>
    <w:uiPriority w:val="99"/>
    <w:semiHidden/>
    <w:unhideWhenUsed/>
    <w:rsid w:val="00492020"/>
    <w:rPr>
      <w:sz w:val="20"/>
      <w:szCs w:val="20"/>
    </w:rPr>
  </w:style>
  <w:style w:type="character" w:customStyle="1" w:styleId="CommentTextChar">
    <w:name w:val="Comment Text Char"/>
    <w:basedOn w:val="DefaultParagraphFont"/>
    <w:link w:val="CommentText"/>
    <w:uiPriority w:val="99"/>
    <w:semiHidden/>
    <w:rsid w:val="00492020"/>
    <w:rPr>
      <w:rFonts w:ascii="Times New Roman"/>
      <w:sz w:val="20"/>
      <w:szCs w:val="20"/>
      <w:lang w:val="tr-TR" w:eastAsia="tr-TR"/>
    </w:rPr>
  </w:style>
  <w:style w:type="paragraph" w:styleId="CommentSubject">
    <w:name w:val="annotation subject"/>
    <w:basedOn w:val="CommentText"/>
    <w:next w:val="CommentText"/>
    <w:link w:val="CommentSubjectChar"/>
    <w:uiPriority w:val="99"/>
    <w:semiHidden/>
    <w:unhideWhenUsed/>
    <w:rsid w:val="00492020"/>
    <w:rPr>
      <w:b/>
      <w:bCs/>
    </w:rPr>
  </w:style>
  <w:style w:type="character" w:customStyle="1" w:styleId="CommentSubjectChar">
    <w:name w:val="Comment Subject Char"/>
    <w:basedOn w:val="CommentTextChar"/>
    <w:link w:val="CommentSubject"/>
    <w:uiPriority w:val="99"/>
    <w:semiHidden/>
    <w:rsid w:val="00492020"/>
    <w:rPr>
      <w:rFonts w:ascii="Times New Roman"/>
      <w:b/>
      <w:bCs/>
      <w:sz w:val="20"/>
      <w:szCs w:val="20"/>
      <w:lang w:val="tr-TR" w:eastAsia="tr-TR"/>
    </w:rPr>
  </w:style>
  <w:style w:type="paragraph" w:styleId="Header">
    <w:name w:val="header"/>
    <w:basedOn w:val="Normal"/>
    <w:link w:val="HeaderChar"/>
    <w:uiPriority w:val="99"/>
    <w:unhideWhenUsed/>
    <w:rsid w:val="009030D2"/>
    <w:pPr>
      <w:tabs>
        <w:tab w:val="center" w:pos="4536"/>
        <w:tab w:val="right" w:pos="9072"/>
      </w:tabs>
    </w:pPr>
  </w:style>
  <w:style w:type="character" w:customStyle="1" w:styleId="HeaderChar">
    <w:name w:val="Header Char"/>
    <w:basedOn w:val="DefaultParagraphFont"/>
    <w:link w:val="Header"/>
    <w:uiPriority w:val="99"/>
    <w:rsid w:val="009030D2"/>
    <w:rPr>
      <w:rFonts w:ascii="Times New Roman"/>
      <w:sz w:val="24"/>
      <w:szCs w:val="24"/>
      <w:lang w:val="tr-TR" w:eastAsia="tr-TR"/>
    </w:rPr>
  </w:style>
  <w:style w:type="paragraph" w:styleId="Footer">
    <w:name w:val="footer"/>
    <w:basedOn w:val="Normal"/>
    <w:link w:val="FooterChar"/>
    <w:uiPriority w:val="99"/>
    <w:unhideWhenUsed/>
    <w:rsid w:val="009030D2"/>
    <w:pPr>
      <w:tabs>
        <w:tab w:val="center" w:pos="4536"/>
        <w:tab w:val="right" w:pos="9072"/>
      </w:tabs>
    </w:pPr>
  </w:style>
  <w:style w:type="character" w:customStyle="1" w:styleId="FooterChar">
    <w:name w:val="Footer Char"/>
    <w:basedOn w:val="DefaultParagraphFont"/>
    <w:link w:val="Footer"/>
    <w:uiPriority w:val="99"/>
    <w:rsid w:val="009030D2"/>
    <w:rPr>
      <w:rFonts w:ascii="Times New Roman"/>
      <w:sz w:val="24"/>
      <w:szCs w:val="24"/>
      <w:lang w:val="tr-TR" w:eastAsia="tr-TR"/>
    </w:rPr>
  </w:style>
  <w:style w:type="character" w:styleId="Strong">
    <w:name w:val="Strong"/>
    <w:basedOn w:val="DefaultParagraphFont"/>
    <w:uiPriority w:val="22"/>
    <w:qFormat/>
    <w:rsid w:val="00B96DDB"/>
    <w:rPr>
      <w:b/>
      <w:bCs/>
    </w:rPr>
  </w:style>
  <w:style w:type="paragraph" w:customStyle="1" w:styleId="font-claude-response-body">
    <w:name w:val="font-claude-response-body"/>
    <w:basedOn w:val="Normal"/>
    <w:rsid w:val="000B09B0"/>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704">
      <w:bodyDiv w:val="1"/>
      <w:marLeft w:val="0"/>
      <w:marRight w:val="0"/>
      <w:marTop w:val="0"/>
      <w:marBottom w:val="0"/>
      <w:divBdr>
        <w:top w:val="none" w:sz="0" w:space="0" w:color="auto"/>
        <w:left w:val="none" w:sz="0" w:space="0" w:color="auto"/>
        <w:bottom w:val="none" w:sz="0" w:space="0" w:color="auto"/>
        <w:right w:val="none" w:sz="0" w:space="0" w:color="auto"/>
      </w:divBdr>
    </w:div>
    <w:div w:id="20085449">
      <w:bodyDiv w:val="1"/>
      <w:marLeft w:val="0"/>
      <w:marRight w:val="0"/>
      <w:marTop w:val="0"/>
      <w:marBottom w:val="0"/>
      <w:divBdr>
        <w:top w:val="none" w:sz="0" w:space="0" w:color="auto"/>
        <w:left w:val="none" w:sz="0" w:space="0" w:color="auto"/>
        <w:bottom w:val="none" w:sz="0" w:space="0" w:color="auto"/>
        <w:right w:val="none" w:sz="0" w:space="0" w:color="auto"/>
      </w:divBdr>
    </w:div>
    <w:div w:id="46809400">
      <w:bodyDiv w:val="1"/>
      <w:marLeft w:val="0"/>
      <w:marRight w:val="0"/>
      <w:marTop w:val="0"/>
      <w:marBottom w:val="0"/>
      <w:divBdr>
        <w:top w:val="none" w:sz="0" w:space="0" w:color="auto"/>
        <w:left w:val="none" w:sz="0" w:space="0" w:color="auto"/>
        <w:bottom w:val="none" w:sz="0" w:space="0" w:color="auto"/>
        <w:right w:val="none" w:sz="0" w:space="0" w:color="auto"/>
      </w:divBdr>
    </w:div>
    <w:div w:id="99107687">
      <w:bodyDiv w:val="1"/>
      <w:marLeft w:val="0"/>
      <w:marRight w:val="0"/>
      <w:marTop w:val="0"/>
      <w:marBottom w:val="0"/>
      <w:divBdr>
        <w:top w:val="none" w:sz="0" w:space="0" w:color="auto"/>
        <w:left w:val="none" w:sz="0" w:space="0" w:color="auto"/>
        <w:bottom w:val="none" w:sz="0" w:space="0" w:color="auto"/>
        <w:right w:val="none" w:sz="0" w:space="0" w:color="auto"/>
      </w:divBdr>
    </w:div>
    <w:div w:id="105931333">
      <w:bodyDiv w:val="1"/>
      <w:marLeft w:val="0"/>
      <w:marRight w:val="0"/>
      <w:marTop w:val="0"/>
      <w:marBottom w:val="0"/>
      <w:divBdr>
        <w:top w:val="none" w:sz="0" w:space="0" w:color="auto"/>
        <w:left w:val="none" w:sz="0" w:space="0" w:color="auto"/>
        <w:bottom w:val="none" w:sz="0" w:space="0" w:color="auto"/>
        <w:right w:val="none" w:sz="0" w:space="0" w:color="auto"/>
      </w:divBdr>
    </w:div>
    <w:div w:id="197401709">
      <w:bodyDiv w:val="1"/>
      <w:marLeft w:val="0"/>
      <w:marRight w:val="0"/>
      <w:marTop w:val="0"/>
      <w:marBottom w:val="0"/>
      <w:divBdr>
        <w:top w:val="none" w:sz="0" w:space="0" w:color="auto"/>
        <w:left w:val="none" w:sz="0" w:space="0" w:color="auto"/>
        <w:bottom w:val="none" w:sz="0" w:space="0" w:color="auto"/>
        <w:right w:val="none" w:sz="0" w:space="0" w:color="auto"/>
      </w:divBdr>
    </w:div>
    <w:div w:id="197817056">
      <w:bodyDiv w:val="1"/>
      <w:marLeft w:val="0"/>
      <w:marRight w:val="0"/>
      <w:marTop w:val="0"/>
      <w:marBottom w:val="0"/>
      <w:divBdr>
        <w:top w:val="none" w:sz="0" w:space="0" w:color="auto"/>
        <w:left w:val="none" w:sz="0" w:space="0" w:color="auto"/>
        <w:bottom w:val="none" w:sz="0" w:space="0" w:color="auto"/>
        <w:right w:val="none" w:sz="0" w:space="0" w:color="auto"/>
      </w:divBdr>
    </w:div>
    <w:div w:id="202257109">
      <w:bodyDiv w:val="1"/>
      <w:marLeft w:val="0"/>
      <w:marRight w:val="0"/>
      <w:marTop w:val="0"/>
      <w:marBottom w:val="0"/>
      <w:divBdr>
        <w:top w:val="none" w:sz="0" w:space="0" w:color="auto"/>
        <w:left w:val="none" w:sz="0" w:space="0" w:color="auto"/>
        <w:bottom w:val="none" w:sz="0" w:space="0" w:color="auto"/>
        <w:right w:val="none" w:sz="0" w:space="0" w:color="auto"/>
      </w:divBdr>
    </w:div>
    <w:div w:id="202835374">
      <w:bodyDiv w:val="1"/>
      <w:marLeft w:val="0"/>
      <w:marRight w:val="0"/>
      <w:marTop w:val="0"/>
      <w:marBottom w:val="0"/>
      <w:divBdr>
        <w:top w:val="none" w:sz="0" w:space="0" w:color="auto"/>
        <w:left w:val="none" w:sz="0" w:space="0" w:color="auto"/>
        <w:bottom w:val="none" w:sz="0" w:space="0" w:color="auto"/>
        <w:right w:val="none" w:sz="0" w:space="0" w:color="auto"/>
      </w:divBdr>
    </w:div>
    <w:div w:id="213126316">
      <w:bodyDiv w:val="1"/>
      <w:marLeft w:val="0"/>
      <w:marRight w:val="0"/>
      <w:marTop w:val="0"/>
      <w:marBottom w:val="0"/>
      <w:divBdr>
        <w:top w:val="none" w:sz="0" w:space="0" w:color="auto"/>
        <w:left w:val="none" w:sz="0" w:space="0" w:color="auto"/>
        <w:bottom w:val="none" w:sz="0" w:space="0" w:color="auto"/>
        <w:right w:val="none" w:sz="0" w:space="0" w:color="auto"/>
      </w:divBdr>
    </w:div>
    <w:div w:id="220138851">
      <w:bodyDiv w:val="1"/>
      <w:marLeft w:val="0"/>
      <w:marRight w:val="0"/>
      <w:marTop w:val="0"/>
      <w:marBottom w:val="0"/>
      <w:divBdr>
        <w:top w:val="none" w:sz="0" w:space="0" w:color="auto"/>
        <w:left w:val="none" w:sz="0" w:space="0" w:color="auto"/>
        <w:bottom w:val="none" w:sz="0" w:space="0" w:color="auto"/>
        <w:right w:val="none" w:sz="0" w:space="0" w:color="auto"/>
      </w:divBdr>
      <w:divsChild>
        <w:div w:id="1110706717">
          <w:marLeft w:val="0"/>
          <w:marRight w:val="0"/>
          <w:marTop w:val="0"/>
          <w:marBottom w:val="0"/>
          <w:divBdr>
            <w:top w:val="none" w:sz="0" w:space="0" w:color="auto"/>
            <w:left w:val="none" w:sz="0" w:space="0" w:color="auto"/>
            <w:bottom w:val="none" w:sz="0" w:space="0" w:color="auto"/>
            <w:right w:val="none" w:sz="0" w:space="0" w:color="auto"/>
          </w:divBdr>
        </w:div>
      </w:divsChild>
    </w:div>
    <w:div w:id="222954893">
      <w:bodyDiv w:val="1"/>
      <w:marLeft w:val="0"/>
      <w:marRight w:val="0"/>
      <w:marTop w:val="0"/>
      <w:marBottom w:val="0"/>
      <w:divBdr>
        <w:top w:val="none" w:sz="0" w:space="0" w:color="auto"/>
        <w:left w:val="none" w:sz="0" w:space="0" w:color="auto"/>
        <w:bottom w:val="none" w:sz="0" w:space="0" w:color="auto"/>
        <w:right w:val="none" w:sz="0" w:space="0" w:color="auto"/>
      </w:divBdr>
    </w:div>
    <w:div w:id="249626825">
      <w:bodyDiv w:val="1"/>
      <w:marLeft w:val="0"/>
      <w:marRight w:val="0"/>
      <w:marTop w:val="0"/>
      <w:marBottom w:val="0"/>
      <w:divBdr>
        <w:top w:val="none" w:sz="0" w:space="0" w:color="auto"/>
        <w:left w:val="none" w:sz="0" w:space="0" w:color="auto"/>
        <w:bottom w:val="none" w:sz="0" w:space="0" w:color="auto"/>
        <w:right w:val="none" w:sz="0" w:space="0" w:color="auto"/>
      </w:divBdr>
    </w:div>
    <w:div w:id="310717646">
      <w:bodyDiv w:val="1"/>
      <w:marLeft w:val="0"/>
      <w:marRight w:val="0"/>
      <w:marTop w:val="0"/>
      <w:marBottom w:val="0"/>
      <w:divBdr>
        <w:top w:val="none" w:sz="0" w:space="0" w:color="auto"/>
        <w:left w:val="none" w:sz="0" w:space="0" w:color="auto"/>
        <w:bottom w:val="none" w:sz="0" w:space="0" w:color="auto"/>
        <w:right w:val="none" w:sz="0" w:space="0" w:color="auto"/>
      </w:divBdr>
    </w:div>
    <w:div w:id="414401070">
      <w:bodyDiv w:val="1"/>
      <w:marLeft w:val="0"/>
      <w:marRight w:val="0"/>
      <w:marTop w:val="0"/>
      <w:marBottom w:val="0"/>
      <w:divBdr>
        <w:top w:val="none" w:sz="0" w:space="0" w:color="auto"/>
        <w:left w:val="none" w:sz="0" w:space="0" w:color="auto"/>
        <w:bottom w:val="none" w:sz="0" w:space="0" w:color="auto"/>
        <w:right w:val="none" w:sz="0" w:space="0" w:color="auto"/>
      </w:divBdr>
    </w:div>
    <w:div w:id="470834030">
      <w:bodyDiv w:val="1"/>
      <w:marLeft w:val="0"/>
      <w:marRight w:val="0"/>
      <w:marTop w:val="0"/>
      <w:marBottom w:val="0"/>
      <w:divBdr>
        <w:top w:val="none" w:sz="0" w:space="0" w:color="auto"/>
        <w:left w:val="none" w:sz="0" w:space="0" w:color="auto"/>
        <w:bottom w:val="none" w:sz="0" w:space="0" w:color="auto"/>
        <w:right w:val="none" w:sz="0" w:space="0" w:color="auto"/>
      </w:divBdr>
    </w:div>
    <w:div w:id="480317060">
      <w:bodyDiv w:val="1"/>
      <w:marLeft w:val="0"/>
      <w:marRight w:val="0"/>
      <w:marTop w:val="0"/>
      <w:marBottom w:val="0"/>
      <w:divBdr>
        <w:top w:val="none" w:sz="0" w:space="0" w:color="auto"/>
        <w:left w:val="none" w:sz="0" w:space="0" w:color="auto"/>
        <w:bottom w:val="none" w:sz="0" w:space="0" w:color="auto"/>
        <w:right w:val="none" w:sz="0" w:space="0" w:color="auto"/>
      </w:divBdr>
      <w:divsChild>
        <w:div w:id="893853675">
          <w:marLeft w:val="0"/>
          <w:marRight w:val="0"/>
          <w:marTop w:val="0"/>
          <w:marBottom w:val="0"/>
          <w:divBdr>
            <w:top w:val="none" w:sz="0" w:space="0" w:color="auto"/>
            <w:left w:val="none" w:sz="0" w:space="0" w:color="auto"/>
            <w:bottom w:val="none" w:sz="0" w:space="0" w:color="auto"/>
            <w:right w:val="none" w:sz="0" w:space="0" w:color="auto"/>
          </w:divBdr>
        </w:div>
      </w:divsChild>
    </w:div>
    <w:div w:id="504173187">
      <w:bodyDiv w:val="1"/>
      <w:marLeft w:val="0"/>
      <w:marRight w:val="0"/>
      <w:marTop w:val="0"/>
      <w:marBottom w:val="0"/>
      <w:divBdr>
        <w:top w:val="none" w:sz="0" w:space="0" w:color="auto"/>
        <w:left w:val="none" w:sz="0" w:space="0" w:color="auto"/>
        <w:bottom w:val="none" w:sz="0" w:space="0" w:color="auto"/>
        <w:right w:val="none" w:sz="0" w:space="0" w:color="auto"/>
      </w:divBdr>
    </w:div>
    <w:div w:id="520171166">
      <w:bodyDiv w:val="1"/>
      <w:marLeft w:val="0"/>
      <w:marRight w:val="0"/>
      <w:marTop w:val="0"/>
      <w:marBottom w:val="0"/>
      <w:divBdr>
        <w:top w:val="none" w:sz="0" w:space="0" w:color="auto"/>
        <w:left w:val="none" w:sz="0" w:space="0" w:color="auto"/>
        <w:bottom w:val="none" w:sz="0" w:space="0" w:color="auto"/>
        <w:right w:val="none" w:sz="0" w:space="0" w:color="auto"/>
      </w:divBdr>
    </w:div>
    <w:div w:id="556550228">
      <w:bodyDiv w:val="1"/>
      <w:marLeft w:val="0"/>
      <w:marRight w:val="0"/>
      <w:marTop w:val="0"/>
      <w:marBottom w:val="0"/>
      <w:divBdr>
        <w:top w:val="none" w:sz="0" w:space="0" w:color="auto"/>
        <w:left w:val="none" w:sz="0" w:space="0" w:color="auto"/>
        <w:bottom w:val="none" w:sz="0" w:space="0" w:color="auto"/>
        <w:right w:val="none" w:sz="0" w:space="0" w:color="auto"/>
      </w:divBdr>
    </w:div>
    <w:div w:id="568543380">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1">
          <w:marLeft w:val="0"/>
          <w:marRight w:val="0"/>
          <w:marTop w:val="0"/>
          <w:marBottom w:val="0"/>
          <w:divBdr>
            <w:top w:val="none" w:sz="0" w:space="0" w:color="auto"/>
            <w:left w:val="none" w:sz="0" w:space="0" w:color="auto"/>
            <w:bottom w:val="none" w:sz="0" w:space="0" w:color="auto"/>
            <w:right w:val="none" w:sz="0" w:space="0" w:color="auto"/>
          </w:divBdr>
        </w:div>
      </w:divsChild>
    </w:div>
    <w:div w:id="584613792">
      <w:bodyDiv w:val="1"/>
      <w:marLeft w:val="0"/>
      <w:marRight w:val="0"/>
      <w:marTop w:val="0"/>
      <w:marBottom w:val="0"/>
      <w:divBdr>
        <w:top w:val="none" w:sz="0" w:space="0" w:color="auto"/>
        <w:left w:val="none" w:sz="0" w:space="0" w:color="auto"/>
        <w:bottom w:val="none" w:sz="0" w:space="0" w:color="auto"/>
        <w:right w:val="none" w:sz="0" w:space="0" w:color="auto"/>
      </w:divBdr>
    </w:div>
    <w:div w:id="592318087">
      <w:bodyDiv w:val="1"/>
      <w:marLeft w:val="0"/>
      <w:marRight w:val="0"/>
      <w:marTop w:val="0"/>
      <w:marBottom w:val="0"/>
      <w:divBdr>
        <w:top w:val="none" w:sz="0" w:space="0" w:color="auto"/>
        <w:left w:val="none" w:sz="0" w:space="0" w:color="auto"/>
        <w:bottom w:val="none" w:sz="0" w:space="0" w:color="auto"/>
        <w:right w:val="none" w:sz="0" w:space="0" w:color="auto"/>
      </w:divBdr>
    </w:div>
    <w:div w:id="663625836">
      <w:bodyDiv w:val="1"/>
      <w:marLeft w:val="0"/>
      <w:marRight w:val="0"/>
      <w:marTop w:val="0"/>
      <w:marBottom w:val="0"/>
      <w:divBdr>
        <w:top w:val="none" w:sz="0" w:space="0" w:color="auto"/>
        <w:left w:val="none" w:sz="0" w:space="0" w:color="auto"/>
        <w:bottom w:val="none" w:sz="0" w:space="0" w:color="auto"/>
        <w:right w:val="none" w:sz="0" w:space="0" w:color="auto"/>
      </w:divBdr>
    </w:div>
    <w:div w:id="675696798">
      <w:bodyDiv w:val="1"/>
      <w:marLeft w:val="0"/>
      <w:marRight w:val="0"/>
      <w:marTop w:val="0"/>
      <w:marBottom w:val="0"/>
      <w:divBdr>
        <w:top w:val="none" w:sz="0" w:space="0" w:color="auto"/>
        <w:left w:val="none" w:sz="0" w:space="0" w:color="auto"/>
        <w:bottom w:val="none" w:sz="0" w:space="0" w:color="auto"/>
        <w:right w:val="none" w:sz="0" w:space="0" w:color="auto"/>
      </w:divBdr>
    </w:div>
    <w:div w:id="684596504">
      <w:bodyDiv w:val="1"/>
      <w:marLeft w:val="0"/>
      <w:marRight w:val="0"/>
      <w:marTop w:val="0"/>
      <w:marBottom w:val="0"/>
      <w:divBdr>
        <w:top w:val="none" w:sz="0" w:space="0" w:color="auto"/>
        <w:left w:val="none" w:sz="0" w:space="0" w:color="auto"/>
        <w:bottom w:val="none" w:sz="0" w:space="0" w:color="auto"/>
        <w:right w:val="none" w:sz="0" w:space="0" w:color="auto"/>
      </w:divBdr>
    </w:div>
    <w:div w:id="729614903">
      <w:bodyDiv w:val="1"/>
      <w:marLeft w:val="0"/>
      <w:marRight w:val="0"/>
      <w:marTop w:val="0"/>
      <w:marBottom w:val="0"/>
      <w:divBdr>
        <w:top w:val="none" w:sz="0" w:space="0" w:color="auto"/>
        <w:left w:val="none" w:sz="0" w:space="0" w:color="auto"/>
        <w:bottom w:val="none" w:sz="0" w:space="0" w:color="auto"/>
        <w:right w:val="none" w:sz="0" w:space="0" w:color="auto"/>
      </w:divBdr>
    </w:div>
    <w:div w:id="749355561">
      <w:bodyDiv w:val="1"/>
      <w:marLeft w:val="0"/>
      <w:marRight w:val="0"/>
      <w:marTop w:val="0"/>
      <w:marBottom w:val="0"/>
      <w:divBdr>
        <w:top w:val="none" w:sz="0" w:space="0" w:color="auto"/>
        <w:left w:val="none" w:sz="0" w:space="0" w:color="auto"/>
        <w:bottom w:val="none" w:sz="0" w:space="0" w:color="auto"/>
        <w:right w:val="none" w:sz="0" w:space="0" w:color="auto"/>
      </w:divBdr>
    </w:div>
    <w:div w:id="789515289">
      <w:bodyDiv w:val="1"/>
      <w:marLeft w:val="0"/>
      <w:marRight w:val="0"/>
      <w:marTop w:val="0"/>
      <w:marBottom w:val="0"/>
      <w:divBdr>
        <w:top w:val="none" w:sz="0" w:space="0" w:color="auto"/>
        <w:left w:val="none" w:sz="0" w:space="0" w:color="auto"/>
        <w:bottom w:val="none" w:sz="0" w:space="0" w:color="auto"/>
        <w:right w:val="none" w:sz="0" w:space="0" w:color="auto"/>
      </w:divBdr>
    </w:div>
    <w:div w:id="794177967">
      <w:bodyDiv w:val="1"/>
      <w:marLeft w:val="0"/>
      <w:marRight w:val="0"/>
      <w:marTop w:val="0"/>
      <w:marBottom w:val="0"/>
      <w:divBdr>
        <w:top w:val="none" w:sz="0" w:space="0" w:color="auto"/>
        <w:left w:val="none" w:sz="0" w:space="0" w:color="auto"/>
        <w:bottom w:val="none" w:sz="0" w:space="0" w:color="auto"/>
        <w:right w:val="none" w:sz="0" w:space="0" w:color="auto"/>
      </w:divBdr>
    </w:div>
    <w:div w:id="854539308">
      <w:bodyDiv w:val="1"/>
      <w:marLeft w:val="0"/>
      <w:marRight w:val="0"/>
      <w:marTop w:val="0"/>
      <w:marBottom w:val="0"/>
      <w:divBdr>
        <w:top w:val="none" w:sz="0" w:space="0" w:color="auto"/>
        <w:left w:val="none" w:sz="0" w:space="0" w:color="auto"/>
        <w:bottom w:val="none" w:sz="0" w:space="0" w:color="auto"/>
        <w:right w:val="none" w:sz="0" w:space="0" w:color="auto"/>
      </w:divBdr>
      <w:divsChild>
        <w:div w:id="279142828">
          <w:marLeft w:val="0"/>
          <w:marRight w:val="0"/>
          <w:marTop w:val="0"/>
          <w:marBottom w:val="0"/>
          <w:divBdr>
            <w:top w:val="none" w:sz="0" w:space="0" w:color="auto"/>
            <w:left w:val="none" w:sz="0" w:space="0" w:color="auto"/>
            <w:bottom w:val="none" w:sz="0" w:space="0" w:color="auto"/>
            <w:right w:val="none" w:sz="0" w:space="0" w:color="auto"/>
          </w:divBdr>
        </w:div>
      </w:divsChild>
    </w:div>
    <w:div w:id="907037378">
      <w:bodyDiv w:val="1"/>
      <w:marLeft w:val="0"/>
      <w:marRight w:val="0"/>
      <w:marTop w:val="0"/>
      <w:marBottom w:val="0"/>
      <w:divBdr>
        <w:top w:val="none" w:sz="0" w:space="0" w:color="auto"/>
        <w:left w:val="none" w:sz="0" w:space="0" w:color="auto"/>
        <w:bottom w:val="none" w:sz="0" w:space="0" w:color="auto"/>
        <w:right w:val="none" w:sz="0" w:space="0" w:color="auto"/>
      </w:divBdr>
    </w:div>
    <w:div w:id="916472813">
      <w:bodyDiv w:val="1"/>
      <w:marLeft w:val="0"/>
      <w:marRight w:val="0"/>
      <w:marTop w:val="0"/>
      <w:marBottom w:val="0"/>
      <w:divBdr>
        <w:top w:val="none" w:sz="0" w:space="0" w:color="auto"/>
        <w:left w:val="none" w:sz="0" w:space="0" w:color="auto"/>
        <w:bottom w:val="none" w:sz="0" w:space="0" w:color="auto"/>
        <w:right w:val="none" w:sz="0" w:space="0" w:color="auto"/>
      </w:divBdr>
    </w:div>
    <w:div w:id="916864096">
      <w:bodyDiv w:val="1"/>
      <w:marLeft w:val="0"/>
      <w:marRight w:val="0"/>
      <w:marTop w:val="0"/>
      <w:marBottom w:val="0"/>
      <w:divBdr>
        <w:top w:val="none" w:sz="0" w:space="0" w:color="auto"/>
        <w:left w:val="none" w:sz="0" w:space="0" w:color="auto"/>
        <w:bottom w:val="none" w:sz="0" w:space="0" w:color="auto"/>
        <w:right w:val="none" w:sz="0" w:space="0" w:color="auto"/>
      </w:divBdr>
    </w:div>
    <w:div w:id="953171385">
      <w:bodyDiv w:val="1"/>
      <w:marLeft w:val="0"/>
      <w:marRight w:val="0"/>
      <w:marTop w:val="0"/>
      <w:marBottom w:val="0"/>
      <w:divBdr>
        <w:top w:val="none" w:sz="0" w:space="0" w:color="auto"/>
        <w:left w:val="none" w:sz="0" w:space="0" w:color="auto"/>
        <w:bottom w:val="none" w:sz="0" w:space="0" w:color="auto"/>
        <w:right w:val="none" w:sz="0" w:space="0" w:color="auto"/>
      </w:divBdr>
    </w:div>
    <w:div w:id="957295569">
      <w:bodyDiv w:val="1"/>
      <w:marLeft w:val="0"/>
      <w:marRight w:val="0"/>
      <w:marTop w:val="0"/>
      <w:marBottom w:val="0"/>
      <w:divBdr>
        <w:top w:val="none" w:sz="0" w:space="0" w:color="auto"/>
        <w:left w:val="none" w:sz="0" w:space="0" w:color="auto"/>
        <w:bottom w:val="none" w:sz="0" w:space="0" w:color="auto"/>
        <w:right w:val="none" w:sz="0" w:space="0" w:color="auto"/>
      </w:divBdr>
    </w:div>
    <w:div w:id="963079509">
      <w:bodyDiv w:val="1"/>
      <w:marLeft w:val="0"/>
      <w:marRight w:val="0"/>
      <w:marTop w:val="0"/>
      <w:marBottom w:val="0"/>
      <w:divBdr>
        <w:top w:val="none" w:sz="0" w:space="0" w:color="auto"/>
        <w:left w:val="none" w:sz="0" w:space="0" w:color="auto"/>
        <w:bottom w:val="none" w:sz="0" w:space="0" w:color="auto"/>
        <w:right w:val="none" w:sz="0" w:space="0" w:color="auto"/>
      </w:divBdr>
    </w:div>
    <w:div w:id="1003507363">
      <w:bodyDiv w:val="1"/>
      <w:marLeft w:val="0"/>
      <w:marRight w:val="0"/>
      <w:marTop w:val="0"/>
      <w:marBottom w:val="0"/>
      <w:divBdr>
        <w:top w:val="none" w:sz="0" w:space="0" w:color="auto"/>
        <w:left w:val="none" w:sz="0" w:space="0" w:color="auto"/>
        <w:bottom w:val="none" w:sz="0" w:space="0" w:color="auto"/>
        <w:right w:val="none" w:sz="0" w:space="0" w:color="auto"/>
      </w:divBdr>
    </w:div>
    <w:div w:id="1039205501">
      <w:bodyDiv w:val="1"/>
      <w:marLeft w:val="0"/>
      <w:marRight w:val="0"/>
      <w:marTop w:val="0"/>
      <w:marBottom w:val="0"/>
      <w:divBdr>
        <w:top w:val="none" w:sz="0" w:space="0" w:color="auto"/>
        <w:left w:val="none" w:sz="0" w:space="0" w:color="auto"/>
        <w:bottom w:val="none" w:sz="0" w:space="0" w:color="auto"/>
        <w:right w:val="none" w:sz="0" w:space="0" w:color="auto"/>
      </w:divBdr>
    </w:div>
    <w:div w:id="1076124176">
      <w:bodyDiv w:val="1"/>
      <w:marLeft w:val="0"/>
      <w:marRight w:val="0"/>
      <w:marTop w:val="0"/>
      <w:marBottom w:val="0"/>
      <w:divBdr>
        <w:top w:val="none" w:sz="0" w:space="0" w:color="auto"/>
        <w:left w:val="none" w:sz="0" w:space="0" w:color="auto"/>
        <w:bottom w:val="none" w:sz="0" w:space="0" w:color="auto"/>
        <w:right w:val="none" w:sz="0" w:space="0" w:color="auto"/>
      </w:divBdr>
    </w:div>
    <w:div w:id="1105732338">
      <w:bodyDiv w:val="1"/>
      <w:marLeft w:val="0"/>
      <w:marRight w:val="0"/>
      <w:marTop w:val="0"/>
      <w:marBottom w:val="0"/>
      <w:divBdr>
        <w:top w:val="none" w:sz="0" w:space="0" w:color="auto"/>
        <w:left w:val="none" w:sz="0" w:space="0" w:color="auto"/>
        <w:bottom w:val="none" w:sz="0" w:space="0" w:color="auto"/>
        <w:right w:val="none" w:sz="0" w:space="0" w:color="auto"/>
      </w:divBdr>
    </w:div>
    <w:div w:id="1112165418">
      <w:bodyDiv w:val="1"/>
      <w:marLeft w:val="0"/>
      <w:marRight w:val="0"/>
      <w:marTop w:val="0"/>
      <w:marBottom w:val="0"/>
      <w:divBdr>
        <w:top w:val="none" w:sz="0" w:space="0" w:color="auto"/>
        <w:left w:val="none" w:sz="0" w:space="0" w:color="auto"/>
        <w:bottom w:val="none" w:sz="0" w:space="0" w:color="auto"/>
        <w:right w:val="none" w:sz="0" w:space="0" w:color="auto"/>
      </w:divBdr>
    </w:div>
    <w:div w:id="1231381574">
      <w:bodyDiv w:val="1"/>
      <w:marLeft w:val="0"/>
      <w:marRight w:val="0"/>
      <w:marTop w:val="0"/>
      <w:marBottom w:val="0"/>
      <w:divBdr>
        <w:top w:val="none" w:sz="0" w:space="0" w:color="auto"/>
        <w:left w:val="none" w:sz="0" w:space="0" w:color="auto"/>
        <w:bottom w:val="none" w:sz="0" w:space="0" w:color="auto"/>
        <w:right w:val="none" w:sz="0" w:space="0" w:color="auto"/>
      </w:divBdr>
    </w:div>
    <w:div w:id="1236628815">
      <w:bodyDiv w:val="1"/>
      <w:marLeft w:val="0"/>
      <w:marRight w:val="0"/>
      <w:marTop w:val="0"/>
      <w:marBottom w:val="0"/>
      <w:divBdr>
        <w:top w:val="none" w:sz="0" w:space="0" w:color="auto"/>
        <w:left w:val="none" w:sz="0" w:space="0" w:color="auto"/>
        <w:bottom w:val="none" w:sz="0" w:space="0" w:color="auto"/>
        <w:right w:val="none" w:sz="0" w:space="0" w:color="auto"/>
      </w:divBdr>
    </w:div>
    <w:div w:id="1254630808">
      <w:bodyDiv w:val="1"/>
      <w:marLeft w:val="0"/>
      <w:marRight w:val="0"/>
      <w:marTop w:val="0"/>
      <w:marBottom w:val="0"/>
      <w:divBdr>
        <w:top w:val="none" w:sz="0" w:space="0" w:color="auto"/>
        <w:left w:val="none" w:sz="0" w:space="0" w:color="auto"/>
        <w:bottom w:val="none" w:sz="0" w:space="0" w:color="auto"/>
        <w:right w:val="none" w:sz="0" w:space="0" w:color="auto"/>
      </w:divBdr>
    </w:div>
    <w:div w:id="1282493043">
      <w:bodyDiv w:val="1"/>
      <w:marLeft w:val="0"/>
      <w:marRight w:val="0"/>
      <w:marTop w:val="0"/>
      <w:marBottom w:val="0"/>
      <w:divBdr>
        <w:top w:val="none" w:sz="0" w:space="0" w:color="auto"/>
        <w:left w:val="none" w:sz="0" w:space="0" w:color="auto"/>
        <w:bottom w:val="none" w:sz="0" w:space="0" w:color="auto"/>
        <w:right w:val="none" w:sz="0" w:space="0" w:color="auto"/>
      </w:divBdr>
    </w:div>
    <w:div w:id="1298225399">
      <w:bodyDiv w:val="1"/>
      <w:marLeft w:val="0"/>
      <w:marRight w:val="0"/>
      <w:marTop w:val="0"/>
      <w:marBottom w:val="0"/>
      <w:divBdr>
        <w:top w:val="none" w:sz="0" w:space="0" w:color="auto"/>
        <w:left w:val="none" w:sz="0" w:space="0" w:color="auto"/>
        <w:bottom w:val="none" w:sz="0" w:space="0" w:color="auto"/>
        <w:right w:val="none" w:sz="0" w:space="0" w:color="auto"/>
      </w:divBdr>
    </w:div>
    <w:div w:id="1327326070">
      <w:bodyDiv w:val="1"/>
      <w:marLeft w:val="0"/>
      <w:marRight w:val="0"/>
      <w:marTop w:val="0"/>
      <w:marBottom w:val="0"/>
      <w:divBdr>
        <w:top w:val="none" w:sz="0" w:space="0" w:color="auto"/>
        <w:left w:val="none" w:sz="0" w:space="0" w:color="auto"/>
        <w:bottom w:val="none" w:sz="0" w:space="0" w:color="auto"/>
        <w:right w:val="none" w:sz="0" w:space="0" w:color="auto"/>
      </w:divBdr>
    </w:div>
    <w:div w:id="1356690300">
      <w:bodyDiv w:val="1"/>
      <w:marLeft w:val="0"/>
      <w:marRight w:val="0"/>
      <w:marTop w:val="0"/>
      <w:marBottom w:val="0"/>
      <w:divBdr>
        <w:top w:val="none" w:sz="0" w:space="0" w:color="auto"/>
        <w:left w:val="none" w:sz="0" w:space="0" w:color="auto"/>
        <w:bottom w:val="none" w:sz="0" w:space="0" w:color="auto"/>
        <w:right w:val="none" w:sz="0" w:space="0" w:color="auto"/>
      </w:divBdr>
      <w:divsChild>
        <w:div w:id="1991858288">
          <w:marLeft w:val="0"/>
          <w:marRight w:val="0"/>
          <w:marTop w:val="0"/>
          <w:marBottom w:val="0"/>
          <w:divBdr>
            <w:top w:val="none" w:sz="0" w:space="0" w:color="auto"/>
            <w:left w:val="none" w:sz="0" w:space="0" w:color="auto"/>
            <w:bottom w:val="none" w:sz="0" w:space="0" w:color="auto"/>
            <w:right w:val="none" w:sz="0" w:space="0" w:color="auto"/>
          </w:divBdr>
        </w:div>
      </w:divsChild>
    </w:div>
    <w:div w:id="1362439212">
      <w:bodyDiv w:val="1"/>
      <w:marLeft w:val="0"/>
      <w:marRight w:val="0"/>
      <w:marTop w:val="0"/>
      <w:marBottom w:val="0"/>
      <w:divBdr>
        <w:top w:val="none" w:sz="0" w:space="0" w:color="auto"/>
        <w:left w:val="none" w:sz="0" w:space="0" w:color="auto"/>
        <w:bottom w:val="none" w:sz="0" w:space="0" w:color="auto"/>
        <w:right w:val="none" w:sz="0" w:space="0" w:color="auto"/>
      </w:divBdr>
    </w:div>
    <w:div w:id="1375738626">
      <w:bodyDiv w:val="1"/>
      <w:marLeft w:val="0"/>
      <w:marRight w:val="0"/>
      <w:marTop w:val="0"/>
      <w:marBottom w:val="0"/>
      <w:divBdr>
        <w:top w:val="none" w:sz="0" w:space="0" w:color="auto"/>
        <w:left w:val="none" w:sz="0" w:space="0" w:color="auto"/>
        <w:bottom w:val="none" w:sz="0" w:space="0" w:color="auto"/>
        <w:right w:val="none" w:sz="0" w:space="0" w:color="auto"/>
      </w:divBdr>
    </w:div>
    <w:div w:id="1395008810">
      <w:bodyDiv w:val="1"/>
      <w:marLeft w:val="0"/>
      <w:marRight w:val="0"/>
      <w:marTop w:val="0"/>
      <w:marBottom w:val="0"/>
      <w:divBdr>
        <w:top w:val="none" w:sz="0" w:space="0" w:color="auto"/>
        <w:left w:val="none" w:sz="0" w:space="0" w:color="auto"/>
        <w:bottom w:val="none" w:sz="0" w:space="0" w:color="auto"/>
        <w:right w:val="none" w:sz="0" w:space="0" w:color="auto"/>
      </w:divBdr>
    </w:div>
    <w:div w:id="1421830693">
      <w:bodyDiv w:val="1"/>
      <w:marLeft w:val="0"/>
      <w:marRight w:val="0"/>
      <w:marTop w:val="0"/>
      <w:marBottom w:val="0"/>
      <w:divBdr>
        <w:top w:val="none" w:sz="0" w:space="0" w:color="auto"/>
        <w:left w:val="none" w:sz="0" w:space="0" w:color="auto"/>
        <w:bottom w:val="none" w:sz="0" w:space="0" w:color="auto"/>
        <w:right w:val="none" w:sz="0" w:space="0" w:color="auto"/>
      </w:divBdr>
    </w:div>
    <w:div w:id="1489588039">
      <w:bodyDiv w:val="1"/>
      <w:marLeft w:val="0"/>
      <w:marRight w:val="0"/>
      <w:marTop w:val="0"/>
      <w:marBottom w:val="0"/>
      <w:divBdr>
        <w:top w:val="none" w:sz="0" w:space="0" w:color="auto"/>
        <w:left w:val="none" w:sz="0" w:space="0" w:color="auto"/>
        <w:bottom w:val="none" w:sz="0" w:space="0" w:color="auto"/>
        <w:right w:val="none" w:sz="0" w:space="0" w:color="auto"/>
      </w:divBdr>
    </w:div>
    <w:div w:id="1499613935">
      <w:bodyDiv w:val="1"/>
      <w:marLeft w:val="0"/>
      <w:marRight w:val="0"/>
      <w:marTop w:val="0"/>
      <w:marBottom w:val="0"/>
      <w:divBdr>
        <w:top w:val="none" w:sz="0" w:space="0" w:color="auto"/>
        <w:left w:val="none" w:sz="0" w:space="0" w:color="auto"/>
        <w:bottom w:val="none" w:sz="0" w:space="0" w:color="auto"/>
        <w:right w:val="none" w:sz="0" w:space="0" w:color="auto"/>
      </w:divBdr>
    </w:div>
    <w:div w:id="1527257007">
      <w:bodyDiv w:val="1"/>
      <w:marLeft w:val="0"/>
      <w:marRight w:val="0"/>
      <w:marTop w:val="0"/>
      <w:marBottom w:val="0"/>
      <w:divBdr>
        <w:top w:val="none" w:sz="0" w:space="0" w:color="auto"/>
        <w:left w:val="none" w:sz="0" w:space="0" w:color="auto"/>
        <w:bottom w:val="none" w:sz="0" w:space="0" w:color="auto"/>
        <w:right w:val="none" w:sz="0" w:space="0" w:color="auto"/>
      </w:divBdr>
    </w:div>
    <w:div w:id="1528835180">
      <w:bodyDiv w:val="1"/>
      <w:marLeft w:val="0"/>
      <w:marRight w:val="0"/>
      <w:marTop w:val="0"/>
      <w:marBottom w:val="0"/>
      <w:divBdr>
        <w:top w:val="none" w:sz="0" w:space="0" w:color="auto"/>
        <w:left w:val="none" w:sz="0" w:space="0" w:color="auto"/>
        <w:bottom w:val="none" w:sz="0" w:space="0" w:color="auto"/>
        <w:right w:val="none" w:sz="0" w:space="0" w:color="auto"/>
      </w:divBdr>
    </w:div>
    <w:div w:id="1569539164">
      <w:bodyDiv w:val="1"/>
      <w:marLeft w:val="0"/>
      <w:marRight w:val="0"/>
      <w:marTop w:val="0"/>
      <w:marBottom w:val="0"/>
      <w:divBdr>
        <w:top w:val="none" w:sz="0" w:space="0" w:color="auto"/>
        <w:left w:val="none" w:sz="0" w:space="0" w:color="auto"/>
        <w:bottom w:val="none" w:sz="0" w:space="0" w:color="auto"/>
        <w:right w:val="none" w:sz="0" w:space="0" w:color="auto"/>
      </w:divBdr>
    </w:div>
    <w:div w:id="1592397191">
      <w:bodyDiv w:val="1"/>
      <w:marLeft w:val="0"/>
      <w:marRight w:val="0"/>
      <w:marTop w:val="0"/>
      <w:marBottom w:val="0"/>
      <w:divBdr>
        <w:top w:val="none" w:sz="0" w:space="0" w:color="auto"/>
        <w:left w:val="none" w:sz="0" w:space="0" w:color="auto"/>
        <w:bottom w:val="none" w:sz="0" w:space="0" w:color="auto"/>
        <w:right w:val="none" w:sz="0" w:space="0" w:color="auto"/>
      </w:divBdr>
    </w:div>
    <w:div w:id="1595549677">
      <w:bodyDiv w:val="1"/>
      <w:marLeft w:val="0"/>
      <w:marRight w:val="0"/>
      <w:marTop w:val="0"/>
      <w:marBottom w:val="0"/>
      <w:divBdr>
        <w:top w:val="none" w:sz="0" w:space="0" w:color="auto"/>
        <w:left w:val="none" w:sz="0" w:space="0" w:color="auto"/>
        <w:bottom w:val="none" w:sz="0" w:space="0" w:color="auto"/>
        <w:right w:val="none" w:sz="0" w:space="0" w:color="auto"/>
      </w:divBdr>
    </w:div>
    <w:div w:id="1617179927">
      <w:bodyDiv w:val="1"/>
      <w:marLeft w:val="0"/>
      <w:marRight w:val="0"/>
      <w:marTop w:val="0"/>
      <w:marBottom w:val="0"/>
      <w:divBdr>
        <w:top w:val="none" w:sz="0" w:space="0" w:color="auto"/>
        <w:left w:val="none" w:sz="0" w:space="0" w:color="auto"/>
        <w:bottom w:val="none" w:sz="0" w:space="0" w:color="auto"/>
        <w:right w:val="none" w:sz="0" w:space="0" w:color="auto"/>
      </w:divBdr>
    </w:div>
    <w:div w:id="1627272725">
      <w:bodyDiv w:val="1"/>
      <w:marLeft w:val="0"/>
      <w:marRight w:val="0"/>
      <w:marTop w:val="0"/>
      <w:marBottom w:val="0"/>
      <w:divBdr>
        <w:top w:val="none" w:sz="0" w:space="0" w:color="auto"/>
        <w:left w:val="none" w:sz="0" w:space="0" w:color="auto"/>
        <w:bottom w:val="none" w:sz="0" w:space="0" w:color="auto"/>
        <w:right w:val="none" w:sz="0" w:space="0" w:color="auto"/>
      </w:divBdr>
    </w:div>
    <w:div w:id="1662006261">
      <w:bodyDiv w:val="1"/>
      <w:marLeft w:val="0"/>
      <w:marRight w:val="0"/>
      <w:marTop w:val="0"/>
      <w:marBottom w:val="0"/>
      <w:divBdr>
        <w:top w:val="none" w:sz="0" w:space="0" w:color="auto"/>
        <w:left w:val="none" w:sz="0" w:space="0" w:color="auto"/>
        <w:bottom w:val="none" w:sz="0" w:space="0" w:color="auto"/>
        <w:right w:val="none" w:sz="0" w:space="0" w:color="auto"/>
      </w:divBdr>
    </w:div>
    <w:div w:id="1664891248">
      <w:bodyDiv w:val="1"/>
      <w:marLeft w:val="0"/>
      <w:marRight w:val="0"/>
      <w:marTop w:val="0"/>
      <w:marBottom w:val="0"/>
      <w:divBdr>
        <w:top w:val="none" w:sz="0" w:space="0" w:color="auto"/>
        <w:left w:val="none" w:sz="0" w:space="0" w:color="auto"/>
        <w:bottom w:val="none" w:sz="0" w:space="0" w:color="auto"/>
        <w:right w:val="none" w:sz="0" w:space="0" w:color="auto"/>
      </w:divBdr>
    </w:div>
    <w:div w:id="1692684345">
      <w:bodyDiv w:val="1"/>
      <w:marLeft w:val="0"/>
      <w:marRight w:val="0"/>
      <w:marTop w:val="0"/>
      <w:marBottom w:val="0"/>
      <w:divBdr>
        <w:top w:val="none" w:sz="0" w:space="0" w:color="auto"/>
        <w:left w:val="none" w:sz="0" w:space="0" w:color="auto"/>
        <w:bottom w:val="none" w:sz="0" w:space="0" w:color="auto"/>
        <w:right w:val="none" w:sz="0" w:space="0" w:color="auto"/>
      </w:divBdr>
    </w:div>
    <w:div w:id="1701661388">
      <w:bodyDiv w:val="1"/>
      <w:marLeft w:val="0"/>
      <w:marRight w:val="0"/>
      <w:marTop w:val="0"/>
      <w:marBottom w:val="0"/>
      <w:divBdr>
        <w:top w:val="none" w:sz="0" w:space="0" w:color="auto"/>
        <w:left w:val="none" w:sz="0" w:space="0" w:color="auto"/>
        <w:bottom w:val="none" w:sz="0" w:space="0" w:color="auto"/>
        <w:right w:val="none" w:sz="0" w:space="0" w:color="auto"/>
      </w:divBdr>
    </w:div>
    <w:div w:id="1771776266">
      <w:bodyDiv w:val="1"/>
      <w:marLeft w:val="0"/>
      <w:marRight w:val="0"/>
      <w:marTop w:val="0"/>
      <w:marBottom w:val="0"/>
      <w:divBdr>
        <w:top w:val="none" w:sz="0" w:space="0" w:color="auto"/>
        <w:left w:val="none" w:sz="0" w:space="0" w:color="auto"/>
        <w:bottom w:val="none" w:sz="0" w:space="0" w:color="auto"/>
        <w:right w:val="none" w:sz="0" w:space="0" w:color="auto"/>
      </w:divBdr>
    </w:div>
    <w:div w:id="1783305359">
      <w:bodyDiv w:val="1"/>
      <w:marLeft w:val="0"/>
      <w:marRight w:val="0"/>
      <w:marTop w:val="0"/>
      <w:marBottom w:val="0"/>
      <w:divBdr>
        <w:top w:val="none" w:sz="0" w:space="0" w:color="auto"/>
        <w:left w:val="none" w:sz="0" w:space="0" w:color="auto"/>
        <w:bottom w:val="none" w:sz="0" w:space="0" w:color="auto"/>
        <w:right w:val="none" w:sz="0" w:space="0" w:color="auto"/>
      </w:divBdr>
    </w:div>
    <w:div w:id="1790081860">
      <w:bodyDiv w:val="1"/>
      <w:marLeft w:val="0"/>
      <w:marRight w:val="0"/>
      <w:marTop w:val="0"/>
      <w:marBottom w:val="0"/>
      <w:divBdr>
        <w:top w:val="none" w:sz="0" w:space="0" w:color="auto"/>
        <w:left w:val="none" w:sz="0" w:space="0" w:color="auto"/>
        <w:bottom w:val="none" w:sz="0" w:space="0" w:color="auto"/>
        <w:right w:val="none" w:sz="0" w:space="0" w:color="auto"/>
      </w:divBdr>
    </w:div>
    <w:div w:id="1814328797">
      <w:bodyDiv w:val="1"/>
      <w:marLeft w:val="0"/>
      <w:marRight w:val="0"/>
      <w:marTop w:val="0"/>
      <w:marBottom w:val="0"/>
      <w:divBdr>
        <w:top w:val="none" w:sz="0" w:space="0" w:color="auto"/>
        <w:left w:val="none" w:sz="0" w:space="0" w:color="auto"/>
        <w:bottom w:val="none" w:sz="0" w:space="0" w:color="auto"/>
        <w:right w:val="none" w:sz="0" w:space="0" w:color="auto"/>
      </w:divBdr>
      <w:divsChild>
        <w:div w:id="1884512219">
          <w:marLeft w:val="0"/>
          <w:marRight w:val="0"/>
          <w:marTop w:val="0"/>
          <w:marBottom w:val="0"/>
          <w:divBdr>
            <w:top w:val="none" w:sz="0" w:space="0" w:color="auto"/>
            <w:left w:val="none" w:sz="0" w:space="0" w:color="auto"/>
            <w:bottom w:val="none" w:sz="0" w:space="0" w:color="auto"/>
            <w:right w:val="none" w:sz="0" w:space="0" w:color="auto"/>
          </w:divBdr>
        </w:div>
      </w:divsChild>
    </w:div>
    <w:div w:id="1831364171">
      <w:bodyDiv w:val="1"/>
      <w:marLeft w:val="0"/>
      <w:marRight w:val="0"/>
      <w:marTop w:val="0"/>
      <w:marBottom w:val="0"/>
      <w:divBdr>
        <w:top w:val="none" w:sz="0" w:space="0" w:color="auto"/>
        <w:left w:val="none" w:sz="0" w:space="0" w:color="auto"/>
        <w:bottom w:val="none" w:sz="0" w:space="0" w:color="auto"/>
        <w:right w:val="none" w:sz="0" w:space="0" w:color="auto"/>
      </w:divBdr>
    </w:div>
    <w:div w:id="1879394879">
      <w:bodyDiv w:val="1"/>
      <w:marLeft w:val="0"/>
      <w:marRight w:val="0"/>
      <w:marTop w:val="0"/>
      <w:marBottom w:val="0"/>
      <w:divBdr>
        <w:top w:val="none" w:sz="0" w:space="0" w:color="auto"/>
        <w:left w:val="none" w:sz="0" w:space="0" w:color="auto"/>
        <w:bottom w:val="none" w:sz="0" w:space="0" w:color="auto"/>
        <w:right w:val="none" w:sz="0" w:space="0" w:color="auto"/>
      </w:divBdr>
    </w:div>
    <w:div w:id="1895895227">
      <w:bodyDiv w:val="1"/>
      <w:marLeft w:val="0"/>
      <w:marRight w:val="0"/>
      <w:marTop w:val="0"/>
      <w:marBottom w:val="0"/>
      <w:divBdr>
        <w:top w:val="none" w:sz="0" w:space="0" w:color="auto"/>
        <w:left w:val="none" w:sz="0" w:space="0" w:color="auto"/>
        <w:bottom w:val="none" w:sz="0" w:space="0" w:color="auto"/>
        <w:right w:val="none" w:sz="0" w:space="0" w:color="auto"/>
      </w:divBdr>
    </w:div>
    <w:div w:id="1900938190">
      <w:bodyDiv w:val="1"/>
      <w:marLeft w:val="0"/>
      <w:marRight w:val="0"/>
      <w:marTop w:val="0"/>
      <w:marBottom w:val="0"/>
      <w:divBdr>
        <w:top w:val="none" w:sz="0" w:space="0" w:color="auto"/>
        <w:left w:val="none" w:sz="0" w:space="0" w:color="auto"/>
        <w:bottom w:val="none" w:sz="0" w:space="0" w:color="auto"/>
        <w:right w:val="none" w:sz="0" w:space="0" w:color="auto"/>
      </w:divBdr>
    </w:div>
    <w:div w:id="1901404717">
      <w:bodyDiv w:val="1"/>
      <w:marLeft w:val="0"/>
      <w:marRight w:val="0"/>
      <w:marTop w:val="0"/>
      <w:marBottom w:val="0"/>
      <w:divBdr>
        <w:top w:val="none" w:sz="0" w:space="0" w:color="auto"/>
        <w:left w:val="none" w:sz="0" w:space="0" w:color="auto"/>
        <w:bottom w:val="none" w:sz="0" w:space="0" w:color="auto"/>
        <w:right w:val="none" w:sz="0" w:space="0" w:color="auto"/>
      </w:divBdr>
    </w:div>
    <w:div w:id="1922791543">
      <w:bodyDiv w:val="1"/>
      <w:marLeft w:val="0"/>
      <w:marRight w:val="0"/>
      <w:marTop w:val="0"/>
      <w:marBottom w:val="0"/>
      <w:divBdr>
        <w:top w:val="none" w:sz="0" w:space="0" w:color="auto"/>
        <w:left w:val="none" w:sz="0" w:space="0" w:color="auto"/>
        <w:bottom w:val="none" w:sz="0" w:space="0" w:color="auto"/>
        <w:right w:val="none" w:sz="0" w:space="0" w:color="auto"/>
      </w:divBdr>
    </w:div>
    <w:div w:id="1923486722">
      <w:bodyDiv w:val="1"/>
      <w:marLeft w:val="0"/>
      <w:marRight w:val="0"/>
      <w:marTop w:val="0"/>
      <w:marBottom w:val="0"/>
      <w:divBdr>
        <w:top w:val="none" w:sz="0" w:space="0" w:color="auto"/>
        <w:left w:val="none" w:sz="0" w:space="0" w:color="auto"/>
        <w:bottom w:val="none" w:sz="0" w:space="0" w:color="auto"/>
        <w:right w:val="none" w:sz="0" w:space="0" w:color="auto"/>
      </w:divBdr>
    </w:div>
    <w:div w:id="1931503990">
      <w:bodyDiv w:val="1"/>
      <w:marLeft w:val="0"/>
      <w:marRight w:val="0"/>
      <w:marTop w:val="0"/>
      <w:marBottom w:val="0"/>
      <w:divBdr>
        <w:top w:val="none" w:sz="0" w:space="0" w:color="auto"/>
        <w:left w:val="none" w:sz="0" w:space="0" w:color="auto"/>
        <w:bottom w:val="none" w:sz="0" w:space="0" w:color="auto"/>
        <w:right w:val="none" w:sz="0" w:space="0" w:color="auto"/>
      </w:divBdr>
    </w:div>
    <w:div w:id="1958877341">
      <w:bodyDiv w:val="1"/>
      <w:marLeft w:val="0"/>
      <w:marRight w:val="0"/>
      <w:marTop w:val="0"/>
      <w:marBottom w:val="0"/>
      <w:divBdr>
        <w:top w:val="none" w:sz="0" w:space="0" w:color="auto"/>
        <w:left w:val="none" w:sz="0" w:space="0" w:color="auto"/>
        <w:bottom w:val="none" w:sz="0" w:space="0" w:color="auto"/>
        <w:right w:val="none" w:sz="0" w:space="0" w:color="auto"/>
      </w:divBdr>
    </w:div>
    <w:div w:id="1984043899">
      <w:bodyDiv w:val="1"/>
      <w:marLeft w:val="0"/>
      <w:marRight w:val="0"/>
      <w:marTop w:val="0"/>
      <w:marBottom w:val="0"/>
      <w:divBdr>
        <w:top w:val="none" w:sz="0" w:space="0" w:color="auto"/>
        <w:left w:val="none" w:sz="0" w:space="0" w:color="auto"/>
        <w:bottom w:val="none" w:sz="0" w:space="0" w:color="auto"/>
        <w:right w:val="none" w:sz="0" w:space="0" w:color="auto"/>
      </w:divBdr>
    </w:div>
    <w:div w:id="1990090732">
      <w:bodyDiv w:val="1"/>
      <w:marLeft w:val="0"/>
      <w:marRight w:val="0"/>
      <w:marTop w:val="0"/>
      <w:marBottom w:val="0"/>
      <w:divBdr>
        <w:top w:val="none" w:sz="0" w:space="0" w:color="auto"/>
        <w:left w:val="none" w:sz="0" w:space="0" w:color="auto"/>
        <w:bottom w:val="none" w:sz="0" w:space="0" w:color="auto"/>
        <w:right w:val="none" w:sz="0" w:space="0" w:color="auto"/>
      </w:divBdr>
    </w:div>
    <w:div w:id="207076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salihaergun\Downloads\buy_deg_tablolar%20(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663342615976441E-2"/>
          <c:y val="4.1997354497354498E-2"/>
          <c:w val="0.91265290118616127"/>
          <c:h val="0.7164814814814815"/>
        </c:manualLayout>
      </c:layout>
      <c:barChart>
        <c:barDir val="col"/>
        <c:grouping val="clustered"/>
        <c:varyColors val="0"/>
        <c:ser>
          <c:idx val="0"/>
          <c:order val="0"/>
          <c:tx>
            <c:strRef>
              <c:f>'2025Q4'!$E$33</c:f>
              <c:strCache>
                <c:ptCount val="1"/>
                <c:pt idx="0">
                  <c:v>Yıllık değişim</c:v>
                </c:pt>
              </c:strCache>
            </c:strRef>
          </c:tx>
          <c:spPr>
            <a:solidFill>
              <a:schemeClr val="accent1"/>
            </a:solidFill>
            <a:ln>
              <a:noFill/>
            </a:ln>
            <a:effectLst/>
          </c:spPr>
          <c:invertIfNegative val="0"/>
          <c:dLbls>
            <c:dLbl>
              <c:idx val="25"/>
              <c:layout>
                <c:manualLayout>
                  <c:x val="-3.3068783068783233E-2"/>
                  <c:y val="-4.3049327354260092E-2"/>
                </c:manualLayout>
              </c:layout>
              <c:spPr>
                <a:noFill/>
                <a:ln>
                  <a:solidFill>
                    <a:schemeClr val="accent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solidFill>
                      <a:latin typeface="+mn-lt"/>
                      <a:ea typeface="+mn-ea"/>
                      <a:cs typeface="+mn-cs"/>
                    </a:defRPr>
                  </a:pPr>
                  <a:endParaRPr lang="en-TR"/>
                </a:p>
              </c:txP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1-1A75-5C4E-9C12-CC80010D25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'2025Q4'!$A$52:$A$77</c:f>
              <c:strCache>
                <c:ptCount val="26"/>
                <c:pt idx="0">
                  <c:v>2019Q3</c:v>
                </c:pt>
                <c:pt idx="1">
                  <c:v>2019Q4</c:v>
                </c:pt>
                <c:pt idx="2">
                  <c:v>2020Q1</c:v>
                </c:pt>
                <c:pt idx="3">
                  <c:v>2020Q2</c:v>
                </c:pt>
                <c:pt idx="4">
                  <c:v>2020Q3</c:v>
                </c:pt>
                <c:pt idx="5">
                  <c:v>2020Q4</c:v>
                </c:pt>
                <c:pt idx="6">
                  <c:v>2021Q1</c:v>
                </c:pt>
                <c:pt idx="7">
                  <c:v>2021Q2</c:v>
                </c:pt>
                <c:pt idx="8">
                  <c:v>2021Q3</c:v>
                </c:pt>
                <c:pt idx="9">
                  <c:v>2021Q4</c:v>
                </c:pt>
                <c:pt idx="10">
                  <c:v>2022Q1</c:v>
                </c:pt>
                <c:pt idx="11">
                  <c:v>2022Q2</c:v>
                </c:pt>
                <c:pt idx="12">
                  <c:v>2022Q3</c:v>
                </c:pt>
                <c:pt idx="13">
                  <c:v>2022Q4</c:v>
                </c:pt>
                <c:pt idx="14">
                  <c:v>2023Q1</c:v>
                </c:pt>
                <c:pt idx="15">
                  <c:v>2023Q2</c:v>
                </c:pt>
                <c:pt idx="16">
                  <c:v>2023Q3</c:v>
                </c:pt>
                <c:pt idx="17">
                  <c:v>2023Q4</c:v>
                </c:pt>
                <c:pt idx="18">
                  <c:v>2024Q1</c:v>
                </c:pt>
                <c:pt idx="19">
                  <c:v>2024Q2</c:v>
                </c:pt>
                <c:pt idx="20">
                  <c:v>2024Q3</c:v>
                </c:pt>
                <c:pt idx="21">
                  <c:v>2024Q4</c:v>
                </c:pt>
                <c:pt idx="22">
                  <c:v>2025Q1</c:v>
                </c:pt>
                <c:pt idx="23">
                  <c:v>2025Q2</c:v>
                </c:pt>
                <c:pt idx="24">
                  <c:v>2025Q3</c:v>
                </c:pt>
                <c:pt idx="25">
                  <c:v>2025Q4</c:v>
                </c:pt>
              </c:strCache>
            </c:strRef>
          </c:cat>
          <c:val>
            <c:numRef>
              <c:f>'2025Q4'!$E$52:$E$77</c:f>
              <c:numCache>
                <c:formatCode>0.0</c:formatCode>
                <c:ptCount val="26"/>
                <c:pt idx="0">
                  <c:v>1.2850064978458642</c:v>
                </c:pt>
                <c:pt idx="1">
                  <c:v>6.1542523091220325</c:v>
                </c:pt>
                <c:pt idx="2">
                  <c:v>4.2797572789965654</c:v>
                </c:pt>
                <c:pt idx="3">
                  <c:v>-10.175316414427183</c:v>
                </c:pt>
                <c:pt idx="4">
                  <c:v>6.4111192617388513</c:v>
                </c:pt>
                <c:pt idx="5">
                  <c:v>6.0196232043504327</c:v>
                </c:pt>
                <c:pt idx="6">
                  <c:v>7.964352141198372</c:v>
                </c:pt>
                <c:pt idx="7">
                  <c:v>22.39034185348001</c:v>
                </c:pt>
                <c:pt idx="8">
                  <c:v>8.1745751047599171</c:v>
                </c:pt>
                <c:pt idx="9">
                  <c:v>10.416045724310873</c:v>
                </c:pt>
                <c:pt idx="10">
                  <c:v>7.8205187171919599</c:v>
                </c:pt>
                <c:pt idx="11">
                  <c:v>7.5515681058191841</c:v>
                </c:pt>
                <c:pt idx="12">
                  <c:v>4.1273193217609805</c:v>
                </c:pt>
                <c:pt idx="13">
                  <c:v>3.0745459987924439</c:v>
                </c:pt>
                <c:pt idx="14">
                  <c:v>3.9602884674929673</c:v>
                </c:pt>
                <c:pt idx="15">
                  <c:v>4.6011817170339198</c:v>
                </c:pt>
                <c:pt idx="16">
                  <c:v>6.5002265430257555</c:v>
                </c:pt>
                <c:pt idx="17">
                  <c:v>4.9092433870538299</c:v>
                </c:pt>
                <c:pt idx="18">
                  <c:v>5.2657779910560532</c:v>
                </c:pt>
                <c:pt idx="19">
                  <c:v>2.250041555590987</c:v>
                </c:pt>
                <c:pt idx="20">
                  <c:v>2.8231225188739995</c:v>
                </c:pt>
                <c:pt idx="21">
                  <c:v>3.2003063139374621</c:v>
                </c:pt>
                <c:pt idx="22">
                  <c:v>2.4538221928084747</c:v>
                </c:pt>
                <c:pt idx="23">
                  <c:v>4.6533415987904503</c:v>
                </c:pt>
                <c:pt idx="24">
                  <c:v>3.8329950428036996</c:v>
                </c:pt>
                <c:pt idx="25">
                  <c:v>3.4207116593593767</c:v>
                </c:pt>
              </c:numCache>
            </c:numRef>
          </c:val>
          <c:extLst>
            <c:ext xmlns:c16="http://schemas.microsoft.com/office/drawing/2014/chart" uri="{C3380CC4-5D6E-409C-BE32-E72D297353CC}">
              <c16:uniqueId val="{00000000-B2C6-7D4C-8FB7-66D3A4B30550}"/>
            </c:ext>
          </c:extLst>
        </c:ser>
        <c:dLbls>
          <c:showLegendKey val="0"/>
          <c:showVal val="0"/>
          <c:showCatName val="0"/>
          <c:showSerName val="0"/>
          <c:showPercent val="0"/>
          <c:showBubbleSize val="0"/>
        </c:dLbls>
        <c:gapWidth val="75"/>
        <c:overlap val="-25"/>
        <c:axId val="796996655"/>
        <c:axId val="795652143"/>
      </c:barChart>
      <c:lineChart>
        <c:grouping val="standard"/>
        <c:varyColors val="0"/>
        <c:ser>
          <c:idx val="1"/>
          <c:order val="1"/>
          <c:tx>
            <c:strRef>
              <c:f>'2025Q4'!$F$33</c:f>
              <c:strCache>
                <c:ptCount val="1"/>
                <c:pt idx="0">
                  <c:v>Çeyreklik değişim</c:v>
                </c:pt>
              </c:strCache>
            </c:strRef>
          </c:tx>
          <c:spPr>
            <a:ln w="25400" cap="rnd">
              <a:solidFill>
                <a:schemeClr val="tx1"/>
              </a:solidFill>
              <a:round/>
            </a:ln>
            <a:effectLst/>
          </c:spPr>
          <c:marker>
            <c:symbol val="none"/>
          </c:marker>
          <c:dLbls>
            <c:dLbl>
              <c:idx val="25"/>
              <c:layout>
                <c:manualLayout>
                  <c:x val="-8.8183421516754845E-3"/>
                  <c:y val="5.7399103139013516E-2"/>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TR"/>
                </a:p>
              </c:txP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0-1A75-5C4E-9C12-CC80010D25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'2025Q4'!$A$52:$A$77</c:f>
              <c:strCache>
                <c:ptCount val="26"/>
                <c:pt idx="0">
                  <c:v>2019Q3</c:v>
                </c:pt>
                <c:pt idx="1">
                  <c:v>2019Q4</c:v>
                </c:pt>
                <c:pt idx="2">
                  <c:v>2020Q1</c:v>
                </c:pt>
                <c:pt idx="3">
                  <c:v>2020Q2</c:v>
                </c:pt>
                <c:pt idx="4">
                  <c:v>2020Q3</c:v>
                </c:pt>
                <c:pt idx="5">
                  <c:v>2020Q4</c:v>
                </c:pt>
                <c:pt idx="6">
                  <c:v>2021Q1</c:v>
                </c:pt>
                <c:pt idx="7">
                  <c:v>2021Q2</c:v>
                </c:pt>
                <c:pt idx="8">
                  <c:v>2021Q3</c:v>
                </c:pt>
                <c:pt idx="9">
                  <c:v>2021Q4</c:v>
                </c:pt>
                <c:pt idx="10">
                  <c:v>2022Q1</c:v>
                </c:pt>
                <c:pt idx="11">
                  <c:v>2022Q2</c:v>
                </c:pt>
                <c:pt idx="12">
                  <c:v>2022Q3</c:v>
                </c:pt>
                <c:pt idx="13">
                  <c:v>2022Q4</c:v>
                </c:pt>
                <c:pt idx="14">
                  <c:v>2023Q1</c:v>
                </c:pt>
                <c:pt idx="15">
                  <c:v>2023Q2</c:v>
                </c:pt>
                <c:pt idx="16">
                  <c:v>2023Q3</c:v>
                </c:pt>
                <c:pt idx="17">
                  <c:v>2023Q4</c:v>
                </c:pt>
                <c:pt idx="18">
                  <c:v>2024Q1</c:v>
                </c:pt>
                <c:pt idx="19">
                  <c:v>2024Q2</c:v>
                </c:pt>
                <c:pt idx="20">
                  <c:v>2024Q3</c:v>
                </c:pt>
                <c:pt idx="21">
                  <c:v>2024Q4</c:v>
                </c:pt>
                <c:pt idx="22">
                  <c:v>2025Q1</c:v>
                </c:pt>
                <c:pt idx="23">
                  <c:v>2025Q2</c:v>
                </c:pt>
                <c:pt idx="24">
                  <c:v>2025Q3</c:v>
                </c:pt>
                <c:pt idx="25">
                  <c:v>2025Q4</c:v>
                </c:pt>
              </c:strCache>
            </c:strRef>
          </c:cat>
          <c:val>
            <c:numRef>
              <c:f>'2025Q4'!$F$52:$F$77</c:f>
              <c:numCache>
                <c:formatCode>0.0</c:formatCode>
                <c:ptCount val="26"/>
                <c:pt idx="0">
                  <c:v>2.4679849116582275E-2</c:v>
                </c:pt>
                <c:pt idx="1">
                  <c:v>1.5625911417347815</c:v>
                </c:pt>
                <c:pt idx="2">
                  <c:v>0.35286258974236429</c:v>
                </c:pt>
                <c:pt idx="3">
                  <c:v>-10.380578678922669</c:v>
                </c:pt>
                <c:pt idx="4">
                  <c:v>15.675092418965519</c:v>
                </c:pt>
                <c:pt idx="5">
                  <c:v>1.268656260331924</c:v>
                </c:pt>
                <c:pt idx="6">
                  <c:v>2.6806047492270446</c:v>
                </c:pt>
                <c:pt idx="7">
                  <c:v>1.602507988647206</c:v>
                </c:pt>
                <c:pt idx="8">
                  <c:v>3.510023365435555</c:v>
                </c:pt>
                <c:pt idx="9">
                  <c:v>1.8347026354190721</c:v>
                </c:pt>
                <c:pt idx="10">
                  <c:v>-0.29435935945170133</c:v>
                </c:pt>
                <c:pt idx="11">
                  <c:v>1.6802493732398727</c:v>
                </c:pt>
                <c:pt idx="12">
                  <c:v>0.90209803946115219</c:v>
                </c:pt>
                <c:pt idx="13">
                  <c:v>0.97180644314180942</c:v>
                </c:pt>
                <c:pt idx="14">
                  <c:v>-0.77925124669850909</c:v>
                </c:pt>
                <c:pt idx="15">
                  <c:v>4.7484332091224157</c:v>
                </c:pt>
                <c:pt idx="16">
                  <c:v>0.77907908929997216</c:v>
                </c:pt>
                <c:pt idx="17">
                  <c:v>0.67017455973632512</c:v>
                </c:pt>
                <c:pt idx="18">
                  <c:v>0.85046440037492843</c:v>
                </c:pt>
                <c:pt idx="19">
                  <c:v>-0.12372870155209492</c:v>
                </c:pt>
                <c:pt idx="20">
                  <c:v>0.63082434345438365</c:v>
                </c:pt>
                <c:pt idx="21">
                  <c:v>1.3148071365124414</c:v>
                </c:pt>
                <c:pt idx="22">
                  <c:v>0.73742798875002791</c:v>
                </c:pt>
                <c:pt idx="23">
                  <c:v>1.2926166737164957</c:v>
                </c:pt>
                <c:pt idx="24">
                  <c:v>0.99917298118701314</c:v>
                </c:pt>
                <c:pt idx="25">
                  <c:v>0.38393606930828827</c:v>
                </c:pt>
              </c:numCache>
            </c:numRef>
          </c:val>
          <c:smooth val="0"/>
          <c:extLst>
            <c:ext xmlns:c16="http://schemas.microsoft.com/office/drawing/2014/chart" uri="{C3380CC4-5D6E-409C-BE32-E72D297353CC}">
              <c16:uniqueId val="{00000001-B2C6-7D4C-8FB7-66D3A4B30550}"/>
            </c:ext>
          </c:extLst>
        </c:ser>
        <c:dLbls>
          <c:showLegendKey val="0"/>
          <c:showVal val="0"/>
          <c:showCatName val="0"/>
          <c:showSerName val="0"/>
          <c:showPercent val="0"/>
          <c:showBubbleSize val="0"/>
        </c:dLbls>
        <c:marker val="1"/>
        <c:smooth val="0"/>
        <c:axId val="796996655"/>
        <c:axId val="795652143"/>
      </c:lineChart>
      <c:catAx>
        <c:axId val="796996655"/>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1"/>
          <a:lstStyle/>
          <a:p>
            <a:pPr>
              <a:defRPr sz="900" b="0" i="0" u="none" strike="noStrike" kern="1200" baseline="0">
                <a:solidFill>
                  <a:schemeClr val="tx1">
                    <a:lumMod val="65000"/>
                    <a:lumOff val="35000"/>
                  </a:schemeClr>
                </a:solidFill>
                <a:latin typeface="+mn-lt"/>
                <a:ea typeface="+mn-ea"/>
                <a:cs typeface="+mn-cs"/>
              </a:defRPr>
            </a:pPr>
            <a:endParaRPr lang="en-TR"/>
          </a:p>
        </c:txPr>
        <c:crossAx val="795652143"/>
        <c:crosses val="autoZero"/>
        <c:auto val="1"/>
        <c:lblAlgn val="ctr"/>
        <c:lblOffset val="100"/>
        <c:noMultiLvlLbl val="0"/>
      </c:catAx>
      <c:valAx>
        <c:axId val="79565214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crossAx val="796996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192CDA151078BE4DB52CE2A0BF05C16B" ma:contentTypeVersion="16" ma:contentTypeDescription="Yeni belge oluşturun." ma:contentTypeScope="" ma:versionID="2464b6872367c00d340570baff9db5d5">
  <xsd:schema xmlns:xsd="http://www.w3.org/2001/XMLSchema" xmlns:xs="http://www.w3.org/2001/XMLSchema" xmlns:p="http://schemas.microsoft.com/office/2006/metadata/properties" xmlns:ns1="http://schemas.microsoft.com/sharepoint/v3" xmlns:ns3="6a91392b-4aab-4a5a-8abc-e018e4ed1710" xmlns:ns4="a948c1a1-7427-4f82-bcc1-319815582633" targetNamespace="http://schemas.microsoft.com/office/2006/metadata/properties" ma:root="true" ma:fieldsID="e643b129f10375a8b0d74e30ffdaf847" ns1:_="" ns3:_="" ns4:_="">
    <xsd:import namespace="http://schemas.microsoft.com/sharepoint/v3"/>
    <xsd:import namespace="6a91392b-4aab-4a5a-8abc-e018e4ed1710"/>
    <xsd:import namespace="a948c1a1-7427-4f82-bcc1-3198155826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irleşik Uygunluk İlkesi Özellikleri" ma:hidden="true" ma:internalName="_ip_UnifiedCompliancePolicyProperties">
      <xsd:simpleType>
        <xsd:restriction base="dms:Note"/>
      </xsd:simpleType>
    </xsd:element>
    <xsd:element name="_ip_UnifiedCompliancePolicyUIAction" ma:index="23" nillable="true" ma:displayName="Birleşik Uygunluk İlkesi UI Eylem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1392b-4aab-4a5a-8abc-e018e4ed1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48c1a1-7427-4f82-bcc1-319815582633"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B4611-D04C-46DB-9DEB-CBAC225D99DB}">
  <ds:schemaRefs>
    <ds:schemaRef ds:uri="http://schemas.openxmlformats.org/officeDocument/2006/bibliography"/>
  </ds:schemaRefs>
</ds:datastoreItem>
</file>

<file path=customXml/itemProps2.xml><?xml version="1.0" encoding="utf-8"?>
<ds:datastoreItem xmlns:ds="http://schemas.openxmlformats.org/officeDocument/2006/customXml" ds:itemID="{F37626F8-431B-4CF4-A81B-FBECE9A7C923}">
  <ds:schemaRefs>
    <ds:schemaRef ds:uri="http://schemas.microsoft.com/sharepoint/v3/contenttype/forms"/>
  </ds:schemaRefs>
</ds:datastoreItem>
</file>

<file path=customXml/itemProps3.xml><?xml version="1.0" encoding="utf-8"?>
<ds:datastoreItem xmlns:ds="http://schemas.openxmlformats.org/officeDocument/2006/customXml" ds:itemID="{B13C4E5F-EF7F-4EBF-974F-0DFE5C48456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4E19B37-448A-4262-8F52-E69973EE8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91392b-4aab-4a5a-8abc-e018e4ed1710"/>
    <ds:schemaRef ds:uri="a948c1a1-7427-4f82-bcc1-319815582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901</Words>
  <Characters>5528</Characters>
  <Application>Microsoft Office Word</Application>
  <DocSecurity>0</DocSecurity>
  <Lines>184</Lines>
  <Paragraphs>114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Ozan BAKIS</dc:creator>
  <cp:lastModifiedBy>Saliha TANRIVERDI</cp:lastModifiedBy>
  <cp:revision>8</cp:revision>
  <cp:lastPrinted>2025-06-04T21:46:00Z</cp:lastPrinted>
  <dcterms:created xsi:type="dcterms:W3CDTF">2026-03-25T08:56:00Z</dcterms:created>
  <dcterms:modified xsi:type="dcterms:W3CDTF">2026-03-25T10:25:00Z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0x010100192CDA151078BE4DB52CE2A0BF05C16B</vt:lpwstr>
  </property>
  <property fmtid="{D5CDD505-2E9C-101B-9397-08002B2CF9AE}" pid="3" name="GrammarlyDocumentId">
    <vt:lpwstr>05ff900d17ec4dc20a9e3178f868bd795b7c805421972546187020e574589791</vt:lpwstr>
  </property>
</Properties>
</file>