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2A13D" w14:textId="77777777" w:rsidR="00640379" w:rsidRPr="00821820" w:rsidRDefault="003B650D" w:rsidP="00640379">
      <w:pPr>
        <w:rPr>
          <w:rFonts w:ascii="Arial" w:hAnsi="Arial" w:cs="Arial"/>
          <w:sz w:val="20"/>
          <w:szCs w:val="20"/>
        </w:rPr>
      </w:pPr>
      <w:r>
        <w:rPr>
          <w:rFonts w:ascii="Arial" w:hAnsi="Arial" w:cs="Arial"/>
          <w:noProof/>
          <w:sz w:val="20"/>
          <w:szCs w:val="20"/>
          <w:lang w:eastAsia="tr-TR"/>
        </w:rPr>
        <mc:AlternateContent>
          <mc:Choice Requires="wps">
            <w:drawing>
              <wp:anchor distT="0" distB="0" distL="114935" distR="114935" simplePos="0" relativeHeight="251657216" behindDoc="0" locked="0" layoutInCell="1" allowOverlap="1" wp14:anchorId="6EC9F890" wp14:editId="55519D87">
                <wp:simplePos x="0" y="0"/>
                <wp:positionH relativeFrom="column">
                  <wp:posOffset>1813560</wp:posOffset>
                </wp:positionH>
                <wp:positionV relativeFrom="paragraph">
                  <wp:posOffset>-384810</wp:posOffset>
                </wp:positionV>
                <wp:extent cx="3963670" cy="5689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568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DCC00" w14:textId="756B2DDF" w:rsidR="004847BA" w:rsidRPr="00D9195B" w:rsidRDefault="004847BA" w:rsidP="00640379">
                            <w:pPr>
                              <w:pStyle w:val="Heading1"/>
                              <w:jc w:val="left"/>
                              <w:rPr>
                                <w:rFonts w:ascii="Palatino Linotype" w:hAnsi="Palatino Linotype"/>
                                <w:color w:val="FF0000"/>
                                <w:sz w:val="52"/>
                                <w:szCs w:val="52"/>
                              </w:rPr>
                            </w:pPr>
                            <w:r>
                              <w:rPr>
                                <w:sz w:val="52"/>
                                <w:szCs w:val="52"/>
                              </w:rPr>
                              <w:t xml:space="preserve"> </w:t>
                            </w:r>
                            <w:r w:rsidRPr="00D9195B">
                              <w:rPr>
                                <w:rFonts w:ascii="Palatino Linotype" w:hAnsi="Palatino Linotype"/>
                                <w:sz w:val="52"/>
                                <w:szCs w:val="52"/>
                              </w:rPr>
                              <w:t xml:space="preserve">Araştırma </w:t>
                            </w:r>
                            <w:r w:rsidR="00D11A8E" w:rsidRPr="00D9195B">
                              <w:rPr>
                                <w:rFonts w:ascii="Palatino Linotype" w:hAnsi="Palatino Linotype"/>
                                <w:sz w:val="52"/>
                                <w:szCs w:val="52"/>
                              </w:rPr>
                              <w:t xml:space="preserve">Notu </w:t>
                            </w:r>
                            <w:r w:rsidR="00AC6EA0">
                              <w:rPr>
                                <w:rFonts w:ascii="Palatino Linotype" w:hAnsi="Palatino Linotype"/>
                                <w:sz w:val="52"/>
                                <w:szCs w:val="52"/>
                              </w:rPr>
                              <w:t>25</w:t>
                            </w:r>
                            <w:r w:rsidR="00D11A8E" w:rsidRPr="00D9195B">
                              <w:rPr>
                                <w:rFonts w:ascii="Palatino Linotype" w:hAnsi="Palatino Linotype"/>
                                <w:sz w:val="52"/>
                                <w:szCs w:val="52"/>
                              </w:rPr>
                              <w:t>/</w:t>
                            </w:r>
                            <w:r w:rsidR="0077360C">
                              <w:rPr>
                                <w:rFonts w:ascii="Palatino Linotype" w:hAnsi="Palatino Linotype"/>
                                <w:sz w:val="52"/>
                                <w:szCs w:val="52"/>
                              </w:rPr>
                              <w:t>27</w:t>
                            </w:r>
                            <w:r w:rsidR="00A42962">
                              <w:rPr>
                                <w:rFonts w:ascii="Palatino Linotype" w:hAnsi="Palatino Linotype"/>
                                <w:sz w:val="52"/>
                                <w:szCs w:val="52"/>
                              </w:rPr>
                              <w:t>9</w:t>
                            </w:r>
                          </w:p>
                          <w:p w14:paraId="23E7E32F" w14:textId="77777777" w:rsidR="004847BA" w:rsidRPr="00526178" w:rsidRDefault="004847BA" w:rsidP="00640379">
                            <w:pPr>
                              <w:pStyle w:val="Heading2"/>
                              <w:numPr>
                                <w:ilvl w:val="1"/>
                                <w:numId w:val="1"/>
                              </w:numPr>
                              <w:rPr>
                                <w:b w:val="0"/>
                                <w:bCs w:val="0"/>
                                <w:i w:val="0"/>
                                <w:iCs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EC9F890" id="_x0000_t202" coordsize="21600,21600" o:spt="202" path="m,l,21600r21600,l21600,xe">
                <v:stroke joinstyle="miter"/>
                <v:path gradientshapeok="t" o:connecttype="rect"/>
              </v:shapetype>
              <v:shape id="Text Box 2" o:spid="_x0000_s1026" type="#_x0000_t202" style="position:absolute;margin-left:142.8pt;margin-top:-30.3pt;width:312.1pt;height:44.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" stroked="f">
                <v:fill opacity="0"/>
                <v:textbox inset="0,0,0,0">
                  <w:txbxContent>
                    <w:p w14:paraId="3CDDCC00" w14:textId="756B2DDF" w:rsidR="004847BA" w:rsidRPr="00D9195B" w:rsidRDefault="004847BA" w:rsidP="00640379">
                      <w:pPr>
                        <w:pStyle w:val="Ttulo1"/>
                        <w:jc w:val="left"/>
                        <w:rPr>
                          <w:rFonts w:ascii="Palatino Linotype" w:hAnsi="Palatino Linotype"/>
                          <w:color w:val="FF0000"/>
                          <w:sz w:val="52"/>
                          <w:szCs w:val="52"/>
                        </w:rPr>
                      </w:pPr>
                      <w:r>
                        <w:rPr>
                          <w:sz w:val="52"/>
                          <w:szCs w:val="52"/>
                        </w:rPr>
                        <w:t xml:space="preserve"> </w:t>
                      </w:r>
                      <w:r w:rsidRPr="00D9195B">
                        <w:rPr>
                          <w:rFonts w:ascii="Palatino Linotype" w:hAnsi="Palatino Linotype"/>
                          <w:sz w:val="52"/>
                          <w:szCs w:val="52"/>
                        </w:rPr>
                        <w:t xml:space="preserve">Araştırma </w:t>
                      </w:r>
                      <w:r w:rsidR="00D11A8E" w:rsidRPr="00D9195B">
                        <w:rPr>
                          <w:rFonts w:ascii="Palatino Linotype" w:hAnsi="Palatino Linotype"/>
                          <w:sz w:val="52"/>
                          <w:szCs w:val="52"/>
                        </w:rPr>
                        <w:t xml:space="preserve">Notu </w:t>
                      </w:r>
                      <w:r w:rsidR="00AC6EA0">
                        <w:rPr>
                          <w:rFonts w:ascii="Palatino Linotype" w:hAnsi="Palatino Linotype"/>
                          <w:sz w:val="52"/>
                          <w:szCs w:val="52"/>
                        </w:rPr>
                        <w:t>25</w:t>
                      </w:r>
                      <w:r w:rsidR="00D11A8E" w:rsidRPr="00D9195B">
                        <w:rPr>
                          <w:rFonts w:ascii="Palatino Linotype" w:hAnsi="Palatino Linotype"/>
                          <w:sz w:val="52"/>
                          <w:szCs w:val="52"/>
                        </w:rPr>
                        <w:t>/</w:t>
                      </w:r>
                      <w:r w:rsidR="0077360C">
                        <w:rPr>
                          <w:rFonts w:ascii="Palatino Linotype" w:hAnsi="Palatino Linotype"/>
                          <w:sz w:val="52"/>
                          <w:szCs w:val="52"/>
                        </w:rPr>
                        <w:t>27</w:t>
                      </w:r>
                      <w:r w:rsidR="00A42962">
                        <w:rPr>
                          <w:rFonts w:ascii="Palatino Linotype" w:hAnsi="Palatino Linotype"/>
                          <w:sz w:val="52"/>
                          <w:szCs w:val="52"/>
                        </w:rPr>
                        <w:t>9</w:t>
                      </w:r>
                    </w:p>
                    <w:p w14:paraId="23E7E32F" w14:textId="77777777" w:rsidR="004847BA" w:rsidRPr="00526178" w:rsidRDefault="004847BA" w:rsidP="00640379">
                      <w:pPr>
                        <w:pStyle w:val="Ttulo2"/>
                        <w:numPr>
                          <w:ilvl w:val="1"/>
                          <w:numId w:val="1"/>
                        </w:numPr>
                        <w:rPr>
                          <w:b w:val="0"/>
                          <w:bCs w:val="0"/>
                          <w:i w:val="0"/>
                          <w:iCs w:val="0"/>
                        </w:rPr>
                      </w:pPr>
                    </w:p>
                  </w:txbxContent>
                </v:textbox>
              </v:shape>
            </w:pict>
          </mc:Fallback>
        </mc:AlternateContent>
      </w:r>
      <w:r w:rsidR="00FF567A">
        <w:rPr>
          <w:rFonts w:ascii="Arial" w:hAnsi="Arial" w:cs="Arial"/>
          <w:noProof/>
          <w:sz w:val="20"/>
          <w:szCs w:val="20"/>
          <w:lang w:eastAsia="tr-TR"/>
        </w:rPr>
        <w:drawing>
          <wp:anchor distT="0" distB="0" distL="114300" distR="114300" simplePos="0" relativeHeight="251659264" behindDoc="1" locked="0" layoutInCell="1" allowOverlap="1" wp14:anchorId="37152F91" wp14:editId="42CE9A41">
            <wp:simplePos x="0" y="0"/>
            <wp:positionH relativeFrom="column">
              <wp:posOffset>-742950</wp:posOffset>
            </wp:positionH>
            <wp:positionV relativeFrom="paragraph">
              <wp:posOffset>-737870</wp:posOffset>
            </wp:positionV>
            <wp:extent cx="7315200" cy="1330325"/>
            <wp:effectExtent l="19050" t="0" r="0" b="0"/>
            <wp:wrapNone/>
            <wp:docPr id="5"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8" cstate="print"/>
                    <a:srcRect/>
                    <a:stretch>
                      <a:fillRect/>
                    </a:stretch>
                  </pic:blipFill>
                  <pic:spPr bwMode="auto">
                    <a:xfrm>
                      <a:off x="0" y="0"/>
                      <a:ext cx="7315200" cy="1330325"/>
                    </a:xfrm>
                    <a:prstGeom prst="rect">
                      <a:avLst/>
                    </a:prstGeom>
                    <a:noFill/>
                    <a:ln w="9525">
                      <a:noFill/>
                      <a:miter lim="800000"/>
                      <a:headEnd/>
                      <a:tailEnd/>
                    </a:ln>
                  </pic:spPr>
                </pic:pic>
              </a:graphicData>
            </a:graphic>
          </wp:anchor>
        </w:drawing>
      </w:r>
    </w:p>
    <w:p w14:paraId="6B007274" w14:textId="77777777" w:rsidR="00640379" w:rsidRPr="00821820" w:rsidRDefault="003B650D" w:rsidP="00640379">
      <w:pPr>
        <w:rPr>
          <w:rFonts w:ascii="Arial" w:hAnsi="Arial" w:cs="Arial"/>
          <w:sz w:val="20"/>
          <w:szCs w:val="20"/>
        </w:rPr>
      </w:pPr>
      <w:r>
        <w:rPr>
          <w:rFonts w:ascii="Arial" w:hAnsi="Arial" w:cs="Arial"/>
          <w:noProof/>
          <w:sz w:val="20"/>
          <w:szCs w:val="20"/>
          <w:lang w:eastAsia="tr-TR"/>
        </w:rPr>
        <mc:AlternateContent>
          <mc:Choice Requires="wps">
            <w:drawing>
              <wp:anchor distT="0" distB="0" distL="114935" distR="114935" simplePos="0" relativeHeight="251658240" behindDoc="0" locked="0" layoutInCell="1" allowOverlap="1" wp14:anchorId="0B007B85" wp14:editId="2D506609">
                <wp:simplePos x="0" y="0"/>
                <wp:positionH relativeFrom="column">
                  <wp:posOffset>5386070</wp:posOffset>
                </wp:positionH>
                <wp:positionV relativeFrom="paragraph">
                  <wp:posOffset>83820</wp:posOffset>
                </wp:positionV>
                <wp:extent cx="1104595" cy="3657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595" cy="365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04EE9" w14:textId="0F38DC14" w:rsidR="004847BA" w:rsidRPr="00D9195B" w:rsidRDefault="00D11A8E" w:rsidP="00640379">
                            <w:pPr>
                              <w:pStyle w:val="Heading3"/>
                              <w:rPr>
                                <w:rFonts w:ascii="Palatino Linotype" w:hAnsi="Palatino Linotype"/>
                                <w:color w:val="FFFFFF"/>
                                <w:sz w:val="22"/>
                                <w:szCs w:val="22"/>
                                <w:lang w:val="tr-TR"/>
                              </w:rPr>
                            </w:pPr>
                            <w:r>
                              <w:rPr>
                                <w:color w:val="FFFFFF"/>
                                <w:sz w:val="22"/>
                                <w:szCs w:val="22"/>
                              </w:rPr>
                              <w:t xml:space="preserve">  </w:t>
                            </w:r>
                            <w:r w:rsidR="00050739">
                              <w:rPr>
                                <w:rFonts w:ascii="Palatino Linotype" w:hAnsi="Palatino Linotype"/>
                                <w:color w:val="FFFFFF"/>
                                <w:sz w:val="22"/>
                                <w:szCs w:val="22"/>
                              </w:rPr>
                              <w:t>21</w:t>
                            </w:r>
                            <w:r w:rsidR="00680F0C">
                              <w:rPr>
                                <w:rFonts w:ascii="Palatino Linotype" w:hAnsi="Palatino Linotype"/>
                                <w:color w:val="FFFFFF"/>
                                <w:sz w:val="22"/>
                                <w:szCs w:val="22"/>
                              </w:rPr>
                              <w:t xml:space="preserve"> </w:t>
                            </w:r>
                            <w:r w:rsidR="0077360C">
                              <w:rPr>
                                <w:rFonts w:ascii="Palatino Linotype" w:hAnsi="Palatino Linotype"/>
                                <w:color w:val="FFFFFF"/>
                                <w:sz w:val="22"/>
                                <w:szCs w:val="22"/>
                              </w:rPr>
                              <w:t>Nisan</w:t>
                            </w:r>
                            <w:r w:rsidR="0077360C" w:rsidRPr="00D9195B">
                              <w:rPr>
                                <w:rFonts w:ascii="Palatino Linotype" w:hAnsi="Palatino Linotype"/>
                                <w:color w:val="FFFFFF"/>
                                <w:sz w:val="22"/>
                                <w:szCs w:val="22"/>
                              </w:rPr>
                              <w:t xml:space="preserve"> </w:t>
                            </w:r>
                            <w:r w:rsidR="004847BA" w:rsidRPr="00D9195B">
                              <w:rPr>
                                <w:rFonts w:ascii="Palatino Linotype" w:hAnsi="Palatino Linotype"/>
                                <w:color w:val="FFFFFF"/>
                                <w:sz w:val="22"/>
                                <w:szCs w:val="22"/>
                                <w:lang w:val="tr-TR"/>
                              </w:rPr>
                              <w:t>20</w:t>
                            </w:r>
                            <w:r w:rsidR="00D52BB9">
                              <w:rPr>
                                <w:rFonts w:ascii="Palatino Linotype" w:hAnsi="Palatino Linotype"/>
                                <w:color w:val="FFFFFF"/>
                                <w:sz w:val="22"/>
                                <w:szCs w:val="22"/>
                                <w:lang w:val="tr-TR"/>
                              </w:rPr>
                              <w:t>25</w:t>
                            </w:r>
                          </w:p>
                          <w:p w14:paraId="40BFFE50" w14:textId="77777777" w:rsidR="004847BA" w:rsidRDefault="004847BA" w:rsidP="006403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B007B85" id="Text Box 3" o:spid="_x0000_s1027" type="#_x0000_t202" style="position:absolute;margin-left:424.1pt;margin-top:6.6pt;width:87pt;height:28.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" stroked="f">
                <v:fill opacity="0"/>
                <v:textbox inset="0,0,0,0">
                  <w:txbxContent>
                    <w:p w14:paraId="23604EE9" w14:textId="0F38DC14" w:rsidR="004847BA" w:rsidRPr="00D9195B" w:rsidRDefault="00D11A8E" w:rsidP="00640379">
                      <w:pPr>
                        <w:pStyle w:val="Ttulo3"/>
                        <w:rPr>
                          <w:rFonts w:ascii="Palatino Linotype" w:hAnsi="Palatino Linotype"/>
                          <w:color w:val="FFFFFF"/>
                          <w:sz w:val="22"/>
                          <w:szCs w:val="22"/>
                          <w:lang w:val="tr-TR"/>
                        </w:rPr>
                      </w:pPr>
                      <w:r>
                        <w:rPr>
                          <w:color w:val="FFFFFF"/>
                          <w:sz w:val="22"/>
                          <w:szCs w:val="22"/>
                        </w:rPr>
                        <w:t xml:space="preserve">  </w:t>
                      </w:r>
                      <w:r w:rsidR="00050739">
                        <w:rPr>
                          <w:rFonts w:ascii="Palatino Linotype" w:hAnsi="Palatino Linotype"/>
                          <w:color w:val="FFFFFF"/>
                          <w:sz w:val="22"/>
                          <w:szCs w:val="22"/>
                        </w:rPr>
                        <w:t>21</w:t>
                      </w:r>
                      <w:r w:rsidR="00680F0C">
                        <w:rPr>
                          <w:rFonts w:ascii="Palatino Linotype" w:hAnsi="Palatino Linotype"/>
                          <w:color w:val="FFFFFF"/>
                          <w:sz w:val="22"/>
                          <w:szCs w:val="22"/>
                        </w:rPr>
                        <w:t xml:space="preserve"> </w:t>
                      </w:r>
                      <w:r w:rsidR="0077360C">
                        <w:rPr>
                          <w:rFonts w:ascii="Palatino Linotype" w:hAnsi="Palatino Linotype"/>
                          <w:color w:val="FFFFFF"/>
                          <w:sz w:val="22"/>
                          <w:szCs w:val="22"/>
                        </w:rPr>
                        <w:t>Nisan</w:t>
                      </w:r>
                      <w:r w:rsidR="0077360C" w:rsidRPr="00D9195B">
                        <w:rPr>
                          <w:rFonts w:ascii="Palatino Linotype" w:hAnsi="Palatino Linotype"/>
                          <w:color w:val="FFFFFF"/>
                          <w:sz w:val="22"/>
                          <w:szCs w:val="22"/>
                        </w:rPr>
                        <w:t xml:space="preserve"> </w:t>
                      </w:r>
                      <w:r w:rsidR="004847BA" w:rsidRPr="00D9195B">
                        <w:rPr>
                          <w:rFonts w:ascii="Palatino Linotype" w:hAnsi="Palatino Linotype"/>
                          <w:color w:val="FFFFFF"/>
                          <w:sz w:val="22"/>
                          <w:szCs w:val="22"/>
                          <w:lang w:val="tr-TR"/>
                        </w:rPr>
                        <w:t>20</w:t>
                      </w:r>
                      <w:r w:rsidR="00D52BB9">
                        <w:rPr>
                          <w:rFonts w:ascii="Palatino Linotype" w:hAnsi="Palatino Linotype"/>
                          <w:color w:val="FFFFFF"/>
                          <w:sz w:val="22"/>
                          <w:szCs w:val="22"/>
                          <w:lang w:val="tr-TR"/>
                        </w:rPr>
                        <w:t>25</w:t>
                      </w:r>
                    </w:p>
                    <w:p w14:paraId="40BFFE50" w14:textId="77777777" w:rsidR="004847BA" w:rsidRDefault="004847BA" w:rsidP="00640379"/>
                  </w:txbxContent>
                </v:textbox>
              </v:shape>
            </w:pict>
          </mc:Fallback>
        </mc:AlternateContent>
      </w:r>
    </w:p>
    <w:p w14:paraId="0B33CF6B" w14:textId="77777777" w:rsidR="00640379" w:rsidRPr="00821820" w:rsidRDefault="00640379" w:rsidP="00640379">
      <w:pPr>
        <w:rPr>
          <w:rFonts w:ascii="Arial" w:hAnsi="Arial" w:cs="Arial"/>
          <w:sz w:val="20"/>
          <w:szCs w:val="20"/>
        </w:rPr>
      </w:pPr>
    </w:p>
    <w:p w14:paraId="5DA8F856" w14:textId="77777777" w:rsidR="00640379" w:rsidRPr="00821820" w:rsidRDefault="00640379" w:rsidP="00640379">
      <w:pPr>
        <w:rPr>
          <w:rFonts w:ascii="Arial" w:hAnsi="Arial" w:cs="Arial"/>
          <w:sz w:val="20"/>
          <w:szCs w:val="20"/>
        </w:rPr>
      </w:pPr>
    </w:p>
    <w:p w14:paraId="364BEB7C" w14:textId="77777777" w:rsidR="00640379" w:rsidRPr="00D9195B" w:rsidRDefault="00640379" w:rsidP="00640379">
      <w:pPr>
        <w:rPr>
          <w:rFonts w:ascii="Palatino Linotype" w:hAnsi="Palatino Linotype" w:cs="Arial"/>
          <w:b/>
          <w:bCs/>
          <w:sz w:val="20"/>
          <w:szCs w:val="20"/>
        </w:rPr>
      </w:pPr>
    </w:p>
    <w:p w14:paraId="239808AC" w14:textId="61FC4FBD" w:rsidR="00AE2FAA" w:rsidRPr="00D71A1A" w:rsidRDefault="00294320" w:rsidP="00AE2FAA">
      <w:pPr>
        <w:jc w:val="center"/>
        <w:rPr>
          <w:rFonts w:ascii="Palatino Linotype" w:hAnsi="Palatino Linotype" w:cs="Arial"/>
          <w:b/>
          <w:sz w:val="20"/>
          <w:szCs w:val="20"/>
          <w:vertAlign w:val="superscript"/>
        </w:rPr>
      </w:pPr>
      <w:r w:rsidRPr="00D9195B">
        <w:rPr>
          <w:rFonts w:ascii="Palatino Linotype" w:hAnsi="Palatino Linotype" w:cs="Arial"/>
          <w:b/>
          <w:sz w:val="28"/>
          <w:szCs w:val="28"/>
        </w:rPr>
        <w:t xml:space="preserve"> </w:t>
      </w:r>
      <w:r w:rsidR="008958C2">
        <w:rPr>
          <w:rFonts w:ascii="Palatino Linotype" w:hAnsi="Palatino Linotype" w:cs="Arial"/>
          <w:b/>
          <w:sz w:val="28"/>
          <w:szCs w:val="28"/>
        </w:rPr>
        <w:t>TÜRKİYE’DE KISA VADELİ İSTİHDAM DİNAMİKLERİ</w:t>
      </w:r>
      <w:r w:rsidR="008958C2" w:rsidRPr="008958C2">
        <w:rPr>
          <w:rFonts w:ascii="Palatino Linotype" w:hAnsi="Palatino Linotype" w:cs="Arial"/>
          <w:b/>
          <w:sz w:val="28"/>
          <w:szCs w:val="28"/>
        </w:rPr>
        <w:t>: HANEHALK</w:t>
      </w:r>
      <w:r w:rsidR="008958C2">
        <w:rPr>
          <w:rFonts w:ascii="Palatino Linotype" w:hAnsi="Palatino Linotype" w:cs="Arial"/>
          <w:b/>
          <w:sz w:val="28"/>
          <w:szCs w:val="28"/>
        </w:rPr>
        <w:t>I İŞGÜCÜ ANKETİ’NİN KISITLARI</w:t>
      </w:r>
      <w:r w:rsidR="00D71A1A">
        <w:rPr>
          <w:rFonts w:ascii="Palatino Linotype" w:hAnsi="Palatino Linotype" w:cs="Arial"/>
          <w:b/>
          <w:sz w:val="28"/>
          <w:szCs w:val="28"/>
          <w:vertAlign w:val="superscript"/>
        </w:rPr>
        <w:t>+</w:t>
      </w:r>
    </w:p>
    <w:p w14:paraId="00466FB3" w14:textId="77777777" w:rsidR="00714AB7" w:rsidRPr="00F07E67" w:rsidRDefault="00714AB7" w:rsidP="004009D4">
      <w:pPr>
        <w:jc w:val="center"/>
        <w:rPr>
          <w:rFonts w:ascii="Arial" w:hAnsi="Arial" w:cs="Arial"/>
          <w:sz w:val="20"/>
          <w:szCs w:val="20"/>
        </w:rPr>
      </w:pPr>
    </w:p>
    <w:p w14:paraId="1A9179A4" w14:textId="2BD65175" w:rsidR="0040699C" w:rsidRPr="001D6CB5" w:rsidRDefault="008958C2" w:rsidP="004009D4">
      <w:pPr>
        <w:jc w:val="center"/>
        <w:rPr>
          <w:rFonts w:ascii="Palatino Linotype" w:hAnsi="Palatino Linotype" w:cs="Arial"/>
          <w:vertAlign w:val="superscript"/>
        </w:rPr>
      </w:pPr>
      <w:r>
        <w:rPr>
          <w:rFonts w:ascii="Palatino Linotype" w:hAnsi="Palatino Linotype" w:cs="Arial"/>
        </w:rPr>
        <w:t>Luis Pinedo Caro</w:t>
      </w:r>
      <w:r w:rsidR="00A1526B" w:rsidRPr="00F07E67">
        <w:rPr>
          <w:rStyle w:val="FootnoteReference"/>
          <w:rFonts w:ascii="Palatino Linotype" w:hAnsi="Palatino Linotype" w:cs="Arial"/>
        </w:rPr>
        <w:footnoteReference w:customMarkFollows="1" w:id="1"/>
        <w:t>*</w:t>
      </w:r>
    </w:p>
    <w:p w14:paraId="59F4432C" w14:textId="77777777" w:rsidR="00AE2FAA" w:rsidRPr="00F07E67" w:rsidRDefault="00AE2FAA" w:rsidP="00AE2FAA">
      <w:pPr>
        <w:jc w:val="center"/>
        <w:rPr>
          <w:rFonts w:ascii="Palatino Linotype" w:hAnsi="Palatino Linotype" w:cs="Arial"/>
          <w:b/>
        </w:rPr>
      </w:pPr>
    </w:p>
    <w:p w14:paraId="0AC1CA7A" w14:textId="77777777" w:rsidR="00AE2FAA" w:rsidRPr="00F07E67" w:rsidRDefault="00AE2FAA" w:rsidP="00AE2FAA">
      <w:pPr>
        <w:jc w:val="center"/>
        <w:rPr>
          <w:rFonts w:ascii="Palatino Linotype" w:hAnsi="Palatino Linotype" w:cs="Arial"/>
          <w:b/>
        </w:rPr>
      </w:pPr>
      <w:r w:rsidRPr="00F07E67">
        <w:rPr>
          <w:rFonts w:ascii="Palatino Linotype" w:hAnsi="Palatino Linotype" w:cs="Arial"/>
          <w:b/>
        </w:rPr>
        <w:t>Yönetici Özeti</w:t>
      </w:r>
    </w:p>
    <w:p w14:paraId="4781557B" w14:textId="77777777" w:rsidR="00AE2FAA" w:rsidRPr="0027354C" w:rsidRDefault="00AE2FAA" w:rsidP="00AE2FAA">
      <w:pPr>
        <w:jc w:val="center"/>
        <w:rPr>
          <w:rFonts w:ascii="Arial" w:hAnsi="Arial" w:cs="Arial"/>
          <w:b/>
          <w:sz w:val="20"/>
          <w:szCs w:val="20"/>
        </w:rPr>
      </w:pPr>
    </w:p>
    <w:p w14:paraId="2BB1AAE1" w14:textId="6E17E170" w:rsidR="00C415EE" w:rsidRPr="00803A9D" w:rsidRDefault="00B1452A" w:rsidP="00B1452A">
      <w:pPr>
        <w:spacing w:after="120" w:line="360" w:lineRule="auto"/>
        <w:jc w:val="both"/>
        <w:rPr>
          <w:rFonts w:ascii="Palatino Linotype" w:hAnsi="Palatino Linotype"/>
          <w:sz w:val="22"/>
          <w:szCs w:val="22"/>
        </w:rPr>
      </w:pPr>
      <w:r w:rsidRPr="00B1452A">
        <w:rPr>
          <w:rFonts w:ascii="Palatino Linotype" w:hAnsi="Palatino Linotype"/>
          <w:sz w:val="22"/>
          <w:szCs w:val="22"/>
        </w:rPr>
        <w:t xml:space="preserve">2021 yılında Türkiye İstatistik Kurumu (TÜİK), 2005’ten itibaren her ay 3 aylık hareketli ortalamalar şeklinde yayınladığı işgücü piyasası tahminlerini her aya özgü tahminler olarak yayınlamak amacıyla Hanehalkı İşgücü Anketi'nin (HİA) örneklem büyüklüğünü artırmıştır. Bu araştırma notu, 3 aylık hareketli ortalama istatistiklerinden aylık istatistiklere geçişin, HİA'nın kısa vadeli işgücü piyasası dinamiklerini belirleme kapasitesi açısından etkilerini analiz etmektedir. Analiz, Sosyal Güvenlik Enstitüsü (SGK) ve HİA'dan alınan hem mevsimsel olarak düzeltilmiş hem de düzeltilmemiş aylık resmi istihdam rakamlarını karşılaştırarak yapılmıştır. Bulgular, aylık istatistiklere geçişin, istihdam değişiminde HİA ve SGK rakamları arasındaki zaten zayıf olan ilişkiyi daha da kötüleştirdiğini göstermektedir. Dahası, özellikle 2021’deki değişiklikten sonra, istihdamın kısa vadeli değişimini anlamak istiyorsak mevsimsel olarak düzeltilmiş rakamlardan taşıdıkları sınırlı bilgi nedeniyle kaçınılması gerektiği görüşündeyiz. </w:t>
      </w:r>
    </w:p>
    <w:p w14:paraId="30A7A019" w14:textId="7490844A" w:rsidR="00D33367" w:rsidRDefault="00714AB7" w:rsidP="00714AB7">
      <w:pPr>
        <w:pStyle w:val="Heading2"/>
        <w:spacing w:line="360" w:lineRule="auto"/>
        <w:ind w:firstLine="340"/>
        <w:rPr>
          <w:rFonts w:ascii="Palatino Linotype" w:hAnsi="Palatino Linotype"/>
          <w:lang w:val="tr-TR"/>
        </w:rPr>
      </w:pPr>
      <w:r>
        <w:rPr>
          <w:rFonts w:ascii="Palatino Linotype" w:hAnsi="Palatino Linotype"/>
          <w:lang w:val="tr-TR"/>
        </w:rPr>
        <w:t>Giriş</w:t>
      </w:r>
    </w:p>
    <w:p w14:paraId="64590FEF" w14:textId="77777777" w:rsidR="00211EAA" w:rsidRPr="00211EAA" w:rsidRDefault="00211EAA" w:rsidP="00211EAA">
      <w:pPr>
        <w:spacing w:after="120" w:line="360" w:lineRule="auto"/>
        <w:jc w:val="both"/>
        <w:rPr>
          <w:rFonts w:ascii="Palatino Linotype" w:hAnsi="Palatino Linotype"/>
        </w:rPr>
      </w:pPr>
      <w:r w:rsidRPr="00211EAA">
        <w:rPr>
          <w:rFonts w:ascii="Palatino Linotype" w:hAnsi="Palatino Linotype"/>
        </w:rPr>
        <w:t xml:space="preserve">Ocak 2021'de, Türkiye İstatistik Kurumu (TÜİK), hem Uluslararası Standartlarla daha iyi bir uyum yakalamak hem de Türkiye'nin işgücü piyasası istatistiklerinin kalitesini ve karşılaştırılabilirliğini artırmak üzere Hanehalkı İşgücü Anketi'nde (HİA) önemli değişiklikler yaptı. Spesifik olarak, revizyonlar Uluslararası Çalışma Örgütü'nün (ILO) ve Avrupa Birliği istatistik ajansının (Eurostat) güncellenmiş tanımlarına ve kavramlarına uyum sağlama ihtiyacından kaynaklandı. Bu değişiklikler, Türkiye'nin işgücü istatistiklerinin uluslararası olarak karşılaştırılabilir olmasını ve 19. Uluslararası </w:t>
      </w:r>
      <w:r w:rsidRPr="00211EAA">
        <w:rPr>
          <w:rFonts w:ascii="Palatino Linotype" w:hAnsi="Palatino Linotype"/>
        </w:rPr>
        <w:lastRenderedPageBreak/>
        <w:t>İşgücü İstatistikçileri Konferansı'ndan (ICLS) gelen öneriler de dahil olmak üzere küresel olarak tanınan metodolojilere uymasını sağladı.</w:t>
      </w:r>
    </w:p>
    <w:p w14:paraId="47C52D06" w14:textId="77777777" w:rsidR="00211EAA" w:rsidRPr="00211EAA" w:rsidRDefault="00211EAA" w:rsidP="00211EAA">
      <w:pPr>
        <w:spacing w:after="120" w:line="360" w:lineRule="auto"/>
        <w:jc w:val="both"/>
        <w:rPr>
          <w:rFonts w:ascii="Palatino Linotype" w:hAnsi="Palatino Linotype"/>
        </w:rPr>
      </w:pPr>
      <w:r w:rsidRPr="00211EAA">
        <w:rPr>
          <w:rFonts w:ascii="Palatino Linotype" w:hAnsi="Palatino Linotype"/>
        </w:rPr>
        <w:t>Yukarıda belirtilen değişikliklerin bir parçası olarak TÜİK ayrıca aylık raporlamaya geçti. 2021'den önce TÜİK işgücü istatistiklerini kısa vadeli dalgalanmaları yumuşatan ancak aydan aya değişikliklerle ilgili kısa vadeli işgücü piyasası analizine izin vermeyen üç aylık geriye dönük hareketli ortalamaları kullanarak yayımlıyordu. Ocak 2021'den itibaren TÜİK, işgücü piyasası dinamiklerine ilişkin daha ayrıntılı bir görünüm sağlayan her aya özgü tahminler yayınlamaya başladı. Oysa bu değişiklik</w:t>
      </w:r>
      <w:r w:rsidRPr="00211EAA">
        <w:rPr>
          <w:rFonts w:ascii="Palatino Linotype" w:hAnsi="Palatino Linotype"/>
          <w:strike/>
        </w:rPr>
        <w:t>,</w:t>
      </w:r>
      <w:r w:rsidRPr="00211EAA">
        <w:rPr>
          <w:rFonts w:ascii="Palatino Linotype" w:hAnsi="Palatino Linotype"/>
        </w:rPr>
        <w:t xml:space="preserve"> daha zamanında ve duyarlı politika yapımına ve analize olanak sağlamak için tasarlanmıştı.</w:t>
      </w:r>
    </w:p>
    <w:p w14:paraId="479573DA" w14:textId="0B7EB000" w:rsidR="008179E7" w:rsidRPr="004A000F" w:rsidRDefault="00211EAA" w:rsidP="0009378D">
      <w:pPr>
        <w:pStyle w:val="Heading2"/>
        <w:numPr>
          <w:ilvl w:val="0"/>
          <w:numId w:val="12"/>
        </w:numPr>
        <w:spacing w:after="120"/>
        <w:rPr>
          <w:rFonts w:cs="Arial"/>
          <w:lang w:val="tr-TR"/>
        </w:rPr>
      </w:pPr>
      <w:r w:rsidRPr="004A000F">
        <w:rPr>
          <w:rFonts w:cs="Arial"/>
          <w:lang w:val="tr-TR"/>
        </w:rPr>
        <w:t>Amaç ve veri kaynakları</w:t>
      </w:r>
      <w:r w:rsidR="008179E7" w:rsidRPr="004A000F">
        <w:rPr>
          <w:rFonts w:cs="Arial"/>
          <w:lang w:val="tr-TR"/>
        </w:rPr>
        <w:t xml:space="preserve"> </w:t>
      </w:r>
    </w:p>
    <w:p w14:paraId="1072D02F" w14:textId="77777777" w:rsidR="00211EAA" w:rsidRPr="004A000F" w:rsidRDefault="00211EAA" w:rsidP="00211EAA">
      <w:pPr>
        <w:spacing w:after="120" w:line="360" w:lineRule="auto"/>
        <w:jc w:val="both"/>
        <w:rPr>
          <w:rFonts w:ascii="Palatino Linotype" w:hAnsi="Palatino Linotype"/>
        </w:rPr>
      </w:pPr>
      <w:r w:rsidRPr="004A000F">
        <w:rPr>
          <w:rFonts w:ascii="Palatino Linotype" w:hAnsi="Palatino Linotype"/>
        </w:rPr>
        <w:t>Bu araştırma notu, her aya özgü tahminlere geçişin, HİA istatistiklerinin kısa vadeli politika yapımında kullanımını iyileştirip iyileştirmediğini değerlendirmeyi amaçlamaktadır. Bu değerlendirme, HİA'da idari kaynaklarda karşılığı bulunan ve kamuya açık olan birkaç göstergeden biri olan “resmi istihdam</w:t>
      </w:r>
      <w:r w:rsidRPr="004A000F">
        <w:rPr>
          <w:rStyle w:val="FootnoteReference"/>
          <w:rFonts w:ascii="Palatino Linotype" w:hAnsi="Palatino Linotype"/>
        </w:rPr>
        <w:footnoteReference w:id="2"/>
      </w:r>
      <w:r w:rsidRPr="004A000F">
        <w:rPr>
          <w:rFonts w:ascii="Palatino Linotype" w:hAnsi="Palatino Linotype"/>
        </w:rPr>
        <w:t>” verisi kullanılarak yapılmıştır. HİA'nın resmi istihdamı tanımlama biçimi göz önüne alındığında, bunu Sosyal Güvenlik Kurumunun (SGK) aktif katılımcılarla ilgili olarak sunduğu rakamlarla karşılaştırmak mantıklıdır.</w:t>
      </w:r>
      <w:r w:rsidRPr="004A000F">
        <w:rPr>
          <w:rStyle w:val="FootnoteReference"/>
          <w:rFonts w:ascii="Palatino Linotype" w:hAnsi="Palatino Linotype"/>
        </w:rPr>
        <w:footnoteReference w:id="3"/>
      </w:r>
      <w:r w:rsidRPr="004A000F">
        <w:rPr>
          <w:rFonts w:ascii="Palatino Linotype" w:hAnsi="Palatino Linotype"/>
        </w:rPr>
        <w:t xml:space="preserve"> SGK'dan elde edilen rakamlar, tüm çalışanları (kamu ve özel sektör çalışanlarını ve serbest çalışanları) içerir. Aynı özellik, SGK'ya kayıtlı olma koşuluyla her türlü istihdam durumunu içeren HİA resmi istihdam verisi için de geçerlidir. Bu nedenle her iki zaman serisi de aynı olmalıdır, ancak analiz sonucunda aynı olmadıkları tespit edilmiştir. HİA, referans</w:t>
      </w:r>
      <w:r w:rsidRPr="004A000F">
        <w:rPr>
          <w:rStyle w:val="FootnoteReference"/>
          <w:rFonts w:ascii="Palatino Linotype" w:hAnsi="Palatino Linotype"/>
        </w:rPr>
        <w:footnoteReference w:id="4"/>
      </w:r>
      <w:r w:rsidRPr="004A000F">
        <w:rPr>
          <w:rFonts w:ascii="Palatino Linotype" w:hAnsi="Palatino Linotype"/>
        </w:rPr>
        <w:t xml:space="preserve"> haftası boyunca istihdamı ölçerek daha yüksek frekanslı işgücü piyasası aktivitesini yakalarken, SGK ilgili ayda en az bir gün kayıtlı olan her kişiyi yakalayan daha düşük frekanslı bir ölçüm sunmaktadır. Sonuç olarak SGK istihdam rakamları her zaman HİA muadillerinden daha yüksek olacaktır (bkz. Şekil 1).</w:t>
      </w:r>
    </w:p>
    <w:p w14:paraId="1FA95572" w14:textId="77777777" w:rsidR="00211EAA" w:rsidRPr="004A000F" w:rsidRDefault="00211EAA" w:rsidP="00211EAA">
      <w:pPr>
        <w:spacing w:after="120" w:line="360" w:lineRule="auto"/>
        <w:jc w:val="both"/>
        <w:rPr>
          <w:rFonts w:ascii="Palatino Linotype" w:hAnsi="Palatino Linotype"/>
        </w:rPr>
      </w:pPr>
      <w:r w:rsidRPr="004A000F">
        <w:rPr>
          <w:rFonts w:ascii="Palatino Linotype" w:hAnsi="Palatino Linotype"/>
        </w:rPr>
        <w:lastRenderedPageBreak/>
        <w:t>SGK istihdam rakamları HİA tarafından bildirilenlerden daha yüksek olsa da ortak bir örüntü mevcuttur. Rakamlar, COVID-19 döneminde seriler arasındaki boşluk bir miktar açılmış olarak, birlikte hareket ediyor gibi görünmektedir. Muhtemelen 2020'nin başlarında yürürlüğe giren COVID-19 karşıtı mevzuat bu iki serinin ayrışmasına sebep olmuştur. İşten çıkarmalar yasaklandığı için SGK rakamları çok fazla düşmemiştir. Beklentiye göre TÜİK tarafından da aynı ölçüm yapılmalıydı çünkü teoride işe dönmesi beklenen kişiler istihdam edilmiş olarak kabul edilmektedir, ancak TÜİK bazı işgücü durumlarını biraz farklı bir şekilde yorumlamış gibi görünmektedir. Bir kişinin istihdam edilip edilmediğini belirlemek için sorulan soruların tam setine veya anket uygulama talimatlarına sahip olmadığımız için bu iki zaman serisinin ayrışmasını daha fazla yorumlamak zordur.</w:t>
      </w:r>
    </w:p>
    <w:p w14:paraId="3E950738" w14:textId="77777777" w:rsidR="00211EAA" w:rsidRPr="004A000F" w:rsidRDefault="00211EAA" w:rsidP="00211EAA">
      <w:pPr>
        <w:spacing w:after="120" w:line="360" w:lineRule="auto"/>
        <w:jc w:val="center"/>
        <w:rPr>
          <w:rFonts w:ascii="Palatino Linotype" w:hAnsi="Palatino Linotype"/>
        </w:rPr>
      </w:pPr>
      <w:r w:rsidRPr="004A000F">
        <w:rPr>
          <w:rFonts w:ascii="Palatino Linotype" w:hAnsi="Palatino Linotype"/>
        </w:rPr>
        <w:t>Şekil 1: Resmi istihdam, aylık seri</w:t>
      </w:r>
    </w:p>
    <w:p w14:paraId="7642CAE7" w14:textId="48704982" w:rsidR="00211EAA" w:rsidRPr="003D30C9" w:rsidRDefault="009145E6" w:rsidP="00211EAA">
      <w:pPr>
        <w:spacing w:after="120" w:line="360" w:lineRule="auto"/>
        <w:jc w:val="center"/>
        <w:rPr>
          <w:rFonts w:ascii="Book Antiqua" w:hAnsi="Book Antiqua"/>
          <w:sz w:val="18"/>
          <w:szCs w:val="18"/>
        </w:rPr>
      </w:pPr>
      <w:r>
        <w:rPr>
          <w:noProof/>
          <w:lang w:eastAsia="tr-TR"/>
        </w:rPr>
        <w:drawing>
          <wp:inline distT="0" distB="0" distL="0" distR="0" wp14:anchorId="16C0D520" wp14:editId="187323AC">
            <wp:extent cx="5913755" cy="2997200"/>
            <wp:effectExtent l="0" t="0" r="0" b="0"/>
            <wp:docPr id="1956540911" name="Gráfico 1">
              <a:extLst xmlns:a="http://schemas.openxmlformats.org/drawingml/2006/main">
                <a:ext uri="{FF2B5EF4-FFF2-40B4-BE49-F238E27FC236}">
                  <a16:creationId xmlns:a16="http://schemas.microsoft.com/office/drawing/2014/main" id="{18A6CDEF-4F62-4FD9-95FF-9BA2EFE49E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6EFEC5" w14:textId="77777777" w:rsidR="00211EAA" w:rsidRPr="004A000F" w:rsidRDefault="00211EAA" w:rsidP="00211EAA">
      <w:pPr>
        <w:spacing w:after="120" w:line="360" w:lineRule="auto"/>
        <w:rPr>
          <w:rFonts w:ascii="Palatino Linotype" w:hAnsi="Palatino Linotype"/>
          <w:sz w:val="16"/>
          <w:szCs w:val="16"/>
        </w:rPr>
      </w:pPr>
      <w:r w:rsidRPr="004A000F">
        <w:rPr>
          <w:rFonts w:ascii="Palatino Linotype" w:hAnsi="Palatino Linotype"/>
          <w:b/>
          <w:bCs/>
          <w:sz w:val="16"/>
          <w:szCs w:val="16"/>
        </w:rPr>
        <w:t>Kaynak:</w:t>
      </w:r>
      <w:r w:rsidRPr="004A000F">
        <w:rPr>
          <w:rFonts w:ascii="Palatino Linotype" w:hAnsi="Palatino Linotype"/>
          <w:sz w:val="16"/>
          <w:szCs w:val="16"/>
        </w:rPr>
        <w:t xml:space="preserve"> Sosyal Güvenlik Kurumu ve Türkiye İstatistik Kurumu. </w:t>
      </w:r>
      <w:r w:rsidRPr="004A000F">
        <w:rPr>
          <w:rFonts w:ascii="Palatino Linotype" w:hAnsi="Palatino Linotype"/>
          <w:b/>
          <w:bCs/>
          <w:sz w:val="16"/>
          <w:szCs w:val="16"/>
        </w:rPr>
        <w:t>Notlar:</w:t>
      </w:r>
      <w:r w:rsidRPr="004A000F">
        <w:rPr>
          <w:rFonts w:ascii="Palatino Linotype" w:hAnsi="Palatino Linotype"/>
          <w:sz w:val="16"/>
          <w:szCs w:val="16"/>
        </w:rPr>
        <w:t xml:space="preserve"> Şekil, Türkiye'deki toplam kayıtlı istihdamın aylık değerlerini göstermektedir.</w:t>
      </w:r>
    </w:p>
    <w:p w14:paraId="4DE6C50C" w14:textId="49B08343" w:rsidR="00265B7D" w:rsidRDefault="00265B7D" w:rsidP="00211EAA">
      <w:pPr>
        <w:spacing w:line="360" w:lineRule="auto"/>
        <w:jc w:val="both"/>
        <w:rPr>
          <w:rFonts w:ascii="Calibri" w:hAnsi="Calibri"/>
          <w:color w:val="000000"/>
          <w:sz w:val="22"/>
          <w:szCs w:val="22"/>
          <w:lang w:eastAsia="tr-TR"/>
        </w:rPr>
      </w:pPr>
    </w:p>
    <w:p w14:paraId="748C4376" w14:textId="77777777" w:rsidR="00BB31EE" w:rsidRDefault="00BB31EE" w:rsidP="00714AB7">
      <w:pPr>
        <w:spacing w:line="360" w:lineRule="auto"/>
        <w:jc w:val="both"/>
        <w:rPr>
          <w:rFonts w:ascii="Calibri" w:hAnsi="Calibri"/>
          <w:color w:val="000000"/>
          <w:sz w:val="22"/>
          <w:szCs w:val="22"/>
          <w:lang w:eastAsia="tr-TR"/>
        </w:rPr>
      </w:pPr>
    </w:p>
    <w:p w14:paraId="3060C59E" w14:textId="4C6ADA73" w:rsidR="00211EAA" w:rsidRPr="009145E6" w:rsidRDefault="00211EAA" w:rsidP="00211EAA">
      <w:pPr>
        <w:pStyle w:val="Heading2"/>
        <w:numPr>
          <w:ilvl w:val="0"/>
          <w:numId w:val="12"/>
        </w:numPr>
        <w:spacing w:after="120"/>
        <w:rPr>
          <w:rFonts w:ascii="Palatino Linotype" w:hAnsi="Palatino Linotype"/>
          <w:lang w:val="tr-TR"/>
        </w:rPr>
      </w:pPr>
      <w:r w:rsidRPr="009145E6">
        <w:rPr>
          <w:rFonts w:ascii="Palatino Linotype" w:hAnsi="Palatino Linotype"/>
          <w:lang w:val="tr-TR"/>
        </w:rPr>
        <w:t xml:space="preserve">Analiz </w:t>
      </w:r>
    </w:p>
    <w:p w14:paraId="784141FC" w14:textId="77777777" w:rsidR="00211EAA" w:rsidRDefault="00211EAA" w:rsidP="00211EAA">
      <w:pPr>
        <w:spacing w:after="120" w:line="360" w:lineRule="auto"/>
        <w:jc w:val="both"/>
        <w:rPr>
          <w:rFonts w:ascii="Palatino Linotype" w:hAnsi="Palatino Linotype"/>
        </w:rPr>
      </w:pPr>
      <w:r w:rsidRPr="009145E6">
        <w:rPr>
          <w:rFonts w:ascii="Palatino Linotype" w:hAnsi="Palatino Linotype"/>
        </w:rPr>
        <w:t xml:space="preserve">Yukarıdaki şekle dayanarak, HİA'nın resmi istihdamın </w:t>
      </w:r>
      <w:r w:rsidRPr="009145E6">
        <w:rPr>
          <w:rFonts w:ascii="Palatino Linotype" w:hAnsi="Palatino Linotype"/>
          <w:b/>
          <w:bCs/>
        </w:rPr>
        <w:t>uzun vadeli</w:t>
      </w:r>
      <w:r w:rsidRPr="009145E6">
        <w:rPr>
          <w:rFonts w:ascii="Palatino Linotype" w:hAnsi="Palatino Linotype"/>
        </w:rPr>
        <w:t xml:space="preserve"> eğilimlerini ve bu bağlamda diğer işgücü piyasası istatistiklerini ölçme yeteneği hakkında çok az şüphe </w:t>
      </w:r>
      <w:r w:rsidRPr="009145E6">
        <w:rPr>
          <w:rFonts w:ascii="Palatino Linotype" w:hAnsi="Palatino Linotype"/>
        </w:rPr>
        <w:lastRenderedPageBreak/>
        <w:t xml:space="preserve">var. Soru, TÜİK'in rakamlarına </w:t>
      </w:r>
      <w:r w:rsidRPr="009145E6">
        <w:rPr>
          <w:rFonts w:ascii="Palatino Linotype" w:hAnsi="Palatino Linotype"/>
          <w:b/>
          <w:bCs/>
        </w:rPr>
        <w:t>kısa vadeli</w:t>
      </w:r>
      <w:r w:rsidRPr="009145E6">
        <w:rPr>
          <w:rFonts w:ascii="Palatino Linotype" w:hAnsi="Palatino Linotype"/>
        </w:rPr>
        <w:t xml:space="preserve"> işgücü piyasası dinamiklerini değerlendirmek için güvenip güvenemeyeceğimizdir. Uygunluğu değerlendirmek için üç ölçüt kullanılabilir. Öncelikle, bazı HİA değişkenleri ile SGK istihdam seviyeleri arasındaki korelasyon incelenmelidir. Bahsedilen tüm serilerin güçlü bir trende sahip olduğu ve entegre olduğu unutulmamalıdır</w:t>
      </w:r>
      <w:r w:rsidRPr="009145E6">
        <w:rPr>
          <w:rStyle w:val="FootnoteReference"/>
          <w:rFonts w:ascii="Palatino Linotype" w:hAnsi="Palatino Linotype"/>
        </w:rPr>
        <w:footnoteReference w:id="5"/>
      </w:r>
      <w:r w:rsidRPr="009145E6">
        <w:rPr>
          <w:rFonts w:ascii="Palatino Linotype" w:hAnsi="Palatino Linotype"/>
        </w:rPr>
        <w:t>. Seviye değerleri arasındaki korelasyonlar her zaman yüksek olacaktır ancak bu iki değişken arasında anlamlı bir nedensellik olduğunu göstermez. Tablo 1'de gösterilen korelasyon katsayıları için birinci dereceden farklar hesaplanmıştır.</w:t>
      </w:r>
    </w:p>
    <w:p w14:paraId="0DA70A37" w14:textId="77777777" w:rsidR="009145E6" w:rsidRPr="009145E6" w:rsidRDefault="009145E6" w:rsidP="009145E6">
      <w:pPr>
        <w:pStyle w:val="ListParagraph"/>
        <w:spacing w:after="120" w:line="360" w:lineRule="auto"/>
        <w:ind w:left="360"/>
        <w:jc w:val="center"/>
        <w:rPr>
          <w:rFonts w:ascii="Palatino Linotype" w:hAnsi="Palatino Linotype"/>
        </w:rPr>
      </w:pPr>
      <w:r w:rsidRPr="009145E6">
        <w:rPr>
          <w:rFonts w:ascii="Palatino Linotype" w:hAnsi="Palatino Linotype"/>
        </w:rPr>
        <w:t>Tablo 1: SGK istihdamı ile korelasyon.</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06"/>
        <w:gridCol w:w="1509"/>
        <w:gridCol w:w="1186"/>
        <w:gridCol w:w="1294"/>
        <w:gridCol w:w="1367"/>
      </w:tblGrid>
      <w:tr w:rsidR="009145E6" w:rsidRPr="009145E6" w14:paraId="29F8E2D2" w14:textId="77777777" w:rsidTr="00E60045">
        <w:trPr>
          <w:trHeight w:val="248"/>
        </w:trPr>
        <w:tc>
          <w:tcPr>
            <w:tcW w:w="2906" w:type="dxa"/>
            <w:tcBorders>
              <w:top w:val="single" w:sz="4" w:space="0" w:color="auto"/>
              <w:left w:val="nil"/>
              <w:bottom w:val="nil"/>
              <w:right w:val="nil"/>
            </w:tcBorders>
          </w:tcPr>
          <w:p w14:paraId="5C3F86DE" w14:textId="77777777" w:rsidR="009145E6" w:rsidRPr="009145E6" w:rsidRDefault="009145E6" w:rsidP="00E60045">
            <w:pPr>
              <w:pStyle w:val="TableParagraph"/>
              <w:spacing w:before="0" w:after="120"/>
              <w:jc w:val="left"/>
              <w:rPr>
                <w:rFonts w:ascii="Palatino Linotype" w:hAnsi="Palatino Linotype"/>
                <w:w w:val="120"/>
                <w:sz w:val="18"/>
                <w:szCs w:val="18"/>
                <w:lang w:val="tr-TR"/>
              </w:rPr>
            </w:pPr>
          </w:p>
        </w:tc>
        <w:tc>
          <w:tcPr>
            <w:tcW w:w="1509" w:type="dxa"/>
            <w:tcBorders>
              <w:top w:val="single" w:sz="4" w:space="0" w:color="auto"/>
              <w:left w:val="nil"/>
              <w:bottom w:val="nil"/>
              <w:right w:val="nil"/>
            </w:tcBorders>
          </w:tcPr>
          <w:p w14:paraId="0C25D6E8" w14:textId="2D4D0E9F" w:rsidR="009145E6" w:rsidRPr="009145E6" w:rsidRDefault="00E4730C" w:rsidP="00E4730C">
            <w:pPr>
              <w:pStyle w:val="TableParagraph"/>
              <w:spacing w:before="0" w:after="120"/>
              <w:ind w:left="14" w:right="18"/>
              <w:rPr>
                <w:rFonts w:ascii="Palatino Linotype" w:hAnsi="Palatino Linotype"/>
                <w:i/>
                <w:w w:val="110"/>
                <w:sz w:val="18"/>
                <w:szCs w:val="18"/>
              </w:rPr>
            </w:pPr>
            <w:r>
              <w:rPr>
                <w:rFonts w:ascii="Palatino Linotype" w:hAnsi="Palatino Linotype"/>
                <w:i/>
                <w:spacing w:val="-2"/>
                <w:w w:val="110"/>
                <w:sz w:val="18"/>
                <w:szCs w:val="18"/>
                <w:lang w:val="tr-TR"/>
              </w:rPr>
              <w:t xml:space="preserve">     </w:t>
            </w:r>
            <w:r w:rsidR="009145E6" w:rsidRPr="009145E6">
              <w:rPr>
                <w:rFonts w:ascii="Palatino Linotype" w:hAnsi="Palatino Linotype"/>
                <w:i/>
                <w:spacing w:val="-2"/>
                <w:w w:val="110"/>
                <w:sz w:val="18"/>
                <w:szCs w:val="18"/>
                <w:lang w:val="tr-TR"/>
              </w:rPr>
              <w:t>Seviye değerleri</w:t>
            </w:r>
          </w:p>
        </w:tc>
        <w:tc>
          <w:tcPr>
            <w:tcW w:w="3847" w:type="dxa"/>
            <w:gridSpan w:val="3"/>
            <w:tcBorders>
              <w:top w:val="single" w:sz="4" w:space="0" w:color="auto"/>
              <w:left w:val="nil"/>
              <w:bottom w:val="nil"/>
              <w:right w:val="nil"/>
            </w:tcBorders>
          </w:tcPr>
          <w:p w14:paraId="22B2371C" w14:textId="1B244D83" w:rsidR="009145E6" w:rsidRPr="009145E6" w:rsidRDefault="00E4730C" w:rsidP="00E4730C">
            <w:pPr>
              <w:pStyle w:val="TableParagraph"/>
              <w:spacing w:before="0" w:after="120"/>
              <w:ind w:left="14" w:right="24"/>
              <w:jc w:val="left"/>
              <w:rPr>
                <w:rFonts w:ascii="Palatino Linotype" w:hAnsi="Palatino Linotype"/>
                <w:i/>
                <w:w w:val="105"/>
                <w:sz w:val="18"/>
                <w:szCs w:val="18"/>
              </w:rPr>
            </w:pPr>
            <w:r>
              <w:rPr>
                <w:rFonts w:ascii="Palatino Linotype" w:hAnsi="Palatino Linotype"/>
                <w:i/>
                <w:w w:val="110"/>
                <w:sz w:val="18"/>
                <w:szCs w:val="18"/>
                <w:lang w:val="tr-TR"/>
              </w:rPr>
              <w:t xml:space="preserve">                       </w:t>
            </w:r>
            <w:r w:rsidR="009145E6" w:rsidRPr="009145E6">
              <w:rPr>
                <w:rFonts w:ascii="Palatino Linotype" w:hAnsi="Palatino Linotype"/>
                <w:i/>
                <w:w w:val="110"/>
                <w:sz w:val="18"/>
                <w:szCs w:val="18"/>
                <w:lang w:val="tr-TR"/>
              </w:rPr>
              <w:t>Birinci farklar</w:t>
            </w:r>
          </w:p>
        </w:tc>
      </w:tr>
      <w:tr w:rsidR="009145E6" w:rsidRPr="009145E6" w14:paraId="6B3F9CEF" w14:textId="77777777" w:rsidTr="00E60045">
        <w:trPr>
          <w:trHeight w:val="248"/>
        </w:trPr>
        <w:tc>
          <w:tcPr>
            <w:tcW w:w="2906" w:type="dxa"/>
            <w:tcBorders>
              <w:top w:val="nil"/>
              <w:left w:val="nil"/>
              <w:bottom w:val="double" w:sz="4" w:space="0" w:color="auto"/>
              <w:right w:val="nil"/>
            </w:tcBorders>
          </w:tcPr>
          <w:p w14:paraId="4C226E3A" w14:textId="77777777" w:rsidR="009145E6" w:rsidRPr="009145E6" w:rsidRDefault="009145E6" w:rsidP="00E60045">
            <w:pPr>
              <w:pStyle w:val="TableParagraph"/>
              <w:spacing w:before="0" w:after="120"/>
              <w:jc w:val="left"/>
              <w:rPr>
                <w:rFonts w:ascii="Palatino Linotype" w:hAnsi="Palatino Linotype"/>
                <w:sz w:val="18"/>
                <w:szCs w:val="18"/>
              </w:rPr>
            </w:pPr>
            <w:r w:rsidRPr="009145E6">
              <w:rPr>
                <w:rFonts w:ascii="Palatino Linotype" w:hAnsi="Palatino Linotype"/>
                <w:sz w:val="18"/>
                <w:szCs w:val="18"/>
              </w:rPr>
              <w:t xml:space="preserve">HİA </w:t>
            </w:r>
            <w:r w:rsidRPr="009145E6">
              <w:rPr>
                <w:rFonts w:ascii="Palatino Linotype" w:hAnsi="Palatino Linotype"/>
                <w:sz w:val="18"/>
                <w:szCs w:val="18"/>
                <w:lang w:val="tr-TR"/>
              </w:rPr>
              <w:t>değişkeni</w:t>
            </w:r>
          </w:p>
        </w:tc>
        <w:tc>
          <w:tcPr>
            <w:tcW w:w="1509" w:type="dxa"/>
            <w:tcBorders>
              <w:top w:val="nil"/>
              <w:left w:val="nil"/>
              <w:bottom w:val="double" w:sz="4" w:space="0" w:color="auto"/>
              <w:right w:val="nil"/>
            </w:tcBorders>
          </w:tcPr>
          <w:p w14:paraId="5FEB7C0A" w14:textId="77777777" w:rsidR="009145E6" w:rsidRPr="009145E6" w:rsidRDefault="009145E6" w:rsidP="00E60045">
            <w:pPr>
              <w:pStyle w:val="TableParagraph"/>
              <w:spacing w:before="0" w:after="120"/>
              <w:ind w:left="14" w:right="18"/>
              <w:rPr>
                <w:rFonts w:ascii="Palatino Linotype" w:hAnsi="Palatino Linotype"/>
                <w:i/>
                <w:sz w:val="18"/>
                <w:szCs w:val="18"/>
                <w:lang w:val="tr-TR"/>
              </w:rPr>
            </w:pPr>
            <w:r w:rsidRPr="009145E6">
              <w:rPr>
                <w:rFonts w:ascii="Palatino Linotype" w:hAnsi="Palatino Linotype"/>
                <w:i/>
                <w:sz w:val="18"/>
                <w:szCs w:val="18"/>
                <w:lang w:val="tr-TR"/>
              </w:rPr>
              <w:t xml:space="preserve">Tam dönem </w:t>
            </w:r>
          </w:p>
        </w:tc>
        <w:tc>
          <w:tcPr>
            <w:tcW w:w="1186" w:type="dxa"/>
            <w:tcBorders>
              <w:top w:val="nil"/>
              <w:left w:val="nil"/>
              <w:bottom w:val="double" w:sz="4" w:space="0" w:color="auto"/>
              <w:right w:val="nil"/>
            </w:tcBorders>
          </w:tcPr>
          <w:p w14:paraId="680264B8" w14:textId="77777777" w:rsidR="009145E6" w:rsidRPr="009145E6" w:rsidRDefault="009145E6" w:rsidP="00E60045">
            <w:pPr>
              <w:pStyle w:val="TableParagraph"/>
              <w:spacing w:before="0" w:after="120"/>
              <w:ind w:left="21" w:right="21"/>
              <w:rPr>
                <w:rFonts w:ascii="Palatino Linotype" w:hAnsi="Palatino Linotype"/>
                <w:i/>
                <w:sz w:val="18"/>
                <w:szCs w:val="18"/>
                <w:lang w:val="tr-TR"/>
              </w:rPr>
            </w:pPr>
            <w:r w:rsidRPr="009145E6">
              <w:rPr>
                <w:rFonts w:ascii="Palatino Linotype" w:hAnsi="Palatino Linotype"/>
                <w:i/>
                <w:sz w:val="18"/>
                <w:szCs w:val="18"/>
                <w:lang w:val="tr-TR"/>
              </w:rPr>
              <w:t xml:space="preserve">Tam dönem </w:t>
            </w:r>
          </w:p>
        </w:tc>
        <w:tc>
          <w:tcPr>
            <w:tcW w:w="1294" w:type="dxa"/>
            <w:tcBorders>
              <w:top w:val="nil"/>
              <w:left w:val="nil"/>
              <w:bottom w:val="double" w:sz="4" w:space="0" w:color="auto"/>
              <w:right w:val="nil"/>
            </w:tcBorders>
          </w:tcPr>
          <w:p w14:paraId="3EDEE5EC" w14:textId="77777777" w:rsidR="009145E6" w:rsidRPr="009145E6" w:rsidRDefault="009145E6" w:rsidP="00E60045">
            <w:pPr>
              <w:pStyle w:val="TableParagraph"/>
              <w:spacing w:before="0" w:after="120"/>
              <w:ind w:left="24" w:right="24"/>
              <w:rPr>
                <w:rFonts w:ascii="Palatino Linotype" w:hAnsi="Palatino Linotype"/>
                <w:i/>
                <w:sz w:val="18"/>
                <w:szCs w:val="18"/>
                <w:lang w:val="tr-TR"/>
              </w:rPr>
            </w:pPr>
            <w:r w:rsidRPr="009145E6">
              <w:rPr>
                <w:rFonts w:ascii="Palatino Linotype" w:hAnsi="Palatino Linotype"/>
                <w:i/>
                <w:sz w:val="18"/>
                <w:szCs w:val="18"/>
                <w:lang w:val="tr-TR"/>
              </w:rPr>
              <w:t xml:space="preserve">2021 Öncesi </w:t>
            </w:r>
          </w:p>
        </w:tc>
        <w:tc>
          <w:tcPr>
            <w:tcW w:w="1367" w:type="dxa"/>
            <w:tcBorders>
              <w:top w:val="nil"/>
              <w:left w:val="nil"/>
              <w:bottom w:val="double" w:sz="4" w:space="0" w:color="auto"/>
              <w:right w:val="nil"/>
            </w:tcBorders>
          </w:tcPr>
          <w:p w14:paraId="08276AFA" w14:textId="77777777" w:rsidR="009145E6" w:rsidRPr="009145E6" w:rsidRDefault="009145E6" w:rsidP="00E60045">
            <w:pPr>
              <w:pStyle w:val="TableParagraph"/>
              <w:spacing w:before="0" w:after="120"/>
              <w:ind w:left="14" w:right="24"/>
              <w:rPr>
                <w:rFonts w:ascii="Palatino Linotype" w:hAnsi="Palatino Linotype"/>
                <w:i/>
                <w:sz w:val="18"/>
                <w:szCs w:val="18"/>
                <w:lang w:val="tr-TR"/>
              </w:rPr>
            </w:pPr>
            <w:r w:rsidRPr="009145E6">
              <w:rPr>
                <w:rFonts w:ascii="Palatino Linotype" w:hAnsi="Palatino Linotype"/>
                <w:i/>
                <w:sz w:val="18"/>
                <w:szCs w:val="18"/>
                <w:lang w:val="tr-TR"/>
              </w:rPr>
              <w:t>2021 Sonrası</w:t>
            </w:r>
          </w:p>
        </w:tc>
      </w:tr>
      <w:tr w:rsidR="009145E6" w:rsidRPr="009145E6" w14:paraId="29F88FCF" w14:textId="77777777" w:rsidTr="00E60045">
        <w:trPr>
          <w:trHeight w:val="307"/>
        </w:trPr>
        <w:tc>
          <w:tcPr>
            <w:tcW w:w="2906" w:type="dxa"/>
            <w:tcBorders>
              <w:top w:val="double" w:sz="4" w:space="0" w:color="auto"/>
              <w:left w:val="nil"/>
              <w:bottom w:val="nil"/>
              <w:right w:val="nil"/>
            </w:tcBorders>
          </w:tcPr>
          <w:p w14:paraId="02746BCC" w14:textId="77777777" w:rsidR="009145E6" w:rsidRPr="009145E6" w:rsidRDefault="009145E6" w:rsidP="00E60045">
            <w:pPr>
              <w:pStyle w:val="TableParagraph"/>
              <w:spacing w:before="23" w:after="120"/>
              <w:jc w:val="left"/>
              <w:rPr>
                <w:rFonts w:ascii="Palatino Linotype" w:hAnsi="Palatino Linotype"/>
                <w:i/>
                <w:iCs/>
                <w:sz w:val="18"/>
                <w:szCs w:val="18"/>
                <w:lang w:val="tr-TR"/>
              </w:rPr>
            </w:pPr>
            <w:r w:rsidRPr="009145E6">
              <w:rPr>
                <w:rFonts w:ascii="Palatino Linotype" w:hAnsi="Palatino Linotype"/>
                <w:i/>
                <w:iCs/>
                <w:sz w:val="18"/>
                <w:szCs w:val="18"/>
                <w:lang w:val="tr-TR"/>
              </w:rPr>
              <w:t>İstihdam</w:t>
            </w:r>
          </w:p>
        </w:tc>
        <w:tc>
          <w:tcPr>
            <w:tcW w:w="1509" w:type="dxa"/>
            <w:tcBorders>
              <w:top w:val="double" w:sz="4" w:space="0" w:color="auto"/>
              <w:left w:val="nil"/>
              <w:bottom w:val="nil"/>
              <w:right w:val="nil"/>
            </w:tcBorders>
          </w:tcPr>
          <w:p w14:paraId="47582509" w14:textId="77777777" w:rsidR="009145E6" w:rsidRPr="009145E6" w:rsidRDefault="009145E6" w:rsidP="00E60045">
            <w:pPr>
              <w:pStyle w:val="TableParagraph"/>
              <w:spacing w:before="23" w:after="120"/>
              <w:ind w:left="18" w:right="4"/>
              <w:rPr>
                <w:rFonts w:ascii="Palatino Linotype" w:hAnsi="Palatino Linotype"/>
                <w:sz w:val="18"/>
                <w:szCs w:val="18"/>
              </w:rPr>
            </w:pPr>
            <w:r w:rsidRPr="009145E6">
              <w:rPr>
                <w:rFonts w:ascii="Palatino Linotype" w:hAnsi="Palatino Linotype"/>
                <w:spacing w:val="-4"/>
                <w:sz w:val="18"/>
                <w:szCs w:val="18"/>
              </w:rPr>
              <w:t>0.97</w:t>
            </w:r>
          </w:p>
        </w:tc>
        <w:tc>
          <w:tcPr>
            <w:tcW w:w="1186" w:type="dxa"/>
            <w:tcBorders>
              <w:top w:val="double" w:sz="4" w:space="0" w:color="auto"/>
              <w:left w:val="nil"/>
              <w:bottom w:val="nil"/>
              <w:right w:val="nil"/>
            </w:tcBorders>
          </w:tcPr>
          <w:p w14:paraId="1B919F65" w14:textId="77777777" w:rsidR="009145E6" w:rsidRPr="009145E6" w:rsidRDefault="009145E6" w:rsidP="00E60045">
            <w:pPr>
              <w:pStyle w:val="TableParagraph"/>
              <w:spacing w:before="23" w:after="120"/>
              <w:ind w:left="21"/>
              <w:rPr>
                <w:rFonts w:ascii="Palatino Linotype" w:hAnsi="Palatino Linotype"/>
                <w:sz w:val="18"/>
                <w:szCs w:val="18"/>
              </w:rPr>
            </w:pPr>
            <w:r w:rsidRPr="009145E6">
              <w:rPr>
                <w:rFonts w:ascii="Palatino Linotype" w:hAnsi="Palatino Linotype"/>
                <w:spacing w:val="-4"/>
                <w:sz w:val="18"/>
                <w:szCs w:val="18"/>
              </w:rPr>
              <w:t>0.56</w:t>
            </w:r>
          </w:p>
        </w:tc>
        <w:tc>
          <w:tcPr>
            <w:tcW w:w="1294" w:type="dxa"/>
            <w:tcBorders>
              <w:top w:val="double" w:sz="4" w:space="0" w:color="auto"/>
              <w:left w:val="nil"/>
              <w:bottom w:val="nil"/>
              <w:right w:val="nil"/>
            </w:tcBorders>
          </w:tcPr>
          <w:p w14:paraId="3C9C96FF" w14:textId="77777777" w:rsidR="009145E6" w:rsidRPr="009145E6" w:rsidRDefault="009145E6" w:rsidP="00E60045">
            <w:pPr>
              <w:pStyle w:val="TableParagraph"/>
              <w:spacing w:before="23" w:after="120"/>
              <w:ind w:left="24"/>
              <w:rPr>
                <w:rFonts w:ascii="Palatino Linotype" w:hAnsi="Palatino Linotype"/>
                <w:sz w:val="18"/>
                <w:szCs w:val="18"/>
              </w:rPr>
            </w:pPr>
            <w:r w:rsidRPr="009145E6">
              <w:rPr>
                <w:rFonts w:ascii="Palatino Linotype" w:hAnsi="Palatino Linotype"/>
                <w:spacing w:val="-4"/>
                <w:sz w:val="18"/>
                <w:szCs w:val="18"/>
              </w:rPr>
              <w:t>0.64</w:t>
            </w:r>
          </w:p>
        </w:tc>
        <w:tc>
          <w:tcPr>
            <w:tcW w:w="1367" w:type="dxa"/>
            <w:tcBorders>
              <w:top w:val="double" w:sz="4" w:space="0" w:color="auto"/>
              <w:left w:val="nil"/>
              <w:bottom w:val="nil"/>
              <w:right w:val="nil"/>
            </w:tcBorders>
          </w:tcPr>
          <w:p w14:paraId="5E597C0B" w14:textId="77777777" w:rsidR="009145E6" w:rsidRPr="009145E6" w:rsidRDefault="009145E6" w:rsidP="00E60045">
            <w:pPr>
              <w:pStyle w:val="TableParagraph"/>
              <w:spacing w:before="23" w:after="120"/>
              <w:ind w:left="26" w:right="12"/>
              <w:rPr>
                <w:rFonts w:ascii="Palatino Linotype" w:hAnsi="Palatino Linotype"/>
                <w:sz w:val="18"/>
                <w:szCs w:val="18"/>
              </w:rPr>
            </w:pPr>
            <w:r w:rsidRPr="009145E6">
              <w:rPr>
                <w:rFonts w:ascii="Palatino Linotype" w:hAnsi="Palatino Linotype"/>
                <w:spacing w:val="-4"/>
                <w:sz w:val="18"/>
                <w:szCs w:val="18"/>
              </w:rPr>
              <w:t>0.38</w:t>
            </w:r>
          </w:p>
        </w:tc>
      </w:tr>
      <w:tr w:rsidR="009145E6" w:rsidRPr="009145E6" w14:paraId="60305854" w14:textId="77777777" w:rsidTr="00E60045">
        <w:trPr>
          <w:trHeight w:val="286"/>
        </w:trPr>
        <w:tc>
          <w:tcPr>
            <w:tcW w:w="2906" w:type="dxa"/>
            <w:tcBorders>
              <w:top w:val="nil"/>
              <w:left w:val="nil"/>
              <w:bottom w:val="nil"/>
              <w:right w:val="nil"/>
            </w:tcBorders>
          </w:tcPr>
          <w:p w14:paraId="3FB1BB8F" w14:textId="77777777" w:rsidR="009145E6" w:rsidRPr="009145E6" w:rsidRDefault="009145E6" w:rsidP="00E60045">
            <w:pPr>
              <w:pStyle w:val="TableParagraph"/>
              <w:spacing w:after="120"/>
              <w:jc w:val="left"/>
              <w:rPr>
                <w:rFonts w:ascii="Palatino Linotype" w:hAnsi="Palatino Linotype"/>
                <w:i/>
                <w:iCs/>
                <w:sz w:val="18"/>
                <w:szCs w:val="18"/>
                <w:lang w:val="tr-TR"/>
              </w:rPr>
            </w:pPr>
            <w:r w:rsidRPr="009145E6">
              <w:rPr>
                <w:rFonts w:ascii="Palatino Linotype" w:hAnsi="Palatino Linotype"/>
                <w:i/>
                <w:iCs/>
                <w:sz w:val="18"/>
                <w:szCs w:val="18"/>
                <w:lang w:val="tr-TR"/>
              </w:rPr>
              <w:t>İstihdam (düzeltilmiş)</w:t>
            </w:r>
          </w:p>
        </w:tc>
        <w:tc>
          <w:tcPr>
            <w:tcW w:w="1509" w:type="dxa"/>
            <w:tcBorders>
              <w:top w:val="nil"/>
              <w:left w:val="nil"/>
              <w:bottom w:val="nil"/>
              <w:right w:val="nil"/>
            </w:tcBorders>
          </w:tcPr>
          <w:p w14:paraId="2075421B" w14:textId="77777777" w:rsidR="009145E6" w:rsidRPr="009145E6" w:rsidRDefault="009145E6" w:rsidP="00E60045">
            <w:pPr>
              <w:pStyle w:val="TableParagraph"/>
              <w:spacing w:after="120"/>
              <w:ind w:left="18" w:right="4"/>
              <w:rPr>
                <w:rFonts w:ascii="Palatino Linotype" w:hAnsi="Palatino Linotype"/>
                <w:sz w:val="18"/>
                <w:szCs w:val="18"/>
              </w:rPr>
            </w:pPr>
            <w:r w:rsidRPr="009145E6">
              <w:rPr>
                <w:rFonts w:ascii="Palatino Linotype" w:hAnsi="Palatino Linotype"/>
                <w:spacing w:val="-4"/>
                <w:sz w:val="18"/>
                <w:szCs w:val="18"/>
              </w:rPr>
              <w:t>0.97</w:t>
            </w:r>
          </w:p>
        </w:tc>
        <w:tc>
          <w:tcPr>
            <w:tcW w:w="1186" w:type="dxa"/>
            <w:tcBorders>
              <w:top w:val="nil"/>
              <w:left w:val="nil"/>
              <w:bottom w:val="nil"/>
              <w:right w:val="nil"/>
            </w:tcBorders>
          </w:tcPr>
          <w:p w14:paraId="4D75C187" w14:textId="77777777" w:rsidR="009145E6" w:rsidRPr="009145E6" w:rsidRDefault="009145E6" w:rsidP="00E60045">
            <w:pPr>
              <w:pStyle w:val="TableParagraph"/>
              <w:spacing w:after="120"/>
              <w:ind w:left="21"/>
              <w:rPr>
                <w:rFonts w:ascii="Palatino Linotype" w:hAnsi="Palatino Linotype"/>
                <w:sz w:val="18"/>
                <w:szCs w:val="18"/>
              </w:rPr>
            </w:pPr>
            <w:r w:rsidRPr="009145E6">
              <w:rPr>
                <w:rFonts w:ascii="Palatino Linotype" w:hAnsi="Palatino Linotype"/>
                <w:spacing w:val="-4"/>
                <w:sz w:val="18"/>
                <w:szCs w:val="18"/>
              </w:rPr>
              <w:t>0.24</w:t>
            </w:r>
          </w:p>
        </w:tc>
        <w:tc>
          <w:tcPr>
            <w:tcW w:w="1294" w:type="dxa"/>
            <w:tcBorders>
              <w:top w:val="nil"/>
              <w:left w:val="nil"/>
              <w:bottom w:val="nil"/>
              <w:right w:val="nil"/>
            </w:tcBorders>
          </w:tcPr>
          <w:p w14:paraId="398E28F7" w14:textId="77777777" w:rsidR="009145E6" w:rsidRPr="009145E6" w:rsidRDefault="009145E6" w:rsidP="00E60045">
            <w:pPr>
              <w:pStyle w:val="TableParagraph"/>
              <w:spacing w:after="120"/>
              <w:ind w:left="24"/>
              <w:rPr>
                <w:rFonts w:ascii="Palatino Linotype" w:hAnsi="Palatino Linotype"/>
                <w:sz w:val="18"/>
                <w:szCs w:val="18"/>
              </w:rPr>
            </w:pPr>
            <w:r w:rsidRPr="009145E6">
              <w:rPr>
                <w:rFonts w:ascii="Palatino Linotype" w:hAnsi="Palatino Linotype"/>
                <w:spacing w:val="-4"/>
                <w:sz w:val="18"/>
                <w:szCs w:val="18"/>
              </w:rPr>
              <w:t>0.30</w:t>
            </w:r>
          </w:p>
        </w:tc>
        <w:tc>
          <w:tcPr>
            <w:tcW w:w="1367" w:type="dxa"/>
            <w:tcBorders>
              <w:top w:val="nil"/>
              <w:left w:val="nil"/>
              <w:bottom w:val="nil"/>
              <w:right w:val="nil"/>
            </w:tcBorders>
          </w:tcPr>
          <w:p w14:paraId="1DC66C2A" w14:textId="77777777" w:rsidR="009145E6" w:rsidRPr="009145E6" w:rsidRDefault="009145E6" w:rsidP="00E60045">
            <w:pPr>
              <w:pStyle w:val="TableParagraph"/>
              <w:spacing w:after="120"/>
              <w:ind w:left="26" w:right="12"/>
              <w:rPr>
                <w:rFonts w:ascii="Palatino Linotype" w:hAnsi="Palatino Linotype"/>
                <w:sz w:val="18"/>
                <w:szCs w:val="18"/>
              </w:rPr>
            </w:pPr>
            <w:r w:rsidRPr="009145E6">
              <w:rPr>
                <w:rFonts w:ascii="Palatino Linotype" w:hAnsi="Palatino Linotype"/>
                <w:spacing w:val="-4"/>
                <w:sz w:val="18"/>
                <w:szCs w:val="18"/>
              </w:rPr>
              <w:t>0.12</w:t>
            </w:r>
          </w:p>
        </w:tc>
      </w:tr>
      <w:tr w:rsidR="009145E6" w:rsidRPr="009145E6" w14:paraId="7CF2019D" w14:textId="77777777" w:rsidTr="00E60045">
        <w:trPr>
          <w:trHeight w:val="286"/>
        </w:trPr>
        <w:tc>
          <w:tcPr>
            <w:tcW w:w="2906" w:type="dxa"/>
            <w:tcBorders>
              <w:top w:val="nil"/>
              <w:left w:val="nil"/>
              <w:bottom w:val="nil"/>
              <w:right w:val="nil"/>
            </w:tcBorders>
          </w:tcPr>
          <w:p w14:paraId="39B97CE3" w14:textId="77777777" w:rsidR="009145E6" w:rsidRPr="009145E6" w:rsidRDefault="009145E6" w:rsidP="00E60045">
            <w:pPr>
              <w:pStyle w:val="TableParagraph"/>
              <w:spacing w:after="120"/>
              <w:jc w:val="left"/>
              <w:rPr>
                <w:rFonts w:ascii="Palatino Linotype" w:hAnsi="Palatino Linotype"/>
                <w:i/>
                <w:iCs/>
                <w:sz w:val="18"/>
                <w:szCs w:val="18"/>
                <w:lang w:val="tr-TR"/>
              </w:rPr>
            </w:pPr>
            <w:r w:rsidRPr="009145E6">
              <w:rPr>
                <w:rFonts w:ascii="Palatino Linotype" w:hAnsi="Palatino Linotype"/>
                <w:i/>
                <w:iCs/>
                <w:sz w:val="18"/>
                <w:szCs w:val="18"/>
                <w:lang w:val="tr-TR"/>
              </w:rPr>
              <w:t>Kayıtlı istihdam</w:t>
            </w:r>
          </w:p>
        </w:tc>
        <w:tc>
          <w:tcPr>
            <w:tcW w:w="1509" w:type="dxa"/>
            <w:tcBorders>
              <w:top w:val="nil"/>
              <w:left w:val="nil"/>
              <w:bottom w:val="nil"/>
              <w:right w:val="nil"/>
            </w:tcBorders>
          </w:tcPr>
          <w:p w14:paraId="1BF8D94C" w14:textId="77777777" w:rsidR="009145E6" w:rsidRPr="009145E6" w:rsidRDefault="009145E6" w:rsidP="00E60045">
            <w:pPr>
              <w:pStyle w:val="TableParagraph"/>
              <w:spacing w:after="120"/>
              <w:ind w:left="18" w:right="4"/>
              <w:rPr>
                <w:rFonts w:ascii="Palatino Linotype" w:hAnsi="Palatino Linotype"/>
                <w:sz w:val="18"/>
                <w:szCs w:val="18"/>
              </w:rPr>
            </w:pPr>
            <w:r w:rsidRPr="009145E6">
              <w:rPr>
                <w:rFonts w:ascii="Palatino Linotype" w:hAnsi="Palatino Linotype"/>
                <w:spacing w:val="-4"/>
                <w:sz w:val="18"/>
                <w:szCs w:val="18"/>
              </w:rPr>
              <w:t>0.93</w:t>
            </w:r>
          </w:p>
        </w:tc>
        <w:tc>
          <w:tcPr>
            <w:tcW w:w="1186" w:type="dxa"/>
            <w:tcBorders>
              <w:top w:val="nil"/>
              <w:left w:val="nil"/>
              <w:bottom w:val="nil"/>
              <w:right w:val="nil"/>
            </w:tcBorders>
          </w:tcPr>
          <w:p w14:paraId="34B5015E" w14:textId="77777777" w:rsidR="009145E6" w:rsidRPr="009145E6" w:rsidRDefault="009145E6" w:rsidP="00E60045">
            <w:pPr>
              <w:pStyle w:val="TableParagraph"/>
              <w:spacing w:after="120"/>
              <w:ind w:left="21"/>
              <w:rPr>
                <w:rFonts w:ascii="Palatino Linotype" w:hAnsi="Palatino Linotype"/>
                <w:sz w:val="18"/>
                <w:szCs w:val="18"/>
              </w:rPr>
            </w:pPr>
            <w:r w:rsidRPr="009145E6">
              <w:rPr>
                <w:rFonts w:ascii="Palatino Linotype" w:hAnsi="Palatino Linotype"/>
                <w:spacing w:val="-4"/>
                <w:sz w:val="18"/>
                <w:szCs w:val="18"/>
              </w:rPr>
              <w:t>0.60</w:t>
            </w:r>
          </w:p>
        </w:tc>
        <w:tc>
          <w:tcPr>
            <w:tcW w:w="1294" w:type="dxa"/>
            <w:tcBorders>
              <w:top w:val="nil"/>
              <w:left w:val="nil"/>
              <w:bottom w:val="nil"/>
              <w:right w:val="nil"/>
            </w:tcBorders>
          </w:tcPr>
          <w:p w14:paraId="1F0234F0" w14:textId="77777777" w:rsidR="009145E6" w:rsidRPr="009145E6" w:rsidRDefault="009145E6" w:rsidP="00E60045">
            <w:pPr>
              <w:pStyle w:val="TableParagraph"/>
              <w:spacing w:after="120"/>
              <w:ind w:left="24"/>
              <w:rPr>
                <w:rFonts w:ascii="Palatino Linotype" w:hAnsi="Palatino Linotype"/>
                <w:sz w:val="18"/>
                <w:szCs w:val="18"/>
              </w:rPr>
            </w:pPr>
            <w:r w:rsidRPr="009145E6">
              <w:rPr>
                <w:rFonts w:ascii="Palatino Linotype" w:hAnsi="Palatino Linotype"/>
                <w:spacing w:val="-4"/>
                <w:sz w:val="18"/>
                <w:szCs w:val="18"/>
              </w:rPr>
              <w:t>0.61</w:t>
            </w:r>
          </w:p>
        </w:tc>
        <w:tc>
          <w:tcPr>
            <w:tcW w:w="1367" w:type="dxa"/>
            <w:tcBorders>
              <w:top w:val="nil"/>
              <w:left w:val="nil"/>
              <w:bottom w:val="nil"/>
              <w:right w:val="nil"/>
            </w:tcBorders>
          </w:tcPr>
          <w:p w14:paraId="32B5A119" w14:textId="77777777" w:rsidR="009145E6" w:rsidRPr="009145E6" w:rsidRDefault="009145E6" w:rsidP="00E60045">
            <w:pPr>
              <w:pStyle w:val="TableParagraph"/>
              <w:spacing w:after="120"/>
              <w:ind w:left="26" w:right="12"/>
              <w:rPr>
                <w:rFonts w:ascii="Palatino Linotype" w:hAnsi="Palatino Linotype"/>
                <w:sz w:val="18"/>
                <w:szCs w:val="18"/>
              </w:rPr>
            </w:pPr>
            <w:r w:rsidRPr="009145E6">
              <w:rPr>
                <w:rFonts w:ascii="Palatino Linotype" w:hAnsi="Palatino Linotype"/>
                <w:spacing w:val="-4"/>
                <w:sz w:val="18"/>
                <w:szCs w:val="18"/>
              </w:rPr>
              <w:t>0.38</w:t>
            </w:r>
          </w:p>
        </w:tc>
      </w:tr>
      <w:tr w:rsidR="009145E6" w:rsidRPr="009145E6" w14:paraId="43D8AA02" w14:textId="77777777" w:rsidTr="00E60045">
        <w:trPr>
          <w:trHeight w:val="278"/>
        </w:trPr>
        <w:tc>
          <w:tcPr>
            <w:tcW w:w="2906" w:type="dxa"/>
            <w:tcBorders>
              <w:top w:val="nil"/>
              <w:left w:val="nil"/>
              <w:bottom w:val="single" w:sz="4" w:space="0" w:color="auto"/>
              <w:right w:val="nil"/>
            </w:tcBorders>
          </w:tcPr>
          <w:p w14:paraId="6B34D374" w14:textId="77777777" w:rsidR="009145E6" w:rsidRPr="009145E6" w:rsidRDefault="009145E6" w:rsidP="00E60045">
            <w:pPr>
              <w:pStyle w:val="TableParagraph"/>
              <w:spacing w:after="120"/>
              <w:jc w:val="left"/>
              <w:rPr>
                <w:rFonts w:ascii="Palatino Linotype" w:hAnsi="Palatino Linotype"/>
                <w:i/>
                <w:iCs/>
                <w:sz w:val="18"/>
                <w:szCs w:val="18"/>
                <w:lang w:val="tr-TR"/>
              </w:rPr>
            </w:pPr>
            <w:r w:rsidRPr="009145E6">
              <w:rPr>
                <w:rFonts w:ascii="Palatino Linotype" w:hAnsi="Palatino Linotype"/>
                <w:i/>
                <w:iCs/>
                <w:sz w:val="18"/>
                <w:szCs w:val="18"/>
                <w:lang w:val="tr-TR"/>
              </w:rPr>
              <w:t>Kayıtlı istihdam (düzeltilmiş)</w:t>
            </w:r>
          </w:p>
        </w:tc>
        <w:tc>
          <w:tcPr>
            <w:tcW w:w="1509" w:type="dxa"/>
            <w:tcBorders>
              <w:top w:val="nil"/>
              <w:left w:val="nil"/>
              <w:bottom w:val="single" w:sz="4" w:space="0" w:color="auto"/>
              <w:right w:val="nil"/>
            </w:tcBorders>
          </w:tcPr>
          <w:p w14:paraId="64A0E6E0" w14:textId="77777777" w:rsidR="009145E6" w:rsidRPr="009145E6" w:rsidRDefault="009145E6" w:rsidP="00E60045">
            <w:pPr>
              <w:pStyle w:val="TableParagraph"/>
              <w:spacing w:after="120"/>
              <w:ind w:left="18" w:right="4"/>
              <w:rPr>
                <w:rFonts w:ascii="Palatino Linotype" w:hAnsi="Palatino Linotype"/>
                <w:sz w:val="18"/>
                <w:szCs w:val="18"/>
              </w:rPr>
            </w:pPr>
            <w:r w:rsidRPr="009145E6">
              <w:rPr>
                <w:rFonts w:ascii="Palatino Linotype" w:hAnsi="Palatino Linotype"/>
                <w:spacing w:val="-4"/>
                <w:sz w:val="18"/>
                <w:szCs w:val="18"/>
              </w:rPr>
              <w:t>0.90</w:t>
            </w:r>
          </w:p>
        </w:tc>
        <w:tc>
          <w:tcPr>
            <w:tcW w:w="1186" w:type="dxa"/>
            <w:tcBorders>
              <w:top w:val="nil"/>
              <w:left w:val="nil"/>
              <w:bottom w:val="single" w:sz="4" w:space="0" w:color="auto"/>
              <w:right w:val="nil"/>
            </w:tcBorders>
          </w:tcPr>
          <w:p w14:paraId="0BC60235" w14:textId="77777777" w:rsidR="009145E6" w:rsidRPr="009145E6" w:rsidRDefault="009145E6" w:rsidP="00E60045">
            <w:pPr>
              <w:pStyle w:val="TableParagraph"/>
              <w:spacing w:after="120"/>
              <w:ind w:left="21"/>
              <w:rPr>
                <w:rFonts w:ascii="Palatino Linotype" w:hAnsi="Palatino Linotype"/>
                <w:sz w:val="18"/>
                <w:szCs w:val="18"/>
              </w:rPr>
            </w:pPr>
            <w:r w:rsidRPr="009145E6">
              <w:rPr>
                <w:rFonts w:ascii="Palatino Linotype" w:hAnsi="Palatino Linotype"/>
                <w:spacing w:val="-4"/>
                <w:sz w:val="18"/>
                <w:szCs w:val="18"/>
              </w:rPr>
              <w:t>0.15</w:t>
            </w:r>
          </w:p>
        </w:tc>
        <w:tc>
          <w:tcPr>
            <w:tcW w:w="1294" w:type="dxa"/>
            <w:tcBorders>
              <w:top w:val="nil"/>
              <w:left w:val="nil"/>
              <w:bottom w:val="single" w:sz="4" w:space="0" w:color="auto"/>
              <w:right w:val="nil"/>
            </w:tcBorders>
          </w:tcPr>
          <w:p w14:paraId="464F7522" w14:textId="77777777" w:rsidR="009145E6" w:rsidRPr="009145E6" w:rsidRDefault="009145E6" w:rsidP="00E60045">
            <w:pPr>
              <w:pStyle w:val="TableParagraph"/>
              <w:spacing w:after="120"/>
              <w:ind w:left="24"/>
              <w:rPr>
                <w:rFonts w:ascii="Palatino Linotype" w:hAnsi="Palatino Linotype"/>
                <w:sz w:val="18"/>
                <w:szCs w:val="18"/>
              </w:rPr>
            </w:pPr>
            <w:r w:rsidRPr="009145E6">
              <w:rPr>
                <w:rFonts w:ascii="Palatino Linotype" w:hAnsi="Palatino Linotype"/>
                <w:spacing w:val="-4"/>
                <w:sz w:val="18"/>
                <w:szCs w:val="18"/>
              </w:rPr>
              <w:t>0.15</w:t>
            </w:r>
          </w:p>
        </w:tc>
        <w:tc>
          <w:tcPr>
            <w:tcW w:w="1367" w:type="dxa"/>
            <w:tcBorders>
              <w:top w:val="nil"/>
              <w:left w:val="nil"/>
              <w:bottom w:val="single" w:sz="4" w:space="0" w:color="auto"/>
              <w:right w:val="nil"/>
            </w:tcBorders>
          </w:tcPr>
          <w:p w14:paraId="714D76EF" w14:textId="77777777" w:rsidR="009145E6" w:rsidRPr="009145E6" w:rsidRDefault="009145E6" w:rsidP="00E60045">
            <w:pPr>
              <w:pStyle w:val="TableParagraph"/>
              <w:spacing w:after="120"/>
              <w:ind w:left="26" w:right="12"/>
              <w:rPr>
                <w:rFonts w:ascii="Palatino Linotype" w:hAnsi="Palatino Linotype"/>
                <w:sz w:val="18"/>
                <w:szCs w:val="18"/>
              </w:rPr>
            </w:pPr>
            <w:r w:rsidRPr="009145E6">
              <w:rPr>
                <w:rFonts w:ascii="Palatino Linotype" w:hAnsi="Palatino Linotype"/>
                <w:spacing w:val="-4"/>
                <w:sz w:val="18"/>
                <w:szCs w:val="18"/>
              </w:rPr>
              <w:t>0.03</w:t>
            </w:r>
          </w:p>
        </w:tc>
      </w:tr>
    </w:tbl>
    <w:p w14:paraId="69FED9E1" w14:textId="77777777" w:rsidR="009145E6" w:rsidRPr="009145E6" w:rsidRDefault="009145E6" w:rsidP="009145E6">
      <w:pPr>
        <w:spacing w:before="120" w:after="120" w:line="360" w:lineRule="auto"/>
        <w:jc w:val="both"/>
        <w:rPr>
          <w:rFonts w:ascii="Palatino Linotype" w:hAnsi="Palatino Linotype"/>
          <w:sz w:val="16"/>
          <w:szCs w:val="16"/>
        </w:rPr>
      </w:pPr>
      <w:r w:rsidRPr="009145E6">
        <w:rPr>
          <w:rFonts w:ascii="Palatino Linotype" w:hAnsi="Palatino Linotype"/>
          <w:b/>
          <w:bCs/>
          <w:sz w:val="16"/>
          <w:szCs w:val="16"/>
        </w:rPr>
        <w:t>Not:</w:t>
      </w:r>
      <w:r w:rsidRPr="009145E6">
        <w:rPr>
          <w:rFonts w:ascii="Palatino Linotype" w:hAnsi="Palatino Linotype"/>
          <w:sz w:val="16"/>
          <w:szCs w:val="16"/>
        </w:rPr>
        <w:t xml:space="preserve"> Tabloda belirli HLFS değişkenleri ile SGK istihdamı arasındaki korelasyonlar gösterilmektedir. “düzeltilmiş”, mevsimsel düzeltmeleri ifade eder.</w:t>
      </w:r>
    </w:p>
    <w:p w14:paraId="7F26C6D6" w14:textId="77777777" w:rsidR="009145E6" w:rsidRPr="009145E6" w:rsidRDefault="009145E6" w:rsidP="00211EAA">
      <w:pPr>
        <w:spacing w:after="120" w:line="360" w:lineRule="auto"/>
        <w:jc w:val="both"/>
        <w:rPr>
          <w:rFonts w:ascii="Palatino Linotype" w:hAnsi="Palatino Linotype"/>
        </w:rPr>
      </w:pPr>
    </w:p>
    <w:p w14:paraId="7A8D5BBA" w14:textId="77777777" w:rsidR="00211EAA" w:rsidRPr="009145E6" w:rsidRDefault="00211EAA" w:rsidP="00211EAA">
      <w:pPr>
        <w:spacing w:after="120" w:line="360" w:lineRule="auto"/>
        <w:jc w:val="both"/>
        <w:rPr>
          <w:rFonts w:ascii="Palatino Linotype" w:hAnsi="Palatino Linotype"/>
        </w:rPr>
      </w:pPr>
      <w:r w:rsidRPr="009145E6">
        <w:rPr>
          <w:rFonts w:ascii="Palatino Linotype" w:hAnsi="Palatino Linotype"/>
        </w:rPr>
        <w:t>Tablo 1'den, belirtilen trend sorunu nedeniyle seviye değerlerindeki korelasyonların gerçekten çok yüksek olduğu görülebilir. Birinci derece farkların alındığı değişkenlere gelince, ham verilerde (mevsimsel olarak düzeltilmemiş veriler) birinci farklar arasındaki korelasyonlar, mevsimsel olarak düzeltilmiş</w:t>
      </w:r>
      <w:r w:rsidRPr="009145E6">
        <w:rPr>
          <w:rStyle w:val="FootnoteReference"/>
          <w:rFonts w:ascii="Palatino Linotype" w:hAnsi="Palatino Linotype"/>
        </w:rPr>
        <w:footnoteReference w:id="6"/>
      </w:r>
      <w:r w:rsidRPr="009145E6">
        <w:rPr>
          <w:rFonts w:ascii="Palatino Linotype" w:hAnsi="Palatino Linotype"/>
        </w:rPr>
        <w:t xml:space="preserve"> muadillerinin sahip olduğu korelasyonlardan makul ölçüde daha yüksektir. Bu durum, mevsimselliğe göre düzeltilmiş serilerin uzun vadeli trendleri tespit etmesi amaçlandığı için beklenen bir durumdur. Konu açısından daha da önemlisi, korelasyonların 2021'in başlarında metodolojideki değişiklikten sonra azalmış gibi görünmesidir. Örneğin, HİA tarafından ölçülen (mevsimsel olarak düzeltilmemiş) resmi istihdam ile SGK istihdam verisi </w:t>
      </w:r>
      <w:r w:rsidRPr="009145E6">
        <w:rPr>
          <w:rFonts w:ascii="Palatino Linotype" w:hAnsi="Palatino Linotype"/>
        </w:rPr>
        <w:lastRenderedPageBreak/>
        <w:t>arasındaki korelasyon 0,61'den 0,38'e düşmüştür. Bu sonuç, bağımsız aylık raporlamanın kısa vadeli dinamikleri anlamak açısından yarardan çok zarar vermiş olabileceği anlamına gelmektedir.</w:t>
      </w:r>
    </w:p>
    <w:p w14:paraId="56AD663C" w14:textId="77777777" w:rsidR="00211EAA" w:rsidRPr="009145E6" w:rsidRDefault="00211EAA" w:rsidP="00211EAA">
      <w:pPr>
        <w:spacing w:after="120" w:line="360" w:lineRule="auto"/>
        <w:jc w:val="both"/>
        <w:rPr>
          <w:rFonts w:ascii="Palatino Linotype" w:hAnsi="Palatino Linotype"/>
        </w:rPr>
      </w:pPr>
      <w:r w:rsidRPr="009145E6">
        <w:rPr>
          <w:rFonts w:ascii="Palatino Linotype" w:hAnsi="Palatino Linotype"/>
        </w:rPr>
        <w:t>Ancak korelasyon katsayılarını değerlendirmek zordur. “Yeterince yüksek bir korelasyon”un ne anlama geldiği de tartışmalı bir konudur. Daha gerçekçi ve politika oluşturma açısından daha mantıklı bir değerlendirme, HİA'nın kayıtlı istihdam verisindeki değişimin yönünün, SGK’nın istihdam verisindeki (tanımı gereği kayıtlı istihdam) değişimin yönüne ne sıklıkla uyum sağladığına bakılarak yapılabilir. Bu değerlendirme Tablo 2'de gösterilmiştir. Tabloda başarı oranı iki çok basit lafta stratejiyle karşılaştırılmaktadır. Birincisi, bilgi içermeyen bir ölçüt görevi gören bir yazı tura, yani HİA verileri bu ölçüte yakınsa, HİA verisinin karmaşık beyaz gürültüden (white noise) başka bir şey olmadığı anlamına gelir. İkincisi ise, resmi istihdamın her zaman artacağını varsayan basit bir strateji. Düzenli artış stratejisinin değerlendirmesi, 2014-2021 dönemi arasında SGK’ya kayıtlı istihdamın payının arttığı ayların oranının (0,6) çıkarılmasıyla yapılır, yani bu, ülkenin demografisini akıllıca kullanan uzun vadeli bir stratejidir.</w:t>
      </w:r>
    </w:p>
    <w:p w14:paraId="5537E243" w14:textId="77777777" w:rsidR="00211EAA" w:rsidRPr="009145E6" w:rsidRDefault="00211EAA" w:rsidP="00211EAA">
      <w:pPr>
        <w:spacing w:after="120" w:line="360" w:lineRule="auto"/>
        <w:jc w:val="center"/>
        <w:rPr>
          <w:rFonts w:ascii="Palatino Linotype" w:hAnsi="Palatino Linotype"/>
        </w:rPr>
      </w:pPr>
      <w:r w:rsidRPr="009145E6">
        <w:rPr>
          <w:rFonts w:ascii="Palatino Linotype" w:hAnsi="Palatino Linotype"/>
        </w:rPr>
        <w:t>Tablo 2: SGK verisinin yön değişikliklerini tespit etmede başarı oranları.</w:t>
      </w:r>
    </w:p>
    <w:tbl>
      <w:tblPr>
        <w:tblW w:w="0" w:type="auto"/>
        <w:tblInd w:w="2145" w:type="dxa"/>
        <w:tblLayout w:type="fixed"/>
        <w:tblCellMar>
          <w:left w:w="0" w:type="dxa"/>
          <w:right w:w="0" w:type="dxa"/>
        </w:tblCellMar>
        <w:tblLook w:val="01E0" w:firstRow="1" w:lastRow="1" w:firstColumn="1" w:lastColumn="1" w:noHBand="0" w:noVBand="0"/>
      </w:tblPr>
      <w:tblGrid>
        <w:gridCol w:w="2906"/>
        <w:gridCol w:w="1036"/>
        <w:gridCol w:w="1143"/>
      </w:tblGrid>
      <w:tr w:rsidR="00211EAA" w:rsidRPr="003D30C9" w14:paraId="53F5822B" w14:textId="77777777" w:rsidTr="00E60045">
        <w:trPr>
          <w:trHeight w:val="298"/>
        </w:trPr>
        <w:tc>
          <w:tcPr>
            <w:tcW w:w="2906" w:type="dxa"/>
            <w:tcBorders>
              <w:top w:val="single" w:sz="4" w:space="0" w:color="000000"/>
              <w:bottom w:val="double" w:sz="4" w:space="0" w:color="000000"/>
            </w:tcBorders>
          </w:tcPr>
          <w:p w14:paraId="5BF015B4" w14:textId="77777777" w:rsidR="00211EAA" w:rsidRPr="00F02F3C" w:rsidRDefault="00211EAA" w:rsidP="00E60045">
            <w:pPr>
              <w:pStyle w:val="TableParagraph"/>
              <w:spacing w:before="9" w:after="120"/>
              <w:jc w:val="left"/>
              <w:rPr>
                <w:rFonts w:ascii="Book Antiqua" w:hAnsi="Book Antiqua"/>
                <w:sz w:val="18"/>
                <w:szCs w:val="18"/>
                <w:lang w:val="tr-TR"/>
              </w:rPr>
            </w:pPr>
            <w:r w:rsidRPr="00F02F3C">
              <w:rPr>
                <w:rFonts w:ascii="Book Antiqua" w:hAnsi="Book Antiqua"/>
                <w:sz w:val="18"/>
                <w:szCs w:val="18"/>
                <w:lang w:val="tr-TR"/>
              </w:rPr>
              <w:t>HİA değişkeni</w:t>
            </w:r>
          </w:p>
        </w:tc>
        <w:tc>
          <w:tcPr>
            <w:tcW w:w="1036" w:type="dxa"/>
            <w:tcBorders>
              <w:top w:val="single" w:sz="4" w:space="0" w:color="000000"/>
              <w:bottom w:val="double" w:sz="4" w:space="0" w:color="000000"/>
            </w:tcBorders>
          </w:tcPr>
          <w:p w14:paraId="247D93C7" w14:textId="77777777" w:rsidR="00211EAA" w:rsidRPr="00F02F3C" w:rsidRDefault="00211EAA" w:rsidP="00E60045">
            <w:pPr>
              <w:pStyle w:val="TableParagraph"/>
              <w:spacing w:before="9" w:after="120"/>
              <w:ind w:left="17" w:right="24"/>
              <w:rPr>
                <w:rFonts w:ascii="Book Antiqua" w:hAnsi="Book Antiqua"/>
                <w:i/>
                <w:iCs/>
                <w:sz w:val="18"/>
                <w:szCs w:val="18"/>
                <w:lang w:val="tr-TR"/>
              </w:rPr>
            </w:pPr>
            <w:r w:rsidRPr="00F02F3C">
              <w:rPr>
                <w:rFonts w:ascii="Book Antiqua" w:hAnsi="Book Antiqua"/>
                <w:i/>
                <w:iCs/>
                <w:sz w:val="18"/>
                <w:szCs w:val="18"/>
                <w:lang w:val="tr-TR"/>
              </w:rPr>
              <w:t>2021 Öncesi</w:t>
            </w:r>
          </w:p>
        </w:tc>
        <w:tc>
          <w:tcPr>
            <w:tcW w:w="1143" w:type="dxa"/>
            <w:tcBorders>
              <w:top w:val="single" w:sz="4" w:space="0" w:color="000000"/>
              <w:bottom w:val="double" w:sz="4" w:space="0" w:color="000000"/>
            </w:tcBorders>
          </w:tcPr>
          <w:p w14:paraId="009AF6AA" w14:textId="77777777" w:rsidR="00211EAA" w:rsidRPr="00F02F3C" w:rsidRDefault="00211EAA" w:rsidP="00E60045">
            <w:pPr>
              <w:pStyle w:val="TableParagraph"/>
              <w:spacing w:before="9" w:after="120"/>
              <w:ind w:left="14" w:right="26"/>
              <w:rPr>
                <w:rFonts w:ascii="Book Antiqua" w:hAnsi="Book Antiqua"/>
                <w:i/>
                <w:iCs/>
                <w:sz w:val="18"/>
                <w:szCs w:val="18"/>
                <w:lang w:val="tr-TR"/>
              </w:rPr>
            </w:pPr>
            <w:r w:rsidRPr="00F02F3C">
              <w:rPr>
                <w:rFonts w:ascii="Book Antiqua" w:hAnsi="Book Antiqua"/>
                <w:i/>
                <w:iCs/>
                <w:sz w:val="18"/>
                <w:szCs w:val="18"/>
                <w:lang w:val="tr-TR"/>
              </w:rPr>
              <w:t>2021 Sonrası</w:t>
            </w:r>
          </w:p>
        </w:tc>
      </w:tr>
      <w:tr w:rsidR="00211EAA" w:rsidRPr="003D30C9" w14:paraId="625F9C4E" w14:textId="77777777" w:rsidTr="00E60045">
        <w:trPr>
          <w:trHeight w:val="307"/>
        </w:trPr>
        <w:tc>
          <w:tcPr>
            <w:tcW w:w="2906" w:type="dxa"/>
            <w:tcBorders>
              <w:top w:val="double" w:sz="4" w:space="0" w:color="000000"/>
            </w:tcBorders>
          </w:tcPr>
          <w:p w14:paraId="0C8F7E1F" w14:textId="77777777" w:rsidR="00211EAA" w:rsidRPr="00883C7D" w:rsidRDefault="00211EAA" w:rsidP="00E60045">
            <w:pPr>
              <w:pStyle w:val="TableParagraph"/>
              <w:spacing w:before="23" w:after="120"/>
              <w:jc w:val="left"/>
              <w:rPr>
                <w:rFonts w:ascii="Book Antiqua" w:hAnsi="Book Antiqua"/>
                <w:i/>
                <w:iCs/>
                <w:sz w:val="18"/>
                <w:szCs w:val="18"/>
                <w:lang w:val="tr-TR"/>
              </w:rPr>
            </w:pPr>
            <w:r w:rsidRPr="00883C7D">
              <w:rPr>
                <w:rFonts w:ascii="Book Antiqua" w:hAnsi="Book Antiqua"/>
                <w:i/>
                <w:iCs/>
                <w:sz w:val="18"/>
                <w:szCs w:val="18"/>
                <w:lang w:val="tr-TR"/>
              </w:rPr>
              <w:t>Kayıtlı istihdam</w:t>
            </w:r>
          </w:p>
        </w:tc>
        <w:tc>
          <w:tcPr>
            <w:tcW w:w="1036" w:type="dxa"/>
            <w:tcBorders>
              <w:top w:val="double" w:sz="4" w:space="0" w:color="000000"/>
            </w:tcBorders>
          </w:tcPr>
          <w:p w14:paraId="77E629AD" w14:textId="77777777" w:rsidR="00211EAA" w:rsidRPr="003D30C9" w:rsidRDefault="00211EAA" w:rsidP="00E60045">
            <w:pPr>
              <w:pStyle w:val="TableParagraph"/>
              <w:spacing w:before="23" w:after="120"/>
              <w:ind w:left="24" w:right="7"/>
              <w:rPr>
                <w:rFonts w:ascii="Book Antiqua" w:hAnsi="Book Antiqua"/>
                <w:sz w:val="18"/>
                <w:szCs w:val="18"/>
              </w:rPr>
            </w:pPr>
            <w:r w:rsidRPr="003D30C9">
              <w:rPr>
                <w:rFonts w:ascii="Book Antiqua" w:hAnsi="Book Antiqua"/>
                <w:spacing w:val="-5"/>
                <w:sz w:val="18"/>
                <w:szCs w:val="18"/>
              </w:rPr>
              <w:t>72</w:t>
            </w:r>
          </w:p>
        </w:tc>
        <w:tc>
          <w:tcPr>
            <w:tcW w:w="1143" w:type="dxa"/>
            <w:tcBorders>
              <w:top w:val="double" w:sz="4" w:space="0" w:color="000000"/>
            </w:tcBorders>
          </w:tcPr>
          <w:p w14:paraId="53D9B773" w14:textId="77777777" w:rsidR="00211EAA" w:rsidRPr="003D30C9" w:rsidRDefault="00211EAA" w:rsidP="00E60045">
            <w:pPr>
              <w:pStyle w:val="TableParagraph"/>
              <w:spacing w:before="23" w:after="120"/>
              <w:ind w:left="24" w:right="12"/>
              <w:rPr>
                <w:rFonts w:ascii="Book Antiqua" w:hAnsi="Book Antiqua"/>
                <w:sz w:val="18"/>
                <w:szCs w:val="18"/>
              </w:rPr>
            </w:pPr>
            <w:r w:rsidRPr="003D30C9">
              <w:rPr>
                <w:rFonts w:ascii="Book Antiqua" w:hAnsi="Book Antiqua"/>
                <w:spacing w:val="-5"/>
                <w:sz w:val="18"/>
                <w:szCs w:val="18"/>
              </w:rPr>
              <w:t>67</w:t>
            </w:r>
          </w:p>
        </w:tc>
      </w:tr>
      <w:tr w:rsidR="00211EAA" w:rsidRPr="003D30C9" w14:paraId="204C2F41" w14:textId="77777777" w:rsidTr="00E60045">
        <w:trPr>
          <w:trHeight w:val="286"/>
        </w:trPr>
        <w:tc>
          <w:tcPr>
            <w:tcW w:w="2906" w:type="dxa"/>
          </w:tcPr>
          <w:p w14:paraId="08FC3AE6" w14:textId="77777777" w:rsidR="00211EAA" w:rsidRPr="00883C7D" w:rsidRDefault="00211EAA" w:rsidP="00E60045">
            <w:pPr>
              <w:pStyle w:val="TableParagraph"/>
              <w:spacing w:after="120"/>
              <w:jc w:val="left"/>
              <w:rPr>
                <w:rFonts w:ascii="Book Antiqua" w:hAnsi="Book Antiqua"/>
                <w:i/>
                <w:iCs/>
                <w:sz w:val="18"/>
                <w:szCs w:val="18"/>
                <w:lang w:val="tr-TR"/>
              </w:rPr>
            </w:pPr>
            <w:r w:rsidRPr="00883C7D">
              <w:rPr>
                <w:rFonts w:ascii="Book Antiqua" w:hAnsi="Book Antiqua"/>
                <w:i/>
                <w:iCs/>
                <w:sz w:val="18"/>
                <w:szCs w:val="18"/>
                <w:lang w:val="tr-TR"/>
              </w:rPr>
              <w:t>Kayıtlı istihdam (düzeltilmiş)</w:t>
            </w:r>
          </w:p>
        </w:tc>
        <w:tc>
          <w:tcPr>
            <w:tcW w:w="1036" w:type="dxa"/>
          </w:tcPr>
          <w:p w14:paraId="4F6C45DF" w14:textId="77777777" w:rsidR="00211EAA" w:rsidRPr="003D30C9" w:rsidRDefault="00211EAA" w:rsidP="00E60045">
            <w:pPr>
              <w:pStyle w:val="TableParagraph"/>
              <w:spacing w:after="120"/>
              <w:ind w:left="24" w:right="7"/>
              <w:rPr>
                <w:rFonts w:ascii="Book Antiqua" w:hAnsi="Book Antiqua"/>
                <w:sz w:val="18"/>
                <w:szCs w:val="18"/>
              </w:rPr>
            </w:pPr>
            <w:r w:rsidRPr="003D30C9">
              <w:rPr>
                <w:rFonts w:ascii="Book Antiqua" w:hAnsi="Book Antiqua"/>
                <w:spacing w:val="-5"/>
                <w:sz w:val="18"/>
                <w:szCs w:val="18"/>
              </w:rPr>
              <w:t>57</w:t>
            </w:r>
          </w:p>
        </w:tc>
        <w:tc>
          <w:tcPr>
            <w:tcW w:w="1143" w:type="dxa"/>
          </w:tcPr>
          <w:p w14:paraId="07C15E52" w14:textId="77777777" w:rsidR="00211EAA" w:rsidRPr="003D30C9" w:rsidRDefault="00211EAA" w:rsidP="00E60045">
            <w:pPr>
              <w:pStyle w:val="TableParagraph"/>
              <w:spacing w:after="120"/>
              <w:ind w:left="24" w:right="12"/>
              <w:rPr>
                <w:rFonts w:ascii="Book Antiqua" w:hAnsi="Book Antiqua"/>
                <w:sz w:val="18"/>
                <w:szCs w:val="18"/>
              </w:rPr>
            </w:pPr>
            <w:r w:rsidRPr="003D30C9">
              <w:rPr>
                <w:rFonts w:ascii="Book Antiqua" w:hAnsi="Book Antiqua"/>
                <w:spacing w:val="-5"/>
                <w:sz w:val="18"/>
                <w:szCs w:val="18"/>
              </w:rPr>
              <w:t>50</w:t>
            </w:r>
          </w:p>
        </w:tc>
      </w:tr>
      <w:tr w:rsidR="00211EAA" w:rsidRPr="003D30C9" w14:paraId="2FB41041" w14:textId="77777777" w:rsidTr="00E60045">
        <w:trPr>
          <w:trHeight w:val="286"/>
        </w:trPr>
        <w:tc>
          <w:tcPr>
            <w:tcW w:w="2906" w:type="dxa"/>
          </w:tcPr>
          <w:p w14:paraId="25BDA4AF" w14:textId="77777777" w:rsidR="00211EAA" w:rsidRPr="00883C7D" w:rsidRDefault="00211EAA" w:rsidP="00E60045">
            <w:pPr>
              <w:pStyle w:val="TableParagraph"/>
              <w:spacing w:after="120"/>
              <w:jc w:val="left"/>
              <w:rPr>
                <w:rFonts w:ascii="Book Antiqua" w:hAnsi="Book Antiqua"/>
                <w:i/>
                <w:iCs/>
                <w:strike/>
                <w:sz w:val="18"/>
                <w:szCs w:val="18"/>
                <w:lang w:val="tr-TR"/>
              </w:rPr>
            </w:pPr>
            <w:r w:rsidRPr="00883C7D">
              <w:rPr>
                <w:rFonts w:ascii="Book Antiqua" w:hAnsi="Book Antiqua"/>
                <w:i/>
                <w:iCs/>
                <w:sz w:val="18"/>
                <w:szCs w:val="18"/>
                <w:lang w:val="tr-TR"/>
              </w:rPr>
              <w:t>Düzenli artış</w:t>
            </w:r>
          </w:p>
        </w:tc>
        <w:tc>
          <w:tcPr>
            <w:tcW w:w="1036" w:type="dxa"/>
          </w:tcPr>
          <w:p w14:paraId="77639FC4" w14:textId="77777777" w:rsidR="00211EAA" w:rsidRPr="003D30C9" w:rsidRDefault="00211EAA" w:rsidP="00E60045">
            <w:pPr>
              <w:pStyle w:val="TableParagraph"/>
              <w:spacing w:after="120"/>
              <w:ind w:left="24" w:right="7"/>
              <w:rPr>
                <w:rFonts w:ascii="Book Antiqua" w:hAnsi="Book Antiqua"/>
                <w:sz w:val="18"/>
                <w:szCs w:val="18"/>
              </w:rPr>
            </w:pPr>
            <w:r w:rsidRPr="003D30C9">
              <w:rPr>
                <w:rFonts w:ascii="Book Antiqua" w:hAnsi="Book Antiqua"/>
                <w:spacing w:val="-5"/>
                <w:sz w:val="18"/>
                <w:szCs w:val="18"/>
              </w:rPr>
              <w:t>60</w:t>
            </w:r>
          </w:p>
        </w:tc>
        <w:tc>
          <w:tcPr>
            <w:tcW w:w="1143" w:type="dxa"/>
          </w:tcPr>
          <w:p w14:paraId="43F52C5F" w14:textId="77777777" w:rsidR="00211EAA" w:rsidRPr="003D30C9" w:rsidRDefault="00211EAA" w:rsidP="00E60045">
            <w:pPr>
              <w:pStyle w:val="TableParagraph"/>
              <w:spacing w:after="120"/>
              <w:ind w:left="24" w:right="12"/>
              <w:rPr>
                <w:rFonts w:ascii="Book Antiqua" w:hAnsi="Book Antiqua"/>
                <w:sz w:val="18"/>
                <w:szCs w:val="18"/>
              </w:rPr>
            </w:pPr>
            <w:r w:rsidRPr="003D30C9">
              <w:rPr>
                <w:rFonts w:ascii="Book Antiqua" w:hAnsi="Book Antiqua"/>
                <w:spacing w:val="-5"/>
                <w:sz w:val="18"/>
                <w:szCs w:val="18"/>
              </w:rPr>
              <w:t>60</w:t>
            </w:r>
          </w:p>
        </w:tc>
      </w:tr>
      <w:tr w:rsidR="00211EAA" w:rsidRPr="003D30C9" w14:paraId="3461F1D8" w14:textId="77777777" w:rsidTr="00E60045">
        <w:trPr>
          <w:trHeight w:val="278"/>
        </w:trPr>
        <w:tc>
          <w:tcPr>
            <w:tcW w:w="2906" w:type="dxa"/>
            <w:tcBorders>
              <w:bottom w:val="single" w:sz="4" w:space="0" w:color="000000"/>
            </w:tcBorders>
          </w:tcPr>
          <w:p w14:paraId="29E05BFD" w14:textId="77777777" w:rsidR="00211EAA" w:rsidRPr="00883C7D" w:rsidRDefault="00211EAA" w:rsidP="00E60045">
            <w:pPr>
              <w:pStyle w:val="TableParagraph"/>
              <w:spacing w:after="120"/>
              <w:jc w:val="left"/>
              <w:rPr>
                <w:rFonts w:ascii="Book Antiqua" w:hAnsi="Book Antiqua"/>
                <w:i/>
                <w:iCs/>
                <w:sz w:val="18"/>
                <w:szCs w:val="18"/>
                <w:lang w:val="tr-TR"/>
              </w:rPr>
            </w:pPr>
            <w:r w:rsidRPr="00883C7D">
              <w:rPr>
                <w:rFonts w:ascii="Book Antiqua" w:hAnsi="Book Antiqua"/>
                <w:i/>
                <w:iCs/>
                <w:sz w:val="18"/>
                <w:szCs w:val="18"/>
                <w:lang w:val="tr-TR"/>
              </w:rPr>
              <w:t>Yazı-tura</w:t>
            </w:r>
          </w:p>
        </w:tc>
        <w:tc>
          <w:tcPr>
            <w:tcW w:w="1036" w:type="dxa"/>
            <w:tcBorders>
              <w:bottom w:val="single" w:sz="4" w:space="0" w:color="000000"/>
            </w:tcBorders>
          </w:tcPr>
          <w:p w14:paraId="1F35D29A" w14:textId="77777777" w:rsidR="00211EAA" w:rsidRPr="003D30C9" w:rsidRDefault="00211EAA" w:rsidP="00E60045">
            <w:pPr>
              <w:pStyle w:val="TableParagraph"/>
              <w:spacing w:after="120"/>
              <w:ind w:left="24" w:right="7"/>
              <w:rPr>
                <w:rFonts w:ascii="Book Antiqua" w:hAnsi="Book Antiqua"/>
                <w:sz w:val="18"/>
                <w:szCs w:val="18"/>
              </w:rPr>
            </w:pPr>
            <w:r w:rsidRPr="003D30C9">
              <w:rPr>
                <w:rFonts w:ascii="Book Antiqua" w:hAnsi="Book Antiqua"/>
                <w:spacing w:val="-5"/>
                <w:sz w:val="18"/>
                <w:szCs w:val="18"/>
              </w:rPr>
              <w:t>50</w:t>
            </w:r>
          </w:p>
        </w:tc>
        <w:tc>
          <w:tcPr>
            <w:tcW w:w="1143" w:type="dxa"/>
            <w:tcBorders>
              <w:bottom w:val="single" w:sz="4" w:space="0" w:color="000000"/>
            </w:tcBorders>
          </w:tcPr>
          <w:p w14:paraId="6EDD21AE" w14:textId="77777777" w:rsidR="00211EAA" w:rsidRPr="003D30C9" w:rsidRDefault="00211EAA" w:rsidP="00E60045">
            <w:pPr>
              <w:pStyle w:val="TableParagraph"/>
              <w:spacing w:after="120"/>
              <w:ind w:left="24" w:right="12"/>
              <w:rPr>
                <w:rFonts w:ascii="Book Antiqua" w:hAnsi="Book Antiqua"/>
                <w:sz w:val="18"/>
                <w:szCs w:val="18"/>
              </w:rPr>
            </w:pPr>
            <w:r w:rsidRPr="003D30C9">
              <w:rPr>
                <w:rFonts w:ascii="Book Antiqua" w:hAnsi="Book Antiqua"/>
                <w:spacing w:val="-5"/>
                <w:sz w:val="18"/>
                <w:szCs w:val="18"/>
              </w:rPr>
              <w:t>50</w:t>
            </w:r>
          </w:p>
        </w:tc>
      </w:tr>
    </w:tbl>
    <w:p w14:paraId="2C87B905" w14:textId="77777777" w:rsidR="00211EAA" w:rsidRPr="009145E6" w:rsidRDefault="00211EAA" w:rsidP="00211EAA">
      <w:pPr>
        <w:pStyle w:val="ListParagraph"/>
        <w:spacing w:before="120" w:after="120" w:line="360" w:lineRule="auto"/>
        <w:ind w:left="360"/>
        <w:jc w:val="both"/>
        <w:rPr>
          <w:rFonts w:ascii="Palatino Linotype" w:hAnsi="Palatino Linotype"/>
          <w:sz w:val="16"/>
          <w:szCs w:val="16"/>
        </w:rPr>
      </w:pPr>
      <w:r w:rsidRPr="009145E6">
        <w:rPr>
          <w:rFonts w:ascii="Palatino Linotype" w:hAnsi="Palatino Linotype"/>
          <w:b/>
          <w:bCs/>
          <w:sz w:val="16"/>
          <w:szCs w:val="16"/>
        </w:rPr>
        <w:t>Not:</w:t>
      </w:r>
      <w:r w:rsidRPr="009145E6">
        <w:rPr>
          <w:rFonts w:ascii="Palatino Linotype" w:hAnsi="Palatino Linotype"/>
          <w:sz w:val="16"/>
          <w:szCs w:val="16"/>
        </w:rPr>
        <w:t xml:space="preserve"> Tabloda, SGK aylık istihdam büyümesinin yönünün (pozitif, artış veya negatif, azalış), HİA verisiyle hesaplanan resmi istihdam ve düzeltilmemiş resmi istihdam verisi, istihdamın her zaman arttığını iddia eden strateji ve zamanın yarısında arttığını, diğer yarısında azaldığını iddia eden yazı tura stratejisi tarafından tahmin edilmesindeki başarı oranları gösterilmektedir.</w:t>
      </w:r>
    </w:p>
    <w:p w14:paraId="6DD1CE94" w14:textId="77777777" w:rsidR="00211EAA" w:rsidRPr="00211EAA" w:rsidRDefault="00211EAA" w:rsidP="00211EAA">
      <w:pPr>
        <w:pStyle w:val="ListParagraph"/>
        <w:spacing w:after="120" w:line="360" w:lineRule="auto"/>
        <w:ind w:left="360"/>
        <w:rPr>
          <w:rFonts w:ascii="Book Antiqua" w:hAnsi="Book Antiqua"/>
          <w:sz w:val="16"/>
          <w:szCs w:val="16"/>
        </w:rPr>
      </w:pPr>
    </w:p>
    <w:p w14:paraId="24EEF4D6" w14:textId="77777777" w:rsidR="00211EAA" w:rsidRPr="009145E6" w:rsidRDefault="00211EAA" w:rsidP="00211EAA">
      <w:pPr>
        <w:spacing w:after="120" w:line="360" w:lineRule="auto"/>
        <w:jc w:val="both"/>
        <w:rPr>
          <w:rFonts w:ascii="Palatino Linotype" w:hAnsi="Palatino Linotype"/>
        </w:rPr>
      </w:pPr>
      <w:r w:rsidRPr="009145E6">
        <w:rPr>
          <w:rFonts w:ascii="Palatino Linotype" w:hAnsi="Palatino Linotype"/>
        </w:rPr>
        <w:t xml:space="preserve">Tablo 2'deki sonuçlar, mevsimsel olarak düzeltilmiş verilerin yazı tura stratejisinden bir miktar daha iyi, “düzenli artış” gibi daha akılcı ama basit stratejilerden ise bir miktar daha kötü olduğunu gösteriyor. Yine de HİA'nın kayıtlı istihdam verileri gerekli bilgileri içeriyor gibi görünmektedir, ancak görünüşe göre bu veriler hem yetersizdir (üçte biri yanlış tahmin, unutmayın herkes yazı tura atarak yarısını doğru tahmin edebilir) hem </w:t>
      </w:r>
      <w:r w:rsidRPr="009145E6">
        <w:rPr>
          <w:rFonts w:ascii="Palatino Linotype" w:hAnsi="Palatino Linotype"/>
        </w:rPr>
        <w:lastRenderedPageBreak/>
        <w:t>de 2021’deki yöntem değişikliğinden sonra kalitesi düşmüştür. Kalitedeki bu düşüş, resmi istihdamın büyüme oranlarındaki farklılıklar gibi daha niceliksel bir ölçüyle de gözlemlenebilir. SGK istihdamındaki aylık büyüme oranları 2009-2024 döneminde yüzde -3,6'dan yüzde 2,7'ye ulaşmıştır. Peki HİA bu kısa vadeli hareketleri ne kadar iyi yakaladı?</w:t>
      </w:r>
    </w:p>
    <w:p w14:paraId="7E336CF6" w14:textId="383945E5" w:rsidR="00211EAA" w:rsidRDefault="00211EAA" w:rsidP="00211EAA">
      <w:pPr>
        <w:spacing w:after="120" w:line="360" w:lineRule="auto"/>
        <w:rPr>
          <w:rFonts w:ascii="Palatino Linotype" w:hAnsi="Palatino Linotype"/>
          <w:color w:val="FF0000"/>
        </w:rPr>
      </w:pPr>
      <w:r w:rsidRPr="009145E6">
        <w:rPr>
          <w:rFonts w:ascii="Palatino Linotype" w:hAnsi="Palatino Linotype"/>
        </w:rPr>
        <w:t xml:space="preserve">Geliştirilen istatistik, aşağıdaki şekilde tanımlanan ortalama mutlak büyüme oranı hatasıdır: </w:t>
      </w:r>
      <w:r w:rsidRPr="009145E6">
        <w:rPr>
          <w:rFonts w:ascii="Palatino Linotype" w:hAnsi="Palatino Linotype"/>
          <w:color w:val="FF0000"/>
        </w:rPr>
        <w:t xml:space="preserve"> </w:t>
      </w:r>
    </w:p>
    <w:p w14:paraId="019DD9AB" w14:textId="1DD351B8" w:rsidR="009145E6" w:rsidRPr="009145E6" w:rsidRDefault="009145E6" w:rsidP="009145E6">
      <w:pPr>
        <w:spacing w:after="120" w:line="360" w:lineRule="auto"/>
        <w:ind w:firstLine="360"/>
        <w:rPr>
          <w:rFonts w:ascii="Palatino Linotype" w:hAnsi="Palatino Linotype"/>
        </w:rPr>
      </w:pPr>
      <m:oMath>
        <m:r>
          <w:rPr>
            <w:rFonts w:ascii="Cambria Math" w:hAnsi="Cambria Math"/>
          </w:rPr>
          <m:t>Hata=</m:t>
        </m:r>
        <m:f>
          <m:fPr>
            <m:ctrlPr>
              <w:rPr>
                <w:rFonts w:ascii="Cambria Math" w:hAnsi="Cambria Math"/>
                <w:i/>
              </w:rPr>
            </m:ctrlPr>
          </m:fPr>
          <m:num>
            <m:r>
              <w:rPr>
                <w:rFonts w:ascii="Cambria Math" w:hAnsi="Cambria Math"/>
              </w:rPr>
              <m:t>1</m:t>
            </m:r>
          </m:num>
          <m:den>
            <m:r>
              <w:rPr>
                <w:rFonts w:ascii="Cambria Math" w:hAnsi="Cambria Math"/>
              </w:rPr>
              <m:t>T</m:t>
            </m:r>
          </m:den>
        </m:f>
        <m:nary>
          <m:naryPr>
            <m:chr m:val="∑"/>
            <m:supHide m:val="1"/>
            <m:ctrlPr>
              <w:rPr>
                <w:rFonts w:ascii="Cambria Math" w:hAnsi="Cambria Math"/>
                <w:i/>
              </w:rPr>
            </m:ctrlPr>
          </m:naryPr>
          <m:sub>
            <m:r>
              <w:rPr>
                <w:rFonts w:ascii="Cambria Math" w:hAnsi="Cambria Math"/>
              </w:rPr>
              <m:t>t=1</m:t>
            </m:r>
          </m:sub>
          <m:sup/>
          <m:e>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e>
        </m:nary>
      </m:oMath>
      <w:r>
        <w:rPr>
          <w:rFonts w:ascii="Palatino Linotype" w:hAnsi="Palatino Linotype"/>
        </w:rPr>
        <w:t xml:space="preserve">        </w:t>
      </w:r>
    </w:p>
    <w:p w14:paraId="15E8148D" w14:textId="4EF2C23B" w:rsidR="00211EAA" w:rsidRPr="00211EAA" w:rsidRDefault="00211EAA" w:rsidP="00211EAA">
      <w:pPr>
        <w:pStyle w:val="ListParagraph"/>
        <w:spacing w:after="120" w:line="360" w:lineRule="auto"/>
        <w:ind w:left="360"/>
        <w:rPr>
          <w:rFonts w:ascii="Book Antiqua" w:hAnsi="Book Antiqua"/>
          <w:sz w:val="18"/>
          <w:szCs w:val="18"/>
        </w:rPr>
      </w:pPr>
    </w:p>
    <w:p w14:paraId="03693061" w14:textId="24E61D13" w:rsidR="00211EAA" w:rsidRDefault="009145E6" w:rsidP="00211EAA">
      <w:pPr>
        <w:pStyle w:val="ListParagraph"/>
        <w:spacing w:after="120" w:line="360" w:lineRule="auto"/>
        <w:ind w:left="360"/>
        <w:rPr>
          <w:rFonts w:ascii="Book Antiqua" w:hAnsi="Book Antiqua"/>
          <w:sz w:val="18"/>
          <w:szCs w:val="18"/>
        </w:rPr>
      </w:pPr>
      <w:r>
        <w:rPr>
          <w:rFonts w:ascii="Book Antiqua" w:hAnsi="Book Antiqua"/>
          <w:sz w:val="18"/>
          <w:szCs w:val="18"/>
        </w:rPr>
        <w:t>V</w:t>
      </w:r>
      <w:r w:rsidR="00211EAA">
        <w:rPr>
          <w:rFonts w:ascii="Book Antiqua" w:hAnsi="Book Antiqua"/>
          <w:sz w:val="18"/>
          <w:szCs w:val="18"/>
        </w:rPr>
        <w:t>e</w:t>
      </w:r>
    </w:p>
    <w:p w14:paraId="1DB13280" w14:textId="77777777" w:rsidR="009145E6" w:rsidRDefault="009145E6" w:rsidP="00211EAA">
      <w:pPr>
        <w:pStyle w:val="ListParagraph"/>
        <w:spacing w:after="120" w:line="360" w:lineRule="auto"/>
        <w:ind w:left="360"/>
        <w:rPr>
          <w:rFonts w:ascii="Book Antiqua" w:hAnsi="Book Antiqua"/>
          <w:sz w:val="18"/>
          <w:szCs w:val="18"/>
        </w:rPr>
      </w:pPr>
    </w:p>
    <w:p w14:paraId="41F489FE" w14:textId="333A8BD8" w:rsidR="009145E6" w:rsidRPr="00211EAA" w:rsidRDefault="00AE5BCE" w:rsidP="00211EAA">
      <w:pPr>
        <w:pStyle w:val="ListParagraph"/>
        <w:spacing w:after="120" w:line="360" w:lineRule="auto"/>
        <w:ind w:left="360"/>
        <w:rPr>
          <w:rFonts w:ascii="Book Antiqua" w:hAnsi="Book Antiqua"/>
          <w:sz w:val="18"/>
          <w:szCs w:val="18"/>
        </w:rPr>
      </w:pPr>
      <m:oMath>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t-1</m:t>
                </m:r>
              </m:sub>
            </m:sSub>
            <m:r>
              <w:rPr>
                <w:rFonts w:ascii="Cambria Math" w:hAnsi="Cambria Math"/>
              </w:rPr>
              <m:t xml:space="preserve"> </m:t>
            </m:r>
          </m:num>
          <m:den>
            <m:sSub>
              <m:sSubPr>
                <m:ctrlPr>
                  <w:rPr>
                    <w:rFonts w:ascii="Cambria Math" w:hAnsi="Cambria Math"/>
                    <w:i/>
                  </w:rPr>
                </m:ctrlPr>
              </m:sSubPr>
              <m:e>
                <m:r>
                  <w:rPr>
                    <w:rFonts w:ascii="Cambria Math" w:hAnsi="Cambria Math"/>
                  </w:rPr>
                  <m:t>E</m:t>
                </m:r>
              </m:e>
              <m:sub>
                <m:r>
                  <w:rPr>
                    <w:rFonts w:ascii="Cambria Math" w:hAnsi="Cambria Math"/>
                  </w:rPr>
                  <m:t>t-1</m:t>
                </m:r>
              </m:sub>
            </m:sSub>
          </m:den>
        </m:f>
      </m:oMath>
      <w:r w:rsidR="009145E6">
        <w:rPr>
          <w:rFonts w:ascii="Book Antiqua" w:hAnsi="Book Antiqua"/>
          <w:sz w:val="18"/>
          <w:szCs w:val="18"/>
        </w:rPr>
        <w:t xml:space="preserve">  ve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E</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E</m:t>
                    </m:r>
                  </m:e>
                </m:acc>
              </m:e>
              <m:sub>
                <m:r>
                  <w:rPr>
                    <w:rFonts w:ascii="Cambria Math" w:hAnsi="Cambria Math"/>
                  </w:rPr>
                  <m:t>t-1</m:t>
                </m:r>
              </m:sub>
            </m:sSub>
          </m:num>
          <m:den>
            <m:sSub>
              <m:sSubPr>
                <m:ctrlPr>
                  <w:rPr>
                    <w:rFonts w:ascii="Cambria Math" w:hAnsi="Cambria Math"/>
                    <w:i/>
                  </w:rPr>
                </m:ctrlPr>
              </m:sSubPr>
              <m:e>
                <m:acc>
                  <m:accPr>
                    <m:ctrlPr>
                      <w:rPr>
                        <w:rFonts w:ascii="Cambria Math" w:hAnsi="Cambria Math"/>
                        <w:i/>
                      </w:rPr>
                    </m:ctrlPr>
                  </m:accPr>
                  <m:e>
                    <m:r>
                      <w:rPr>
                        <w:rFonts w:ascii="Cambria Math" w:hAnsi="Cambria Math"/>
                      </w:rPr>
                      <m:t>E</m:t>
                    </m:r>
                  </m:e>
                </m:acc>
              </m:e>
              <m:sub>
                <m:r>
                  <w:rPr>
                    <w:rFonts w:ascii="Cambria Math" w:hAnsi="Cambria Math"/>
                  </w:rPr>
                  <m:t>t-1</m:t>
                </m:r>
              </m:sub>
            </m:sSub>
          </m:den>
        </m:f>
      </m:oMath>
    </w:p>
    <w:p w14:paraId="7571B3D4" w14:textId="589CA544" w:rsidR="00211EAA" w:rsidRPr="00211EAA" w:rsidRDefault="00211EAA" w:rsidP="00211EAA">
      <w:pPr>
        <w:pStyle w:val="ListParagraph"/>
        <w:spacing w:after="120" w:line="360" w:lineRule="auto"/>
        <w:ind w:left="360"/>
        <w:rPr>
          <w:rFonts w:ascii="Book Antiqua" w:hAnsi="Book Antiqua"/>
          <w:sz w:val="18"/>
          <w:szCs w:val="18"/>
        </w:rPr>
      </w:pPr>
      <w:r w:rsidRPr="00211EAA">
        <w:rPr>
          <w:rFonts w:ascii="Book Antiqua" w:hAnsi="Book Antiqua"/>
          <w:sz w:val="18"/>
          <w:szCs w:val="18"/>
        </w:rPr>
        <w:t xml:space="preserve">   </w:t>
      </w:r>
    </w:p>
    <w:p w14:paraId="260CCDDE" w14:textId="77777777" w:rsidR="00211EAA" w:rsidRPr="00FB73AA" w:rsidRDefault="00211EAA" w:rsidP="00FB73AA">
      <w:pPr>
        <w:spacing w:after="120" w:line="360" w:lineRule="auto"/>
        <w:jc w:val="both"/>
        <w:rPr>
          <w:rFonts w:ascii="Palatino Linotype" w:hAnsi="Palatino Linotype"/>
        </w:rPr>
      </w:pPr>
      <w:r w:rsidRPr="00FB73AA">
        <w:rPr>
          <w:rFonts w:ascii="Palatino Linotype" w:hAnsi="Palatino Linotype"/>
        </w:rPr>
        <w:t>sırasıyla belirli bir HİA istatistiğinin (veya aynı amaçla kullanılan diğer bir ölçütün) büyüme oranı ve SGK istihdamının büyüme oranıdır. Ölçülen hatalar, resmi istihdam, mevsimsel olarak düzeltilmiş kayıtlı istihdam ve sürekli olarak sıfır büyüme iddia eden basitleştirilmiş bir strateji için Tablo 3'te gösterilmiştir. HİA'nın resmi istihdam serileri, 2021 metodolojik değişikliğinden önce ayda ortalama 1,07 yüzde puan hata yapmış, değişiklikten sonra hata oranı 1,26'ya yükselmiştir. Bu durum, ölçüm değişikliğindeki niyetin kısa vadeli işgücü piyasası dinamiklerine ilişkin bilgiyi güçlendirmek olmasına rağmen, HİA'nin tahmin gücünde bir kayba yol açtığını gösteren bir diğer örnektir. Ancak daha şaşırtıcı olanı, 2014-2021 döneminde sıfır büyüme öngören basitleştirilmiş stratejinin, TÜİK'in tahminlerinden daha iyi olmasıdır.</w:t>
      </w:r>
    </w:p>
    <w:p w14:paraId="3437B93C" w14:textId="77777777" w:rsidR="009145E6" w:rsidRPr="009145E6" w:rsidRDefault="009145E6" w:rsidP="00211EAA">
      <w:pPr>
        <w:pStyle w:val="ListParagraph"/>
        <w:spacing w:after="120" w:line="360" w:lineRule="auto"/>
        <w:ind w:left="360"/>
        <w:jc w:val="both"/>
        <w:rPr>
          <w:rFonts w:ascii="Palatino Linotype" w:hAnsi="Palatino Linotype"/>
        </w:rPr>
      </w:pPr>
    </w:p>
    <w:p w14:paraId="54428F3F" w14:textId="77777777" w:rsidR="00211EAA" w:rsidRDefault="00211EAA" w:rsidP="00211EAA">
      <w:pPr>
        <w:spacing w:after="120" w:line="360" w:lineRule="auto"/>
        <w:jc w:val="both"/>
        <w:rPr>
          <w:rFonts w:ascii="Book Antiqua" w:hAnsi="Book Antiqua"/>
          <w:sz w:val="18"/>
          <w:szCs w:val="18"/>
        </w:rPr>
      </w:pPr>
    </w:p>
    <w:p w14:paraId="3116362B" w14:textId="77777777" w:rsidR="00FB73AA" w:rsidRPr="00211EAA" w:rsidRDefault="00FB73AA" w:rsidP="00211EAA">
      <w:pPr>
        <w:spacing w:after="120" w:line="360" w:lineRule="auto"/>
        <w:jc w:val="both"/>
        <w:rPr>
          <w:rFonts w:ascii="Book Antiqua" w:hAnsi="Book Antiqua"/>
          <w:sz w:val="18"/>
          <w:szCs w:val="18"/>
        </w:rPr>
      </w:pPr>
    </w:p>
    <w:p w14:paraId="187E3650" w14:textId="77777777" w:rsidR="00211EAA" w:rsidRPr="009145E6" w:rsidRDefault="00211EAA" w:rsidP="00211EAA">
      <w:pPr>
        <w:pStyle w:val="ListParagraph"/>
        <w:spacing w:after="120" w:line="360" w:lineRule="auto"/>
        <w:ind w:left="360"/>
        <w:jc w:val="center"/>
        <w:rPr>
          <w:rFonts w:ascii="Palatino Linotype" w:hAnsi="Palatino Linotype"/>
        </w:rPr>
      </w:pPr>
      <w:r w:rsidRPr="009145E6">
        <w:rPr>
          <w:rFonts w:ascii="Palatino Linotype" w:hAnsi="Palatino Linotype"/>
        </w:rPr>
        <w:t>Tablo 3: SGK’ya göre ortalama mutlak büyüme oranı hatası.</w:t>
      </w:r>
    </w:p>
    <w:tbl>
      <w:tblPr>
        <w:tblW w:w="0" w:type="auto"/>
        <w:jc w:val="center"/>
        <w:tblLayout w:type="fixed"/>
        <w:tblCellMar>
          <w:left w:w="0" w:type="dxa"/>
          <w:right w:w="0" w:type="dxa"/>
        </w:tblCellMar>
        <w:tblLook w:val="01E0" w:firstRow="1" w:lastRow="1" w:firstColumn="1" w:lastColumn="1" w:noHBand="0" w:noVBand="0"/>
      </w:tblPr>
      <w:tblGrid>
        <w:gridCol w:w="2906"/>
        <w:gridCol w:w="1244"/>
        <w:gridCol w:w="1440"/>
      </w:tblGrid>
      <w:tr w:rsidR="00211EAA" w:rsidRPr="003D30C9" w14:paraId="5E474004" w14:textId="77777777" w:rsidTr="00E60045">
        <w:trPr>
          <w:trHeight w:val="298"/>
          <w:jc w:val="center"/>
        </w:trPr>
        <w:tc>
          <w:tcPr>
            <w:tcW w:w="2906" w:type="dxa"/>
            <w:tcBorders>
              <w:top w:val="single" w:sz="12" w:space="0" w:color="auto"/>
              <w:bottom w:val="double" w:sz="4" w:space="0" w:color="auto"/>
            </w:tcBorders>
          </w:tcPr>
          <w:p w14:paraId="3CF6470C" w14:textId="77777777" w:rsidR="00211EAA" w:rsidRPr="00202621" w:rsidRDefault="00211EAA" w:rsidP="00E60045">
            <w:pPr>
              <w:pStyle w:val="TableParagraph"/>
              <w:spacing w:before="9" w:after="120"/>
              <w:jc w:val="left"/>
              <w:rPr>
                <w:rFonts w:ascii="Book Antiqua" w:hAnsi="Book Antiqua"/>
                <w:sz w:val="18"/>
                <w:szCs w:val="18"/>
                <w:lang w:val="tr-TR"/>
              </w:rPr>
            </w:pPr>
            <w:r w:rsidRPr="00202621">
              <w:rPr>
                <w:rFonts w:ascii="Book Antiqua" w:hAnsi="Book Antiqua"/>
                <w:sz w:val="18"/>
                <w:szCs w:val="18"/>
                <w:lang w:val="tr-TR"/>
              </w:rPr>
              <w:t>HLFS değişkeni</w:t>
            </w:r>
          </w:p>
        </w:tc>
        <w:tc>
          <w:tcPr>
            <w:tcW w:w="1244" w:type="dxa"/>
            <w:tcBorders>
              <w:top w:val="single" w:sz="12" w:space="0" w:color="auto"/>
              <w:bottom w:val="double" w:sz="4" w:space="0" w:color="auto"/>
            </w:tcBorders>
          </w:tcPr>
          <w:p w14:paraId="4F1062BD" w14:textId="77777777" w:rsidR="00211EAA" w:rsidRPr="00202621" w:rsidRDefault="00211EAA" w:rsidP="00E60045">
            <w:pPr>
              <w:pStyle w:val="TableParagraph"/>
              <w:tabs>
                <w:tab w:val="left" w:pos="1168"/>
              </w:tabs>
              <w:spacing w:before="9" w:after="120"/>
              <w:ind w:left="123"/>
              <w:rPr>
                <w:rFonts w:ascii="Book Antiqua" w:hAnsi="Book Antiqua"/>
                <w:i/>
                <w:iCs/>
                <w:sz w:val="18"/>
                <w:szCs w:val="18"/>
                <w:lang w:val="tr-TR"/>
              </w:rPr>
            </w:pPr>
            <w:r w:rsidRPr="00202621">
              <w:rPr>
                <w:rFonts w:ascii="Book Antiqua" w:hAnsi="Book Antiqua"/>
                <w:i/>
                <w:iCs/>
                <w:sz w:val="18"/>
                <w:szCs w:val="18"/>
                <w:lang w:val="tr-TR"/>
              </w:rPr>
              <w:t>2021 Öncesi</w:t>
            </w:r>
          </w:p>
        </w:tc>
        <w:tc>
          <w:tcPr>
            <w:tcW w:w="1440" w:type="dxa"/>
            <w:tcBorders>
              <w:top w:val="single" w:sz="12" w:space="0" w:color="auto"/>
              <w:bottom w:val="double" w:sz="4" w:space="0" w:color="auto"/>
            </w:tcBorders>
          </w:tcPr>
          <w:p w14:paraId="42A8BC29" w14:textId="77777777" w:rsidR="00211EAA" w:rsidRPr="00202621" w:rsidRDefault="00211EAA" w:rsidP="00E60045">
            <w:pPr>
              <w:pStyle w:val="TableParagraph"/>
              <w:tabs>
                <w:tab w:val="left" w:pos="1168"/>
              </w:tabs>
              <w:spacing w:before="9" w:after="120"/>
              <w:ind w:left="123"/>
              <w:rPr>
                <w:rFonts w:ascii="Book Antiqua" w:hAnsi="Book Antiqua"/>
                <w:i/>
                <w:iCs/>
                <w:sz w:val="18"/>
                <w:szCs w:val="18"/>
                <w:lang w:val="tr-TR"/>
              </w:rPr>
            </w:pPr>
            <w:r w:rsidRPr="00202621">
              <w:rPr>
                <w:rFonts w:ascii="Book Antiqua" w:hAnsi="Book Antiqua"/>
                <w:i/>
                <w:iCs/>
                <w:sz w:val="18"/>
                <w:szCs w:val="18"/>
                <w:lang w:val="tr-TR"/>
              </w:rPr>
              <w:t>2021 Sonrası</w:t>
            </w:r>
          </w:p>
        </w:tc>
      </w:tr>
      <w:tr w:rsidR="00211EAA" w:rsidRPr="003D30C9" w14:paraId="69476828" w14:textId="77777777" w:rsidTr="00E60045">
        <w:trPr>
          <w:trHeight w:val="307"/>
          <w:jc w:val="center"/>
        </w:trPr>
        <w:tc>
          <w:tcPr>
            <w:tcW w:w="2906" w:type="dxa"/>
            <w:tcBorders>
              <w:top w:val="double" w:sz="4" w:space="0" w:color="auto"/>
            </w:tcBorders>
          </w:tcPr>
          <w:p w14:paraId="6E6FD276" w14:textId="77777777" w:rsidR="00211EAA" w:rsidRPr="00202621" w:rsidRDefault="00211EAA" w:rsidP="00E60045">
            <w:pPr>
              <w:pStyle w:val="TableParagraph"/>
              <w:spacing w:before="23" w:after="120"/>
              <w:jc w:val="left"/>
              <w:rPr>
                <w:rFonts w:ascii="Book Antiqua" w:hAnsi="Book Antiqua"/>
                <w:i/>
                <w:iCs/>
                <w:sz w:val="18"/>
                <w:szCs w:val="18"/>
                <w:lang w:val="tr-TR"/>
              </w:rPr>
            </w:pPr>
            <w:r w:rsidRPr="00202621">
              <w:rPr>
                <w:rFonts w:ascii="Book Antiqua" w:hAnsi="Book Antiqua"/>
                <w:i/>
                <w:iCs/>
                <w:sz w:val="18"/>
                <w:szCs w:val="18"/>
                <w:lang w:val="tr-TR"/>
              </w:rPr>
              <w:lastRenderedPageBreak/>
              <w:t>Kayıtlı istihdam</w:t>
            </w:r>
          </w:p>
        </w:tc>
        <w:tc>
          <w:tcPr>
            <w:tcW w:w="1244" w:type="dxa"/>
            <w:tcBorders>
              <w:top w:val="double" w:sz="4" w:space="0" w:color="auto"/>
            </w:tcBorders>
          </w:tcPr>
          <w:p w14:paraId="52E9E01E" w14:textId="77777777" w:rsidR="00211EAA" w:rsidRPr="003D30C9" w:rsidRDefault="00211EAA" w:rsidP="00E60045">
            <w:pPr>
              <w:pStyle w:val="TableParagraph"/>
              <w:spacing w:before="23" w:after="120"/>
              <w:ind w:left="0" w:right="109"/>
              <w:rPr>
                <w:rFonts w:ascii="Book Antiqua" w:hAnsi="Book Antiqua"/>
                <w:sz w:val="18"/>
                <w:szCs w:val="18"/>
              </w:rPr>
            </w:pPr>
            <w:r w:rsidRPr="003D30C9">
              <w:rPr>
                <w:rFonts w:ascii="Book Antiqua" w:hAnsi="Book Antiqua"/>
                <w:spacing w:val="-2"/>
                <w:sz w:val="18"/>
                <w:szCs w:val="18"/>
              </w:rPr>
              <w:t>1.067</w:t>
            </w:r>
          </w:p>
        </w:tc>
        <w:tc>
          <w:tcPr>
            <w:tcW w:w="1440" w:type="dxa"/>
            <w:tcBorders>
              <w:top w:val="double" w:sz="4" w:space="0" w:color="auto"/>
            </w:tcBorders>
          </w:tcPr>
          <w:p w14:paraId="7147C46C" w14:textId="77777777" w:rsidR="00211EAA" w:rsidRPr="003D30C9" w:rsidRDefault="00211EAA" w:rsidP="00E60045">
            <w:pPr>
              <w:pStyle w:val="TableParagraph"/>
              <w:spacing w:before="23" w:after="120"/>
              <w:ind w:left="0" w:right="337"/>
              <w:rPr>
                <w:rFonts w:ascii="Book Antiqua" w:hAnsi="Book Antiqua"/>
                <w:sz w:val="18"/>
                <w:szCs w:val="18"/>
              </w:rPr>
            </w:pPr>
            <w:r w:rsidRPr="003D30C9">
              <w:rPr>
                <w:rFonts w:ascii="Book Antiqua" w:hAnsi="Book Antiqua"/>
                <w:spacing w:val="-2"/>
                <w:sz w:val="18"/>
                <w:szCs w:val="18"/>
              </w:rPr>
              <w:t>1.259</w:t>
            </w:r>
          </w:p>
        </w:tc>
      </w:tr>
      <w:tr w:rsidR="00211EAA" w:rsidRPr="003D30C9" w14:paraId="1AD1ED88" w14:textId="77777777" w:rsidTr="00E60045">
        <w:trPr>
          <w:trHeight w:val="286"/>
          <w:jc w:val="center"/>
        </w:trPr>
        <w:tc>
          <w:tcPr>
            <w:tcW w:w="2906" w:type="dxa"/>
          </w:tcPr>
          <w:p w14:paraId="7373A95C" w14:textId="77777777" w:rsidR="00211EAA" w:rsidRPr="00202621" w:rsidRDefault="00211EAA" w:rsidP="00E60045">
            <w:pPr>
              <w:pStyle w:val="TableParagraph"/>
              <w:spacing w:after="120"/>
              <w:jc w:val="left"/>
              <w:rPr>
                <w:rFonts w:ascii="Book Antiqua" w:hAnsi="Book Antiqua"/>
                <w:i/>
                <w:iCs/>
                <w:sz w:val="18"/>
                <w:szCs w:val="18"/>
                <w:lang w:val="tr-TR"/>
              </w:rPr>
            </w:pPr>
            <w:r w:rsidRPr="00202621">
              <w:rPr>
                <w:rFonts w:ascii="Book Antiqua" w:hAnsi="Book Antiqua"/>
                <w:i/>
                <w:iCs/>
                <w:sz w:val="18"/>
                <w:szCs w:val="18"/>
                <w:lang w:val="tr-TR"/>
              </w:rPr>
              <w:t>Kayıtlı istihdam (düzeltilmiş)</w:t>
            </w:r>
          </w:p>
        </w:tc>
        <w:tc>
          <w:tcPr>
            <w:tcW w:w="1244" w:type="dxa"/>
          </w:tcPr>
          <w:p w14:paraId="37351EAA" w14:textId="77777777" w:rsidR="00211EAA" w:rsidRPr="003D30C9" w:rsidRDefault="00211EAA" w:rsidP="00E60045">
            <w:pPr>
              <w:pStyle w:val="TableParagraph"/>
              <w:spacing w:after="120"/>
              <w:ind w:left="0" w:right="109"/>
              <w:rPr>
                <w:rFonts w:ascii="Book Antiqua" w:hAnsi="Book Antiqua"/>
                <w:sz w:val="18"/>
                <w:szCs w:val="18"/>
              </w:rPr>
            </w:pPr>
            <w:r w:rsidRPr="003D30C9">
              <w:rPr>
                <w:rFonts w:ascii="Book Antiqua" w:hAnsi="Book Antiqua"/>
                <w:spacing w:val="-2"/>
                <w:sz w:val="18"/>
                <w:szCs w:val="18"/>
              </w:rPr>
              <w:t>1.312</w:t>
            </w:r>
          </w:p>
        </w:tc>
        <w:tc>
          <w:tcPr>
            <w:tcW w:w="1440" w:type="dxa"/>
          </w:tcPr>
          <w:p w14:paraId="0BE63D7F" w14:textId="77777777" w:rsidR="00211EAA" w:rsidRPr="003D30C9" w:rsidRDefault="00211EAA" w:rsidP="00E60045">
            <w:pPr>
              <w:pStyle w:val="TableParagraph"/>
              <w:spacing w:after="120"/>
              <w:ind w:left="0" w:right="337"/>
              <w:rPr>
                <w:rFonts w:ascii="Book Antiqua" w:hAnsi="Book Antiqua"/>
                <w:sz w:val="18"/>
                <w:szCs w:val="18"/>
              </w:rPr>
            </w:pPr>
            <w:r w:rsidRPr="003D30C9">
              <w:rPr>
                <w:rFonts w:ascii="Book Antiqua" w:hAnsi="Book Antiqua"/>
                <w:spacing w:val="-2"/>
                <w:sz w:val="18"/>
                <w:szCs w:val="18"/>
              </w:rPr>
              <w:t>1.638</w:t>
            </w:r>
          </w:p>
        </w:tc>
      </w:tr>
      <w:tr w:rsidR="00211EAA" w:rsidRPr="003D30C9" w14:paraId="28C1A2CD" w14:textId="77777777" w:rsidTr="00E60045">
        <w:trPr>
          <w:trHeight w:val="278"/>
          <w:jc w:val="center"/>
        </w:trPr>
        <w:tc>
          <w:tcPr>
            <w:tcW w:w="2906" w:type="dxa"/>
            <w:tcBorders>
              <w:bottom w:val="single" w:sz="12" w:space="0" w:color="auto"/>
            </w:tcBorders>
          </w:tcPr>
          <w:p w14:paraId="02923D52" w14:textId="77777777" w:rsidR="00211EAA" w:rsidRPr="00202621" w:rsidRDefault="00211EAA" w:rsidP="00E60045">
            <w:pPr>
              <w:pStyle w:val="TableParagraph"/>
              <w:spacing w:after="120"/>
              <w:jc w:val="left"/>
              <w:rPr>
                <w:rFonts w:ascii="Book Antiqua" w:hAnsi="Book Antiqua"/>
                <w:i/>
                <w:iCs/>
                <w:sz w:val="18"/>
                <w:szCs w:val="18"/>
                <w:lang w:val="tr-TR"/>
              </w:rPr>
            </w:pPr>
            <w:r w:rsidRPr="00202621">
              <w:rPr>
                <w:rFonts w:ascii="Book Antiqua" w:hAnsi="Book Antiqua"/>
                <w:i/>
                <w:iCs/>
                <w:sz w:val="18"/>
                <w:szCs w:val="18"/>
                <w:lang w:val="tr-TR"/>
              </w:rPr>
              <w:t>Sıfır büyüme</w:t>
            </w:r>
          </w:p>
        </w:tc>
        <w:tc>
          <w:tcPr>
            <w:tcW w:w="2684" w:type="dxa"/>
            <w:gridSpan w:val="2"/>
            <w:tcBorders>
              <w:bottom w:val="single" w:sz="12" w:space="0" w:color="auto"/>
            </w:tcBorders>
          </w:tcPr>
          <w:p w14:paraId="3F472E22" w14:textId="77777777" w:rsidR="00211EAA" w:rsidRPr="003D30C9" w:rsidRDefault="00211EAA" w:rsidP="00E60045">
            <w:pPr>
              <w:pStyle w:val="TableParagraph"/>
              <w:spacing w:after="120"/>
              <w:ind w:left="-1"/>
              <w:rPr>
                <w:rFonts w:ascii="Book Antiqua" w:hAnsi="Book Antiqua"/>
                <w:sz w:val="18"/>
                <w:szCs w:val="18"/>
              </w:rPr>
            </w:pPr>
            <w:r w:rsidRPr="003D30C9">
              <w:rPr>
                <w:rFonts w:ascii="Book Antiqua" w:hAnsi="Book Antiqua"/>
                <w:spacing w:val="-2"/>
                <w:sz w:val="18"/>
                <w:szCs w:val="18"/>
              </w:rPr>
              <w:t>0.864</w:t>
            </w:r>
          </w:p>
        </w:tc>
      </w:tr>
    </w:tbl>
    <w:p w14:paraId="278F51CA" w14:textId="2ACCC605" w:rsidR="00211EAA" w:rsidRPr="009145E6" w:rsidRDefault="00211EAA" w:rsidP="00211EAA">
      <w:pPr>
        <w:spacing w:before="120" w:after="120" w:line="360" w:lineRule="auto"/>
        <w:jc w:val="both"/>
        <w:rPr>
          <w:rFonts w:ascii="Palatino Linotype" w:hAnsi="Palatino Linotype"/>
          <w:sz w:val="16"/>
          <w:szCs w:val="16"/>
        </w:rPr>
      </w:pPr>
      <w:r w:rsidRPr="009145E6">
        <w:rPr>
          <w:rFonts w:ascii="Palatino Linotype" w:hAnsi="Palatino Linotype"/>
          <w:b/>
          <w:bCs/>
          <w:sz w:val="16"/>
          <w:szCs w:val="16"/>
        </w:rPr>
        <w:t xml:space="preserve">Not: </w:t>
      </w:r>
      <w:r w:rsidRPr="009145E6">
        <w:rPr>
          <w:rFonts w:ascii="Palatino Linotype" w:hAnsi="Palatino Linotype"/>
          <w:sz w:val="16"/>
          <w:szCs w:val="16"/>
        </w:rPr>
        <w:t xml:space="preserve">Tablo, bir dizi kayıtlı istihdam büyüme oranı ile SGK kayıtlı istihdam arasındaki farkı karşılaştırarak ortalama mutlak büyüme oranı hatasını gösterir. Pozitif ve negatif farkları telafi etmemek için mutlak değerler alınır. Daha sonra ortalama aylık hata hesaplanır ve raporlanır. Karşılaştırma için bir de </w:t>
      </w:r>
      <w:r w:rsidR="00E4730C">
        <w:rPr>
          <w:rFonts w:ascii="Palatino Linotype" w:hAnsi="Palatino Linotype"/>
          <w:sz w:val="16"/>
          <w:szCs w:val="16"/>
        </w:rPr>
        <w:t>basit s</w:t>
      </w:r>
      <w:r w:rsidRPr="009145E6">
        <w:rPr>
          <w:rFonts w:ascii="Palatino Linotype" w:hAnsi="Palatino Linotype"/>
          <w:sz w:val="16"/>
          <w:szCs w:val="16"/>
        </w:rPr>
        <w:t>trateji, basit sıfır büyüme stratejisi dahil edilmiştir.</w:t>
      </w:r>
    </w:p>
    <w:p w14:paraId="130B104E" w14:textId="77777777" w:rsidR="00211EAA" w:rsidRDefault="00211EAA" w:rsidP="00211EAA">
      <w:pPr>
        <w:pStyle w:val="Heading2"/>
        <w:numPr>
          <w:ilvl w:val="0"/>
          <w:numId w:val="13"/>
        </w:numPr>
        <w:spacing w:after="120"/>
        <w:rPr>
          <w:lang w:val="tr-TR"/>
        </w:rPr>
      </w:pPr>
      <w:r>
        <w:rPr>
          <w:rFonts w:ascii="Book Antiqua" w:hAnsi="Book Antiqua"/>
          <w:lang w:val="tr-TR"/>
        </w:rPr>
        <w:t>Sonuc</w:t>
      </w:r>
    </w:p>
    <w:p w14:paraId="2A7D4413" w14:textId="77777777" w:rsidR="00211EAA" w:rsidRPr="008238F6" w:rsidRDefault="00211EAA" w:rsidP="00211EAA">
      <w:pPr>
        <w:spacing w:after="120" w:line="360" w:lineRule="auto"/>
        <w:jc w:val="both"/>
        <w:rPr>
          <w:rFonts w:ascii="Palatino Linotype" w:hAnsi="Palatino Linotype"/>
        </w:rPr>
      </w:pPr>
      <w:r w:rsidRPr="008238F6">
        <w:rPr>
          <w:rFonts w:ascii="Palatino Linotype" w:hAnsi="Palatino Linotype"/>
        </w:rPr>
        <w:t>Bu not, TÜİK’in aylık raporlamaya geçişinin, işgücü piyasası istatistiklerinde duyarlılığı ve güncelliği artırmayı amaçlayan bir girişim olsa da aslında HİA'nın resmi istihdam ve diğer istatistikler hakkında kısa vadeli bilgi içeriğini zayıflatmış olabileceğini göstermiştir. Her üç değerlendirme yöntemi de (aylık büyüme oranlarının korelasyonu, değişimin doğru yönünü yakalamadaki başarı oranı ve ortalama mutlak büyüme oranı hatası) 2021 metodoloji güncellemesinden sonra performansta bir bozulmaya işaret etmektedir.</w:t>
      </w:r>
    </w:p>
    <w:p w14:paraId="22A9482C" w14:textId="77777777" w:rsidR="00211EAA" w:rsidRPr="008238F6" w:rsidRDefault="00211EAA" w:rsidP="00211EAA">
      <w:pPr>
        <w:spacing w:after="120" w:line="360" w:lineRule="auto"/>
        <w:jc w:val="both"/>
        <w:rPr>
          <w:rFonts w:ascii="Palatino Linotype" w:hAnsi="Palatino Linotype"/>
        </w:rPr>
      </w:pPr>
      <w:r w:rsidRPr="008238F6">
        <w:rPr>
          <w:rFonts w:ascii="Palatino Linotype" w:hAnsi="Palatino Linotype"/>
        </w:rPr>
        <w:t xml:space="preserve">Bulgular, HİA kullanıcılarının aylık veya mevsimsel olarak ayarlanmış verilerden sonuç çıkarırken dikkatli olmaları gerektiğini göstermektedir. HİA, uzun vadeli işgücü piyasası eğilimlerini anlamak ve ayrıştırılmış sosyoekonomik analiz için önemli bir araç olmaya devam ederken, aylık verilerin </w:t>
      </w:r>
      <w:r w:rsidRPr="008238F6">
        <w:rPr>
          <w:rFonts w:ascii="Palatino Linotype" w:eastAsia="Calibri" w:hAnsi="Palatino Linotype" w:cs="Calibri"/>
          <w:w w:val="110"/>
        </w:rPr>
        <w:t xml:space="preserve">bu amaçla kullanılması sakıncalı olabilir. </w:t>
      </w:r>
      <w:r w:rsidRPr="008238F6">
        <w:rPr>
          <w:rFonts w:ascii="Palatino Linotype" w:hAnsi="Palatino Linotype"/>
        </w:rPr>
        <w:t>Buna karşılık, SGK tarafından yayınlanan veriler gibi idari veriler, kısa vadeli dinamikler için daha güvenilir bir referans sunmaktadır ve politika yapımında ve araştırmalarda daha değerlendirilebilir.</w:t>
      </w:r>
    </w:p>
    <w:p w14:paraId="2BA95642" w14:textId="6776CE98" w:rsidR="00211EAA" w:rsidRPr="00211EAA" w:rsidRDefault="00211EAA" w:rsidP="008238F6">
      <w:pPr>
        <w:pStyle w:val="BodyText"/>
        <w:spacing w:line="352" w:lineRule="auto"/>
        <w:ind w:right="256"/>
        <w:jc w:val="both"/>
        <w:rPr>
          <w:lang w:val="tr-TR"/>
        </w:rPr>
      </w:pPr>
      <w:r w:rsidRPr="008238F6">
        <w:rPr>
          <w:rFonts w:ascii="Palatino Linotype" w:hAnsi="Palatino Linotype"/>
          <w:sz w:val="24"/>
          <w:szCs w:val="24"/>
          <w:lang w:val="tr-TR"/>
        </w:rPr>
        <w:t xml:space="preserve">Türkiye'deki işgücü piyasası istatistiklerinde gelecekteki iyileştirmeler, yalnızca daha iyi anket tasarımı veya örneklemeyi değil, aynı zamanda idari kayıtların ve hanehalkı anket verilerinin daha yoğun bir şekilde bütünleştirilmesini gerektiriyor. O zamana kadar, araştırmacılar ve politika yapıcılar, mevcut HİA'nın aylık işgücü piyasası tahminlerinin sınırlarını dikkate almalıdırlar. </w:t>
      </w:r>
      <w:r w:rsidRPr="00211EAA">
        <w:rPr>
          <w:lang w:val="tr-TR"/>
        </w:rPr>
        <w:t xml:space="preserve"> </w:t>
      </w:r>
    </w:p>
    <w:p w14:paraId="42DF14E5" w14:textId="77777777" w:rsidR="00BB31EE" w:rsidRPr="00593D04" w:rsidRDefault="00BB31EE" w:rsidP="00714AB7">
      <w:pPr>
        <w:spacing w:line="360" w:lineRule="auto"/>
        <w:jc w:val="both"/>
        <w:rPr>
          <w:rFonts w:ascii="Calibri" w:hAnsi="Calibri"/>
          <w:color w:val="000000"/>
          <w:sz w:val="22"/>
          <w:szCs w:val="22"/>
          <w:lang w:eastAsia="tr-TR"/>
        </w:rPr>
      </w:pPr>
    </w:p>
    <w:sectPr w:rsidR="00BB31EE" w:rsidRPr="00593D04" w:rsidSect="005A2C0A">
      <w:footerReference w:type="default" r:id="rId10"/>
      <w:pgSz w:w="11905" w:h="16837"/>
      <w:pgMar w:top="1296" w:right="1296" w:bottom="1296"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947B" w14:textId="77777777" w:rsidR="00AE5BCE" w:rsidRDefault="00AE5BCE" w:rsidP="00640379">
      <w:r>
        <w:separator/>
      </w:r>
    </w:p>
  </w:endnote>
  <w:endnote w:type="continuationSeparator" w:id="0">
    <w:p w14:paraId="16F3702E" w14:textId="77777777" w:rsidR="00AE5BCE" w:rsidRDefault="00AE5BCE" w:rsidP="0064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8649" w14:textId="17CFBF87" w:rsidR="004847BA" w:rsidRPr="00EA46E1" w:rsidRDefault="004847BA" w:rsidP="00184833">
    <w:pPr>
      <w:pStyle w:val="Footer"/>
      <w:framePr w:wrap="auto" w:vAnchor="text" w:hAnchor="margin" w:xAlign="right" w:y="1"/>
      <w:rPr>
        <w:rStyle w:val="PageNumber"/>
        <w:rFonts w:ascii="Calibri" w:hAnsi="Calibri" w:cs="Calibri"/>
        <w:sz w:val="22"/>
        <w:szCs w:val="22"/>
      </w:rPr>
    </w:pPr>
    <w:r w:rsidRPr="00EA46E1">
      <w:rPr>
        <w:rStyle w:val="PageNumber"/>
        <w:rFonts w:ascii="Calibri" w:hAnsi="Calibri" w:cs="Calibri"/>
        <w:sz w:val="22"/>
        <w:szCs w:val="22"/>
      </w:rPr>
      <w:fldChar w:fldCharType="begin"/>
    </w:r>
    <w:r w:rsidRPr="00EA46E1">
      <w:rPr>
        <w:rStyle w:val="PageNumber"/>
        <w:rFonts w:ascii="Calibri" w:hAnsi="Calibri" w:cs="Calibri"/>
        <w:sz w:val="22"/>
        <w:szCs w:val="22"/>
      </w:rPr>
      <w:instrText xml:space="preserve">PAGE  </w:instrText>
    </w:r>
    <w:r w:rsidRPr="00EA46E1">
      <w:rPr>
        <w:rStyle w:val="PageNumber"/>
        <w:rFonts w:ascii="Calibri" w:hAnsi="Calibri" w:cs="Calibri"/>
        <w:sz w:val="22"/>
        <w:szCs w:val="22"/>
      </w:rPr>
      <w:fldChar w:fldCharType="separate"/>
    </w:r>
    <w:r w:rsidR="00E94251">
      <w:rPr>
        <w:rStyle w:val="PageNumber"/>
        <w:rFonts w:ascii="Calibri" w:hAnsi="Calibri" w:cs="Calibri"/>
        <w:noProof/>
        <w:sz w:val="22"/>
        <w:szCs w:val="22"/>
      </w:rPr>
      <w:t>7</w:t>
    </w:r>
    <w:r w:rsidRPr="00EA46E1">
      <w:rPr>
        <w:rStyle w:val="PageNumber"/>
        <w:rFonts w:ascii="Calibri" w:hAnsi="Calibri" w:cs="Calibri"/>
        <w:sz w:val="22"/>
        <w:szCs w:val="22"/>
      </w:rPr>
      <w:fldChar w:fldCharType="end"/>
    </w:r>
  </w:p>
  <w:p w14:paraId="5A0E5E6F" w14:textId="77777777" w:rsidR="004847BA" w:rsidRDefault="004847BA" w:rsidP="00184833">
    <w:pPr>
      <w:pStyle w:val="Footer"/>
      <w:ind w:right="360"/>
      <w:jc w:val="center"/>
      <w:rPr>
        <w:rFonts w:ascii="Arial" w:hAnsi="Arial" w:cs="Arial"/>
        <w:b/>
        <w:bCs/>
        <w:i/>
        <w:iCs/>
        <w:sz w:val="20"/>
        <w:szCs w:val="20"/>
      </w:rPr>
    </w:pPr>
    <w:r>
      <w:rPr>
        <w:rFonts w:ascii="Arial" w:hAnsi="Arial" w:cs="Arial"/>
        <w:b/>
        <w:bCs/>
        <w:i/>
        <w:iCs/>
        <w:sz w:val="20"/>
        <w:szCs w:val="20"/>
      </w:rPr>
      <w:t>betam.bahcesehir.edu.tr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D674F9" w14:textId="77777777" w:rsidR="00AE5BCE" w:rsidRDefault="00AE5BCE" w:rsidP="00640379">
      <w:r>
        <w:separator/>
      </w:r>
    </w:p>
  </w:footnote>
  <w:footnote w:type="continuationSeparator" w:id="0">
    <w:p w14:paraId="34C39498" w14:textId="77777777" w:rsidR="00AE5BCE" w:rsidRDefault="00AE5BCE" w:rsidP="00640379">
      <w:r>
        <w:continuationSeparator/>
      </w:r>
    </w:p>
  </w:footnote>
  <w:footnote w:id="1">
    <w:p w14:paraId="3A80CC75" w14:textId="1ACC458B" w:rsidR="00392579" w:rsidRPr="005C6FA5" w:rsidRDefault="00392579" w:rsidP="005C6FA5">
      <w:pPr>
        <w:pStyle w:val="FootnoteText"/>
        <w:jc w:val="both"/>
        <w:rPr>
          <w:rFonts w:ascii="Palatino Linotype" w:hAnsi="Palatino Linotype"/>
          <w:sz w:val="18"/>
          <w:szCs w:val="18"/>
        </w:rPr>
      </w:pPr>
      <w:r w:rsidRPr="005C6FA5">
        <w:rPr>
          <w:rFonts w:ascii="Palatino Linotype" w:hAnsi="Palatino Linotype"/>
          <w:sz w:val="18"/>
          <w:szCs w:val="18"/>
        </w:rPr>
        <w:t xml:space="preserve">+ </w:t>
      </w:r>
      <w:r w:rsidR="00C14052">
        <w:rPr>
          <w:rFonts w:ascii="Palatino Linotype" w:hAnsi="Palatino Linotype"/>
          <w:sz w:val="18"/>
          <w:szCs w:val="18"/>
        </w:rPr>
        <w:t xml:space="preserve">Translation to </w:t>
      </w:r>
      <w:r w:rsidR="003273FF">
        <w:rPr>
          <w:rFonts w:ascii="Palatino Linotype" w:hAnsi="Palatino Linotype"/>
          <w:sz w:val="18"/>
          <w:szCs w:val="18"/>
        </w:rPr>
        <w:t>English</w:t>
      </w:r>
      <w:r w:rsidR="00C14052">
        <w:rPr>
          <w:rFonts w:ascii="Palatino Linotype" w:hAnsi="Palatino Linotype"/>
          <w:sz w:val="18"/>
          <w:szCs w:val="18"/>
        </w:rPr>
        <w:t xml:space="preserve"> can be accessed from</w:t>
      </w:r>
      <w:r w:rsidRPr="005C6FA5">
        <w:rPr>
          <w:rFonts w:ascii="Palatino Linotype" w:hAnsi="Palatino Linotype"/>
          <w:sz w:val="18"/>
          <w:szCs w:val="18"/>
        </w:rPr>
        <w:t>:</w:t>
      </w:r>
    </w:p>
    <w:p w14:paraId="6472B8E0" w14:textId="1F6449BA" w:rsidR="00392579" w:rsidRDefault="00E94251" w:rsidP="005C6FA5">
      <w:pPr>
        <w:pStyle w:val="FootnoteText"/>
        <w:jc w:val="both"/>
      </w:pPr>
      <w:hyperlink r:id="rId1" w:history="1">
        <w:r w:rsidRPr="00427B64">
          <w:rPr>
            <w:rStyle w:val="Hyperlink"/>
          </w:rPr>
          <w:t>https://betam.bahcesehir.edu.tr/en/2025/04/short-term-employment-dynamics-in-turkiye-potential-limitations-of-the-household-labour-force/</w:t>
        </w:r>
      </w:hyperlink>
    </w:p>
    <w:p w14:paraId="0595D63F" w14:textId="77777777" w:rsidR="00E94251" w:rsidRPr="005C6FA5" w:rsidRDefault="00E94251" w:rsidP="005C6FA5">
      <w:pPr>
        <w:pStyle w:val="FootnoteText"/>
        <w:jc w:val="both"/>
        <w:rPr>
          <w:rFonts w:ascii="Palatino Linotype" w:hAnsi="Palatino Linotype"/>
          <w:sz w:val="18"/>
          <w:szCs w:val="18"/>
        </w:rPr>
      </w:pPr>
      <w:bookmarkStart w:id="0" w:name="_GoBack"/>
      <w:bookmarkEnd w:id="0"/>
    </w:p>
    <w:p w14:paraId="6C099B34" w14:textId="4AA6B219" w:rsidR="00A1526B" w:rsidRPr="005C6FA5" w:rsidRDefault="00A1526B" w:rsidP="005C6FA5">
      <w:pPr>
        <w:pStyle w:val="FootnoteText"/>
        <w:jc w:val="both"/>
        <w:rPr>
          <w:rFonts w:ascii="Palatino Linotype" w:hAnsi="Palatino Linotype" w:cs="Arial"/>
          <w:sz w:val="18"/>
          <w:szCs w:val="18"/>
        </w:rPr>
      </w:pPr>
      <w:r w:rsidRPr="005C6FA5">
        <w:rPr>
          <w:rStyle w:val="FootnoteReference"/>
          <w:rFonts w:ascii="Palatino Linotype" w:hAnsi="Palatino Linotype"/>
          <w:sz w:val="18"/>
          <w:szCs w:val="18"/>
        </w:rPr>
        <w:t>*</w:t>
      </w:r>
      <w:r w:rsidRPr="005C6FA5">
        <w:rPr>
          <w:rFonts w:ascii="Palatino Linotype" w:hAnsi="Palatino Linotype"/>
          <w:sz w:val="18"/>
          <w:szCs w:val="18"/>
        </w:rPr>
        <w:t xml:space="preserve"> </w:t>
      </w:r>
      <w:r w:rsidR="00C14052">
        <w:rPr>
          <w:rFonts w:ascii="Palatino Linotype" w:hAnsi="Palatino Linotype" w:cs="Arial"/>
          <w:sz w:val="18"/>
          <w:szCs w:val="18"/>
        </w:rPr>
        <w:t>Luis Pinedo Caro</w:t>
      </w:r>
      <w:r w:rsidRPr="005C6FA5">
        <w:rPr>
          <w:rFonts w:ascii="Palatino Linotype" w:hAnsi="Palatino Linotype" w:cs="Arial"/>
          <w:sz w:val="18"/>
          <w:szCs w:val="18"/>
        </w:rPr>
        <w:t xml:space="preserve">, </w:t>
      </w:r>
      <w:r w:rsidRPr="005C6FA5">
        <w:rPr>
          <w:rFonts w:ascii="Palatino Linotype" w:hAnsi="Palatino Linotype" w:cs="Arial"/>
          <w:b/>
          <w:sz w:val="18"/>
          <w:szCs w:val="18"/>
        </w:rPr>
        <w:t>Betam</w:t>
      </w:r>
      <w:r w:rsidRPr="005C6FA5">
        <w:rPr>
          <w:rFonts w:ascii="Palatino Linotype" w:hAnsi="Palatino Linotype" w:cs="Arial"/>
          <w:sz w:val="18"/>
          <w:szCs w:val="18"/>
        </w:rPr>
        <w:t xml:space="preserve">, </w:t>
      </w:r>
      <w:hyperlink r:id="rId2" w:history="1">
        <w:r w:rsidR="00C14052" w:rsidRPr="00FA2A45">
          <w:rPr>
            <w:rStyle w:val="Hyperlink"/>
            <w:rFonts w:ascii="Palatino Linotype" w:hAnsi="Palatino Linotype" w:cs="Arial"/>
            <w:sz w:val="18"/>
            <w:szCs w:val="18"/>
          </w:rPr>
          <w:t>luis.pinedo@bau.edu.tr</w:t>
        </w:r>
      </w:hyperlink>
    </w:p>
  </w:footnote>
  <w:footnote w:id="2">
    <w:p w14:paraId="3E3FBCFF" w14:textId="77777777" w:rsidR="00211EAA" w:rsidRPr="00190A11" w:rsidRDefault="00211EAA" w:rsidP="00211EAA">
      <w:pPr>
        <w:pStyle w:val="FootnoteText"/>
        <w:rPr>
          <w:rFonts w:ascii="Book Antiqua" w:hAnsi="Book Antiqua"/>
          <w:sz w:val="16"/>
          <w:szCs w:val="16"/>
        </w:rPr>
      </w:pPr>
      <w:r w:rsidRPr="00190A11">
        <w:rPr>
          <w:rStyle w:val="FootnoteReference"/>
          <w:rFonts w:ascii="Book Antiqua" w:hAnsi="Book Antiqua"/>
          <w:sz w:val="16"/>
          <w:szCs w:val="16"/>
        </w:rPr>
        <w:footnoteRef/>
      </w:r>
      <w:r w:rsidRPr="00967D12">
        <w:rPr>
          <w:rFonts w:ascii="Book Antiqua" w:hAnsi="Book Antiqua"/>
          <w:sz w:val="16"/>
          <w:szCs w:val="16"/>
        </w:rPr>
        <w:t xml:space="preserve"> Resmi</w:t>
      </w:r>
      <w:r>
        <w:rPr>
          <w:rFonts w:ascii="Book Antiqua" w:hAnsi="Book Antiqua"/>
          <w:sz w:val="16"/>
          <w:szCs w:val="16"/>
        </w:rPr>
        <w:t xml:space="preserve"> olarak</w:t>
      </w:r>
      <w:r w:rsidRPr="00967D12">
        <w:rPr>
          <w:rFonts w:ascii="Book Antiqua" w:hAnsi="Book Antiqua"/>
          <w:sz w:val="16"/>
          <w:szCs w:val="16"/>
        </w:rPr>
        <w:t>, bir çalışanın aile bireyinden dolayı değil, işi dolayısıyla Sosyal Güvenlik Kurumuna kayıtlı olduğu iş olarak tanımlanmaktadır.</w:t>
      </w:r>
    </w:p>
  </w:footnote>
  <w:footnote w:id="3">
    <w:p w14:paraId="2E426086" w14:textId="77777777" w:rsidR="00211EAA" w:rsidRPr="00967D12" w:rsidRDefault="00211EAA" w:rsidP="00211EAA">
      <w:pPr>
        <w:pStyle w:val="FootnoteText"/>
        <w:rPr>
          <w:rFonts w:ascii="Book Antiqua" w:hAnsi="Book Antiqua"/>
          <w:sz w:val="16"/>
          <w:szCs w:val="16"/>
        </w:rPr>
      </w:pPr>
      <w:r w:rsidRPr="00190A11">
        <w:rPr>
          <w:rStyle w:val="FootnoteReference"/>
          <w:rFonts w:ascii="Book Antiqua" w:hAnsi="Book Antiqua"/>
          <w:sz w:val="16"/>
          <w:szCs w:val="16"/>
        </w:rPr>
        <w:footnoteRef/>
      </w:r>
      <w:r w:rsidRPr="00967D12">
        <w:rPr>
          <w:rFonts w:ascii="Book Antiqua" w:hAnsi="Book Antiqua"/>
          <w:sz w:val="16"/>
          <w:szCs w:val="16"/>
        </w:rPr>
        <w:t xml:space="preserve"> 4a (özel sektör çalışanları), 4b (serbest meslek sahipleri) ve 4c (memurlar) altındakiler. Bu üç kategori 2006 yılında birleştirildi, daha önce sırasıyla SSK, Ba</w:t>
      </w:r>
      <w:r>
        <w:rPr>
          <w:rFonts w:ascii="Book Antiqua" w:hAnsi="Book Antiqua"/>
          <w:sz w:val="16"/>
          <w:szCs w:val="16"/>
        </w:rPr>
        <w:t xml:space="preserve">ğ-Kur </w:t>
      </w:r>
      <w:r w:rsidRPr="00967D12">
        <w:rPr>
          <w:rFonts w:ascii="Book Antiqua" w:hAnsi="Book Antiqua"/>
          <w:sz w:val="16"/>
          <w:szCs w:val="16"/>
        </w:rPr>
        <w:t xml:space="preserve"> ve Emekli Sand</w:t>
      </w:r>
      <w:r>
        <w:rPr>
          <w:rFonts w:ascii="Book Antiqua" w:hAnsi="Book Antiqua"/>
          <w:sz w:val="16"/>
          <w:szCs w:val="16"/>
        </w:rPr>
        <w:t>ığı</w:t>
      </w:r>
      <w:r w:rsidRPr="00967D12">
        <w:rPr>
          <w:rFonts w:ascii="Book Antiqua" w:hAnsi="Book Antiqua"/>
          <w:sz w:val="16"/>
          <w:szCs w:val="16"/>
        </w:rPr>
        <w:t xml:space="preserve"> olarak </w:t>
      </w:r>
      <w:r w:rsidRPr="00D62D5B">
        <w:rPr>
          <w:rFonts w:ascii="Book Antiqua" w:hAnsi="Book Antiqua"/>
          <w:sz w:val="16"/>
          <w:szCs w:val="16"/>
        </w:rPr>
        <w:t>adlandırıldı.</w:t>
      </w:r>
    </w:p>
  </w:footnote>
  <w:footnote w:id="4">
    <w:p w14:paraId="437DBF02" w14:textId="77777777" w:rsidR="00211EAA" w:rsidRPr="00967D12" w:rsidRDefault="00211EAA" w:rsidP="00211EAA">
      <w:pPr>
        <w:pStyle w:val="FootnoteText"/>
        <w:rPr>
          <w:rFonts w:ascii="Book Antiqua" w:hAnsi="Book Antiqua"/>
          <w:sz w:val="16"/>
          <w:szCs w:val="16"/>
        </w:rPr>
      </w:pPr>
      <w:r w:rsidRPr="00190A11">
        <w:rPr>
          <w:rStyle w:val="FootnoteReference"/>
          <w:rFonts w:ascii="Book Antiqua" w:hAnsi="Book Antiqua"/>
          <w:sz w:val="16"/>
          <w:szCs w:val="16"/>
        </w:rPr>
        <w:footnoteRef/>
      </w:r>
      <w:r w:rsidRPr="00190A11">
        <w:rPr>
          <w:rFonts w:ascii="Book Antiqua" w:hAnsi="Book Antiqua"/>
          <w:sz w:val="16"/>
          <w:szCs w:val="16"/>
        </w:rPr>
        <w:t xml:space="preserve"> </w:t>
      </w:r>
      <w:r w:rsidRPr="00967D12">
        <w:rPr>
          <w:rFonts w:ascii="Book Antiqua" w:hAnsi="Book Antiqua"/>
          <w:sz w:val="16"/>
          <w:szCs w:val="16"/>
        </w:rPr>
        <w:t>Genelde mülakatın bir hafta öncesinde.</w:t>
      </w:r>
    </w:p>
  </w:footnote>
  <w:footnote w:id="5">
    <w:p w14:paraId="44F4F771" w14:textId="77777777" w:rsidR="00211EAA" w:rsidRPr="00190A11" w:rsidRDefault="00211EAA" w:rsidP="00211EAA">
      <w:pPr>
        <w:pStyle w:val="FootnoteText"/>
        <w:rPr>
          <w:rFonts w:ascii="Book Antiqua" w:hAnsi="Book Antiqua"/>
          <w:sz w:val="16"/>
          <w:szCs w:val="16"/>
        </w:rPr>
      </w:pPr>
      <w:r w:rsidRPr="00190A11">
        <w:rPr>
          <w:rStyle w:val="FootnoteReference"/>
          <w:rFonts w:ascii="Book Antiqua" w:hAnsi="Book Antiqua"/>
          <w:sz w:val="16"/>
          <w:szCs w:val="16"/>
        </w:rPr>
        <w:footnoteRef/>
      </w:r>
      <w:r w:rsidRPr="00190A11">
        <w:rPr>
          <w:rFonts w:ascii="Book Antiqua" w:hAnsi="Book Antiqua"/>
          <w:sz w:val="16"/>
          <w:szCs w:val="16"/>
        </w:rPr>
        <w:t xml:space="preserve"> Dickie-Fuller testleri hepsinin 1. dereceden entegre olduğunu göstermektedir.</w:t>
      </w:r>
    </w:p>
  </w:footnote>
  <w:footnote w:id="6">
    <w:p w14:paraId="04C5937B" w14:textId="77777777" w:rsidR="00211EAA" w:rsidRPr="00190A11" w:rsidRDefault="00211EAA" w:rsidP="00211EAA">
      <w:pPr>
        <w:pStyle w:val="FootnoteText"/>
        <w:rPr>
          <w:rFonts w:ascii="Book Antiqua" w:hAnsi="Book Antiqua"/>
          <w:sz w:val="16"/>
          <w:szCs w:val="16"/>
        </w:rPr>
      </w:pPr>
      <w:r w:rsidRPr="00190A11">
        <w:rPr>
          <w:rStyle w:val="FootnoteReference"/>
          <w:rFonts w:ascii="Book Antiqua" w:hAnsi="Book Antiqua"/>
          <w:sz w:val="16"/>
          <w:szCs w:val="16"/>
        </w:rPr>
        <w:footnoteRef/>
      </w:r>
      <w:r w:rsidRPr="00967D12">
        <w:rPr>
          <w:rFonts w:ascii="Book Antiqua" w:hAnsi="Book Antiqua"/>
          <w:sz w:val="16"/>
          <w:szCs w:val="16"/>
        </w:rPr>
        <w:t xml:space="preserve"> Mevsimsel olarak ayarlanmış istihdam doğrudan T</w:t>
      </w:r>
      <w:r>
        <w:rPr>
          <w:rFonts w:ascii="Book Antiqua" w:hAnsi="Book Antiqua"/>
          <w:sz w:val="16"/>
          <w:szCs w:val="16"/>
        </w:rPr>
        <w:t>Ü</w:t>
      </w:r>
      <w:r w:rsidRPr="00967D12">
        <w:rPr>
          <w:rFonts w:ascii="Book Antiqua" w:hAnsi="Book Antiqua"/>
          <w:sz w:val="16"/>
          <w:szCs w:val="16"/>
        </w:rPr>
        <w:t>İK’ten alınır. Resmi istihdamın mevsimsel ayarlaması, karşılaştırmayı kolaylaştırmak için ay kuklalarıyla doğrusal regresyon kullanılarak kendim tarafından gerçekleştirilir. TUIK'in mevsimselliği çıkarmak için daha gelişmiş bir yöntem kullandığı unutulmamalıdır.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7344B4"/>
    <w:multiLevelType w:val="hybridMultilevel"/>
    <w:tmpl w:val="DA80D8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2B77CC7"/>
    <w:multiLevelType w:val="hybridMultilevel"/>
    <w:tmpl w:val="16D661E8"/>
    <w:lvl w:ilvl="0" w:tplc="041F0011">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4603A20"/>
    <w:multiLevelType w:val="hybridMultilevel"/>
    <w:tmpl w:val="7512D5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6E1668"/>
    <w:multiLevelType w:val="hybridMultilevel"/>
    <w:tmpl w:val="85C8F232"/>
    <w:lvl w:ilvl="0" w:tplc="44083DE2">
      <w:numFmt w:val="bullet"/>
      <w:lvlText w:val="-"/>
      <w:lvlJc w:val="left"/>
      <w:pPr>
        <w:ind w:left="1065" w:hanging="360"/>
      </w:pPr>
      <w:rPr>
        <w:rFonts w:ascii="Arial" w:eastAsia="Times New Roman" w:hAnsi="Arial"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5" w15:restartNumberingAfterBreak="0">
    <w:nsid w:val="3C0C5DBD"/>
    <w:multiLevelType w:val="hybridMultilevel"/>
    <w:tmpl w:val="F4FE394A"/>
    <w:lvl w:ilvl="0" w:tplc="198A2D4A">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438922F9"/>
    <w:multiLevelType w:val="hybridMultilevel"/>
    <w:tmpl w:val="8F32170C"/>
    <w:lvl w:ilvl="0" w:tplc="CB647882">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CB27D1C"/>
    <w:multiLevelType w:val="hybridMultilevel"/>
    <w:tmpl w:val="E7460C06"/>
    <w:lvl w:ilvl="0" w:tplc="788AA20A">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8" w15:restartNumberingAfterBreak="0">
    <w:nsid w:val="531C0D70"/>
    <w:multiLevelType w:val="hybridMultilevel"/>
    <w:tmpl w:val="B8F08712"/>
    <w:lvl w:ilvl="0" w:tplc="C97AE5C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1AC4C53"/>
    <w:multiLevelType w:val="hybridMultilevel"/>
    <w:tmpl w:val="C47E9A14"/>
    <w:lvl w:ilvl="0" w:tplc="AE1CD6C4">
      <w:start w:val="3"/>
      <w:numFmt w:val="decimal"/>
      <w:lvlText w:val="%1"/>
      <w:lvlJc w:val="left"/>
      <w:pPr>
        <w:ind w:left="720" w:hanging="360"/>
      </w:pPr>
      <w:rPr>
        <w:rFonts w:ascii="Book Antiqua" w:hAnsi="Book Antiqu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BA847AB"/>
    <w:multiLevelType w:val="hybridMultilevel"/>
    <w:tmpl w:val="F0D00858"/>
    <w:lvl w:ilvl="0" w:tplc="8D86B52C">
      <w:start w:val="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10"/>
  </w:num>
  <w:num w:numId="6">
    <w:abstractNumId w:val="3"/>
  </w:num>
  <w:num w:numId="7">
    <w:abstractNumId w:val="2"/>
  </w:num>
  <w:num w:numId="8">
    <w:abstractNumId w:val="4"/>
  </w:num>
  <w:num w:numId="9">
    <w:abstractNumId w:val="8"/>
  </w:num>
  <w:num w:numId="10">
    <w:abstractNumId w:val="5"/>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79"/>
    <w:rsid w:val="00000C3D"/>
    <w:rsid w:val="00006AF6"/>
    <w:rsid w:val="00007666"/>
    <w:rsid w:val="00007E63"/>
    <w:rsid w:val="00013729"/>
    <w:rsid w:val="00014202"/>
    <w:rsid w:val="000148D1"/>
    <w:rsid w:val="00017E0F"/>
    <w:rsid w:val="00017EC6"/>
    <w:rsid w:val="00022C3C"/>
    <w:rsid w:val="00023AE1"/>
    <w:rsid w:val="00023EAD"/>
    <w:rsid w:val="000277AE"/>
    <w:rsid w:val="00044376"/>
    <w:rsid w:val="00047577"/>
    <w:rsid w:val="00050739"/>
    <w:rsid w:val="00054A80"/>
    <w:rsid w:val="00054FD5"/>
    <w:rsid w:val="0005778E"/>
    <w:rsid w:val="00061864"/>
    <w:rsid w:val="000618E0"/>
    <w:rsid w:val="000640B4"/>
    <w:rsid w:val="00065B87"/>
    <w:rsid w:val="00070EEB"/>
    <w:rsid w:val="000738AA"/>
    <w:rsid w:val="00075CAC"/>
    <w:rsid w:val="00076DE2"/>
    <w:rsid w:val="0008229F"/>
    <w:rsid w:val="00082852"/>
    <w:rsid w:val="00082DAD"/>
    <w:rsid w:val="00084B74"/>
    <w:rsid w:val="0008507E"/>
    <w:rsid w:val="00087C0A"/>
    <w:rsid w:val="0009378D"/>
    <w:rsid w:val="00094618"/>
    <w:rsid w:val="00096B8E"/>
    <w:rsid w:val="000A04B9"/>
    <w:rsid w:val="000A2836"/>
    <w:rsid w:val="000A48F8"/>
    <w:rsid w:val="000A59DC"/>
    <w:rsid w:val="000A5E39"/>
    <w:rsid w:val="000A7078"/>
    <w:rsid w:val="000A71A8"/>
    <w:rsid w:val="000B0261"/>
    <w:rsid w:val="000B0C33"/>
    <w:rsid w:val="000B2BC3"/>
    <w:rsid w:val="000C07B9"/>
    <w:rsid w:val="000C07FB"/>
    <w:rsid w:val="000C1380"/>
    <w:rsid w:val="000C16FC"/>
    <w:rsid w:val="000C2BE0"/>
    <w:rsid w:val="000C2EE8"/>
    <w:rsid w:val="000C39DE"/>
    <w:rsid w:val="000C51BE"/>
    <w:rsid w:val="000D03D9"/>
    <w:rsid w:val="000D1186"/>
    <w:rsid w:val="000D6611"/>
    <w:rsid w:val="000D6E08"/>
    <w:rsid w:val="000D7127"/>
    <w:rsid w:val="000D7EB3"/>
    <w:rsid w:val="000E09BC"/>
    <w:rsid w:val="000E6298"/>
    <w:rsid w:val="000F3071"/>
    <w:rsid w:val="000F5450"/>
    <w:rsid w:val="000F7387"/>
    <w:rsid w:val="00104145"/>
    <w:rsid w:val="001045CB"/>
    <w:rsid w:val="00106705"/>
    <w:rsid w:val="00107FCA"/>
    <w:rsid w:val="001107FC"/>
    <w:rsid w:val="00110B88"/>
    <w:rsid w:val="001128D9"/>
    <w:rsid w:val="001163F4"/>
    <w:rsid w:val="00116DFB"/>
    <w:rsid w:val="0011718E"/>
    <w:rsid w:val="0011756F"/>
    <w:rsid w:val="0012130F"/>
    <w:rsid w:val="00131554"/>
    <w:rsid w:val="00131F8A"/>
    <w:rsid w:val="001411AE"/>
    <w:rsid w:val="001429E8"/>
    <w:rsid w:val="00143711"/>
    <w:rsid w:val="00150247"/>
    <w:rsid w:val="00151710"/>
    <w:rsid w:val="00152283"/>
    <w:rsid w:val="001547D9"/>
    <w:rsid w:val="00157906"/>
    <w:rsid w:val="00161C4D"/>
    <w:rsid w:val="00163268"/>
    <w:rsid w:val="0016555A"/>
    <w:rsid w:val="00166449"/>
    <w:rsid w:val="00174040"/>
    <w:rsid w:val="0018447F"/>
    <w:rsid w:val="00184833"/>
    <w:rsid w:val="0018499B"/>
    <w:rsid w:val="00185154"/>
    <w:rsid w:val="00185A19"/>
    <w:rsid w:val="00185B2B"/>
    <w:rsid w:val="00185CE6"/>
    <w:rsid w:val="00191DEE"/>
    <w:rsid w:val="001920F1"/>
    <w:rsid w:val="00192298"/>
    <w:rsid w:val="001922B3"/>
    <w:rsid w:val="00194755"/>
    <w:rsid w:val="00197997"/>
    <w:rsid w:val="00197D6B"/>
    <w:rsid w:val="001A114D"/>
    <w:rsid w:val="001A16E9"/>
    <w:rsid w:val="001A2F9D"/>
    <w:rsid w:val="001A355C"/>
    <w:rsid w:val="001A6364"/>
    <w:rsid w:val="001A65AB"/>
    <w:rsid w:val="001B107F"/>
    <w:rsid w:val="001B2F77"/>
    <w:rsid w:val="001C0D5F"/>
    <w:rsid w:val="001C12FD"/>
    <w:rsid w:val="001C38E5"/>
    <w:rsid w:val="001C68B9"/>
    <w:rsid w:val="001D15F6"/>
    <w:rsid w:val="001D25F7"/>
    <w:rsid w:val="001D39B3"/>
    <w:rsid w:val="001D6CB5"/>
    <w:rsid w:val="001D72A5"/>
    <w:rsid w:val="001D790F"/>
    <w:rsid w:val="001E0C08"/>
    <w:rsid w:val="001F5B6B"/>
    <w:rsid w:val="001F7AF5"/>
    <w:rsid w:val="001F7F8A"/>
    <w:rsid w:val="002043ED"/>
    <w:rsid w:val="00204754"/>
    <w:rsid w:val="00204782"/>
    <w:rsid w:val="00205F9F"/>
    <w:rsid w:val="00206D18"/>
    <w:rsid w:val="002103D9"/>
    <w:rsid w:val="002112BA"/>
    <w:rsid w:val="002119E2"/>
    <w:rsid w:val="00211EAA"/>
    <w:rsid w:val="0021265A"/>
    <w:rsid w:val="00213E16"/>
    <w:rsid w:val="00215A99"/>
    <w:rsid w:val="00215C75"/>
    <w:rsid w:val="00215F11"/>
    <w:rsid w:val="00222F0B"/>
    <w:rsid w:val="00235788"/>
    <w:rsid w:val="002408E1"/>
    <w:rsid w:val="00247A1E"/>
    <w:rsid w:val="00252C7A"/>
    <w:rsid w:val="00255C6F"/>
    <w:rsid w:val="00262F48"/>
    <w:rsid w:val="00265B7D"/>
    <w:rsid w:val="0027168A"/>
    <w:rsid w:val="0027354C"/>
    <w:rsid w:val="00285557"/>
    <w:rsid w:val="00293F89"/>
    <w:rsid w:val="00294320"/>
    <w:rsid w:val="002959DA"/>
    <w:rsid w:val="002A0024"/>
    <w:rsid w:val="002A06D6"/>
    <w:rsid w:val="002A0B64"/>
    <w:rsid w:val="002A24B1"/>
    <w:rsid w:val="002A37F3"/>
    <w:rsid w:val="002A38BD"/>
    <w:rsid w:val="002A5334"/>
    <w:rsid w:val="002A6B38"/>
    <w:rsid w:val="002B0479"/>
    <w:rsid w:val="002B3437"/>
    <w:rsid w:val="002B354F"/>
    <w:rsid w:val="002B4DB1"/>
    <w:rsid w:val="002B5289"/>
    <w:rsid w:val="002B770E"/>
    <w:rsid w:val="002C151D"/>
    <w:rsid w:val="002C28AC"/>
    <w:rsid w:val="002D0251"/>
    <w:rsid w:val="002D2127"/>
    <w:rsid w:val="002D652D"/>
    <w:rsid w:val="002D656B"/>
    <w:rsid w:val="002D739A"/>
    <w:rsid w:val="002E0A3C"/>
    <w:rsid w:val="002E1ACA"/>
    <w:rsid w:val="002E2714"/>
    <w:rsid w:val="002E4210"/>
    <w:rsid w:val="002F07F2"/>
    <w:rsid w:val="002F1E50"/>
    <w:rsid w:val="002F25AD"/>
    <w:rsid w:val="002F401D"/>
    <w:rsid w:val="002F7855"/>
    <w:rsid w:val="00304B22"/>
    <w:rsid w:val="00307ACF"/>
    <w:rsid w:val="00311CA6"/>
    <w:rsid w:val="00313662"/>
    <w:rsid w:val="00313F4D"/>
    <w:rsid w:val="00316AC7"/>
    <w:rsid w:val="003208C7"/>
    <w:rsid w:val="003210EA"/>
    <w:rsid w:val="0032258D"/>
    <w:rsid w:val="00324DB1"/>
    <w:rsid w:val="00325473"/>
    <w:rsid w:val="00326807"/>
    <w:rsid w:val="00326F5D"/>
    <w:rsid w:val="00327112"/>
    <w:rsid w:val="003273FF"/>
    <w:rsid w:val="00332DF7"/>
    <w:rsid w:val="0033592D"/>
    <w:rsid w:val="0034185B"/>
    <w:rsid w:val="003438E6"/>
    <w:rsid w:val="00344396"/>
    <w:rsid w:val="00344E64"/>
    <w:rsid w:val="0035080F"/>
    <w:rsid w:val="00354A5A"/>
    <w:rsid w:val="00355C0D"/>
    <w:rsid w:val="0035747E"/>
    <w:rsid w:val="00357F18"/>
    <w:rsid w:val="00364AD0"/>
    <w:rsid w:val="00364EE4"/>
    <w:rsid w:val="00365449"/>
    <w:rsid w:val="00366188"/>
    <w:rsid w:val="00370A3E"/>
    <w:rsid w:val="00371274"/>
    <w:rsid w:val="003712B6"/>
    <w:rsid w:val="00374F9E"/>
    <w:rsid w:val="00384FBA"/>
    <w:rsid w:val="003920C1"/>
    <w:rsid w:val="00392579"/>
    <w:rsid w:val="0039521E"/>
    <w:rsid w:val="0039548D"/>
    <w:rsid w:val="00395B07"/>
    <w:rsid w:val="003A0637"/>
    <w:rsid w:val="003A0D1A"/>
    <w:rsid w:val="003A17FD"/>
    <w:rsid w:val="003A2098"/>
    <w:rsid w:val="003A21E5"/>
    <w:rsid w:val="003B0FF6"/>
    <w:rsid w:val="003B3FDC"/>
    <w:rsid w:val="003B5C46"/>
    <w:rsid w:val="003B650D"/>
    <w:rsid w:val="003B6D4F"/>
    <w:rsid w:val="003C5577"/>
    <w:rsid w:val="003D306A"/>
    <w:rsid w:val="003D5C80"/>
    <w:rsid w:val="003E03E1"/>
    <w:rsid w:val="003E0B22"/>
    <w:rsid w:val="003E27D9"/>
    <w:rsid w:val="003E32FF"/>
    <w:rsid w:val="003E4BA0"/>
    <w:rsid w:val="003F5C5F"/>
    <w:rsid w:val="003F617C"/>
    <w:rsid w:val="004009D4"/>
    <w:rsid w:val="00402256"/>
    <w:rsid w:val="004037E0"/>
    <w:rsid w:val="0040699C"/>
    <w:rsid w:val="004123DC"/>
    <w:rsid w:val="0041351F"/>
    <w:rsid w:val="00416A24"/>
    <w:rsid w:val="00417DC3"/>
    <w:rsid w:val="004209A5"/>
    <w:rsid w:val="0042103B"/>
    <w:rsid w:val="00426C83"/>
    <w:rsid w:val="00427721"/>
    <w:rsid w:val="004305D8"/>
    <w:rsid w:val="00431B6F"/>
    <w:rsid w:val="0043290B"/>
    <w:rsid w:val="00435889"/>
    <w:rsid w:val="004369BD"/>
    <w:rsid w:val="0043734C"/>
    <w:rsid w:val="004378FF"/>
    <w:rsid w:val="00437EC6"/>
    <w:rsid w:val="004425C3"/>
    <w:rsid w:val="00444248"/>
    <w:rsid w:val="00446C25"/>
    <w:rsid w:val="004470D3"/>
    <w:rsid w:val="00450268"/>
    <w:rsid w:val="004502FD"/>
    <w:rsid w:val="004514AC"/>
    <w:rsid w:val="00451BF4"/>
    <w:rsid w:val="004549ED"/>
    <w:rsid w:val="00454C3A"/>
    <w:rsid w:val="00456FCA"/>
    <w:rsid w:val="00457534"/>
    <w:rsid w:val="004602E5"/>
    <w:rsid w:val="00460D2A"/>
    <w:rsid w:val="00462D3C"/>
    <w:rsid w:val="0047105D"/>
    <w:rsid w:val="00477F87"/>
    <w:rsid w:val="00483503"/>
    <w:rsid w:val="004847BA"/>
    <w:rsid w:val="00495135"/>
    <w:rsid w:val="0049714E"/>
    <w:rsid w:val="004972D1"/>
    <w:rsid w:val="004A000F"/>
    <w:rsid w:val="004A1AFF"/>
    <w:rsid w:val="004A27C3"/>
    <w:rsid w:val="004A6291"/>
    <w:rsid w:val="004A70CC"/>
    <w:rsid w:val="004A7DDD"/>
    <w:rsid w:val="004B0D3D"/>
    <w:rsid w:val="004B0F75"/>
    <w:rsid w:val="004B393D"/>
    <w:rsid w:val="004C10FF"/>
    <w:rsid w:val="004C317B"/>
    <w:rsid w:val="004C5717"/>
    <w:rsid w:val="004C5EE8"/>
    <w:rsid w:val="004C6180"/>
    <w:rsid w:val="004D1E97"/>
    <w:rsid w:val="004E1192"/>
    <w:rsid w:val="004E1EFC"/>
    <w:rsid w:val="004E5EB5"/>
    <w:rsid w:val="004E7020"/>
    <w:rsid w:val="004F4B73"/>
    <w:rsid w:val="004F63B2"/>
    <w:rsid w:val="005011D8"/>
    <w:rsid w:val="005044B2"/>
    <w:rsid w:val="0050523F"/>
    <w:rsid w:val="005079FE"/>
    <w:rsid w:val="00517B51"/>
    <w:rsid w:val="00521D1C"/>
    <w:rsid w:val="00530066"/>
    <w:rsid w:val="00531630"/>
    <w:rsid w:val="00533ED4"/>
    <w:rsid w:val="005356EB"/>
    <w:rsid w:val="005363EC"/>
    <w:rsid w:val="005371A1"/>
    <w:rsid w:val="00547550"/>
    <w:rsid w:val="00550DCC"/>
    <w:rsid w:val="00551FDA"/>
    <w:rsid w:val="0055508E"/>
    <w:rsid w:val="00555489"/>
    <w:rsid w:val="00555E86"/>
    <w:rsid w:val="00561265"/>
    <w:rsid w:val="00562D23"/>
    <w:rsid w:val="0056516B"/>
    <w:rsid w:val="00566DA0"/>
    <w:rsid w:val="00571B74"/>
    <w:rsid w:val="00577984"/>
    <w:rsid w:val="00577D0A"/>
    <w:rsid w:val="005826C4"/>
    <w:rsid w:val="005828E6"/>
    <w:rsid w:val="0058630B"/>
    <w:rsid w:val="00593D04"/>
    <w:rsid w:val="00593FF1"/>
    <w:rsid w:val="00596A7E"/>
    <w:rsid w:val="005A10A2"/>
    <w:rsid w:val="005A2C0A"/>
    <w:rsid w:val="005A5329"/>
    <w:rsid w:val="005B02AD"/>
    <w:rsid w:val="005B1133"/>
    <w:rsid w:val="005B2AB5"/>
    <w:rsid w:val="005B362F"/>
    <w:rsid w:val="005B3B24"/>
    <w:rsid w:val="005B7948"/>
    <w:rsid w:val="005B7E2F"/>
    <w:rsid w:val="005C0367"/>
    <w:rsid w:val="005C0B69"/>
    <w:rsid w:val="005C2260"/>
    <w:rsid w:val="005C45A5"/>
    <w:rsid w:val="005C5A85"/>
    <w:rsid w:val="005C5EB5"/>
    <w:rsid w:val="005C6598"/>
    <w:rsid w:val="005C669E"/>
    <w:rsid w:val="005C6833"/>
    <w:rsid w:val="005C6FA5"/>
    <w:rsid w:val="005D27B9"/>
    <w:rsid w:val="005D3649"/>
    <w:rsid w:val="005D673A"/>
    <w:rsid w:val="005D6CE9"/>
    <w:rsid w:val="005E2F59"/>
    <w:rsid w:val="005F1270"/>
    <w:rsid w:val="005F25E2"/>
    <w:rsid w:val="005F386E"/>
    <w:rsid w:val="005F3D42"/>
    <w:rsid w:val="005F42F6"/>
    <w:rsid w:val="005F51A3"/>
    <w:rsid w:val="005F72D4"/>
    <w:rsid w:val="006017D3"/>
    <w:rsid w:val="00604CF5"/>
    <w:rsid w:val="00605001"/>
    <w:rsid w:val="00605C0E"/>
    <w:rsid w:val="006123B8"/>
    <w:rsid w:val="00617109"/>
    <w:rsid w:val="00626F9B"/>
    <w:rsid w:val="00631C37"/>
    <w:rsid w:val="00631E3D"/>
    <w:rsid w:val="0063214C"/>
    <w:rsid w:val="006373CC"/>
    <w:rsid w:val="00640379"/>
    <w:rsid w:val="00640684"/>
    <w:rsid w:val="006469FF"/>
    <w:rsid w:val="006516DE"/>
    <w:rsid w:val="00653DA1"/>
    <w:rsid w:val="00654351"/>
    <w:rsid w:val="00656793"/>
    <w:rsid w:val="00663878"/>
    <w:rsid w:val="00663A58"/>
    <w:rsid w:val="00663B4F"/>
    <w:rsid w:val="00667BAB"/>
    <w:rsid w:val="00667F4D"/>
    <w:rsid w:val="00672654"/>
    <w:rsid w:val="006761D5"/>
    <w:rsid w:val="0067740A"/>
    <w:rsid w:val="00680F0C"/>
    <w:rsid w:val="00681DA7"/>
    <w:rsid w:val="006829C2"/>
    <w:rsid w:val="00684666"/>
    <w:rsid w:val="00686D8D"/>
    <w:rsid w:val="006876DD"/>
    <w:rsid w:val="00687E12"/>
    <w:rsid w:val="0069123C"/>
    <w:rsid w:val="00691B1D"/>
    <w:rsid w:val="006924FF"/>
    <w:rsid w:val="006956AD"/>
    <w:rsid w:val="00695A25"/>
    <w:rsid w:val="00695C7D"/>
    <w:rsid w:val="006A0167"/>
    <w:rsid w:val="006A3C0F"/>
    <w:rsid w:val="006A5C1A"/>
    <w:rsid w:val="006A6546"/>
    <w:rsid w:val="006B2D7D"/>
    <w:rsid w:val="006B4B20"/>
    <w:rsid w:val="006B4C72"/>
    <w:rsid w:val="006B72D1"/>
    <w:rsid w:val="006B79F3"/>
    <w:rsid w:val="006C4519"/>
    <w:rsid w:val="006C5B3A"/>
    <w:rsid w:val="006C6DB5"/>
    <w:rsid w:val="006D1DDF"/>
    <w:rsid w:val="006D2241"/>
    <w:rsid w:val="006D23EA"/>
    <w:rsid w:val="006D3550"/>
    <w:rsid w:val="006E11FB"/>
    <w:rsid w:val="006E1839"/>
    <w:rsid w:val="006E20A4"/>
    <w:rsid w:val="006E4192"/>
    <w:rsid w:val="006E4EBF"/>
    <w:rsid w:val="006F30D1"/>
    <w:rsid w:val="006F4CBD"/>
    <w:rsid w:val="006F50DE"/>
    <w:rsid w:val="006F5F83"/>
    <w:rsid w:val="00700570"/>
    <w:rsid w:val="00701438"/>
    <w:rsid w:val="0070650C"/>
    <w:rsid w:val="00714772"/>
    <w:rsid w:val="00714AB7"/>
    <w:rsid w:val="00714C03"/>
    <w:rsid w:val="00715B4F"/>
    <w:rsid w:val="00716B8D"/>
    <w:rsid w:val="007205C5"/>
    <w:rsid w:val="00721248"/>
    <w:rsid w:val="0072779A"/>
    <w:rsid w:val="007302E3"/>
    <w:rsid w:val="00731BAF"/>
    <w:rsid w:val="00733B85"/>
    <w:rsid w:val="00734A8D"/>
    <w:rsid w:val="00744BFB"/>
    <w:rsid w:val="00753ED7"/>
    <w:rsid w:val="00763184"/>
    <w:rsid w:val="00764ED2"/>
    <w:rsid w:val="00766910"/>
    <w:rsid w:val="00770435"/>
    <w:rsid w:val="007706FB"/>
    <w:rsid w:val="0077360C"/>
    <w:rsid w:val="0077381B"/>
    <w:rsid w:val="007762D0"/>
    <w:rsid w:val="00782550"/>
    <w:rsid w:val="007870FD"/>
    <w:rsid w:val="00790D32"/>
    <w:rsid w:val="007911BC"/>
    <w:rsid w:val="00797853"/>
    <w:rsid w:val="00797CA0"/>
    <w:rsid w:val="007A1252"/>
    <w:rsid w:val="007A4254"/>
    <w:rsid w:val="007A6D2B"/>
    <w:rsid w:val="007B3C87"/>
    <w:rsid w:val="007B4902"/>
    <w:rsid w:val="007B544F"/>
    <w:rsid w:val="007C286F"/>
    <w:rsid w:val="007C2FAB"/>
    <w:rsid w:val="007C4077"/>
    <w:rsid w:val="007C4E57"/>
    <w:rsid w:val="007C6456"/>
    <w:rsid w:val="007D0C06"/>
    <w:rsid w:val="007D0C70"/>
    <w:rsid w:val="007D0DAD"/>
    <w:rsid w:val="007D398D"/>
    <w:rsid w:val="007D3C93"/>
    <w:rsid w:val="007D42C0"/>
    <w:rsid w:val="007D5DBC"/>
    <w:rsid w:val="007D6E1D"/>
    <w:rsid w:val="007E339D"/>
    <w:rsid w:val="007E634A"/>
    <w:rsid w:val="007E642F"/>
    <w:rsid w:val="007E6E93"/>
    <w:rsid w:val="007F4D5A"/>
    <w:rsid w:val="007F7EB0"/>
    <w:rsid w:val="00800026"/>
    <w:rsid w:val="008012DC"/>
    <w:rsid w:val="00803A9D"/>
    <w:rsid w:val="00805765"/>
    <w:rsid w:val="00806624"/>
    <w:rsid w:val="00807EC9"/>
    <w:rsid w:val="00810BD2"/>
    <w:rsid w:val="008179E7"/>
    <w:rsid w:val="00817B20"/>
    <w:rsid w:val="00821820"/>
    <w:rsid w:val="008238F6"/>
    <w:rsid w:val="008306D5"/>
    <w:rsid w:val="00831303"/>
    <w:rsid w:val="0083155C"/>
    <w:rsid w:val="008317D7"/>
    <w:rsid w:val="00831C92"/>
    <w:rsid w:val="00833EFA"/>
    <w:rsid w:val="00836991"/>
    <w:rsid w:val="00837730"/>
    <w:rsid w:val="00837F5D"/>
    <w:rsid w:val="0084126A"/>
    <w:rsid w:val="0084191B"/>
    <w:rsid w:val="00842618"/>
    <w:rsid w:val="00842ED0"/>
    <w:rsid w:val="00845501"/>
    <w:rsid w:val="008507FE"/>
    <w:rsid w:val="00853697"/>
    <w:rsid w:val="00856712"/>
    <w:rsid w:val="00860C3F"/>
    <w:rsid w:val="00860C7D"/>
    <w:rsid w:val="008610B3"/>
    <w:rsid w:val="00861471"/>
    <w:rsid w:val="00863038"/>
    <w:rsid w:val="008702CA"/>
    <w:rsid w:val="00870BB3"/>
    <w:rsid w:val="0087271E"/>
    <w:rsid w:val="00874250"/>
    <w:rsid w:val="008767EF"/>
    <w:rsid w:val="008813B7"/>
    <w:rsid w:val="00886FDA"/>
    <w:rsid w:val="00893437"/>
    <w:rsid w:val="00894E5F"/>
    <w:rsid w:val="00894EEE"/>
    <w:rsid w:val="008958C2"/>
    <w:rsid w:val="00895DAF"/>
    <w:rsid w:val="00895F09"/>
    <w:rsid w:val="008A2304"/>
    <w:rsid w:val="008B0D71"/>
    <w:rsid w:val="008B1B11"/>
    <w:rsid w:val="008B26A6"/>
    <w:rsid w:val="008B2DDA"/>
    <w:rsid w:val="008B37DB"/>
    <w:rsid w:val="008B5C28"/>
    <w:rsid w:val="008B65B4"/>
    <w:rsid w:val="008B7180"/>
    <w:rsid w:val="008B7607"/>
    <w:rsid w:val="008C0E49"/>
    <w:rsid w:val="008C2E64"/>
    <w:rsid w:val="008C3F05"/>
    <w:rsid w:val="008C4E23"/>
    <w:rsid w:val="008C6BAF"/>
    <w:rsid w:val="008C761C"/>
    <w:rsid w:val="008C7982"/>
    <w:rsid w:val="008D6E40"/>
    <w:rsid w:val="008E45A9"/>
    <w:rsid w:val="008E4915"/>
    <w:rsid w:val="008E7F5C"/>
    <w:rsid w:val="008F0CAC"/>
    <w:rsid w:val="008F103D"/>
    <w:rsid w:val="008F18E3"/>
    <w:rsid w:val="008F23D2"/>
    <w:rsid w:val="008F6064"/>
    <w:rsid w:val="008F6340"/>
    <w:rsid w:val="008F6B9F"/>
    <w:rsid w:val="009056D7"/>
    <w:rsid w:val="00912BCE"/>
    <w:rsid w:val="009145E6"/>
    <w:rsid w:val="00914E49"/>
    <w:rsid w:val="00917AD0"/>
    <w:rsid w:val="009211FC"/>
    <w:rsid w:val="009310E4"/>
    <w:rsid w:val="009321DA"/>
    <w:rsid w:val="009337CF"/>
    <w:rsid w:val="009337EA"/>
    <w:rsid w:val="00936DC1"/>
    <w:rsid w:val="00937DBC"/>
    <w:rsid w:val="009406CB"/>
    <w:rsid w:val="00941FE8"/>
    <w:rsid w:val="0094502D"/>
    <w:rsid w:val="00947733"/>
    <w:rsid w:val="009521BC"/>
    <w:rsid w:val="00953FCC"/>
    <w:rsid w:val="00954F21"/>
    <w:rsid w:val="009558FB"/>
    <w:rsid w:val="0095653B"/>
    <w:rsid w:val="00970F1A"/>
    <w:rsid w:val="00971131"/>
    <w:rsid w:val="009726ED"/>
    <w:rsid w:val="0097367D"/>
    <w:rsid w:val="00976A93"/>
    <w:rsid w:val="0099019D"/>
    <w:rsid w:val="009939F4"/>
    <w:rsid w:val="009970E9"/>
    <w:rsid w:val="009A1B79"/>
    <w:rsid w:val="009A2202"/>
    <w:rsid w:val="009A50F8"/>
    <w:rsid w:val="009B47FE"/>
    <w:rsid w:val="009B5D84"/>
    <w:rsid w:val="009B70AD"/>
    <w:rsid w:val="009B7DA4"/>
    <w:rsid w:val="009C0BDC"/>
    <w:rsid w:val="009C27C3"/>
    <w:rsid w:val="009C2ABF"/>
    <w:rsid w:val="009C31F2"/>
    <w:rsid w:val="009C4834"/>
    <w:rsid w:val="009C505D"/>
    <w:rsid w:val="009C6549"/>
    <w:rsid w:val="009C6A8E"/>
    <w:rsid w:val="009D1684"/>
    <w:rsid w:val="009D70EB"/>
    <w:rsid w:val="009E0CFD"/>
    <w:rsid w:val="009E10A5"/>
    <w:rsid w:val="009E45E7"/>
    <w:rsid w:val="009E49D0"/>
    <w:rsid w:val="009F0195"/>
    <w:rsid w:val="009F232F"/>
    <w:rsid w:val="009F31D5"/>
    <w:rsid w:val="009F58D1"/>
    <w:rsid w:val="009F7D21"/>
    <w:rsid w:val="00A11F08"/>
    <w:rsid w:val="00A120F9"/>
    <w:rsid w:val="00A132BE"/>
    <w:rsid w:val="00A1526B"/>
    <w:rsid w:val="00A15C3D"/>
    <w:rsid w:val="00A161B2"/>
    <w:rsid w:val="00A218E5"/>
    <w:rsid w:val="00A25C31"/>
    <w:rsid w:val="00A25E4D"/>
    <w:rsid w:val="00A30B57"/>
    <w:rsid w:val="00A35391"/>
    <w:rsid w:val="00A366B7"/>
    <w:rsid w:val="00A36748"/>
    <w:rsid w:val="00A40AE3"/>
    <w:rsid w:val="00A42962"/>
    <w:rsid w:val="00A4360E"/>
    <w:rsid w:val="00A44230"/>
    <w:rsid w:val="00A46653"/>
    <w:rsid w:val="00A50641"/>
    <w:rsid w:val="00A559A4"/>
    <w:rsid w:val="00A57768"/>
    <w:rsid w:val="00A6357A"/>
    <w:rsid w:val="00A64124"/>
    <w:rsid w:val="00A64EFD"/>
    <w:rsid w:val="00A6503E"/>
    <w:rsid w:val="00A66BBD"/>
    <w:rsid w:val="00A7119E"/>
    <w:rsid w:val="00A754A7"/>
    <w:rsid w:val="00A77272"/>
    <w:rsid w:val="00A77A95"/>
    <w:rsid w:val="00A80ACA"/>
    <w:rsid w:val="00A81C31"/>
    <w:rsid w:val="00A823AA"/>
    <w:rsid w:val="00A857B8"/>
    <w:rsid w:val="00A901B3"/>
    <w:rsid w:val="00A907F7"/>
    <w:rsid w:val="00A92C48"/>
    <w:rsid w:val="00A93F77"/>
    <w:rsid w:val="00AA0477"/>
    <w:rsid w:val="00AA21DD"/>
    <w:rsid w:val="00AA2A84"/>
    <w:rsid w:val="00AA3A67"/>
    <w:rsid w:val="00AA59F3"/>
    <w:rsid w:val="00AA6C69"/>
    <w:rsid w:val="00AB7668"/>
    <w:rsid w:val="00AC217D"/>
    <w:rsid w:val="00AC397C"/>
    <w:rsid w:val="00AC3BE1"/>
    <w:rsid w:val="00AC3E11"/>
    <w:rsid w:val="00AC6EA0"/>
    <w:rsid w:val="00AD0877"/>
    <w:rsid w:val="00AD2833"/>
    <w:rsid w:val="00AD4A35"/>
    <w:rsid w:val="00AD4FC8"/>
    <w:rsid w:val="00AD5790"/>
    <w:rsid w:val="00AD596C"/>
    <w:rsid w:val="00AD6A5B"/>
    <w:rsid w:val="00AE042B"/>
    <w:rsid w:val="00AE106A"/>
    <w:rsid w:val="00AE160D"/>
    <w:rsid w:val="00AE2FAA"/>
    <w:rsid w:val="00AE443E"/>
    <w:rsid w:val="00AE491A"/>
    <w:rsid w:val="00AE518A"/>
    <w:rsid w:val="00AE5BCE"/>
    <w:rsid w:val="00AF3BC8"/>
    <w:rsid w:val="00AF56C7"/>
    <w:rsid w:val="00AF693A"/>
    <w:rsid w:val="00AF73FC"/>
    <w:rsid w:val="00B01099"/>
    <w:rsid w:val="00B01E76"/>
    <w:rsid w:val="00B02E38"/>
    <w:rsid w:val="00B03195"/>
    <w:rsid w:val="00B039A2"/>
    <w:rsid w:val="00B03D3C"/>
    <w:rsid w:val="00B03E10"/>
    <w:rsid w:val="00B0444C"/>
    <w:rsid w:val="00B0519F"/>
    <w:rsid w:val="00B10C09"/>
    <w:rsid w:val="00B1110A"/>
    <w:rsid w:val="00B1452A"/>
    <w:rsid w:val="00B14D84"/>
    <w:rsid w:val="00B16C6F"/>
    <w:rsid w:val="00B174D5"/>
    <w:rsid w:val="00B177AF"/>
    <w:rsid w:val="00B226B5"/>
    <w:rsid w:val="00B26434"/>
    <w:rsid w:val="00B305A5"/>
    <w:rsid w:val="00B31B42"/>
    <w:rsid w:val="00B31C94"/>
    <w:rsid w:val="00B36DB8"/>
    <w:rsid w:val="00B372F7"/>
    <w:rsid w:val="00B40C2F"/>
    <w:rsid w:val="00B4254B"/>
    <w:rsid w:val="00B471CA"/>
    <w:rsid w:val="00B56D53"/>
    <w:rsid w:val="00B60CC6"/>
    <w:rsid w:val="00B63A4F"/>
    <w:rsid w:val="00B641C3"/>
    <w:rsid w:val="00B64AF5"/>
    <w:rsid w:val="00B76F0A"/>
    <w:rsid w:val="00B81834"/>
    <w:rsid w:val="00B82C44"/>
    <w:rsid w:val="00B837EE"/>
    <w:rsid w:val="00B85FCA"/>
    <w:rsid w:val="00B90C9B"/>
    <w:rsid w:val="00B90F1C"/>
    <w:rsid w:val="00B92FAC"/>
    <w:rsid w:val="00B93CD3"/>
    <w:rsid w:val="00B95FB8"/>
    <w:rsid w:val="00BA12B4"/>
    <w:rsid w:val="00BA329F"/>
    <w:rsid w:val="00BA6A12"/>
    <w:rsid w:val="00BB1F2F"/>
    <w:rsid w:val="00BB31EE"/>
    <w:rsid w:val="00BB6051"/>
    <w:rsid w:val="00BB6AA2"/>
    <w:rsid w:val="00BB7057"/>
    <w:rsid w:val="00BB7843"/>
    <w:rsid w:val="00BC2FD6"/>
    <w:rsid w:val="00BC5629"/>
    <w:rsid w:val="00BC6983"/>
    <w:rsid w:val="00BC7009"/>
    <w:rsid w:val="00BC79F0"/>
    <w:rsid w:val="00BD0CFB"/>
    <w:rsid w:val="00BD3F96"/>
    <w:rsid w:val="00BD641C"/>
    <w:rsid w:val="00BE08D2"/>
    <w:rsid w:val="00BE0E7D"/>
    <w:rsid w:val="00BE240A"/>
    <w:rsid w:val="00BE3BD0"/>
    <w:rsid w:val="00BE4EF4"/>
    <w:rsid w:val="00BE6B3B"/>
    <w:rsid w:val="00BE744F"/>
    <w:rsid w:val="00BE7C50"/>
    <w:rsid w:val="00BF0D4A"/>
    <w:rsid w:val="00BF4262"/>
    <w:rsid w:val="00BF4E3A"/>
    <w:rsid w:val="00BF58AA"/>
    <w:rsid w:val="00C036E8"/>
    <w:rsid w:val="00C049BE"/>
    <w:rsid w:val="00C06B5F"/>
    <w:rsid w:val="00C06BE2"/>
    <w:rsid w:val="00C12EA7"/>
    <w:rsid w:val="00C14052"/>
    <w:rsid w:val="00C14CED"/>
    <w:rsid w:val="00C155C6"/>
    <w:rsid w:val="00C16992"/>
    <w:rsid w:val="00C226F1"/>
    <w:rsid w:val="00C277D8"/>
    <w:rsid w:val="00C32B59"/>
    <w:rsid w:val="00C3455D"/>
    <w:rsid w:val="00C34B4A"/>
    <w:rsid w:val="00C36654"/>
    <w:rsid w:val="00C36B17"/>
    <w:rsid w:val="00C36EAD"/>
    <w:rsid w:val="00C415EE"/>
    <w:rsid w:val="00C45975"/>
    <w:rsid w:val="00C468AC"/>
    <w:rsid w:val="00C5223E"/>
    <w:rsid w:val="00C563F6"/>
    <w:rsid w:val="00C56DBA"/>
    <w:rsid w:val="00C57D88"/>
    <w:rsid w:val="00C61B9F"/>
    <w:rsid w:val="00C675C7"/>
    <w:rsid w:val="00C70D35"/>
    <w:rsid w:val="00C71279"/>
    <w:rsid w:val="00C71395"/>
    <w:rsid w:val="00C730A3"/>
    <w:rsid w:val="00C77849"/>
    <w:rsid w:val="00C80C6F"/>
    <w:rsid w:val="00C85586"/>
    <w:rsid w:val="00C868DA"/>
    <w:rsid w:val="00C8767C"/>
    <w:rsid w:val="00C92372"/>
    <w:rsid w:val="00C93926"/>
    <w:rsid w:val="00C94FFC"/>
    <w:rsid w:val="00C966B6"/>
    <w:rsid w:val="00CA0865"/>
    <w:rsid w:val="00CA0A3A"/>
    <w:rsid w:val="00CA1C8E"/>
    <w:rsid w:val="00CA1D33"/>
    <w:rsid w:val="00CA4007"/>
    <w:rsid w:val="00CB0B4C"/>
    <w:rsid w:val="00CB0E9F"/>
    <w:rsid w:val="00CB2135"/>
    <w:rsid w:val="00CB2CD9"/>
    <w:rsid w:val="00CB52AD"/>
    <w:rsid w:val="00CB5F41"/>
    <w:rsid w:val="00CB61FF"/>
    <w:rsid w:val="00CC0F19"/>
    <w:rsid w:val="00CC0F85"/>
    <w:rsid w:val="00CC49C2"/>
    <w:rsid w:val="00CC50E3"/>
    <w:rsid w:val="00CD0632"/>
    <w:rsid w:val="00CD0803"/>
    <w:rsid w:val="00CD45A5"/>
    <w:rsid w:val="00CD4B2A"/>
    <w:rsid w:val="00CD58F7"/>
    <w:rsid w:val="00CE01FB"/>
    <w:rsid w:val="00CE2083"/>
    <w:rsid w:val="00CE54B1"/>
    <w:rsid w:val="00CE63AF"/>
    <w:rsid w:val="00CF467D"/>
    <w:rsid w:val="00CF56AA"/>
    <w:rsid w:val="00CF66E7"/>
    <w:rsid w:val="00D046C9"/>
    <w:rsid w:val="00D11A8E"/>
    <w:rsid w:val="00D145A9"/>
    <w:rsid w:val="00D15846"/>
    <w:rsid w:val="00D17286"/>
    <w:rsid w:val="00D33367"/>
    <w:rsid w:val="00D351C9"/>
    <w:rsid w:val="00D36080"/>
    <w:rsid w:val="00D365A8"/>
    <w:rsid w:val="00D36759"/>
    <w:rsid w:val="00D468C4"/>
    <w:rsid w:val="00D47139"/>
    <w:rsid w:val="00D4794A"/>
    <w:rsid w:val="00D47B52"/>
    <w:rsid w:val="00D50FE3"/>
    <w:rsid w:val="00D5110B"/>
    <w:rsid w:val="00D52BB9"/>
    <w:rsid w:val="00D53261"/>
    <w:rsid w:val="00D6253C"/>
    <w:rsid w:val="00D62DA1"/>
    <w:rsid w:val="00D6521F"/>
    <w:rsid w:val="00D65493"/>
    <w:rsid w:val="00D663BE"/>
    <w:rsid w:val="00D664FF"/>
    <w:rsid w:val="00D70C80"/>
    <w:rsid w:val="00D71A1A"/>
    <w:rsid w:val="00D71CC6"/>
    <w:rsid w:val="00D72EF0"/>
    <w:rsid w:val="00D75977"/>
    <w:rsid w:val="00D771A8"/>
    <w:rsid w:val="00D85A6E"/>
    <w:rsid w:val="00D87E0E"/>
    <w:rsid w:val="00D9195B"/>
    <w:rsid w:val="00D9317C"/>
    <w:rsid w:val="00D93917"/>
    <w:rsid w:val="00DA22C2"/>
    <w:rsid w:val="00DB1016"/>
    <w:rsid w:val="00DB494A"/>
    <w:rsid w:val="00DC13C4"/>
    <w:rsid w:val="00DC19D9"/>
    <w:rsid w:val="00DC2F6F"/>
    <w:rsid w:val="00DC37AE"/>
    <w:rsid w:val="00DC5532"/>
    <w:rsid w:val="00DC63A0"/>
    <w:rsid w:val="00DD05AD"/>
    <w:rsid w:val="00DD15E1"/>
    <w:rsid w:val="00DD3ACE"/>
    <w:rsid w:val="00DD4270"/>
    <w:rsid w:val="00DD4347"/>
    <w:rsid w:val="00DE2B2C"/>
    <w:rsid w:val="00DE4105"/>
    <w:rsid w:val="00DF0115"/>
    <w:rsid w:val="00DF10E8"/>
    <w:rsid w:val="00DF6744"/>
    <w:rsid w:val="00E01CD6"/>
    <w:rsid w:val="00E030E8"/>
    <w:rsid w:val="00E03489"/>
    <w:rsid w:val="00E03967"/>
    <w:rsid w:val="00E052CE"/>
    <w:rsid w:val="00E06808"/>
    <w:rsid w:val="00E10118"/>
    <w:rsid w:val="00E1418A"/>
    <w:rsid w:val="00E1680A"/>
    <w:rsid w:val="00E2104A"/>
    <w:rsid w:val="00E257F5"/>
    <w:rsid w:val="00E25D28"/>
    <w:rsid w:val="00E26636"/>
    <w:rsid w:val="00E34628"/>
    <w:rsid w:val="00E3709C"/>
    <w:rsid w:val="00E37AEE"/>
    <w:rsid w:val="00E4151D"/>
    <w:rsid w:val="00E4730C"/>
    <w:rsid w:val="00E514CF"/>
    <w:rsid w:val="00E51638"/>
    <w:rsid w:val="00E5219A"/>
    <w:rsid w:val="00E53CFB"/>
    <w:rsid w:val="00E54A61"/>
    <w:rsid w:val="00E54BC9"/>
    <w:rsid w:val="00E55EC4"/>
    <w:rsid w:val="00E57BE5"/>
    <w:rsid w:val="00E6002E"/>
    <w:rsid w:val="00E6215D"/>
    <w:rsid w:val="00E62374"/>
    <w:rsid w:val="00E64892"/>
    <w:rsid w:val="00E65C89"/>
    <w:rsid w:val="00E67100"/>
    <w:rsid w:val="00E71DEE"/>
    <w:rsid w:val="00E8169E"/>
    <w:rsid w:val="00E831B5"/>
    <w:rsid w:val="00E8549B"/>
    <w:rsid w:val="00E87152"/>
    <w:rsid w:val="00E9234C"/>
    <w:rsid w:val="00E92EA3"/>
    <w:rsid w:val="00E94251"/>
    <w:rsid w:val="00E96501"/>
    <w:rsid w:val="00EA2F72"/>
    <w:rsid w:val="00EA67D8"/>
    <w:rsid w:val="00EA7278"/>
    <w:rsid w:val="00EB0999"/>
    <w:rsid w:val="00EB2230"/>
    <w:rsid w:val="00EB544A"/>
    <w:rsid w:val="00EB5CFD"/>
    <w:rsid w:val="00EB7D3C"/>
    <w:rsid w:val="00EC31E8"/>
    <w:rsid w:val="00EC52E9"/>
    <w:rsid w:val="00ED1985"/>
    <w:rsid w:val="00ED3865"/>
    <w:rsid w:val="00ED6ED4"/>
    <w:rsid w:val="00ED7FFA"/>
    <w:rsid w:val="00EE6305"/>
    <w:rsid w:val="00EE6BF3"/>
    <w:rsid w:val="00F01493"/>
    <w:rsid w:val="00F019B2"/>
    <w:rsid w:val="00F02D6A"/>
    <w:rsid w:val="00F04F68"/>
    <w:rsid w:val="00F06A28"/>
    <w:rsid w:val="00F07E67"/>
    <w:rsid w:val="00F20E86"/>
    <w:rsid w:val="00F217CC"/>
    <w:rsid w:val="00F229BA"/>
    <w:rsid w:val="00F23F10"/>
    <w:rsid w:val="00F24A0E"/>
    <w:rsid w:val="00F255FF"/>
    <w:rsid w:val="00F269F7"/>
    <w:rsid w:val="00F314EA"/>
    <w:rsid w:val="00F34228"/>
    <w:rsid w:val="00F406AB"/>
    <w:rsid w:val="00F42947"/>
    <w:rsid w:val="00F450F8"/>
    <w:rsid w:val="00F46F09"/>
    <w:rsid w:val="00F51D52"/>
    <w:rsid w:val="00F52081"/>
    <w:rsid w:val="00F531FC"/>
    <w:rsid w:val="00F54F38"/>
    <w:rsid w:val="00F61853"/>
    <w:rsid w:val="00F61E44"/>
    <w:rsid w:val="00F70844"/>
    <w:rsid w:val="00F76210"/>
    <w:rsid w:val="00F76E8B"/>
    <w:rsid w:val="00F822BF"/>
    <w:rsid w:val="00F853DA"/>
    <w:rsid w:val="00F90C5E"/>
    <w:rsid w:val="00F939DE"/>
    <w:rsid w:val="00F95A1D"/>
    <w:rsid w:val="00F9678B"/>
    <w:rsid w:val="00FA0163"/>
    <w:rsid w:val="00FA2D7B"/>
    <w:rsid w:val="00FA41DB"/>
    <w:rsid w:val="00FB1DED"/>
    <w:rsid w:val="00FB2AEC"/>
    <w:rsid w:val="00FB2E12"/>
    <w:rsid w:val="00FB36A9"/>
    <w:rsid w:val="00FB408A"/>
    <w:rsid w:val="00FB4A7C"/>
    <w:rsid w:val="00FB4FC4"/>
    <w:rsid w:val="00FB5E4E"/>
    <w:rsid w:val="00FB73AA"/>
    <w:rsid w:val="00FC7BAD"/>
    <w:rsid w:val="00FD3B34"/>
    <w:rsid w:val="00FD4EBE"/>
    <w:rsid w:val="00FD638E"/>
    <w:rsid w:val="00FE249F"/>
    <w:rsid w:val="00FE3770"/>
    <w:rsid w:val="00FE5FD7"/>
    <w:rsid w:val="00FF119A"/>
    <w:rsid w:val="00FF200B"/>
    <w:rsid w:val="00FF5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CC95"/>
  <w15:docId w15:val="{2DBDAAE9-E28E-4763-A08E-F178FA8F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79"/>
    <w:pPr>
      <w:suppressAutoHyphens/>
    </w:pPr>
    <w:rPr>
      <w:sz w:val="24"/>
      <w:szCs w:val="24"/>
      <w:lang w:val="tr-TR" w:eastAsia="ar-SA"/>
    </w:rPr>
  </w:style>
  <w:style w:type="paragraph" w:styleId="Heading1">
    <w:name w:val="heading 1"/>
    <w:basedOn w:val="Normal"/>
    <w:next w:val="Normal"/>
    <w:link w:val="Heading1Char"/>
    <w:uiPriority w:val="99"/>
    <w:qFormat/>
    <w:rsid w:val="00A132BE"/>
    <w:pPr>
      <w:keepNext/>
      <w:jc w:val="center"/>
      <w:outlineLvl w:val="0"/>
    </w:pPr>
    <w:rPr>
      <w:rFonts w:ascii="Arial" w:hAnsi="Arial"/>
      <w:b/>
      <w:iCs/>
      <w:sz w:val="18"/>
      <w:szCs w:val="18"/>
    </w:rPr>
  </w:style>
  <w:style w:type="paragraph" w:styleId="Heading2">
    <w:name w:val="heading 2"/>
    <w:basedOn w:val="Normal"/>
    <w:next w:val="Normal"/>
    <w:link w:val="Heading2Char"/>
    <w:uiPriority w:val="99"/>
    <w:qFormat/>
    <w:rsid w:val="00A132BE"/>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uiPriority w:val="99"/>
    <w:qFormat/>
    <w:rsid w:val="00A132BE"/>
    <w:pPr>
      <w:keepNext/>
      <w:spacing w:before="240" w:after="60"/>
      <w:outlineLvl w:val="2"/>
    </w:pPr>
    <w:rPr>
      <w:rFonts w:ascii="Arial" w:hAnsi="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132BE"/>
    <w:rPr>
      <w:rFonts w:ascii="Arial" w:hAnsi="Arial"/>
      <w:b/>
      <w:iCs/>
      <w:sz w:val="18"/>
      <w:szCs w:val="18"/>
      <w:lang w:val="tr-TR" w:eastAsia="ar-SA"/>
    </w:rPr>
  </w:style>
  <w:style w:type="character" w:customStyle="1" w:styleId="Heading2Char">
    <w:name w:val="Heading 2 Char"/>
    <w:link w:val="Heading2"/>
    <w:uiPriority w:val="99"/>
    <w:rsid w:val="00A132BE"/>
    <w:rPr>
      <w:rFonts w:ascii="Arial" w:hAnsi="Arial" w:cs="Arial"/>
      <w:b/>
      <w:bCs/>
      <w:i/>
      <w:iCs/>
      <w:sz w:val="28"/>
      <w:szCs w:val="28"/>
      <w:lang w:val="en-GB" w:eastAsia="ar-SA"/>
    </w:rPr>
  </w:style>
  <w:style w:type="character" w:customStyle="1" w:styleId="Heading3Char">
    <w:name w:val="Heading 3 Char"/>
    <w:link w:val="Heading3"/>
    <w:uiPriority w:val="99"/>
    <w:rsid w:val="00A132BE"/>
    <w:rPr>
      <w:rFonts w:ascii="Arial" w:hAnsi="Arial" w:cs="Arial"/>
      <w:b/>
      <w:bCs/>
      <w:sz w:val="26"/>
      <w:szCs w:val="26"/>
      <w:lang w:val="en-GB" w:eastAsia="ar-SA"/>
    </w:rPr>
  </w:style>
  <w:style w:type="paragraph" w:styleId="Caption">
    <w:name w:val="caption"/>
    <w:basedOn w:val="Normal"/>
    <w:next w:val="Normal"/>
    <w:qFormat/>
    <w:rsid w:val="00A132BE"/>
    <w:rPr>
      <w:b/>
      <w:bCs/>
      <w:sz w:val="20"/>
      <w:szCs w:val="20"/>
    </w:rPr>
  </w:style>
  <w:style w:type="character" w:styleId="Strong">
    <w:name w:val="Strong"/>
    <w:qFormat/>
    <w:rsid w:val="00A132BE"/>
    <w:rPr>
      <w:b/>
      <w:bCs/>
    </w:rPr>
  </w:style>
  <w:style w:type="character" w:styleId="Emphasis">
    <w:name w:val="Emphasis"/>
    <w:uiPriority w:val="20"/>
    <w:qFormat/>
    <w:rsid w:val="00A132BE"/>
    <w:rPr>
      <w:i/>
      <w:iCs/>
    </w:rPr>
  </w:style>
  <w:style w:type="character" w:styleId="FootnoteReference">
    <w:name w:val="footnote reference"/>
    <w:uiPriority w:val="99"/>
    <w:semiHidden/>
    <w:rsid w:val="00640379"/>
    <w:rPr>
      <w:vertAlign w:val="superscript"/>
    </w:rPr>
  </w:style>
  <w:style w:type="paragraph" w:styleId="FootnoteText">
    <w:name w:val="footnote text"/>
    <w:basedOn w:val="Normal"/>
    <w:link w:val="FootnoteTextChar"/>
    <w:uiPriority w:val="99"/>
    <w:semiHidden/>
    <w:rsid w:val="00640379"/>
    <w:rPr>
      <w:sz w:val="20"/>
      <w:szCs w:val="20"/>
    </w:rPr>
  </w:style>
  <w:style w:type="character" w:customStyle="1" w:styleId="FootnoteTextChar">
    <w:name w:val="Footnote Text Char"/>
    <w:link w:val="FootnoteText"/>
    <w:uiPriority w:val="99"/>
    <w:semiHidden/>
    <w:rsid w:val="00640379"/>
    <w:rPr>
      <w:lang w:eastAsia="ar-SA"/>
    </w:rPr>
  </w:style>
  <w:style w:type="paragraph" w:styleId="Footer">
    <w:name w:val="footer"/>
    <w:basedOn w:val="Normal"/>
    <w:link w:val="FooterChar"/>
    <w:uiPriority w:val="99"/>
    <w:rsid w:val="00640379"/>
    <w:pPr>
      <w:tabs>
        <w:tab w:val="center" w:pos="4536"/>
        <w:tab w:val="right" w:pos="9072"/>
      </w:tabs>
    </w:pPr>
  </w:style>
  <w:style w:type="character" w:customStyle="1" w:styleId="FooterChar">
    <w:name w:val="Footer Char"/>
    <w:link w:val="Footer"/>
    <w:uiPriority w:val="99"/>
    <w:rsid w:val="00640379"/>
    <w:rPr>
      <w:sz w:val="24"/>
      <w:szCs w:val="24"/>
      <w:lang w:eastAsia="ar-SA"/>
    </w:rPr>
  </w:style>
  <w:style w:type="character" w:styleId="PageNumber">
    <w:name w:val="page number"/>
    <w:basedOn w:val="DefaultParagraphFont"/>
    <w:uiPriority w:val="99"/>
    <w:rsid w:val="00640379"/>
  </w:style>
  <w:style w:type="paragraph" w:styleId="BalloonText">
    <w:name w:val="Balloon Text"/>
    <w:basedOn w:val="Normal"/>
    <w:link w:val="BalloonTextChar"/>
    <w:uiPriority w:val="99"/>
    <w:semiHidden/>
    <w:unhideWhenUsed/>
    <w:rsid w:val="00EB0999"/>
    <w:rPr>
      <w:rFonts w:ascii="Tahoma" w:hAnsi="Tahoma"/>
      <w:sz w:val="16"/>
      <w:szCs w:val="16"/>
    </w:rPr>
  </w:style>
  <w:style w:type="character" w:customStyle="1" w:styleId="BalloonTextChar">
    <w:name w:val="Balloon Text Char"/>
    <w:link w:val="BalloonText"/>
    <w:uiPriority w:val="99"/>
    <w:semiHidden/>
    <w:rsid w:val="00EB0999"/>
    <w:rPr>
      <w:rFonts w:ascii="Tahoma" w:hAnsi="Tahoma" w:cs="Tahoma"/>
      <w:sz w:val="16"/>
      <w:szCs w:val="16"/>
      <w:lang w:eastAsia="ar-SA"/>
    </w:rPr>
  </w:style>
  <w:style w:type="table" w:styleId="TableGrid">
    <w:name w:val="Table Grid"/>
    <w:basedOn w:val="TableNormal"/>
    <w:uiPriority w:val="59"/>
    <w:rsid w:val="002A00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4191B"/>
    <w:rPr>
      <w:sz w:val="16"/>
      <w:szCs w:val="16"/>
    </w:rPr>
  </w:style>
  <w:style w:type="paragraph" w:styleId="CommentText">
    <w:name w:val="annotation text"/>
    <w:basedOn w:val="Normal"/>
    <w:link w:val="CommentTextChar"/>
    <w:uiPriority w:val="99"/>
    <w:semiHidden/>
    <w:unhideWhenUsed/>
    <w:rsid w:val="0084191B"/>
    <w:rPr>
      <w:sz w:val="20"/>
      <w:szCs w:val="20"/>
    </w:rPr>
  </w:style>
  <w:style w:type="character" w:customStyle="1" w:styleId="CommentTextChar">
    <w:name w:val="Comment Text Char"/>
    <w:link w:val="CommentText"/>
    <w:uiPriority w:val="99"/>
    <w:semiHidden/>
    <w:rsid w:val="0084191B"/>
    <w:rPr>
      <w:lang w:eastAsia="ar-SA"/>
    </w:rPr>
  </w:style>
  <w:style w:type="paragraph" w:styleId="CommentSubject">
    <w:name w:val="annotation subject"/>
    <w:basedOn w:val="CommentText"/>
    <w:next w:val="CommentText"/>
    <w:link w:val="CommentSubjectChar"/>
    <w:uiPriority w:val="99"/>
    <w:semiHidden/>
    <w:unhideWhenUsed/>
    <w:rsid w:val="0084191B"/>
    <w:rPr>
      <w:b/>
      <w:bCs/>
    </w:rPr>
  </w:style>
  <w:style w:type="character" w:customStyle="1" w:styleId="CommentSubjectChar">
    <w:name w:val="Comment Subject Char"/>
    <w:link w:val="CommentSubject"/>
    <w:uiPriority w:val="99"/>
    <w:semiHidden/>
    <w:rsid w:val="0084191B"/>
    <w:rPr>
      <w:b/>
      <w:bCs/>
      <w:lang w:eastAsia="ar-SA"/>
    </w:rPr>
  </w:style>
  <w:style w:type="paragraph" w:styleId="Header">
    <w:name w:val="header"/>
    <w:basedOn w:val="Normal"/>
    <w:link w:val="HeaderChar"/>
    <w:uiPriority w:val="99"/>
    <w:unhideWhenUsed/>
    <w:rsid w:val="005011D8"/>
    <w:pPr>
      <w:tabs>
        <w:tab w:val="center" w:pos="4536"/>
        <w:tab w:val="right" w:pos="9072"/>
      </w:tabs>
    </w:pPr>
  </w:style>
  <w:style w:type="character" w:customStyle="1" w:styleId="HeaderChar">
    <w:name w:val="Header Char"/>
    <w:link w:val="Header"/>
    <w:uiPriority w:val="99"/>
    <w:rsid w:val="005011D8"/>
    <w:rPr>
      <w:sz w:val="24"/>
      <w:szCs w:val="24"/>
      <w:lang w:eastAsia="ar-SA"/>
    </w:rPr>
  </w:style>
  <w:style w:type="paragraph" w:styleId="EndnoteText">
    <w:name w:val="endnote text"/>
    <w:basedOn w:val="Normal"/>
    <w:link w:val="EndnoteTextChar"/>
    <w:uiPriority w:val="99"/>
    <w:semiHidden/>
    <w:unhideWhenUsed/>
    <w:rsid w:val="00222F0B"/>
    <w:rPr>
      <w:sz w:val="20"/>
      <w:szCs w:val="20"/>
    </w:rPr>
  </w:style>
  <w:style w:type="character" w:customStyle="1" w:styleId="EndnoteTextChar">
    <w:name w:val="Endnote Text Char"/>
    <w:basedOn w:val="DefaultParagraphFont"/>
    <w:link w:val="EndnoteText"/>
    <w:uiPriority w:val="99"/>
    <w:semiHidden/>
    <w:rsid w:val="00222F0B"/>
    <w:rPr>
      <w:lang w:val="tr-TR" w:eastAsia="ar-SA"/>
    </w:rPr>
  </w:style>
  <w:style w:type="character" w:styleId="EndnoteReference">
    <w:name w:val="endnote reference"/>
    <w:basedOn w:val="DefaultParagraphFont"/>
    <w:uiPriority w:val="99"/>
    <w:semiHidden/>
    <w:unhideWhenUsed/>
    <w:rsid w:val="00222F0B"/>
    <w:rPr>
      <w:vertAlign w:val="superscript"/>
    </w:rPr>
  </w:style>
  <w:style w:type="paragraph" w:styleId="ListParagraph">
    <w:name w:val="List Paragraph"/>
    <w:basedOn w:val="Normal"/>
    <w:uiPriority w:val="34"/>
    <w:qFormat/>
    <w:rsid w:val="001A6364"/>
    <w:pPr>
      <w:ind w:left="720"/>
      <w:contextualSpacing/>
    </w:pPr>
  </w:style>
  <w:style w:type="character" w:styleId="Hyperlink">
    <w:name w:val="Hyperlink"/>
    <w:basedOn w:val="DefaultParagraphFont"/>
    <w:uiPriority w:val="99"/>
    <w:unhideWhenUsed/>
    <w:rsid w:val="001A6364"/>
    <w:rPr>
      <w:color w:val="0000FF" w:themeColor="hyperlink"/>
      <w:u w:val="single"/>
    </w:rPr>
  </w:style>
  <w:style w:type="paragraph" w:styleId="NormalWeb">
    <w:name w:val="Normal (Web)"/>
    <w:basedOn w:val="Normal"/>
    <w:uiPriority w:val="99"/>
    <w:semiHidden/>
    <w:unhideWhenUsed/>
    <w:rsid w:val="00562D23"/>
    <w:pPr>
      <w:suppressAutoHyphens w:val="0"/>
      <w:spacing w:before="100" w:beforeAutospacing="1" w:after="100" w:afterAutospacing="1"/>
    </w:pPr>
    <w:rPr>
      <w:rFonts w:eastAsiaTheme="minorEastAsia"/>
      <w:lang w:eastAsia="tr-TR"/>
    </w:rPr>
  </w:style>
  <w:style w:type="character" w:styleId="FollowedHyperlink">
    <w:name w:val="FollowedHyperlink"/>
    <w:basedOn w:val="DefaultParagraphFont"/>
    <w:uiPriority w:val="99"/>
    <w:semiHidden/>
    <w:unhideWhenUsed/>
    <w:rsid w:val="00BB6AA2"/>
    <w:rPr>
      <w:color w:val="800080" w:themeColor="followedHyperlink"/>
      <w:u w:val="single"/>
    </w:rPr>
  </w:style>
  <w:style w:type="character" w:customStyle="1" w:styleId="zmlenmeyenBahsetme1">
    <w:name w:val="Çözümlenmeyen Bahsetme1"/>
    <w:basedOn w:val="DefaultParagraphFont"/>
    <w:uiPriority w:val="99"/>
    <w:semiHidden/>
    <w:unhideWhenUsed/>
    <w:rsid w:val="00BB6AA2"/>
    <w:rPr>
      <w:color w:val="605E5C"/>
      <w:shd w:val="clear" w:color="auto" w:fill="E1DFDD"/>
    </w:rPr>
  </w:style>
  <w:style w:type="character" w:styleId="PlaceholderText">
    <w:name w:val="Placeholder Text"/>
    <w:basedOn w:val="DefaultParagraphFont"/>
    <w:uiPriority w:val="99"/>
    <w:semiHidden/>
    <w:rsid w:val="00810BD2"/>
    <w:rPr>
      <w:color w:val="666666"/>
    </w:rPr>
  </w:style>
  <w:style w:type="paragraph" w:styleId="Revision">
    <w:name w:val="Revision"/>
    <w:hidden/>
    <w:uiPriority w:val="99"/>
    <w:semiHidden/>
    <w:rsid w:val="00364AD0"/>
    <w:rPr>
      <w:sz w:val="24"/>
      <w:szCs w:val="24"/>
      <w:lang w:val="tr-TR" w:eastAsia="ar-SA"/>
    </w:rPr>
  </w:style>
  <w:style w:type="paragraph" w:customStyle="1" w:styleId="TableParagraph">
    <w:name w:val="Table Paragraph"/>
    <w:basedOn w:val="Normal"/>
    <w:uiPriority w:val="1"/>
    <w:qFormat/>
    <w:rsid w:val="00211EAA"/>
    <w:pPr>
      <w:widowControl w:val="0"/>
      <w:suppressAutoHyphens w:val="0"/>
      <w:autoSpaceDE w:val="0"/>
      <w:autoSpaceDN w:val="0"/>
      <w:spacing w:before="3"/>
      <w:ind w:left="119"/>
      <w:jc w:val="center"/>
    </w:pPr>
    <w:rPr>
      <w:rFonts w:ascii="Calibri" w:eastAsia="Calibri" w:hAnsi="Calibri" w:cs="Calibri"/>
      <w:sz w:val="22"/>
      <w:szCs w:val="22"/>
      <w:lang w:val="en-US" w:eastAsia="en-US"/>
    </w:rPr>
  </w:style>
  <w:style w:type="paragraph" w:styleId="BodyText">
    <w:name w:val="Body Text"/>
    <w:basedOn w:val="Normal"/>
    <w:link w:val="BodyTextChar"/>
    <w:uiPriority w:val="1"/>
    <w:qFormat/>
    <w:rsid w:val="00211EAA"/>
    <w:pPr>
      <w:widowControl w:val="0"/>
      <w:suppressAutoHyphens w:val="0"/>
      <w:autoSpaceDE w:val="0"/>
      <w:autoSpaceDN w:val="0"/>
    </w:pPr>
    <w:rPr>
      <w:rFonts w:ascii="Calibri" w:eastAsia="Calibri" w:hAnsi="Calibri" w:cs="Calibri"/>
      <w:sz w:val="20"/>
      <w:szCs w:val="20"/>
      <w:lang w:val="en-US" w:eastAsia="en-US"/>
    </w:rPr>
  </w:style>
  <w:style w:type="character" w:customStyle="1" w:styleId="BodyTextChar">
    <w:name w:val="Body Text Char"/>
    <w:basedOn w:val="DefaultParagraphFont"/>
    <w:link w:val="BodyText"/>
    <w:uiPriority w:val="1"/>
    <w:rsid w:val="00211EAA"/>
    <w:rPr>
      <w:rFonts w:ascii="Calibri" w:eastAsia="Calibri" w:hAnsi="Calibri" w:cs="Calibri"/>
    </w:rPr>
  </w:style>
  <w:style w:type="character" w:customStyle="1" w:styleId="UnresolvedMention">
    <w:name w:val="Unresolved Mention"/>
    <w:basedOn w:val="DefaultParagraphFont"/>
    <w:uiPriority w:val="99"/>
    <w:semiHidden/>
    <w:unhideWhenUsed/>
    <w:rsid w:val="00C1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9789">
      <w:bodyDiv w:val="1"/>
      <w:marLeft w:val="0"/>
      <w:marRight w:val="0"/>
      <w:marTop w:val="0"/>
      <w:marBottom w:val="0"/>
      <w:divBdr>
        <w:top w:val="none" w:sz="0" w:space="0" w:color="auto"/>
        <w:left w:val="none" w:sz="0" w:space="0" w:color="auto"/>
        <w:bottom w:val="none" w:sz="0" w:space="0" w:color="auto"/>
        <w:right w:val="none" w:sz="0" w:space="0" w:color="auto"/>
      </w:divBdr>
    </w:div>
    <w:div w:id="287202934">
      <w:bodyDiv w:val="1"/>
      <w:marLeft w:val="0"/>
      <w:marRight w:val="0"/>
      <w:marTop w:val="0"/>
      <w:marBottom w:val="0"/>
      <w:divBdr>
        <w:top w:val="none" w:sz="0" w:space="0" w:color="auto"/>
        <w:left w:val="none" w:sz="0" w:space="0" w:color="auto"/>
        <w:bottom w:val="none" w:sz="0" w:space="0" w:color="auto"/>
        <w:right w:val="none" w:sz="0" w:space="0" w:color="auto"/>
      </w:divBdr>
    </w:div>
    <w:div w:id="386682911">
      <w:bodyDiv w:val="1"/>
      <w:marLeft w:val="0"/>
      <w:marRight w:val="0"/>
      <w:marTop w:val="0"/>
      <w:marBottom w:val="0"/>
      <w:divBdr>
        <w:top w:val="none" w:sz="0" w:space="0" w:color="auto"/>
        <w:left w:val="none" w:sz="0" w:space="0" w:color="auto"/>
        <w:bottom w:val="none" w:sz="0" w:space="0" w:color="auto"/>
        <w:right w:val="none" w:sz="0" w:space="0" w:color="auto"/>
      </w:divBdr>
    </w:div>
    <w:div w:id="686249772">
      <w:bodyDiv w:val="1"/>
      <w:marLeft w:val="0"/>
      <w:marRight w:val="0"/>
      <w:marTop w:val="0"/>
      <w:marBottom w:val="0"/>
      <w:divBdr>
        <w:top w:val="none" w:sz="0" w:space="0" w:color="auto"/>
        <w:left w:val="none" w:sz="0" w:space="0" w:color="auto"/>
        <w:bottom w:val="none" w:sz="0" w:space="0" w:color="auto"/>
        <w:right w:val="none" w:sz="0" w:space="0" w:color="auto"/>
      </w:divBdr>
    </w:div>
    <w:div w:id="782459435">
      <w:bodyDiv w:val="1"/>
      <w:marLeft w:val="0"/>
      <w:marRight w:val="0"/>
      <w:marTop w:val="0"/>
      <w:marBottom w:val="0"/>
      <w:divBdr>
        <w:top w:val="none" w:sz="0" w:space="0" w:color="auto"/>
        <w:left w:val="none" w:sz="0" w:space="0" w:color="auto"/>
        <w:bottom w:val="none" w:sz="0" w:space="0" w:color="auto"/>
        <w:right w:val="none" w:sz="0" w:space="0" w:color="auto"/>
      </w:divBdr>
    </w:div>
    <w:div w:id="888146431">
      <w:bodyDiv w:val="1"/>
      <w:marLeft w:val="0"/>
      <w:marRight w:val="0"/>
      <w:marTop w:val="0"/>
      <w:marBottom w:val="0"/>
      <w:divBdr>
        <w:top w:val="none" w:sz="0" w:space="0" w:color="auto"/>
        <w:left w:val="none" w:sz="0" w:space="0" w:color="auto"/>
        <w:bottom w:val="none" w:sz="0" w:space="0" w:color="auto"/>
        <w:right w:val="none" w:sz="0" w:space="0" w:color="auto"/>
      </w:divBdr>
    </w:div>
    <w:div w:id="929236498">
      <w:bodyDiv w:val="1"/>
      <w:marLeft w:val="0"/>
      <w:marRight w:val="0"/>
      <w:marTop w:val="0"/>
      <w:marBottom w:val="0"/>
      <w:divBdr>
        <w:top w:val="none" w:sz="0" w:space="0" w:color="auto"/>
        <w:left w:val="none" w:sz="0" w:space="0" w:color="auto"/>
        <w:bottom w:val="none" w:sz="0" w:space="0" w:color="auto"/>
        <w:right w:val="none" w:sz="0" w:space="0" w:color="auto"/>
      </w:divBdr>
    </w:div>
    <w:div w:id="1115366550">
      <w:bodyDiv w:val="1"/>
      <w:marLeft w:val="0"/>
      <w:marRight w:val="0"/>
      <w:marTop w:val="0"/>
      <w:marBottom w:val="0"/>
      <w:divBdr>
        <w:top w:val="none" w:sz="0" w:space="0" w:color="auto"/>
        <w:left w:val="none" w:sz="0" w:space="0" w:color="auto"/>
        <w:bottom w:val="none" w:sz="0" w:space="0" w:color="auto"/>
        <w:right w:val="none" w:sz="0" w:space="0" w:color="auto"/>
      </w:divBdr>
    </w:div>
    <w:div w:id="1121339265">
      <w:bodyDiv w:val="1"/>
      <w:marLeft w:val="0"/>
      <w:marRight w:val="0"/>
      <w:marTop w:val="0"/>
      <w:marBottom w:val="0"/>
      <w:divBdr>
        <w:top w:val="none" w:sz="0" w:space="0" w:color="auto"/>
        <w:left w:val="none" w:sz="0" w:space="0" w:color="auto"/>
        <w:bottom w:val="none" w:sz="0" w:space="0" w:color="auto"/>
        <w:right w:val="none" w:sz="0" w:space="0" w:color="auto"/>
      </w:divBdr>
    </w:div>
    <w:div w:id="1121727680">
      <w:bodyDiv w:val="1"/>
      <w:marLeft w:val="0"/>
      <w:marRight w:val="0"/>
      <w:marTop w:val="0"/>
      <w:marBottom w:val="0"/>
      <w:divBdr>
        <w:top w:val="none" w:sz="0" w:space="0" w:color="auto"/>
        <w:left w:val="none" w:sz="0" w:space="0" w:color="auto"/>
        <w:bottom w:val="none" w:sz="0" w:space="0" w:color="auto"/>
        <w:right w:val="none" w:sz="0" w:space="0" w:color="auto"/>
      </w:divBdr>
    </w:div>
    <w:div w:id="1156727256">
      <w:bodyDiv w:val="1"/>
      <w:marLeft w:val="0"/>
      <w:marRight w:val="0"/>
      <w:marTop w:val="0"/>
      <w:marBottom w:val="0"/>
      <w:divBdr>
        <w:top w:val="none" w:sz="0" w:space="0" w:color="auto"/>
        <w:left w:val="none" w:sz="0" w:space="0" w:color="auto"/>
        <w:bottom w:val="none" w:sz="0" w:space="0" w:color="auto"/>
        <w:right w:val="none" w:sz="0" w:space="0" w:color="auto"/>
      </w:divBdr>
    </w:div>
    <w:div w:id="1282616707">
      <w:bodyDiv w:val="1"/>
      <w:marLeft w:val="0"/>
      <w:marRight w:val="0"/>
      <w:marTop w:val="0"/>
      <w:marBottom w:val="0"/>
      <w:divBdr>
        <w:top w:val="none" w:sz="0" w:space="0" w:color="auto"/>
        <w:left w:val="none" w:sz="0" w:space="0" w:color="auto"/>
        <w:bottom w:val="none" w:sz="0" w:space="0" w:color="auto"/>
        <w:right w:val="none" w:sz="0" w:space="0" w:color="auto"/>
      </w:divBdr>
    </w:div>
    <w:div w:id="1287270228">
      <w:bodyDiv w:val="1"/>
      <w:marLeft w:val="0"/>
      <w:marRight w:val="0"/>
      <w:marTop w:val="0"/>
      <w:marBottom w:val="0"/>
      <w:divBdr>
        <w:top w:val="none" w:sz="0" w:space="0" w:color="auto"/>
        <w:left w:val="none" w:sz="0" w:space="0" w:color="auto"/>
        <w:bottom w:val="none" w:sz="0" w:space="0" w:color="auto"/>
        <w:right w:val="none" w:sz="0" w:space="0" w:color="auto"/>
      </w:divBdr>
    </w:div>
    <w:div w:id="1341078595">
      <w:bodyDiv w:val="1"/>
      <w:marLeft w:val="0"/>
      <w:marRight w:val="0"/>
      <w:marTop w:val="0"/>
      <w:marBottom w:val="0"/>
      <w:divBdr>
        <w:top w:val="none" w:sz="0" w:space="0" w:color="auto"/>
        <w:left w:val="none" w:sz="0" w:space="0" w:color="auto"/>
        <w:bottom w:val="none" w:sz="0" w:space="0" w:color="auto"/>
        <w:right w:val="none" w:sz="0" w:space="0" w:color="auto"/>
      </w:divBdr>
    </w:div>
    <w:div w:id="1357271098">
      <w:bodyDiv w:val="1"/>
      <w:marLeft w:val="0"/>
      <w:marRight w:val="0"/>
      <w:marTop w:val="0"/>
      <w:marBottom w:val="0"/>
      <w:divBdr>
        <w:top w:val="none" w:sz="0" w:space="0" w:color="auto"/>
        <w:left w:val="none" w:sz="0" w:space="0" w:color="auto"/>
        <w:bottom w:val="none" w:sz="0" w:space="0" w:color="auto"/>
        <w:right w:val="none" w:sz="0" w:space="0" w:color="auto"/>
      </w:divBdr>
    </w:div>
    <w:div w:id="1591740748">
      <w:bodyDiv w:val="1"/>
      <w:marLeft w:val="0"/>
      <w:marRight w:val="0"/>
      <w:marTop w:val="0"/>
      <w:marBottom w:val="0"/>
      <w:divBdr>
        <w:top w:val="none" w:sz="0" w:space="0" w:color="auto"/>
        <w:left w:val="none" w:sz="0" w:space="0" w:color="auto"/>
        <w:bottom w:val="none" w:sz="0" w:space="0" w:color="auto"/>
        <w:right w:val="none" w:sz="0" w:space="0" w:color="auto"/>
      </w:divBdr>
    </w:div>
    <w:div w:id="1723629337">
      <w:bodyDiv w:val="1"/>
      <w:marLeft w:val="0"/>
      <w:marRight w:val="0"/>
      <w:marTop w:val="0"/>
      <w:marBottom w:val="0"/>
      <w:divBdr>
        <w:top w:val="none" w:sz="0" w:space="0" w:color="auto"/>
        <w:left w:val="none" w:sz="0" w:space="0" w:color="auto"/>
        <w:bottom w:val="none" w:sz="0" w:space="0" w:color="auto"/>
        <w:right w:val="none" w:sz="0" w:space="0" w:color="auto"/>
      </w:divBdr>
    </w:div>
    <w:div w:id="1751535059">
      <w:bodyDiv w:val="1"/>
      <w:marLeft w:val="0"/>
      <w:marRight w:val="0"/>
      <w:marTop w:val="0"/>
      <w:marBottom w:val="0"/>
      <w:divBdr>
        <w:top w:val="none" w:sz="0" w:space="0" w:color="auto"/>
        <w:left w:val="none" w:sz="0" w:space="0" w:color="auto"/>
        <w:bottom w:val="none" w:sz="0" w:space="0" w:color="auto"/>
        <w:right w:val="none" w:sz="0" w:space="0" w:color="auto"/>
      </w:divBdr>
    </w:div>
    <w:div w:id="18361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2" Type="http://schemas.openxmlformats.org/officeDocument/2006/relationships/hyperlink" Target="mailto:luis.pinedo@bau.edu.tr" TargetMode="External"/><Relationship Id="rId1" Type="http://schemas.openxmlformats.org/officeDocument/2006/relationships/hyperlink" Target="https://betam.bahcesehir.edu.tr/en/2025/04/short-term-employment-dynamics-in-turkiye-potential-limitations-of-the-household-labour-for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is%20Pinedo\Documents\BAU\Research\-%20BETAM%20briefs\-%20data\dataset%20labour%20market%20evo%20v1%205-4-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 (2)'!$E$1</c:f>
              <c:strCache>
                <c:ptCount val="1"/>
                <c:pt idx="0">
                  <c:v>SGK</c:v>
                </c:pt>
              </c:strCache>
            </c:strRef>
          </c:tx>
          <c:spPr>
            <a:solidFill>
              <a:schemeClr val="accent3">
                <a:lumMod val="20000"/>
                <a:lumOff val="80000"/>
              </a:schemeClr>
            </a:solidFill>
            <a:ln w="25400">
              <a:solidFill>
                <a:schemeClr val="accent3">
                  <a:lumMod val="60000"/>
                  <a:lumOff val="40000"/>
                </a:schemeClr>
              </a:solidFill>
            </a:ln>
            <a:effectLst/>
          </c:spPr>
          <c:invertIfNegative val="0"/>
          <c:cat>
            <c:multiLvlStrRef>
              <c:f>'graphs (2)'!$A$50:$B$241</c:f>
              <c:multiLvlStrCache>
                <c:ptCount val="192"/>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pt idx="19">
                    <c:v>Aug</c:v>
                  </c:pt>
                  <c:pt idx="20">
                    <c:v>Sep</c:v>
                  </c:pt>
                  <c:pt idx="21">
                    <c:v>Oct</c:v>
                  </c:pt>
                  <c:pt idx="22">
                    <c:v>Nov</c:v>
                  </c:pt>
                  <c:pt idx="23">
                    <c:v>Dec</c:v>
                  </c:pt>
                  <c:pt idx="24">
                    <c:v>Jan</c:v>
                  </c:pt>
                  <c:pt idx="25">
                    <c:v>Feb</c:v>
                  </c:pt>
                  <c:pt idx="26">
                    <c:v>Mar</c:v>
                  </c:pt>
                  <c:pt idx="27">
                    <c:v>Apr</c:v>
                  </c:pt>
                  <c:pt idx="28">
                    <c:v>May</c:v>
                  </c:pt>
                  <c:pt idx="29">
                    <c:v>Jun</c:v>
                  </c:pt>
                  <c:pt idx="30">
                    <c:v>Jul</c:v>
                  </c:pt>
                  <c:pt idx="31">
                    <c:v>Aug</c:v>
                  </c:pt>
                  <c:pt idx="32">
                    <c:v>Sep</c:v>
                  </c:pt>
                  <c:pt idx="33">
                    <c:v>Oct</c:v>
                  </c:pt>
                  <c:pt idx="34">
                    <c:v>Nov</c:v>
                  </c:pt>
                  <c:pt idx="35">
                    <c:v>Dec</c:v>
                  </c:pt>
                  <c:pt idx="36">
                    <c:v>Jan</c:v>
                  </c:pt>
                  <c:pt idx="37">
                    <c:v>Feb</c:v>
                  </c:pt>
                  <c:pt idx="38">
                    <c:v>Mar</c:v>
                  </c:pt>
                  <c:pt idx="39">
                    <c:v>Apr</c:v>
                  </c:pt>
                  <c:pt idx="40">
                    <c:v>May</c:v>
                  </c:pt>
                  <c:pt idx="41">
                    <c:v>Jun</c:v>
                  </c:pt>
                  <c:pt idx="42">
                    <c:v>Jul</c:v>
                  </c:pt>
                  <c:pt idx="43">
                    <c:v>Aug</c:v>
                  </c:pt>
                  <c:pt idx="44">
                    <c:v>Sep</c:v>
                  </c:pt>
                  <c:pt idx="45">
                    <c:v>Oct</c:v>
                  </c:pt>
                  <c:pt idx="46">
                    <c:v>Nov</c:v>
                  </c:pt>
                  <c:pt idx="47">
                    <c:v>Dec</c:v>
                  </c:pt>
                  <c:pt idx="48">
                    <c:v>Jan</c:v>
                  </c:pt>
                  <c:pt idx="49">
                    <c:v>Feb</c:v>
                  </c:pt>
                  <c:pt idx="50">
                    <c:v>Mar</c:v>
                  </c:pt>
                  <c:pt idx="51">
                    <c:v>Apr</c:v>
                  </c:pt>
                  <c:pt idx="52">
                    <c:v>May</c:v>
                  </c:pt>
                  <c:pt idx="53">
                    <c:v>Jun</c:v>
                  </c:pt>
                  <c:pt idx="54">
                    <c:v>Jul</c:v>
                  </c:pt>
                  <c:pt idx="55">
                    <c:v>Aug</c:v>
                  </c:pt>
                  <c:pt idx="56">
                    <c:v>Sep</c:v>
                  </c:pt>
                  <c:pt idx="57">
                    <c:v>Oct</c:v>
                  </c:pt>
                  <c:pt idx="58">
                    <c:v>Nov</c:v>
                  </c:pt>
                  <c:pt idx="59">
                    <c:v>Dec</c:v>
                  </c:pt>
                  <c:pt idx="60">
                    <c:v>Jan</c:v>
                  </c:pt>
                  <c:pt idx="61">
                    <c:v>Feb</c:v>
                  </c:pt>
                  <c:pt idx="62">
                    <c:v>Mar</c:v>
                  </c:pt>
                  <c:pt idx="63">
                    <c:v>Apr</c:v>
                  </c:pt>
                  <c:pt idx="64">
                    <c:v>May</c:v>
                  </c:pt>
                  <c:pt idx="65">
                    <c:v>Jun</c:v>
                  </c:pt>
                  <c:pt idx="66">
                    <c:v>Jul</c:v>
                  </c:pt>
                  <c:pt idx="67">
                    <c:v>Aug</c:v>
                  </c:pt>
                  <c:pt idx="68">
                    <c:v>Sep</c:v>
                  </c:pt>
                  <c:pt idx="69">
                    <c:v>Oct</c:v>
                  </c:pt>
                  <c:pt idx="70">
                    <c:v>Nov</c:v>
                  </c:pt>
                  <c:pt idx="71">
                    <c:v>Dec</c:v>
                  </c:pt>
                  <c:pt idx="72">
                    <c:v>Jan</c:v>
                  </c:pt>
                  <c:pt idx="73">
                    <c:v>Feb</c:v>
                  </c:pt>
                  <c:pt idx="74">
                    <c:v>Mar</c:v>
                  </c:pt>
                  <c:pt idx="75">
                    <c:v>Apr</c:v>
                  </c:pt>
                  <c:pt idx="76">
                    <c:v>May</c:v>
                  </c:pt>
                  <c:pt idx="77">
                    <c:v>Jun</c:v>
                  </c:pt>
                  <c:pt idx="78">
                    <c:v>Jul</c:v>
                  </c:pt>
                  <c:pt idx="79">
                    <c:v>Aug</c:v>
                  </c:pt>
                  <c:pt idx="80">
                    <c:v>Sep</c:v>
                  </c:pt>
                  <c:pt idx="81">
                    <c:v>Oct</c:v>
                  </c:pt>
                  <c:pt idx="82">
                    <c:v>Nov</c:v>
                  </c:pt>
                  <c:pt idx="83">
                    <c:v>Dec</c:v>
                  </c:pt>
                  <c:pt idx="84">
                    <c:v>Jan</c:v>
                  </c:pt>
                  <c:pt idx="85">
                    <c:v>Feb</c:v>
                  </c:pt>
                  <c:pt idx="86">
                    <c:v>Mar</c:v>
                  </c:pt>
                  <c:pt idx="87">
                    <c:v>Apr</c:v>
                  </c:pt>
                  <c:pt idx="88">
                    <c:v>May</c:v>
                  </c:pt>
                  <c:pt idx="89">
                    <c:v>Jun</c:v>
                  </c:pt>
                  <c:pt idx="90">
                    <c:v>Jul</c:v>
                  </c:pt>
                  <c:pt idx="91">
                    <c:v>Aug</c:v>
                  </c:pt>
                  <c:pt idx="92">
                    <c:v>Sep</c:v>
                  </c:pt>
                  <c:pt idx="93">
                    <c:v>Oct</c:v>
                  </c:pt>
                  <c:pt idx="94">
                    <c:v>Nov</c:v>
                  </c:pt>
                  <c:pt idx="95">
                    <c:v>Dec</c:v>
                  </c:pt>
                  <c:pt idx="96">
                    <c:v>Jan</c:v>
                  </c:pt>
                  <c:pt idx="97">
                    <c:v>Feb</c:v>
                  </c:pt>
                  <c:pt idx="98">
                    <c:v>Mar</c:v>
                  </c:pt>
                  <c:pt idx="99">
                    <c:v>Apr</c:v>
                  </c:pt>
                  <c:pt idx="100">
                    <c:v>May</c:v>
                  </c:pt>
                  <c:pt idx="101">
                    <c:v>Jun</c:v>
                  </c:pt>
                  <c:pt idx="102">
                    <c:v>Jul</c:v>
                  </c:pt>
                  <c:pt idx="103">
                    <c:v>Aug</c:v>
                  </c:pt>
                  <c:pt idx="104">
                    <c:v>Sep</c:v>
                  </c:pt>
                  <c:pt idx="105">
                    <c:v>Oct</c:v>
                  </c:pt>
                  <c:pt idx="106">
                    <c:v>Nov</c:v>
                  </c:pt>
                  <c:pt idx="107">
                    <c:v>Dec</c:v>
                  </c:pt>
                  <c:pt idx="108">
                    <c:v>Jan</c:v>
                  </c:pt>
                  <c:pt idx="109">
                    <c:v>Feb</c:v>
                  </c:pt>
                  <c:pt idx="110">
                    <c:v>Mar</c:v>
                  </c:pt>
                  <c:pt idx="111">
                    <c:v>Apr</c:v>
                  </c:pt>
                  <c:pt idx="112">
                    <c:v>May</c:v>
                  </c:pt>
                  <c:pt idx="113">
                    <c:v>Jun</c:v>
                  </c:pt>
                  <c:pt idx="114">
                    <c:v>Jul</c:v>
                  </c:pt>
                  <c:pt idx="115">
                    <c:v>Aug</c:v>
                  </c:pt>
                  <c:pt idx="116">
                    <c:v>Sep</c:v>
                  </c:pt>
                  <c:pt idx="117">
                    <c:v>Oct</c:v>
                  </c:pt>
                  <c:pt idx="118">
                    <c:v>Nov</c:v>
                  </c:pt>
                  <c:pt idx="119">
                    <c:v>Dec</c:v>
                  </c:pt>
                  <c:pt idx="120">
                    <c:v>Jan</c:v>
                  </c:pt>
                  <c:pt idx="121">
                    <c:v>Feb</c:v>
                  </c:pt>
                  <c:pt idx="122">
                    <c:v>Mar</c:v>
                  </c:pt>
                  <c:pt idx="123">
                    <c:v>Apr</c:v>
                  </c:pt>
                  <c:pt idx="124">
                    <c:v>May</c:v>
                  </c:pt>
                  <c:pt idx="125">
                    <c:v>Jun</c:v>
                  </c:pt>
                  <c:pt idx="126">
                    <c:v>Jul</c:v>
                  </c:pt>
                  <c:pt idx="127">
                    <c:v>Aug</c:v>
                  </c:pt>
                  <c:pt idx="128">
                    <c:v>Sep</c:v>
                  </c:pt>
                  <c:pt idx="129">
                    <c:v>Oct</c:v>
                  </c:pt>
                  <c:pt idx="130">
                    <c:v>Nov</c:v>
                  </c:pt>
                  <c:pt idx="131">
                    <c:v>Dec</c:v>
                  </c:pt>
                  <c:pt idx="132">
                    <c:v>Jan</c:v>
                  </c:pt>
                  <c:pt idx="133">
                    <c:v>Feb</c:v>
                  </c:pt>
                  <c:pt idx="134">
                    <c:v>Mar</c:v>
                  </c:pt>
                  <c:pt idx="135">
                    <c:v>Apr</c:v>
                  </c:pt>
                  <c:pt idx="136">
                    <c:v>May</c:v>
                  </c:pt>
                  <c:pt idx="137">
                    <c:v>Jun</c:v>
                  </c:pt>
                  <c:pt idx="138">
                    <c:v>Jul</c:v>
                  </c:pt>
                  <c:pt idx="139">
                    <c:v>Aug</c:v>
                  </c:pt>
                  <c:pt idx="140">
                    <c:v>Sep</c:v>
                  </c:pt>
                  <c:pt idx="141">
                    <c:v>Oct</c:v>
                  </c:pt>
                  <c:pt idx="142">
                    <c:v>Nov</c:v>
                  </c:pt>
                  <c:pt idx="143">
                    <c:v>Dec</c:v>
                  </c:pt>
                  <c:pt idx="144">
                    <c:v>Jan</c:v>
                  </c:pt>
                  <c:pt idx="145">
                    <c:v>Feb</c:v>
                  </c:pt>
                  <c:pt idx="146">
                    <c:v>Mar</c:v>
                  </c:pt>
                  <c:pt idx="147">
                    <c:v>Apr</c:v>
                  </c:pt>
                  <c:pt idx="148">
                    <c:v>May</c:v>
                  </c:pt>
                  <c:pt idx="149">
                    <c:v>Jun</c:v>
                  </c:pt>
                  <c:pt idx="150">
                    <c:v>Jul</c:v>
                  </c:pt>
                  <c:pt idx="151">
                    <c:v>Aug</c:v>
                  </c:pt>
                  <c:pt idx="152">
                    <c:v>Sep</c:v>
                  </c:pt>
                  <c:pt idx="153">
                    <c:v>Oct</c:v>
                  </c:pt>
                  <c:pt idx="154">
                    <c:v>Nov</c:v>
                  </c:pt>
                  <c:pt idx="155">
                    <c:v>Dec</c:v>
                  </c:pt>
                  <c:pt idx="156">
                    <c:v>Jan</c:v>
                  </c:pt>
                  <c:pt idx="157">
                    <c:v>Feb</c:v>
                  </c:pt>
                  <c:pt idx="158">
                    <c:v>Mar</c:v>
                  </c:pt>
                  <c:pt idx="159">
                    <c:v>Apr</c:v>
                  </c:pt>
                  <c:pt idx="160">
                    <c:v>May</c:v>
                  </c:pt>
                  <c:pt idx="161">
                    <c:v>Jun</c:v>
                  </c:pt>
                  <c:pt idx="162">
                    <c:v>Jul</c:v>
                  </c:pt>
                  <c:pt idx="163">
                    <c:v>Aug</c:v>
                  </c:pt>
                  <c:pt idx="164">
                    <c:v>Sep</c:v>
                  </c:pt>
                  <c:pt idx="165">
                    <c:v>Oct</c:v>
                  </c:pt>
                  <c:pt idx="166">
                    <c:v>Nov</c:v>
                  </c:pt>
                  <c:pt idx="167">
                    <c:v>Dec</c:v>
                  </c:pt>
                  <c:pt idx="168">
                    <c:v>Jan</c:v>
                  </c:pt>
                  <c:pt idx="169">
                    <c:v>Feb</c:v>
                  </c:pt>
                  <c:pt idx="170">
                    <c:v>Mar</c:v>
                  </c:pt>
                  <c:pt idx="171">
                    <c:v>Apr</c:v>
                  </c:pt>
                  <c:pt idx="172">
                    <c:v>May</c:v>
                  </c:pt>
                  <c:pt idx="173">
                    <c:v>Jun</c:v>
                  </c:pt>
                  <c:pt idx="174">
                    <c:v>Jul</c:v>
                  </c:pt>
                  <c:pt idx="175">
                    <c:v>Aug</c:v>
                  </c:pt>
                  <c:pt idx="176">
                    <c:v>Sep</c:v>
                  </c:pt>
                  <c:pt idx="177">
                    <c:v>Oct</c:v>
                  </c:pt>
                  <c:pt idx="178">
                    <c:v>Nov</c:v>
                  </c:pt>
                  <c:pt idx="179">
                    <c:v>Dec</c:v>
                  </c:pt>
                  <c:pt idx="180">
                    <c:v>Jan</c:v>
                  </c:pt>
                  <c:pt idx="181">
                    <c:v>Feb</c:v>
                  </c:pt>
                  <c:pt idx="182">
                    <c:v>Mar</c:v>
                  </c:pt>
                  <c:pt idx="183">
                    <c:v>Apr</c:v>
                  </c:pt>
                  <c:pt idx="184">
                    <c:v>May</c:v>
                  </c:pt>
                  <c:pt idx="185">
                    <c:v>Jun</c:v>
                  </c:pt>
                  <c:pt idx="186">
                    <c:v>Jul</c:v>
                  </c:pt>
                  <c:pt idx="187">
                    <c:v>Aug</c:v>
                  </c:pt>
                  <c:pt idx="188">
                    <c:v>Sep</c:v>
                  </c:pt>
                  <c:pt idx="189">
                    <c:v>Oct</c:v>
                  </c:pt>
                  <c:pt idx="190">
                    <c:v>Nov</c:v>
                  </c:pt>
                  <c:pt idx="191">
                    <c:v>Dec</c:v>
                  </c:pt>
                </c:lvl>
                <c:lvl>
                  <c:pt idx="0">
                    <c:v>2009</c:v>
                  </c:pt>
                  <c:pt idx="12">
                    <c:v>2010</c:v>
                  </c:pt>
                  <c:pt idx="24">
                    <c:v>2011</c:v>
                  </c:pt>
                  <c:pt idx="36">
                    <c:v>2012</c:v>
                  </c:pt>
                  <c:pt idx="48">
                    <c:v>2013</c:v>
                  </c:pt>
                  <c:pt idx="60">
                    <c:v>2014</c:v>
                  </c:pt>
                  <c:pt idx="72">
                    <c:v>2015</c:v>
                  </c:pt>
                  <c:pt idx="84">
                    <c:v>2016</c:v>
                  </c:pt>
                  <c:pt idx="96">
                    <c:v>2017</c:v>
                  </c:pt>
                  <c:pt idx="108">
                    <c:v>2018</c:v>
                  </c:pt>
                  <c:pt idx="120">
                    <c:v>2019</c:v>
                  </c:pt>
                  <c:pt idx="132">
                    <c:v>2020</c:v>
                  </c:pt>
                  <c:pt idx="144">
                    <c:v>2021</c:v>
                  </c:pt>
                  <c:pt idx="156">
                    <c:v>2022</c:v>
                  </c:pt>
                  <c:pt idx="168">
                    <c:v>2023</c:v>
                  </c:pt>
                  <c:pt idx="180">
                    <c:v>2024</c:v>
                  </c:pt>
                </c:lvl>
              </c:multiLvlStrCache>
            </c:multiLvlStrRef>
          </c:cat>
          <c:val>
            <c:numRef>
              <c:f>'graphs (2)'!$E$50:$E$241</c:f>
              <c:numCache>
                <c:formatCode>General</c:formatCode>
                <c:ptCount val="192"/>
                <c:pt idx="0">
                  <c:v>13732.816358691507</c:v>
                </c:pt>
                <c:pt idx="1">
                  <c:v>13628.362802852991</c:v>
                </c:pt>
                <c:pt idx="2">
                  <c:v>13742.181</c:v>
                </c:pt>
                <c:pt idx="3">
                  <c:v>13842.717000000001</c:v>
                </c:pt>
                <c:pt idx="4">
                  <c:v>14030.785</c:v>
                </c:pt>
                <c:pt idx="5">
                  <c:v>14245.619000000001</c:v>
                </c:pt>
                <c:pt idx="6">
                  <c:v>14151.47</c:v>
                </c:pt>
                <c:pt idx="7">
                  <c:v>14063.221</c:v>
                </c:pt>
                <c:pt idx="8">
                  <c:v>14091.203</c:v>
                </c:pt>
                <c:pt idx="9">
                  <c:v>14217.328</c:v>
                </c:pt>
                <c:pt idx="10">
                  <c:v>14141.065000000001</c:v>
                </c:pt>
                <c:pt idx="11">
                  <c:v>14118.700999999999</c:v>
                </c:pt>
                <c:pt idx="12">
                  <c:v>13951.084999999999</c:v>
                </c:pt>
                <c:pt idx="13">
                  <c:v>14003.331</c:v>
                </c:pt>
                <c:pt idx="14">
                  <c:v>14248.54</c:v>
                </c:pt>
                <c:pt idx="15">
                  <c:v>14478.812</c:v>
                </c:pt>
                <c:pt idx="16">
                  <c:v>14721.031000000001</c:v>
                </c:pt>
                <c:pt idx="17">
                  <c:v>14882.170232</c:v>
                </c:pt>
                <c:pt idx="18">
                  <c:v>15142.029</c:v>
                </c:pt>
                <c:pt idx="19">
                  <c:v>15117.843000000001</c:v>
                </c:pt>
                <c:pt idx="20">
                  <c:v>15106.223</c:v>
                </c:pt>
                <c:pt idx="21">
                  <c:v>15168.253310452721</c:v>
                </c:pt>
                <c:pt idx="22">
                  <c:v>15101.675999999999</c:v>
                </c:pt>
                <c:pt idx="23">
                  <c:v>15276.643</c:v>
                </c:pt>
                <c:pt idx="24">
                  <c:v>15239.906563017916</c:v>
                </c:pt>
                <c:pt idx="25">
                  <c:v>15299.241328394824</c:v>
                </c:pt>
                <c:pt idx="26">
                  <c:v>15617.522000000001</c:v>
                </c:pt>
                <c:pt idx="27">
                  <c:v>15919.694400431248</c:v>
                </c:pt>
                <c:pt idx="28">
                  <c:v>16186.550999999999</c:v>
                </c:pt>
                <c:pt idx="29">
                  <c:v>16505.769</c:v>
                </c:pt>
                <c:pt idx="30">
                  <c:v>16542.227999999999</c:v>
                </c:pt>
                <c:pt idx="31">
                  <c:v>16439.868999999999</c:v>
                </c:pt>
                <c:pt idx="32">
                  <c:v>16619.970370903808</c:v>
                </c:pt>
                <c:pt idx="33">
                  <c:v>16680.66</c:v>
                </c:pt>
                <c:pt idx="34">
                  <c:v>16549.381000000001</c:v>
                </c:pt>
                <c:pt idx="35">
                  <c:v>16587.655999999999</c:v>
                </c:pt>
                <c:pt idx="36">
                  <c:v>16560.454000000002</c:v>
                </c:pt>
                <c:pt idx="37">
                  <c:v>16481.557000000001</c:v>
                </c:pt>
                <c:pt idx="38">
                  <c:v>16900.156999999999</c:v>
                </c:pt>
                <c:pt idx="39">
                  <c:v>17149.721000000001</c:v>
                </c:pt>
                <c:pt idx="40">
                  <c:v>17439.922999999999</c:v>
                </c:pt>
                <c:pt idx="41">
                  <c:v>17738.059000000001</c:v>
                </c:pt>
                <c:pt idx="42">
                  <c:v>17764.666000000001</c:v>
                </c:pt>
                <c:pt idx="43">
                  <c:v>17355.126</c:v>
                </c:pt>
                <c:pt idx="44">
                  <c:v>17717.626</c:v>
                </c:pt>
                <c:pt idx="45">
                  <c:v>17446.73</c:v>
                </c:pt>
                <c:pt idx="46">
                  <c:v>17624.509999999998</c:v>
                </c:pt>
                <c:pt idx="47">
                  <c:v>17569.584999999999</c:v>
                </c:pt>
                <c:pt idx="48">
                  <c:v>17329.748</c:v>
                </c:pt>
                <c:pt idx="49">
                  <c:v>17260.903999999999</c:v>
                </c:pt>
                <c:pt idx="50">
                  <c:v>17521.239000000001</c:v>
                </c:pt>
                <c:pt idx="51">
                  <c:v>17758.954000000002</c:v>
                </c:pt>
                <c:pt idx="52">
                  <c:v>17848.136999999999</c:v>
                </c:pt>
                <c:pt idx="53">
                  <c:v>17912.062999999998</c:v>
                </c:pt>
                <c:pt idx="54">
                  <c:v>17839.623</c:v>
                </c:pt>
                <c:pt idx="55">
                  <c:v>17831.642</c:v>
                </c:pt>
                <c:pt idx="56">
                  <c:v>18113.873</c:v>
                </c:pt>
                <c:pt idx="57">
                  <c:v>17910.788</c:v>
                </c:pt>
                <c:pt idx="58">
                  <c:v>18000.892</c:v>
                </c:pt>
                <c:pt idx="59">
                  <c:v>17946.88</c:v>
                </c:pt>
                <c:pt idx="60">
                  <c:v>17888.849999999999</c:v>
                </c:pt>
                <c:pt idx="61">
                  <c:v>18047.588</c:v>
                </c:pt>
                <c:pt idx="62">
                  <c:v>18287.217000000001</c:v>
                </c:pt>
                <c:pt idx="63">
                  <c:v>18390.035</c:v>
                </c:pt>
                <c:pt idx="64">
                  <c:v>18587.161</c:v>
                </c:pt>
                <c:pt idx="65">
                  <c:v>18703.323</c:v>
                </c:pt>
                <c:pt idx="66">
                  <c:v>18442.223999999998</c:v>
                </c:pt>
                <c:pt idx="67">
                  <c:v>18653.931</c:v>
                </c:pt>
                <c:pt idx="68">
                  <c:v>18942.796999999999</c:v>
                </c:pt>
                <c:pt idx="69">
                  <c:v>18905.822</c:v>
                </c:pt>
                <c:pt idx="70">
                  <c:v>18898.806</c:v>
                </c:pt>
                <c:pt idx="71">
                  <c:v>18829.866000000002</c:v>
                </c:pt>
                <c:pt idx="72">
                  <c:v>18661.915000000001</c:v>
                </c:pt>
                <c:pt idx="73">
                  <c:v>18695.131000000001</c:v>
                </c:pt>
                <c:pt idx="74">
                  <c:v>18972.875</c:v>
                </c:pt>
                <c:pt idx="75">
                  <c:v>19169.686000000002</c:v>
                </c:pt>
                <c:pt idx="76">
                  <c:v>19389.123</c:v>
                </c:pt>
                <c:pt idx="77">
                  <c:v>19363.294000000002</c:v>
                </c:pt>
                <c:pt idx="78">
                  <c:v>19104.84</c:v>
                </c:pt>
                <c:pt idx="79">
                  <c:v>19146.042000000001</c:v>
                </c:pt>
                <c:pt idx="80">
                  <c:v>19298.285</c:v>
                </c:pt>
                <c:pt idx="81">
                  <c:v>19646.412</c:v>
                </c:pt>
                <c:pt idx="82">
                  <c:v>19582.504000000001</c:v>
                </c:pt>
                <c:pt idx="83">
                  <c:v>19578.731</c:v>
                </c:pt>
                <c:pt idx="84">
                  <c:v>19190.462</c:v>
                </c:pt>
                <c:pt idx="85">
                  <c:v>19026.178</c:v>
                </c:pt>
                <c:pt idx="86">
                  <c:v>19256.026999999998</c:v>
                </c:pt>
                <c:pt idx="87">
                  <c:v>19399.796999999999</c:v>
                </c:pt>
                <c:pt idx="88">
                  <c:v>19443.618999999999</c:v>
                </c:pt>
                <c:pt idx="89">
                  <c:v>19449.849999999999</c:v>
                </c:pt>
                <c:pt idx="90">
                  <c:v>19117.896000000001</c:v>
                </c:pt>
                <c:pt idx="91">
                  <c:v>19203.723999999998</c:v>
                </c:pt>
                <c:pt idx="92">
                  <c:v>19156.133999999998</c:v>
                </c:pt>
                <c:pt idx="93">
                  <c:v>19349.668000000001</c:v>
                </c:pt>
                <c:pt idx="94">
                  <c:v>19275.957999999999</c:v>
                </c:pt>
                <c:pt idx="95">
                  <c:v>19099.026000000002</c:v>
                </c:pt>
                <c:pt idx="96">
                  <c:v>18607.12</c:v>
                </c:pt>
                <c:pt idx="97">
                  <c:v>18790.237000000001</c:v>
                </c:pt>
                <c:pt idx="98">
                  <c:v>19263.697</c:v>
                </c:pt>
                <c:pt idx="99">
                  <c:v>19579.378000000001</c:v>
                </c:pt>
                <c:pt idx="100">
                  <c:v>19847.694</c:v>
                </c:pt>
                <c:pt idx="101">
                  <c:v>19775.804</c:v>
                </c:pt>
                <c:pt idx="102">
                  <c:v>19922.088</c:v>
                </c:pt>
                <c:pt idx="103">
                  <c:v>19979.268</c:v>
                </c:pt>
                <c:pt idx="104">
                  <c:v>20284.445</c:v>
                </c:pt>
                <c:pt idx="105">
                  <c:v>20390.227999999999</c:v>
                </c:pt>
                <c:pt idx="106">
                  <c:v>20302.716</c:v>
                </c:pt>
                <c:pt idx="107">
                  <c:v>20241.388999999999</c:v>
                </c:pt>
                <c:pt idx="108">
                  <c:v>19970.762999999999</c:v>
                </c:pt>
                <c:pt idx="109">
                  <c:v>19960.008999999998</c:v>
                </c:pt>
                <c:pt idx="110">
                  <c:v>20137.543000000001</c:v>
                </c:pt>
                <c:pt idx="111">
                  <c:v>20351.666000000001</c:v>
                </c:pt>
                <c:pt idx="112">
                  <c:v>20547.739000000001</c:v>
                </c:pt>
                <c:pt idx="113">
                  <c:v>20292.690999999999</c:v>
                </c:pt>
                <c:pt idx="114">
                  <c:v>20523.585999999999</c:v>
                </c:pt>
                <c:pt idx="115">
                  <c:v>20325.316999999999</c:v>
                </c:pt>
                <c:pt idx="116">
                  <c:v>20621.914000000001</c:v>
                </c:pt>
                <c:pt idx="117">
                  <c:v>20620.417000000001</c:v>
                </c:pt>
                <c:pt idx="118">
                  <c:v>20349.347000000002</c:v>
                </c:pt>
                <c:pt idx="119">
                  <c:v>20093.78</c:v>
                </c:pt>
                <c:pt idx="120">
                  <c:v>19648.900000000001</c:v>
                </c:pt>
                <c:pt idx="121">
                  <c:v>19647.885999999999</c:v>
                </c:pt>
                <c:pt idx="122">
                  <c:v>19828.091</c:v>
                </c:pt>
                <c:pt idx="123">
                  <c:v>20038.27</c:v>
                </c:pt>
                <c:pt idx="124">
                  <c:v>20218.472000000002</c:v>
                </c:pt>
                <c:pt idx="125">
                  <c:v>20220.807000000001</c:v>
                </c:pt>
                <c:pt idx="126">
                  <c:v>20102.815999999999</c:v>
                </c:pt>
                <c:pt idx="127">
                  <c:v>19945.603999999999</c:v>
                </c:pt>
                <c:pt idx="128">
                  <c:v>20279.72</c:v>
                </c:pt>
                <c:pt idx="129">
                  <c:v>20348.058000000001</c:v>
                </c:pt>
                <c:pt idx="130">
                  <c:v>20213.823</c:v>
                </c:pt>
                <c:pt idx="131">
                  <c:v>20172.891</c:v>
                </c:pt>
                <c:pt idx="132">
                  <c:v>20032.004000000001</c:v>
                </c:pt>
                <c:pt idx="133">
                  <c:v>20075.674999999999</c:v>
                </c:pt>
                <c:pt idx="134">
                  <c:v>20214.05</c:v>
                </c:pt>
                <c:pt idx="135">
                  <c:v>19752.080000000002</c:v>
                </c:pt>
                <c:pt idx="136">
                  <c:v>19843.494999999999</c:v>
                </c:pt>
                <c:pt idx="137">
                  <c:v>20373.446</c:v>
                </c:pt>
                <c:pt idx="138">
                  <c:v>20380.101999999999</c:v>
                </c:pt>
                <c:pt idx="139">
                  <c:v>20713.606</c:v>
                </c:pt>
                <c:pt idx="140">
                  <c:v>20970.323</c:v>
                </c:pt>
                <c:pt idx="141">
                  <c:v>21374.683000000001</c:v>
                </c:pt>
                <c:pt idx="142">
                  <c:v>21125.594000000001</c:v>
                </c:pt>
                <c:pt idx="143">
                  <c:v>21064.613000000001</c:v>
                </c:pt>
                <c:pt idx="144">
                  <c:v>21097.678</c:v>
                </c:pt>
                <c:pt idx="145">
                  <c:v>21141.032999999999</c:v>
                </c:pt>
                <c:pt idx="146">
                  <c:v>21464.579000000002</c:v>
                </c:pt>
                <c:pt idx="147">
                  <c:v>21896.828000000001</c:v>
                </c:pt>
                <c:pt idx="148">
                  <c:v>21925.16</c:v>
                </c:pt>
                <c:pt idx="149">
                  <c:v>22144.897000000001</c:v>
                </c:pt>
                <c:pt idx="150">
                  <c:v>22120.535</c:v>
                </c:pt>
                <c:pt idx="151">
                  <c:v>22152.695</c:v>
                </c:pt>
                <c:pt idx="152">
                  <c:v>22412.059000000001</c:v>
                </c:pt>
                <c:pt idx="153">
                  <c:v>22415.773000000001</c:v>
                </c:pt>
                <c:pt idx="154">
                  <c:v>22434.929</c:v>
                </c:pt>
                <c:pt idx="155">
                  <c:v>22382.418000000001</c:v>
                </c:pt>
                <c:pt idx="156">
                  <c:v>22169.404999999999</c:v>
                </c:pt>
                <c:pt idx="157">
                  <c:v>22217.148000000001</c:v>
                </c:pt>
                <c:pt idx="158">
                  <c:v>22492.707999999999</c:v>
                </c:pt>
                <c:pt idx="159">
                  <c:v>22631.222000000002</c:v>
                </c:pt>
                <c:pt idx="160">
                  <c:v>22940.182000000001</c:v>
                </c:pt>
                <c:pt idx="161">
                  <c:v>23231.724999999999</c:v>
                </c:pt>
                <c:pt idx="162">
                  <c:v>22959.768</c:v>
                </c:pt>
                <c:pt idx="163">
                  <c:v>23358.190999999999</c:v>
                </c:pt>
                <c:pt idx="164">
                  <c:v>23692.190999999999</c:v>
                </c:pt>
                <c:pt idx="165">
                  <c:v>23728.690999999999</c:v>
                </c:pt>
                <c:pt idx="166">
                  <c:v>23701.026999999998</c:v>
                </c:pt>
                <c:pt idx="167">
                  <c:v>23741.402999999998</c:v>
                </c:pt>
                <c:pt idx="168">
                  <c:v>22935.708999999999</c:v>
                </c:pt>
                <c:pt idx="169">
                  <c:v>23161.008999999998</c:v>
                </c:pt>
                <c:pt idx="170">
                  <c:v>23261.615000000002</c:v>
                </c:pt>
                <c:pt idx="171">
                  <c:v>22418.1</c:v>
                </c:pt>
                <c:pt idx="172">
                  <c:v>22475.913</c:v>
                </c:pt>
                <c:pt idx="173">
                  <c:v>22819.468000000001</c:v>
                </c:pt>
                <c:pt idx="174">
                  <c:v>22906.651999999998</c:v>
                </c:pt>
                <c:pt idx="175">
                  <c:v>23022.691999999999</c:v>
                </c:pt>
                <c:pt idx="176">
                  <c:v>23217.574000000001</c:v>
                </c:pt>
                <c:pt idx="177">
                  <c:v>23239.616000000002</c:v>
                </c:pt>
                <c:pt idx="178">
                  <c:v>23085.494999999999</c:v>
                </c:pt>
                <c:pt idx="179">
                  <c:v>23021.132000000001</c:v>
                </c:pt>
                <c:pt idx="180">
                  <c:v>22801.966</c:v>
                </c:pt>
                <c:pt idx="181">
                  <c:v>22806.626</c:v>
                </c:pt>
                <c:pt idx="182">
                  <c:v>22909.883999999998</c:v>
                </c:pt>
                <c:pt idx="183">
                  <c:v>22942.212</c:v>
                </c:pt>
                <c:pt idx="184">
                  <c:v>23327.53</c:v>
                </c:pt>
                <c:pt idx="185">
                  <c:v>23205.351999999999</c:v>
                </c:pt>
                <c:pt idx="186">
                  <c:v>23342.611000000001</c:v>
                </c:pt>
                <c:pt idx="187">
                  <c:v>23304.046999999999</c:v>
                </c:pt>
                <c:pt idx="188">
                  <c:v>23512.69</c:v>
                </c:pt>
                <c:pt idx="189">
                  <c:v>23437.841</c:v>
                </c:pt>
                <c:pt idx="190">
                  <c:v>23298.34</c:v>
                </c:pt>
                <c:pt idx="191">
                  <c:v>23202.707999999999</c:v>
                </c:pt>
              </c:numCache>
            </c:numRef>
          </c:val>
          <c:extLst>
            <c:ext xmlns:c16="http://schemas.microsoft.com/office/drawing/2014/chart" uri="{C3380CC4-5D6E-409C-BE32-E72D297353CC}">
              <c16:uniqueId val="{00000000-BE18-4A40-A8DC-6DC5EDDCCA23}"/>
            </c:ext>
          </c:extLst>
        </c:ser>
        <c:ser>
          <c:idx val="1"/>
          <c:order val="1"/>
          <c:tx>
            <c:strRef>
              <c:f>'graphs (2)'!$I$1</c:f>
              <c:strCache>
                <c:ptCount val="1"/>
                <c:pt idx="0">
                  <c:v>HİA</c:v>
                </c:pt>
              </c:strCache>
            </c:strRef>
          </c:tx>
          <c:spPr>
            <a:solidFill>
              <a:schemeClr val="accent6">
                <a:lumMod val="20000"/>
                <a:lumOff val="80000"/>
              </a:schemeClr>
            </a:solidFill>
            <a:ln w="25400">
              <a:solidFill>
                <a:schemeClr val="accent6">
                  <a:lumMod val="60000"/>
                  <a:lumOff val="40000"/>
                </a:schemeClr>
              </a:solidFill>
            </a:ln>
            <a:effectLst/>
          </c:spPr>
          <c:invertIfNegative val="0"/>
          <c:cat>
            <c:multiLvlStrRef>
              <c:f>'graphs (2)'!$A$50:$B$241</c:f>
              <c:multiLvlStrCache>
                <c:ptCount val="192"/>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pt idx="19">
                    <c:v>Aug</c:v>
                  </c:pt>
                  <c:pt idx="20">
                    <c:v>Sep</c:v>
                  </c:pt>
                  <c:pt idx="21">
                    <c:v>Oct</c:v>
                  </c:pt>
                  <c:pt idx="22">
                    <c:v>Nov</c:v>
                  </c:pt>
                  <c:pt idx="23">
                    <c:v>Dec</c:v>
                  </c:pt>
                  <c:pt idx="24">
                    <c:v>Jan</c:v>
                  </c:pt>
                  <c:pt idx="25">
                    <c:v>Feb</c:v>
                  </c:pt>
                  <c:pt idx="26">
                    <c:v>Mar</c:v>
                  </c:pt>
                  <c:pt idx="27">
                    <c:v>Apr</c:v>
                  </c:pt>
                  <c:pt idx="28">
                    <c:v>May</c:v>
                  </c:pt>
                  <c:pt idx="29">
                    <c:v>Jun</c:v>
                  </c:pt>
                  <c:pt idx="30">
                    <c:v>Jul</c:v>
                  </c:pt>
                  <c:pt idx="31">
                    <c:v>Aug</c:v>
                  </c:pt>
                  <c:pt idx="32">
                    <c:v>Sep</c:v>
                  </c:pt>
                  <c:pt idx="33">
                    <c:v>Oct</c:v>
                  </c:pt>
                  <c:pt idx="34">
                    <c:v>Nov</c:v>
                  </c:pt>
                  <c:pt idx="35">
                    <c:v>Dec</c:v>
                  </c:pt>
                  <c:pt idx="36">
                    <c:v>Jan</c:v>
                  </c:pt>
                  <c:pt idx="37">
                    <c:v>Feb</c:v>
                  </c:pt>
                  <c:pt idx="38">
                    <c:v>Mar</c:v>
                  </c:pt>
                  <c:pt idx="39">
                    <c:v>Apr</c:v>
                  </c:pt>
                  <c:pt idx="40">
                    <c:v>May</c:v>
                  </c:pt>
                  <c:pt idx="41">
                    <c:v>Jun</c:v>
                  </c:pt>
                  <c:pt idx="42">
                    <c:v>Jul</c:v>
                  </c:pt>
                  <c:pt idx="43">
                    <c:v>Aug</c:v>
                  </c:pt>
                  <c:pt idx="44">
                    <c:v>Sep</c:v>
                  </c:pt>
                  <c:pt idx="45">
                    <c:v>Oct</c:v>
                  </c:pt>
                  <c:pt idx="46">
                    <c:v>Nov</c:v>
                  </c:pt>
                  <c:pt idx="47">
                    <c:v>Dec</c:v>
                  </c:pt>
                  <c:pt idx="48">
                    <c:v>Jan</c:v>
                  </c:pt>
                  <c:pt idx="49">
                    <c:v>Feb</c:v>
                  </c:pt>
                  <c:pt idx="50">
                    <c:v>Mar</c:v>
                  </c:pt>
                  <c:pt idx="51">
                    <c:v>Apr</c:v>
                  </c:pt>
                  <c:pt idx="52">
                    <c:v>May</c:v>
                  </c:pt>
                  <c:pt idx="53">
                    <c:v>Jun</c:v>
                  </c:pt>
                  <c:pt idx="54">
                    <c:v>Jul</c:v>
                  </c:pt>
                  <c:pt idx="55">
                    <c:v>Aug</c:v>
                  </c:pt>
                  <c:pt idx="56">
                    <c:v>Sep</c:v>
                  </c:pt>
                  <c:pt idx="57">
                    <c:v>Oct</c:v>
                  </c:pt>
                  <c:pt idx="58">
                    <c:v>Nov</c:v>
                  </c:pt>
                  <c:pt idx="59">
                    <c:v>Dec</c:v>
                  </c:pt>
                  <c:pt idx="60">
                    <c:v>Jan</c:v>
                  </c:pt>
                  <c:pt idx="61">
                    <c:v>Feb</c:v>
                  </c:pt>
                  <c:pt idx="62">
                    <c:v>Mar</c:v>
                  </c:pt>
                  <c:pt idx="63">
                    <c:v>Apr</c:v>
                  </c:pt>
                  <c:pt idx="64">
                    <c:v>May</c:v>
                  </c:pt>
                  <c:pt idx="65">
                    <c:v>Jun</c:v>
                  </c:pt>
                  <c:pt idx="66">
                    <c:v>Jul</c:v>
                  </c:pt>
                  <c:pt idx="67">
                    <c:v>Aug</c:v>
                  </c:pt>
                  <c:pt idx="68">
                    <c:v>Sep</c:v>
                  </c:pt>
                  <c:pt idx="69">
                    <c:v>Oct</c:v>
                  </c:pt>
                  <c:pt idx="70">
                    <c:v>Nov</c:v>
                  </c:pt>
                  <c:pt idx="71">
                    <c:v>Dec</c:v>
                  </c:pt>
                  <c:pt idx="72">
                    <c:v>Jan</c:v>
                  </c:pt>
                  <c:pt idx="73">
                    <c:v>Feb</c:v>
                  </c:pt>
                  <c:pt idx="74">
                    <c:v>Mar</c:v>
                  </c:pt>
                  <c:pt idx="75">
                    <c:v>Apr</c:v>
                  </c:pt>
                  <c:pt idx="76">
                    <c:v>May</c:v>
                  </c:pt>
                  <c:pt idx="77">
                    <c:v>Jun</c:v>
                  </c:pt>
                  <c:pt idx="78">
                    <c:v>Jul</c:v>
                  </c:pt>
                  <c:pt idx="79">
                    <c:v>Aug</c:v>
                  </c:pt>
                  <c:pt idx="80">
                    <c:v>Sep</c:v>
                  </c:pt>
                  <c:pt idx="81">
                    <c:v>Oct</c:v>
                  </c:pt>
                  <c:pt idx="82">
                    <c:v>Nov</c:v>
                  </c:pt>
                  <c:pt idx="83">
                    <c:v>Dec</c:v>
                  </c:pt>
                  <c:pt idx="84">
                    <c:v>Jan</c:v>
                  </c:pt>
                  <c:pt idx="85">
                    <c:v>Feb</c:v>
                  </c:pt>
                  <c:pt idx="86">
                    <c:v>Mar</c:v>
                  </c:pt>
                  <c:pt idx="87">
                    <c:v>Apr</c:v>
                  </c:pt>
                  <c:pt idx="88">
                    <c:v>May</c:v>
                  </c:pt>
                  <c:pt idx="89">
                    <c:v>Jun</c:v>
                  </c:pt>
                  <c:pt idx="90">
                    <c:v>Jul</c:v>
                  </c:pt>
                  <c:pt idx="91">
                    <c:v>Aug</c:v>
                  </c:pt>
                  <c:pt idx="92">
                    <c:v>Sep</c:v>
                  </c:pt>
                  <c:pt idx="93">
                    <c:v>Oct</c:v>
                  </c:pt>
                  <c:pt idx="94">
                    <c:v>Nov</c:v>
                  </c:pt>
                  <c:pt idx="95">
                    <c:v>Dec</c:v>
                  </c:pt>
                  <c:pt idx="96">
                    <c:v>Jan</c:v>
                  </c:pt>
                  <c:pt idx="97">
                    <c:v>Feb</c:v>
                  </c:pt>
                  <c:pt idx="98">
                    <c:v>Mar</c:v>
                  </c:pt>
                  <c:pt idx="99">
                    <c:v>Apr</c:v>
                  </c:pt>
                  <c:pt idx="100">
                    <c:v>May</c:v>
                  </c:pt>
                  <c:pt idx="101">
                    <c:v>Jun</c:v>
                  </c:pt>
                  <c:pt idx="102">
                    <c:v>Jul</c:v>
                  </c:pt>
                  <c:pt idx="103">
                    <c:v>Aug</c:v>
                  </c:pt>
                  <c:pt idx="104">
                    <c:v>Sep</c:v>
                  </c:pt>
                  <c:pt idx="105">
                    <c:v>Oct</c:v>
                  </c:pt>
                  <c:pt idx="106">
                    <c:v>Nov</c:v>
                  </c:pt>
                  <c:pt idx="107">
                    <c:v>Dec</c:v>
                  </c:pt>
                  <c:pt idx="108">
                    <c:v>Jan</c:v>
                  </c:pt>
                  <c:pt idx="109">
                    <c:v>Feb</c:v>
                  </c:pt>
                  <c:pt idx="110">
                    <c:v>Mar</c:v>
                  </c:pt>
                  <c:pt idx="111">
                    <c:v>Apr</c:v>
                  </c:pt>
                  <c:pt idx="112">
                    <c:v>May</c:v>
                  </c:pt>
                  <c:pt idx="113">
                    <c:v>Jun</c:v>
                  </c:pt>
                  <c:pt idx="114">
                    <c:v>Jul</c:v>
                  </c:pt>
                  <c:pt idx="115">
                    <c:v>Aug</c:v>
                  </c:pt>
                  <c:pt idx="116">
                    <c:v>Sep</c:v>
                  </c:pt>
                  <c:pt idx="117">
                    <c:v>Oct</c:v>
                  </c:pt>
                  <c:pt idx="118">
                    <c:v>Nov</c:v>
                  </c:pt>
                  <c:pt idx="119">
                    <c:v>Dec</c:v>
                  </c:pt>
                  <c:pt idx="120">
                    <c:v>Jan</c:v>
                  </c:pt>
                  <c:pt idx="121">
                    <c:v>Feb</c:v>
                  </c:pt>
                  <c:pt idx="122">
                    <c:v>Mar</c:v>
                  </c:pt>
                  <c:pt idx="123">
                    <c:v>Apr</c:v>
                  </c:pt>
                  <c:pt idx="124">
                    <c:v>May</c:v>
                  </c:pt>
                  <c:pt idx="125">
                    <c:v>Jun</c:v>
                  </c:pt>
                  <c:pt idx="126">
                    <c:v>Jul</c:v>
                  </c:pt>
                  <c:pt idx="127">
                    <c:v>Aug</c:v>
                  </c:pt>
                  <c:pt idx="128">
                    <c:v>Sep</c:v>
                  </c:pt>
                  <c:pt idx="129">
                    <c:v>Oct</c:v>
                  </c:pt>
                  <c:pt idx="130">
                    <c:v>Nov</c:v>
                  </c:pt>
                  <c:pt idx="131">
                    <c:v>Dec</c:v>
                  </c:pt>
                  <c:pt idx="132">
                    <c:v>Jan</c:v>
                  </c:pt>
                  <c:pt idx="133">
                    <c:v>Feb</c:v>
                  </c:pt>
                  <c:pt idx="134">
                    <c:v>Mar</c:v>
                  </c:pt>
                  <c:pt idx="135">
                    <c:v>Apr</c:v>
                  </c:pt>
                  <c:pt idx="136">
                    <c:v>May</c:v>
                  </c:pt>
                  <c:pt idx="137">
                    <c:v>Jun</c:v>
                  </c:pt>
                  <c:pt idx="138">
                    <c:v>Jul</c:v>
                  </c:pt>
                  <c:pt idx="139">
                    <c:v>Aug</c:v>
                  </c:pt>
                  <c:pt idx="140">
                    <c:v>Sep</c:v>
                  </c:pt>
                  <c:pt idx="141">
                    <c:v>Oct</c:v>
                  </c:pt>
                  <c:pt idx="142">
                    <c:v>Nov</c:v>
                  </c:pt>
                  <c:pt idx="143">
                    <c:v>Dec</c:v>
                  </c:pt>
                  <c:pt idx="144">
                    <c:v>Jan</c:v>
                  </c:pt>
                  <c:pt idx="145">
                    <c:v>Feb</c:v>
                  </c:pt>
                  <c:pt idx="146">
                    <c:v>Mar</c:v>
                  </c:pt>
                  <c:pt idx="147">
                    <c:v>Apr</c:v>
                  </c:pt>
                  <c:pt idx="148">
                    <c:v>May</c:v>
                  </c:pt>
                  <c:pt idx="149">
                    <c:v>Jun</c:v>
                  </c:pt>
                  <c:pt idx="150">
                    <c:v>Jul</c:v>
                  </c:pt>
                  <c:pt idx="151">
                    <c:v>Aug</c:v>
                  </c:pt>
                  <c:pt idx="152">
                    <c:v>Sep</c:v>
                  </c:pt>
                  <c:pt idx="153">
                    <c:v>Oct</c:v>
                  </c:pt>
                  <c:pt idx="154">
                    <c:v>Nov</c:v>
                  </c:pt>
                  <c:pt idx="155">
                    <c:v>Dec</c:v>
                  </c:pt>
                  <c:pt idx="156">
                    <c:v>Jan</c:v>
                  </c:pt>
                  <c:pt idx="157">
                    <c:v>Feb</c:v>
                  </c:pt>
                  <c:pt idx="158">
                    <c:v>Mar</c:v>
                  </c:pt>
                  <c:pt idx="159">
                    <c:v>Apr</c:v>
                  </c:pt>
                  <c:pt idx="160">
                    <c:v>May</c:v>
                  </c:pt>
                  <c:pt idx="161">
                    <c:v>Jun</c:v>
                  </c:pt>
                  <c:pt idx="162">
                    <c:v>Jul</c:v>
                  </c:pt>
                  <c:pt idx="163">
                    <c:v>Aug</c:v>
                  </c:pt>
                  <c:pt idx="164">
                    <c:v>Sep</c:v>
                  </c:pt>
                  <c:pt idx="165">
                    <c:v>Oct</c:v>
                  </c:pt>
                  <c:pt idx="166">
                    <c:v>Nov</c:v>
                  </c:pt>
                  <c:pt idx="167">
                    <c:v>Dec</c:v>
                  </c:pt>
                  <c:pt idx="168">
                    <c:v>Jan</c:v>
                  </c:pt>
                  <c:pt idx="169">
                    <c:v>Feb</c:v>
                  </c:pt>
                  <c:pt idx="170">
                    <c:v>Mar</c:v>
                  </c:pt>
                  <c:pt idx="171">
                    <c:v>Apr</c:v>
                  </c:pt>
                  <c:pt idx="172">
                    <c:v>May</c:v>
                  </c:pt>
                  <c:pt idx="173">
                    <c:v>Jun</c:v>
                  </c:pt>
                  <c:pt idx="174">
                    <c:v>Jul</c:v>
                  </c:pt>
                  <c:pt idx="175">
                    <c:v>Aug</c:v>
                  </c:pt>
                  <c:pt idx="176">
                    <c:v>Sep</c:v>
                  </c:pt>
                  <c:pt idx="177">
                    <c:v>Oct</c:v>
                  </c:pt>
                  <c:pt idx="178">
                    <c:v>Nov</c:v>
                  </c:pt>
                  <c:pt idx="179">
                    <c:v>Dec</c:v>
                  </c:pt>
                  <c:pt idx="180">
                    <c:v>Jan</c:v>
                  </c:pt>
                  <c:pt idx="181">
                    <c:v>Feb</c:v>
                  </c:pt>
                  <c:pt idx="182">
                    <c:v>Mar</c:v>
                  </c:pt>
                  <c:pt idx="183">
                    <c:v>Apr</c:v>
                  </c:pt>
                  <c:pt idx="184">
                    <c:v>May</c:v>
                  </c:pt>
                  <c:pt idx="185">
                    <c:v>Jun</c:v>
                  </c:pt>
                  <c:pt idx="186">
                    <c:v>Jul</c:v>
                  </c:pt>
                  <c:pt idx="187">
                    <c:v>Aug</c:v>
                  </c:pt>
                  <c:pt idx="188">
                    <c:v>Sep</c:v>
                  </c:pt>
                  <c:pt idx="189">
                    <c:v>Oct</c:v>
                  </c:pt>
                  <c:pt idx="190">
                    <c:v>Nov</c:v>
                  </c:pt>
                  <c:pt idx="191">
                    <c:v>Dec</c:v>
                  </c:pt>
                </c:lvl>
                <c:lvl>
                  <c:pt idx="0">
                    <c:v>2009</c:v>
                  </c:pt>
                  <c:pt idx="12">
                    <c:v>2010</c:v>
                  </c:pt>
                  <c:pt idx="24">
                    <c:v>2011</c:v>
                  </c:pt>
                  <c:pt idx="36">
                    <c:v>2012</c:v>
                  </c:pt>
                  <c:pt idx="48">
                    <c:v>2013</c:v>
                  </c:pt>
                  <c:pt idx="60">
                    <c:v>2014</c:v>
                  </c:pt>
                  <c:pt idx="72">
                    <c:v>2015</c:v>
                  </c:pt>
                  <c:pt idx="84">
                    <c:v>2016</c:v>
                  </c:pt>
                  <c:pt idx="96">
                    <c:v>2017</c:v>
                  </c:pt>
                  <c:pt idx="108">
                    <c:v>2018</c:v>
                  </c:pt>
                  <c:pt idx="120">
                    <c:v>2019</c:v>
                  </c:pt>
                  <c:pt idx="132">
                    <c:v>2020</c:v>
                  </c:pt>
                  <c:pt idx="144">
                    <c:v>2021</c:v>
                  </c:pt>
                  <c:pt idx="156">
                    <c:v>2022</c:v>
                  </c:pt>
                  <c:pt idx="168">
                    <c:v>2023</c:v>
                  </c:pt>
                  <c:pt idx="180">
                    <c:v>2024</c:v>
                  </c:pt>
                </c:lvl>
              </c:multiLvlStrCache>
            </c:multiLvlStrRef>
          </c:cat>
          <c:val>
            <c:numRef>
              <c:f>'graphs (2)'!$I$50:$I$241</c:f>
              <c:numCache>
                <c:formatCode>General</c:formatCode>
                <c:ptCount val="192"/>
                <c:pt idx="60">
                  <c:v>16390.169999999998</c:v>
                </c:pt>
                <c:pt idx="61">
                  <c:v>16285.268999999998</c:v>
                </c:pt>
                <c:pt idx="62">
                  <c:v>17149.146000000001</c:v>
                </c:pt>
                <c:pt idx="63">
                  <c:v>17118.419999999998</c:v>
                </c:pt>
                <c:pt idx="64">
                  <c:v>17041.103999999999</c:v>
                </c:pt>
                <c:pt idx="65">
                  <c:v>17156.736000000001</c:v>
                </c:pt>
                <c:pt idx="66">
                  <c:v>16620.604000000003</c:v>
                </c:pt>
                <c:pt idx="67">
                  <c:v>16723.392000000003</c:v>
                </c:pt>
                <c:pt idx="68">
                  <c:v>16909.552</c:v>
                </c:pt>
                <c:pt idx="69">
                  <c:v>16949.942999999999</c:v>
                </c:pt>
                <c:pt idx="70">
                  <c:v>17037.110999999997</c:v>
                </c:pt>
                <c:pt idx="71">
                  <c:v>17289.45</c:v>
                </c:pt>
                <c:pt idx="72">
                  <c:v>16997.078999999998</c:v>
                </c:pt>
                <c:pt idx="73">
                  <c:v>17127.422999999999</c:v>
                </c:pt>
                <c:pt idx="74">
                  <c:v>17626.372000000003</c:v>
                </c:pt>
                <c:pt idx="75">
                  <c:v>17750.375</c:v>
                </c:pt>
                <c:pt idx="76">
                  <c:v>17823.96</c:v>
                </c:pt>
                <c:pt idx="77">
                  <c:v>17926.04</c:v>
                </c:pt>
                <c:pt idx="78">
                  <c:v>17533.702999999998</c:v>
                </c:pt>
                <c:pt idx="79">
                  <c:v>17553.256999999998</c:v>
                </c:pt>
                <c:pt idx="80">
                  <c:v>17571.792000000001</c:v>
                </c:pt>
                <c:pt idx="81">
                  <c:v>17791.25</c:v>
                </c:pt>
                <c:pt idx="82">
                  <c:v>18050.394</c:v>
                </c:pt>
                <c:pt idx="83">
                  <c:v>17929.189999999999</c:v>
                </c:pt>
                <c:pt idx="84">
                  <c:v>17801.784</c:v>
                </c:pt>
                <c:pt idx="85">
                  <c:v>17728.875</c:v>
                </c:pt>
                <c:pt idx="86">
                  <c:v>18156.84</c:v>
                </c:pt>
                <c:pt idx="87">
                  <c:v>18326.808000000001</c:v>
                </c:pt>
                <c:pt idx="88">
                  <c:v>18390.087000000003</c:v>
                </c:pt>
                <c:pt idx="89">
                  <c:v>18361.592000000001</c:v>
                </c:pt>
                <c:pt idx="90">
                  <c:v>17811.227999999999</c:v>
                </c:pt>
                <c:pt idx="91">
                  <c:v>18028.655999999999</c:v>
                </c:pt>
                <c:pt idx="92">
                  <c:v>17703.34</c:v>
                </c:pt>
                <c:pt idx="93">
                  <c:v>17901.150000000001</c:v>
                </c:pt>
                <c:pt idx="94">
                  <c:v>18090.680000000004</c:v>
                </c:pt>
                <c:pt idx="95">
                  <c:v>17827.424999999999</c:v>
                </c:pt>
                <c:pt idx="96">
                  <c:v>17771.735999999997</c:v>
                </c:pt>
                <c:pt idx="97">
                  <c:v>18051.241999999998</c:v>
                </c:pt>
                <c:pt idx="98">
                  <c:v>18148.448</c:v>
                </c:pt>
                <c:pt idx="99">
                  <c:v>18604.71</c:v>
                </c:pt>
                <c:pt idx="100">
                  <c:v>18683.699999999997</c:v>
                </c:pt>
                <c:pt idx="101">
                  <c:v>18572.946</c:v>
                </c:pt>
                <c:pt idx="102">
                  <c:v>18626.988000000001</c:v>
                </c:pt>
                <c:pt idx="103">
                  <c:v>18485.157999999999</c:v>
                </c:pt>
                <c:pt idx="104">
                  <c:v>18681.104000000003</c:v>
                </c:pt>
                <c:pt idx="105">
                  <c:v>18919.142</c:v>
                </c:pt>
                <c:pt idx="106">
                  <c:v>18960.473999999998</c:v>
                </c:pt>
                <c:pt idx="107">
                  <c:v>18682.304</c:v>
                </c:pt>
                <c:pt idx="108">
                  <c:v>18663.734</c:v>
                </c:pt>
                <c:pt idx="109">
                  <c:v>19069.402000000002</c:v>
                </c:pt>
                <c:pt idx="110">
                  <c:v>19330.080000000002</c:v>
                </c:pt>
                <c:pt idx="111">
                  <c:v>19222.800000000003</c:v>
                </c:pt>
                <c:pt idx="112">
                  <c:v>19286.294000000002</c:v>
                </c:pt>
                <c:pt idx="113">
                  <c:v>19166.223999999998</c:v>
                </c:pt>
                <c:pt idx="114">
                  <c:v>19348.650000000001</c:v>
                </c:pt>
                <c:pt idx="115">
                  <c:v>19034.296999999999</c:v>
                </c:pt>
                <c:pt idx="116">
                  <c:v>19427.974999999999</c:v>
                </c:pt>
                <c:pt idx="117">
                  <c:v>19136.196</c:v>
                </c:pt>
                <c:pt idx="118">
                  <c:v>18570.013999999999</c:v>
                </c:pt>
                <c:pt idx="119">
                  <c:v>18429.877</c:v>
                </c:pt>
                <c:pt idx="120">
                  <c:v>17958.375</c:v>
                </c:pt>
                <c:pt idx="121">
                  <c:v>18020.64</c:v>
                </c:pt>
                <c:pt idx="122">
                  <c:v>18459.072</c:v>
                </c:pt>
                <c:pt idx="123">
                  <c:v>18377.281999999999</c:v>
                </c:pt>
                <c:pt idx="124">
                  <c:v>18426.407999999999</c:v>
                </c:pt>
                <c:pt idx="125">
                  <c:v>18451.292999999998</c:v>
                </c:pt>
                <c:pt idx="126">
                  <c:v>18098.584000000003</c:v>
                </c:pt>
                <c:pt idx="127">
                  <c:v>17893.259999999998</c:v>
                </c:pt>
                <c:pt idx="128">
                  <c:v>18236.652000000002</c:v>
                </c:pt>
                <c:pt idx="129">
                  <c:v>18127.493999999999</c:v>
                </c:pt>
                <c:pt idx="130">
                  <c:v>18562.878000000001</c:v>
                </c:pt>
                <c:pt idx="131">
                  <c:v>18910.495999999999</c:v>
                </c:pt>
                <c:pt idx="132">
                  <c:v>18435.852000000003</c:v>
                </c:pt>
                <c:pt idx="133">
                  <c:v>18902.537999999997</c:v>
                </c:pt>
                <c:pt idx="134">
                  <c:v>18634.330000000002</c:v>
                </c:pt>
                <c:pt idx="135">
                  <c:v>17767.967999999997</c:v>
                </c:pt>
                <c:pt idx="136">
                  <c:v>18044.474999999999</c:v>
                </c:pt>
                <c:pt idx="137">
                  <c:v>18351.526999999998</c:v>
                </c:pt>
                <c:pt idx="138">
                  <c:v>17726.52</c:v>
                </c:pt>
                <c:pt idx="139">
                  <c:v>18291.490000000002</c:v>
                </c:pt>
                <c:pt idx="140">
                  <c:v>18660.375</c:v>
                </c:pt>
                <c:pt idx="141">
                  <c:v>18697.03</c:v>
                </c:pt>
                <c:pt idx="142">
                  <c:v>18789.784</c:v>
                </c:pt>
                <c:pt idx="143">
                  <c:v>18981.767</c:v>
                </c:pt>
                <c:pt idx="144">
                  <c:v>19522.8</c:v>
                </c:pt>
                <c:pt idx="145">
                  <c:v>19710.899999999998</c:v>
                </c:pt>
                <c:pt idx="146">
                  <c:v>19841.877</c:v>
                </c:pt>
                <c:pt idx="147">
                  <c:v>20107.428</c:v>
                </c:pt>
                <c:pt idx="148">
                  <c:v>20073.360999999997</c:v>
                </c:pt>
                <c:pt idx="149">
                  <c:v>20605.035</c:v>
                </c:pt>
                <c:pt idx="150">
                  <c:v>20531.817999999999</c:v>
                </c:pt>
                <c:pt idx="151">
                  <c:v>20223.966</c:v>
                </c:pt>
                <c:pt idx="152">
                  <c:v>20950.080000000002</c:v>
                </c:pt>
                <c:pt idx="153">
                  <c:v>21302.985000000001</c:v>
                </c:pt>
                <c:pt idx="154">
                  <c:v>21119.66</c:v>
                </c:pt>
                <c:pt idx="155">
                  <c:v>21335.1</c:v>
                </c:pt>
              </c:numCache>
            </c:numRef>
          </c:val>
          <c:extLst>
            <c:ext xmlns:c16="http://schemas.microsoft.com/office/drawing/2014/chart" uri="{C3380CC4-5D6E-409C-BE32-E72D297353CC}">
              <c16:uniqueId val="{00000001-BE18-4A40-A8DC-6DC5EDDCCA23}"/>
            </c:ext>
          </c:extLst>
        </c:ser>
        <c:dLbls>
          <c:showLegendKey val="0"/>
          <c:showVal val="0"/>
          <c:showCatName val="0"/>
          <c:showSerName val="0"/>
          <c:showPercent val="0"/>
          <c:showBubbleSize val="0"/>
        </c:dLbls>
        <c:gapWidth val="0"/>
        <c:overlap val="-27"/>
        <c:axId val="523898760"/>
        <c:axId val="523900920"/>
      </c:barChart>
      <c:catAx>
        <c:axId val="523898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523900920"/>
        <c:crosses val="autoZero"/>
        <c:auto val="1"/>
        <c:lblAlgn val="ctr"/>
        <c:lblOffset val="100"/>
        <c:noMultiLvlLbl val="0"/>
      </c:catAx>
      <c:valAx>
        <c:axId val="523900920"/>
        <c:scaling>
          <c:orientation val="minMax"/>
          <c:min val="100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tr-TR"/>
                  <a:t>Kayıtlı istihdam </a:t>
                </a:r>
                <a:r>
                  <a:rPr lang="es-ES"/>
                  <a:t>('000)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523898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029FC-6547-49DE-BF1D-04F8E887D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1863</Words>
  <Characters>10624</Characters>
  <Application>Microsoft Office Word</Application>
  <DocSecurity>0</DocSecurity>
  <Lines>88</Lines>
  <Paragraphs>24</Paragraphs>
  <ScaleCrop>false</ScaleCrop>
  <HeadingPairs>
    <vt:vector size="6" baseType="variant">
      <vt:variant>
        <vt:lpstr>Título</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aysenur acar</dc:creator>
  <cp:lastModifiedBy>merve.akgul</cp:lastModifiedBy>
  <cp:revision>13</cp:revision>
  <cp:lastPrinted>2025-04-10T12:39:00Z</cp:lastPrinted>
  <dcterms:created xsi:type="dcterms:W3CDTF">2025-04-15T16:17:00Z</dcterms:created>
  <dcterms:modified xsi:type="dcterms:W3CDTF">2025-04-21T12:36:00Z</dcterms:modified>
</cp:coreProperties>
</file>