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679665" w14:textId="017B7DDA" w:rsidR="00667FE8" w:rsidRPr="00413C9C" w:rsidRDefault="00304A40" w:rsidP="007C3CD9">
      <w:pPr>
        <w:pStyle w:val="Heading4"/>
        <w:spacing w:line="276" w:lineRule="auto"/>
        <w:rPr>
          <w:rFonts w:ascii="Arial" w:hAnsi="Arial" w:cs="Arial"/>
          <w:color w:val="auto"/>
        </w:rPr>
      </w:pPr>
      <w:r>
        <w:rPr>
          <w:rFonts w:ascii="Arial" w:hAnsi="Arial" w:cs="Arial"/>
          <w:noProof/>
          <w:color w:val="auto"/>
          <w:lang w:eastAsia="tr-TR"/>
        </w:rPr>
        <w:drawing>
          <wp:anchor distT="0" distB="0" distL="114300" distR="114300" simplePos="0" relativeHeight="251658240"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3C9C">
        <w:rPr>
          <w:noProof/>
          <w:color w:val="auto"/>
          <w:lang w:eastAsia="tr-TR"/>
        </w:rPr>
        <w:drawing>
          <wp:anchor distT="0" distB="0" distL="114300" distR="114300" simplePos="0" relativeHeight="251650560"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413C9C">
        <w:rPr>
          <w:rFonts w:ascii="Arial" w:hAnsi="Arial" w:cs="Arial"/>
          <w:color w:val="auto"/>
        </w:rPr>
        <w:t xml:space="preserve">  </w:t>
      </w:r>
    </w:p>
    <w:p w14:paraId="0F017729" w14:textId="2EB5AF71" w:rsidR="00667FE8" w:rsidRPr="00413C9C" w:rsidRDefault="00667FE8" w:rsidP="007C3CD9">
      <w:pPr>
        <w:spacing w:line="276" w:lineRule="auto"/>
        <w:rPr>
          <w:rFonts w:ascii="Arial" w:hAnsi="Arial" w:cs="Arial"/>
          <w:sz w:val="20"/>
          <w:szCs w:val="20"/>
        </w:rPr>
      </w:pPr>
    </w:p>
    <w:p w14:paraId="46452AE6" w14:textId="03B74EF2" w:rsidR="00667FE8" w:rsidRPr="00413C9C" w:rsidRDefault="00660E7A" w:rsidP="007C3CD9">
      <w:pPr>
        <w:spacing w:line="276" w:lineRule="auto"/>
        <w:rPr>
          <w:rFonts w:ascii="Arial" w:hAnsi="Arial" w:cs="Arial"/>
          <w:sz w:val="20"/>
          <w:szCs w:val="20"/>
        </w:rPr>
      </w:pPr>
      <w:r w:rsidRPr="00413C9C">
        <w:rPr>
          <w:noProof/>
          <w:lang w:eastAsia="tr-TR"/>
        </w:rPr>
        <mc:AlternateContent>
          <mc:Choice Requires="wps">
            <w:drawing>
              <wp:anchor distT="0" distB="0" distL="114935" distR="114935" simplePos="0" relativeHeight="251648512" behindDoc="0" locked="0" layoutInCell="1" allowOverlap="1" wp14:anchorId="509074DA" wp14:editId="0D5F208C">
                <wp:simplePos x="0" y="0"/>
                <wp:positionH relativeFrom="margin">
                  <wp:posOffset>1069975</wp:posOffset>
                </wp:positionH>
                <wp:positionV relativeFrom="paragraph">
                  <wp:posOffset>11430</wp:posOffset>
                </wp:positionV>
                <wp:extent cx="4257446"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228600"/>
                        </a:xfrm>
                        <a:prstGeom prst="rect">
                          <a:avLst/>
                        </a:prstGeom>
                        <a:solidFill>
                          <a:srgbClr val="FFFFFF">
                            <a:alpha val="0"/>
                          </a:srgbClr>
                        </a:solidFill>
                        <a:ln>
                          <a:noFill/>
                        </a:ln>
                      </wps:spPr>
                      <wps:txbx>
                        <w:txbxContent>
                          <w:p w14:paraId="71E54F94" w14:textId="1579F8A0" w:rsidR="00B85EF5" w:rsidRPr="00660E7A" w:rsidRDefault="00E118C4" w:rsidP="00141337">
                            <w:pPr>
                              <w:jc w:val="center"/>
                              <w:rPr>
                                <w:b/>
                                <w:color w:val="FFFFFF" w:themeColor="background1"/>
                                <w:sz w:val="32"/>
                                <w:szCs w:val="32"/>
                              </w:rPr>
                            </w:pPr>
                            <w:r w:rsidRPr="00660E7A">
                              <w:rPr>
                                <w:b/>
                                <w:color w:val="FFFFFF" w:themeColor="background1"/>
                                <w:sz w:val="32"/>
                                <w:szCs w:val="32"/>
                              </w:rPr>
                              <w:t>Hanehalkı E</w:t>
                            </w:r>
                            <w:r w:rsidR="00141337" w:rsidRPr="00660E7A">
                              <w:rPr>
                                <w:b/>
                                <w:color w:val="FFFFFF" w:themeColor="background1"/>
                                <w:sz w:val="32"/>
                                <w:szCs w:val="32"/>
                              </w:rPr>
                              <w:t>nflasyon Beklentileri:</w:t>
                            </w:r>
                            <w:r w:rsidR="003D1FFA" w:rsidRPr="00660E7A">
                              <w:rPr>
                                <w:b/>
                                <w:color w:val="FFFFFF" w:themeColor="background1"/>
                                <w:sz w:val="32"/>
                                <w:szCs w:val="32"/>
                              </w:rPr>
                              <w:t xml:space="preserve"> </w:t>
                            </w:r>
                            <w:r w:rsidR="00E77DC5" w:rsidRPr="00660E7A">
                              <w:rPr>
                                <w:b/>
                                <w:color w:val="FFFFFF" w:themeColor="background1"/>
                                <w:sz w:val="32"/>
                                <w:szCs w:val="32"/>
                              </w:rPr>
                              <w:t>Şubat</w:t>
                            </w:r>
                            <w:r w:rsidR="00B85EF5" w:rsidRPr="00660E7A">
                              <w:rPr>
                                <w:b/>
                                <w:color w:val="FFFFFF" w:themeColor="background1"/>
                                <w:sz w:val="32"/>
                                <w:szCs w:val="32"/>
                              </w:rPr>
                              <w:t xml:space="preserve"> 202</w:t>
                            </w:r>
                            <w:r w:rsidR="00417D8B" w:rsidRPr="00660E7A">
                              <w:rPr>
                                <w:b/>
                                <w:color w:val="FFFFFF" w:themeColor="background1"/>
                                <w:sz w:val="32"/>
                                <w:szCs w:val="32"/>
                              </w:rPr>
                              <w:t>5</w:t>
                            </w:r>
                          </w:p>
                          <w:p w14:paraId="052AC5C6" w14:textId="2B0A7474" w:rsidR="00B85EF5" w:rsidRPr="00660E7A" w:rsidRDefault="00B85EF5">
                            <w:pPr>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074DA" id="_x0000_t202" coordsize="21600,21600" o:spt="202" path="m,l,21600r21600,l21600,xe">
                <v:stroke joinstyle="miter"/>
                <v:path gradientshapeok="t" o:connecttype="rect"/>
              </v:shapetype>
              <v:shape id="Text Box 2" o:spid="_x0000_s1026" type="#_x0000_t202" style="position:absolute;margin-left:84.25pt;margin-top:.9pt;width:335.25pt;height:18pt;z-index:25164851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" stroked="f">
                <v:fill opacity="0"/>
                <v:textbox inset="0,0,0,0">
                  <w:txbxContent>
                    <w:p w14:paraId="71E54F94" w14:textId="1579F8A0" w:rsidR="00B85EF5" w:rsidRPr="00660E7A" w:rsidRDefault="00E118C4" w:rsidP="00141337">
                      <w:pPr>
                        <w:jc w:val="center"/>
                        <w:rPr>
                          <w:b/>
                          <w:color w:val="FFFFFF" w:themeColor="background1"/>
                          <w:sz w:val="32"/>
                          <w:szCs w:val="32"/>
                        </w:rPr>
                      </w:pPr>
                      <w:r w:rsidRPr="00660E7A">
                        <w:rPr>
                          <w:b/>
                          <w:color w:val="FFFFFF" w:themeColor="background1"/>
                          <w:sz w:val="32"/>
                          <w:szCs w:val="32"/>
                        </w:rPr>
                        <w:t>Hanehalkı E</w:t>
                      </w:r>
                      <w:r w:rsidR="00141337" w:rsidRPr="00660E7A">
                        <w:rPr>
                          <w:b/>
                          <w:color w:val="FFFFFF" w:themeColor="background1"/>
                          <w:sz w:val="32"/>
                          <w:szCs w:val="32"/>
                        </w:rPr>
                        <w:t>nflasyon Beklentileri:</w:t>
                      </w:r>
                      <w:r w:rsidR="003D1FFA" w:rsidRPr="00660E7A">
                        <w:rPr>
                          <w:b/>
                          <w:color w:val="FFFFFF" w:themeColor="background1"/>
                          <w:sz w:val="32"/>
                          <w:szCs w:val="32"/>
                        </w:rPr>
                        <w:t xml:space="preserve"> </w:t>
                      </w:r>
                      <w:r w:rsidR="00E77DC5" w:rsidRPr="00660E7A">
                        <w:rPr>
                          <w:b/>
                          <w:color w:val="FFFFFF" w:themeColor="background1"/>
                          <w:sz w:val="32"/>
                          <w:szCs w:val="32"/>
                        </w:rPr>
                        <w:t>Şubat</w:t>
                      </w:r>
                      <w:r w:rsidR="00B85EF5" w:rsidRPr="00660E7A">
                        <w:rPr>
                          <w:b/>
                          <w:color w:val="FFFFFF" w:themeColor="background1"/>
                          <w:sz w:val="32"/>
                          <w:szCs w:val="32"/>
                        </w:rPr>
                        <w:t xml:space="preserve"> 202</w:t>
                      </w:r>
                      <w:r w:rsidR="00417D8B" w:rsidRPr="00660E7A">
                        <w:rPr>
                          <w:b/>
                          <w:color w:val="FFFFFF" w:themeColor="background1"/>
                          <w:sz w:val="32"/>
                          <w:szCs w:val="32"/>
                        </w:rPr>
                        <w:t>5</w:t>
                      </w:r>
                    </w:p>
                    <w:p w14:paraId="052AC5C6" w14:textId="2B0A7474" w:rsidR="00B85EF5" w:rsidRPr="00660E7A" w:rsidRDefault="00B85EF5">
                      <w:pPr>
                        <w:rPr>
                          <w:color w:val="FFFFFF" w:themeColor="background1"/>
                        </w:rPr>
                      </w:pPr>
                    </w:p>
                  </w:txbxContent>
                </v:textbox>
                <w10:wrap anchorx="margin"/>
              </v:shape>
            </w:pict>
          </mc:Fallback>
        </mc:AlternateContent>
      </w:r>
      <w:r w:rsidR="00D500D7" w:rsidRPr="00413C9C">
        <w:rPr>
          <w:noProof/>
          <w:lang w:eastAsia="tr-TR"/>
        </w:rPr>
        <mc:AlternateContent>
          <mc:Choice Requires="wps">
            <w:drawing>
              <wp:anchor distT="0" distB="0" distL="114935" distR="114935" simplePos="0" relativeHeight="251649536"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268AD50A" w:rsidR="00B85EF5" w:rsidRPr="00AF5A90" w:rsidRDefault="00E77DC5" w:rsidP="00BC6FF7">
                            <w:pPr>
                              <w:jc w:val="center"/>
                            </w:pPr>
                            <w:r>
                              <w:rPr>
                                <w:b/>
                                <w:color w:val="FFFFFF"/>
                                <w:sz w:val="22"/>
                                <w:szCs w:val="22"/>
                              </w:rPr>
                              <w:t>2</w:t>
                            </w:r>
                            <w:r w:rsidR="00181264">
                              <w:rPr>
                                <w:b/>
                                <w:color w:val="FFFFFF"/>
                                <w:sz w:val="22"/>
                                <w:szCs w:val="22"/>
                              </w:rPr>
                              <w:t>4</w:t>
                            </w:r>
                            <w:r w:rsidR="003775BB">
                              <w:rPr>
                                <w:b/>
                                <w:color w:val="FFFFFF"/>
                                <w:sz w:val="22"/>
                                <w:szCs w:val="22"/>
                              </w:rPr>
                              <w:t xml:space="preserve"> </w:t>
                            </w:r>
                            <w:r>
                              <w:rPr>
                                <w:b/>
                                <w:color w:val="FFFFFF"/>
                                <w:sz w:val="22"/>
                                <w:szCs w:val="22"/>
                              </w:rPr>
                              <w:t>Şubat</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4953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268AD50A" w:rsidR="00B85EF5" w:rsidRPr="00AF5A90" w:rsidRDefault="00E77DC5" w:rsidP="00BC6FF7">
                      <w:pPr>
                        <w:jc w:val="center"/>
                      </w:pPr>
                      <w:r>
                        <w:rPr>
                          <w:b/>
                          <w:color w:val="FFFFFF"/>
                          <w:sz w:val="22"/>
                          <w:szCs w:val="22"/>
                        </w:rPr>
                        <w:t>2</w:t>
                      </w:r>
                      <w:r w:rsidR="00181264">
                        <w:rPr>
                          <w:b/>
                          <w:color w:val="FFFFFF"/>
                          <w:sz w:val="22"/>
                          <w:szCs w:val="22"/>
                        </w:rPr>
                        <w:t>4</w:t>
                      </w:r>
                      <w:r w:rsidR="003775BB">
                        <w:rPr>
                          <w:b/>
                          <w:color w:val="FFFFFF"/>
                          <w:sz w:val="22"/>
                          <w:szCs w:val="22"/>
                        </w:rPr>
                        <w:t xml:space="preserve"> </w:t>
                      </w:r>
                      <w:r>
                        <w:rPr>
                          <w:b/>
                          <w:color w:val="FFFFFF"/>
                          <w:sz w:val="22"/>
                          <w:szCs w:val="22"/>
                        </w:rPr>
                        <w:t>Şubat</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4ED27141" w:rsidR="00667FE8" w:rsidRPr="00413C9C" w:rsidRDefault="00667FE8" w:rsidP="007C3CD9">
      <w:pPr>
        <w:spacing w:line="276" w:lineRule="auto"/>
        <w:rPr>
          <w:rFonts w:ascii="Arial" w:hAnsi="Arial" w:cs="Arial"/>
          <w:sz w:val="20"/>
          <w:szCs w:val="20"/>
        </w:rPr>
      </w:pPr>
    </w:p>
    <w:p w14:paraId="129CC723" w14:textId="0196729B" w:rsidR="00887B3E" w:rsidRPr="00413C9C" w:rsidRDefault="004A3731" w:rsidP="007C3CD9">
      <w:pPr>
        <w:tabs>
          <w:tab w:val="center" w:pos="5102"/>
          <w:tab w:val="right" w:pos="10204"/>
        </w:tabs>
        <w:spacing w:before="120" w:line="276" w:lineRule="auto"/>
        <w:rPr>
          <w:rFonts w:ascii="Arial" w:hAnsi="Arial" w:cs="Arial"/>
          <w:b/>
          <w:bCs/>
        </w:rPr>
      </w:pPr>
      <w:r w:rsidRPr="00413C9C">
        <w:rPr>
          <w:rFonts w:ascii="Arial" w:hAnsi="Arial" w:cs="Arial"/>
          <w:b/>
          <w:bCs/>
        </w:rPr>
        <w:tab/>
      </w:r>
    </w:p>
    <w:p w14:paraId="36319AD0" w14:textId="77777777" w:rsidR="00304A40" w:rsidRDefault="00304A40" w:rsidP="00B03ED6">
      <w:pPr>
        <w:tabs>
          <w:tab w:val="center" w:pos="5102"/>
          <w:tab w:val="right" w:pos="10204"/>
        </w:tabs>
        <w:spacing w:before="120" w:line="276" w:lineRule="auto"/>
        <w:jc w:val="center"/>
        <w:rPr>
          <w:rFonts w:ascii="Arial" w:hAnsi="Arial" w:cs="Arial"/>
          <w:b/>
          <w:bCs/>
        </w:rPr>
      </w:pPr>
    </w:p>
    <w:p w14:paraId="6462B598" w14:textId="77777777" w:rsidR="00304A40" w:rsidRDefault="00304A40" w:rsidP="00B03ED6">
      <w:pPr>
        <w:tabs>
          <w:tab w:val="center" w:pos="5102"/>
          <w:tab w:val="right" w:pos="10204"/>
        </w:tabs>
        <w:spacing w:before="120" w:line="276" w:lineRule="auto"/>
        <w:jc w:val="center"/>
        <w:rPr>
          <w:rFonts w:ascii="Arial" w:hAnsi="Arial" w:cs="Arial"/>
          <w:b/>
          <w:bCs/>
        </w:rPr>
      </w:pPr>
    </w:p>
    <w:p w14:paraId="49FAC044" w14:textId="3BEBE952" w:rsidR="006D7789" w:rsidRPr="00413C9C" w:rsidRDefault="00E118C4" w:rsidP="00B03ED6">
      <w:pPr>
        <w:tabs>
          <w:tab w:val="center" w:pos="5102"/>
          <w:tab w:val="right" w:pos="10204"/>
        </w:tabs>
        <w:spacing w:before="120" w:line="276" w:lineRule="auto"/>
        <w:jc w:val="center"/>
        <w:rPr>
          <w:rFonts w:ascii="Arial" w:hAnsi="Arial" w:cs="Arial"/>
          <w:b/>
          <w:bCs/>
        </w:rPr>
      </w:pPr>
      <w:r w:rsidRPr="00413C9C">
        <w:rPr>
          <w:rFonts w:ascii="Arial" w:hAnsi="Arial" w:cs="Arial"/>
          <w:b/>
          <w:bCs/>
        </w:rPr>
        <w:t xml:space="preserve">HANEHALKI ENFLASYON BEKLENTİSİNDE </w:t>
      </w:r>
      <w:r w:rsidR="00E0551C">
        <w:rPr>
          <w:rFonts w:ascii="Arial" w:hAnsi="Arial" w:cs="Arial"/>
          <w:b/>
          <w:bCs/>
        </w:rPr>
        <w:t>YÜKSELİŞ</w:t>
      </w:r>
      <w:bookmarkStart w:id="0" w:name="_GoBack"/>
      <w:bookmarkEnd w:id="0"/>
    </w:p>
    <w:p w14:paraId="52ABA398" w14:textId="77777777" w:rsidR="00CF33A7" w:rsidRPr="00413C9C" w:rsidRDefault="00CF33A7" w:rsidP="00B03ED6">
      <w:pPr>
        <w:tabs>
          <w:tab w:val="center" w:pos="5102"/>
          <w:tab w:val="right" w:pos="10204"/>
        </w:tabs>
        <w:spacing w:before="120" w:line="276" w:lineRule="auto"/>
        <w:jc w:val="center"/>
        <w:rPr>
          <w:rFonts w:ascii="Arial" w:hAnsi="Arial" w:cs="Arial"/>
          <w:b/>
          <w:bCs/>
        </w:rPr>
      </w:pPr>
    </w:p>
    <w:p w14:paraId="3C88B894" w14:textId="21823A3F" w:rsidR="004A3731" w:rsidRPr="00413C9C" w:rsidRDefault="00E118C4" w:rsidP="007C3CD9">
      <w:pPr>
        <w:spacing w:line="276" w:lineRule="auto"/>
        <w:jc w:val="center"/>
        <w:rPr>
          <w:rFonts w:ascii="Arial" w:hAnsi="Arial" w:cs="Arial"/>
          <w:b/>
          <w:bCs/>
          <w:sz w:val="20"/>
          <w:szCs w:val="20"/>
        </w:rPr>
      </w:pPr>
      <w:r w:rsidRPr="00413C9C">
        <w:rPr>
          <w:rFonts w:ascii="Arial" w:hAnsi="Arial" w:cs="Arial"/>
          <w:b/>
          <w:bCs/>
          <w:sz w:val="20"/>
          <w:szCs w:val="20"/>
        </w:rPr>
        <w:t>Gökhan Şahin Güneş</w:t>
      </w:r>
      <w:r w:rsidR="00BF75F8" w:rsidRPr="00413C9C">
        <w:rPr>
          <w:rStyle w:val="FootnoteReference"/>
          <w:rFonts w:ascii="Arial" w:hAnsi="Arial" w:cs="Arial"/>
          <w:b/>
          <w:bCs/>
          <w:sz w:val="20"/>
          <w:szCs w:val="20"/>
        </w:rPr>
        <w:footnoteReference w:customMarkFollows="1" w:id="1"/>
        <w:t xml:space="preserve">* </w:t>
      </w:r>
    </w:p>
    <w:p w14:paraId="641DCD05" w14:textId="77777777" w:rsidR="00BF75F8" w:rsidRPr="00413C9C" w:rsidRDefault="00BF75F8" w:rsidP="007C3CD9">
      <w:pPr>
        <w:spacing w:line="276" w:lineRule="auto"/>
        <w:jc w:val="center"/>
        <w:rPr>
          <w:rFonts w:ascii="Arial" w:hAnsi="Arial" w:cs="Arial"/>
          <w:b/>
          <w:bCs/>
          <w:sz w:val="20"/>
          <w:szCs w:val="20"/>
        </w:rPr>
      </w:pPr>
    </w:p>
    <w:p w14:paraId="5C920D31" w14:textId="6676A3D8" w:rsidR="00EA5EF1"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Özet</w:t>
      </w:r>
    </w:p>
    <w:p w14:paraId="58CB8A6E" w14:textId="660F5C21" w:rsidR="00EA5EF1" w:rsidRDefault="005D5E2D"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Bir yıl sonrasının o</w:t>
      </w:r>
      <w:r w:rsidRPr="005D5E2D">
        <w:rPr>
          <w:rFonts w:ascii="Calibri" w:eastAsia="Calibri" w:hAnsi="Calibri" w:cs="Arial"/>
          <w:kern w:val="2"/>
          <w:sz w:val="22"/>
          <w:szCs w:val="22"/>
          <w:lang w:eastAsia="en-US"/>
          <w14:ligatures w14:val="standardContextual"/>
        </w:rPr>
        <w:t>rtalam</w:t>
      </w:r>
      <w:r>
        <w:rPr>
          <w:rFonts w:ascii="Calibri" w:eastAsia="Calibri" w:hAnsi="Calibri" w:cs="Arial"/>
          <w:kern w:val="2"/>
          <w:sz w:val="22"/>
          <w:szCs w:val="22"/>
          <w:lang w:eastAsia="en-US"/>
          <w14:ligatures w14:val="standardContextual"/>
        </w:rPr>
        <w:t xml:space="preserve">a hanehalkı enflasyon beklentisi bir önceki aya kıyasla 4,2 yüzde puan artarak yüzde 62,8 olmuştur. Enflasyon beklentisi dağılımına göre katılımcıların büyük çoğunluğu (yüzde 32,1) bir yıl sonrasının enflasyon oranının yüzde 41-60 arasında olacağını tahmin etmektedir. </w:t>
      </w:r>
      <w:r w:rsidR="003976D4">
        <w:rPr>
          <w:rFonts w:ascii="Calibri" w:eastAsia="Calibri" w:hAnsi="Calibri" w:cs="Arial"/>
          <w:kern w:val="2"/>
          <w:sz w:val="22"/>
          <w:szCs w:val="22"/>
          <w:lang w:eastAsia="en-US"/>
          <w14:ligatures w14:val="standardContextual"/>
        </w:rPr>
        <w:t>Önümüzdeki bir yıl içinde enflasyon oranının mevcut seviyesinden daha düşük olacağını bekleyenlerin oranı geçen aya göre 3,1 puan azalarak yüzde 31,5 olmuştur.</w:t>
      </w:r>
    </w:p>
    <w:p w14:paraId="0E1BDCDB" w14:textId="1612AD2F" w:rsidR="005D5E2D" w:rsidRPr="005D5E2D" w:rsidRDefault="005D5E2D"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Enflasyon beklentileri cinsiyete göre farklılık göstermektedir. Enflasyon beklentisi kadınlarda yüzde 66,5, erkeklerde ise yüzde 60,5’tir. Yaşa göre değerlendirme enflasyon beklentilerinin bir önceki aya kıyasla sadece 45-54 yaş grubunda düştüğünü, diğer yaş gruplarında ise yükseldiğini göstermektedir. Yaş gruplarına göre en düşük enflasyon beklentisi 45-54 grubunda, en yüksek enflasyon beklentisi ise 55-64 grubunda görülmüştür. Enflasyon beklentileri iş durumuna göre de farklılık göstermektedir. Bir önceki kıyasla enflasyon beklentisi sadece günlük/yevmiyeli çalışanlarda düşmüş </w:t>
      </w:r>
      <w:r w:rsidR="00D51C0F">
        <w:rPr>
          <w:rFonts w:ascii="Calibri" w:eastAsia="Calibri" w:hAnsi="Calibri" w:cs="Arial"/>
          <w:kern w:val="2"/>
          <w:sz w:val="22"/>
          <w:szCs w:val="22"/>
          <w:lang w:eastAsia="en-US"/>
          <w14:ligatures w14:val="standardContextual"/>
        </w:rPr>
        <w:t xml:space="preserve">(14,1 yüzde puan) </w:t>
      </w:r>
      <w:r>
        <w:rPr>
          <w:rFonts w:ascii="Calibri" w:eastAsia="Calibri" w:hAnsi="Calibri" w:cs="Arial"/>
          <w:kern w:val="2"/>
          <w:sz w:val="22"/>
          <w:szCs w:val="22"/>
          <w:lang w:eastAsia="en-US"/>
          <w14:ligatures w14:val="standardContextual"/>
        </w:rPr>
        <w:t xml:space="preserve">diğerlerinde ise yükselmiştir. </w:t>
      </w:r>
      <w:r w:rsidR="00D51C0F">
        <w:rPr>
          <w:rFonts w:ascii="Calibri" w:eastAsia="Calibri" w:hAnsi="Calibri" w:cs="Arial"/>
          <w:kern w:val="2"/>
          <w:sz w:val="22"/>
          <w:szCs w:val="22"/>
          <w:lang w:eastAsia="en-US"/>
          <w14:ligatures w14:val="standardContextual"/>
        </w:rPr>
        <w:t>Enflasyon beklentilerindeki en düşük artış (3,5 yüzde puan) emekli/çalışmıyor grubunda, en yüksek artış ise işsiz ve iş arıyor grubunda görülmüştür (14,4, yüzde puan).</w:t>
      </w:r>
      <w:r w:rsidR="002678A7">
        <w:rPr>
          <w:rFonts w:ascii="Calibri" w:eastAsia="Calibri" w:hAnsi="Calibri" w:cs="Arial"/>
          <w:kern w:val="2"/>
          <w:sz w:val="22"/>
          <w:szCs w:val="22"/>
          <w:lang w:eastAsia="en-US"/>
          <w14:ligatures w14:val="standardContextual"/>
        </w:rPr>
        <w:t xml:space="preserve"> </w:t>
      </w:r>
    </w:p>
    <w:p w14:paraId="2D7EC3F1" w14:textId="0A398AE4" w:rsidR="00E118C4" w:rsidRPr="00E118C4"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E118C4">
        <w:rPr>
          <w:rFonts w:ascii="Calibri" w:eastAsia="Calibri" w:hAnsi="Calibri" w:cs="Arial"/>
          <w:b/>
          <w:bCs/>
          <w:kern w:val="2"/>
          <w:sz w:val="22"/>
          <w:szCs w:val="22"/>
          <w:lang w:eastAsia="en-US"/>
          <w14:ligatures w14:val="standardContextual"/>
        </w:rPr>
        <w:t>Giriş</w:t>
      </w:r>
    </w:p>
    <w:p w14:paraId="732FB2D0" w14:textId="3F3C516B"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Hanelerin harcama, tasarruf ve yatırım gibi iktisadi davranışları geleceğe dair öngörülerinden özellikle de enflasyon beklentilerinden etkilenmektedir. Haneler gelecekte gelirlerinin bekledikleri enflasyondan daha hızlı artacağını öngördüklerinde özellikle dayanıklı tüketim mallarına ve gayrimenkul varlıklara olan yatırımlarını arttırırlar. Aksi durumda ise azaltırlar. Hanelerin enflasyon beklentileri aynı zamanda kredi faizlerinin gelecekteki seyrine dair öngörülerini de etkiler. Günümüzün yüksek enflasyon ortamında enflasyonda hızlı bir düşüş dolayısıyla faizlerde de bu düşüşe paralel bir azalış beklentisi </w:t>
      </w:r>
      <w:r w:rsidRPr="00413C9C">
        <w:rPr>
          <w:rFonts w:ascii="Calibri" w:eastAsia="Calibri" w:hAnsi="Calibri" w:cs="Arial"/>
          <w:kern w:val="2"/>
          <w:sz w:val="22"/>
          <w:szCs w:val="22"/>
          <w:lang w:eastAsia="en-US"/>
          <w14:ligatures w14:val="standardContextual"/>
        </w:rPr>
        <w:t>hâkim</w:t>
      </w:r>
      <w:r w:rsidRPr="00E118C4">
        <w:rPr>
          <w:rFonts w:ascii="Calibri" w:eastAsia="Calibri" w:hAnsi="Calibri" w:cs="Arial"/>
          <w:kern w:val="2"/>
          <w:sz w:val="22"/>
          <w:szCs w:val="22"/>
          <w:lang w:eastAsia="en-US"/>
          <w14:ligatures w14:val="standardContextual"/>
        </w:rPr>
        <w:t xml:space="preserve"> olduğunda yatırımlarını öteleyebilir aksi durumda öne alabilirler. Bu nedenle, enflasyon beklentisi istenilen ekonomik sonuçları elde etmek için başta para politikası olmak üzere iktisadi politikaları tasarlamak ve bu politikaların etkinliğini ölçmek için önemli bir göstergedir. Bu bağlamda bireylerin enflasyon beklentilerinin doğru bir şekilde ölçülmesi ve güncel olarak takip edilmesi istikrarlı iktisadi sonuçlar elde edilmesinde kritik öneme sahiptir.</w:t>
      </w:r>
    </w:p>
    <w:p w14:paraId="07EBD398" w14:textId="10DDCAA8"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Bu amaçla Betam ve </w:t>
      </w:r>
      <w:r w:rsidR="00A20419" w:rsidRPr="00F25759">
        <w:rPr>
          <w:rFonts w:ascii="Calibri" w:hAnsi="Calibri" w:cs="Calibri"/>
          <w:sz w:val="22"/>
          <w:szCs w:val="22"/>
          <w:lang w:eastAsia="tr-TR"/>
        </w:rPr>
        <w:t>Research İstanbul</w:t>
      </w:r>
      <w:r w:rsidRPr="00E118C4">
        <w:rPr>
          <w:rFonts w:ascii="Calibri" w:eastAsia="Calibri" w:hAnsi="Calibri" w:cs="Arial"/>
          <w:kern w:val="2"/>
          <w:sz w:val="22"/>
          <w:szCs w:val="22"/>
          <w:lang w:eastAsia="en-US"/>
          <w14:ligatures w14:val="standardContextual"/>
        </w:rPr>
        <w:t xml:space="preserve"> iş birliği ile aylık hanehalkı enflasyon beklentileri görünümü araştırma notu yayınlayacaktır. Raporumuz hanelerdeki bireylerin TÜFE enflasyon oranı hakkında geleceğe dair beklentilerini sunmaktadır. </w:t>
      </w:r>
    </w:p>
    <w:p w14:paraId="7D2135C6" w14:textId="1D51B724" w:rsidR="00E118C4" w:rsidRPr="00E118C4"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E118C4">
        <w:rPr>
          <w:rFonts w:ascii="Calibri" w:eastAsia="Calibri" w:hAnsi="Calibri" w:cs="Arial"/>
          <w:b/>
          <w:bCs/>
          <w:kern w:val="2"/>
          <w:sz w:val="22"/>
          <w:szCs w:val="22"/>
          <w:lang w:eastAsia="en-US"/>
          <w14:ligatures w14:val="standardContextual"/>
        </w:rPr>
        <w:t>Enflasyon beklentileri</w:t>
      </w:r>
      <w:r w:rsidR="00462984">
        <w:rPr>
          <w:rFonts w:ascii="Calibri" w:eastAsia="Calibri" w:hAnsi="Calibri" w:cs="Arial"/>
          <w:b/>
          <w:bCs/>
          <w:kern w:val="2"/>
          <w:sz w:val="22"/>
          <w:szCs w:val="22"/>
          <w:lang w:eastAsia="en-US"/>
          <w14:ligatures w14:val="standardContextual"/>
        </w:rPr>
        <w:t xml:space="preserve"> ve dağılımı</w:t>
      </w:r>
    </w:p>
    <w:p w14:paraId="7E18D8AC" w14:textId="2FD55A40" w:rsidR="00E118C4" w:rsidRPr="00E118C4" w:rsidRDefault="00413C9C" w:rsidP="005A729B">
      <w:pPr>
        <w:suppressAutoHyphens w:val="0"/>
        <w:spacing w:after="160" w:line="259" w:lineRule="auto"/>
        <w:jc w:val="both"/>
        <w:rPr>
          <w:rFonts w:ascii="Calibri" w:eastAsia="Calibri" w:hAnsi="Calibri" w:cs="Arial"/>
          <w:kern w:val="2"/>
          <w:sz w:val="22"/>
          <w:szCs w:val="22"/>
          <w:lang w:eastAsia="en-US"/>
          <w14:ligatures w14:val="standardContextual"/>
        </w:rPr>
      </w:pPr>
      <w:r w:rsidRPr="00413C9C">
        <w:rPr>
          <w:rFonts w:ascii="Calibri" w:eastAsia="Calibri" w:hAnsi="Calibri" w:cs="Arial"/>
          <w:kern w:val="2"/>
          <w:sz w:val="22"/>
          <w:szCs w:val="22"/>
          <w:lang w:eastAsia="en-US"/>
          <w14:ligatures w14:val="standardContextual"/>
        </w:rPr>
        <w:t xml:space="preserve">İlk raporumuzda </w:t>
      </w:r>
      <w:r w:rsidR="0089283D">
        <w:rPr>
          <w:rFonts w:ascii="Calibri" w:eastAsia="Calibri" w:hAnsi="Calibri" w:cs="Arial"/>
          <w:kern w:val="2"/>
          <w:sz w:val="22"/>
          <w:szCs w:val="22"/>
          <w:lang w:eastAsia="en-US"/>
          <w14:ligatures w14:val="standardContextual"/>
        </w:rPr>
        <w:t>Research İstanbul</w:t>
      </w:r>
      <w:r w:rsidRPr="00413C9C">
        <w:rPr>
          <w:rFonts w:ascii="Calibri" w:eastAsia="Calibri" w:hAnsi="Calibri" w:cs="Arial"/>
          <w:kern w:val="2"/>
          <w:sz w:val="22"/>
          <w:szCs w:val="22"/>
          <w:lang w:eastAsia="en-US"/>
          <w14:ligatures w14:val="standardContextual"/>
        </w:rPr>
        <w:t xml:space="preserve"> ile 2024 Aralık ve 2025 </w:t>
      </w:r>
      <w:r w:rsidR="00FD36AD">
        <w:rPr>
          <w:rFonts w:ascii="Calibri" w:eastAsia="Calibri" w:hAnsi="Calibri" w:cs="Arial"/>
          <w:kern w:val="2"/>
          <w:sz w:val="22"/>
          <w:szCs w:val="22"/>
          <w:lang w:eastAsia="en-US"/>
          <w14:ligatures w14:val="standardContextual"/>
        </w:rPr>
        <w:t>Şubat</w:t>
      </w:r>
      <w:r w:rsidRPr="00413C9C">
        <w:rPr>
          <w:rFonts w:ascii="Calibri" w:eastAsia="Calibri" w:hAnsi="Calibri" w:cs="Arial"/>
          <w:kern w:val="2"/>
          <w:sz w:val="22"/>
          <w:szCs w:val="22"/>
          <w:lang w:eastAsia="en-US"/>
          <w14:ligatures w14:val="standardContextual"/>
        </w:rPr>
        <w:t xml:space="preserve"> ayları yapılan anketlerin değerlendirmesi yer almaktadır.</w:t>
      </w:r>
      <w:r w:rsidR="00E118C4" w:rsidRPr="00E118C4">
        <w:rPr>
          <w:rFonts w:ascii="Calibri" w:eastAsia="Calibri" w:hAnsi="Calibri" w:cs="Arial"/>
          <w:kern w:val="2"/>
          <w:sz w:val="22"/>
          <w:szCs w:val="22"/>
          <w:lang w:eastAsia="en-US"/>
          <w14:ligatures w14:val="standardContextual"/>
        </w:rPr>
        <w:t xml:space="preserve"> 2024 Aralık’ta yüzde 6</w:t>
      </w:r>
      <w:r w:rsidR="00FD36AD">
        <w:rPr>
          <w:rFonts w:ascii="Calibri" w:eastAsia="Calibri" w:hAnsi="Calibri" w:cs="Arial"/>
          <w:kern w:val="2"/>
          <w:sz w:val="22"/>
          <w:szCs w:val="22"/>
          <w:lang w:eastAsia="en-US"/>
          <w14:ligatures w14:val="standardContextual"/>
        </w:rPr>
        <w:t>4</w:t>
      </w:r>
      <w:r w:rsidR="00E118C4" w:rsidRPr="00E118C4">
        <w:rPr>
          <w:rFonts w:ascii="Calibri" w:eastAsia="Calibri" w:hAnsi="Calibri" w:cs="Arial"/>
          <w:kern w:val="2"/>
          <w:sz w:val="22"/>
          <w:szCs w:val="22"/>
          <w:lang w:eastAsia="en-US"/>
          <w14:ligatures w14:val="standardContextual"/>
        </w:rPr>
        <w:t xml:space="preserve">,6 olarak tahmin edilen 12 ay sonrasına dair hanehalkı ortalama enflasyon beklentisi 2025 Ocak’ta </w:t>
      </w:r>
      <w:r w:rsidR="00FD36AD">
        <w:rPr>
          <w:rFonts w:ascii="Calibri" w:eastAsia="Calibri" w:hAnsi="Calibri" w:cs="Arial"/>
          <w:kern w:val="2"/>
          <w:sz w:val="22"/>
          <w:szCs w:val="22"/>
          <w:lang w:eastAsia="en-US"/>
          <w14:ligatures w14:val="standardContextual"/>
        </w:rPr>
        <w:t xml:space="preserve">yüzde 58,6’ya gerilemiş 2025 Şubat’ta ise </w:t>
      </w:r>
      <w:r w:rsidR="00E118C4" w:rsidRPr="00E118C4">
        <w:rPr>
          <w:rFonts w:ascii="Calibri" w:eastAsia="Calibri" w:hAnsi="Calibri" w:cs="Arial"/>
          <w:kern w:val="2"/>
          <w:sz w:val="22"/>
          <w:szCs w:val="22"/>
          <w:lang w:eastAsia="en-US"/>
          <w14:ligatures w14:val="standardContextual"/>
        </w:rPr>
        <w:t xml:space="preserve">enflasyon beklentisi </w:t>
      </w:r>
      <w:r w:rsidR="00FD36AD">
        <w:rPr>
          <w:rFonts w:ascii="Calibri" w:eastAsia="Calibri" w:hAnsi="Calibri" w:cs="Arial"/>
          <w:b/>
          <w:bCs/>
          <w:kern w:val="2"/>
          <w:sz w:val="22"/>
          <w:szCs w:val="22"/>
          <w:lang w:eastAsia="en-US"/>
          <w14:ligatures w14:val="standardContextual"/>
        </w:rPr>
        <w:t>4,2</w:t>
      </w:r>
      <w:r w:rsidR="00E118C4" w:rsidRPr="00E118C4">
        <w:rPr>
          <w:rFonts w:ascii="Calibri" w:eastAsia="Calibri" w:hAnsi="Calibri" w:cs="Arial"/>
          <w:kern w:val="2"/>
          <w:sz w:val="22"/>
          <w:szCs w:val="22"/>
          <w:lang w:eastAsia="en-US"/>
          <w14:ligatures w14:val="standardContextual"/>
        </w:rPr>
        <w:t xml:space="preserve"> </w:t>
      </w:r>
      <w:r w:rsidR="00E118C4" w:rsidRPr="00E118C4">
        <w:rPr>
          <w:rFonts w:ascii="Calibri" w:eastAsia="Calibri" w:hAnsi="Calibri" w:cs="Arial"/>
          <w:b/>
          <w:bCs/>
          <w:kern w:val="2"/>
          <w:sz w:val="22"/>
          <w:szCs w:val="22"/>
          <w:lang w:eastAsia="en-US"/>
          <w14:ligatures w14:val="standardContextual"/>
        </w:rPr>
        <w:t>puan</w:t>
      </w:r>
      <w:r w:rsidR="00E118C4" w:rsidRPr="00E118C4">
        <w:rPr>
          <w:rFonts w:ascii="Calibri" w:eastAsia="Calibri" w:hAnsi="Calibri" w:cs="Arial"/>
          <w:kern w:val="2"/>
          <w:sz w:val="22"/>
          <w:szCs w:val="22"/>
          <w:lang w:eastAsia="en-US"/>
          <w14:ligatures w14:val="standardContextual"/>
        </w:rPr>
        <w:t xml:space="preserve"> </w:t>
      </w:r>
      <w:r w:rsidR="00FD36AD">
        <w:rPr>
          <w:rFonts w:ascii="Calibri" w:eastAsia="Calibri" w:hAnsi="Calibri" w:cs="Arial"/>
          <w:b/>
          <w:bCs/>
          <w:kern w:val="2"/>
          <w:sz w:val="22"/>
          <w:szCs w:val="22"/>
          <w:lang w:eastAsia="en-US"/>
          <w14:ligatures w14:val="standardContextual"/>
        </w:rPr>
        <w:t>artarak</w:t>
      </w:r>
      <w:r w:rsidR="00E118C4" w:rsidRPr="00E118C4">
        <w:rPr>
          <w:rFonts w:ascii="Calibri" w:eastAsia="Calibri" w:hAnsi="Calibri" w:cs="Arial"/>
          <w:kern w:val="2"/>
          <w:sz w:val="22"/>
          <w:szCs w:val="22"/>
          <w:lang w:eastAsia="en-US"/>
          <w14:ligatures w14:val="standardContextual"/>
        </w:rPr>
        <w:t xml:space="preserve"> </w:t>
      </w:r>
      <w:r w:rsidR="00E118C4" w:rsidRPr="00E118C4">
        <w:rPr>
          <w:rFonts w:ascii="Calibri" w:eastAsia="Calibri" w:hAnsi="Calibri" w:cs="Arial"/>
          <w:b/>
          <w:bCs/>
          <w:kern w:val="2"/>
          <w:sz w:val="22"/>
          <w:szCs w:val="22"/>
          <w:lang w:eastAsia="en-US"/>
          <w14:ligatures w14:val="standardContextual"/>
        </w:rPr>
        <w:t>yüzde 6</w:t>
      </w:r>
      <w:r w:rsidR="00FD36AD">
        <w:rPr>
          <w:rFonts w:ascii="Calibri" w:eastAsia="Calibri" w:hAnsi="Calibri" w:cs="Arial"/>
          <w:b/>
          <w:bCs/>
          <w:kern w:val="2"/>
          <w:sz w:val="22"/>
          <w:szCs w:val="22"/>
          <w:lang w:eastAsia="en-US"/>
          <w14:ligatures w14:val="standardContextual"/>
        </w:rPr>
        <w:t>2,8</w:t>
      </w:r>
      <w:r w:rsidR="00E118C4" w:rsidRPr="00E118C4">
        <w:rPr>
          <w:rFonts w:ascii="Calibri" w:eastAsia="Calibri" w:hAnsi="Calibri" w:cs="Arial"/>
          <w:kern w:val="2"/>
          <w:sz w:val="22"/>
          <w:szCs w:val="22"/>
          <w:lang w:eastAsia="en-US"/>
          <w14:ligatures w14:val="standardContextual"/>
        </w:rPr>
        <w:t xml:space="preserve"> olmuştur (</w:t>
      </w:r>
      <w:r w:rsidR="0092775C">
        <w:rPr>
          <w:rFonts w:ascii="Calibri" w:eastAsia="Calibri" w:hAnsi="Calibri" w:cs="Arial"/>
          <w:kern w:val="2"/>
          <w:sz w:val="22"/>
          <w:szCs w:val="22"/>
          <w:lang w:eastAsia="en-US"/>
          <w14:ligatures w14:val="standardContextual"/>
        </w:rPr>
        <w:fldChar w:fldCharType="begin"/>
      </w:r>
      <w:r w:rsidR="0092775C">
        <w:rPr>
          <w:rFonts w:ascii="Calibri" w:eastAsia="Calibri" w:hAnsi="Calibri" w:cs="Arial"/>
          <w:kern w:val="2"/>
          <w:sz w:val="22"/>
          <w:szCs w:val="22"/>
          <w:lang w:eastAsia="en-US"/>
          <w14:ligatures w14:val="standardContextual"/>
        </w:rPr>
        <w:instrText xml:space="preserve"> REF _Ref190976574 \h </w:instrText>
      </w:r>
      <w:r w:rsidR="0092775C">
        <w:rPr>
          <w:rFonts w:ascii="Calibri" w:eastAsia="Calibri" w:hAnsi="Calibri" w:cs="Arial"/>
          <w:kern w:val="2"/>
          <w:sz w:val="22"/>
          <w:szCs w:val="22"/>
          <w:lang w:eastAsia="en-US"/>
          <w14:ligatures w14:val="standardContextual"/>
        </w:rPr>
      </w:r>
      <w:r w:rsidR="0092775C">
        <w:rPr>
          <w:rFonts w:ascii="Calibri" w:eastAsia="Calibri" w:hAnsi="Calibri" w:cs="Arial"/>
          <w:kern w:val="2"/>
          <w:sz w:val="22"/>
          <w:szCs w:val="22"/>
          <w:lang w:eastAsia="en-US"/>
          <w14:ligatures w14:val="standardContextual"/>
        </w:rPr>
        <w:fldChar w:fldCharType="separate"/>
      </w:r>
      <w:r w:rsidR="003B128F" w:rsidRPr="0092775C">
        <w:rPr>
          <w:rFonts w:asciiTheme="minorHAnsi" w:hAnsiTheme="minorHAnsi" w:cstheme="minorHAnsi"/>
          <w:sz w:val="22"/>
          <w:szCs w:val="22"/>
        </w:rPr>
        <w:t xml:space="preserve">Şekil </w:t>
      </w:r>
      <w:r w:rsidR="003B128F">
        <w:rPr>
          <w:rFonts w:asciiTheme="minorHAnsi" w:hAnsiTheme="minorHAnsi" w:cstheme="minorHAnsi"/>
          <w:noProof/>
          <w:sz w:val="22"/>
          <w:szCs w:val="22"/>
        </w:rPr>
        <w:t>1</w:t>
      </w:r>
      <w:r w:rsidR="0092775C">
        <w:rPr>
          <w:rFonts w:ascii="Calibri" w:eastAsia="Calibri" w:hAnsi="Calibri" w:cs="Arial"/>
          <w:kern w:val="2"/>
          <w:sz w:val="22"/>
          <w:szCs w:val="22"/>
          <w:lang w:eastAsia="en-US"/>
          <w14:ligatures w14:val="standardContextual"/>
        </w:rPr>
        <w:fldChar w:fldCharType="end"/>
      </w:r>
      <w:r w:rsidR="00E118C4" w:rsidRPr="00E118C4">
        <w:rPr>
          <w:rFonts w:ascii="Calibri" w:eastAsia="Calibri" w:hAnsi="Calibri" w:cs="Arial"/>
          <w:kern w:val="2"/>
          <w:sz w:val="22"/>
          <w:szCs w:val="22"/>
          <w:lang w:eastAsia="en-US"/>
          <w14:ligatures w14:val="standardContextual"/>
        </w:rPr>
        <w:t xml:space="preserve">). </w:t>
      </w:r>
    </w:p>
    <w:p w14:paraId="1A3D467B" w14:textId="7E38607C" w:rsidR="00E118C4" w:rsidRDefault="0092775C"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lastRenderedPageBreak/>
        <w:t>Enflasyon beklentilerinin dağılımına göre k</w:t>
      </w:r>
      <w:r w:rsidR="00E118C4" w:rsidRPr="00E118C4">
        <w:rPr>
          <w:rFonts w:ascii="Calibri" w:eastAsia="Calibri" w:hAnsi="Calibri" w:cs="Arial"/>
          <w:kern w:val="2"/>
          <w:sz w:val="22"/>
          <w:szCs w:val="22"/>
          <w:lang w:eastAsia="en-US"/>
          <w14:ligatures w14:val="standardContextual"/>
        </w:rPr>
        <w:t>atılımcıların en büyük çoğunluğu (</w:t>
      </w:r>
      <w:r w:rsidR="00E118C4" w:rsidRPr="00E118C4">
        <w:rPr>
          <w:rFonts w:ascii="Calibri" w:eastAsia="Calibri" w:hAnsi="Calibri" w:cs="Arial"/>
          <w:b/>
          <w:bCs/>
          <w:kern w:val="2"/>
          <w:sz w:val="22"/>
          <w:szCs w:val="22"/>
          <w:lang w:eastAsia="en-US"/>
          <w14:ligatures w14:val="standardContextual"/>
        </w:rPr>
        <w:t>yüzde 32</w:t>
      </w:r>
      <w:r>
        <w:rPr>
          <w:rFonts w:ascii="Calibri" w:eastAsia="Calibri" w:hAnsi="Calibri" w:cs="Arial"/>
          <w:b/>
          <w:bCs/>
          <w:kern w:val="2"/>
          <w:sz w:val="22"/>
          <w:szCs w:val="22"/>
          <w:lang w:eastAsia="en-US"/>
          <w14:ligatures w14:val="standardContextual"/>
        </w:rPr>
        <w:t>,1</w:t>
      </w:r>
      <w:r w:rsidR="00E118C4" w:rsidRPr="00E118C4">
        <w:rPr>
          <w:rFonts w:ascii="Calibri" w:eastAsia="Calibri" w:hAnsi="Calibri" w:cs="Arial"/>
          <w:kern w:val="2"/>
          <w:sz w:val="22"/>
          <w:szCs w:val="22"/>
          <w:lang w:eastAsia="en-US"/>
          <w14:ligatures w14:val="standardContextual"/>
        </w:rPr>
        <w:t xml:space="preserve">) enflasyon oranının </w:t>
      </w:r>
      <w:r w:rsidR="00E118C4" w:rsidRPr="00E118C4">
        <w:rPr>
          <w:rFonts w:ascii="Calibri" w:eastAsia="Calibri" w:hAnsi="Calibri" w:cs="Arial"/>
          <w:b/>
          <w:bCs/>
          <w:kern w:val="2"/>
          <w:sz w:val="22"/>
          <w:szCs w:val="22"/>
          <w:lang w:eastAsia="en-US"/>
          <w14:ligatures w14:val="standardContextual"/>
        </w:rPr>
        <w:t>yüzde 41-60</w:t>
      </w:r>
      <w:r w:rsidR="00E118C4" w:rsidRPr="00E118C4">
        <w:rPr>
          <w:rFonts w:ascii="Calibri" w:eastAsia="Calibri" w:hAnsi="Calibri" w:cs="Arial"/>
          <w:kern w:val="2"/>
          <w:sz w:val="22"/>
          <w:szCs w:val="22"/>
          <w:lang w:eastAsia="en-US"/>
          <w14:ligatures w14:val="standardContextual"/>
        </w:rPr>
        <w:t xml:space="preserve"> arasında olacağını tahmin etmektedir. İkinci en büyük çoğunluk (</w:t>
      </w:r>
      <w:r w:rsidR="00E118C4" w:rsidRPr="00E118C4">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18,4</w:t>
      </w:r>
      <w:r w:rsidR="00E118C4" w:rsidRPr="00E118C4">
        <w:rPr>
          <w:rFonts w:ascii="Calibri" w:eastAsia="Calibri" w:hAnsi="Calibri" w:cs="Arial"/>
          <w:kern w:val="2"/>
          <w:sz w:val="22"/>
          <w:szCs w:val="22"/>
          <w:lang w:eastAsia="en-US"/>
          <w14:ligatures w14:val="standardContextual"/>
        </w:rPr>
        <w:t xml:space="preserve">) enflasyon oranının </w:t>
      </w:r>
      <w:r w:rsidR="00E118C4" w:rsidRPr="00E118C4">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6</w:t>
      </w:r>
      <w:r w:rsidR="00E118C4" w:rsidRPr="00E118C4">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8</w:t>
      </w:r>
      <w:r w:rsidR="00E118C4" w:rsidRPr="00E118C4">
        <w:rPr>
          <w:rFonts w:ascii="Calibri" w:eastAsia="Calibri" w:hAnsi="Calibri" w:cs="Arial"/>
          <w:b/>
          <w:bCs/>
          <w:kern w:val="2"/>
          <w:sz w:val="22"/>
          <w:szCs w:val="22"/>
          <w:lang w:eastAsia="en-US"/>
          <w14:ligatures w14:val="standardContextual"/>
        </w:rPr>
        <w:t>0</w:t>
      </w:r>
      <w:r w:rsidR="00E118C4" w:rsidRPr="00E118C4">
        <w:rPr>
          <w:rFonts w:ascii="Calibri" w:eastAsia="Calibri" w:hAnsi="Calibri" w:cs="Arial"/>
          <w:kern w:val="2"/>
          <w:sz w:val="22"/>
          <w:szCs w:val="22"/>
          <w:lang w:eastAsia="en-US"/>
          <w14:ligatures w14:val="standardContextual"/>
        </w:rPr>
        <w:t xml:space="preserve"> arasında, üçüncü en büyük çoğunluk (</w:t>
      </w:r>
      <w:r w:rsidR="00E118C4" w:rsidRPr="00E118C4">
        <w:rPr>
          <w:rFonts w:ascii="Calibri" w:eastAsia="Calibri" w:hAnsi="Calibri" w:cs="Arial"/>
          <w:b/>
          <w:bCs/>
          <w:kern w:val="2"/>
          <w:sz w:val="22"/>
          <w:szCs w:val="22"/>
          <w:lang w:eastAsia="en-US"/>
          <w14:ligatures w14:val="standardContextual"/>
        </w:rPr>
        <w:t>yüzde 1</w:t>
      </w:r>
      <w:r>
        <w:rPr>
          <w:rFonts w:ascii="Calibri" w:eastAsia="Calibri" w:hAnsi="Calibri" w:cs="Arial"/>
          <w:b/>
          <w:bCs/>
          <w:kern w:val="2"/>
          <w:sz w:val="22"/>
          <w:szCs w:val="22"/>
          <w:lang w:eastAsia="en-US"/>
          <w14:ligatures w14:val="standardContextual"/>
        </w:rPr>
        <w:t>7</w:t>
      </w:r>
      <w:r w:rsidR="00E118C4" w:rsidRPr="00E118C4">
        <w:rPr>
          <w:rFonts w:ascii="Calibri" w:eastAsia="Calibri" w:hAnsi="Calibri" w:cs="Arial"/>
          <w:kern w:val="2"/>
          <w:sz w:val="22"/>
          <w:szCs w:val="22"/>
          <w:lang w:eastAsia="en-US"/>
          <w14:ligatures w14:val="standardContextual"/>
        </w:rPr>
        <w:t xml:space="preserve">) ise enflasyon oranının </w:t>
      </w:r>
      <w:r w:rsidR="00E118C4" w:rsidRPr="00E118C4">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w:t>
      </w:r>
      <w:r w:rsidR="00E118C4" w:rsidRPr="00E118C4">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4</w:t>
      </w:r>
      <w:r w:rsidR="00E118C4" w:rsidRPr="00E118C4">
        <w:rPr>
          <w:rFonts w:ascii="Calibri" w:eastAsia="Calibri" w:hAnsi="Calibri" w:cs="Arial"/>
          <w:b/>
          <w:bCs/>
          <w:kern w:val="2"/>
          <w:sz w:val="22"/>
          <w:szCs w:val="22"/>
          <w:lang w:eastAsia="en-US"/>
          <w14:ligatures w14:val="standardContextual"/>
        </w:rPr>
        <w:t>0</w:t>
      </w:r>
      <w:r w:rsidR="00E118C4" w:rsidRPr="00E118C4">
        <w:rPr>
          <w:rFonts w:ascii="Calibri" w:eastAsia="Calibri" w:hAnsi="Calibri" w:cs="Arial"/>
          <w:kern w:val="2"/>
          <w:sz w:val="22"/>
          <w:szCs w:val="22"/>
          <w:lang w:eastAsia="en-US"/>
          <w14:ligatures w14:val="standardContextual"/>
        </w:rPr>
        <w:t xml:space="preserve"> arasında olacağını tahmin etmektedirler</w:t>
      </w:r>
      <w:r>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fldChar w:fldCharType="begin"/>
      </w:r>
      <w:r>
        <w:rPr>
          <w:rFonts w:ascii="Calibri" w:eastAsia="Calibri" w:hAnsi="Calibri" w:cs="Arial"/>
          <w:kern w:val="2"/>
          <w:sz w:val="22"/>
          <w:szCs w:val="22"/>
          <w:lang w:eastAsia="en-US"/>
          <w14:ligatures w14:val="standardContextual"/>
        </w:rPr>
        <w:instrText xml:space="preserve"> REF _Ref190976748 \h </w:instrText>
      </w:r>
      <w:r>
        <w:rPr>
          <w:rFonts w:ascii="Calibri" w:eastAsia="Calibri" w:hAnsi="Calibri" w:cs="Arial"/>
          <w:kern w:val="2"/>
          <w:sz w:val="22"/>
          <w:szCs w:val="22"/>
          <w:lang w:eastAsia="en-US"/>
          <w14:ligatures w14:val="standardContextual"/>
        </w:rPr>
      </w:r>
      <w:r>
        <w:rPr>
          <w:rFonts w:ascii="Calibri" w:eastAsia="Calibri" w:hAnsi="Calibri" w:cs="Arial"/>
          <w:kern w:val="2"/>
          <w:sz w:val="22"/>
          <w:szCs w:val="22"/>
          <w:lang w:eastAsia="en-US"/>
          <w14:ligatures w14:val="standardContextual"/>
        </w:rPr>
        <w:fldChar w:fldCharType="separate"/>
      </w:r>
      <w:r w:rsidR="003B128F" w:rsidRPr="0092775C">
        <w:rPr>
          <w:rFonts w:asciiTheme="minorHAnsi" w:hAnsiTheme="minorHAnsi" w:cstheme="minorHAnsi"/>
          <w:sz w:val="22"/>
          <w:szCs w:val="22"/>
        </w:rPr>
        <w:t xml:space="preserve">Şekil </w:t>
      </w:r>
      <w:r w:rsidR="003B128F">
        <w:rPr>
          <w:rFonts w:asciiTheme="minorHAnsi" w:hAnsiTheme="minorHAnsi" w:cstheme="minorHAnsi"/>
          <w:noProof/>
          <w:sz w:val="22"/>
          <w:szCs w:val="22"/>
        </w:rPr>
        <w:t>2</w:t>
      </w:r>
      <w:r>
        <w:rPr>
          <w:rFonts w:ascii="Calibri" w:eastAsia="Calibri" w:hAnsi="Calibri" w:cs="Arial"/>
          <w:kern w:val="2"/>
          <w:sz w:val="22"/>
          <w:szCs w:val="22"/>
          <w:lang w:eastAsia="en-US"/>
          <w14:ligatures w14:val="standardContextual"/>
        </w:rPr>
        <w:fldChar w:fldCharType="end"/>
      </w:r>
      <w:r>
        <w:rPr>
          <w:rFonts w:ascii="Calibri" w:eastAsia="Calibri" w:hAnsi="Calibri" w:cs="Arial"/>
          <w:kern w:val="2"/>
          <w:sz w:val="22"/>
          <w:szCs w:val="22"/>
          <w:lang w:eastAsia="en-US"/>
          <w14:ligatures w14:val="standardContextual"/>
        </w:rPr>
        <w:t>)</w:t>
      </w:r>
      <w:r w:rsidR="00E118C4" w:rsidRPr="00E118C4">
        <w:rPr>
          <w:rFonts w:ascii="Calibri" w:eastAsia="Calibri" w:hAnsi="Calibri" w:cs="Arial"/>
          <w:kern w:val="2"/>
          <w:sz w:val="22"/>
          <w:szCs w:val="22"/>
          <w:lang w:eastAsia="en-US"/>
          <w14:ligatures w14:val="standardContextual"/>
        </w:rPr>
        <w:t>.</w:t>
      </w:r>
      <w:bookmarkStart w:id="1" w:name="_Ref1887450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101"/>
      </w:tblGrid>
      <w:tr w:rsidR="00EA6288" w14:paraId="4D35331A" w14:textId="77777777" w:rsidTr="00EA6288">
        <w:tc>
          <w:tcPr>
            <w:tcW w:w="5102" w:type="dxa"/>
          </w:tcPr>
          <w:p w14:paraId="09258D0D" w14:textId="0DBA78E2" w:rsidR="00EA6288" w:rsidRPr="0092775C" w:rsidRDefault="00EA6288" w:rsidP="00EA6288">
            <w:pPr>
              <w:pStyle w:val="Caption"/>
              <w:keepNext/>
              <w:jc w:val="both"/>
              <w:rPr>
                <w:rFonts w:asciiTheme="minorHAnsi" w:hAnsiTheme="minorHAnsi" w:cstheme="minorHAnsi"/>
                <w:sz w:val="22"/>
                <w:szCs w:val="22"/>
              </w:rPr>
            </w:pPr>
            <w:bookmarkStart w:id="2" w:name="_Ref190976574"/>
            <w:r w:rsidRPr="0092775C">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1</w:t>
            </w:r>
            <w:r w:rsidR="00675348">
              <w:rPr>
                <w:rFonts w:asciiTheme="minorHAnsi" w:hAnsiTheme="minorHAnsi" w:cstheme="minorHAnsi"/>
                <w:sz w:val="22"/>
                <w:szCs w:val="22"/>
              </w:rPr>
              <w:fldChar w:fldCharType="end"/>
            </w:r>
            <w:bookmarkEnd w:id="2"/>
            <w:r w:rsidRPr="0092775C">
              <w:rPr>
                <w:rFonts w:asciiTheme="minorHAnsi" w:hAnsiTheme="minorHAnsi" w:cstheme="minorHAnsi"/>
                <w:sz w:val="22"/>
                <w:szCs w:val="22"/>
              </w:rPr>
              <w:t>: Ortalama</w:t>
            </w:r>
            <w:r w:rsidRPr="0092775C">
              <w:rPr>
                <w:rFonts w:asciiTheme="minorHAnsi" w:hAnsiTheme="minorHAnsi" w:cstheme="minorHAnsi"/>
                <w:b w:val="0"/>
                <w:bCs w:val="0"/>
                <w:sz w:val="22"/>
                <w:szCs w:val="22"/>
              </w:rPr>
              <w:t xml:space="preserve"> </w:t>
            </w:r>
            <w:r w:rsidRPr="0092775C">
              <w:rPr>
                <w:rFonts w:asciiTheme="minorHAnsi" w:hAnsiTheme="minorHAnsi" w:cstheme="minorHAnsi"/>
                <w:sz w:val="22"/>
                <w:szCs w:val="22"/>
              </w:rPr>
              <w:t>hanehalkı enflasyon beklentisi (%)</w:t>
            </w:r>
          </w:p>
          <w:p w14:paraId="00A0D097" w14:textId="77777777"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1F56CA3E" wp14:editId="1432C5D5">
                  <wp:extent cx="3346450" cy="2133600"/>
                  <wp:effectExtent l="0" t="0" r="6350" b="0"/>
                  <wp:docPr id="1510084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6646" cy="2133725"/>
                          </a:xfrm>
                          <a:prstGeom prst="rect">
                            <a:avLst/>
                          </a:prstGeom>
                          <a:noFill/>
                        </pic:spPr>
                      </pic:pic>
                    </a:graphicData>
                  </a:graphic>
                </wp:inline>
              </w:drawing>
            </w:r>
          </w:p>
          <w:p w14:paraId="13D6E354" w14:textId="1D54659C"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r w:rsidR="0089283D">
              <w:rPr>
                <w:rFonts w:ascii="Calibri" w:eastAsia="Calibri" w:hAnsi="Calibri" w:cs="Arial"/>
                <w:kern w:val="2"/>
                <w:sz w:val="22"/>
                <w:szCs w:val="22"/>
                <w:lang w:eastAsia="en-US"/>
                <w14:ligatures w14:val="standardContextual"/>
              </w:rPr>
              <w:t>Research İstanbul</w:t>
            </w:r>
            <w:r w:rsidRPr="00E118C4">
              <w:rPr>
                <w:rFonts w:ascii="Calibri" w:eastAsia="Calibri" w:hAnsi="Calibri" w:cs="Arial"/>
                <w:kern w:val="2"/>
                <w:sz w:val="22"/>
                <w:szCs w:val="22"/>
                <w:lang w:eastAsia="en-US"/>
                <w14:ligatures w14:val="standardContextual"/>
              </w:rPr>
              <w:t xml:space="preserve"> ve Betam</w:t>
            </w:r>
          </w:p>
        </w:tc>
        <w:tc>
          <w:tcPr>
            <w:tcW w:w="5223" w:type="dxa"/>
          </w:tcPr>
          <w:p w14:paraId="6809335D" w14:textId="774B88F7" w:rsidR="00EA6288" w:rsidRPr="0092775C" w:rsidRDefault="00EA6288" w:rsidP="00EA6288">
            <w:pPr>
              <w:pStyle w:val="Caption"/>
              <w:keepNext/>
              <w:jc w:val="both"/>
              <w:rPr>
                <w:rFonts w:asciiTheme="minorHAnsi" w:hAnsiTheme="minorHAnsi" w:cstheme="minorHAnsi"/>
                <w:sz w:val="22"/>
                <w:szCs w:val="22"/>
              </w:rPr>
            </w:pPr>
            <w:bookmarkStart w:id="3" w:name="_Ref190976748"/>
            <w:r w:rsidRPr="0092775C">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2</w:t>
            </w:r>
            <w:r w:rsidR="00675348">
              <w:rPr>
                <w:rFonts w:asciiTheme="minorHAnsi" w:hAnsiTheme="minorHAnsi" w:cstheme="minorHAnsi"/>
                <w:sz w:val="22"/>
                <w:szCs w:val="22"/>
              </w:rPr>
              <w:fldChar w:fldCharType="end"/>
            </w:r>
            <w:bookmarkEnd w:id="3"/>
            <w:r w:rsidRPr="0092775C">
              <w:rPr>
                <w:rFonts w:asciiTheme="minorHAnsi" w:hAnsiTheme="minorHAnsi" w:cstheme="minorHAnsi"/>
                <w:sz w:val="22"/>
                <w:szCs w:val="22"/>
              </w:rPr>
              <w:t>: Hanehalkı enflasyon beklentilerinin dağılımı</w:t>
            </w:r>
          </w:p>
          <w:p w14:paraId="440454BF" w14:textId="77777777"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653EBA7C" wp14:editId="27A8777A">
                  <wp:extent cx="3175000" cy="2129790"/>
                  <wp:effectExtent l="0" t="0" r="6350" b="3810"/>
                  <wp:docPr id="710986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4473" cy="2136144"/>
                          </a:xfrm>
                          <a:prstGeom prst="rect">
                            <a:avLst/>
                          </a:prstGeom>
                          <a:noFill/>
                        </pic:spPr>
                      </pic:pic>
                    </a:graphicData>
                  </a:graphic>
                </wp:inline>
              </w:drawing>
            </w:r>
          </w:p>
          <w:p w14:paraId="35DBD2DD" w14:textId="0444A59C"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r w:rsidR="0089283D">
              <w:rPr>
                <w:rFonts w:ascii="Calibri" w:eastAsia="Calibri" w:hAnsi="Calibri" w:cs="Arial"/>
                <w:kern w:val="2"/>
                <w:sz w:val="22"/>
                <w:szCs w:val="22"/>
                <w:lang w:eastAsia="en-US"/>
                <w14:ligatures w14:val="standardContextual"/>
              </w:rPr>
              <w:t>Research İstanbul</w:t>
            </w:r>
            <w:r w:rsidRPr="00E118C4">
              <w:rPr>
                <w:rFonts w:ascii="Calibri" w:eastAsia="Calibri" w:hAnsi="Calibri" w:cs="Arial"/>
                <w:kern w:val="2"/>
                <w:sz w:val="22"/>
                <w:szCs w:val="22"/>
                <w:lang w:eastAsia="en-US"/>
                <w14:ligatures w14:val="standardContextual"/>
              </w:rPr>
              <w:t xml:space="preserve"> ve Beta</w:t>
            </w:r>
            <w:r>
              <w:rPr>
                <w:rFonts w:ascii="Calibri" w:eastAsia="Calibri" w:hAnsi="Calibri" w:cs="Arial"/>
                <w:kern w:val="2"/>
                <w:sz w:val="22"/>
                <w:szCs w:val="22"/>
                <w:lang w:eastAsia="en-US"/>
                <w14:ligatures w14:val="standardContextual"/>
              </w:rPr>
              <w:t>m</w:t>
            </w:r>
          </w:p>
        </w:tc>
      </w:tr>
    </w:tbl>
    <w:bookmarkEnd w:id="1"/>
    <w:p w14:paraId="13311AF7" w14:textId="0CBFAFA4" w:rsid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63CE9">
        <w:rPr>
          <w:rFonts w:ascii="Calibri" w:eastAsia="Calibri" w:hAnsi="Calibri" w:cs="Arial"/>
          <w:kern w:val="2"/>
          <w:sz w:val="22"/>
          <w:szCs w:val="22"/>
          <w:lang w:eastAsia="en-US"/>
          <w14:ligatures w14:val="standardContextual"/>
        </w:rPr>
        <w:t xml:space="preserve">Enflasyon beklentilerini değerlendirirken önümüzdeki bir yıl içinde enflasyonun düşeceğini tahmin edenlerin oranı de enflasyonun seyri hakkında bilgi vermektedir. Nitekim, bu oran ne kadar yüksekse enflasyondaki düşüş o derecede hızlı olacaktır. Enflasyonun düşeceğini tahmin edenlerin oranını bulmak için anket dönemindeki en güncel enflasyon oranı ile bu orandan daha düşük tahmin belirten kişiler </w:t>
      </w:r>
      <w:r w:rsidRPr="00A20419">
        <w:rPr>
          <w:rFonts w:ascii="Calibri" w:eastAsia="Calibri" w:hAnsi="Calibri" w:cs="Arial"/>
          <w:kern w:val="2"/>
          <w:sz w:val="22"/>
          <w:szCs w:val="22"/>
          <w:lang w:eastAsia="en-US"/>
          <w14:ligatures w14:val="standardContextual"/>
        </w:rPr>
        <w:t xml:space="preserve">değerlendirilmiştir. Anket döneminde en güncel enflasyon oranı </w:t>
      </w:r>
      <w:r w:rsidRPr="00A20419">
        <w:rPr>
          <w:rFonts w:ascii="Calibri" w:eastAsia="Calibri" w:hAnsi="Calibri" w:cs="Arial"/>
          <w:b/>
          <w:bCs/>
          <w:kern w:val="2"/>
          <w:sz w:val="22"/>
          <w:szCs w:val="22"/>
          <w:lang w:eastAsia="en-US"/>
          <w14:ligatures w14:val="standardContextual"/>
        </w:rPr>
        <w:t>yüzde 4</w:t>
      </w:r>
      <w:r w:rsidR="00360601" w:rsidRPr="00A20419">
        <w:rPr>
          <w:rFonts w:ascii="Calibri" w:eastAsia="Calibri" w:hAnsi="Calibri" w:cs="Arial"/>
          <w:b/>
          <w:bCs/>
          <w:kern w:val="2"/>
          <w:sz w:val="22"/>
          <w:szCs w:val="22"/>
          <w:lang w:eastAsia="en-US"/>
          <w14:ligatures w14:val="standardContextual"/>
        </w:rPr>
        <w:t>2</w:t>
      </w:r>
      <w:r w:rsidRPr="00A20419">
        <w:rPr>
          <w:rFonts w:ascii="Calibri" w:eastAsia="Calibri" w:hAnsi="Calibri" w:cs="Arial"/>
          <w:b/>
          <w:bCs/>
          <w:kern w:val="2"/>
          <w:sz w:val="22"/>
          <w:szCs w:val="22"/>
          <w:lang w:eastAsia="en-US"/>
          <w14:ligatures w14:val="standardContextual"/>
        </w:rPr>
        <w:t>,</w:t>
      </w:r>
      <w:r w:rsidR="00360601" w:rsidRPr="00A20419">
        <w:rPr>
          <w:rFonts w:ascii="Calibri" w:eastAsia="Calibri" w:hAnsi="Calibri" w:cs="Arial"/>
          <w:b/>
          <w:bCs/>
          <w:kern w:val="2"/>
          <w:sz w:val="22"/>
          <w:szCs w:val="22"/>
          <w:lang w:eastAsia="en-US"/>
          <w14:ligatures w14:val="standardContextual"/>
        </w:rPr>
        <w:t>1</w:t>
      </w:r>
      <w:r w:rsidRPr="00A20419">
        <w:rPr>
          <w:rFonts w:ascii="Calibri" w:eastAsia="Calibri" w:hAnsi="Calibri" w:cs="Arial"/>
          <w:kern w:val="2"/>
          <w:sz w:val="22"/>
          <w:szCs w:val="22"/>
          <w:lang w:eastAsia="en-US"/>
          <w14:ligatures w14:val="standardContextual"/>
        </w:rPr>
        <w:t>’</w:t>
      </w:r>
      <w:r w:rsidR="00360601" w:rsidRPr="00A20419">
        <w:rPr>
          <w:rFonts w:ascii="Calibri" w:eastAsia="Calibri" w:hAnsi="Calibri" w:cs="Arial"/>
          <w:kern w:val="2"/>
          <w:sz w:val="22"/>
          <w:szCs w:val="22"/>
          <w:lang w:eastAsia="en-US"/>
          <w14:ligatures w14:val="standardContextual"/>
        </w:rPr>
        <w:t>dir</w:t>
      </w:r>
      <w:r w:rsidRPr="00A20419">
        <w:rPr>
          <w:rFonts w:ascii="Calibri" w:eastAsia="Calibri" w:hAnsi="Calibri" w:cs="Arial"/>
          <w:kern w:val="2"/>
          <w:sz w:val="22"/>
          <w:szCs w:val="22"/>
          <w:lang w:eastAsia="en-US"/>
          <w14:ligatures w14:val="standardContextual"/>
        </w:rPr>
        <w:t xml:space="preserve">. Önümüzdeki bir yıl içinde enflasyon oranının güncel enflasyon oranından düşük olacağını tahmin edenlerin oranı bir önceki aya kıyasla </w:t>
      </w:r>
      <w:r w:rsidR="00E63CE9" w:rsidRPr="00A20419">
        <w:rPr>
          <w:rFonts w:ascii="Calibri" w:eastAsia="Calibri" w:hAnsi="Calibri" w:cs="Arial"/>
          <w:b/>
          <w:bCs/>
          <w:kern w:val="2"/>
          <w:sz w:val="22"/>
          <w:szCs w:val="22"/>
          <w:lang w:eastAsia="en-US"/>
          <w14:ligatures w14:val="standardContextual"/>
        </w:rPr>
        <w:t>3,1</w:t>
      </w:r>
      <w:r w:rsidRPr="00A20419">
        <w:rPr>
          <w:rFonts w:ascii="Calibri" w:eastAsia="Calibri" w:hAnsi="Calibri" w:cs="Arial"/>
          <w:b/>
          <w:bCs/>
          <w:kern w:val="2"/>
          <w:sz w:val="22"/>
          <w:szCs w:val="22"/>
          <w:lang w:eastAsia="en-US"/>
          <w14:ligatures w14:val="standardContextual"/>
        </w:rPr>
        <w:t xml:space="preserve"> puan</w:t>
      </w:r>
      <w:r w:rsidRPr="00A20419">
        <w:rPr>
          <w:rFonts w:ascii="Calibri" w:eastAsia="Calibri" w:hAnsi="Calibri" w:cs="Arial"/>
          <w:kern w:val="2"/>
          <w:sz w:val="22"/>
          <w:szCs w:val="22"/>
          <w:lang w:eastAsia="en-US"/>
          <w14:ligatures w14:val="standardContextual"/>
        </w:rPr>
        <w:t xml:space="preserve"> </w:t>
      </w:r>
      <w:r w:rsidR="00E63CE9" w:rsidRPr="00A20419">
        <w:rPr>
          <w:rFonts w:ascii="Calibri" w:eastAsia="Calibri" w:hAnsi="Calibri" w:cs="Arial"/>
          <w:kern w:val="2"/>
          <w:sz w:val="22"/>
          <w:szCs w:val="22"/>
          <w:lang w:eastAsia="en-US"/>
          <w14:ligatures w14:val="standardContextual"/>
        </w:rPr>
        <w:t>düşerek</w:t>
      </w:r>
      <w:r w:rsidRPr="00A20419">
        <w:rPr>
          <w:rFonts w:ascii="Calibri" w:eastAsia="Calibri" w:hAnsi="Calibri" w:cs="Arial"/>
          <w:kern w:val="2"/>
          <w:sz w:val="22"/>
          <w:szCs w:val="22"/>
          <w:lang w:eastAsia="en-US"/>
          <w14:ligatures w14:val="standardContextual"/>
        </w:rPr>
        <w:t xml:space="preserve"> </w:t>
      </w:r>
      <w:r w:rsidRPr="00A20419">
        <w:rPr>
          <w:rFonts w:ascii="Calibri" w:eastAsia="Calibri" w:hAnsi="Calibri" w:cs="Arial"/>
          <w:b/>
          <w:bCs/>
          <w:kern w:val="2"/>
          <w:sz w:val="22"/>
          <w:szCs w:val="22"/>
          <w:lang w:eastAsia="en-US"/>
          <w14:ligatures w14:val="standardContextual"/>
        </w:rPr>
        <w:t>yüzde 3</w:t>
      </w:r>
      <w:r w:rsidR="00E63CE9" w:rsidRPr="00A20419">
        <w:rPr>
          <w:rFonts w:ascii="Calibri" w:eastAsia="Calibri" w:hAnsi="Calibri" w:cs="Arial"/>
          <w:b/>
          <w:bCs/>
          <w:kern w:val="2"/>
          <w:sz w:val="22"/>
          <w:szCs w:val="22"/>
          <w:lang w:eastAsia="en-US"/>
          <w14:ligatures w14:val="standardContextual"/>
        </w:rPr>
        <w:t>1</w:t>
      </w:r>
      <w:r w:rsidRPr="00A20419">
        <w:rPr>
          <w:rFonts w:ascii="Calibri" w:eastAsia="Calibri" w:hAnsi="Calibri" w:cs="Arial"/>
          <w:b/>
          <w:bCs/>
          <w:kern w:val="2"/>
          <w:sz w:val="22"/>
          <w:szCs w:val="22"/>
          <w:lang w:eastAsia="en-US"/>
          <w14:ligatures w14:val="standardContextual"/>
        </w:rPr>
        <w:t>,</w:t>
      </w:r>
      <w:r w:rsidR="00E63CE9" w:rsidRPr="00A20419">
        <w:rPr>
          <w:rFonts w:ascii="Calibri" w:eastAsia="Calibri" w:hAnsi="Calibri" w:cs="Arial"/>
          <w:b/>
          <w:bCs/>
          <w:kern w:val="2"/>
          <w:sz w:val="22"/>
          <w:szCs w:val="22"/>
          <w:lang w:eastAsia="en-US"/>
          <w14:ligatures w14:val="standardContextual"/>
        </w:rPr>
        <w:t>5</w:t>
      </w:r>
      <w:r w:rsidRPr="00A20419">
        <w:rPr>
          <w:rFonts w:ascii="Calibri" w:eastAsia="Calibri" w:hAnsi="Calibri" w:cs="Arial"/>
          <w:b/>
          <w:bCs/>
          <w:kern w:val="2"/>
          <w:sz w:val="22"/>
          <w:szCs w:val="22"/>
          <w:lang w:eastAsia="en-US"/>
          <w14:ligatures w14:val="standardContextual"/>
        </w:rPr>
        <w:t xml:space="preserve"> </w:t>
      </w:r>
      <w:r w:rsidRPr="00A20419">
        <w:rPr>
          <w:rFonts w:ascii="Calibri" w:eastAsia="Calibri" w:hAnsi="Calibri" w:cs="Arial"/>
          <w:kern w:val="2"/>
          <w:sz w:val="22"/>
          <w:szCs w:val="22"/>
          <w:lang w:eastAsia="en-US"/>
          <w14:ligatures w14:val="standardContextual"/>
        </w:rPr>
        <w:t>olmuştur</w:t>
      </w:r>
      <w:r w:rsidR="00675348">
        <w:rPr>
          <w:rFonts w:ascii="Calibri" w:eastAsia="Calibri" w:hAnsi="Calibri" w:cs="Arial"/>
          <w:kern w:val="2"/>
          <w:sz w:val="22"/>
          <w:szCs w:val="22"/>
          <w:lang w:eastAsia="en-US"/>
          <w14:ligatures w14:val="standardContextual"/>
        </w:rPr>
        <w:t xml:space="preserve"> (</w:t>
      </w:r>
      <w:r w:rsidR="003B128F">
        <w:rPr>
          <w:rFonts w:ascii="Calibri" w:eastAsia="Calibri" w:hAnsi="Calibri" w:cs="Arial"/>
          <w:kern w:val="2"/>
          <w:sz w:val="22"/>
          <w:szCs w:val="22"/>
          <w:lang w:eastAsia="en-US"/>
          <w14:ligatures w14:val="standardContextual"/>
        </w:rPr>
        <w:fldChar w:fldCharType="begin"/>
      </w:r>
      <w:r w:rsidR="003B128F">
        <w:rPr>
          <w:rFonts w:ascii="Calibri" w:eastAsia="Calibri" w:hAnsi="Calibri" w:cs="Arial"/>
          <w:kern w:val="2"/>
          <w:sz w:val="22"/>
          <w:szCs w:val="22"/>
          <w:lang w:eastAsia="en-US"/>
          <w14:ligatures w14:val="standardContextual"/>
        </w:rPr>
        <w:instrText xml:space="preserve"> REF _Ref191160114 \h </w:instrText>
      </w:r>
      <w:r w:rsidR="003B128F">
        <w:rPr>
          <w:rFonts w:ascii="Calibri" w:eastAsia="Calibri" w:hAnsi="Calibri" w:cs="Arial"/>
          <w:kern w:val="2"/>
          <w:sz w:val="22"/>
          <w:szCs w:val="22"/>
          <w:lang w:eastAsia="en-US"/>
          <w14:ligatures w14:val="standardContextual"/>
        </w:rPr>
      </w:r>
      <w:r w:rsidR="003B128F">
        <w:rPr>
          <w:rFonts w:ascii="Calibri" w:eastAsia="Calibri" w:hAnsi="Calibri" w:cs="Arial"/>
          <w:kern w:val="2"/>
          <w:sz w:val="22"/>
          <w:szCs w:val="22"/>
          <w:lang w:eastAsia="en-US"/>
          <w14:ligatures w14:val="standardContextual"/>
        </w:rPr>
        <w:fldChar w:fldCharType="separate"/>
      </w:r>
      <w:r w:rsidR="003B128F" w:rsidRPr="00675348">
        <w:rPr>
          <w:rFonts w:asciiTheme="minorHAnsi" w:hAnsiTheme="minorHAnsi" w:cstheme="minorHAnsi"/>
          <w:sz w:val="22"/>
          <w:szCs w:val="22"/>
        </w:rPr>
        <w:t xml:space="preserve">Şekil </w:t>
      </w:r>
      <w:r w:rsidR="003B128F">
        <w:rPr>
          <w:rFonts w:asciiTheme="minorHAnsi" w:hAnsiTheme="minorHAnsi" w:cstheme="minorHAnsi"/>
          <w:noProof/>
          <w:sz w:val="22"/>
          <w:szCs w:val="22"/>
        </w:rPr>
        <w:t>3</w:t>
      </w:r>
      <w:r w:rsidR="003B128F">
        <w:rPr>
          <w:rFonts w:ascii="Calibri" w:eastAsia="Calibri" w:hAnsi="Calibri" w:cs="Arial"/>
          <w:kern w:val="2"/>
          <w:sz w:val="22"/>
          <w:szCs w:val="22"/>
          <w:lang w:eastAsia="en-US"/>
          <w14:ligatures w14:val="standardContextual"/>
        </w:rPr>
        <w:fldChar w:fldCharType="end"/>
      </w:r>
      <w:r w:rsidR="00675348">
        <w:rPr>
          <w:rFonts w:ascii="Calibri" w:eastAsia="Calibri" w:hAnsi="Calibri" w:cs="Arial"/>
          <w:kern w:val="2"/>
          <w:sz w:val="22"/>
          <w:szCs w:val="22"/>
          <w:lang w:eastAsia="en-US"/>
          <w14:ligatures w14:val="standardContextual"/>
        </w:rPr>
        <w:t>)</w:t>
      </w:r>
      <w:r w:rsidRPr="00A20419">
        <w:rPr>
          <w:rFonts w:ascii="Calibri" w:eastAsia="Calibri" w:hAnsi="Calibri" w:cs="Arial"/>
          <w:kern w:val="2"/>
          <w:sz w:val="22"/>
          <w:szCs w:val="22"/>
          <w:lang w:eastAsia="en-US"/>
          <w14:ligatures w14:val="standardContextual"/>
        </w:rPr>
        <w:t>.</w:t>
      </w:r>
    </w:p>
    <w:p w14:paraId="0500CD09" w14:textId="4ADF6975" w:rsidR="00675348" w:rsidRPr="00675348" w:rsidRDefault="00675348" w:rsidP="00675348">
      <w:pPr>
        <w:pStyle w:val="Caption"/>
        <w:keepNext/>
        <w:jc w:val="both"/>
        <w:rPr>
          <w:rFonts w:asciiTheme="minorHAnsi" w:hAnsiTheme="minorHAnsi" w:cstheme="minorHAnsi"/>
          <w:sz w:val="22"/>
          <w:szCs w:val="22"/>
        </w:rPr>
      </w:pPr>
      <w:bookmarkStart w:id="4" w:name="_Ref191160114"/>
      <w:r w:rsidRPr="00675348">
        <w:rPr>
          <w:rFonts w:asciiTheme="minorHAnsi" w:hAnsiTheme="minorHAnsi" w:cstheme="minorHAnsi"/>
          <w:sz w:val="22"/>
          <w:szCs w:val="22"/>
        </w:rPr>
        <w:t xml:space="preserve">Şekil </w:t>
      </w:r>
      <w:r w:rsidRPr="00675348">
        <w:rPr>
          <w:rFonts w:asciiTheme="minorHAnsi" w:hAnsiTheme="minorHAnsi" w:cstheme="minorHAnsi"/>
          <w:sz w:val="22"/>
          <w:szCs w:val="22"/>
        </w:rPr>
        <w:fldChar w:fldCharType="begin"/>
      </w:r>
      <w:r w:rsidRPr="00675348">
        <w:rPr>
          <w:rFonts w:asciiTheme="minorHAnsi" w:hAnsiTheme="minorHAnsi" w:cstheme="minorHAnsi"/>
          <w:sz w:val="22"/>
          <w:szCs w:val="22"/>
        </w:rPr>
        <w:instrText xml:space="preserve"> SEQ Şekil \* ARABIC </w:instrText>
      </w:r>
      <w:r w:rsidRP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3</w:t>
      </w:r>
      <w:r w:rsidRPr="00675348">
        <w:rPr>
          <w:rFonts w:asciiTheme="minorHAnsi" w:hAnsiTheme="minorHAnsi" w:cstheme="minorHAnsi"/>
          <w:sz w:val="22"/>
          <w:szCs w:val="22"/>
        </w:rPr>
        <w:fldChar w:fldCharType="end"/>
      </w:r>
      <w:bookmarkEnd w:id="4"/>
      <w:r w:rsidRPr="00675348">
        <w:rPr>
          <w:rFonts w:asciiTheme="minorHAnsi" w:hAnsiTheme="minorHAnsi" w:cstheme="minorHAnsi"/>
          <w:sz w:val="22"/>
          <w:szCs w:val="22"/>
        </w:rPr>
        <w:t>: Enflasyonda düşüş bekleyenlerin oranı</w:t>
      </w:r>
    </w:p>
    <w:p w14:paraId="2C28421B" w14:textId="77777777" w:rsidR="00675348"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61154A9D" wp14:editId="7A63B93F">
            <wp:extent cx="3240000" cy="1946694"/>
            <wp:effectExtent l="0" t="0" r="0" b="0"/>
            <wp:docPr id="34441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11601" name="Picture 4"/>
                    <pic:cNvPicPr>
                      <a:picLocks noChangeAspect="1" noChangeArrowheads="1"/>
                    </pic:cNvPicPr>
                  </pic:nvPicPr>
                  <pic:blipFill>
                    <a:blip r:embed="rId15">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bwMode="auto">
                    <a:xfrm>
                      <a:off x="0" y="0"/>
                      <a:ext cx="3240000" cy="1946694"/>
                    </a:xfrm>
                    <a:prstGeom prst="rect">
                      <a:avLst/>
                    </a:prstGeom>
                  </pic:spPr>
                </pic:pic>
              </a:graphicData>
            </a:graphic>
          </wp:inline>
        </w:drawing>
      </w:r>
    </w:p>
    <w:p w14:paraId="50489EA9" w14:textId="0CFBA525" w:rsidR="00675348" w:rsidRPr="00E118C4"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r>
        <w:rPr>
          <w:rFonts w:ascii="Calibri" w:eastAsia="Calibri" w:hAnsi="Calibri" w:cs="Arial"/>
          <w:kern w:val="2"/>
          <w:sz w:val="22"/>
          <w:szCs w:val="22"/>
          <w:lang w:eastAsia="en-US"/>
          <w14:ligatures w14:val="standardContextual"/>
        </w:rPr>
        <w:t>Research İstanbul</w:t>
      </w:r>
      <w:r w:rsidRPr="00E118C4">
        <w:rPr>
          <w:rFonts w:ascii="Calibri" w:eastAsia="Calibri" w:hAnsi="Calibri" w:cs="Arial"/>
          <w:kern w:val="2"/>
          <w:sz w:val="22"/>
          <w:szCs w:val="22"/>
          <w:lang w:eastAsia="en-US"/>
          <w14:ligatures w14:val="standardContextual"/>
        </w:rPr>
        <w:t xml:space="preserve"> ve Betam</w:t>
      </w:r>
    </w:p>
    <w:p w14:paraId="5DE44394" w14:textId="31EE5861" w:rsidR="00E118C4" w:rsidRPr="00E118C4" w:rsidRDefault="00E766E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 xml:space="preserve">Türkiye Cumhuriyet </w:t>
      </w:r>
      <w:r w:rsidR="00E118C4" w:rsidRPr="00E118C4">
        <w:rPr>
          <w:rFonts w:ascii="Calibri" w:eastAsia="Calibri" w:hAnsi="Calibri" w:cs="Arial"/>
          <w:b/>
          <w:bCs/>
          <w:kern w:val="2"/>
          <w:sz w:val="22"/>
          <w:szCs w:val="22"/>
          <w:lang w:eastAsia="en-US"/>
          <w14:ligatures w14:val="standardContextual"/>
        </w:rPr>
        <w:t xml:space="preserve">Merkez </w:t>
      </w:r>
      <w:r>
        <w:rPr>
          <w:rFonts w:ascii="Calibri" w:eastAsia="Calibri" w:hAnsi="Calibri" w:cs="Arial"/>
          <w:b/>
          <w:bCs/>
          <w:kern w:val="2"/>
          <w:sz w:val="22"/>
          <w:szCs w:val="22"/>
          <w:lang w:eastAsia="en-US"/>
          <w14:ligatures w14:val="standardContextual"/>
        </w:rPr>
        <w:t>B</w:t>
      </w:r>
      <w:r w:rsidR="00E118C4" w:rsidRPr="00E118C4">
        <w:rPr>
          <w:rFonts w:ascii="Calibri" w:eastAsia="Calibri" w:hAnsi="Calibri" w:cs="Arial"/>
          <w:b/>
          <w:bCs/>
          <w:kern w:val="2"/>
          <w:sz w:val="22"/>
          <w:szCs w:val="22"/>
          <w:lang w:eastAsia="en-US"/>
          <w14:ligatures w14:val="standardContextual"/>
        </w:rPr>
        <w:t>ankası</w:t>
      </w:r>
      <w:r>
        <w:rPr>
          <w:rFonts w:ascii="Calibri" w:eastAsia="Calibri" w:hAnsi="Calibri" w:cs="Arial"/>
          <w:b/>
          <w:bCs/>
          <w:kern w:val="2"/>
          <w:sz w:val="22"/>
          <w:szCs w:val="22"/>
          <w:lang w:eastAsia="en-US"/>
          <w14:ligatures w14:val="standardContextual"/>
        </w:rPr>
        <w:t>’</w:t>
      </w:r>
      <w:r w:rsidR="00E118C4" w:rsidRPr="00E118C4">
        <w:rPr>
          <w:rFonts w:ascii="Calibri" w:eastAsia="Calibri" w:hAnsi="Calibri" w:cs="Arial"/>
          <w:b/>
          <w:bCs/>
          <w:kern w:val="2"/>
          <w:sz w:val="22"/>
          <w:szCs w:val="22"/>
          <w:lang w:eastAsia="en-US"/>
          <w14:ligatures w14:val="standardContextual"/>
        </w:rPr>
        <w:t>nın enflasyon beklentisi anketi ile karşılaştırma</w:t>
      </w:r>
    </w:p>
    <w:p w14:paraId="19017A68" w14:textId="77777777"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Anket sonuçları seçilen örnekleme bağlı olarak değişebilmektedir. Bu durum anketin güvenilirliğini sorgulatmaktadır. Anket sonuçlarını başka verilerle kıyaslamak anketin güvenilirliği hakkında bilgi vermektedir.</w:t>
      </w:r>
    </w:p>
    <w:p w14:paraId="68C1A200" w14:textId="39CBBE07"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Raporumuzda sunduğumuz verilerin durumu hakkında bilgi vermek için anket sonuçlarımızı Türkiye Cumhuriyet Merkez Bankası’nın (TCMB) sektörel enflasyon beklentilerinde yayınladığı hanehalkı enflasyon beklentileri ile kıyaslıyoruz</w:t>
      </w:r>
      <w:r w:rsidRPr="00E118C4">
        <w:rPr>
          <w:rFonts w:ascii="Calibri" w:eastAsia="Calibri" w:hAnsi="Calibri" w:cs="Arial"/>
          <w:kern w:val="2"/>
          <w:sz w:val="22"/>
          <w:szCs w:val="22"/>
          <w:vertAlign w:val="superscript"/>
          <w:lang w:eastAsia="en-US"/>
          <w14:ligatures w14:val="standardContextual"/>
        </w:rPr>
        <w:footnoteReference w:id="2"/>
      </w:r>
      <w:r w:rsidRPr="00E118C4">
        <w:rPr>
          <w:rFonts w:ascii="Calibri" w:eastAsia="Calibri" w:hAnsi="Calibri" w:cs="Arial"/>
          <w:kern w:val="2"/>
          <w:sz w:val="22"/>
          <w:szCs w:val="22"/>
          <w:lang w:eastAsia="en-US"/>
          <w14:ligatures w14:val="standardContextual"/>
        </w:rPr>
        <w:t xml:space="preserve"> (</w:t>
      </w:r>
      <w:r w:rsidRPr="00E118C4">
        <w:rPr>
          <w:rFonts w:ascii="Calibri" w:eastAsia="Calibri" w:hAnsi="Calibri" w:cs="Arial"/>
          <w:kern w:val="2"/>
          <w:sz w:val="22"/>
          <w:szCs w:val="22"/>
          <w:lang w:eastAsia="en-US"/>
          <w14:ligatures w14:val="standardContextual"/>
        </w:rPr>
        <w:fldChar w:fldCharType="begin"/>
      </w:r>
      <w:r w:rsidRPr="00E118C4">
        <w:rPr>
          <w:rFonts w:ascii="Calibri" w:eastAsia="Calibri" w:hAnsi="Calibri" w:cs="Arial"/>
          <w:kern w:val="2"/>
          <w:sz w:val="22"/>
          <w:szCs w:val="22"/>
          <w:lang w:eastAsia="en-US"/>
          <w14:ligatures w14:val="standardContextual"/>
        </w:rPr>
        <w:instrText xml:space="preserve"> REF _Ref188753551 \h  \* MERGEFORMAT </w:instrText>
      </w:r>
      <w:r w:rsidRPr="00E118C4">
        <w:rPr>
          <w:rFonts w:ascii="Calibri" w:eastAsia="Calibri" w:hAnsi="Calibri" w:cs="Arial"/>
          <w:kern w:val="2"/>
          <w:sz w:val="22"/>
          <w:szCs w:val="22"/>
          <w:lang w:eastAsia="en-US"/>
          <w14:ligatures w14:val="standardContextual"/>
        </w:rPr>
      </w:r>
      <w:r w:rsidRPr="00E118C4">
        <w:rPr>
          <w:rFonts w:ascii="Calibri" w:eastAsia="Calibri" w:hAnsi="Calibri" w:cs="Arial"/>
          <w:kern w:val="2"/>
          <w:sz w:val="22"/>
          <w:szCs w:val="22"/>
          <w:lang w:eastAsia="en-US"/>
          <w14:ligatures w14:val="standardContextual"/>
        </w:rPr>
        <w:fldChar w:fldCharType="separate"/>
      </w:r>
      <w:r w:rsidR="003B128F" w:rsidRPr="003B128F">
        <w:rPr>
          <w:rFonts w:ascii="Calibri" w:eastAsia="Calibri" w:hAnsi="Calibri" w:cs="Arial"/>
          <w:kern w:val="2"/>
          <w:sz w:val="22"/>
          <w:szCs w:val="22"/>
          <w:lang w:eastAsia="en-US"/>
          <w14:ligatures w14:val="standardContextual"/>
        </w:rPr>
        <w:t xml:space="preserve">Şekil </w:t>
      </w:r>
      <w:r w:rsidR="003B128F" w:rsidRPr="003B128F">
        <w:rPr>
          <w:rFonts w:ascii="Calibri" w:eastAsia="Calibri" w:hAnsi="Calibri" w:cs="Arial"/>
          <w:noProof/>
          <w:kern w:val="2"/>
          <w:sz w:val="22"/>
          <w:szCs w:val="22"/>
          <w:lang w:eastAsia="en-US"/>
          <w14:ligatures w14:val="standardContextual"/>
        </w:rPr>
        <w:t>4</w:t>
      </w:r>
      <w:r w:rsidRPr="00E118C4">
        <w:rPr>
          <w:rFonts w:ascii="Calibri" w:eastAsia="Calibri" w:hAnsi="Calibri" w:cs="Arial"/>
          <w:kern w:val="2"/>
          <w:sz w:val="22"/>
          <w:szCs w:val="22"/>
          <w:lang w:eastAsia="en-US"/>
          <w14:ligatures w14:val="standardContextual"/>
        </w:rPr>
        <w:fldChar w:fldCharType="end"/>
      </w:r>
      <w:r w:rsidRPr="00E118C4">
        <w:rPr>
          <w:rFonts w:ascii="Calibri" w:eastAsia="Calibri" w:hAnsi="Calibri" w:cs="Arial"/>
          <w:kern w:val="2"/>
          <w:sz w:val="22"/>
          <w:szCs w:val="22"/>
          <w:lang w:eastAsia="en-US"/>
          <w14:ligatures w14:val="standardContextual"/>
        </w:rPr>
        <w:t xml:space="preserve">). </w:t>
      </w:r>
    </w:p>
    <w:p w14:paraId="6770B902" w14:textId="170FF495"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lastRenderedPageBreak/>
        <w:t xml:space="preserve">Elimizdeki </w:t>
      </w:r>
      <w:r w:rsidR="00446DE4">
        <w:rPr>
          <w:rFonts w:ascii="Calibri" w:eastAsia="Calibri" w:hAnsi="Calibri" w:cs="Arial"/>
          <w:kern w:val="2"/>
          <w:sz w:val="22"/>
          <w:szCs w:val="22"/>
          <w:lang w:eastAsia="en-US"/>
          <w14:ligatures w14:val="standardContextual"/>
        </w:rPr>
        <w:t>üç</w:t>
      </w:r>
      <w:r w:rsidRPr="00E118C4">
        <w:rPr>
          <w:rFonts w:ascii="Calibri" w:eastAsia="Calibri" w:hAnsi="Calibri" w:cs="Arial"/>
          <w:kern w:val="2"/>
          <w:sz w:val="22"/>
          <w:szCs w:val="22"/>
          <w:lang w:eastAsia="en-US"/>
          <w14:ligatures w14:val="standardContextual"/>
        </w:rPr>
        <w:t xml:space="preserve"> aylık sonuçlarına göre her iki anket de birbirine yakın sonuçlar vermektedir. </w:t>
      </w:r>
      <w:r w:rsidR="00446DE4">
        <w:rPr>
          <w:rFonts w:ascii="Calibri" w:eastAsia="Calibri" w:hAnsi="Calibri" w:cs="Arial"/>
          <w:kern w:val="2"/>
          <w:sz w:val="22"/>
          <w:szCs w:val="22"/>
          <w:lang w:eastAsia="en-US"/>
          <w14:ligatures w14:val="standardContextual"/>
        </w:rPr>
        <w:t xml:space="preserve">2024 Aralık’ta </w:t>
      </w:r>
      <w:r w:rsidR="0089283D">
        <w:rPr>
          <w:rFonts w:ascii="Calibri" w:eastAsia="Calibri" w:hAnsi="Calibri" w:cs="Arial"/>
          <w:kern w:val="2"/>
          <w:sz w:val="22"/>
          <w:szCs w:val="22"/>
          <w:lang w:eastAsia="en-US"/>
          <w14:ligatures w14:val="standardContextual"/>
        </w:rPr>
        <w:t>Research İstanbul</w:t>
      </w:r>
      <w:r w:rsidR="00446DE4">
        <w:rPr>
          <w:rFonts w:ascii="Calibri" w:eastAsia="Calibri" w:hAnsi="Calibri" w:cs="Arial"/>
          <w:kern w:val="2"/>
          <w:sz w:val="22"/>
          <w:szCs w:val="22"/>
          <w:lang w:eastAsia="en-US"/>
          <w14:ligatures w14:val="standardContextual"/>
        </w:rPr>
        <w:t xml:space="preserve"> anketi ile TCMB anketi arasındaki fark 0,5 yüzde puan olup </w:t>
      </w:r>
      <w:r w:rsidR="0089283D">
        <w:rPr>
          <w:rFonts w:ascii="Calibri" w:eastAsia="Calibri" w:hAnsi="Calibri" w:cs="Arial"/>
          <w:kern w:val="2"/>
          <w:sz w:val="22"/>
          <w:szCs w:val="22"/>
          <w:lang w:eastAsia="en-US"/>
          <w14:ligatures w14:val="standardContextual"/>
        </w:rPr>
        <w:t>Research İstanbul</w:t>
      </w:r>
      <w:r w:rsidR="00446DE4">
        <w:rPr>
          <w:rFonts w:ascii="Calibri" w:eastAsia="Calibri" w:hAnsi="Calibri" w:cs="Arial"/>
          <w:kern w:val="2"/>
          <w:sz w:val="22"/>
          <w:szCs w:val="22"/>
          <w:lang w:eastAsia="en-US"/>
          <w14:ligatures w14:val="standardContextual"/>
        </w:rPr>
        <w:t xml:space="preserve"> anketi daha yüksektir</w:t>
      </w:r>
      <w:r w:rsidRPr="00E118C4">
        <w:rPr>
          <w:rFonts w:ascii="Calibri" w:eastAsia="Calibri" w:hAnsi="Calibri" w:cs="Arial"/>
          <w:kern w:val="2"/>
          <w:sz w:val="22"/>
          <w:szCs w:val="22"/>
          <w:lang w:eastAsia="en-US"/>
          <w14:ligatures w14:val="standardContextual"/>
        </w:rPr>
        <w:t>.</w:t>
      </w:r>
      <w:r w:rsidR="00446DE4">
        <w:rPr>
          <w:rFonts w:ascii="Calibri" w:eastAsia="Calibri" w:hAnsi="Calibri" w:cs="Arial"/>
          <w:kern w:val="2"/>
          <w:sz w:val="22"/>
          <w:szCs w:val="22"/>
          <w:lang w:eastAsia="en-US"/>
          <w14:ligatures w14:val="standardContextual"/>
        </w:rPr>
        <w:t xml:space="preserve"> 2025 Ocak’ta TCMB anketi 4,5 yüzde puan, Şubat’ta ise</w:t>
      </w:r>
      <w:r w:rsidRPr="00E118C4">
        <w:rPr>
          <w:rFonts w:ascii="Calibri" w:eastAsia="Calibri" w:hAnsi="Calibri" w:cs="Arial"/>
          <w:kern w:val="2"/>
          <w:sz w:val="22"/>
          <w:szCs w:val="22"/>
          <w:lang w:eastAsia="en-US"/>
          <w14:ligatures w14:val="standardContextual"/>
        </w:rPr>
        <w:t xml:space="preserve"> </w:t>
      </w:r>
      <w:r w:rsidR="0089283D">
        <w:rPr>
          <w:rFonts w:ascii="Calibri" w:eastAsia="Calibri" w:hAnsi="Calibri" w:cs="Arial"/>
          <w:kern w:val="2"/>
          <w:sz w:val="22"/>
          <w:szCs w:val="22"/>
          <w:lang w:eastAsia="en-US"/>
          <w14:ligatures w14:val="standardContextual"/>
        </w:rPr>
        <w:t>Research İstanbul</w:t>
      </w:r>
      <w:r w:rsidR="00446DE4">
        <w:rPr>
          <w:rFonts w:ascii="Calibri" w:eastAsia="Calibri" w:hAnsi="Calibri" w:cs="Arial"/>
          <w:kern w:val="2"/>
          <w:sz w:val="22"/>
          <w:szCs w:val="22"/>
          <w:lang w:eastAsia="en-US"/>
          <w14:ligatures w14:val="standardContextual"/>
        </w:rPr>
        <w:t xml:space="preserve"> anketi 4 yüzde puan daha yüksektir. </w:t>
      </w:r>
      <w:r w:rsidR="00553734">
        <w:rPr>
          <w:rFonts w:ascii="Calibri" w:eastAsia="Calibri" w:hAnsi="Calibri" w:cs="Arial"/>
          <w:kern w:val="2"/>
          <w:sz w:val="22"/>
          <w:szCs w:val="22"/>
          <w:lang w:eastAsia="en-US"/>
          <w14:ligatures w14:val="standardContextual"/>
        </w:rPr>
        <w:t xml:space="preserve">Güncel verilere göre ortalama hanehalkı enflasyon beklentisi </w:t>
      </w:r>
      <w:r w:rsidR="0089283D">
        <w:rPr>
          <w:rFonts w:ascii="Calibri" w:eastAsia="Calibri" w:hAnsi="Calibri" w:cs="Arial"/>
          <w:kern w:val="2"/>
          <w:sz w:val="22"/>
          <w:szCs w:val="22"/>
          <w:lang w:eastAsia="en-US"/>
          <w14:ligatures w14:val="standardContextual"/>
        </w:rPr>
        <w:t>Research İstanbul</w:t>
      </w:r>
      <w:r w:rsidR="00553734">
        <w:rPr>
          <w:rFonts w:ascii="Calibri" w:eastAsia="Calibri" w:hAnsi="Calibri" w:cs="Arial"/>
          <w:kern w:val="2"/>
          <w:sz w:val="22"/>
          <w:szCs w:val="22"/>
          <w:lang w:eastAsia="en-US"/>
          <w14:ligatures w14:val="standardContextual"/>
        </w:rPr>
        <w:t xml:space="preserve"> anketinde yüzde 62,8 iken TCMB anketinde yüzde 58,8’dir.</w:t>
      </w:r>
    </w:p>
    <w:p w14:paraId="6A7667DA" w14:textId="55636CA3" w:rsidR="00E118C4" w:rsidRPr="00E118C4" w:rsidRDefault="00E118C4" w:rsidP="00E118C4">
      <w:pPr>
        <w:keepNext/>
        <w:suppressAutoHyphens w:val="0"/>
        <w:spacing w:after="200"/>
        <w:jc w:val="both"/>
        <w:rPr>
          <w:rFonts w:ascii="Calibri" w:eastAsia="Calibri" w:hAnsi="Calibri" w:cs="Arial"/>
          <w:b/>
          <w:bCs/>
          <w:kern w:val="2"/>
          <w:sz w:val="22"/>
          <w:szCs w:val="22"/>
          <w:lang w:eastAsia="en-US"/>
          <w14:ligatures w14:val="standardContextual"/>
        </w:rPr>
      </w:pPr>
      <w:bookmarkStart w:id="5" w:name="_Ref188753551"/>
      <w:r w:rsidRPr="00E118C4">
        <w:rPr>
          <w:rFonts w:ascii="Calibri" w:eastAsia="Calibri" w:hAnsi="Calibri" w:cs="Arial"/>
          <w:b/>
          <w:bCs/>
          <w:kern w:val="2"/>
          <w:sz w:val="22"/>
          <w:szCs w:val="22"/>
          <w:lang w:eastAsia="en-US"/>
          <w14:ligatures w14:val="standardContextual"/>
        </w:rPr>
        <w:t xml:space="preserve">Şekil </w:t>
      </w:r>
      <w:r w:rsidR="00675348">
        <w:rPr>
          <w:rFonts w:ascii="Calibri" w:eastAsia="Calibri" w:hAnsi="Calibri" w:cs="Arial"/>
          <w:b/>
          <w:bCs/>
          <w:kern w:val="2"/>
          <w:sz w:val="22"/>
          <w:szCs w:val="22"/>
          <w:lang w:eastAsia="en-US"/>
          <w14:ligatures w14:val="standardContextual"/>
        </w:rPr>
        <w:fldChar w:fldCharType="begin"/>
      </w:r>
      <w:r w:rsidR="00675348">
        <w:rPr>
          <w:rFonts w:ascii="Calibri" w:eastAsia="Calibri" w:hAnsi="Calibri" w:cs="Arial"/>
          <w:b/>
          <w:bCs/>
          <w:kern w:val="2"/>
          <w:sz w:val="22"/>
          <w:szCs w:val="22"/>
          <w:lang w:eastAsia="en-US"/>
          <w14:ligatures w14:val="standardContextual"/>
        </w:rPr>
        <w:instrText xml:space="preserve"> SEQ Şekil \* ARABIC </w:instrText>
      </w:r>
      <w:r w:rsidR="00675348">
        <w:rPr>
          <w:rFonts w:ascii="Calibri" w:eastAsia="Calibri" w:hAnsi="Calibri" w:cs="Arial"/>
          <w:b/>
          <w:bCs/>
          <w:kern w:val="2"/>
          <w:sz w:val="22"/>
          <w:szCs w:val="22"/>
          <w:lang w:eastAsia="en-US"/>
          <w14:ligatures w14:val="standardContextual"/>
        </w:rPr>
        <w:fldChar w:fldCharType="separate"/>
      </w:r>
      <w:r w:rsidR="003B128F">
        <w:rPr>
          <w:rFonts w:ascii="Calibri" w:eastAsia="Calibri" w:hAnsi="Calibri" w:cs="Arial"/>
          <w:b/>
          <w:bCs/>
          <w:noProof/>
          <w:kern w:val="2"/>
          <w:sz w:val="22"/>
          <w:szCs w:val="22"/>
          <w:lang w:eastAsia="en-US"/>
          <w14:ligatures w14:val="standardContextual"/>
        </w:rPr>
        <w:t>4</w:t>
      </w:r>
      <w:r w:rsidR="00675348">
        <w:rPr>
          <w:rFonts w:ascii="Calibri" w:eastAsia="Calibri" w:hAnsi="Calibri" w:cs="Arial"/>
          <w:b/>
          <w:bCs/>
          <w:kern w:val="2"/>
          <w:sz w:val="22"/>
          <w:szCs w:val="22"/>
          <w:lang w:eastAsia="en-US"/>
          <w14:ligatures w14:val="standardContextual"/>
        </w:rPr>
        <w:fldChar w:fldCharType="end"/>
      </w:r>
      <w:bookmarkEnd w:id="5"/>
      <w:r w:rsidRPr="00E118C4">
        <w:rPr>
          <w:rFonts w:ascii="Calibri" w:eastAsia="Calibri" w:hAnsi="Calibri" w:cs="Arial"/>
          <w:b/>
          <w:bCs/>
          <w:kern w:val="2"/>
          <w:sz w:val="22"/>
          <w:szCs w:val="22"/>
          <w:lang w:eastAsia="en-US"/>
          <w14:ligatures w14:val="standardContextual"/>
        </w:rPr>
        <w:t xml:space="preserve">: </w:t>
      </w:r>
      <w:r w:rsidR="0089283D">
        <w:rPr>
          <w:rFonts w:ascii="Calibri" w:eastAsia="Calibri" w:hAnsi="Calibri" w:cs="Arial"/>
          <w:b/>
          <w:bCs/>
          <w:kern w:val="2"/>
          <w:sz w:val="22"/>
          <w:szCs w:val="22"/>
          <w:lang w:eastAsia="en-US"/>
          <w14:ligatures w14:val="standardContextual"/>
        </w:rPr>
        <w:t>Research İstanbul</w:t>
      </w:r>
      <w:r w:rsidRPr="00E118C4">
        <w:rPr>
          <w:rFonts w:ascii="Calibri" w:eastAsia="Calibri" w:hAnsi="Calibri" w:cs="Arial"/>
          <w:b/>
          <w:bCs/>
          <w:kern w:val="2"/>
          <w:sz w:val="22"/>
          <w:szCs w:val="22"/>
          <w:lang w:eastAsia="en-US"/>
          <w14:ligatures w14:val="standardContextual"/>
        </w:rPr>
        <w:t xml:space="preserve"> </w:t>
      </w:r>
      <w:r w:rsidR="00413C9C" w:rsidRPr="00413C9C">
        <w:rPr>
          <w:rFonts w:ascii="Calibri" w:eastAsia="Calibri" w:hAnsi="Calibri" w:cs="Arial"/>
          <w:b/>
          <w:bCs/>
          <w:kern w:val="2"/>
          <w:sz w:val="22"/>
          <w:szCs w:val="22"/>
          <w:lang w:eastAsia="en-US"/>
          <w14:ligatures w14:val="standardContextual"/>
        </w:rPr>
        <w:t>anketi</w:t>
      </w:r>
      <w:r w:rsidRPr="00E118C4">
        <w:rPr>
          <w:rFonts w:ascii="Calibri" w:eastAsia="Calibri" w:hAnsi="Calibri" w:cs="Arial"/>
          <w:b/>
          <w:bCs/>
          <w:kern w:val="2"/>
          <w:sz w:val="22"/>
          <w:szCs w:val="22"/>
          <w:lang w:eastAsia="en-US"/>
          <w14:ligatures w14:val="standardContextual"/>
        </w:rPr>
        <w:t xml:space="preserve"> ile TCMB hanehalkı beklenti anketleri karşılaştırması (%)</w:t>
      </w:r>
    </w:p>
    <w:p w14:paraId="5B7B0623" w14:textId="77777777"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noProof/>
          <w:kern w:val="2"/>
          <w:sz w:val="22"/>
          <w:szCs w:val="22"/>
          <w:lang w:eastAsia="tr-TR"/>
          <w14:ligatures w14:val="standardContextual"/>
        </w:rPr>
        <w:drawing>
          <wp:inline distT="0" distB="0" distL="0" distR="0" wp14:anchorId="12D5FA43" wp14:editId="46F452C2">
            <wp:extent cx="3240000" cy="1946694"/>
            <wp:effectExtent l="0" t="0" r="0" b="0"/>
            <wp:docPr id="1439296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367" name="Picture 3"/>
                    <pic:cNvPicPr>
                      <a:picLocks noChangeAspect="1" noChangeArrowheads="1"/>
                    </pic:cNvPicPr>
                  </pic:nvPicPr>
                  <pic:blipFill>
                    <a:blip r:embed="rId17">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bwMode="auto">
                    <a:xfrm>
                      <a:off x="0" y="0"/>
                      <a:ext cx="3240000" cy="1946694"/>
                    </a:xfrm>
                    <a:prstGeom prst="rect">
                      <a:avLst/>
                    </a:prstGeom>
                  </pic:spPr>
                </pic:pic>
              </a:graphicData>
            </a:graphic>
          </wp:inline>
        </w:drawing>
      </w:r>
    </w:p>
    <w:p w14:paraId="19A754CB" w14:textId="6E5FEB44" w:rsid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r w:rsidR="0089283D">
        <w:rPr>
          <w:rFonts w:ascii="Calibri" w:eastAsia="Calibri" w:hAnsi="Calibri" w:cs="Arial"/>
          <w:kern w:val="2"/>
          <w:sz w:val="22"/>
          <w:szCs w:val="22"/>
          <w:lang w:eastAsia="en-US"/>
          <w14:ligatures w14:val="standardContextual"/>
        </w:rPr>
        <w:t>Research İstanbul</w:t>
      </w:r>
      <w:r w:rsidRPr="00E118C4">
        <w:rPr>
          <w:rFonts w:ascii="Calibri" w:eastAsia="Calibri" w:hAnsi="Calibri" w:cs="Arial"/>
          <w:kern w:val="2"/>
          <w:sz w:val="22"/>
          <w:szCs w:val="22"/>
          <w:lang w:eastAsia="en-US"/>
          <w14:ligatures w14:val="standardContextual"/>
        </w:rPr>
        <w:t xml:space="preserve"> ve Betam</w:t>
      </w:r>
    </w:p>
    <w:p w14:paraId="412F3237" w14:textId="2D1D5DD7" w:rsidR="00446DE4" w:rsidRPr="00E766E1" w:rsidRDefault="00BA782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Kadınların enflasyon beklentisi daha yüksek</w:t>
      </w:r>
    </w:p>
    <w:p w14:paraId="1918166A" w14:textId="624BD0D1" w:rsidR="00E766E1"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Cinsiyete göre enflasyon beklentileri değerlendirildiğinde kadınların enflasyon beklentilerinin erkeklerin beklentilerine bir miktar daha yüksek olduğu görülmektedir (</w:t>
      </w:r>
      <w:r>
        <w:rPr>
          <w:rFonts w:ascii="Calibri" w:eastAsia="Calibri" w:hAnsi="Calibri" w:cs="Arial"/>
          <w:kern w:val="2"/>
          <w:sz w:val="22"/>
          <w:szCs w:val="22"/>
          <w:lang w:eastAsia="en-US"/>
          <w14:ligatures w14:val="standardContextual"/>
        </w:rPr>
        <w:fldChar w:fldCharType="begin"/>
      </w:r>
      <w:r>
        <w:rPr>
          <w:rFonts w:ascii="Calibri" w:eastAsia="Calibri" w:hAnsi="Calibri" w:cs="Arial"/>
          <w:kern w:val="2"/>
          <w:sz w:val="22"/>
          <w:szCs w:val="22"/>
          <w:lang w:eastAsia="en-US"/>
          <w14:ligatures w14:val="standardContextual"/>
        </w:rPr>
        <w:instrText xml:space="preserve"> REF _Ref190977651 \h </w:instrText>
      </w:r>
      <w:r>
        <w:rPr>
          <w:rFonts w:ascii="Calibri" w:eastAsia="Calibri" w:hAnsi="Calibri" w:cs="Arial"/>
          <w:kern w:val="2"/>
          <w:sz w:val="22"/>
          <w:szCs w:val="22"/>
          <w:lang w:eastAsia="en-US"/>
          <w14:ligatures w14:val="standardContextual"/>
        </w:rPr>
      </w:r>
      <w:r>
        <w:rPr>
          <w:rFonts w:ascii="Calibri" w:eastAsia="Calibri" w:hAnsi="Calibri" w:cs="Arial"/>
          <w:kern w:val="2"/>
          <w:sz w:val="22"/>
          <w:szCs w:val="22"/>
          <w:lang w:eastAsia="en-US"/>
          <w14:ligatures w14:val="standardContextual"/>
        </w:rPr>
        <w:fldChar w:fldCharType="separate"/>
      </w:r>
      <w:r w:rsidR="003B128F" w:rsidRPr="00E766E1">
        <w:rPr>
          <w:rFonts w:asciiTheme="minorHAnsi" w:hAnsiTheme="minorHAnsi" w:cstheme="minorHAnsi"/>
          <w:sz w:val="22"/>
          <w:szCs w:val="22"/>
        </w:rPr>
        <w:t xml:space="preserve">Şekil </w:t>
      </w:r>
      <w:r w:rsidR="003B128F">
        <w:rPr>
          <w:rFonts w:asciiTheme="minorHAnsi" w:hAnsiTheme="minorHAnsi" w:cstheme="minorHAnsi"/>
          <w:noProof/>
          <w:sz w:val="22"/>
          <w:szCs w:val="22"/>
        </w:rPr>
        <w:t>5</w:t>
      </w:r>
      <w:r>
        <w:rPr>
          <w:rFonts w:ascii="Calibri" w:eastAsia="Calibri" w:hAnsi="Calibri" w:cs="Arial"/>
          <w:kern w:val="2"/>
          <w:sz w:val="22"/>
          <w:szCs w:val="22"/>
          <w:lang w:eastAsia="en-US"/>
          <w14:ligatures w14:val="standardContextual"/>
        </w:rPr>
        <w:fldChar w:fldCharType="end"/>
      </w:r>
      <w:r>
        <w:rPr>
          <w:rFonts w:ascii="Calibri" w:eastAsia="Calibri" w:hAnsi="Calibri" w:cs="Arial"/>
          <w:kern w:val="2"/>
          <w:sz w:val="22"/>
          <w:szCs w:val="22"/>
          <w:lang w:eastAsia="en-US"/>
          <w14:ligatures w14:val="standardContextual"/>
        </w:rPr>
        <w:t xml:space="preserve">). </w:t>
      </w:r>
      <w:r w:rsidR="00B83B25">
        <w:rPr>
          <w:rFonts w:ascii="Calibri" w:eastAsia="Calibri" w:hAnsi="Calibri" w:cs="Arial"/>
          <w:kern w:val="2"/>
          <w:sz w:val="22"/>
          <w:szCs w:val="22"/>
          <w:lang w:eastAsia="en-US"/>
          <w14:ligatures w14:val="standardContextual"/>
        </w:rPr>
        <w:t>2024 Aralık’taki ankete göre aradaki fark belirgin olmasa da takip eden iki ayda kadınların enflasyon beklentisi daha yüksek olmuştur.</w:t>
      </w:r>
    </w:p>
    <w:p w14:paraId="130CE220" w14:textId="4B12987E" w:rsidR="00B83B25" w:rsidRDefault="00B83B25"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2025 Şubat verilerine göre enflasyon beklentisi bir önceki aya kıyasla erkeklerde 2,8 yüzde puan, kadınlarda ise 6,2 yüzde puan artmıştır. 2025 Şubat’ta ortalama enflasyon beklentisi </w:t>
      </w:r>
      <w:r w:rsidRPr="00B83B25">
        <w:rPr>
          <w:rFonts w:ascii="Calibri" w:eastAsia="Calibri" w:hAnsi="Calibri" w:cs="Arial"/>
          <w:b/>
          <w:bCs/>
          <w:kern w:val="2"/>
          <w:sz w:val="22"/>
          <w:szCs w:val="22"/>
          <w:lang w:eastAsia="en-US"/>
          <w14:ligatures w14:val="standardContextual"/>
        </w:rPr>
        <w:t>erkeklerde yüzde 60,5</w:t>
      </w:r>
      <w:r>
        <w:rPr>
          <w:rFonts w:ascii="Calibri" w:eastAsia="Calibri" w:hAnsi="Calibri" w:cs="Arial"/>
          <w:kern w:val="2"/>
          <w:sz w:val="22"/>
          <w:szCs w:val="22"/>
          <w:lang w:eastAsia="en-US"/>
          <w14:ligatures w14:val="standardContextual"/>
        </w:rPr>
        <w:t xml:space="preserve">, </w:t>
      </w:r>
      <w:r w:rsidRPr="00B83B25">
        <w:rPr>
          <w:rFonts w:ascii="Calibri" w:eastAsia="Calibri" w:hAnsi="Calibri" w:cs="Arial"/>
          <w:b/>
          <w:bCs/>
          <w:kern w:val="2"/>
          <w:sz w:val="22"/>
          <w:szCs w:val="22"/>
          <w:lang w:eastAsia="en-US"/>
          <w14:ligatures w14:val="standardContextual"/>
        </w:rPr>
        <w:t>kadınlarda yüzde 66,5</w:t>
      </w:r>
      <w:r>
        <w:rPr>
          <w:rFonts w:ascii="Calibri" w:eastAsia="Calibri" w:hAnsi="Calibri" w:cs="Arial"/>
          <w:kern w:val="2"/>
          <w:sz w:val="22"/>
          <w:szCs w:val="22"/>
          <w:lang w:eastAsia="en-US"/>
          <w14:ligatures w14:val="standardContextual"/>
        </w:rPr>
        <w:t xml:space="preserve"> olmuştur.</w:t>
      </w:r>
    </w:p>
    <w:p w14:paraId="486E8B37" w14:textId="2DE47B82" w:rsidR="00E766E1" w:rsidRPr="00E766E1" w:rsidRDefault="00E766E1" w:rsidP="00E766E1">
      <w:pPr>
        <w:pStyle w:val="Caption"/>
        <w:keepNext/>
        <w:jc w:val="both"/>
        <w:rPr>
          <w:rFonts w:asciiTheme="minorHAnsi" w:hAnsiTheme="minorHAnsi" w:cstheme="minorHAnsi"/>
          <w:sz w:val="22"/>
          <w:szCs w:val="22"/>
        </w:rPr>
      </w:pPr>
      <w:bookmarkStart w:id="6" w:name="_Ref190977651"/>
      <w:r w:rsidRPr="00E766E1">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5</w:t>
      </w:r>
      <w:r w:rsidR="00675348">
        <w:rPr>
          <w:rFonts w:asciiTheme="minorHAnsi" w:hAnsiTheme="minorHAnsi" w:cstheme="minorHAnsi"/>
          <w:sz w:val="22"/>
          <w:szCs w:val="22"/>
        </w:rPr>
        <w:fldChar w:fldCharType="end"/>
      </w:r>
      <w:bookmarkEnd w:id="6"/>
      <w:r w:rsidRPr="00E766E1">
        <w:rPr>
          <w:rFonts w:asciiTheme="minorHAnsi" w:hAnsiTheme="minorHAnsi" w:cstheme="minorHAnsi"/>
          <w:sz w:val="22"/>
          <w:szCs w:val="22"/>
        </w:rPr>
        <w:t>: Cinsiyete göre enflasyon beklentileri</w:t>
      </w:r>
    </w:p>
    <w:p w14:paraId="631E4591" w14:textId="7C9CD61E" w:rsidR="00E766E1"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6520E64F" wp14:editId="1250EBA7">
            <wp:extent cx="3240000" cy="1947590"/>
            <wp:effectExtent l="0" t="0" r="0" b="0"/>
            <wp:docPr id="1352932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0000" cy="1947590"/>
                    </a:xfrm>
                    <a:prstGeom prst="rect">
                      <a:avLst/>
                    </a:prstGeom>
                    <a:noFill/>
                  </pic:spPr>
                </pic:pic>
              </a:graphicData>
            </a:graphic>
          </wp:inline>
        </w:drawing>
      </w:r>
    </w:p>
    <w:p w14:paraId="4A90FF55" w14:textId="30F81B23" w:rsidR="00E766E1" w:rsidRDefault="00E766E1" w:rsidP="00E766E1">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r w:rsidR="0089283D">
        <w:rPr>
          <w:rFonts w:ascii="Calibri" w:eastAsia="Calibri" w:hAnsi="Calibri" w:cs="Arial"/>
          <w:kern w:val="2"/>
          <w:sz w:val="22"/>
          <w:szCs w:val="22"/>
          <w:lang w:eastAsia="en-US"/>
          <w14:ligatures w14:val="standardContextual"/>
        </w:rPr>
        <w:t>Research İstanbul</w:t>
      </w:r>
      <w:r w:rsidRPr="00E118C4">
        <w:rPr>
          <w:rFonts w:ascii="Calibri" w:eastAsia="Calibri" w:hAnsi="Calibri" w:cs="Arial"/>
          <w:kern w:val="2"/>
          <w:sz w:val="22"/>
          <w:szCs w:val="22"/>
          <w:lang w:eastAsia="en-US"/>
          <w14:ligatures w14:val="standardContextual"/>
        </w:rPr>
        <w:t xml:space="preserve"> ve Betam</w:t>
      </w:r>
    </w:p>
    <w:p w14:paraId="205DD3BF" w14:textId="7987E075" w:rsidR="00E766E1" w:rsidRPr="00E746A8" w:rsidRDefault="008D64BF" w:rsidP="008D64BF">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Enflasyon beklentisi gençlerde düşük, yaşlılarda ise yüksek</w:t>
      </w:r>
    </w:p>
    <w:p w14:paraId="56FB300A" w14:textId="2073EFE9" w:rsidR="00E746A8" w:rsidRDefault="00E746A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Yaşa göre enflasyon beklentileri değerlendirmesine göre yaş gruplarına göre belirgin bir fark olmasa da 45+ yaş grubundakilerin enflasyon beklentilerinin bir miktar daha yüksektir (</w:t>
      </w:r>
      <w:r>
        <w:rPr>
          <w:rFonts w:ascii="Calibri" w:eastAsia="Calibri" w:hAnsi="Calibri" w:cs="Arial"/>
          <w:kern w:val="2"/>
          <w:sz w:val="22"/>
          <w:szCs w:val="22"/>
          <w:lang w:eastAsia="en-US"/>
          <w14:ligatures w14:val="standardContextual"/>
        </w:rPr>
        <w:fldChar w:fldCharType="begin"/>
      </w:r>
      <w:r>
        <w:rPr>
          <w:rFonts w:ascii="Calibri" w:eastAsia="Calibri" w:hAnsi="Calibri" w:cs="Arial"/>
          <w:kern w:val="2"/>
          <w:sz w:val="22"/>
          <w:szCs w:val="22"/>
          <w:lang w:eastAsia="en-US"/>
          <w14:ligatures w14:val="standardContextual"/>
        </w:rPr>
        <w:instrText xml:space="preserve"> REF _Ref190978443 \h </w:instrText>
      </w:r>
      <w:r>
        <w:rPr>
          <w:rFonts w:ascii="Calibri" w:eastAsia="Calibri" w:hAnsi="Calibri" w:cs="Arial"/>
          <w:kern w:val="2"/>
          <w:sz w:val="22"/>
          <w:szCs w:val="22"/>
          <w:lang w:eastAsia="en-US"/>
          <w14:ligatures w14:val="standardContextual"/>
        </w:rPr>
      </w:r>
      <w:r>
        <w:rPr>
          <w:rFonts w:ascii="Calibri" w:eastAsia="Calibri" w:hAnsi="Calibri" w:cs="Arial"/>
          <w:kern w:val="2"/>
          <w:sz w:val="22"/>
          <w:szCs w:val="22"/>
          <w:lang w:eastAsia="en-US"/>
          <w14:ligatures w14:val="standardContextual"/>
        </w:rPr>
        <w:fldChar w:fldCharType="separate"/>
      </w:r>
      <w:r w:rsidR="003B128F" w:rsidRPr="005C1860">
        <w:rPr>
          <w:rFonts w:asciiTheme="minorHAnsi" w:hAnsiTheme="minorHAnsi" w:cstheme="minorHAnsi"/>
          <w:sz w:val="22"/>
          <w:szCs w:val="22"/>
        </w:rPr>
        <w:t xml:space="preserve">Şekil </w:t>
      </w:r>
      <w:r w:rsidR="003B128F">
        <w:rPr>
          <w:rFonts w:asciiTheme="minorHAnsi" w:hAnsiTheme="minorHAnsi" w:cstheme="minorHAnsi"/>
          <w:noProof/>
          <w:sz w:val="22"/>
          <w:szCs w:val="22"/>
        </w:rPr>
        <w:t>6</w:t>
      </w:r>
      <w:r>
        <w:rPr>
          <w:rFonts w:ascii="Calibri" w:eastAsia="Calibri" w:hAnsi="Calibri" w:cs="Arial"/>
          <w:kern w:val="2"/>
          <w:sz w:val="22"/>
          <w:szCs w:val="22"/>
          <w:lang w:eastAsia="en-US"/>
          <w14:ligatures w14:val="standardContextual"/>
        </w:rPr>
        <w:fldChar w:fldCharType="end"/>
      </w:r>
      <w:r>
        <w:rPr>
          <w:rFonts w:ascii="Calibri" w:eastAsia="Calibri" w:hAnsi="Calibri" w:cs="Arial"/>
          <w:kern w:val="2"/>
          <w:sz w:val="22"/>
          <w:szCs w:val="22"/>
          <w:lang w:eastAsia="en-US"/>
          <w14:ligatures w14:val="standardContextual"/>
        </w:rPr>
        <w:t>).</w:t>
      </w:r>
    </w:p>
    <w:p w14:paraId="3132C773" w14:textId="51A6773D" w:rsidR="00E746A8" w:rsidRDefault="00E746A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lastRenderedPageBreak/>
        <w:t xml:space="preserve">Bir önceki ay ile kıyaslandığında enflasyon beklentisi sadece 45-54 yaş grubunda azalmış (2,4 yüzde puan), diğer yaş gruplarında ise artmıştır. En yüksek artış 35-44 yaş grubunda (7,1 yüzde puan), en düşük artış ise 18-24 yaş grubunda (0,2 yüzde puan) görülmüştür. Güncel verilere göre ortalama enflasyon beklentisi </w:t>
      </w:r>
      <w:r w:rsidRPr="00E746A8">
        <w:rPr>
          <w:rFonts w:ascii="Calibri" w:eastAsia="Calibri" w:hAnsi="Calibri" w:cs="Arial"/>
          <w:b/>
          <w:bCs/>
          <w:kern w:val="2"/>
          <w:sz w:val="22"/>
          <w:szCs w:val="22"/>
          <w:lang w:eastAsia="en-US"/>
          <w14:ligatures w14:val="standardContextual"/>
        </w:rPr>
        <w:t>18-24 yaş grubunda yüzde 58</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25-34 yaş grubunda yüzde 64,7</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35-44 yaş grubunda yüzde 63,3</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45-54 yaş grubunda yüzde 57,6</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55-64 yaş grubunda yüzde 68,7</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65 yaş ve üstü grupta ise yüzde 63,7</w:t>
      </w:r>
      <w:r>
        <w:rPr>
          <w:rFonts w:ascii="Calibri" w:eastAsia="Calibri" w:hAnsi="Calibri" w:cs="Arial"/>
          <w:kern w:val="2"/>
          <w:sz w:val="22"/>
          <w:szCs w:val="22"/>
          <w:lang w:eastAsia="en-US"/>
          <w14:ligatures w14:val="standardContextual"/>
        </w:rPr>
        <w:t xml:space="preserve"> olmuştur.</w:t>
      </w:r>
    </w:p>
    <w:p w14:paraId="0A77874B" w14:textId="125911A3" w:rsidR="005C1860" w:rsidRPr="005C1860" w:rsidRDefault="005C1860" w:rsidP="005C1860">
      <w:pPr>
        <w:pStyle w:val="Caption"/>
        <w:keepNext/>
        <w:jc w:val="both"/>
        <w:rPr>
          <w:rFonts w:asciiTheme="minorHAnsi" w:hAnsiTheme="minorHAnsi" w:cstheme="minorHAnsi"/>
          <w:sz w:val="22"/>
          <w:szCs w:val="22"/>
        </w:rPr>
      </w:pPr>
      <w:bookmarkStart w:id="7" w:name="_Ref190978443"/>
      <w:r w:rsidRPr="005C1860">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6</w:t>
      </w:r>
      <w:r w:rsidR="00675348">
        <w:rPr>
          <w:rFonts w:asciiTheme="minorHAnsi" w:hAnsiTheme="minorHAnsi" w:cstheme="minorHAnsi"/>
          <w:sz w:val="22"/>
          <w:szCs w:val="22"/>
        </w:rPr>
        <w:fldChar w:fldCharType="end"/>
      </w:r>
      <w:bookmarkEnd w:id="7"/>
      <w:r w:rsidRPr="005C1860">
        <w:rPr>
          <w:rFonts w:asciiTheme="minorHAnsi" w:hAnsiTheme="minorHAnsi" w:cstheme="minorHAnsi"/>
          <w:sz w:val="22"/>
          <w:szCs w:val="22"/>
        </w:rPr>
        <w:t>: Yaşa göre enflasyon beklentileri</w:t>
      </w:r>
    </w:p>
    <w:p w14:paraId="73C0FF8E" w14:textId="649E143E" w:rsidR="005C1860" w:rsidRDefault="005C1860"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1F7A560D" wp14:editId="7D29802E">
            <wp:extent cx="3240000" cy="1947590"/>
            <wp:effectExtent l="0" t="0" r="0" b="0"/>
            <wp:docPr id="1126704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0000" cy="1947590"/>
                    </a:xfrm>
                    <a:prstGeom prst="rect">
                      <a:avLst/>
                    </a:prstGeom>
                    <a:noFill/>
                  </pic:spPr>
                </pic:pic>
              </a:graphicData>
            </a:graphic>
          </wp:inline>
        </w:drawing>
      </w:r>
    </w:p>
    <w:p w14:paraId="72338C8D" w14:textId="5F77B881" w:rsidR="005C1860" w:rsidRDefault="005C1860" w:rsidP="005C1860">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r w:rsidR="0089283D">
        <w:rPr>
          <w:rFonts w:ascii="Calibri" w:eastAsia="Calibri" w:hAnsi="Calibri" w:cs="Arial"/>
          <w:kern w:val="2"/>
          <w:sz w:val="22"/>
          <w:szCs w:val="22"/>
          <w:lang w:eastAsia="en-US"/>
          <w14:ligatures w14:val="standardContextual"/>
        </w:rPr>
        <w:t>Research İstanbul</w:t>
      </w:r>
      <w:r w:rsidRPr="00E118C4">
        <w:rPr>
          <w:rFonts w:ascii="Calibri" w:eastAsia="Calibri" w:hAnsi="Calibri" w:cs="Arial"/>
          <w:kern w:val="2"/>
          <w:sz w:val="22"/>
          <w:szCs w:val="22"/>
          <w:lang w:eastAsia="en-US"/>
          <w14:ligatures w14:val="standardContextual"/>
        </w:rPr>
        <w:t xml:space="preserve"> ve Betam</w:t>
      </w:r>
    </w:p>
    <w:p w14:paraId="3F065D3C" w14:textId="1C1D0464" w:rsidR="005C1860" w:rsidRPr="00F56E50" w:rsidRDefault="00E746A8"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F56E50">
        <w:rPr>
          <w:rFonts w:ascii="Calibri" w:eastAsia="Calibri" w:hAnsi="Calibri" w:cs="Arial"/>
          <w:b/>
          <w:bCs/>
          <w:kern w:val="2"/>
          <w:sz w:val="22"/>
          <w:szCs w:val="22"/>
          <w:lang w:eastAsia="en-US"/>
          <w14:ligatures w14:val="standardContextual"/>
        </w:rPr>
        <w:t>İş</w:t>
      </w:r>
      <w:r w:rsidR="00F56E50" w:rsidRPr="00F56E50">
        <w:rPr>
          <w:rFonts w:ascii="Calibri" w:eastAsia="Calibri" w:hAnsi="Calibri" w:cs="Arial"/>
          <w:b/>
          <w:bCs/>
          <w:kern w:val="2"/>
          <w:sz w:val="22"/>
          <w:szCs w:val="22"/>
          <w:lang w:eastAsia="en-US"/>
          <w14:ligatures w14:val="standardContextual"/>
        </w:rPr>
        <w:t>sizlerde enflasyon beklentisi daha hızlı yükseldi</w:t>
      </w:r>
    </w:p>
    <w:p w14:paraId="52C5C600" w14:textId="4E3EBCC7" w:rsidR="00F56E50" w:rsidRDefault="00F56E50" w:rsidP="00BF0826">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Anket sonuçları iş durumuna göre ortalama enflasyon </w:t>
      </w:r>
      <w:r w:rsidR="00BF0826">
        <w:rPr>
          <w:rFonts w:ascii="Calibri" w:eastAsia="Calibri" w:hAnsi="Calibri" w:cs="Arial"/>
          <w:kern w:val="2"/>
          <w:sz w:val="22"/>
          <w:szCs w:val="22"/>
          <w:lang w:eastAsia="en-US"/>
          <w14:ligatures w14:val="standardContextual"/>
        </w:rPr>
        <w:t>beklentilerinin iş durumuna göre değişmektedir</w:t>
      </w:r>
      <w:r>
        <w:rPr>
          <w:rFonts w:ascii="Calibri" w:eastAsia="Calibri" w:hAnsi="Calibri" w:cs="Arial"/>
          <w:kern w:val="2"/>
          <w:sz w:val="22"/>
          <w:szCs w:val="22"/>
          <w:lang w:eastAsia="en-US"/>
          <w14:ligatures w14:val="standardContextual"/>
        </w:rPr>
        <w:t xml:space="preserve">. </w:t>
      </w:r>
      <w:r w:rsidR="00BF0826">
        <w:rPr>
          <w:rFonts w:ascii="Calibri" w:eastAsia="Calibri" w:hAnsi="Calibri" w:cs="Arial"/>
          <w:kern w:val="2"/>
          <w:sz w:val="22"/>
          <w:szCs w:val="22"/>
          <w:lang w:eastAsia="en-US"/>
          <w14:ligatures w14:val="standardContextual"/>
        </w:rPr>
        <w:t>Ortalama enflasyon beklentisi işsizlerde ve günlük/yevmiyeli çalışan düzensiz gelirli kişilerde dönemsel olarak diğer gruplara göre daha yüksek, düzenli gelire sahip maaşlı devlet çalışanlarında ve gelirlerinin önemli kısmı ailelerine bağlı olan gençlerde ise daha düşüktür (</w:t>
      </w:r>
      <w:r w:rsidR="00BF0826">
        <w:rPr>
          <w:rFonts w:ascii="Calibri" w:eastAsia="Calibri" w:hAnsi="Calibri" w:cs="Arial"/>
          <w:kern w:val="2"/>
          <w:sz w:val="22"/>
          <w:szCs w:val="22"/>
          <w:lang w:eastAsia="en-US"/>
          <w14:ligatures w14:val="standardContextual"/>
        </w:rPr>
        <w:fldChar w:fldCharType="begin"/>
      </w:r>
      <w:r w:rsidR="00BF0826">
        <w:rPr>
          <w:rFonts w:ascii="Calibri" w:eastAsia="Calibri" w:hAnsi="Calibri" w:cs="Arial"/>
          <w:kern w:val="2"/>
          <w:sz w:val="22"/>
          <w:szCs w:val="22"/>
          <w:lang w:eastAsia="en-US"/>
          <w14:ligatures w14:val="standardContextual"/>
        </w:rPr>
        <w:instrText xml:space="preserve"> REF _Ref190983229 \h </w:instrText>
      </w:r>
      <w:r w:rsidR="00BF0826">
        <w:rPr>
          <w:rFonts w:ascii="Calibri" w:eastAsia="Calibri" w:hAnsi="Calibri" w:cs="Arial"/>
          <w:kern w:val="2"/>
          <w:sz w:val="22"/>
          <w:szCs w:val="22"/>
          <w:lang w:eastAsia="en-US"/>
          <w14:ligatures w14:val="standardContextual"/>
        </w:rPr>
      </w:r>
      <w:r w:rsidR="00BF0826">
        <w:rPr>
          <w:rFonts w:ascii="Calibri" w:eastAsia="Calibri" w:hAnsi="Calibri" w:cs="Arial"/>
          <w:kern w:val="2"/>
          <w:sz w:val="22"/>
          <w:szCs w:val="22"/>
          <w:lang w:eastAsia="en-US"/>
          <w14:ligatures w14:val="standardContextual"/>
        </w:rPr>
        <w:fldChar w:fldCharType="separate"/>
      </w:r>
      <w:r w:rsidR="003B128F" w:rsidRPr="00004758">
        <w:rPr>
          <w:rFonts w:asciiTheme="minorHAnsi" w:hAnsiTheme="minorHAnsi" w:cstheme="minorHAnsi"/>
          <w:sz w:val="22"/>
          <w:szCs w:val="22"/>
        </w:rPr>
        <w:t xml:space="preserve">Şekil </w:t>
      </w:r>
      <w:r w:rsidR="003B128F">
        <w:rPr>
          <w:rFonts w:asciiTheme="minorHAnsi" w:hAnsiTheme="minorHAnsi" w:cstheme="minorHAnsi"/>
          <w:noProof/>
          <w:sz w:val="22"/>
          <w:szCs w:val="22"/>
        </w:rPr>
        <w:t>7</w:t>
      </w:r>
      <w:r w:rsidR="00BF0826">
        <w:rPr>
          <w:rFonts w:ascii="Calibri" w:eastAsia="Calibri" w:hAnsi="Calibri" w:cs="Arial"/>
          <w:kern w:val="2"/>
          <w:sz w:val="22"/>
          <w:szCs w:val="22"/>
          <w:lang w:eastAsia="en-US"/>
          <w14:ligatures w14:val="standardContextual"/>
        </w:rPr>
        <w:fldChar w:fldCharType="end"/>
      </w:r>
      <w:r w:rsidR="00BF0826">
        <w:rPr>
          <w:rFonts w:ascii="Calibri" w:eastAsia="Calibri" w:hAnsi="Calibri" w:cs="Arial"/>
          <w:kern w:val="2"/>
          <w:sz w:val="22"/>
          <w:szCs w:val="22"/>
          <w:lang w:eastAsia="en-US"/>
          <w14:ligatures w14:val="standardContextual"/>
        </w:rPr>
        <w:t>).</w:t>
      </w:r>
      <w:r w:rsidR="00FD0003">
        <w:rPr>
          <w:rFonts w:ascii="Calibri" w:eastAsia="Calibri" w:hAnsi="Calibri" w:cs="Arial"/>
          <w:kern w:val="2"/>
          <w:sz w:val="22"/>
          <w:szCs w:val="22"/>
          <w:lang w:eastAsia="en-US"/>
          <w14:ligatures w14:val="standardContextual"/>
        </w:rPr>
        <w:t xml:space="preserve"> </w:t>
      </w:r>
    </w:p>
    <w:p w14:paraId="0BF60C6B" w14:textId="407BFAB5" w:rsidR="00BF0826" w:rsidRDefault="00BF0826" w:rsidP="00BF0826">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Enflasyon beklentilerindeki aylık değişimler de enflasyon beklentisinin iş durumuna göre farklı olduğunu </w:t>
      </w:r>
      <w:r w:rsidR="00D050C4">
        <w:rPr>
          <w:rFonts w:ascii="Calibri" w:eastAsia="Calibri" w:hAnsi="Calibri" w:cs="Arial"/>
          <w:kern w:val="2"/>
          <w:sz w:val="22"/>
          <w:szCs w:val="22"/>
          <w:lang w:eastAsia="en-US"/>
          <w14:ligatures w14:val="standardContextual"/>
        </w:rPr>
        <w:t>ortaya koymaktadır. Bir önceki aya kıyasla ortalama enflasyon beklentisi sadece günlük/yevmiyeli çalışanlarda düşmüş (14,1 yüzde puan), diğer gruplarda ise yükselmiştir. Enflasyon beklentisindeki en yüksek artış işsiz ve iş arayan grupta (14,4 yüzde puan), en düşük artış ise emekli, çalışmıyor (3,5 yüzde puan) grubunda görülmüştür.</w:t>
      </w:r>
      <w:r w:rsidR="00FD0003">
        <w:rPr>
          <w:rFonts w:ascii="Calibri" w:eastAsia="Calibri" w:hAnsi="Calibri" w:cs="Arial"/>
          <w:kern w:val="2"/>
          <w:sz w:val="22"/>
          <w:szCs w:val="22"/>
          <w:lang w:eastAsia="en-US"/>
          <w14:ligatures w14:val="standardContextual"/>
        </w:rPr>
        <w:t xml:space="preserve"> </w:t>
      </w:r>
    </w:p>
    <w:p w14:paraId="01F4BC88" w14:textId="5D685348" w:rsidR="00D050C4" w:rsidRDefault="00D050C4" w:rsidP="00BF0826">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Güncel verilere göre ortalama enflasyon beklentisi </w:t>
      </w:r>
      <w:r w:rsidRPr="00D050C4">
        <w:rPr>
          <w:rFonts w:ascii="Calibri" w:eastAsia="Calibri" w:hAnsi="Calibri" w:cs="Arial"/>
          <w:b/>
          <w:bCs/>
          <w:kern w:val="2"/>
          <w:sz w:val="22"/>
          <w:szCs w:val="22"/>
          <w:lang w:eastAsia="en-US"/>
          <w14:ligatures w14:val="standardContextual"/>
        </w:rPr>
        <w:t>emekli, çalışmıyor grubunda yüzde 64,4</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günlük/yevmiyeli çalışan grupta yüzde 58,6</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kendi hesabına çalışan veya işveren grubunda yüzde 62,8</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maaşlı devlet çalışan grubunda yüzde 56,7</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öğrencilerde yüzde 55,7</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ücretli özel sektör çalışanlarında yüzde 62</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işsiz ama iş aramayanlarda yüzde 63,9</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işsiz ve iş arıyor grubunda ise yüzde 72,7</w:t>
      </w:r>
      <w:r>
        <w:rPr>
          <w:rFonts w:ascii="Calibri" w:eastAsia="Calibri" w:hAnsi="Calibri" w:cs="Arial"/>
          <w:kern w:val="2"/>
          <w:sz w:val="22"/>
          <w:szCs w:val="22"/>
          <w:lang w:eastAsia="en-US"/>
          <w14:ligatures w14:val="standardContextual"/>
        </w:rPr>
        <w:t xml:space="preserve"> olmuştur.</w:t>
      </w:r>
    </w:p>
    <w:p w14:paraId="3FC0087A" w14:textId="7CC3026A" w:rsidR="00004758" w:rsidRPr="00004758" w:rsidRDefault="00004758" w:rsidP="00004758">
      <w:pPr>
        <w:pStyle w:val="Caption"/>
        <w:keepNext/>
        <w:jc w:val="both"/>
        <w:rPr>
          <w:rFonts w:asciiTheme="minorHAnsi" w:hAnsiTheme="minorHAnsi" w:cstheme="minorHAnsi"/>
          <w:sz w:val="22"/>
          <w:szCs w:val="22"/>
        </w:rPr>
      </w:pPr>
      <w:bookmarkStart w:id="8" w:name="_Ref190983229"/>
      <w:r w:rsidRPr="00004758">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7</w:t>
      </w:r>
      <w:r w:rsidR="00675348">
        <w:rPr>
          <w:rFonts w:asciiTheme="minorHAnsi" w:hAnsiTheme="minorHAnsi" w:cstheme="minorHAnsi"/>
          <w:sz w:val="22"/>
          <w:szCs w:val="22"/>
        </w:rPr>
        <w:fldChar w:fldCharType="end"/>
      </w:r>
      <w:bookmarkEnd w:id="8"/>
      <w:r w:rsidRPr="00004758">
        <w:rPr>
          <w:rFonts w:asciiTheme="minorHAnsi" w:hAnsiTheme="minorHAnsi" w:cstheme="minorHAnsi"/>
          <w:sz w:val="22"/>
          <w:szCs w:val="22"/>
        </w:rPr>
        <w:t>: İş durumuna göre enflasyon beklentileri</w:t>
      </w:r>
    </w:p>
    <w:p w14:paraId="34BA7056" w14:textId="77777777" w:rsidR="00004758"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5FD47872" wp14:editId="7FBA9286">
            <wp:extent cx="3240000" cy="1946694"/>
            <wp:effectExtent l="0" t="0" r="0" b="0"/>
            <wp:docPr id="125679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97999" name="Picture 6"/>
                    <pic:cNvPicPr>
                      <a:picLocks noChangeAspect="1" noChangeArrowheads="1"/>
                    </pic:cNvPicPr>
                  </pic:nvPicPr>
                  <pic:blipFill>
                    <a:blip r:embed="rId2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bwMode="auto">
                    <a:xfrm>
                      <a:off x="0" y="0"/>
                      <a:ext cx="3240000" cy="1946694"/>
                    </a:xfrm>
                    <a:prstGeom prst="rect">
                      <a:avLst/>
                    </a:prstGeom>
                  </pic:spPr>
                </pic:pic>
              </a:graphicData>
            </a:graphic>
          </wp:inline>
        </w:drawing>
      </w:r>
    </w:p>
    <w:p w14:paraId="5611D7BB" w14:textId="5EBD1F74" w:rsidR="00E746A8" w:rsidRPr="00E118C4"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r w:rsidR="0089283D">
        <w:rPr>
          <w:rFonts w:ascii="Calibri" w:eastAsia="Calibri" w:hAnsi="Calibri" w:cs="Arial"/>
          <w:kern w:val="2"/>
          <w:sz w:val="22"/>
          <w:szCs w:val="22"/>
          <w:lang w:eastAsia="en-US"/>
          <w14:ligatures w14:val="standardContextual"/>
        </w:rPr>
        <w:t>Research İstanbul</w:t>
      </w:r>
      <w:r w:rsidRPr="00E118C4">
        <w:rPr>
          <w:rFonts w:ascii="Calibri" w:eastAsia="Calibri" w:hAnsi="Calibri" w:cs="Arial"/>
          <w:kern w:val="2"/>
          <w:sz w:val="22"/>
          <w:szCs w:val="22"/>
          <w:lang w:eastAsia="en-US"/>
          <w14:ligatures w14:val="standardContextual"/>
        </w:rPr>
        <w:t xml:space="preserve"> ve Betam</w:t>
      </w:r>
    </w:p>
    <w:p w14:paraId="78A83A90" w14:textId="77777777" w:rsidR="003D1FFA" w:rsidRDefault="003D1FFA"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p>
    <w:p w14:paraId="4E3C5FF1" w14:textId="77777777" w:rsidR="003D1FFA" w:rsidRDefault="003D1FFA"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p>
    <w:p w14:paraId="02168152" w14:textId="68DBAB02" w:rsidR="00E118C4" w:rsidRPr="00E118C4"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413C9C">
        <w:rPr>
          <w:rFonts w:ascii="Calibri" w:eastAsia="Calibri" w:hAnsi="Calibri" w:cs="Arial"/>
          <w:b/>
          <w:bCs/>
          <w:kern w:val="2"/>
          <w:sz w:val="22"/>
          <w:szCs w:val="22"/>
          <w:lang w:eastAsia="en-US"/>
          <w14:ligatures w14:val="standardContextual"/>
        </w:rPr>
        <w:lastRenderedPageBreak/>
        <w:t>Açıklama kutusu</w:t>
      </w:r>
      <w:r w:rsidR="00C2369D">
        <w:rPr>
          <w:rFonts w:ascii="Calibri" w:eastAsia="Calibri" w:hAnsi="Calibri" w:cs="Arial"/>
          <w:b/>
          <w:bCs/>
          <w:kern w:val="2"/>
          <w:sz w:val="22"/>
          <w:szCs w:val="22"/>
          <w:lang w:eastAsia="en-US"/>
          <w14:ligatures w14:val="standardContextual"/>
        </w:rPr>
        <w:t xml:space="preserve"> </w:t>
      </w:r>
    </w:p>
    <w:p w14:paraId="365FF36C" w14:textId="79F82A4E" w:rsidR="00C2369D" w:rsidRPr="00EB1448"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EB1448">
        <w:rPr>
          <w:rFonts w:ascii="Calibri" w:eastAsia="Calibri" w:hAnsi="Calibri" w:cs="Arial"/>
          <w:kern w:val="2"/>
          <w:sz w:val="22"/>
          <w:szCs w:val="22"/>
          <w:lang w:eastAsia="en-US"/>
          <w14:ligatures w14:val="standardContextual"/>
        </w:rPr>
        <w:t xml:space="preserve">Enflasyon beklentileri, 31 Ocak 2025 ile 4 Şubat 2025 tarihleri arasında Bilgisayar Destekli Telefon Görüşmeleri (CATI) yöntemiyle gerçekleştirilen 2008 kişilik anket çalışmasından elde edilmiştir. Hanehalklarının enflasyon beklentilerini ölçmek amacıyla katılımcılara “Sizce enflasyon 1 yıl sonra yüzde kaç olacak?” sorusu yöneltilmiş; bu açık uçlu soruya oran veya sayı şeklinde yanıt veren 1387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EB1448"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Yayımlanan araştırma sonuçları </w:t>
      </w:r>
      <w:r w:rsidR="00C2369D" w:rsidRPr="00EB1448">
        <w:rPr>
          <w:rFonts w:ascii="Calibri" w:eastAsia="Calibri" w:hAnsi="Calibri" w:cs="Arial"/>
          <w:kern w:val="2"/>
          <w:sz w:val="22"/>
          <w:szCs w:val="22"/>
          <w:lang w:eastAsia="en-US"/>
          <w14:ligatures w14:val="standardContextual"/>
        </w:rPr>
        <w:t xml:space="preserve">Research İstanbul </w:t>
      </w:r>
      <w:r w:rsidRPr="00E118C4">
        <w:rPr>
          <w:rFonts w:ascii="Calibri" w:eastAsia="Calibri" w:hAnsi="Calibri" w:cs="Arial"/>
          <w:kern w:val="2"/>
          <w:sz w:val="22"/>
          <w:szCs w:val="22"/>
          <w:lang w:eastAsia="en-US"/>
          <w14:ligatures w14:val="standardContextual"/>
        </w:rPr>
        <w:t>tarafından her ay Türkiye çapında 26 ilde yaklaşık 2000 kişi ile gerçekleştirilen anket çalışmalarının sonuçlarıdır. Araştırmalarımızda yer verdiğimiz 26 il, Türkiye’nin 26 İBBS bölgesini temsil etmektedir. Türkiye İBBS (İstatistiki Bölge Birimleri Sınıflandırması) Avrupa Birliği ülkelerinin kullandığı İstatistiki Bölge Birimleri Sınıflandırması içinde Türkiye için kullanılan sınıflandırmadır.</w:t>
      </w:r>
      <w:r w:rsidR="00C2369D">
        <w:rPr>
          <w:rFonts w:ascii="Calibri" w:eastAsia="Calibri" w:hAnsi="Calibri" w:cs="Arial"/>
          <w:kern w:val="2"/>
          <w:sz w:val="22"/>
          <w:szCs w:val="22"/>
          <w:lang w:eastAsia="en-US"/>
          <w14:ligatures w14:val="standardContextual"/>
        </w:rPr>
        <w:t xml:space="preserve"> </w:t>
      </w:r>
      <w:r w:rsidRPr="00E118C4">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Pr>
          <w:rFonts w:ascii="Calibri" w:eastAsia="Calibri" w:hAnsi="Calibri" w:cs="Arial"/>
          <w:kern w:val="2"/>
          <w:sz w:val="22"/>
          <w:szCs w:val="22"/>
          <w:lang w:eastAsia="en-US"/>
          <w14:ligatures w14:val="standardContextual"/>
        </w:rPr>
        <w:t xml:space="preserve"> </w:t>
      </w:r>
      <w:r w:rsidRPr="00E118C4">
        <w:rPr>
          <w:rFonts w:ascii="Calibri" w:eastAsia="Calibri" w:hAnsi="Calibri" w:cs="Arial"/>
          <w:kern w:val="2"/>
          <w:sz w:val="22"/>
          <w:szCs w:val="22"/>
          <w:lang w:eastAsia="en-US"/>
          <w14:ligatures w14:val="standardContextual"/>
        </w:rPr>
        <w:t>Anket sonuçlarımız %95 güven aralığı ve +/-</w:t>
      </w:r>
      <w:r w:rsidRPr="00F25759">
        <w:rPr>
          <w:rFonts w:ascii="Calibri" w:eastAsia="Calibri" w:hAnsi="Calibri" w:cs="Arial"/>
          <w:kern w:val="2"/>
          <w:sz w:val="22"/>
          <w:szCs w:val="22"/>
          <w:lang w:eastAsia="en-US"/>
          <w14:ligatures w14:val="standardContextual"/>
        </w:rPr>
        <w:t>2,19</w:t>
      </w:r>
      <w:r w:rsidRPr="00E118C4">
        <w:rPr>
          <w:rFonts w:ascii="Calibri" w:eastAsia="Calibri" w:hAnsi="Calibri" w:cs="Arial"/>
          <w:kern w:val="2"/>
          <w:sz w:val="22"/>
          <w:szCs w:val="22"/>
          <w:lang w:eastAsia="en-US"/>
          <w14:ligatures w14:val="standardContextual"/>
        </w:rPr>
        <w:t xml:space="preserve">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23"/>
      <w:headerReference w:type="default" r:id="rId24"/>
      <w:footerReference w:type="even" r:id="rId25"/>
      <w:footerReference w:type="default" r:id="rId26"/>
      <w:headerReference w:type="first" r:id="rId27"/>
      <w:footerReference w:type="first" r:id="rId28"/>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8DAF" w14:textId="77777777" w:rsidR="00532797" w:rsidRDefault="00532797">
      <w:r>
        <w:separator/>
      </w:r>
    </w:p>
  </w:endnote>
  <w:endnote w:type="continuationSeparator" w:id="0">
    <w:p w14:paraId="4AA2C448" w14:textId="77777777" w:rsidR="00532797" w:rsidRDefault="005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A00002EF" w:usb1="4000004B" w:usb2="00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1E293" w14:textId="6528A2B7"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E7A">
      <w:rPr>
        <w:rStyle w:val="PageNumber"/>
        <w:noProof/>
      </w:rPr>
      <w:t>2</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815AA" w14:textId="77777777" w:rsidR="00532797" w:rsidRDefault="00532797">
      <w:r>
        <w:separator/>
      </w:r>
    </w:p>
  </w:footnote>
  <w:footnote w:type="continuationSeparator" w:id="0">
    <w:p w14:paraId="2DF0B2EC" w14:textId="77777777" w:rsidR="00532797" w:rsidRDefault="00532797">
      <w:r>
        <w:continuationSeparator/>
      </w:r>
    </w:p>
  </w:footnote>
  <w:footnote w:id="1">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Dr.</w:t>
      </w:r>
      <w:r w:rsidR="00E118C4">
        <w:rPr>
          <w:rFonts w:ascii="Arial" w:hAnsi="Arial" w:cs="Arial"/>
          <w:sz w:val="16"/>
          <w:szCs w:val="16"/>
        </w:rPr>
        <w:t>Öğretim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 w:id="2">
    <w:p w14:paraId="19491A06" w14:textId="43A804F2" w:rsidR="00E118C4" w:rsidRPr="0043600F" w:rsidRDefault="00E118C4" w:rsidP="00E118C4">
      <w:pPr>
        <w:pStyle w:val="FootnoteText"/>
        <w:jc w:val="both"/>
        <w:rPr>
          <w:rFonts w:asciiTheme="minorHAnsi" w:hAnsiTheme="minorHAnsi" w:cstheme="minorHAnsi"/>
        </w:rPr>
      </w:pPr>
      <w:r w:rsidRPr="0043600F">
        <w:rPr>
          <w:rStyle w:val="FootnoteReference"/>
          <w:rFonts w:asciiTheme="minorHAnsi" w:hAnsiTheme="minorHAnsi" w:cstheme="minorHAnsi"/>
          <w:sz w:val="22"/>
          <w:szCs w:val="22"/>
        </w:rPr>
        <w:footnoteRef/>
      </w:r>
      <w:r w:rsidRPr="0043600F">
        <w:rPr>
          <w:rFonts w:asciiTheme="minorHAnsi" w:hAnsiTheme="minorHAnsi" w:cstheme="minorHAnsi"/>
          <w:sz w:val="22"/>
          <w:szCs w:val="22"/>
        </w:rPr>
        <w:t xml:space="preserve"> </w:t>
      </w:r>
      <w:r w:rsidR="0089283D">
        <w:rPr>
          <w:rFonts w:asciiTheme="minorHAnsi" w:hAnsiTheme="minorHAnsi" w:cstheme="minorHAnsi"/>
          <w:sz w:val="22"/>
          <w:szCs w:val="22"/>
        </w:rPr>
        <w:t>Research İstanbul</w:t>
      </w:r>
      <w:r w:rsidRPr="0043600F">
        <w:rPr>
          <w:rFonts w:asciiTheme="minorHAnsi" w:hAnsiTheme="minorHAnsi" w:cstheme="minorHAnsi"/>
          <w:sz w:val="22"/>
          <w:szCs w:val="22"/>
        </w:rPr>
        <w:t xml:space="preserve"> ve Betam anket sonuçları ilgili ayın başında yayınlanırken TCMB’nin anketi ay sonunda yayınlanmaktadır. Bu durum anketlere katılanların bilgi kümelerini değiştireceğinden anket sonuçları arasında farklılık olması muhtemeldir. Bu şartlar altında uygun bir karşılaştırma yapmak için TCMB’nin sonuçları bir sonraki aya kaydırılmış </w:t>
      </w:r>
      <w:r w:rsidR="0089283D">
        <w:rPr>
          <w:rFonts w:asciiTheme="minorHAnsi" w:hAnsiTheme="minorHAnsi" w:cstheme="minorHAnsi"/>
          <w:sz w:val="22"/>
          <w:szCs w:val="22"/>
        </w:rPr>
        <w:t>Research İstanbul</w:t>
      </w:r>
      <w:r w:rsidRPr="0043600F">
        <w:rPr>
          <w:rFonts w:asciiTheme="minorHAnsi" w:hAnsiTheme="minorHAnsi" w:cstheme="minorHAnsi"/>
          <w:sz w:val="22"/>
          <w:szCs w:val="22"/>
        </w:rPr>
        <w:t xml:space="preserve"> ve Betam anket sonuçları ise ilgili ayda değerlendirilmiştir. Örneğin, 2025</w:t>
      </w:r>
      <w:r w:rsidR="00662D48">
        <w:rPr>
          <w:rFonts w:asciiTheme="minorHAnsi" w:hAnsiTheme="minorHAnsi" w:cstheme="minorHAnsi"/>
          <w:sz w:val="22"/>
          <w:szCs w:val="22"/>
        </w:rPr>
        <w:t xml:space="preserve"> Şubat</w:t>
      </w:r>
      <w:r w:rsidRPr="0043600F">
        <w:rPr>
          <w:rFonts w:asciiTheme="minorHAnsi" w:hAnsiTheme="minorHAnsi" w:cstheme="minorHAnsi"/>
          <w:sz w:val="22"/>
          <w:szCs w:val="22"/>
        </w:rPr>
        <w:t xml:space="preserve"> döneminde anketler kıyaslanırken </w:t>
      </w:r>
      <w:r w:rsidR="0089283D">
        <w:rPr>
          <w:rFonts w:asciiTheme="minorHAnsi" w:hAnsiTheme="minorHAnsi" w:cstheme="minorHAnsi"/>
          <w:sz w:val="22"/>
          <w:szCs w:val="22"/>
        </w:rPr>
        <w:t>Research İstanbul</w:t>
      </w:r>
      <w:r w:rsidRPr="0043600F">
        <w:rPr>
          <w:rFonts w:asciiTheme="minorHAnsi" w:hAnsiTheme="minorHAnsi" w:cstheme="minorHAnsi"/>
          <w:sz w:val="22"/>
          <w:szCs w:val="22"/>
        </w:rPr>
        <w:t xml:space="preserve"> ve Betam’ın 2025</w:t>
      </w:r>
      <w:r w:rsidR="00662D48">
        <w:rPr>
          <w:rFonts w:asciiTheme="minorHAnsi" w:hAnsiTheme="minorHAnsi" w:cstheme="minorHAnsi"/>
          <w:sz w:val="22"/>
          <w:szCs w:val="22"/>
        </w:rPr>
        <w:t xml:space="preserve"> Şubat</w:t>
      </w:r>
      <w:r w:rsidRPr="0043600F">
        <w:rPr>
          <w:rFonts w:asciiTheme="minorHAnsi" w:hAnsiTheme="minorHAnsi" w:cstheme="minorHAnsi"/>
          <w:sz w:val="22"/>
          <w:szCs w:val="22"/>
        </w:rPr>
        <w:t>’t</w:t>
      </w:r>
      <w:r w:rsidR="00662D48">
        <w:rPr>
          <w:rFonts w:asciiTheme="minorHAnsi" w:hAnsiTheme="minorHAnsi" w:cstheme="minorHAnsi"/>
          <w:sz w:val="22"/>
          <w:szCs w:val="22"/>
        </w:rPr>
        <w:t>a</w:t>
      </w:r>
      <w:r w:rsidRPr="0043600F">
        <w:rPr>
          <w:rFonts w:asciiTheme="minorHAnsi" w:hAnsiTheme="minorHAnsi" w:cstheme="minorHAnsi"/>
          <w:sz w:val="22"/>
          <w:szCs w:val="22"/>
        </w:rPr>
        <w:t xml:space="preserve">ki anketi ile TCMB’nin </w:t>
      </w:r>
      <w:r w:rsidR="00662D48">
        <w:rPr>
          <w:rFonts w:asciiTheme="minorHAnsi" w:hAnsiTheme="minorHAnsi" w:cstheme="minorHAnsi"/>
          <w:sz w:val="22"/>
          <w:szCs w:val="22"/>
        </w:rPr>
        <w:t>2025 Ocak</w:t>
      </w:r>
      <w:r w:rsidRPr="0043600F">
        <w:rPr>
          <w:rFonts w:asciiTheme="minorHAnsi" w:hAnsiTheme="minorHAnsi" w:cstheme="minorHAnsi"/>
          <w:sz w:val="22"/>
          <w:szCs w:val="22"/>
        </w:rPr>
        <w:t>’t</w:t>
      </w:r>
      <w:r w:rsidR="00662D48">
        <w:rPr>
          <w:rFonts w:asciiTheme="minorHAnsi" w:hAnsiTheme="minorHAnsi" w:cstheme="minorHAnsi"/>
          <w:sz w:val="22"/>
          <w:szCs w:val="22"/>
        </w:rPr>
        <w:t>a</w:t>
      </w:r>
      <w:r w:rsidRPr="0043600F">
        <w:rPr>
          <w:rFonts w:asciiTheme="minorHAnsi" w:hAnsiTheme="minorHAnsi" w:cstheme="minorHAnsi"/>
          <w:sz w:val="22"/>
          <w:szCs w:val="22"/>
        </w:rPr>
        <w:t xml:space="preserve"> yayınladığı anket sonuçları baz alınmıştır.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4D"/>
    <w:rsid w:val="0000018C"/>
    <w:rsid w:val="00000B73"/>
    <w:rsid w:val="000011D8"/>
    <w:rsid w:val="000016F1"/>
    <w:rsid w:val="00001FD0"/>
    <w:rsid w:val="00002384"/>
    <w:rsid w:val="0000377B"/>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4C"/>
    <w:rsid w:val="00031966"/>
    <w:rsid w:val="000321A3"/>
    <w:rsid w:val="00032FCF"/>
    <w:rsid w:val="000331FA"/>
    <w:rsid w:val="00033817"/>
    <w:rsid w:val="00033B8A"/>
    <w:rsid w:val="00034A72"/>
    <w:rsid w:val="00034C68"/>
    <w:rsid w:val="000358D4"/>
    <w:rsid w:val="00035960"/>
    <w:rsid w:val="00035C79"/>
    <w:rsid w:val="00035FEC"/>
    <w:rsid w:val="000372FD"/>
    <w:rsid w:val="00037974"/>
    <w:rsid w:val="00037D6F"/>
    <w:rsid w:val="000406C2"/>
    <w:rsid w:val="00040712"/>
    <w:rsid w:val="00040A02"/>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7AA"/>
    <w:rsid w:val="00156902"/>
    <w:rsid w:val="00156BBA"/>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BF"/>
    <w:rsid w:val="002A6F88"/>
    <w:rsid w:val="002A714C"/>
    <w:rsid w:val="002A762A"/>
    <w:rsid w:val="002A7C09"/>
    <w:rsid w:val="002A7D5C"/>
    <w:rsid w:val="002A7E57"/>
    <w:rsid w:val="002B0304"/>
    <w:rsid w:val="002B0926"/>
    <w:rsid w:val="002B0B46"/>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813"/>
    <w:rsid w:val="003B484C"/>
    <w:rsid w:val="003B4891"/>
    <w:rsid w:val="003B553C"/>
    <w:rsid w:val="003B5552"/>
    <w:rsid w:val="003B5920"/>
    <w:rsid w:val="003B5C97"/>
    <w:rsid w:val="003B5DF8"/>
    <w:rsid w:val="003B5F22"/>
    <w:rsid w:val="003B62F1"/>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A50"/>
    <w:rsid w:val="003E63C7"/>
    <w:rsid w:val="003E6CC2"/>
    <w:rsid w:val="003E74CC"/>
    <w:rsid w:val="003E7866"/>
    <w:rsid w:val="003F05BE"/>
    <w:rsid w:val="003F06E6"/>
    <w:rsid w:val="003F07E4"/>
    <w:rsid w:val="003F1865"/>
    <w:rsid w:val="003F1A07"/>
    <w:rsid w:val="003F27CE"/>
    <w:rsid w:val="003F2D95"/>
    <w:rsid w:val="003F2FEF"/>
    <w:rsid w:val="003F309D"/>
    <w:rsid w:val="003F392D"/>
    <w:rsid w:val="003F3AB2"/>
    <w:rsid w:val="003F3B91"/>
    <w:rsid w:val="003F3CCA"/>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FD8"/>
    <w:rsid w:val="00410134"/>
    <w:rsid w:val="00410831"/>
    <w:rsid w:val="00411103"/>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B6A"/>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5"/>
    <w:rsid w:val="00526817"/>
    <w:rsid w:val="00526823"/>
    <w:rsid w:val="00527058"/>
    <w:rsid w:val="005278BF"/>
    <w:rsid w:val="00527BAB"/>
    <w:rsid w:val="00527EAB"/>
    <w:rsid w:val="00530104"/>
    <w:rsid w:val="005304E6"/>
    <w:rsid w:val="005324CD"/>
    <w:rsid w:val="005326A1"/>
    <w:rsid w:val="00532797"/>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C1"/>
    <w:rsid w:val="005444EB"/>
    <w:rsid w:val="005446CB"/>
    <w:rsid w:val="005448AB"/>
    <w:rsid w:val="005449DB"/>
    <w:rsid w:val="005454F2"/>
    <w:rsid w:val="005456D5"/>
    <w:rsid w:val="0054595C"/>
    <w:rsid w:val="00545CE5"/>
    <w:rsid w:val="00545E0D"/>
    <w:rsid w:val="00545EAD"/>
    <w:rsid w:val="0054613B"/>
    <w:rsid w:val="0054623C"/>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0E7A"/>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D16"/>
    <w:rsid w:val="00733D51"/>
    <w:rsid w:val="00733FA6"/>
    <w:rsid w:val="00734316"/>
    <w:rsid w:val="0073432B"/>
    <w:rsid w:val="00734459"/>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E3"/>
    <w:rsid w:val="00793B63"/>
    <w:rsid w:val="00793F0F"/>
    <w:rsid w:val="00793FA0"/>
    <w:rsid w:val="0079415C"/>
    <w:rsid w:val="00794863"/>
    <w:rsid w:val="00794923"/>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A1E"/>
    <w:rsid w:val="008010A5"/>
    <w:rsid w:val="00801EE7"/>
    <w:rsid w:val="008020AF"/>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E47"/>
    <w:rsid w:val="00851F13"/>
    <w:rsid w:val="00852D49"/>
    <w:rsid w:val="00853418"/>
    <w:rsid w:val="00853504"/>
    <w:rsid w:val="00853507"/>
    <w:rsid w:val="008538C4"/>
    <w:rsid w:val="00853B83"/>
    <w:rsid w:val="0085437F"/>
    <w:rsid w:val="0085449A"/>
    <w:rsid w:val="008549CF"/>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B26"/>
    <w:rsid w:val="00897BE2"/>
    <w:rsid w:val="00897DCD"/>
    <w:rsid w:val="00897F01"/>
    <w:rsid w:val="00897FC1"/>
    <w:rsid w:val="008A0080"/>
    <w:rsid w:val="008A0307"/>
    <w:rsid w:val="008A0DA4"/>
    <w:rsid w:val="008A0DA8"/>
    <w:rsid w:val="008A126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5578"/>
    <w:rsid w:val="008B563F"/>
    <w:rsid w:val="008B5915"/>
    <w:rsid w:val="008B5D85"/>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403"/>
    <w:rsid w:val="008D349A"/>
    <w:rsid w:val="008D41DE"/>
    <w:rsid w:val="008D42EB"/>
    <w:rsid w:val="008D4375"/>
    <w:rsid w:val="008D46D9"/>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99C"/>
    <w:rsid w:val="00BF1B2C"/>
    <w:rsid w:val="00BF27C2"/>
    <w:rsid w:val="00BF3A66"/>
    <w:rsid w:val="00BF3F4D"/>
    <w:rsid w:val="00BF40FE"/>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2256"/>
    <w:rsid w:val="00C923C1"/>
    <w:rsid w:val="00C925A6"/>
    <w:rsid w:val="00C92894"/>
    <w:rsid w:val="00C92B1A"/>
    <w:rsid w:val="00C92F47"/>
    <w:rsid w:val="00C93008"/>
    <w:rsid w:val="00C94326"/>
    <w:rsid w:val="00C94515"/>
    <w:rsid w:val="00C94E70"/>
    <w:rsid w:val="00C94F53"/>
    <w:rsid w:val="00C9502D"/>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9F"/>
    <w:rsid w:val="00D00699"/>
    <w:rsid w:val="00D00748"/>
    <w:rsid w:val="00D00CB3"/>
    <w:rsid w:val="00D00F28"/>
    <w:rsid w:val="00D0113A"/>
    <w:rsid w:val="00D022EE"/>
    <w:rsid w:val="00D02510"/>
    <w:rsid w:val="00D02640"/>
    <w:rsid w:val="00D0300B"/>
    <w:rsid w:val="00D0335B"/>
    <w:rsid w:val="00D036FA"/>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D4E"/>
    <w:rsid w:val="00DB7118"/>
    <w:rsid w:val="00DB7670"/>
    <w:rsid w:val="00DB7D8F"/>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E00D6"/>
    <w:rsid w:val="00DE060E"/>
    <w:rsid w:val="00DE0B85"/>
    <w:rsid w:val="00DE1525"/>
    <w:rsid w:val="00DE156F"/>
    <w:rsid w:val="00DE19B3"/>
    <w:rsid w:val="00DE1C51"/>
    <w:rsid w:val="00DE2F0B"/>
    <w:rsid w:val="00DE3868"/>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4D9"/>
    <w:rsid w:val="00E86767"/>
    <w:rsid w:val="00E86C38"/>
    <w:rsid w:val="00E86ED3"/>
    <w:rsid w:val="00E86FDF"/>
    <w:rsid w:val="00E87013"/>
    <w:rsid w:val="00E870DD"/>
    <w:rsid w:val="00E87152"/>
    <w:rsid w:val="00E8718B"/>
    <w:rsid w:val="00E87691"/>
    <w:rsid w:val="00E87726"/>
    <w:rsid w:val="00E8790B"/>
    <w:rsid w:val="00E87A99"/>
    <w:rsid w:val="00E87D7E"/>
    <w:rsid w:val="00E902E1"/>
    <w:rsid w:val="00E90CD3"/>
    <w:rsid w:val="00E91C54"/>
    <w:rsid w:val="00E91DFB"/>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97C"/>
    <w:rsid w:val="00EE6DA0"/>
    <w:rsid w:val="00EE74A8"/>
    <w:rsid w:val="00EE79E0"/>
    <w:rsid w:val="00EE7D43"/>
    <w:rsid w:val="00EE7F66"/>
    <w:rsid w:val="00EF0051"/>
    <w:rsid w:val="00EF0648"/>
    <w:rsid w:val="00EF076A"/>
    <w:rsid w:val="00EF0D1E"/>
    <w:rsid w:val="00EF0D51"/>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636"/>
    <w:rsid w:val="00F02AF9"/>
    <w:rsid w:val="00F032DB"/>
    <w:rsid w:val="00F03837"/>
    <w:rsid w:val="00F03914"/>
    <w:rsid w:val="00F03FC0"/>
    <w:rsid w:val="00F04D8D"/>
    <w:rsid w:val="00F057CA"/>
    <w:rsid w:val="00F05CF8"/>
    <w:rsid w:val="00F06A3B"/>
    <w:rsid w:val="00F06A76"/>
    <w:rsid w:val="00F06C48"/>
    <w:rsid w:val="00F06C6C"/>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605"/>
    <w:rsid w:val="00F5173A"/>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1CA7"/>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96C50"/>
  <w15:docId w15:val="{90D1D144-8707-6D45-8C94-B4871A78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FBB1C-89B3-4BDB-8D77-6F66309FF5FC}">
  <ds:schemaRefs>
    <ds:schemaRef ds:uri="http://schemas.microsoft.com/sharepoint/v3/contenttype/forms"/>
  </ds:schemaRefs>
</ds:datastoreItem>
</file>

<file path=customXml/itemProps4.xml><?xml version="1.0" encoding="utf-8"?>
<ds:datastoreItem xmlns:ds="http://schemas.openxmlformats.org/officeDocument/2006/customXml" ds:itemID="{26E5C620-53FE-493E-A898-FC7E131F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1519</Words>
  <Characters>8663</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merve.akgul</cp:lastModifiedBy>
  <cp:revision>4</cp:revision>
  <cp:lastPrinted>2023-07-10T09:21:00Z</cp:lastPrinted>
  <dcterms:created xsi:type="dcterms:W3CDTF">2025-02-24T12:40:00Z</dcterms:created>
  <dcterms:modified xsi:type="dcterms:W3CDTF">2025-02-25T07:35:00Z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