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38576443" w:rsidR="00667FE8" w:rsidRPr="00296017" w:rsidRDefault="00CA76FE" w:rsidP="007C3CD9">
      <w:pPr>
        <w:pStyle w:val="Balk4"/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C273DC6" wp14:editId="3A8F3C05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433640" w:rsidRPr="00F31F20" w:rsidRDefault="00433640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4141F08D" w:rsidR="00433640" w:rsidRPr="00F31F20" w:rsidRDefault="00BD6925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December</w:t>
                            </w:r>
                            <w:r w:rsidR="00433640"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 w:rsidR="0043364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14:paraId="517AB707" w14:textId="77777777" w:rsidR="00433640" w:rsidRPr="00526178" w:rsidRDefault="00433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190F1B90" w14:textId="77777777" w:rsidR="00433640" w:rsidRPr="00F31F20" w:rsidRDefault="00433640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4141F08D" w:rsidR="00433640" w:rsidRPr="00F31F20" w:rsidRDefault="00BD6925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December</w:t>
                      </w:r>
                      <w:r w:rsidR="00433640"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 w:rsidR="0043364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14:paraId="517AB707" w14:textId="77777777" w:rsidR="00433640" w:rsidRPr="00526178" w:rsidRDefault="00433640"/>
                  </w:txbxContent>
                </v:textbox>
              </v:shape>
            </w:pict>
          </mc:Fallback>
        </mc:AlternateContent>
      </w:r>
      <w:r w:rsidR="00A3249B" w:rsidRPr="00296017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0BAE2873" w:rsidR="00667FE8" w:rsidRPr="00296017" w:rsidRDefault="00BA19E2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A574D" wp14:editId="471A1365">
                <wp:simplePos x="0" y="0"/>
                <wp:positionH relativeFrom="column">
                  <wp:posOffset>5524500</wp:posOffset>
                </wp:positionH>
                <wp:positionV relativeFrom="paragraph">
                  <wp:posOffset>103505</wp:posOffset>
                </wp:positionV>
                <wp:extent cx="1459230" cy="29654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3B88" w14:textId="51FB4146" w:rsidR="00433640" w:rsidRPr="00BA19E2" w:rsidRDefault="00433640" w:rsidP="00BA19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54249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BD6925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Dec</w:t>
                            </w:r>
                            <w:r w:rsidRPr="00BA19E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574D" id="Metin Kutusu 2" o:spid="_x0000_s1027" type="#_x0000_t202" style="position:absolute;margin-left:435pt;margin-top:8.15pt;width:114.9pt;height:2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" filled="f" stroked="f">
                <v:textbox>
                  <w:txbxContent>
                    <w:p w14:paraId="35C33B88" w14:textId="51FB4146" w:rsidR="00433640" w:rsidRPr="00BA19E2" w:rsidRDefault="00433640" w:rsidP="00BA19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1</w:t>
                      </w:r>
                      <w:r w:rsidR="0054249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BD6925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Dec</w:t>
                      </w:r>
                      <w:r w:rsidRPr="00BA19E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5138D" w14:textId="273802C1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45BAED0" w14:textId="77777777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9601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96017">
        <w:rPr>
          <w:rFonts w:ascii="Arial" w:hAnsi="Arial" w:cs="Arial"/>
          <w:b/>
          <w:bCs/>
          <w:lang w:val="en-US"/>
        </w:rPr>
        <w:tab/>
      </w:r>
    </w:p>
    <w:p w14:paraId="24ED2E0C" w14:textId="77777777" w:rsidR="0054249C" w:rsidRDefault="0054249C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75CA14F2" w14:textId="4BB2F57A" w:rsidR="00062FB0" w:rsidRDefault="0054249C" w:rsidP="0054249C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UNEMPLOYMENT RATE IS BELOW 9 PERCENT AFTER 10 YEARS AS A RESULT OF STRONG MONTHLY INCREASE IN EMPLOYMENT</w:t>
      </w:r>
    </w:p>
    <w:p w14:paraId="14EC6387" w14:textId="77777777" w:rsidR="0054249C" w:rsidRPr="00296017" w:rsidRDefault="0054249C" w:rsidP="0054249C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29769710" w:rsidR="004A3731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96017">
        <w:rPr>
          <w:rFonts w:ascii="Arial" w:hAnsi="Arial" w:cs="Arial"/>
          <w:b/>
          <w:bCs/>
          <w:sz w:val="20"/>
          <w:szCs w:val="20"/>
          <w:lang w:val="en-US"/>
        </w:rPr>
        <w:t>Seyfettin Gürsel</w:t>
      </w:r>
      <w:r w:rsidRPr="00296017">
        <w:rPr>
          <w:rStyle w:val="DipnotBavurusu"/>
          <w:rFonts w:ascii="Arial" w:hAnsi="Arial"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C5567B">
        <w:rPr>
          <w:rFonts w:ascii="Arial" w:hAnsi="Arial" w:cs="Arial"/>
          <w:b/>
          <w:bCs/>
          <w:sz w:val="20"/>
          <w:szCs w:val="20"/>
          <w:lang w:val="en-US"/>
        </w:rPr>
        <w:t>Betül</w:t>
      </w:r>
      <w:r w:rsidR="00BE09B4"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5567B">
        <w:rPr>
          <w:rFonts w:ascii="Arial" w:hAnsi="Arial" w:cs="Arial"/>
          <w:b/>
          <w:bCs/>
          <w:sz w:val="20"/>
          <w:szCs w:val="20"/>
          <w:lang w:val="en-US"/>
        </w:rPr>
        <w:t>Akbulut</w:t>
      </w:r>
      <w:r w:rsidRPr="00296017">
        <w:rPr>
          <w:rStyle w:val="DipnotBavurusu"/>
          <w:rFonts w:ascii="Arial" w:hAnsi="Arial"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</w:p>
    <w:p w14:paraId="761539CF" w14:textId="77777777" w:rsidR="00BF75F8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96017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96017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96017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307D6B" w14:textId="341540CC" w:rsidR="00973066" w:rsidRDefault="0054249C" w:rsidP="00D10E27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While employment decreases from July to September, there is a strong increase of 246,000 people from September to October. While the number of unemployed people decreased by 163,000, </w:t>
      </w:r>
      <w:r w:rsidR="00F94C7D">
        <w:rPr>
          <w:rFonts w:ascii="Arial" w:hAnsi="Arial" w:cs="Arial"/>
          <w:sz w:val="20"/>
          <w:szCs w:val="20"/>
          <w:lang w:val="en-US"/>
        </w:rPr>
        <w:t xml:space="preserve">the total labor force increased approximately 83,000. As a result, the unemployment rate decreased </w:t>
      </w:r>
      <w:r w:rsidR="00973066">
        <w:rPr>
          <w:rFonts w:ascii="Arial" w:hAnsi="Arial" w:cs="Arial"/>
          <w:sz w:val="20"/>
          <w:szCs w:val="20"/>
          <w:lang w:val="en-US"/>
        </w:rPr>
        <w:t xml:space="preserve">from 9 percent to 8.5 percent. The last unemployment rate was recorded as 8.8 percent in June 2013. </w:t>
      </w:r>
    </w:p>
    <w:p w14:paraId="56AD64F3" w14:textId="77777777" w:rsidR="0054249C" w:rsidRDefault="0054249C" w:rsidP="00D10E27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E7FB361" w14:textId="4BF73CC3" w:rsidR="00D10E27" w:rsidRDefault="00973066" w:rsidP="00D10E27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seasonally adjusted female unemployment rate decreased by 0.8 percentage points from September to October, reaching 11.3 percent, as a result of a 144,000 increase in employment and 84,000 decrease in the number of unemployed. </w:t>
      </w:r>
      <w:r w:rsidRPr="00973066">
        <w:rPr>
          <w:rFonts w:ascii="Arial" w:hAnsi="Arial" w:cs="Arial"/>
          <w:sz w:val="20"/>
          <w:szCs w:val="20"/>
          <w:lang w:val="en-US"/>
        </w:rPr>
        <w:t>On the other hand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973066">
        <w:rPr>
          <w:rFonts w:ascii="Arial" w:hAnsi="Arial" w:cs="Arial"/>
          <w:sz w:val="20"/>
          <w:szCs w:val="20"/>
          <w:lang w:val="en-US"/>
        </w:rPr>
        <w:t>the male unemployment rate</w:t>
      </w:r>
      <w:r>
        <w:rPr>
          <w:rFonts w:ascii="Arial" w:hAnsi="Arial" w:cs="Arial"/>
          <w:sz w:val="20"/>
          <w:szCs w:val="20"/>
          <w:lang w:val="en-US"/>
        </w:rPr>
        <w:t xml:space="preserve"> decreased by 0.4 percentage points</w:t>
      </w:r>
      <w:r w:rsidR="005F410D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reaching </w:t>
      </w:r>
      <w:r w:rsidR="005F410D">
        <w:rPr>
          <w:rFonts w:ascii="Arial" w:hAnsi="Arial" w:cs="Arial"/>
          <w:sz w:val="20"/>
          <w:szCs w:val="20"/>
          <w:lang w:val="en-US"/>
        </w:rPr>
        <w:t xml:space="preserve">7 percent in October, following a 102,000 increase in employment and a 79,000 </w:t>
      </w:r>
      <w:r w:rsidR="005F410D" w:rsidRPr="005F410D">
        <w:rPr>
          <w:rFonts w:ascii="Arial" w:hAnsi="Arial" w:cs="Arial"/>
          <w:sz w:val="20"/>
          <w:szCs w:val="20"/>
          <w:lang w:val="en-US"/>
        </w:rPr>
        <w:t>decrease in the number of unemployed males</w:t>
      </w:r>
      <w:r w:rsidR="005F410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F5EE724" w14:textId="3A96DC20" w:rsidR="00062FB0" w:rsidRPr="00296017" w:rsidRDefault="00BE09B4" w:rsidP="00D10E27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female labor force level </w:t>
      </w:r>
      <w:r w:rsidR="005F410D">
        <w:rPr>
          <w:rFonts w:ascii="Arial" w:hAnsi="Arial" w:cs="Arial"/>
          <w:b w:val="0"/>
          <w:bCs w:val="0"/>
          <w:lang w:val="en-US"/>
        </w:rPr>
        <w:t>increased</w:t>
      </w:r>
      <w:r w:rsidRPr="00296017">
        <w:rPr>
          <w:rFonts w:ascii="Arial" w:hAnsi="Arial" w:cs="Arial"/>
          <w:b w:val="0"/>
          <w:bCs w:val="0"/>
          <w:lang w:val="en-US"/>
        </w:rPr>
        <w:t xml:space="preserve"> by 109</w:t>
      </w:r>
      <w:r w:rsidR="00062FB0" w:rsidRPr="00296017">
        <w:rPr>
          <w:rFonts w:ascii="Arial" w:hAnsi="Arial" w:cs="Arial"/>
          <w:b w:val="0"/>
          <w:bCs w:val="0"/>
          <w:lang w:val="en-US"/>
        </w:rPr>
        <w:t>,000, while the male la</w:t>
      </w:r>
      <w:r w:rsidRPr="00296017">
        <w:rPr>
          <w:rFonts w:ascii="Arial" w:hAnsi="Arial" w:cs="Arial"/>
          <w:b w:val="0"/>
          <w:bCs w:val="0"/>
          <w:lang w:val="en-US"/>
        </w:rPr>
        <w:t xml:space="preserve">bor force level increased by </w:t>
      </w:r>
      <w:r w:rsidR="005F410D">
        <w:rPr>
          <w:rFonts w:ascii="Arial" w:hAnsi="Arial" w:cs="Arial"/>
          <w:b w:val="0"/>
          <w:bCs w:val="0"/>
          <w:lang w:val="en-US"/>
        </w:rPr>
        <w:t>23</w:t>
      </w:r>
      <w:r w:rsidR="00062FB0" w:rsidRPr="00296017">
        <w:rPr>
          <w:rFonts w:ascii="Arial" w:hAnsi="Arial" w:cs="Arial"/>
          <w:b w:val="0"/>
          <w:bCs w:val="0"/>
          <w:lang w:val="en-US"/>
        </w:rPr>
        <w:t>,000. Consequently, the gen</w:t>
      </w:r>
      <w:r w:rsidRPr="00296017">
        <w:rPr>
          <w:rFonts w:ascii="Arial" w:hAnsi="Arial" w:cs="Arial"/>
          <w:b w:val="0"/>
          <w:bCs w:val="0"/>
          <w:lang w:val="en-US"/>
        </w:rPr>
        <w:t xml:space="preserve">der gap in unemployment rates decreased from </w:t>
      </w:r>
      <w:r w:rsidR="005F410D">
        <w:rPr>
          <w:rFonts w:ascii="Arial" w:hAnsi="Arial" w:cs="Arial"/>
          <w:b w:val="0"/>
          <w:bCs w:val="0"/>
          <w:lang w:val="en-US"/>
        </w:rPr>
        <w:t>4.4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percentage points to 4.</w:t>
      </w:r>
      <w:r w:rsidR="005F410D">
        <w:rPr>
          <w:rFonts w:ascii="Arial" w:hAnsi="Arial" w:cs="Arial"/>
          <w:b w:val="0"/>
          <w:bCs w:val="0"/>
          <w:lang w:val="en-US"/>
        </w:rPr>
        <w:t>3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percentage points in </w:t>
      </w:r>
      <w:r w:rsidR="005F410D">
        <w:rPr>
          <w:rFonts w:ascii="Arial" w:hAnsi="Arial" w:cs="Arial"/>
          <w:b w:val="0"/>
          <w:bCs w:val="0"/>
          <w:lang w:val="en-US"/>
        </w:rPr>
        <w:t>October</w:t>
      </w:r>
      <w:r w:rsidR="00062FB0" w:rsidRPr="00296017">
        <w:rPr>
          <w:rFonts w:ascii="Arial" w:hAnsi="Arial" w:cs="Arial"/>
          <w:b w:val="0"/>
          <w:bCs w:val="0"/>
          <w:lang w:val="en-US"/>
        </w:rPr>
        <w:t>.</w:t>
      </w:r>
    </w:p>
    <w:p w14:paraId="72188246" w14:textId="77777777" w:rsidR="00062FB0" w:rsidRPr="00296017" w:rsidRDefault="00062FB0" w:rsidP="004866AC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0BD46ACB" w14:textId="77777777" w:rsidR="00D10E27" w:rsidRPr="00296017" w:rsidRDefault="00D10E27" w:rsidP="00D10E27">
      <w:pPr>
        <w:rPr>
          <w:rFonts w:ascii="Arial" w:hAnsi="Arial" w:cs="Arial"/>
          <w:lang w:val="en-US"/>
        </w:rPr>
      </w:pPr>
    </w:p>
    <w:p w14:paraId="1380B379" w14:textId="7ED4A033" w:rsidR="005E139A" w:rsidRPr="00296017" w:rsidRDefault="00C96208" w:rsidP="0014705A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</w:t>
      </w:r>
      <w:r w:rsidR="0014705A" w:rsidRPr="00296017">
        <w:rPr>
          <w:rFonts w:ascii="Arial" w:hAnsi="Arial" w:cs="Arial"/>
          <w:lang w:val="en-US"/>
        </w:rPr>
        <w:t>e, employment, and unemployment</w:t>
      </w:r>
    </w:p>
    <w:p w14:paraId="3A263A2B" w14:textId="00AE597C" w:rsidR="003D3A99" w:rsidRPr="00296017" w:rsidRDefault="005F410D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BAB93B5" wp14:editId="350A29FE">
            <wp:extent cx="5130800" cy="2425700"/>
            <wp:effectExtent l="0" t="0" r="0" b="0"/>
            <wp:docPr id="37746915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Hlk79581063"/>
      <w:r w:rsidRPr="00296017">
        <w:rPr>
          <w:rFonts w:ascii="Arial" w:hAnsi="Arial" w:cs="Arial"/>
          <w:sz w:val="20"/>
          <w:szCs w:val="20"/>
          <w:lang w:val="en-US"/>
        </w:rPr>
        <w:t>Source: Turkstat, Betam</w:t>
      </w:r>
    </w:p>
    <w:bookmarkEnd w:id="0"/>
    <w:p w14:paraId="33D81EF5" w14:textId="77777777" w:rsidR="00144E11" w:rsidRPr="00296017" w:rsidRDefault="00144E11" w:rsidP="00144E11">
      <w:pPr>
        <w:pStyle w:val="Balk1"/>
        <w:ind w:left="539" w:right="408" w:hanging="431"/>
        <w:jc w:val="both"/>
        <w:rPr>
          <w:sz w:val="22"/>
          <w:szCs w:val="22"/>
          <w:lang w:val="en-US"/>
        </w:rPr>
      </w:pPr>
    </w:p>
    <w:p w14:paraId="476B087F" w14:textId="6475FA5D" w:rsidR="00144E11" w:rsidRPr="00296017" w:rsidRDefault="005F410D" w:rsidP="00EF1CEB">
      <w:pPr>
        <w:pStyle w:val="Balk1"/>
        <w:ind w:left="0" w:firstLine="0"/>
        <w:jc w:val="both"/>
        <w:rPr>
          <w:sz w:val="22"/>
          <w:szCs w:val="22"/>
          <w:lang w:val="en-US"/>
        </w:rPr>
      </w:pPr>
      <w:r w:rsidRPr="006503C5">
        <w:rPr>
          <w:sz w:val="22"/>
          <w:szCs w:val="22"/>
          <w:lang w:val="en-US"/>
        </w:rPr>
        <w:t>Sharp</w:t>
      </w:r>
      <w:r>
        <w:rPr>
          <w:sz w:val="22"/>
          <w:szCs w:val="22"/>
          <w:lang w:val="en-US"/>
        </w:rPr>
        <w:t xml:space="preserve"> decline in unemployment rate due to strong monthly increase in employment</w:t>
      </w:r>
    </w:p>
    <w:p w14:paraId="5A40A126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6D6992E6" w14:textId="7AF58EF8" w:rsidR="00AB49B4" w:rsidRPr="00296017" w:rsidRDefault="00EF1CEB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According to seasonally adjusted data, the number of employed individuals </w:t>
      </w:r>
      <w:r w:rsidR="005F410D">
        <w:rPr>
          <w:rFonts w:ascii="Arial" w:hAnsi="Arial" w:cs="Arial"/>
          <w:sz w:val="20"/>
          <w:szCs w:val="20"/>
          <w:lang w:val="en-US"/>
        </w:rPr>
        <w:t>increased</w:t>
      </w:r>
      <w:r w:rsidR="003D3A99" w:rsidRPr="00296017">
        <w:rPr>
          <w:rFonts w:ascii="Arial" w:hAnsi="Arial" w:cs="Arial"/>
          <w:sz w:val="20"/>
          <w:szCs w:val="20"/>
          <w:lang w:val="en-US"/>
        </w:rPr>
        <w:t xml:space="preserve"> by </w:t>
      </w:r>
      <w:r w:rsidR="005F410D">
        <w:rPr>
          <w:rFonts w:ascii="Arial" w:hAnsi="Arial" w:cs="Arial"/>
          <w:sz w:val="20"/>
          <w:szCs w:val="20"/>
          <w:lang w:val="en-US"/>
        </w:rPr>
        <w:t>246</w:t>
      </w:r>
      <w:r w:rsidR="003D3A99" w:rsidRPr="00296017">
        <w:rPr>
          <w:rFonts w:ascii="Arial" w:hAnsi="Arial" w:cs="Arial"/>
          <w:sz w:val="20"/>
          <w:szCs w:val="20"/>
          <w:lang w:val="en-US"/>
        </w:rPr>
        <w:t>,000, reaching 31.</w:t>
      </w:r>
      <w:r w:rsidR="005F410D">
        <w:rPr>
          <w:rFonts w:ascii="Arial" w:hAnsi="Arial" w:cs="Arial"/>
          <w:sz w:val="20"/>
          <w:szCs w:val="20"/>
          <w:lang w:val="en-US"/>
        </w:rPr>
        <w:t>835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from </w:t>
      </w:r>
      <w:r w:rsidR="005F410D">
        <w:rPr>
          <w:rFonts w:ascii="Arial" w:hAnsi="Arial" w:cs="Arial"/>
          <w:sz w:val="20"/>
          <w:szCs w:val="20"/>
          <w:lang w:val="en-US"/>
        </w:rPr>
        <w:t>September</w:t>
      </w:r>
      <w:r w:rsidR="003D3A99" w:rsidRPr="00296017">
        <w:rPr>
          <w:rFonts w:ascii="Arial" w:hAnsi="Arial" w:cs="Arial"/>
          <w:sz w:val="20"/>
          <w:szCs w:val="20"/>
          <w:lang w:val="en-US"/>
        </w:rPr>
        <w:t xml:space="preserve"> to </w:t>
      </w:r>
      <w:r w:rsidR="005F410D">
        <w:rPr>
          <w:rFonts w:ascii="Arial" w:hAnsi="Arial" w:cs="Arial"/>
          <w:sz w:val="20"/>
          <w:szCs w:val="20"/>
          <w:lang w:val="en-US"/>
        </w:rPr>
        <w:t>October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. In </w:t>
      </w:r>
      <w:r w:rsidR="005F410D">
        <w:rPr>
          <w:rFonts w:ascii="Arial" w:hAnsi="Arial" w:cs="Arial"/>
          <w:sz w:val="20"/>
          <w:szCs w:val="20"/>
          <w:lang w:val="en-US"/>
        </w:rPr>
        <w:t>October</w:t>
      </w:r>
      <w:r w:rsidRPr="00296017">
        <w:rPr>
          <w:rFonts w:ascii="Arial" w:hAnsi="Arial" w:cs="Arial"/>
          <w:sz w:val="20"/>
          <w:szCs w:val="20"/>
          <w:lang w:val="en-US"/>
        </w:rPr>
        <w:t>, the number of un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employed individuals decreased by </w:t>
      </w:r>
      <w:r w:rsidR="005F410D">
        <w:rPr>
          <w:rFonts w:ascii="Arial" w:hAnsi="Arial" w:cs="Arial"/>
          <w:sz w:val="20"/>
          <w:szCs w:val="20"/>
          <w:lang w:val="en-US"/>
        </w:rPr>
        <w:t>163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,000, reaching </w:t>
      </w:r>
      <w:r w:rsidR="005F410D">
        <w:rPr>
          <w:rFonts w:ascii="Arial" w:hAnsi="Arial" w:cs="Arial"/>
          <w:sz w:val="20"/>
          <w:szCs w:val="20"/>
          <w:lang w:val="en-US"/>
        </w:rPr>
        <w:t>2</w:t>
      </w:r>
      <w:r w:rsidR="008E416F" w:rsidRPr="00296017">
        <w:rPr>
          <w:rFonts w:ascii="Arial" w:hAnsi="Arial" w:cs="Arial"/>
          <w:sz w:val="20"/>
          <w:szCs w:val="20"/>
          <w:lang w:val="en-US"/>
        </w:rPr>
        <w:t>.</w:t>
      </w:r>
      <w:r w:rsidR="005F410D">
        <w:rPr>
          <w:rFonts w:ascii="Arial" w:hAnsi="Arial" w:cs="Arial"/>
          <w:sz w:val="20"/>
          <w:szCs w:val="20"/>
          <w:lang w:val="en-US"/>
        </w:rPr>
        <w:t>961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 million. The labor force </w:t>
      </w:r>
      <w:r w:rsidR="005A339D">
        <w:rPr>
          <w:rFonts w:ascii="Arial" w:hAnsi="Arial" w:cs="Arial"/>
          <w:sz w:val="20"/>
          <w:szCs w:val="20"/>
          <w:lang w:val="en-US"/>
        </w:rPr>
        <w:t>increased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 by </w:t>
      </w:r>
      <w:r w:rsidR="005A339D">
        <w:rPr>
          <w:rFonts w:ascii="Arial" w:hAnsi="Arial" w:cs="Arial"/>
          <w:sz w:val="20"/>
          <w:szCs w:val="20"/>
          <w:lang w:val="en-US"/>
        </w:rPr>
        <w:t>83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,000 and stands at </w:t>
      </w:r>
      <w:r w:rsidR="005A339D">
        <w:rPr>
          <w:rFonts w:ascii="Arial" w:hAnsi="Arial" w:cs="Arial"/>
          <w:sz w:val="20"/>
          <w:szCs w:val="20"/>
          <w:lang w:val="en-US"/>
        </w:rPr>
        <w:t>34</w:t>
      </w:r>
      <w:r w:rsidR="008E416F" w:rsidRPr="00296017">
        <w:rPr>
          <w:rFonts w:ascii="Arial" w:hAnsi="Arial" w:cs="Arial"/>
          <w:sz w:val="20"/>
          <w:szCs w:val="20"/>
          <w:lang w:val="en-US"/>
        </w:rPr>
        <w:t>.</w:t>
      </w:r>
      <w:r w:rsidR="005A339D">
        <w:rPr>
          <w:rFonts w:ascii="Arial" w:hAnsi="Arial" w:cs="Arial"/>
          <w:sz w:val="20"/>
          <w:szCs w:val="20"/>
          <w:lang w:val="en-US"/>
        </w:rPr>
        <w:t>769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(Figure 1, Table 1). As a </w:t>
      </w:r>
      <w:r w:rsidR="00E738C7" w:rsidRPr="00296017">
        <w:rPr>
          <w:rFonts w:ascii="Arial" w:hAnsi="Arial" w:cs="Arial"/>
          <w:sz w:val="20"/>
          <w:szCs w:val="20"/>
          <w:lang w:val="en-US"/>
        </w:rPr>
        <w:t>result, the unemployment rate de</w:t>
      </w:r>
      <w:r w:rsidRPr="00296017">
        <w:rPr>
          <w:rFonts w:ascii="Arial" w:hAnsi="Arial" w:cs="Arial"/>
          <w:sz w:val="20"/>
          <w:szCs w:val="20"/>
          <w:lang w:val="en-US"/>
        </w:rPr>
        <w:t>creased by 0.</w:t>
      </w:r>
      <w:r w:rsidR="005A339D">
        <w:rPr>
          <w:rFonts w:ascii="Arial" w:hAnsi="Arial" w:cs="Arial"/>
          <w:sz w:val="20"/>
          <w:szCs w:val="20"/>
          <w:lang w:val="en-US"/>
        </w:rPr>
        <w:t>5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percentage points from </w:t>
      </w:r>
      <w:r w:rsidR="005A339D">
        <w:rPr>
          <w:rFonts w:ascii="Arial" w:hAnsi="Arial" w:cs="Arial"/>
          <w:sz w:val="20"/>
          <w:szCs w:val="20"/>
          <w:lang w:val="en-US"/>
        </w:rPr>
        <w:t>September</w:t>
      </w:r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 to </w:t>
      </w:r>
      <w:r w:rsidR="005A339D">
        <w:rPr>
          <w:rFonts w:ascii="Arial" w:hAnsi="Arial" w:cs="Arial"/>
          <w:sz w:val="20"/>
          <w:szCs w:val="20"/>
          <w:lang w:val="en-US"/>
        </w:rPr>
        <w:t>October</w:t>
      </w:r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, reaching </w:t>
      </w:r>
      <w:r w:rsidR="005A339D">
        <w:rPr>
          <w:rFonts w:ascii="Arial" w:hAnsi="Arial" w:cs="Arial"/>
          <w:sz w:val="20"/>
          <w:szCs w:val="20"/>
          <w:lang w:val="en-US"/>
        </w:rPr>
        <w:t>8.5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percent.</w:t>
      </w:r>
    </w:p>
    <w:p w14:paraId="35DDF2EE" w14:textId="77777777" w:rsidR="00EF1CEB" w:rsidRPr="00296017" w:rsidRDefault="00EF1CEB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9B149EA" w14:textId="744342C3" w:rsidR="00AB48F0" w:rsidRPr="00296017" w:rsidRDefault="004F67C7" w:rsidP="00EF1CEB">
      <w:pPr>
        <w:pStyle w:val="Balk1"/>
        <w:ind w:left="0" w:firstLine="0"/>
        <w:jc w:val="both"/>
        <w:rPr>
          <w:sz w:val="22"/>
          <w:szCs w:val="22"/>
          <w:lang w:val="en-US"/>
        </w:rPr>
      </w:pPr>
      <w:r w:rsidRPr="00296017">
        <w:rPr>
          <w:sz w:val="22"/>
          <w:szCs w:val="22"/>
          <w:lang w:val="en-US"/>
        </w:rPr>
        <w:lastRenderedPageBreak/>
        <w:t xml:space="preserve">Developments in the alternative unemployment rates </w:t>
      </w:r>
    </w:p>
    <w:p w14:paraId="37AC1BFA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0D4A0305" w14:textId="3D691DE9" w:rsidR="00987C86" w:rsidRPr="00296017" w:rsidRDefault="00987C86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>Box 1 r</w:t>
      </w:r>
      <w:r w:rsidR="00E738C7" w:rsidRPr="00296017">
        <w:rPr>
          <w:rFonts w:ascii="Arial" w:hAnsi="Arial" w:cs="Arial"/>
          <w:sz w:val="20"/>
          <w:szCs w:val="20"/>
          <w:lang w:val="en-US"/>
        </w:rPr>
        <w:t>eports the methods Turkstat uses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to calculate the alternative unemployment rates. These measures consider both the time-related underemployment (those who are employed for less than 40 hours a week but would like to increase their</w:t>
      </w:r>
      <w:r w:rsidR="00433640" w:rsidRPr="00296017">
        <w:rPr>
          <w:rFonts w:ascii="Arial" w:hAnsi="Arial" w:cs="Arial"/>
          <w:sz w:val="20"/>
          <w:szCs w:val="20"/>
          <w:lang w:val="en-US"/>
        </w:rPr>
        <w:t xml:space="preserve"> working hours and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fail to do so) and the potential labor force (the individuals who are neither employed nor looking for a job but wish to work).</w:t>
      </w:r>
    </w:p>
    <w:p w14:paraId="5E521418" w14:textId="77777777" w:rsidR="00EF1CEB" w:rsidRPr="00296017" w:rsidRDefault="00EF1CEB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59A6B5F" w14:textId="12ACB212" w:rsidR="005A339D" w:rsidRDefault="00EF1CEB" w:rsidP="00AB48F0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>According to seasonally adjusted data, the "overall unemployme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nt rate" in </w:t>
      </w:r>
      <w:r w:rsidR="005A339D">
        <w:rPr>
          <w:rFonts w:ascii="Arial" w:hAnsi="Arial" w:cs="Arial"/>
          <w:b w:val="0"/>
          <w:bCs w:val="0"/>
          <w:lang w:val="en-US"/>
        </w:rPr>
        <w:t>October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was </w:t>
      </w:r>
      <w:r w:rsidR="005A339D">
        <w:rPr>
          <w:rFonts w:ascii="Arial" w:hAnsi="Arial" w:cs="Arial"/>
          <w:b w:val="0"/>
          <w:bCs w:val="0"/>
          <w:lang w:val="en-US"/>
        </w:rPr>
        <w:t>8.5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percent, while the unemployment rate considering the potential l</w:t>
      </w:r>
      <w:r w:rsidR="00E738C7" w:rsidRPr="00296017">
        <w:rPr>
          <w:rFonts w:ascii="Arial" w:hAnsi="Arial" w:cs="Arial"/>
          <w:b w:val="0"/>
          <w:bCs w:val="0"/>
          <w:lang w:val="en-US"/>
        </w:rPr>
        <w:t>abor force decreased from 1</w:t>
      </w:r>
      <w:r w:rsidR="005A339D">
        <w:rPr>
          <w:rFonts w:ascii="Arial" w:hAnsi="Arial" w:cs="Arial"/>
          <w:b w:val="0"/>
          <w:bCs w:val="0"/>
          <w:lang w:val="en-US"/>
        </w:rPr>
        <w:t>6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5A339D">
        <w:rPr>
          <w:rFonts w:ascii="Arial" w:hAnsi="Arial" w:cs="Arial"/>
          <w:b w:val="0"/>
          <w:bCs w:val="0"/>
          <w:lang w:val="en-US"/>
        </w:rPr>
        <w:t>7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to 16.</w:t>
      </w:r>
      <w:r w:rsidR="005A339D">
        <w:rPr>
          <w:rFonts w:ascii="Arial" w:hAnsi="Arial" w:cs="Arial"/>
          <w:b w:val="0"/>
          <w:bCs w:val="0"/>
          <w:lang w:val="en-US"/>
        </w:rPr>
        <w:t>6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percent, with a </w:t>
      </w:r>
      <w:r w:rsidR="005A339D">
        <w:rPr>
          <w:rFonts w:ascii="Arial" w:hAnsi="Arial" w:cs="Arial"/>
          <w:b w:val="0"/>
          <w:bCs w:val="0"/>
          <w:lang w:val="en-US"/>
        </w:rPr>
        <w:t>increase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of </w:t>
      </w:r>
      <w:r w:rsidR="005A339D">
        <w:rPr>
          <w:rFonts w:ascii="Arial" w:hAnsi="Arial" w:cs="Arial"/>
          <w:b w:val="0"/>
          <w:bCs w:val="0"/>
          <w:lang w:val="en-US"/>
        </w:rPr>
        <w:t>166</w:t>
      </w:r>
      <w:r w:rsidRPr="00296017">
        <w:rPr>
          <w:rFonts w:ascii="Arial" w:hAnsi="Arial" w:cs="Arial"/>
          <w:b w:val="0"/>
          <w:bCs w:val="0"/>
          <w:lang w:val="en-US"/>
        </w:rPr>
        <w:t>,000 in the potential labor force.</w:t>
      </w:r>
      <w:r w:rsidR="005A339D">
        <w:rPr>
          <w:rFonts w:ascii="Arial" w:hAnsi="Arial" w:cs="Arial"/>
          <w:b w:val="0"/>
          <w:bCs w:val="0"/>
          <w:lang w:val="en-US"/>
        </w:rPr>
        <w:t xml:space="preserve"> </w:t>
      </w:r>
      <w:r w:rsidR="005A339D">
        <w:rPr>
          <w:rFonts w:ascii="Arial" w:hAnsi="Arial" w:cs="Arial"/>
          <w:b w:val="0"/>
          <w:bCs w:val="0"/>
          <w:lang w:val="en-US"/>
        </w:rPr>
        <w:t>The high increase in potential labor force limited the decline in the “broadly defined unemployment” rate,</w:t>
      </w:r>
      <w:r w:rsidR="005A339D">
        <w:rPr>
          <w:rFonts w:ascii="Arial" w:hAnsi="Arial" w:cs="Arial"/>
          <w:b w:val="0"/>
          <w:bCs w:val="0"/>
          <w:lang w:val="en-US"/>
        </w:rPr>
        <w:t xml:space="preserve"> </w:t>
      </w:r>
      <w:r w:rsidRPr="00296017">
        <w:rPr>
          <w:rFonts w:ascii="Arial" w:hAnsi="Arial" w:cs="Arial"/>
          <w:b w:val="0"/>
          <w:bCs w:val="0"/>
          <w:lang w:val="en-US"/>
        </w:rPr>
        <w:t>accounting for time-related unde</w:t>
      </w:r>
      <w:r w:rsidR="00E738C7" w:rsidRPr="00296017">
        <w:rPr>
          <w:rFonts w:ascii="Arial" w:hAnsi="Arial" w:cs="Arial"/>
          <w:b w:val="0"/>
          <w:bCs w:val="0"/>
          <w:lang w:val="en-US"/>
        </w:rPr>
        <w:t>remployment decreased by 0.</w:t>
      </w:r>
      <w:r w:rsidR="005A339D">
        <w:rPr>
          <w:rFonts w:ascii="Arial" w:hAnsi="Arial" w:cs="Arial"/>
          <w:b w:val="0"/>
          <w:bCs w:val="0"/>
          <w:lang w:val="en-US"/>
        </w:rPr>
        <w:t>9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percentage points to 1</w:t>
      </w:r>
      <w:r w:rsidR="005A339D">
        <w:rPr>
          <w:rFonts w:ascii="Arial" w:hAnsi="Arial" w:cs="Arial"/>
          <w:b w:val="0"/>
          <w:bCs w:val="0"/>
          <w:lang w:val="en-US"/>
        </w:rPr>
        <w:t>3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5A339D">
        <w:rPr>
          <w:rFonts w:ascii="Arial" w:hAnsi="Arial" w:cs="Arial"/>
          <w:b w:val="0"/>
          <w:bCs w:val="0"/>
          <w:lang w:val="en-US"/>
        </w:rPr>
        <w:t>7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percent. </w:t>
      </w:r>
    </w:p>
    <w:p w14:paraId="55FF4535" w14:textId="03A4760B" w:rsidR="00EF1CEB" w:rsidRPr="00296017" w:rsidRDefault="00EF1CEB" w:rsidP="00AB48F0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>The composite measure of labor underutilization rate, which is a combination of th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e last two alternative rates, decreased by </w:t>
      </w:r>
      <w:r w:rsidR="005A339D">
        <w:rPr>
          <w:rFonts w:ascii="Arial" w:hAnsi="Arial" w:cs="Arial"/>
          <w:b w:val="0"/>
          <w:bCs w:val="0"/>
          <w:lang w:val="en-US"/>
        </w:rPr>
        <w:t>0.5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percentage points to reach 21.</w:t>
      </w:r>
      <w:r w:rsidR="005A339D">
        <w:rPr>
          <w:rFonts w:ascii="Arial" w:hAnsi="Arial" w:cs="Arial"/>
          <w:b w:val="0"/>
          <w:bCs w:val="0"/>
          <w:lang w:val="en-US"/>
        </w:rPr>
        <w:t>5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 (Figure 2, Table 2).</w:t>
      </w:r>
    </w:p>
    <w:p w14:paraId="7ED36E3D" w14:textId="77777777" w:rsidR="00EF1CEB" w:rsidRPr="00296017" w:rsidRDefault="00EF1CEB" w:rsidP="00AB48F0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2E31740A" w14:textId="51818CE3" w:rsidR="00C96208" w:rsidRPr="00296017" w:rsidRDefault="00C96208" w:rsidP="0014705A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noProof/>
          <w:lang w:val="en-US"/>
        </w:rPr>
        <w:t>2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Headline Unemployment Rate and Supplementary Indicators for Labor Force</w:t>
      </w:r>
    </w:p>
    <w:p w14:paraId="6D5616CB" w14:textId="4D8C216A" w:rsidR="00E738C7" w:rsidRPr="00296017" w:rsidRDefault="005A339D" w:rsidP="00E738C7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3EAAC2A" wp14:editId="775CBC21">
            <wp:extent cx="5067300" cy="2463800"/>
            <wp:effectExtent l="0" t="0" r="0" b="12700"/>
            <wp:docPr id="56652979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>Source: Turkstat, Betam</w:t>
      </w:r>
    </w:p>
    <w:p w14:paraId="0325B7B6" w14:textId="77777777" w:rsidR="00132CAC" w:rsidRPr="00296017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6904A71F" w:rsidR="002C4349" w:rsidRPr="00296017" w:rsidRDefault="00F947F2" w:rsidP="00EF1CEB">
      <w:pPr>
        <w:pStyle w:val="Balk1"/>
        <w:ind w:left="0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High increase in male and female employment after a pause </w:t>
      </w:r>
    </w:p>
    <w:p w14:paraId="330CE891" w14:textId="77777777" w:rsidR="00C62FB5" w:rsidRPr="00296017" w:rsidRDefault="00C62FB5" w:rsidP="007C3CD9">
      <w:pPr>
        <w:spacing w:line="276" w:lineRule="auto"/>
        <w:rPr>
          <w:rFonts w:ascii="Arial" w:hAnsi="Arial" w:cs="Arial"/>
          <w:lang w:val="en-US"/>
        </w:rPr>
      </w:pPr>
    </w:p>
    <w:p w14:paraId="57FEBA44" w14:textId="1E29D7AE" w:rsidR="006E15F8" w:rsidRPr="00296017" w:rsidRDefault="00006CD0" w:rsidP="00B7410C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Figure </w:t>
      </w:r>
      <w:r w:rsidR="000739DC" w:rsidRPr="00296017">
        <w:rPr>
          <w:rFonts w:ascii="Arial" w:hAnsi="Arial" w:cs="Arial"/>
          <w:b w:val="0"/>
          <w:bCs w:val="0"/>
          <w:lang w:val="en-US"/>
        </w:rPr>
        <w:t>3</w:t>
      </w:r>
      <w:r w:rsidRPr="00296017">
        <w:rPr>
          <w:rFonts w:ascii="Arial" w:hAnsi="Arial" w:cs="Arial"/>
          <w:b w:val="0"/>
          <w:bCs w:val="0"/>
          <w:lang w:val="en-US"/>
        </w:rPr>
        <w:t xml:space="preserve"> shows </w:t>
      </w:r>
      <w:r w:rsidR="00601F3D" w:rsidRPr="00296017">
        <w:rPr>
          <w:rFonts w:ascii="Arial" w:hAnsi="Arial" w:cs="Arial"/>
          <w:b w:val="0"/>
          <w:bCs w:val="0"/>
          <w:lang w:val="en-US"/>
        </w:rPr>
        <w:t xml:space="preserve">the </w:t>
      </w:r>
      <w:r w:rsidRPr="00296017">
        <w:rPr>
          <w:rFonts w:ascii="Arial" w:hAnsi="Arial" w:cs="Arial"/>
          <w:b w:val="0"/>
          <w:bCs w:val="0"/>
          <w:lang w:val="en-US"/>
        </w:rPr>
        <w:t>seasonally adjusted unemployment rate for females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and males</w:t>
      </w:r>
      <w:r w:rsidRPr="00296017">
        <w:rPr>
          <w:rFonts w:ascii="Arial" w:hAnsi="Arial" w:cs="Arial"/>
          <w:b w:val="0"/>
          <w:bCs w:val="0"/>
          <w:lang w:val="en-US"/>
        </w:rPr>
        <w:t xml:space="preserve">. 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From </w:t>
      </w:r>
      <w:r w:rsidR="00F947F2">
        <w:rPr>
          <w:rFonts w:ascii="Arial" w:hAnsi="Arial" w:cs="Arial"/>
          <w:b w:val="0"/>
          <w:bCs w:val="0"/>
          <w:lang w:val="en-US"/>
        </w:rPr>
        <w:t>September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to </w:t>
      </w:r>
      <w:r w:rsidR="00F947F2">
        <w:rPr>
          <w:rFonts w:ascii="Arial" w:hAnsi="Arial" w:cs="Arial"/>
          <w:b w:val="0"/>
          <w:bCs w:val="0"/>
          <w:lang w:val="en-US"/>
        </w:rPr>
        <w:t>October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t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he level of female employment </w:t>
      </w:r>
      <w:r w:rsidR="00F947F2">
        <w:rPr>
          <w:rFonts w:ascii="Arial" w:hAnsi="Arial" w:cs="Arial"/>
          <w:b w:val="0"/>
          <w:bCs w:val="0"/>
          <w:lang w:val="en-US"/>
        </w:rPr>
        <w:t>increased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by </w:t>
      </w:r>
      <w:r w:rsidR="00F947F2">
        <w:rPr>
          <w:rFonts w:ascii="Arial" w:hAnsi="Arial" w:cs="Arial"/>
          <w:b w:val="0"/>
          <w:bCs w:val="0"/>
          <w:lang w:val="en-US"/>
        </w:rPr>
        <w:t>144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while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number of unemployed females decreased by </w:t>
      </w:r>
      <w:r w:rsidR="00F947F2">
        <w:rPr>
          <w:rFonts w:ascii="Arial" w:hAnsi="Arial" w:cs="Arial"/>
          <w:b w:val="0"/>
          <w:bCs w:val="0"/>
          <w:lang w:val="en-US"/>
        </w:rPr>
        <w:t>84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,000, resulting in a net </w:t>
      </w:r>
      <w:r w:rsidR="00F947F2">
        <w:rPr>
          <w:rFonts w:ascii="Arial" w:hAnsi="Arial" w:cs="Arial"/>
          <w:b w:val="0"/>
          <w:bCs w:val="0"/>
          <w:lang w:val="en-US"/>
        </w:rPr>
        <w:t>increase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of </w:t>
      </w:r>
      <w:r w:rsidR="00F947F2">
        <w:rPr>
          <w:rFonts w:ascii="Arial" w:hAnsi="Arial" w:cs="Arial"/>
          <w:b w:val="0"/>
          <w:bCs w:val="0"/>
          <w:lang w:val="en-US"/>
        </w:rPr>
        <w:t>59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,000 in the labor force. The </w:t>
      </w:r>
      <w:r w:rsidR="00BA6E70" w:rsidRPr="00296017">
        <w:rPr>
          <w:rFonts w:ascii="Arial" w:hAnsi="Arial" w:cs="Arial"/>
          <w:b w:val="0"/>
          <w:bCs w:val="0"/>
          <w:lang w:val="en-US"/>
        </w:rPr>
        <w:t>female unemployment rate also de</w:t>
      </w:r>
      <w:r w:rsidR="0066709F" w:rsidRPr="00296017">
        <w:rPr>
          <w:rFonts w:ascii="Arial" w:hAnsi="Arial" w:cs="Arial"/>
          <w:b w:val="0"/>
          <w:bCs w:val="0"/>
          <w:lang w:val="en-US"/>
        </w:rPr>
        <w:t>creased by 0.</w:t>
      </w:r>
      <w:r w:rsidR="00EC4CD9">
        <w:rPr>
          <w:rFonts w:ascii="Arial" w:hAnsi="Arial" w:cs="Arial"/>
          <w:b w:val="0"/>
          <w:bCs w:val="0"/>
          <w:lang w:val="en-US"/>
        </w:rPr>
        <w:t>8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percentage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points, reaching 1</w:t>
      </w:r>
      <w:r w:rsidR="00EC4CD9">
        <w:rPr>
          <w:rFonts w:ascii="Arial" w:hAnsi="Arial" w:cs="Arial"/>
          <w:b w:val="0"/>
          <w:bCs w:val="0"/>
          <w:lang w:val="en-US"/>
        </w:rPr>
        <w:t>1</w:t>
      </w:r>
      <w:r w:rsidR="00BA6E70" w:rsidRPr="00296017">
        <w:rPr>
          <w:rFonts w:ascii="Arial" w:hAnsi="Arial" w:cs="Arial"/>
          <w:b w:val="0"/>
          <w:bCs w:val="0"/>
          <w:lang w:val="en-US"/>
        </w:rPr>
        <w:t>.3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 from </w:t>
      </w:r>
      <w:r w:rsidR="00EC4CD9">
        <w:rPr>
          <w:rFonts w:ascii="Arial" w:hAnsi="Arial" w:cs="Arial"/>
          <w:b w:val="0"/>
          <w:bCs w:val="0"/>
          <w:lang w:val="en-US"/>
        </w:rPr>
        <w:t>September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to</w:t>
      </w:r>
      <w:r w:rsidR="00EC4CD9">
        <w:rPr>
          <w:rFonts w:ascii="Arial" w:hAnsi="Arial" w:cs="Arial"/>
          <w:b w:val="0"/>
          <w:bCs w:val="0"/>
          <w:lang w:val="en-US"/>
        </w:rPr>
        <w:t xml:space="preserve"> October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. In </w:t>
      </w:r>
      <w:r w:rsidR="00EC4CD9">
        <w:rPr>
          <w:rFonts w:ascii="Arial" w:hAnsi="Arial" w:cs="Arial"/>
          <w:b w:val="0"/>
          <w:bCs w:val="0"/>
          <w:lang w:val="en-US"/>
        </w:rPr>
        <w:t>September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, female employment had </w:t>
      </w:r>
      <w:r w:rsidR="00EC4CD9">
        <w:rPr>
          <w:rFonts w:ascii="Arial" w:hAnsi="Arial" w:cs="Arial"/>
          <w:b w:val="0"/>
          <w:bCs w:val="0"/>
          <w:lang w:val="en-US"/>
        </w:rPr>
        <w:t>decreased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by </w:t>
      </w:r>
      <w:r w:rsidR="00EC4CD9">
        <w:rPr>
          <w:rFonts w:ascii="Arial" w:hAnsi="Arial" w:cs="Arial"/>
          <w:b w:val="0"/>
          <w:bCs w:val="0"/>
          <w:lang w:val="en-US"/>
        </w:rPr>
        <w:t>69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female unemployment rate had decreased from 12.</w:t>
      </w:r>
      <w:r w:rsidR="00EC4CD9">
        <w:rPr>
          <w:rFonts w:ascii="Arial" w:hAnsi="Arial" w:cs="Arial"/>
          <w:b w:val="0"/>
          <w:bCs w:val="0"/>
          <w:lang w:val="en-US"/>
        </w:rPr>
        <w:t>4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percent to 12.</w:t>
      </w:r>
      <w:r w:rsidR="00EC4CD9">
        <w:rPr>
          <w:rFonts w:ascii="Arial" w:hAnsi="Arial" w:cs="Arial"/>
          <w:b w:val="0"/>
          <w:bCs w:val="0"/>
          <w:lang w:val="en-US"/>
        </w:rPr>
        <w:t>1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percent. In </w:t>
      </w:r>
      <w:r w:rsidR="00EC4CD9">
        <w:rPr>
          <w:rFonts w:ascii="Arial" w:hAnsi="Arial" w:cs="Arial"/>
          <w:b w:val="0"/>
          <w:bCs w:val="0"/>
          <w:lang w:val="en-US"/>
        </w:rPr>
        <w:t>October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increased by </w:t>
      </w:r>
      <w:r w:rsidR="00EC4CD9">
        <w:rPr>
          <w:rFonts w:ascii="Arial" w:hAnsi="Arial" w:cs="Arial"/>
          <w:b w:val="0"/>
          <w:bCs w:val="0"/>
          <w:lang w:val="en-US"/>
        </w:rPr>
        <w:t>102</w:t>
      </w:r>
      <w:r w:rsidR="00D64CA7" w:rsidRPr="00296017">
        <w:rPr>
          <w:rFonts w:ascii="Arial" w:hAnsi="Arial" w:cs="Arial"/>
          <w:b w:val="0"/>
          <w:bCs w:val="0"/>
          <w:lang w:val="en-US"/>
        </w:rPr>
        <w:t>,000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 while the number of 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unemployed males decreased by </w:t>
      </w:r>
      <w:r w:rsidR="00EC4CD9">
        <w:rPr>
          <w:rFonts w:ascii="Arial" w:hAnsi="Arial" w:cs="Arial"/>
          <w:b w:val="0"/>
          <w:bCs w:val="0"/>
          <w:lang w:val="en-US"/>
        </w:rPr>
        <w:t>79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 mal</w:t>
      </w:r>
      <w:r w:rsidR="00D64CA7" w:rsidRPr="00296017">
        <w:rPr>
          <w:rFonts w:ascii="Arial" w:hAnsi="Arial" w:cs="Arial"/>
          <w:b w:val="0"/>
          <w:bCs w:val="0"/>
          <w:lang w:val="en-US"/>
        </w:rPr>
        <w:t>e unemployment rate stood at 7.</w:t>
      </w:r>
      <w:r w:rsidR="00EC4CD9">
        <w:rPr>
          <w:rFonts w:ascii="Arial" w:hAnsi="Arial" w:cs="Arial"/>
          <w:b w:val="0"/>
          <w:bCs w:val="0"/>
          <w:lang w:val="en-US"/>
        </w:rPr>
        <w:t>0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percent. In </w:t>
      </w:r>
      <w:r w:rsidR="00EC4CD9">
        <w:rPr>
          <w:rFonts w:ascii="Arial" w:hAnsi="Arial" w:cs="Arial"/>
          <w:b w:val="0"/>
          <w:bCs w:val="0"/>
          <w:lang w:val="en-US"/>
        </w:rPr>
        <w:t>September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had </w:t>
      </w:r>
      <w:r w:rsidR="00EC4CD9">
        <w:rPr>
          <w:rFonts w:ascii="Arial" w:hAnsi="Arial" w:cs="Arial"/>
          <w:b w:val="0"/>
          <w:bCs w:val="0"/>
          <w:lang w:val="en-US"/>
        </w:rPr>
        <w:t>increased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by </w:t>
      </w:r>
      <w:r w:rsidR="00EC4CD9">
        <w:rPr>
          <w:rFonts w:ascii="Arial" w:hAnsi="Arial" w:cs="Arial"/>
          <w:b w:val="0"/>
          <w:bCs w:val="0"/>
          <w:lang w:val="en-US"/>
        </w:rPr>
        <w:t>3</w:t>
      </w:r>
      <w:r w:rsidR="00D64CA7" w:rsidRPr="00296017">
        <w:rPr>
          <w:rFonts w:ascii="Arial" w:hAnsi="Arial" w:cs="Arial"/>
          <w:b w:val="0"/>
          <w:bCs w:val="0"/>
          <w:lang w:val="en-US"/>
        </w:rPr>
        <w:t>,000</w:t>
      </w:r>
      <w:r w:rsidR="00992635">
        <w:rPr>
          <w:rFonts w:ascii="Arial" w:hAnsi="Arial" w:cs="Arial"/>
          <w:b w:val="0"/>
          <w:bCs w:val="0"/>
          <w:lang w:val="en-US"/>
        </w:rPr>
        <w:t xml:space="preserve"> and t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he 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male </w:t>
      </w:r>
      <w:r w:rsidR="0066709F" w:rsidRPr="00296017">
        <w:rPr>
          <w:rFonts w:ascii="Arial" w:hAnsi="Arial" w:cs="Arial"/>
          <w:b w:val="0"/>
          <w:bCs w:val="0"/>
          <w:lang w:val="en-US"/>
        </w:rPr>
        <w:t>unempl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oyment rate had </w:t>
      </w:r>
      <w:r w:rsidR="00992635">
        <w:rPr>
          <w:rFonts w:ascii="Arial" w:hAnsi="Arial" w:cs="Arial"/>
          <w:b w:val="0"/>
          <w:bCs w:val="0"/>
          <w:lang w:val="en-US"/>
        </w:rPr>
        <w:t>remained at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7.</w:t>
      </w:r>
      <w:r w:rsidR="00992635">
        <w:rPr>
          <w:rFonts w:ascii="Arial" w:hAnsi="Arial" w:cs="Arial"/>
          <w:b w:val="0"/>
          <w:bCs w:val="0"/>
          <w:lang w:val="en-US"/>
        </w:rPr>
        <w:t>4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percent.</w:t>
      </w:r>
      <w:r w:rsidR="004510ED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035B2C0C" w14:textId="77777777" w:rsidR="00B7410C" w:rsidRPr="00296017" w:rsidRDefault="00B7410C" w:rsidP="00B7410C">
      <w:pPr>
        <w:rPr>
          <w:rFonts w:ascii="Arial" w:hAnsi="Arial" w:cs="Arial"/>
          <w:lang w:val="en-US"/>
        </w:rPr>
      </w:pPr>
    </w:p>
    <w:p w14:paraId="3E507817" w14:textId="77777777" w:rsidR="0014705A" w:rsidRPr="00296017" w:rsidRDefault="0014705A" w:rsidP="00C96208">
      <w:pPr>
        <w:pStyle w:val="ResimYazs"/>
        <w:keepNext/>
        <w:jc w:val="both"/>
        <w:rPr>
          <w:rFonts w:ascii="Arial" w:hAnsi="Arial" w:cs="Arial"/>
          <w:lang w:val="en-US"/>
        </w:rPr>
      </w:pPr>
    </w:p>
    <w:p w14:paraId="1A850E64" w14:textId="79D3682D" w:rsidR="00C96208" w:rsidRPr="00296017" w:rsidRDefault="00C96208" w:rsidP="0014705A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unemployment rate by gender (%)</w:t>
      </w:r>
    </w:p>
    <w:p w14:paraId="2C279C6C" w14:textId="3087CA8C" w:rsidR="0014705A" w:rsidRPr="00296017" w:rsidRDefault="00992635" w:rsidP="0014705A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Ref448480503"/>
      <w:r>
        <w:rPr>
          <w:noProof/>
        </w:rPr>
        <w:drawing>
          <wp:inline distT="0" distB="0" distL="0" distR="0" wp14:anchorId="6472344D" wp14:editId="5898C26A">
            <wp:extent cx="6083928" cy="3159660"/>
            <wp:effectExtent l="0" t="0" r="0" b="3175"/>
            <wp:docPr id="148973229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43540" w14:textId="08EDF6F4" w:rsidR="005947AB" w:rsidRPr="00296017" w:rsidRDefault="002B5A9E" w:rsidP="0014705A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  <w:bookmarkStart w:id="2" w:name="_Ref480193867"/>
    </w:p>
    <w:p w14:paraId="4F5F7261" w14:textId="77777777" w:rsidR="00771E0A" w:rsidRPr="00296017" w:rsidRDefault="00771E0A" w:rsidP="005947AB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8F418CE" w14:textId="1260E6E2" w:rsidR="00786402" w:rsidRPr="00296017" w:rsidRDefault="0066709F" w:rsidP="00B7410C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female 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employment rate increased </w:t>
      </w:r>
      <w:r w:rsidRPr="00296017">
        <w:rPr>
          <w:rFonts w:ascii="Arial" w:hAnsi="Arial" w:cs="Arial"/>
          <w:b w:val="0"/>
          <w:bCs w:val="0"/>
          <w:lang w:val="en-US"/>
        </w:rPr>
        <w:t>to 31.</w:t>
      </w:r>
      <w:r w:rsidR="00992635">
        <w:rPr>
          <w:rFonts w:ascii="Arial" w:hAnsi="Arial" w:cs="Arial"/>
          <w:b w:val="0"/>
          <w:bCs w:val="0"/>
          <w:lang w:val="en-US"/>
        </w:rPr>
        <w:t>6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 percent as a result of the </w:t>
      </w:r>
      <w:r w:rsidR="00992635">
        <w:rPr>
          <w:rFonts w:ascii="Arial" w:hAnsi="Arial" w:cs="Arial"/>
          <w:b w:val="0"/>
          <w:bCs w:val="0"/>
          <w:lang w:val="en-US"/>
        </w:rPr>
        <w:t>144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,000 </w:t>
      </w:r>
      <w:r w:rsidR="00992635">
        <w:rPr>
          <w:rFonts w:ascii="Arial" w:hAnsi="Arial" w:cs="Arial"/>
          <w:b w:val="0"/>
          <w:bCs w:val="0"/>
          <w:lang w:val="en-US"/>
        </w:rPr>
        <w:t>increase</w:t>
      </w:r>
      <w:r w:rsidRPr="00296017">
        <w:rPr>
          <w:rFonts w:ascii="Arial" w:hAnsi="Arial" w:cs="Arial"/>
          <w:b w:val="0"/>
          <w:bCs w:val="0"/>
          <w:lang w:val="en-US"/>
        </w:rPr>
        <w:t xml:space="preserve"> in employment, whi</w:t>
      </w:r>
      <w:r w:rsidR="0014705A" w:rsidRPr="00296017">
        <w:rPr>
          <w:rFonts w:ascii="Arial" w:hAnsi="Arial" w:cs="Arial"/>
          <w:b w:val="0"/>
          <w:bCs w:val="0"/>
          <w:lang w:val="en-US"/>
        </w:rPr>
        <w:t>le the male employment rate stood at 65.8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percent </w:t>
      </w:r>
      <w:r w:rsidR="00B8447B" w:rsidRPr="00296017">
        <w:rPr>
          <w:rFonts w:ascii="Arial" w:hAnsi="Arial" w:cs="Arial"/>
          <w:b w:val="0"/>
          <w:bCs w:val="0"/>
          <w:lang w:val="en-US"/>
        </w:rPr>
        <w:t>(Figure 4)</w:t>
      </w:r>
      <w:r w:rsidR="00786402" w:rsidRPr="00296017">
        <w:rPr>
          <w:rFonts w:ascii="Arial" w:hAnsi="Arial" w:cs="Arial"/>
          <w:b w:val="0"/>
          <w:bCs w:val="0"/>
          <w:lang w:val="en-US"/>
        </w:rPr>
        <w:t>.</w:t>
      </w:r>
      <w:r w:rsidR="00766F17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5F3362E1" w14:textId="77777777" w:rsidR="00771E0A" w:rsidRPr="00296017" w:rsidRDefault="00771E0A" w:rsidP="00465E4D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7C3ACF6A" w14:textId="2868D1FD" w:rsidR="002E1933" w:rsidRPr="00296017" w:rsidRDefault="00E4390B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Figure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4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</w:t>
      </w:r>
      <w:r w:rsidR="0014705A" w:rsidRPr="00296017">
        <w:rPr>
          <w:rFonts w:ascii="Arial" w:hAnsi="Arial" w:cs="Arial"/>
          <w:lang w:val="en-US"/>
        </w:rPr>
        <w:t>d employment rate by gender (%)</w:t>
      </w:r>
    </w:p>
    <w:p w14:paraId="4442AEFD" w14:textId="09B5BBD8" w:rsidR="0014705A" w:rsidRPr="00296017" w:rsidRDefault="00992635" w:rsidP="002E1933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BF3F987" wp14:editId="287BB4A7">
            <wp:extent cx="6029608" cy="3177540"/>
            <wp:effectExtent l="0" t="0" r="9525" b="3810"/>
            <wp:docPr id="129565650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96017" w:rsidRDefault="002B5A9E" w:rsidP="007C3CD9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1"/>
    <w:bookmarkEnd w:id="2"/>
    <w:p w14:paraId="505BB475" w14:textId="77777777" w:rsidR="000D1B1F" w:rsidRPr="00296017" w:rsidRDefault="000D1B1F" w:rsidP="00DA68C8">
      <w:pPr>
        <w:pStyle w:val="ResimYazs"/>
        <w:keepNext/>
        <w:rPr>
          <w:rFonts w:ascii="Arial" w:hAnsi="Arial" w:cs="Arial"/>
          <w:sz w:val="22"/>
          <w:szCs w:val="22"/>
          <w:lang w:val="en-US"/>
        </w:rPr>
      </w:pPr>
    </w:p>
    <w:p w14:paraId="11123E72" w14:textId="7EBAE516" w:rsidR="000D1B1F" w:rsidRPr="00296017" w:rsidRDefault="000D1B1F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62F371CE" w14:textId="77777777" w:rsidR="000D1B1F" w:rsidRPr="00296017" w:rsidRDefault="000D1B1F" w:rsidP="00DA68C8">
      <w:pPr>
        <w:pStyle w:val="ResimYazs"/>
        <w:keepNext/>
        <w:rPr>
          <w:rFonts w:ascii="Arial" w:hAnsi="Arial" w:cs="Arial"/>
          <w:sz w:val="22"/>
          <w:szCs w:val="22"/>
          <w:lang w:val="en-US"/>
        </w:rPr>
      </w:pPr>
    </w:p>
    <w:p w14:paraId="6FD4B20D" w14:textId="34524C73" w:rsidR="00DA68C8" w:rsidRPr="00296017" w:rsidRDefault="00DA68C8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force indicators (in thousands)</w:t>
      </w:r>
    </w:p>
    <w:tbl>
      <w:tblPr>
        <w:tblW w:w="10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116"/>
        <w:gridCol w:w="1193"/>
        <w:gridCol w:w="1425"/>
        <w:gridCol w:w="1889"/>
        <w:gridCol w:w="1219"/>
        <w:gridCol w:w="1255"/>
        <w:gridCol w:w="1519"/>
      </w:tblGrid>
      <w:tr w:rsidR="005C54A5" w:rsidRPr="005C54A5" w14:paraId="2FAD9690" w14:textId="77777777" w:rsidTr="005C54A5">
        <w:trPr>
          <w:trHeight w:val="30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0DF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89C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D40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263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Unemployment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5E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Unemployment Rate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E7E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Monthly Changes</w:t>
            </w:r>
          </w:p>
        </w:tc>
      </w:tr>
      <w:tr w:rsidR="005C54A5" w:rsidRPr="005C54A5" w14:paraId="5535D42F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AF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September-20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7E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31.087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43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27.172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D1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5A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A9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C59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C6D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Unemployment</w:t>
            </w:r>
          </w:p>
        </w:tc>
      </w:tr>
      <w:tr w:rsidR="005C54A5" w:rsidRPr="005C54A5" w14:paraId="7E98BE46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431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October-20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B9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31.076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EC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27.006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A1F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4.070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60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8FA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FF3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-166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88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155</w:t>
            </w:r>
          </w:p>
        </w:tc>
      </w:tr>
      <w:tr w:rsidR="005C54A5" w:rsidRPr="005C54A5" w14:paraId="69156766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33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November-20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BD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31.080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B0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27.016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15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4.064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62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8D7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213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9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-6</w:t>
            </w:r>
          </w:p>
        </w:tc>
      </w:tr>
      <w:tr w:rsidR="005C54A5" w:rsidRPr="005C54A5" w14:paraId="7255959F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9263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December-20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4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31.009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D84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27.093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4F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79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CCC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AB9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896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-147</w:t>
            </w:r>
          </w:p>
        </w:tc>
      </w:tr>
      <w:tr w:rsidR="005C54A5" w:rsidRPr="005C54A5" w14:paraId="00A1C420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DBF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January-21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4A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31.608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63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27.645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29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05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AE7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599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F36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552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764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5C54A5" w:rsidRPr="005C54A5" w14:paraId="1ECBFC79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A32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February-21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9A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31.916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F0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27.672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C2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4.244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49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200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C5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09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281</w:t>
            </w:r>
          </w:p>
        </w:tc>
      </w:tr>
      <w:tr w:rsidR="005C54A5" w:rsidRPr="005C54A5" w14:paraId="108C5501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705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March-21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74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32.573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04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28.396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31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4.177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DC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AF2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1AD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83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-67</w:t>
            </w:r>
          </w:p>
        </w:tc>
      </w:tr>
      <w:tr w:rsidR="005C54A5" w:rsidRPr="005C54A5" w14:paraId="023FF71D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C27B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April-21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E9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32.626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B8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28.289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E7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4.337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28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7A9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66F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9F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160</w:t>
            </w:r>
          </w:p>
        </w:tc>
      </w:tr>
      <w:tr w:rsidR="005C54A5" w:rsidRPr="005C54A5" w14:paraId="23A311A6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7B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92E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32.278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9D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28.007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C2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4.271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4D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D2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-348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904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-282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4BC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-66</w:t>
            </w:r>
          </w:p>
        </w:tc>
      </w:tr>
      <w:tr w:rsidR="005C54A5" w:rsidRPr="005C54A5" w14:paraId="558DE0A3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C68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June-21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05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32.178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B7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28.631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F1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16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6DF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27A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B8E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-724</w:t>
            </w:r>
          </w:p>
        </w:tc>
      </w:tr>
      <w:tr w:rsidR="005C54A5" w:rsidRPr="005C54A5" w14:paraId="2A82F15F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6F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July-21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A5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32.567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D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28.807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9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3.760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D5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4D2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95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74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213</w:t>
            </w:r>
          </w:p>
        </w:tc>
      </w:tr>
      <w:tr w:rsidR="005C54A5" w:rsidRPr="005C54A5" w14:paraId="0C91D74B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8B4C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August-21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EE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32.895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9B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28.981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0B2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D9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B28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1D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D3D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154</w:t>
            </w:r>
          </w:p>
        </w:tc>
      </w:tr>
      <w:tr w:rsidR="005C54A5" w:rsidRPr="005C54A5" w14:paraId="6ABCE9A7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193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September-21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F29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33.314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A7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29.567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2C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E1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003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533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84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-167</w:t>
            </w:r>
          </w:p>
        </w:tc>
      </w:tr>
      <w:tr w:rsidR="005C54A5" w:rsidRPr="005C54A5" w14:paraId="27F47031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EB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October-21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6C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33.311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9C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29.615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6A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50C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C4F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66C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CA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-51</w:t>
            </w:r>
          </w:p>
        </w:tc>
      </w:tr>
      <w:tr w:rsidR="005C54A5" w:rsidRPr="005C54A5" w14:paraId="5D7E5D0E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9FF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November-21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F7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33.349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9C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29.615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F1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3.734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1F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A15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C18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65C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</w:tr>
      <w:tr w:rsidR="005C54A5" w:rsidRPr="005C54A5" w14:paraId="243B11AD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D32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December-21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CA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33.761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D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30.039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E1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29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006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A24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11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</w:tr>
      <w:tr w:rsidR="005C54A5" w:rsidRPr="005C54A5" w14:paraId="42FFDFF5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D4AC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January-22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E2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33.793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35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29.987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A2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3.805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69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E56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CE9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-52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C5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</w:tr>
      <w:tr w:rsidR="005C54A5" w:rsidRPr="005C54A5" w14:paraId="21DD5D3D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91B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February-22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AC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33.641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4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30.003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D8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F7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C30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A2C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921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-166</w:t>
            </w:r>
          </w:p>
        </w:tc>
      </w:tr>
      <w:tr w:rsidR="005C54A5" w:rsidRPr="005C54A5" w14:paraId="48BA2FC7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C1A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March-22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05D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33.822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6D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30.078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03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A8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A1A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2C4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8AD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105</w:t>
            </w:r>
          </w:p>
        </w:tc>
      </w:tr>
      <w:tr w:rsidR="005C54A5" w:rsidRPr="005C54A5" w14:paraId="39B1785D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9EC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April-22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3A6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34.197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48D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30.510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48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C7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EBE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B91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57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-57</w:t>
            </w:r>
          </w:p>
        </w:tc>
      </w:tr>
      <w:tr w:rsidR="005C54A5" w:rsidRPr="005C54A5" w14:paraId="4944617F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6FB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B2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34.575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7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30.849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6E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C1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792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CEB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44D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</w:tr>
      <w:tr w:rsidR="005C54A5" w:rsidRPr="005C54A5" w14:paraId="5BB2AE29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1A1B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June-22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6E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34.304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E4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30.760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94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FE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1D6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-271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CE8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-89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461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-182</w:t>
            </w:r>
          </w:p>
        </w:tc>
      </w:tr>
      <w:tr w:rsidR="005C54A5" w:rsidRPr="005C54A5" w14:paraId="192B5DD5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3CC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July-22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42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33.896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2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30.450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8E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E6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882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-408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66B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-310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60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-98</w:t>
            </w:r>
          </w:p>
        </w:tc>
      </w:tr>
      <w:tr w:rsidR="005C54A5" w:rsidRPr="005C54A5" w14:paraId="21856FF3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6C3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August-22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6B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34.363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47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6A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3.354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10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D71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798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D50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-92</w:t>
            </w:r>
          </w:p>
        </w:tc>
      </w:tr>
      <w:tr w:rsidR="005C54A5" w:rsidRPr="005C54A5" w14:paraId="027DE76D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8C6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September-22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E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34.407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3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30.957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D25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22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81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343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-53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BF6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</w:tr>
      <w:tr w:rsidR="005C54A5" w:rsidRPr="005C54A5" w14:paraId="7E2361E6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563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October-22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7E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34.646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B3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31.098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88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65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4B8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526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F7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99</w:t>
            </w:r>
          </w:p>
        </w:tc>
      </w:tr>
      <w:tr w:rsidR="005C54A5" w:rsidRPr="005C54A5" w14:paraId="5A60A621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AFF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November-22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08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35.099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A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31.517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04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7A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E1F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884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445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5C54A5" w:rsidRPr="005C54A5" w14:paraId="16E28486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28B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December-22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1F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34.988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89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31.378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51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B3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90A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2C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237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</w:t>
            </w:r>
          </w:p>
        </w:tc>
      </w:tr>
      <w:tr w:rsidR="005C54A5" w:rsidRPr="005C54A5" w14:paraId="23BCB92A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3C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January-23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4F0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35.135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12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31.699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D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3.436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D2F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2E9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57C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4B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-174</w:t>
            </w:r>
          </w:p>
        </w:tc>
      </w:tr>
      <w:tr w:rsidR="005C54A5" w:rsidRPr="005C54A5" w14:paraId="731B692E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43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February-23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88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34.874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76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31.341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A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45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697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-261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79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-358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AE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97</w:t>
            </w:r>
          </w:p>
        </w:tc>
      </w:tr>
      <w:tr w:rsidR="005C54A5" w:rsidRPr="005C54A5" w14:paraId="71171336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F022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March-23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43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34.621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D2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31.162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12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FE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3A6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-253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053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-179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D91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-74</w:t>
            </w:r>
          </w:p>
        </w:tc>
      </w:tr>
      <w:tr w:rsidR="005C54A5" w:rsidRPr="005C54A5" w14:paraId="6D8621AA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B1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April-23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1F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35.138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08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31.632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E05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4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590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517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222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3BD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5C54A5" w:rsidRPr="005C54A5" w14:paraId="758B3927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602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46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35.004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32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31.705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AA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79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228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A89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C6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-206</w:t>
            </w:r>
          </w:p>
        </w:tc>
      </w:tr>
      <w:tr w:rsidR="005C54A5" w:rsidRPr="005C54A5" w14:paraId="6D71E05D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78E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June-23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AA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34.631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832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31.340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2C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0D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3F7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-373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798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-365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26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</w:tr>
      <w:tr w:rsidR="005C54A5" w:rsidRPr="005C54A5" w14:paraId="4B46E219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2ECB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July-23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7E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34.920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5F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31.680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9B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6C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06A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E38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933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-49</w:t>
            </w:r>
          </w:p>
        </w:tc>
      </w:tr>
      <w:tr w:rsidR="005C54A5" w:rsidRPr="005C54A5" w14:paraId="62D4703D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49A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August-23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3A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34.832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28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31.656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9E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4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A1B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-88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64C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55A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-65</w:t>
            </w:r>
          </w:p>
        </w:tc>
      </w:tr>
      <w:tr w:rsidR="005C54A5" w:rsidRPr="005C54A5" w14:paraId="29A63F43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C6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September-23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ED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34.713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5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31.589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88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3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90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240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47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-52</w:t>
            </w:r>
          </w:p>
        </w:tc>
      </w:tr>
      <w:tr w:rsidR="005C54A5" w:rsidRPr="005C54A5" w14:paraId="1CC8A978" w14:textId="77777777" w:rsidTr="005C54A5">
        <w:trPr>
          <w:trHeight w:val="30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B066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October-23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8B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34.796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73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31.835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D1D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2.961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D1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AF0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ACE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D5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-163</w:t>
            </w:r>
          </w:p>
        </w:tc>
      </w:tr>
    </w:tbl>
    <w:p w14:paraId="311C7924" w14:textId="096825A0" w:rsidR="00DA68C8" w:rsidRPr="00296017" w:rsidRDefault="00DA68C8" w:rsidP="00DA68C8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70A15363" w14:textId="77777777" w:rsidR="001C6540" w:rsidRPr="00296017" w:rsidRDefault="001C6540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808F7C5" w14:textId="77777777" w:rsidR="00704BBB" w:rsidRPr="00296017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3" w:name="_Ref374950055"/>
    </w:p>
    <w:p w14:paraId="0BC3C5C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br w:type="page"/>
      </w:r>
    </w:p>
    <w:bookmarkEnd w:id="3"/>
    <w:p w14:paraId="6359727C" w14:textId="6496E02D" w:rsidR="006E6B65" w:rsidRPr="00296017" w:rsidRDefault="006E6B65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2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Unemployment, alternative unemployment rates (%) levels (in thousand)</w:t>
      </w:r>
    </w:p>
    <w:tbl>
      <w:tblPr>
        <w:tblW w:w="11141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59"/>
        <w:gridCol w:w="1259"/>
        <w:gridCol w:w="1498"/>
        <w:gridCol w:w="1313"/>
        <w:gridCol w:w="1259"/>
        <w:gridCol w:w="964"/>
        <w:gridCol w:w="1286"/>
        <w:gridCol w:w="890"/>
      </w:tblGrid>
      <w:tr w:rsidR="005C54A5" w:rsidRPr="005C54A5" w14:paraId="4E25ED15" w14:textId="77777777" w:rsidTr="005C54A5">
        <w:trPr>
          <w:trHeight w:val="1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55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E7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Unemployment Rate (%)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A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Persons in Unemployment (in thousands)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E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Combined Rate of Time-Related Underemployment and Unemployment (%)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1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Time-Related Underemployed (in thousands)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2A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Combined Rate of Unemployment and Potential Labor Force (%)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5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Potential Labor Force (in thousands)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A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Composite Measure of Labor Underutilization (%)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76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D0D0D"/>
                <w:sz w:val="16"/>
                <w:szCs w:val="16"/>
                <w:lang w:eastAsia="tr-TR"/>
              </w:rPr>
              <w:t>Total</w:t>
            </w:r>
          </w:p>
        </w:tc>
      </w:tr>
      <w:tr w:rsidR="005C54A5" w:rsidRPr="005C54A5" w14:paraId="707157A7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4B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CBB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C8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CB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601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4A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47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3.395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87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24,1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C8E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8.338</w:t>
            </w:r>
          </w:p>
        </w:tc>
      </w:tr>
      <w:tr w:rsidR="005C54A5" w:rsidRPr="005C54A5" w14:paraId="5D3B6822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6BF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89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B6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4.070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D7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F36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CFB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920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FB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25,7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3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8.910</w:t>
            </w:r>
          </w:p>
        </w:tc>
      </w:tr>
      <w:tr w:rsidR="005C54A5" w:rsidRPr="005C54A5" w14:paraId="6A22F4E9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672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Nov-20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8F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41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4.064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78D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59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54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55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4.051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5C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26,6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A6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9.366</w:t>
            </w:r>
          </w:p>
        </w:tc>
      </w:tr>
      <w:tr w:rsidR="005C54A5" w:rsidRPr="005C54A5" w14:paraId="500764A8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C8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Dec-20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7B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85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0F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D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DCB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84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4.545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D8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37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10.064</w:t>
            </w:r>
          </w:p>
        </w:tc>
      </w:tr>
      <w:tr w:rsidR="005C54A5" w:rsidRPr="005C54A5" w14:paraId="6DF71ECE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A1F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FF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60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3.963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17E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CE1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C6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967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4.202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17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29,3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18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10.523</w:t>
            </w:r>
          </w:p>
        </w:tc>
      </w:tr>
      <w:tr w:rsidR="005C54A5" w:rsidRPr="005C54A5" w14:paraId="4D7D34F2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33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57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6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4.244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9D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19,7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513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8E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56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73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28,1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17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10.031</w:t>
            </w:r>
          </w:p>
        </w:tc>
      </w:tr>
      <w:tr w:rsidR="005C54A5" w:rsidRPr="005C54A5" w14:paraId="15D2CE73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E4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0A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12,8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4A5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4.177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A78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D1E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D8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661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3.326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3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25,4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66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9.156</w:t>
            </w:r>
          </w:p>
        </w:tc>
      </w:tr>
      <w:tr w:rsidR="005C54A5" w:rsidRPr="005C54A5" w14:paraId="5201F3D5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D1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72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F32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4.337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E5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71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A8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AC9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3.365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A22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26,9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6E4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9.695</w:t>
            </w:r>
          </w:p>
        </w:tc>
      </w:tr>
      <w:tr w:rsidR="005C54A5" w:rsidRPr="005C54A5" w14:paraId="604B875C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24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BF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8B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4.271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44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19,3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26E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3B6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71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72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27,2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564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9.720</w:t>
            </w:r>
          </w:p>
        </w:tc>
      </w:tr>
      <w:tr w:rsidR="005C54A5" w:rsidRPr="005C54A5" w14:paraId="764D4A36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80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58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0D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0A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65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DD2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AE5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B1B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F54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8.039</w:t>
            </w:r>
          </w:p>
        </w:tc>
      </w:tr>
      <w:tr w:rsidR="005C54A5" w:rsidRPr="005C54A5" w14:paraId="20BB8CC5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F26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D1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B8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3.760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E6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91F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11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19A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3.129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12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E6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8.308</w:t>
            </w:r>
          </w:p>
        </w:tc>
      </w:tr>
      <w:tr w:rsidR="005C54A5" w:rsidRPr="005C54A5" w14:paraId="7FBF61AB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E42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8C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2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3.914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5C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64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9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95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2.840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1D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17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7.774</w:t>
            </w:r>
          </w:p>
        </w:tc>
      </w:tr>
      <w:tr w:rsidR="005C54A5" w:rsidRPr="005C54A5" w14:paraId="3A538896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E0D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4E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AB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36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F91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67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99A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2.876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EB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985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7.840</w:t>
            </w:r>
          </w:p>
        </w:tc>
      </w:tr>
      <w:tr w:rsidR="005C54A5" w:rsidRPr="005C54A5" w14:paraId="395108A7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391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9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76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3.696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98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D4E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7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AA8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3.071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B35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314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8.268</w:t>
            </w:r>
          </w:p>
        </w:tc>
      </w:tr>
      <w:tr w:rsidR="005C54A5" w:rsidRPr="005C54A5" w14:paraId="535311C8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B28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BAC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30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3.734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A9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99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9F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270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2.855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68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B9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7.991</w:t>
            </w:r>
          </w:p>
        </w:tc>
      </w:tr>
      <w:tr w:rsidR="005C54A5" w:rsidRPr="005C54A5" w14:paraId="5A704414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52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Dec-21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EA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5A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3.722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5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E57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07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965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C6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BB3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8.274</w:t>
            </w:r>
          </w:p>
        </w:tc>
      </w:tr>
      <w:tr w:rsidR="005C54A5" w:rsidRPr="005C54A5" w14:paraId="69F08E29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81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E7E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EB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3.805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E3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B7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B3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47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94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B48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8.376</w:t>
            </w:r>
          </w:p>
        </w:tc>
      </w:tr>
      <w:tr w:rsidR="005C54A5" w:rsidRPr="005C54A5" w14:paraId="716BD203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30B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94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19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3.639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9F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FA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25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6BD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3.036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CE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27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8.049</w:t>
            </w:r>
          </w:p>
        </w:tc>
      </w:tr>
      <w:tr w:rsidR="005C54A5" w:rsidRPr="005C54A5" w14:paraId="06E6384F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DE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29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FE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04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2FB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25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AB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3.038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0A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6DF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8.213</w:t>
            </w:r>
          </w:p>
        </w:tc>
      </w:tr>
      <w:tr w:rsidR="005C54A5" w:rsidRPr="005C54A5" w14:paraId="7C2AB2ED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C2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45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3F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3.687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E4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C2E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C2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24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3.056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44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1E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7.946</w:t>
            </w:r>
          </w:p>
        </w:tc>
      </w:tr>
      <w:tr w:rsidR="005C54A5" w:rsidRPr="005C54A5" w14:paraId="4855B3B2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501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5B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49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3.726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A4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BC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7E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CD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2.863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B7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411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8.326</w:t>
            </w:r>
          </w:p>
        </w:tc>
      </w:tr>
      <w:tr w:rsidR="005C54A5" w:rsidRPr="005C54A5" w14:paraId="68DDA844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12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93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28C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213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4D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3A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1D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2.801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5FF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C7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7.604</w:t>
            </w:r>
          </w:p>
        </w:tc>
      </w:tr>
      <w:tr w:rsidR="005C54A5" w:rsidRPr="005C54A5" w14:paraId="1546810F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AE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62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97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3.446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2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A1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44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BA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FD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722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8.390</w:t>
            </w:r>
          </w:p>
        </w:tc>
      </w:tr>
      <w:tr w:rsidR="005C54A5" w:rsidRPr="005C54A5" w14:paraId="7E151428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5D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E8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45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3.354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33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E05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5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32A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2.729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B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19,9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D46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7.334</w:t>
            </w:r>
          </w:p>
        </w:tc>
      </w:tr>
      <w:tr w:rsidR="005C54A5" w:rsidRPr="005C54A5" w14:paraId="5EDE1D3C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133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F0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36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3.449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06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C6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DF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A6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2.713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76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2D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7.495</w:t>
            </w:r>
          </w:p>
        </w:tc>
      </w:tr>
      <w:tr w:rsidR="005C54A5" w:rsidRPr="005C54A5" w14:paraId="3BED3505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5F11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C19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42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3.548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28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1E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30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E4A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2.642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C2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20,4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99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7.596</w:t>
            </w:r>
          </w:p>
        </w:tc>
      </w:tr>
      <w:tr w:rsidR="005C54A5" w:rsidRPr="005C54A5" w14:paraId="3FEA0A87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F61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88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1E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3.582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DA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6A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9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C6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2.873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35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20,8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956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7.892</w:t>
            </w:r>
          </w:p>
        </w:tc>
      </w:tr>
      <w:tr w:rsidR="005C54A5" w:rsidRPr="005C54A5" w14:paraId="727AF5C8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306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Dec-22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8D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09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3.610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ED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4F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31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1D5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2.908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97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E3F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8.121</w:t>
            </w:r>
          </w:p>
        </w:tc>
      </w:tr>
      <w:tr w:rsidR="005C54A5" w:rsidRPr="005C54A5" w14:paraId="2C822A0B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A4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DE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1E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7D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959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8EC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9C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2.965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AF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A7D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8.340</w:t>
            </w:r>
          </w:p>
        </w:tc>
      </w:tr>
      <w:tr w:rsidR="005C54A5" w:rsidRPr="005C54A5" w14:paraId="434F421A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55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18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D7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7C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D81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99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BA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3.300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D8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23,4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DC0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8.915</w:t>
            </w:r>
          </w:p>
        </w:tc>
      </w:tr>
      <w:tr w:rsidR="005C54A5" w:rsidRPr="005C54A5" w14:paraId="59A19823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AA9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0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99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3.459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A4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DF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FE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3.105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827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2F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8.299</w:t>
            </w:r>
          </w:p>
        </w:tc>
      </w:tr>
      <w:tr w:rsidR="005C54A5" w:rsidRPr="005C54A5" w14:paraId="25C77E34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6F93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3B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1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25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7F6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3C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E5E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B1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2E3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9.051</w:t>
            </w:r>
          </w:p>
        </w:tc>
      </w:tr>
      <w:tr w:rsidR="005C54A5" w:rsidRPr="005C54A5" w14:paraId="1F88E982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286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36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E1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3.299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7B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BF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677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1A3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3.012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F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E6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8.507</w:t>
            </w:r>
          </w:p>
        </w:tc>
      </w:tr>
      <w:tr w:rsidR="005C54A5" w:rsidRPr="005C54A5" w14:paraId="66741D27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84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A2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48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AA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1E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7B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5EB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A1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24,1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79F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9.176</w:t>
            </w:r>
          </w:p>
        </w:tc>
      </w:tr>
      <w:tr w:rsidR="005C54A5" w:rsidRPr="005C54A5" w14:paraId="341131CD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23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80F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0F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3.241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61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0CC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4E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85C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3.572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05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333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8.705</w:t>
            </w:r>
          </w:p>
        </w:tc>
      </w:tr>
      <w:tr w:rsidR="005C54A5" w:rsidRPr="005C54A5" w14:paraId="0816B3EE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C22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2D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8EA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3.176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44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15,2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F08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A0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AF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3.492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ED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22,9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B2D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8.787</w:t>
            </w:r>
          </w:p>
        </w:tc>
      </w:tr>
      <w:tr w:rsidR="005C54A5" w:rsidRPr="005C54A5" w14:paraId="6A75EDBB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26C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59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71A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3.124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18C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14,6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50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B25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FA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3.209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B1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69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8.277</w:t>
            </w:r>
          </w:p>
        </w:tc>
      </w:tr>
      <w:tr w:rsidR="005C54A5" w:rsidRPr="005C54A5" w14:paraId="18E45256" w14:textId="77777777" w:rsidTr="005C54A5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56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43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09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2.961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4E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13,7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714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1.806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2A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CE7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3.375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22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FE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8.143</w:t>
            </w:r>
          </w:p>
        </w:tc>
      </w:tr>
    </w:tbl>
    <w:p w14:paraId="64AE54F9" w14:textId="5A8E6907" w:rsidR="006E6B65" w:rsidRPr="00296017" w:rsidRDefault="006E6B65" w:rsidP="006E6B65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67B407C8" w14:textId="77777777" w:rsidR="00964EF8" w:rsidRPr="00296017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54B882C" w14:textId="77777777" w:rsidR="008B6CE2" w:rsidRPr="00296017" w:rsidRDefault="008B6CE2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5557EA09" w14:textId="3ADDAD3B" w:rsidR="006E6B65" w:rsidRPr="00296017" w:rsidRDefault="006E6B65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female and male labor market indicators (thousands)</w:t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857"/>
        <w:gridCol w:w="1084"/>
        <w:gridCol w:w="1093"/>
        <w:gridCol w:w="857"/>
        <w:gridCol w:w="1084"/>
        <w:gridCol w:w="1093"/>
        <w:gridCol w:w="857"/>
        <w:gridCol w:w="1040"/>
        <w:gridCol w:w="857"/>
        <w:gridCol w:w="1040"/>
      </w:tblGrid>
      <w:tr w:rsidR="005C54A5" w:rsidRPr="005C54A5" w14:paraId="7F7FA1C3" w14:textId="77777777" w:rsidTr="005C54A5">
        <w:trPr>
          <w:trHeight w:val="7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C09" w14:textId="77777777" w:rsidR="005C54A5" w:rsidRPr="005C54A5" w:rsidRDefault="005C54A5" w:rsidP="005C54A5">
            <w:pPr>
              <w:suppressAutoHyphens w:val="0"/>
              <w:rPr>
                <w:sz w:val="16"/>
                <w:szCs w:val="16"/>
                <w:lang w:eastAsia="tr-TR"/>
              </w:rPr>
            </w:pPr>
            <w:r w:rsidRPr="005C54A5">
              <w:rPr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CE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Total labor force, Female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35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Total Employment, Female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65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Total Unemployed, Female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7D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Total labor force, Male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D6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Total Employment, Male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6B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Total Unemployed, Male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F7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Women LFPR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61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Women Employment Rate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D89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Men LFPR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A9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Men Employment Rate</w:t>
            </w:r>
          </w:p>
        </w:tc>
      </w:tr>
      <w:tr w:rsidR="005C54A5" w:rsidRPr="005C54A5" w14:paraId="614A36E3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2AB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BA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9.809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D2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8.387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C7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F7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21.278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D2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18.786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7E2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2.493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C1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E4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26,4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A4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68,4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57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60,4</w:t>
            </w:r>
          </w:p>
        </w:tc>
      </w:tr>
      <w:tr w:rsidR="005C54A5" w:rsidRPr="005C54A5" w14:paraId="5BE6FA3D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16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98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9.697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614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8.231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24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A7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21.379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4D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18.775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76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2.604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C9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B8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25,9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9D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68,6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36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60,3</w:t>
            </w:r>
          </w:p>
        </w:tc>
      </w:tr>
      <w:tr w:rsidR="005C54A5" w:rsidRPr="005C54A5" w14:paraId="358441A3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C1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Nov-20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12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9.563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9E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8.153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7A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9A1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21.517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71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18.863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91E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2.654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5F5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30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25,6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9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81F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60,4</w:t>
            </w:r>
          </w:p>
        </w:tc>
      </w:tr>
      <w:tr w:rsidR="005C54A5" w:rsidRPr="005C54A5" w14:paraId="6A09D3E6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58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Dec-20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7D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9.717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31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8.356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88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1.361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A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21.292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A1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18.736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FA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2.556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97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C7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26,2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B4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68,1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B6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59,9</w:t>
            </w:r>
          </w:p>
        </w:tc>
      </w:tr>
      <w:tr w:rsidR="005C54A5" w:rsidRPr="005C54A5" w14:paraId="14F8B6C9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DB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232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10.049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36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8.603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BF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775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21.559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50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19.042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4D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2.517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20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FF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FA7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68,8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08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60,8</w:t>
            </w:r>
          </w:p>
        </w:tc>
      </w:tr>
      <w:tr w:rsidR="005C54A5" w:rsidRPr="005C54A5" w14:paraId="4C831554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4A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70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10.280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82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8.699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CA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0D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21.636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C6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18.973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E3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2.664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D2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3F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67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69,0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C7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60,5</w:t>
            </w:r>
          </w:p>
        </w:tc>
      </w:tr>
      <w:tr w:rsidR="005C54A5" w:rsidRPr="005C54A5" w14:paraId="0C086057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A4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B25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10.177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954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8.558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28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3F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22.396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41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19.838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64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2.558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AD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702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26,7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FCF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CF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63,2</w:t>
            </w:r>
          </w:p>
        </w:tc>
      </w:tr>
      <w:tr w:rsidR="005C54A5" w:rsidRPr="005C54A5" w14:paraId="6F787D08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8F6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76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10.485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36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8.886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9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A8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22.141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D9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19.403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26C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2.737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45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33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DF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16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61,7</w:t>
            </w:r>
          </w:p>
        </w:tc>
      </w:tr>
      <w:tr w:rsidR="005C54A5" w:rsidRPr="005C54A5" w14:paraId="52E1CBD7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35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5F2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10.144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57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8.587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41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1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22.134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75D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19.420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921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2.713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AE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31,6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5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26,8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33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75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61,7</w:t>
            </w:r>
          </w:p>
        </w:tc>
      </w:tr>
      <w:tr w:rsidR="005C54A5" w:rsidRPr="005C54A5" w14:paraId="7AF840ED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04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6B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10.286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BD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8.835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E8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1.451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FF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21.891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30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19.795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E3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2.096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EB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32,0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8D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94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69,5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8D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62,8</w:t>
            </w:r>
          </w:p>
        </w:tc>
      </w:tr>
      <w:tr w:rsidR="005C54A5" w:rsidRPr="005C54A5" w14:paraId="6537086B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CD3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06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10.764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F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9.232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50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9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21.803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04E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19.575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BF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2.228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3E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4E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28,7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AF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69,1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C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62,0</w:t>
            </w:r>
          </w:p>
        </w:tc>
      </w:tr>
      <w:tr w:rsidR="005C54A5" w:rsidRPr="005C54A5" w14:paraId="1ED1F7FC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49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2D2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10.685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80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9.091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71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59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22.209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2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19.890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94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2.319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2C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12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F9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4A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63,0</w:t>
            </w:r>
          </w:p>
        </w:tc>
      </w:tr>
      <w:tr w:rsidR="005C54A5" w:rsidRPr="005C54A5" w14:paraId="0AB1A2BD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510A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C4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10.949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05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9.370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9B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A4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22.366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99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20.197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4D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FB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4A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B6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F2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63,9</w:t>
            </w:r>
          </w:p>
        </w:tc>
      </w:tr>
      <w:tr w:rsidR="005C54A5" w:rsidRPr="005C54A5" w14:paraId="20CCC817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46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90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10.987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31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9.446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FF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40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22.325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2D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20.169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C4D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CA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2B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52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9D6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63,7</w:t>
            </w:r>
          </w:p>
        </w:tc>
      </w:tr>
      <w:tr w:rsidR="005C54A5" w:rsidRPr="005C54A5" w14:paraId="7F762812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E1F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E5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10.928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11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9.324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0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58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22.421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005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20.292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73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C2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F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5EA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3F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64,0</w:t>
            </w:r>
          </w:p>
        </w:tc>
      </w:tr>
      <w:tr w:rsidR="005C54A5" w:rsidRPr="005C54A5" w14:paraId="5BB10911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1F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Dec-21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BF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CA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9.620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D3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1F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22.630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9C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20.418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FE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2.212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C3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99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86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6DA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64,3</w:t>
            </w:r>
          </w:p>
        </w:tc>
      </w:tr>
      <w:tr w:rsidR="005C54A5" w:rsidRPr="005C54A5" w14:paraId="26C99643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A1C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47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FA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9.658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6D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B2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22.618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8DC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20.330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5A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2.288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4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F6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1D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55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64,0</w:t>
            </w:r>
          </w:p>
        </w:tc>
      </w:tr>
      <w:tr w:rsidR="005C54A5" w:rsidRPr="005C54A5" w14:paraId="72681F11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DA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3D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11.119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2F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9.598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3EF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54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22.523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C50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20.405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081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2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D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80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93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64,1</w:t>
            </w:r>
          </w:p>
        </w:tc>
      </w:tr>
      <w:tr w:rsidR="005C54A5" w:rsidRPr="005C54A5" w14:paraId="0BD81A65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B13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0F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10.940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4A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9.422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29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6E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22.882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5A2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20.656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ED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2.226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13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33,6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5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A3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3F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64,8</w:t>
            </w:r>
          </w:p>
        </w:tc>
      </w:tr>
      <w:tr w:rsidR="005C54A5" w:rsidRPr="005C54A5" w14:paraId="782AC602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6B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CDC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11.320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9C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9.750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87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4A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22.877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1C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20.760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98E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B4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17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98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02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65,1</w:t>
            </w:r>
          </w:p>
        </w:tc>
      </w:tr>
      <w:tr w:rsidR="005C54A5" w:rsidRPr="005C54A5" w14:paraId="2FF35DBA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DF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B5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11.525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BA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9.956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9B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11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B0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20.893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30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2.157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3B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96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E4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72,2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75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65,4</w:t>
            </w:r>
          </w:p>
        </w:tc>
      </w:tr>
      <w:tr w:rsidR="005C54A5" w:rsidRPr="005C54A5" w14:paraId="65B55713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6BA2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F2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11.465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78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9.899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20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53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22.838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8A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20.861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58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E6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DE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96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10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65,2</w:t>
            </w:r>
          </w:p>
        </w:tc>
      </w:tr>
      <w:tr w:rsidR="005C54A5" w:rsidRPr="005C54A5" w14:paraId="7F35C262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67D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6B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11.277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F2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9.789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6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B0E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22.619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AA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20.661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CC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AD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34,5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4C0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02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AB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64,5</w:t>
            </w:r>
          </w:p>
        </w:tc>
      </w:tr>
      <w:tr w:rsidR="005C54A5" w:rsidRPr="005C54A5" w14:paraId="4B7924B7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63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01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11.499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F5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10.050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82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1.449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95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22.865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A8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20.960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59E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A3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3A8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1E1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6D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65,4</w:t>
            </w:r>
          </w:p>
        </w:tc>
      </w:tr>
      <w:tr w:rsidR="005C54A5" w:rsidRPr="005C54A5" w14:paraId="030F8F13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171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12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11.563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4CD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10.080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DF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AD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22.844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4F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20.878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538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9A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8B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6F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5C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65,0</w:t>
            </w:r>
          </w:p>
        </w:tc>
      </w:tr>
      <w:tr w:rsidR="005C54A5" w:rsidRPr="005C54A5" w14:paraId="1AF20CFC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138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365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11.675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6B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10.095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67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6E6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22.971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51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21.003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D8A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1.968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71F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F3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22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99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65,3</w:t>
            </w:r>
          </w:p>
        </w:tc>
      </w:tr>
      <w:tr w:rsidR="005C54A5" w:rsidRPr="005C54A5" w14:paraId="4C7A13DE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951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Nov-22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3F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11.990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96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10.419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BC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B9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23.109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DB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21.098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0C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2.011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147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36,5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2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68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ED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65,6</w:t>
            </w:r>
          </w:p>
        </w:tc>
      </w:tr>
      <w:tr w:rsidR="005C54A5" w:rsidRPr="005C54A5" w14:paraId="42357C1D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17B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Dec-22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96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11.919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538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10.206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67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81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23.069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33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21.172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86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1.897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D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36,3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BF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63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27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65,7</w:t>
            </w:r>
          </w:p>
        </w:tc>
      </w:tr>
      <w:tr w:rsidR="005C54A5" w:rsidRPr="005C54A5" w14:paraId="0F747A47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FE0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Jan-23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7F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11.842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AC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10.223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B79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E5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23.293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7E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21.476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2F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1.817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4F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F8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36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72,2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8A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66,6</w:t>
            </w:r>
          </w:p>
        </w:tc>
      </w:tr>
      <w:tr w:rsidR="005C54A5" w:rsidRPr="005C54A5" w14:paraId="0BC9514F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BB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Feb-23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DE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11.882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62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10.356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AD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01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22.992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D4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20.985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43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2.008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CC6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36,1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F5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DFB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1E0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65,0</w:t>
            </w:r>
          </w:p>
        </w:tc>
      </w:tr>
      <w:tr w:rsidR="005C54A5" w:rsidRPr="005C54A5" w14:paraId="53D82FB6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7D9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Mar-23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9D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11.572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1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9.976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094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7C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23.049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2FD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21.185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D0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1.864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B6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3E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DE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845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65,6</w:t>
            </w:r>
          </w:p>
        </w:tc>
      </w:tr>
      <w:tr w:rsidR="005C54A5" w:rsidRPr="005C54A5" w14:paraId="5B710955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9BE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Apr-23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29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11.956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FB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10.295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199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11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23.182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C1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21.338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F9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1.844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FB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36,3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A53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02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66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66,0</w:t>
            </w:r>
          </w:p>
        </w:tc>
      </w:tr>
      <w:tr w:rsidR="005C54A5" w:rsidRPr="005C54A5" w14:paraId="1B98E797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024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May-23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BE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11.891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FE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10.360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22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AC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23.113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9B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21.344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0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62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09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07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4D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66,0</w:t>
            </w:r>
          </w:p>
        </w:tc>
      </w:tr>
      <w:tr w:rsidR="005C54A5" w:rsidRPr="005C54A5" w14:paraId="5D35E99F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38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Jun-23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A5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11.719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17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10.195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6B9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1.524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2C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22.911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57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21.145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05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DD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97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3F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E9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65,3</w:t>
            </w:r>
          </w:p>
        </w:tc>
      </w:tr>
      <w:tr w:rsidR="005C54A5" w:rsidRPr="005C54A5" w14:paraId="1B9FCA2D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465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Jul-23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C8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11.886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75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10.381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D3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1.505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B91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23.034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BB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21.298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BB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60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2B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9F2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71,1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DB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65,8</w:t>
            </w:r>
          </w:p>
        </w:tc>
      </w:tr>
      <w:tr w:rsidR="005C54A5" w:rsidRPr="005C54A5" w14:paraId="7456B087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667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Aug-23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F741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11.870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96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10.401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90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67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22.962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42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21.254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4E2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1.708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FA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1F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09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EE8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65,6</w:t>
            </w:r>
          </w:p>
        </w:tc>
      </w:tr>
      <w:tr w:rsidR="005C54A5" w:rsidRPr="005C54A5" w14:paraId="6D841DA8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85D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Sep-23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23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11.757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A7C4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10.332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2A0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1.425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455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22.956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D47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21.257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D62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21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6EA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86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39C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65,5</w:t>
            </w:r>
          </w:p>
        </w:tc>
      </w:tr>
      <w:tr w:rsidR="005C54A5" w:rsidRPr="005C54A5" w14:paraId="32152E1A" w14:textId="77777777" w:rsidTr="005C54A5">
        <w:trPr>
          <w:trHeight w:val="29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9C3" w14:textId="77777777" w:rsidR="005C54A5" w:rsidRPr="005C54A5" w:rsidRDefault="005C54A5" w:rsidP="005C54A5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Oct-23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2E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11.816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AEE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10.476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2ED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1.341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F7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22.979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B53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21.359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9DB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1.620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CD9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35,7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3B5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62F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sz w:val="16"/>
                <w:szCs w:val="16"/>
                <w:lang w:eastAsia="tr-TR"/>
              </w:rPr>
              <w:t>70,8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216" w14:textId="77777777" w:rsidR="005C54A5" w:rsidRPr="005C54A5" w:rsidRDefault="005C54A5" w:rsidP="005C54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C54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65,8</w:t>
            </w:r>
          </w:p>
        </w:tc>
      </w:tr>
    </w:tbl>
    <w:p w14:paraId="5A9D0CAD" w14:textId="39D3B20F" w:rsidR="006E6B65" w:rsidRPr="00296017" w:rsidRDefault="006E6B65" w:rsidP="008B6CE2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3A8B33E6" w14:textId="77777777" w:rsidR="00C36DDC" w:rsidRPr="00296017" w:rsidRDefault="00C36DDC" w:rsidP="007C3CD9">
      <w:pPr>
        <w:pStyle w:val="ResimYazs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296017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296017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731C2BA" w14:textId="22770F96" w:rsidR="00321CA0" w:rsidRPr="00296017" w:rsidRDefault="00321CA0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>Box 1: Definitions of alternative unemployment rates</w:t>
      </w:r>
      <w:r w:rsidRPr="00296017">
        <w:rPr>
          <w:rFonts w:ascii="Arial" w:hAnsi="Arial" w:cs="Arial"/>
        </w:rPr>
        <w:footnoteReference w:id="3"/>
      </w:r>
    </w:p>
    <w:p w14:paraId="1B080747" w14:textId="0ED78988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time-related underemployment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: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Persons employed in the reference week who 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>worked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less than 40 hours </w:t>
      </w:r>
      <w:r w:rsidR="00D463E3" w:rsidRPr="00296017">
        <w:rPr>
          <w:rFonts w:ascii="Arial" w:hAnsi="Arial" w:cs="Arial"/>
          <w:bCs/>
          <w:sz w:val="20"/>
          <w:szCs w:val="20"/>
          <w:lang w:val="en-US" w:eastAsia="tr-TR"/>
        </w:rPr>
        <w:t>in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D8ECDB7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The potential labor force: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P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</w:p>
    <w:p w14:paraId="38460215" w14:textId="17B23743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unemployed: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The unemployed comprises all persons 15 years of age and over who were not employed during the reference period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had used at least one active channel for seeking a job during the last four weeks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and were available to start work within two weeks.</w:t>
      </w:r>
    </w:p>
    <w:p w14:paraId="70CAB977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1) Unemployment rate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= [persons in unemployment/labor force]x100</w:t>
      </w:r>
    </w:p>
    <w:p w14:paraId="2C3A0244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875C43E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2) Combined rate of time-related underemployment and unemployment =</w:t>
      </w:r>
    </w:p>
    <w:p w14:paraId="68F65AAF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ab/>
      </w:r>
    </w:p>
    <w:p w14:paraId="37666981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3) Combined rate of unemployment and potential labor force =</w:t>
      </w:r>
    </w:p>
    <w:p w14:paraId="6EEA53B3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62E8295A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4) Composite measure of labor underutilization =</w:t>
      </w:r>
    </w:p>
    <w:p w14:paraId="7F873DDB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1505DD62" w:rsidR="00573DFA" w:rsidRPr="00296017" w:rsidRDefault="00573DFA">
      <w:pPr>
        <w:suppressAutoHyphens w:val="0"/>
        <w:rPr>
          <w:rFonts w:ascii="Arial" w:hAnsi="Arial" w:cs="Arial"/>
          <w:sz w:val="18"/>
          <w:szCs w:val="18"/>
          <w:lang w:val="en-US"/>
        </w:rPr>
      </w:pPr>
    </w:p>
    <w:sectPr w:rsidR="00573DFA" w:rsidRPr="00296017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98A4" w14:textId="77777777" w:rsidR="001F0F3C" w:rsidRDefault="001F0F3C">
      <w:r>
        <w:separator/>
      </w:r>
    </w:p>
  </w:endnote>
  <w:endnote w:type="continuationSeparator" w:id="0">
    <w:p w14:paraId="22CE6938" w14:textId="77777777" w:rsidR="001F0F3C" w:rsidRDefault="001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F64" w14:textId="77777777" w:rsidR="00433640" w:rsidRDefault="004336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03DBCE44" w:rsidR="00433640" w:rsidRDefault="00433640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96017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69511C34" w14:textId="77777777" w:rsidR="00433640" w:rsidRDefault="00433640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CCF" w14:textId="77777777" w:rsidR="00433640" w:rsidRDefault="004336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426" w14:textId="77777777" w:rsidR="001F0F3C" w:rsidRDefault="001F0F3C">
      <w:r>
        <w:separator/>
      </w:r>
    </w:p>
  </w:footnote>
  <w:footnote w:type="continuationSeparator" w:id="0">
    <w:p w14:paraId="1F58E316" w14:textId="77777777" w:rsidR="001F0F3C" w:rsidRDefault="001F0F3C">
      <w:r>
        <w:continuationSeparator/>
      </w:r>
    </w:p>
  </w:footnote>
  <w:footnote w:id="1">
    <w:p w14:paraId="2A57D25B" w14:textId="7F859C35" w:rsidR="00433640" w:rsidRPr="002379FE" w:rsidRDefault="00433640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802E3C">
          <w:rPr>
            <w:rStyle w:val="Kpr"/>
            <w:rFonts w:ascii="Arial" w:hAnsi="Arial" w:cs="Arial"/>
            <w:sz w:val="16"/>
            <w:szCs w:val="16"/>
            <w:lang w:val="en-US"/>
          </w:rPr>
          <w:t>seyfettin.gursel@bau.edu.tr</w:t>
        </w:r>
      </w:hyperlink>
    </w:p>
  </w:footnote>
  <w:footnote w:id="2">
    <w:p w14:paraId="062DB85E" w14:textId="74284D7A" w:rsidR="00433640" w:rsidRPr="002379FE" w:rsidRDefault="00433640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 w:rsidR="005F410D">
        <w:rPr>
          <w:rFonts w:ascii="Arial" w:hAnsi="Arial" w:cs="Arial"/>
          <w:sz w:val="16"/>
          <w:szCs w:val="16"/>
          <w:lang w:val="en-US"/>
        </w:rPr>
        <w:t>Betül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5F410D">
        <w:rPr>
          <w:rFonts w:ascii="Arial" w:hAnsi="Arial" w:cs="Arial"/>
          <w:sz w:val="16"/>
          <w:szCs w:val="16"/>
          <w:lang w:val="en-US"/>
        </w:rPr>
        <w:t>Akbulut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, Betam, Research Assistant, </w:t>
      </w:r>
      <w:hyperlink r:id="rId2" w:history="1">
        <w:r w:rsidR="005F410D" w:rsidRPr="00A605D2">
          <w:rPr>
            <w:rStyle w:val="Kpr"/>
            <w:rFonts w:ascii="Arial" w:hAnsi="Arial" w:cs="Arial"/>
            <w:sz w:val="16"/>
            <w:szCs w:val="16"/>
            <w:lang w:val="en-US"/>
          </w:rPr>
          <w:t>betulnur.akbulut@bau.edu.tr</w:t>
        </w:r>
      </w:hyperlink>
    </w:p>
  </w:footnote>
  <w:footnote w:id="3">
    <w:p w14:paraId="025CE470" w14:textId="77777777" w:rsidR="00433640" w:rsidRPr="002379FE" w:rsidRDefault="00433640" w:rsidP="00321CA0">
      <w:pPr>
        <w:pStyle w:val="DipnotMetni"/>
        <w:rPr>
          <w:rFonts w:asciiTheme="minorHAnsi" w:hAnsiTheme="minorHAnsi" w:cs="Arial"/>
          <w:sz w:val="16"/>
          <w:szCs w:val="16"/>
          <w:lang w:val="en-US"/>
        </w:rPr>
      </w:pPr>
      <w:r w:rsidRPr="002379FE">
        <w:rPr>
          <w:rStyle w:val="DipnotBavurusu"/>
          <w:rFonts w:asciiTheme="minorHAnsi" w:hAnsiTheme="minorHAnsi" w:cs="Arial"/>
          <w:sz w:val="16"/>
          <w:szCs w:val="16"/>
          <w:lang w:val="en-US"/>
        </w:rPr>
        <w:footnoteRef/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2379FE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3" w:history="1">
        <w:r w:rsidRPr="002379FE">
          <w:rPr>
            <w:rStyle w:val="Kpr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910" w14:textId="77777777" w:rsidR="00433640" w:rsidRDefault="004336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A21A" w14:textId="77777777" w:rsidR="00433640" w:rsidRDefault="004336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E57" w14:textId="77777777" w:rsidR="00433640" w:rsidRDefault="004336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942960999">
    <w:abstractNumId w:val="0"/>
  </w:num>
  <w:num w:numId="2" w16cid:durableId="23667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MDA1MjY3sDA0MzdQ0lEKTi0uzszPAykwrAUAwBKDsCwAAAA="/>
  </w:docVars>
  <w:rsids>
    <w:rsidRoot w:val="00A5464D"/>
    <w:rsid w:val="0000018C"/>
    <w:rsid w:val="00000B73"/>
    <w:rsid w:val="00001025"/>
    <w:rsid w:val="000011D2"/>
    <w:rsid w:val="000011D8"/>
    <w:rsid w:val="000016F1"/>
    <w:rsid w:val="00001FBF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99E"/>
    <w:rsid w:val="00005B1F"/>
    <w:rsid w:val="00005C29"/>
    <w:rsid w:val="00005C6D"/>
    <w:rsid w:val="00006183"/>
    <w:rsid w:val="000065E2"/>
    <w:rsid w:val="000067B5"/>
    <w:rsid w:val="00006A87"/>
    <w:rsid w:val="00006CD0"/>
    <w:rsid w:val="000075C2"/>
    <w:rsid w:val="0000769B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21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73E"/>
    <w:rsid w:val="00034C68"/>
    <w:rsid w:val="00035879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2FB0"/>
    <w:rsid w:val="00063004"/>
    <w:rsid w:val="00063070"/>
    <w:rsid w:val="0006309E"/>
    <w:rsid w:val="00063601"/>
    <w:rsid w:val="00063FAB"/>
    <w:rsid w:val="00064968"/>
    <w:rsid w:val="0006505E"/>
    <w:rsid w:val="00065147"/>
    <w:rsid w:val="00065260"/>
    <w:rsid w:val="00065707"/>
    <w:rsid w:val="000659FA"/>
    <w:rsid w:val="00065B4B"/>
    <w:rsid w:val="00065DF7"/>
    <w:rsid w:val="00065EBC"/>
    <w:rsid w:val="000660FC"/>
    <w:rsid w:val="00066E59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77E54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4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5E4F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2E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15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DF5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DD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0E0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4E11"/>
    <w:rsid w:val="00145497"/>
    <w:rsid w:val="00145907"/>
    <w:rsid w:val="001459B1"/>
    <w:rsid w:val="00145BA9"/>
    <w:rsid w:val="00145BAD"/>
    <w:rsid w:val="001462F5"/>
    <w:rsid w:val="001468BA"/>
    <w:rsid w:val="00146C31"/>
    <w:rsid w:val="0014705A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849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6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280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69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A2A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5E8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0F3C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019"/>
    <w:rsid w:val="00207862"/>
    <w:rsid w:val="00207CF7"/>
    <w:rsid w:val="00210393"/>
    <w:rsid w:val="00210D99"/>
    <w:rsid w:val="00211BC1"/>
    <w:rsid w:val="00212075"/>
    <w:rsid w:val="002128B5"/>
    <w:rsid w:val="00212925"/>
    <w:rsid w:val="00212969"/>
    <w:rsid w:val="00212C5F"/>
    <w:rsid w:val="00212D35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379FE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383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A8F"/>
    <w:rsid w:val="00295CCD"/>
    <w:rsid w:val="00296017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5A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4C4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954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7E0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08C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159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778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83A"/>
    <w:rsid w:val="003218FF"/>
    <w:rsid w:val="003219B3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37F2C"/>
    <w:rsid w:val="00340089"/>
    <w:rsid w:val="003406D9"/>
    <w:rsid w:val="00340751"/>
    <w:rsid w:val="003438EA"/>
    <w:rsid w:val="00343E50"/>
    <w:rsid w:val="003440C6"/>
    <w:rsid w:val="003445BF"/>
    <w:rsid w:val="003446E4"/>
    <w:rsid w:val="00344821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A91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7D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4AE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22F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A99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3BC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182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0E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5E9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40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9B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BF5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122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4548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3C6F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74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9A"/>
    <w:rsid w:val="004E7C14"/>
    <w:rsid w:val="004E7F16"/>
    <w:rsid w:val="004F0234"/>
    <w:rsid w:val="004F02C2"/>
    <w:rsid w:val="004F0313"/>
    <w:rsid w:val="004F0C9A"/>
    <w:rsid w:val="004F12D2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E91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841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6E64"/>
    <w:rsid w:val="005374BF"/>
    <w:rsid w:val="00537780"/>
    <w:rsid w:val="005377EB"/>
    <w:rsid w:val="005379DB"/>
    <w:rsid w:val="00540168"/>
    <w:rsid w:val="005404BA"/>
    <w:rsid w:val="00540757"/>
    <w:rsid w:val="00540BA0"/>
    <w:rsid w:val="0054117F"/>
    <w:rsid w:val="00541579"/>
    <w:rsid w:val="005416C9"/>
    <w:rsid w:val="0054249C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5AC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03C"/>
    <w:rsid w:val="00573913"/>
    <w:rsid w:val="00573A6E"/>
    <w:rsid w:val="00573CEF"/>
    <w:rsid w:val="00573DFA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3AA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0B3"/>
    <w:rsid w:val="005A219F"/>
    <w:rsid w:val="005A289E"/>
    <w:rsid w:val="005A2FFB"/>
    <w:rsid w:val="005A3063"/>
    <w:rsid w:val="005A3314"/>
    <w:rsid w:val="005A339D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586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B779B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67"/>
    <w:rsid w:val="005C2CCA"/>
    <w:rsid w:val="005C2EC1"/>
    <w:rsid w:val="005C387F"/>
    <w:rsid w:val="005C44C7"/>
    <w:rsid w:val="005C4935"/>
    <w:rsid w:val="005C54A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10D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6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4FAB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126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3C5"/>
    <w:rsid w:val="00650E30"/>
    <w:rsid w:val="00650F92"/>
    <w:rsid w:val="006510C2"/>
    <w:rsid w:val="0065110A"/>
    <w:rsid w:val="0065206B"/>
    <w:rsid w:val="0065249A"/>
    <w:rsid w:val="00652768"/>
    <w:rsid w:val="006528F3"/>
    <w:rsid w:val="00653720"/>
    <w:rsid w:val="00653D0F"/>
    <w:rsid w:val="00653EA2"/>
    <w:rsid w:val="0065431E"/>
    <w:rsid w:val="00654C97"/>
    <w:rsid w:val="00654E73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09F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68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CFC"/>
    <w:rsid w:val="00690E3B"/>
    <w:rsid w:val="00691005"/>
    <w:rsid w:val="00691072"/>
    <w:rsid w:val="006912A2"/>
    <w:rsid w:val="006912B6"/>
    <w:rsid w:val="00691684"/>
    <w:rsid w:val="006919D8"/>
    <w:rsid w:val="00692392"/>
    <w:rsid w:val="006925D7"/>
    <w:rsid w:val="00692C9B"/>
    <w:rsid w:val="006930E0"/>
    <w:rsid w:val="006931A9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2BD"/>
    <w:rsid w:val="006B7BBC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4DB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FD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37FCB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74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740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4BF"/>
    <w:rsid w:val="007C7AE4"/>
    <w:rsid w:val="007C7B07"/>
    <w:rsid w:val="007D000D"/>
    <w:rsid w:val="007D04E6"/>
    <w:rsid w:val="007D0F5E"/>
    <w:rsid w:val="007D1796"/>
    <w:rsid w:val="007D2318"/>
    <w:rsid w:val="007D26D2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03D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6C4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4C58"/>
    <w:rsid w:val="00844F03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730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998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157B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933"/>
    <w:rsid w:val="008B4BE0"/>
    <w:rsid w:val="008B4DB4"/>
    <w:rsid w:val="008B5142"/>
    <w:rsid w:val="008B563F"/>
    <w:rsid w:val="008B5915"/>
    <w:rsid w:val="008B5B64"/>
    <w:rsid w:val="008B5D85"/>
    <w:rsid w:val="008B65F1"/>
    <w:rsid w:val="008B689A"/>
    <w:rsid w:val="008B6CE2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36CE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69A6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787"/>
    <w:rsid w:val="008E3853"/>
    <w:rsid w:val="008E39B6"/>
    <w:rsid w:val="008E3A1A"/>
    <w:rsid w:val="008E3AAC"/>
    <w:rsid w:val="008E3EDD"/>
    <w:rsid w:val="008E3F3E"/>
    <w:rsid w:val="008E416F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360F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D03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6BA"/>
    <w:rsid w:val="00971817"/>
    <w:rsid w:val="00971906"/>
    <w:rsid w:val="0097219F"/>
    <w:rsid w:val="0097231E"/>
    <w:rsid w:val="00972CB2"/>
    <w:rsid w:val="00972DAC"/>
    <w:rsid w:val="00973066"/>
    <w:rsid w:val="00973153"/>
    <w:rsid w:val="009731A6"/>
    <w:rsid w:val="0097389C"/>
    <w:rsid w:val="00973AC2"/>
    <w:rsid w:val="009746A1"/>
    <w:rsid w:val="00974D10"/>
    <w:rsid w:val="00974E82"/>
    <w:rsid w:val="00974E9D"/>
    <w:rsid w:val="00974F53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395"/>
    <w:rsid w:val="00984AF9"/>
    <w:rsid w:val="00984CC2"/>
    <w:rsid w:val="009858DD"/>
    <w:rsid w:val="009858F7"/>
    <w:rsid w:val="00985CE7"/>
    <w:rsid w:val="009865B6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635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B7F68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7EF"/>
    <w:rsid w:val="009C69A4"/>
    <w:rsid w:val="009C7142"/>
    <w:rsid w:val="009C72E7"/>
    <w:rsid w:val="009D0000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57D4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9EE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859"/>
    <w:rsid w:val="00AA6DCE"/>
    <w:rsid w:val="00AA74EB"/>
    <w:rsid w:val="00AA75A5"/>
    <w:rsid w:val="00AB0099"/>
    <w:rsid w:val="00AB00A3"/>
    <w:rsid w:val="00AB030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339F"/>
    <w:rsid w:val="00AB4500"/>
    <w:rsid w:val="00AB48F0"/>
    <w:rsid w:val="00AB49B4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66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37"/>
    <w:rsid w:val="00AC3ABC"/>
    <w:rsid w:val="00AC3ABE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AFC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1CA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45F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E97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52F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00C"/>
    <w:rsid w:val="00B7318D"/>
    <w:rsid w:val="00B73469"/>
    <w:rsid w:val="00B73A1D"/>
    <w:rsid w:val="00B73F35"/>
    <w:rsid w:val="00B7410C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A9A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3CC"/>
    <w:rsid w:val="00BA0E60"/>
    <w:rsid w:val="00BA0EBA"/>
    <w:rsid w:val="00BA103E"/>
    <w:rsid w:val="00BA17AA"/>
    <w:rsid w:val="00BA19E2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6E70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925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9B4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25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433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76D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65DF"/>
    <w:rsid w:val="00C471D8"/>
    <w:rsid w:val="00C47758"/>
    <w:rsid w:val="00C47807"/>
    <w:rsid w:val="00C50574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67B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87E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0D21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CAE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CB8"/>
    <w:rsid w:val="00C92F47"/>
    <w:rsid w:val="00C93008"/>
    <w:rsid w:val="00C94326"/>
    <w:rsid w:val="00C94515"/>
    <w:rsid w:val="00C949F4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1F1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87D"/>
    <w:rsid w:val="00CB3C33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64E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CF7C6E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3D6"/>
    <w:rsid w:val="00D10409"/>
    <w:rsid w:val="00D10421"/>
    <w:rsid w:val="00D10E27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3E32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6D7"/>
    <w:rsid w:val="00D319B9"/>
    <w:rsid w:val="00D3211C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611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02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B1F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CA7"/>
    <w:rsid w:val="00D64D77"/>
    <w:rsid w:val="00D64E1E"/>
    <w:rsid w:val="00D652F8"/>
    <w:rsid w:val="00D657C7"/>
    <w:rsid w:val="00D6638B"/>
    <w:rsid w:val="00D667AE"/>
    <w:rsid w:val="00D668D7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1AF0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8FF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C21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9C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1E6C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2ED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5C4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6F54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8E9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9FB"/>
    <w:rsid w:val="00E11A9B"/>
    <w:rsid w:val="00E11F15"/>
    <w:rsid w:val="00E12210"/>
    <w:rsid w:val="00E1352B"/>
    <w:rsid w:val="00E1393E"/>
    <w:rsid w:val="00E13B2A"/>
    <w:rsid w:val="00E13EB0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5ABF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C91"/>
    <w:rsid w:val="00E47FEE"/>
    <w:rsid w:val="00E5068A"/>
    <w:rsid w:val="00E509B6"/>
    <w:rsid w:val="00E51666"/>
    <w:rsid w:val="00E51E7B"/>
    <w:rsid w:val="00E52839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B28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8C7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6E50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15"/>
    <w:rsid w:val="00EA3BF5"/>
    <w:rsid w:val="00EA3F0A"/>
    <w:rsid w:val="00EA466A"/>
    <w:rsid w:val="00EA46AD"/>
    <w:rsid w:val="00EA4AA9"/>
    <w:rsid w:val="00EA52B8"/>
    <w:rsid w:val="00EA5695"/>
    <w:rsid w:val="00EA56C8"/>
    <w:rsid w:val="00EA5993"/>
    <w:rsid w:val="00EA5D4F"/>
    <w:rsid w:val="00EA5F2B"/>
    <w:rsid w:val="00EA6362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1BC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CD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CEB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528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17D5E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4C44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0F21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44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5FF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BFE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268B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20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174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38B"/>
    <w:rsid w:val="00F92DAE"/>
    <w:rsid w:val="00F9330F"/>
    <w:rsid w:val="00F93502"/>
    <w:rsid w:val="00F939C5"/>
    <w:rsid w:val="00F93C2E"/>
    <w:rsid w:val="00F93C56"/>
    <w:rsid w:val="00F93C7B"/>
    <w:rsid w:val="00F947AE"/>
    <w:rsid w:val="00F947F2"/>
    <w:rsid w:val="00F947FF"/>
    <w:rsid w:val="00F94C7D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1545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C8C"/>
    <w:rsid w:val="00FD71E6"/>
    <w:rsid w:val="00FD75B3"/>
    <w:rsid w:val="00FD7BCE"/>
    <w:rsid w:val="00FE0485"/>
    <w:rsid w:val="00FE0C0A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6A21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512D6"/>
    <w:rPr>
      <w:sz w:val="24"/>
      <w:szCs w:val="24"/>
      <w:lang w:eastAsia="ar-SA"/>
    </w:rPr>
  </w:style>
  <w:style w:type="character" w:customStyle="1" w:styleId="UnresolvedMention6">
    <w:name w:val="Unresolved Mention6"/>
    <w:basedOn w:val="VarsaylanParagrafYazTipi"/>
    <w:uiPriority w:val="99"/>
    <w:semiHidden/>
    <w:unhideWhenUsed/>
    <w:rsid w:val="00D71AF0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Kategori/GetKategori?p=istihdam-issizlik-ve-ucret-108&amp;dil=1" TargetMode="External"/><Relationship Id="rId2" Type="http://schemas.openxmlformats.org/officeDocument/2006/relationships/hyperlink" Target="mailto:betulnur.akbulut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uuser\Desktop\AN%20&#304;&#351;sizlik%20(EN)%20(3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user\Desktop\AN%20&#304;&#351;sizlik%20(EN)%20(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uuser\Desktop\AN%20&#304;&#351;sizlik%20(EN)%20(3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user\Desktop\AN%20&#304;&#351;sizlik%20(EN)%20(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355040397481735"/>
          <c:h val="0.69737051219955193"/>
        </c:manualLayout>
      </c:layout>
      <c:lineChart>
        <c:grouping val="standard"/>
        <c:varyColors val="0"/>
        <c:ser>
          <c:idx val="1"/>
          <c:order val="0"/>
          <c:tx>
            <c:strRef>
              <c:f>'FIGURE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'FIGURE 1'!$A$83:$A$119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1'!$B$83:$B$119</c:f>
              <c:numCache>
                <c:formatCode>###,###</c:formatCode>
                <c:ptCount val="37"/>
                <c:pt idx="0">
                  <c:v>31076</c:v>
                </c:pt>
                <c:pt idx="1">
                  <c:v>31080</c:v>
                </c:pt>
                <c:pt idx="2">
                  <c:v>31009</c:v>
                </c:pt>
                <c:pt idx="3">
                  <c:v>31608</c:v>
                </c:pt>
                <c:pt idx="4">
                  <c:v>31916</c:v>
                </c:pt>
                <c:pt idx="5">
                  <c:v>32573</c:v>
                </c:pt>
                <c:pt idx="6">
                  <c:v>32626</c:v>
                </c:pt>
                <c:pt idx="7">
                  <c:v>32278</c:v>
                </c:pt>
                <c:pt idx="8">
                  <c:v>32178</c:v>
                </c:pt>
                <c:pt idx="9">
                  <c:v>32567</c:v>
                </c:pt>
                <c:pt idx="10">
                  <c:v>32895</c:v>
                </c:pt>
                <c:pt idx="11">
                  <c:v>33314</c:v>
                </c:pt>
                <c:pt idx="12">
                  <c:v>33311</c:v>
                </c:pt>
                <c:pt idx="13">
                  <c:v>33349</c:v>
                </c:pt>
                <c:pt idx="14">
                  <c:v>33761</c:v>
                </c:pt>
                <c:pt idx="15">
                  <c:v>33793</c:v>
                </c:pt>
                <c:pt idx="16">
                  <c:v>33641</c:v>
                </c:pt>
                <c:pt idx="17">
                  <c:v>33822</c:v>
                </c:pt>
                <c:pt idx="18">
                  <c:v>34197</c:v>
                </c:pt>
                <c:pt idx="19">
                  <c:v>34575</c:v>
                </c:pt>
                <c:pt idx="20">
                  <c:v>34304</c:v>
                </c:pt>
                <c:pt idx="21">
                  <c:v>33896</c:v>
                </c:pt>
                <c:pt idx="22">
                  <c:v>34363</c:v>
                </c:pt>
                <c:pt idx="23">
                  <c:v>34407</c:v>
                </c:pt>
                <c:pt idx="24">
                  <c:v>34646</c:v>
                </c:pt>
                <c:pt idx="25">
                  <c:v>35099</c:v>
                </c:pt>
                <c:pt idx="26">
                  <c:v>34988</c:v>
                </c:pt>
                <c:pt idx="27">
                  <c:v>35135</c:v>
                </c:pt>
                <c:pt idx="28">
                  <c:v>34874</c:v>
                </c:pt>
                <c:pt idx="29">
                  <c:v>34621</c:v>
                </c:pt>
                <c:pt idx="30">
                  <c:v>35138</c:v>
                </c:pt>
                <c:pt idx="31">
                  <c:v>35004</c:v>
                </c:pt>
                <c:pt idx="32">
                  <c:v>34631</c:v>
                </c:pt>
                <c:pt idx="33">
                  <c:v>34920</c:v>
                </c:pt>
                <c:pt idx="34">
                  <c:v>34832</c:v>
                </c:pt>
                <c:pt idx="35">
                  <c:v>34713</c:v>
                </c:pt>
                <c:pt idx="36">
                  <c:v>34796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1F-49E5-9CE0-1745A72BF70E}"/>
            </c:ext>
          </c:extLst>
        </c:ser>
        <c:ser>
          <c:idx val="0"/>
          <c:order val="1"/>
          <c:tx>
            <c:strRef>
              <c:f>'FIGURE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'FIGURE 1'!$A$83:$A$119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1'!$C$83:$C$119</c:f>
              <c:numCache>
                <c:formatCode>###,###</c:formatCode>
                <c:ptCount val="37"/>
                <c:pt idx="0">
                  <c:v>27006</c:v>
                </c:pt>
                <c:pt idx="1">
                  <c:v>27016</c:v>
                </c:pt>
                <c:pt idx="2">
                  <c:v>27093</c:v>
                </c:pt>
                <c:pt idx="3">
                  <c:v>27645</c:v>
                </c:pt>
                <c:pt idx="4">
                  <c:v>27672</c:v>
                </c:pt>
                <c:pt idx="5">
                  <c:v>28396</c:v>
                </c:pt>
                <c:pt idx="6">
                  <c:v>28289</c:v>
                </c:pt>
                <c:pt idx="7">
                  <c:v>28007</c:v>
                </c:pt>
                <c:pt idx="8">
                  <c:v>28631</c:v>
                </c:pt>
                <c:pt idx="9">
                  <c:v>28807</c:v>
                </c:pt>
                <c:pt idx="10">
                  <c:v>28981</c:v>
                </c:pt>
                <c:pt idx="11">
                  <c:v>29567</c:v>
                </c:pt>
                <c:pt idx="12">
                  <c:v>29615</c:v>
                </c:pt>
                <c:pt idx="13">
                  <c:v>29615</c:v>
                </c:pt>
                <c:pt idx="14">
                  <c:v>30039</c:v>
                </c:pt>
                <c:pt idx="15">
                  <c:v>29987</c:v>
                </c:pt>
                <c:pt idx="16">
                  <c:v>30003</c:v>
                </c:pt>
                <c:pt idx="17">
                  <c:v>30078</c:v>
                </c:pt>
                <c:pt idx="18">
                  <c:v>30510</c:v>
                </c:pt>
                <c:pt idx="19">
                  <c:v>30849</c:v>
                </c:pt>
                <c:pt idx="20">
                  <c:v>30760</c:v>
                </c:pt>
                <c:pt idx="21">
                  <c:v>30450</c:v>
                </c:pt>
                <c:pt idx="22">
                  <c:v>31010</c:v>
                </c:pt>
                <c:pt idx="23">
                  <c:v>30957</c:v>
                </c:pt>
                <c:pt idx="24">
                  <c:v>31098</c:v>
                </c:pt>
                <c:pt idx="25">
                  <c:v>31517</c:v>
                </c:pt>
                <c:pt idx="26">
                  <c:v>31378</c:v>
                </c:pt>
                <c:pt idx="27">
                  <c:v>31699</c:v>
                </c:pt>
                <c:pt idx="28">
                  <c:v>31341</c:v>
                </c:pt>
                <c:pt idx="29">
                  <c:v>31162</c:v>
                </c:pt>
                <c:pt idx="30">
                  <c:v>31632</c:v>
                </c:pt>
                <c:pt idx="31">
                  <c:v>31705</c:v>
                </c:pt>
                <c:pt idx="32">
                  <c:v>31340</c:v>
                </c:pt>
                <c:pt idx="33">
                  <c:v>31680</c:v>
                </c:pt>
                <c:pt idx="34">
                  <c:v>31656</c:v>
                </c:pt>
                <c:pt idx="35">
                  <c:v>31589</c:v>
                </c:pt>
                <c:pt idx="36">
                  <c:v>31835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1F-49E5-9CE0-1745A72BF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'FIGURE 1'!$A$83:$A$119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1'!$E$83:$E$119</c:f>
              <c:numCache>
                <c:formatCode>0.0</c:formatCode>
                <c:ptCount val="37"/>
                <c:pt idx="0">
                  <c:v>13.1</c:v>
                </c:pt>
                <c:pt idx="1">
                  <c:v>13.1</c:v>
                </c:pt>
                <c:pt idx="2">
                  <c:v>12.6</c:v>
                </c:pt>
                <c:pt idx="3">
                  <c:v>12.5</c:v>
                </c:pt>
                <c:pt idx="4">
                  <c:v>13.3</c:v>
                </c:pt>
                <c:pt idx="5">
                  <c:v>12.8</c:v>
                </c:pt>
                <c:pt idx="6">
                  <c:v>13.3</c:v>
                </c:pt>
                <c:pt idx="7">
                  <c:v>13.2</c:v>
                </c:pt>
                <c:pt idx="8">
                  <c:v>11</c:v>
                </c:pt>
                <c:pt idx="9">
                  <c:v>11.5</c:v>
                </c:pt>
                <c:pt idx="10">
                  <c:v>11.9</c:v>
                </c:pt>
                <c:pt idx="11">
                  <c:v>11.2</c:v>
                </c:pt>
                <c:pt idx="12">
                  <c:v>11.1</c:v>
                </c:pt>
                <c:pt idx="13">
                  <c:v>11.2</c:v>
                </c:pt>
                <c:pt idx="14">
                  <c:v>11</c:v>
                </c:pt>
                <c:pt idx="15">
                  <c:v>11.3</c:v>
                </c:pt>
                <c:pt idx="16">
                  <c:v>10.8</c:v>
                </c:pt>
                <c:pt idx="17">
                  <c:v>11.1</c:v>
                </c:pt>
                <c:pt idx="18">
                  <c:v>10.8</c:v>
                </c:pt>
                <c:pt idx="19">
                  <c:v>10.8</c:v>
                </c:pt>
                <c:pt idx="20">
                  <c:v>10.3</c:v>
                </c:pt>
                <c:pt idx="21">
                  <c:v>10.199999999999999</c:v>
                </c:pt>
                <c:pt idx="22">
                  <c:v>9.8000000000000007</c:v>
                </c:pt>
                <c:pt idx="23">
                  <c:v>10</c:v>
                </c:pt>
                <c:pt idx="24">
                  <c:v>10.199999999999999</c:v>
                </c:pt>
                <c:pt idx="25">
                  <c:v>10.199999999999999</c:v>
                </c:pt>
                <c:pt idx="26">
                  <c:v>10.3</c:v>
                </c:pt>
                <c:pt idx="27">
                  <c:v>9.8000000000000007</c:v>
                </c:pt>
                <c:pt idx="28">
                  <c:v>10.1</c:v>
                </c:pt>
                <c:pt idx="29">
                  <c:v>10</c:v>
                </c:pt>
                <c:pt idx="30">
                  <c:v>10</c:v>
                </c:pt>
                <c:pt idx="31">
                  <c:v>9.4</c:v>
                </c:pt>
                <c:pt idx="32">
                  <c:v>9.5</c:v>
                </c:pt>
                <c:pt idx="33">
                  <c:v>9.3000000000000007</c:v>
                </c:pt>
                <c:pt idx="34">
                  <c:v>9.1</c:v>
                </c:pt>
                <c:pt idx="35">
                  <c:v>9</c:v>
                </c:pt>
                <c:pt idx="3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1F-49E5-9CE0-1745A72BF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4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,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692652137332835"/>
              <c:y val="0.2767452005532808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'FIGURE 2'!$A$84:$A$120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2'!$C$84:$C$120</c:f>
              <c:numCache>
                <c:formatCode>0.0</c:formatCode>
                <c:ptCount val="37"/>
                <c:pt idx="0">
                  <c:v>13.1</c:v>
                </c:pt>
                <c:pt idx="1">
                  <c:v>13.1</c:v>
                </c:pt>
                <c:pt idx="2">
                  <c:v>12.6</c:v>
                </c:pt>
                <c:pt idx="3">
                  <c:v>12.5</c:v>
                </c:pt>
                <c:pt idx="4">
                  <c:v>13.3</c:v>
                </c:pt>
                <c:pt idx="5">
                  <c:v>12.8</c:v>
                </c:pt>
                <c:pt idx="6">
                  <c:v>13.3</c:v>
                </c:pt>
                <c:pt idx="7">
                  <c:v>13.2</c:v>
                </c:pt>
                <c:pt idx="8">
                  <c:v>11</c:v>
                </c:pt>
                <c:pt idx="9">
                  <c:v>11.5</c:v>
                </c:pt>
                <c:pt idx="10">
                  <c:v>11.9</c:v>
                </c:pt>
                <c:pt idx="11">
                  <c:v>11.2</c:v>
                </c:pt>
                <c:pt idx="12">
                  <c:v>11.1</c:v>
                </c:pt>
                <c:pt idx="13">
                  <c:v>11.2</c:v>
                </c:pt>
                <c:pt idx="14">
                  <c:v>11</c:v>
                </c:pt>
                <c:pt idx="15">
                  <c:v>11.3</c:v>
                </c:pt>
                <c:pt idx="16">
                  <c:v>10.8</c:v>
                </c:pt>
                <c:pt idx="17">
                  <c:v>11.1</c:v>
                </c:pt>
                <c:pt idx="18">
                  <c:v>10.8</c:v>
                </c:pt>
                <c:pt idx="19">
                  <c:v>10.8</c:v>
                </c:pt>
                <c:pt idx="20">
                  <c:v>10.3</c:v>
                </c:pt>
                <c:pt idx="21">
                  <c:v>10.199999999999999</c:v>
                </c:pt>
                <c:pt idx="22">
                  <c:v>9.8000000000000007</c:v>
                </c:pt>
                <c:pt idx="23">
                  <c:v>10</c:v>
                </c:pt>
                <c:pt idx="24">
                  <c:v>10.199999999999999</c:v>
                </c:pt>
                <c:pt idx="25">
                  <c:v>10.199999999999999</c:v>
                </c:pt>
                <c:pt idx="26">
                  <c:v>10.3</c:v>
                </c:pt>
                <c:pt idx="27">
                  <c:v>9.8000000000000007</c:v>
                </c:pt>
                <c:pt idx="28">
                  <c:v>10.1</c:v>
                </c:pt>
                <c:pt idx="29">
                  <c:v>10</c:v>
                </c:pt>
                <c:pt idx="30">
                  <c:v>10</c:v>
                </c:pt>
                <c:pt idx="31">
                  <c:v>9.4</c:v>
                </c:pt>
                <c:pt idx="32">
                  <c:v>9.5</c:v>
                </c:pt>
                <c:pt idx="33">
                  <c:v>9.3000000000000007</c:v>
                </c:pt>
                <c:pt idx="34">
                  <c:v>9.1</c:v>
                </c:pt>
                <c:pt idx="35">
                  <c:v>9</c:v>
                </c:pt>
                <c:pt idx="3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9F-4933-98AC-8E44028C65CC}"/>
            </c:ext>
          </c:extLst>
        </c:ser>
        <c:ser>
          <c:idx val="1"/>
          <c:order val="1"/>
          <c:tx>
            <c:strRef>
              <c:f>'FIGURE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'FIGURE 2'!$A$84:$A$120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2'!$E$84:$E$120</c:f>
              <c:numCache>
                <c:formatCode>0.0</c:formatCode>
                <c:ptCount val="37"/>
                <c:pt idx="0">
                  <c:v>17.399999999999999</c:v>
                </c:pt>
                <c:pt idx="1">
                  <c:v>17.100000000000001</c:v>
                </c:pt>
                <c:pt idx="2">
                  <c:v>17.8</c:v>
                </c:pt>
                <c:pt idx="3">
                  <c:v>20</c:v>
                </c:pt>
                <c:pt idx="4">
                  <c:v>19.7</c:v>
                </c:pt>
                <c:pt idx="5">
                  <c:v>17.899999999999999</c:v>
                </c:pt>
                <c:pt idx="6">
                  <c:v>19.399999999999999</c:v>
                </c:pt>
                <c:pt idx="7">
                  <c:v>19.3</c:v>
                </c:pt>
                <c:pt idx="8">
                  <c:v>15</c:v>
                </c:pt>
                <c:pt idx="9">
                  <c:v>15.9</c:v>
                </c:pt>
                <c:pt idx="10">
                  <c:v>15</c:v>
                </c:pt>
                <c:pt idx="11">
                  <c:v>14.9</c:v>
                </c:pt>
                <c:pt idx="12">
                  <c:v>15.6</c:v>
                </c:pt>
                <c:pt idx="13">
                  <c:v>15.4</c:v>
                </c:pt>
                <c:pt idx="14">
                  <c:v>15.2</c:v>
                </c:pt>
                <c:pt idx="15">
                  <c:v>15.5</c:v>
                </c:pt>
                <c:pt idx="16">
                  <c:v>14.9</c:v>
                </c:pt>
                <c:pt idx="17">
                  <c:v>15.3</c:v>
                </c:pt>
                <c:pt idx="18">
                  <c:v>14.3</c:v>
                </c:pt>
                <c:pt idx="19">
                  <c:v>15.8</c:v>
                </c:pt>
                <c:pt idx="20">
                  <c:v>14</c:v>
                </c:pt>
                <c:pt idx="21">
                  <c:v>15.2</c:v>
                </c:pt>
                <c:pt idx="22">
                  <c:v>13.4</c:v>
                </c:pt>
                <c:pt idx="23">
                  <c:v>13.9</c:v>
                </c:pt>
                <c:pt idx="24">
                  <c:v>14.3</c:v>
                </c:pt>
                <c:pt idx="25">
                  <c:v>14.3</c:v>
                </c:pt>
                <c:pt idx="26">
                  <c:v>14.9</c:v>
                </c:pt>
                <c:pt idx="27">
                  <c:v>15.3</c:v>
                </c:pt>
                <c:pt idx="28">
                  <c:v>16.100000000000001</c:v>
                </c:pt>
                <c:pt idx="29">
                  <c:v>15</c:v>
                </c:pt>
                <c:pt idx="30">
                  <c:v>16.899999999999999</c:v>
                </c:pt>
                <c:pt idx="31">
                  <c:v>15.7</c:v>
                </c:pt>
                <c:pt idx="32">
                  <c:v>16.399999999999999</c:v>
                </c:pt>
                <c:pt idx="33">
                  <c:v>14.7</c:v>
                </c:pt>
                <c:pt idx="34">
                  <c:v>15.2</c:v>
                </c:pt>
                <c:pt idx="35">
                  <c:v>14.6</c:v>
                </c:pt>
                <c:pt idx="36">
                  <c:v>13.7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9F-4933-98AC-8E44028C65CC}"/>
            </c:ext>
          </c:extLst>
        </c:ser>
        <c:ser>
          <c:idx val="2"/>
          <c:order val="2"/>
          <c:tx>
            <c:strRef>
              <c:f>'FIGURE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'FIGURE 2'!$A$84:$A$120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2'!$G$84:$G$120</c:f>
              <c:numCache>
                <c:formatCode>0.0</c:formatCode>
                <c:ptCount val="37"/>
                <c:pt idx="0">
                  <c:v>21.9</c:v>
                </c:pt>
                <c:pt idx="1">
                  <c:v>23.1</c:v>
                </c:pt>
                <c:pt idx="2">
                  <c:v>23.8</c:v>
                </c:pt>
                <c:pt idx="3">
                  <c:v>22.8</c:v>
                </c:pt>
                <c:pt idx="4">
                  <c:v>22.4</c:v>
                </c:pt>
                <c:pt idx="5">
                  <c:v>20.9</c:v>
                </c:pt>
                <c:pt idx="6">
                  <c:v>21.4</c:v>
                </c:pt>
                <c:pt idx="7">
                  <c:v>21.7</c:v>
                </c:pt>
                <c:pt idx="8">
                  <c:v>19.100000000000001</c:v>
                </c:pt>
                <c:pt idx="9">
                  <c:v>19.3</c:v>
                </c:pt>
                <c:pt idx="10">
                  <c:v>18.899999999999999</c:v>
                </c:pt>
                <c:pt idx="11">
                  <c:v>18.3</c:v>
                </c:pt>
                <c:pt idx="12">
                  <c:v>18.600000000000001</c:v>
                </c:pt>
                <c:pt idx="13">
                  <c:v>18.2</c:v>
                </c:pt>
                <c:pt idx="14">
                  <c:v>18.600000000000001</c:v>
                </c:pt>
                <c:pt idx="15">
                  <c:v>18.8</c:v>
                </c:pt>
                <c:pt idx="16">
                  <c:v>18.2</c:v>
                </c:pt>
                <c:pt idx="17">
                  <c:v>18.399999999999999</c:v>
                </c:pt>
                <c:pt idx="18">
                  <c:v>18.100000000000001</c:v>
                </c:pt>
                <c:pt idx="19">
                  <c:v>17.600000000000001</c:v>
                </c:pt>
                <c:pt idx="20">
                  <c:v>17.100000000000001</c:v>
                </c:pt>
                <c:pt idx="21">
                  <c:v>18</c:v>
                </c:pt>
                <c:pt idx="22">
                  <c:v>16.399999999999999</c:v>
                </c:pt>
                <c:pt idx="23">
                  <c:v>16.600000000000001</c:v>
                </c:pt>
                <c:pt idx="24">
                  <c:v>16.600000000000001</c:v>
                </c:pt>
                <c:pt idx="25">
                  <c:v>17</c:v>
                </c:pt>
                <c:pt idx="26">
                  <c:v>17.2</c:v>
                </c:pt>
                <c:pt idx="27">
                  <c:v>16.8</c:v>
                </c:pt>
                <c:pt idx="28">
                  <c:v>17.899999999999999</c:v>
                </c:pt>
                <c:pt idx="29">
                  <c:v>17.399999999999999</c:v>
                </c:pt>
                <c:pt idx="30">
                  <c:v>17.3</c:v>
                </c:pt>
                <c:pt idx="31">
                  <c:v>16.600000000000001</c:v>
                </c:pt>
                <c:pt idx="32">
                  <c:v>17.8</c:v>
                </c:pt>
                <c:pt idx="33">
                  <c:v>17.7</c:v>
                </c:pt>
                <c:pt idx="34">
                  <c:v>17.399999999999999</c:v>
                </c:pt>
                <c:pt idx="35">
                  <c:v>16.7</c:v>
                </c:pt>
                <c:pt idx="36">
                  <c:v>16.600000000000001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9F-4933-98AC-8E44028C65CC}"/>
            </c:ext>
          </c:extLst>
        </c:ser>
        <c:ser>
          <c:idx val="3"/>
          <c:order val="3"/>
          <c:tx>
            <c:strRef>
              <c:f>'FIGURE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'FIGURE 2'!$A$84:$A$120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2'!$J$84:$J$120</c:f>
              <c:numCache>
                <c:formatCode>0.0</c:formatCode>
                <c:ptCount val="37"/>
                <c:pt idx="0">
                  <c:v>25.7</c:v>
                </c:pt>
                <c:pt idx="1">
                  <c:v>26.6</c:v>
                </c:pt>
                <c:pt idx="2">
                  <c:v>28.3</c:v>
                </c:pt>
                <c:pt idx="3">
                  <c:v>29.3</c:v>
                </c:pt>
                <c:pt idx="4">
                  <c:v>28.1</c:v>
                </c:pt>
                <c:pt idx="5">
                  <c:v>25.4</c:v>
                </c:pt>
                <c:pt idx="6">
                  <c:v>26.9</c:v>
                </c:pt>
                <c:pt idx="7">
                  <c:v>27.2</c:v>
                </c:pt>
                <c:pt idx="8">
                  <c:v>22.7</c:v>
                </c:pt>
                <c:pt idx="9">
                  <c:v>23.3</c:v>
                </c:pt>
                <c:pt idx="10">
                  <c:v>21.8</c:v>
                </c:pt>
                <c:pt idx="11">
                  <c:v>21.6</c:v>
                </c:pt>
                <c:pt idx="12">
                  <c:v>22.7</c:v>
                </c:pt>
                <c:pt idx="13">
                  <c:v>22.1</c:v>
                </c:pt>
                <c:pt idx="14">
                  <c:v>22.5</c:v>
                </c:pt>
                <c:pt idx="15">
                  <c:v>22.7</c:v>
                </c:pt>
                <c:pt idx="16">
                  <c:v>21.9</c:v>
                </c:pt>
                <c:pt idx="17">
                  <c:v>22.3</c:v>
                </c:pt>
                <c:pt idx="18">
                  <c:v>21.3</c:v>
                </c:pt>
                <c:pt idx="19">
                  <c:v>22.3</c:v>
                </c:pt>
                <c:pt idx="20">
                  <c:v>20.5</c:v>
                </c:pt>
                <c:pt idx="21">
                  <c:v>22.6</c:v>
                </c:pt>
                <c:pt idx="22">
                  <c:v>19.899999999999999</c:v>
                </c:pt>
                <c:pt idx="23">
                  <c:v>20.2</c:v>
                </c:pt>
                <c:pt idx="24">
                  <c:v>20.399999999999999</c:v>
                </c:pt>
                <c:pt idx="25">
                  <c:v>20.8</c:v>
                </c:pt>
                <c:pt idx="26">
                  <c:v>21.4</c:v>
                </c:pt>
                <c:pt idx="27">
                  <c:v>22</c:v>
                </c:pt>
                <c:pt idx="28">
                  <c:v>23.4</c:v>
                </c:pt>
                <c:pt idx="29">
                  <c:v>22</c:v>
                </c:pt>
                <c:pt idx="30">
                  <c:v>23.7</c:v>
                </c:pt>
                <c:pt idx="31">
                  <c:v>22.4</c:v>
                </c:pt>
                <c:pt idx="32">
                  <c:v>24.1</c:v>
                </c:pt>
                <c:pt idx="33">
                  <c:v>22.6</c:v>
                </c:pt>
                <c:pt idx="34">
                  <c:v>22.9</c:v>
                </c:pt>
                <c:pt idx="35">
                  <c:v>21.8</c:v>
                </c:pt>
                <c:pt idx="36">
                  <c:v>21.3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9F-4933-98AC-8E44028C6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6771632"/>
        <c:crosses val="autoZero"/>
        <c:auto val="1"/>
        <c:lblOffset val="100"/>
        <c:baseTimeUnit val="months"/>
        <c:majorUnit val="3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'FIGURE 3'!$U$2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3'!$T$15:$T$51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3'!$U$15:$U$51</c:f>
              <c:numCache>
                <c:formatCode>0.0</c:formatCode>
                <c:ptCount val="37"/>
                <c:pt idx="0">
                  <c:v>15.1</c:v>
                </c:pt>
                <c:pt idx="1">
                  <c:v>14.7</c:v>
                </c:pt>
                <c:pt idx="2">
                  <c:v>14</c:v>
                </c:pt>
                <c:pt idx="3">
                  <c:v>14.4</c:v>
                </c:pt>
                <c:pt idx="4">
                  <c:v>15.4</c:v>
                </c:pt>
                <c:pt idx="5">
                  <c:v>15.9</c:v>
                </c:pt>
                <c:pt idx="6">
                  <c:v>15.3</c:v>
                </c:pt>
                <c:pt idx="7">
                  <c:v>15.4</c:v>
                </c:pt>
                <c:pt idx="8">
                  <c:v>14.1</c:v>
                </c:pt>
                <c:pt idx="9">
                  <c:v>14.2</c:v>
                </c:pt>
                <c:pt idx="10">
                  <c:v>14.9</c:v>
                </c:pt>
                <c:pt idx="11">
                  <c:v>14.4</c:v>
                </c:pt>
                <c:pt idx="12">
                  <c:v>14</c:v>
                </c:pt>
                <c:pt idx="13">
                  <c:v>14.7</c:v>
                </c:pt>
                <c:pt idx="14">
                  <c:v>13.6</c:v>
                </c:pt>
                <c:pt idx="15">
                  <c:v>13.6</c:v>
                </c:pt>
                <c:pt idx="16">
                  <c:v>13.7</c:v>
                </c:pt>
                <c:pt idx="17">
                  <c:v>13.9</c:v>
                </c:pt>
                <c:pt idx="18">
                  <c:v>13.9</c:v>
                </c:pt>
                <c:pt idx="19">
                  <c:v>13.6</c:v>
                </c:pt>
                <c:pt idx="20">
                  <c:v>13.7</c:v>
                </c:pt>
                <c:pt idx="21">
                  <c:v>13.2</c:v>
                </c:pt>
                <c:pt idx="22">
                  <c:v>12.6</c:v>
                </c:pt>
                <c:pt idx="23">
                  <c:v>12.8</c:v>
                </c:pt>
                <c:pt idx="24">
                  <c:v>13.5</c:v>
                </c:pt>
                <c:pt idx="25">
                  <c:v>13.1</c:v>
                </c:pt>
                <c:pt idx="26">
                  <c:v>14.4</c:v>
                </c:pt>
                <c:pt idx="27">
                  <c:v>13.7</c:v>
                </c:pt>
                <c:pt idx="28">
                  <c:v>12.8</c:v>
                </c:pt>
                <c:pt idx="29">
                  <c:v>13.8</c:v>
                </c:pt>
                <c:pt idx="30">
                  <c:v>13.9</c:v>
                </c:pt>
                <c:pt idx="31">
                  <c:v>12.9</c:v>
                </c:pt>
                <c:pt idx="32">
                  <c:v>13</c:v>
                </c:pt>
                <c:pt idx="33">
                  <c:v>12.7</c:v>
                </c:pt>
                <c:pt idx="34">
                  <c:v>12.4</c:v>
                </c:pt>
                <c:pt idx="35">
                  <c:v>12.1</c:v>
                </c:pt>
                <c:pt idx="36">
                  <c:v>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5E-466A-A134-5AD470E218F1}"/>
            </c:ext>
          </c:extLst>
        </c:ser>
        <c:ser>
          <c:idx val="1"/>
          <c:order val="1"/>
          <c:tx>
            <c:strRef>
              <c:f>'FIGURE 3'!$V$2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3'!$T$15:$T$51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3'!$V$15:$V$51</c:f>
              <c:numCache>
                <c:formatCode>0.0</c:formatCode>
                <c:ptCount val="37"/>
                <c:pt idx="0">
                  <c:v>12.2</c:v>
                </c:pt>
                <c:pt idx="1">
                  <c:v>12.3</c:v>
                </c:pt>
                <c:pt idx="2">
                  <c:v>12</c:v>
                </c:pt>
                <c:pt idx="3">
                  <c:v>11.7</c:v>
                </c:pt>
                <c:pt idx="4">
                  <c:v>12.3</c:v>
                </c:pt>
                <c:pt idx="5">
                  <c:v>11.4</c:v>
                </c:pt>
                <c:pt idx="6">
                  <c:v>12.4</c:v>
                </c:pt>
                <c:pt idx="7">
                  <c:v>12.3</c:v>
                </c:pt>
                <c:pt idx="8">
                  <c:v>9.6</c:v>
                </c:pt>
                <c:pt idx="9">
                  <c:v>10.199999999999999</c:v>
                </c:pt>
                <c:pt idx="10">
                  <c:v>10.4</c:v>
                </c:pt>
                <c:pt idx="11">
                  <c:v>9.6999999999999993</c:v>
                </c:pt>
                <c:pt idx="12">
                  <c:v>9.6999999999999993</c:v>
                </c:pt>
                <c:pt idx="13">
                  <c:v>9.5</c:v>
                </c:pt>
                <c:pt idx="14">
                  <c:v>9.8000000000000007</c:v>
                </c:pt>
                <c:pt idx="15">
                  <c:v>10.1</c:v>
                </c:pt>
                <c:pt idx="16">
                  <c:v>9.4</c:v>
                </c:pt>
                <c:pt idx="17">
                  <c:v>9.6999999999999993</c:v>
                </c:pt>
                <c:pt idx="18">
                  <c:v>9.3000000000000007</c:v>
                </c:pt>
                <c:pt idx="19">
                  <c:v>9.4</c:v>
                </c:pt>
                <c:pt idx="20">
                  <c:v>8.6999999999999993</c:v>
                </c:pt>
                <c:pt idx="21">
                  <c:v>8.6999999999999993</c:v>
                </c:pt>
                <c:pt idx="22">
                  <c:v>8.3000000000000007</c:v>
                </c:pt>
                <c:pt idx="23">
                  <c:v>8.6</c:v>
                </c:pt>
                <c:pt idx="24">
                  <c:v>8.6</c:v>
                </c:pt>
                <c:pt idx="25">
                  <c:v>8.6999999999999993</c:v>
                </c:pt>
                <c:pt idx="26">
                  <c:v>8.1999999999999993</c:v>
                </c:pt>
                <c:pt idx="27">
                  <c:v>7.8</c:v>
                </c:pt>
                <c:pt idx="28">
                  <c:v>8.6999999999999993</c:v>
                </c:pt>
                <c:pt idx="29">
                  <c:v>8.1</c:v>
                </c:pt>
                <c:pt idx="30">
                  <c:v>8</c:v>
                </c:pt>
                <c:pt idx="31">
                  <c:v>7.7</c:v>
                </c:pt>
                <c:pt idx="32">
                  <c:v>7.7</c:v>
                </c:pt>
                <c:pt idx="33">
                  <c:v>7.5</c:v>
                </c:pt>
                <c:pt idx="34">
                  <c:v>7.4</c:v>
                </c:pt>
                <c:pt idx="35">
                  <c:v>7.4</c:v>
                </c:pt>
                <c:pt idx="36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5E-466A-A134-5AD470E21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715600"/>
        <c:axId val="1"/>
      </c:lineChart>
      <c:dateAx>
        <c:axId val="19327156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0"/>
        <c:lblOffset val="100"/>
        <c:baseTimeUnit val="months"/>
        <c:minorUnit val="2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271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'FIGURE 4'!$D$3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4'!$B$85:$B$121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4'!$D$85:$D$121</c:f>
              <c:numCache>
                <c:formatCode>0.0</c:formatCode>
                <c:ptCount val="37"/>
                <c:pt idx="0">
                  <c:v>60.3</c:v>
                </c:pt>
                <c:pt idx="1">
                  <c:v>60.4</c:v>
                </c:pt>
                <c:pt idx="2">
                  <c:v>59.9</c:v>
                </c:pt>
                <c:pt idx="3">
                  <c:v>60.8</c:v>
                </c:pt>
                <c:pt idx="4">
                  <c:v>60.5</c:v>
                </c:pt>
                <c:pt idx="5">
                  <c:v>63.2</c:v>
                </c:pt>
                <c:pt idx="6">
                  <c:v>61.7</c:v>
                </c:pt>
                <c:pt idx="7">
                  <c:v>61.7</c:v>
                </c:pt>
                <c:pt idx="8">
                  <c:v>62.8</c:v>
                </c:pt>
                <c:pt idx="9">
                  <c:v>62</c:v>
                </c:pt>
                <c:pt idx="10">
                  <c:v>63</c:v>
                </c:pt>
                <c:pt idx="11">
                  <c:v>63.9</c:v>
                </c:pt>
                <c:pt idx="12">
                  <c:v>63.7</c:v>
                </c:pt>
                <c:pt idx="13">
                  <c:v>64</c:v>
                </c:pt>
                <c:pt idx="14">
                  <c:v>64.3</c:v>
                </c:pt>
                <c:pt idx="15">
                  <c:v>64</c:v>
                </c:pt>
                <c:pt idx="16">
                  <c:v>64.099999999999994</c:v>
                </c:pt>
                <c:pt idx="17">
                  <c:v>64.8</c:v>
                </c:pt>
                <c:pt idx="18">
                  <c:v>65.099999999999994</c:v>
                </c:pt>
                <c:pt idx="19">
                  <c:v>65.400000000000006</c:v>
                </c:pt>
                <c:pt idx="20">
                  <c:v>65.2</c:v>
                </c:pt>
                <c:pt idx="21">
                  <c:v>64.5</c:v>
                </c:pt>
                <c:pt idx="22">
                  <c:v>65.400000000000006</c:v>
                </c:pt>
                <c:pt idx="23">
                  <c:v>65</c:v>
                </c:pt>
                <c:pt idx="24">
                  <c:v>65.3</c:v>
                </c:pt>
                <c:pt idx="25">
                  <c:v>65.599999999999994</c:v>
                </c:pt>
                <c:pt idx="26">
                  <c:v>65.7</c:v>
                </c:pt>
                <c:pt idx="27">
                  <c:v>66.599999999999994</c:v>
                </c:pt>
                <c:pt idx="28">
                  <c:v>65</c:v>
                </c:pt>
                <c:pt idx="29">
                  <c:v>65.599999999999994</c:v>
                </c:pt>
                <c:pt idx="30">
                  <c:v>66</c:v>
                </c:pt>
                <c:pt idx="31">
                  <c:v>66</c:v>
                </c:pt>
                <c:pt idx="32">
                  <c:v>65.3</c:v>
                </c:pt>
                <c:pt idx="33">
                  <c:v>65.8</c:v>
                </c:pt>
                <c:pt idx="34">
                  <c:v>65.599999999999994</c:v>
                </c:pt>
                <c:pt idx="35">
                  <c:v>65.5</c:v>
                </c:pt>
                <c:pt idx="36">
                  <c:v>65.8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CE-4D43-A50D-DE24432D0E7C}"/>
            </c:ext>
          </c:extLst>
        </c:ser>
        <c:ser>
          <c:idx val="1"/>
          <c:order val="1"/>
          <c:tx>
            <c:strRef>
              <c:f>'FIGURE 4'!$F$3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4'!$B$85:$B$121</c:f>
              <c:numCache>
                <c:formatCode>[$-409]mmm\-yy;@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'FIGURE 4'!$F$85:$F$121</c:f>
              <c:numCache>
                <c:formatCode>0.0</c:formatCode>
                <c:ptCount val="37"/>
                <c:pt idx="0">
                  <c:v>25.9</c:v>
                </c:pt>
                <c:pt idx="1">
                  <c:v>25.6</c:v>
                </c:pt>
                <c:pt idx="2">
                  <c:v>26.2</c:v>
                </c:pt>
                <c:pt idx="3">
                  <c:v>27</c:v>
                </c:pt>
                <c:pt idx="4">
                  <c:v>27.2</c:v>
                </c:pt>
                <c:pt idx="5">
                  <c:v>26.7</c:v>
                </c:pt>
                <c:pt idx="6">
                  <c:v>27.7</c:v>
                </c:pt>
                <c:pt idx="7">
                  <c:v>26.8</c:v>
                </c:pt>
                <c:pt idx="8">
                  <c:v>27.5</c:v>
                </c:pt>
                <c:pt idx="9">
                  <c:v>28.7</c:v>
                </c:pt>
                <c:pt idx="10">
                  <c:v>28.2</c:v>
                </c:pt>
                <c:pt idx="11">
                  <c:v>29</c:v>
                </c:pt>
                <c:pt idx="12">
                  <c:v>29.2</c:v>
                </c:pt>
                <c:pt idx="13">
                  <c:v>28.8</c:v>
                </c:pt>
                <c:pt idx="14">
                  <c:v>29.7</c:v>
                </c:pt>
                <c:pt idx="15">
                  <c:v>29.7</c:v>
                </c:pt>
                <c:pt idx="16">
                  <c:v>29.5</c:v>
                </c:pt>
                <c:pt idx="17">
                  <c:v>29</c:v>
                </c:pt>
                <c:pt idx="18">
                  <c:v>29.9</c:v>
                </c:pt>
                <c:pt idx="19">
                  <c:v>30.5</c:v>
                </c:pt>
                <c:pt idx="20">
                  <c:v>30.3</c:v>
                </c:pt>
                <c:pt idx="21">
                  <c:v>29.9</c:v>
                </c:pt>
                <c:pt idx="22">
                  <c:v>30.7</c:v>
                </c:pt>
                <c:pt idx="23">
                  <c:v>30.8</c:v>
                </c:pt>
                <c:pt idx="24">
                  <c:v>30.8</c:v>
                </c:pt>
                <c:pt idx="25">
                  <c:v>31.7</c:v>
                </c:pt>
                <c:pt idx="26">
                  <c:v>31</c:v>
                </c:pt>
                <c:pt idx="27">
                  <c:v>31.1</c:v>
                </c:pt>
                <c:pt idx="28">
                  <c:v>31.4</c:v>
                </c:pt>
                <c:pt idx="29">
                  <c:v>30.3</c:v>
                </c:pt>
                <c:pt idx="30">
                  <c:v>31.2</c:v>
                </c:pt>
                <c:pt idx="31">
                  <c:v>31.4</c:v>
                </c:pt>
                <c:pt idx="32">
                  <c:v>30.9</c:v>
                </c:pt>
                <c:pt idx="33">
                  <c:v>31.4</c:v>
                </c:pt>
                <c:pt idx="34">
                  <c:v>31.4</c:v>
                </c:pt>
                <c:pt idx="35">
                  <c:v>31.2</c:v>
                </c:pt>
                <c:pt idx="36">
                  <c:v>31.6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CE-4D43-A50D-DE24432D0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96108" y="2353988"/>
          <a:ext cx="614691" cy="210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0.92827</cdr:y>
    </cdr:from>
    <cdr:to>
      <cdr:x>1</cdr:x>
      <cdr:y>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60170" y="2932869"/>
          <a:ext cx="502505" cy="22663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D450-1783-41DE-B670-A689044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Betül Akbulut</cp:lastModifiedBy>
  <cp:revision>8</cp:revision>
  <cp:lastPrinted>2023-07-02T20:29:00Z</cp:lastPrinted>
  <dcterms:created xsi:type="dcterms:W3CDTF">2023-11-13T08:04:00Z</dcterms:created>
  <dcterms:modified xsi:type="dcterms:W3CDTF">2023-12-13T14:24:00Z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