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236BDB19"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rPr>
        <mc:AlternateContent>
          <mc:Choice Requires="wps">
            <w:drawing>
              <wp:anchor distT="0" distB="0" distL="114935" distR="114935" simplePos="0" relativeHeight="251658242" behindDoc="0" locked="0" layoutInCell="1" allowOverlap="1" wp14:anchorId="3C0B86FB" wp14:editId="5F6FCC95">
                <wp:simplePos x="0" y="0"/>
                <wp:positionH relativeFrom="column">
                  <wp:posOffset>5086335</wp:posOffset>
                </wp:positionH>
                <wp:positionV relativeFrom="paragraph">
                  <wp:posOffset>53414</wp:posOffset>
                </wp:positionV>
                <wp:extent cx="1525713"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713"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7FB51480" w:rsidR="00D07713" w:rsidRPr="006679E6" w:rsidRDefault="00882039"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 xml:space="preserve">March </w:t>
                            </w:r>
                            <w:r w:rsidR="00C447F8">
                              <w:rPr>
                                <w:rFonts w:ascii="Arial" w:eastAsia="Times New Roman" w:hAnsi="Arial" w:cs="Arial"/>
                                <w:b/>
                                <w:bCs/>
                                <w:color w:val="FFFFFF"/>
                                <w:sz w:val="22"/>
                                <w:szCs w:val="22"/>
                                <w:lang w:val="en-US" w:eastAsia="ar-SA"/>
                              </w:rPr>
                              <w:t>11</w:t>
                            </w:r>
                            <w:r>
                              <w:rPr>
                                <w:rFonts w:ascii="Arial" w:eastAsia="Times New Roman" w:hAnsi="Arial" w:cs="Arial"/>
                                <w:b/>
                                <w:bCs/>
                                <w:color w:val="FFFFFF"/>
                                <w:sz w:val="22"/>
                                <w:szCs w:val="22"/>
                                <w:lang w:val="en-US" w:eastAsia="ar-SA"/>
                              </w:rPr>
                              <w:t xml:space="preserve">, </w:t>
                            </w:r>
                            <w:r w:rsidR="00E37C95" w:rsidRPr="006679E6">
                              <w:rPr>
                                <w:rFonts w:ascii="Arial" w:eastAsia="Times New Roman" w:hAnsi="Arial" w:cs="Arial"/>
                                <w:b/>
                                <w:bCs/>
                                <w:color w:val="FFFFFF"/>
                                <w:sz w:val="22"/>
                                <w:szCs w:val="22"/>
                                <w:lang w:val="en-US" w:eastAsia="ar-SA"/>
                              </w:rPr>
                              <w:t>202</w:t>
                            </w:r>
                            <w:r w:rsidR="00D44608">
                              <w:rPr>
                                <w:rFonts w:ascii="Arial" w:eastAsia="Times New Roman" w:hAnsi="Arial" w:cs="Arial"/>
                                <w:b/>
                                <w:bCs/>
                                <w:color w:val="FFFFFF"/>
                                <w:sz w:val="22"/>
                                <w:szCs w:val="22"/>
                                <w:lang w:val="en-US" w:eastAsia="ar-SA"/>
                              </w:rPr>
                              <w:t>4</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00.5pt;margin-top:4.2pt;width:120.15pt;height:33pt;z-index:25165824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" stroked="f">
                <v:fill opacity="0"/>
                <v:textbox inset="0,0,0,0">
                  <w:txbxContent>
                    <w:p w14:paraId="5B0CFDC6" w14:textId="7FB51480" w:rsidR="00D07713" w:rsidRPr="006679E6" w:rsidRDefault="00882039"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 xml:space="preserve">March </w:t>
                      </w:r>
                      <w:r w:rsidR="00C447F8">
                        <w:rPr>
                          <w:rFonts w:ascii="Arial" w:eastAsia="Times New Roman" w:hAnsi="Arial" w:cs="Arial"/>
                          <w:b/>
                          <w:bCs/>
                          <w:color w:val="FFFFFF"/>
                          <w:sz w:val="22"/>
                          <w:szCs w:val="22"/>
                          <w:lang w:val="en-US" w:eastAsia="ar-SA"/>
                        </w:rPr>
                        <w:t>11</w:t>
                      </w:r>
                      <w:r>
                        <w:rPr>
                          <w:rFonts w:ascii="Arial" w:eastAsia="Times New Roman" w:hAnsi="Arial" w:cs="Arial"/>
                          <w:b/>
                          <w:bCs/>
                          <w:color w:val="FFFFFF"/>
                          <w:sz w:val="22"/>
                          <w:szCs w:val="22"/>
                          <w:lang w:val="en-US" w:eastAsia="ar-SA"/>
                        </w:rPr>
                        <w:t xml:space="preserve">, </w:t>
                      </w:r>
                      <w:r w:rsidR="00E37C95" w:rsidRPr="006679E6">
                        <w:rPr>
                          <w:rFonts w:ascii="Arial" w:eastAsia="Times New Roman" w:hAnsi="Arial" w:cs="Arial"/>
                          <w:b/>
                          <w:bCs/>
                          <w:color w:val="FFFFFF"/>
                          <w:sz w:val="22"/>
                          <w:szCs w:val="22"/>
                          <w:lang w:val="en-US" w:eastAsia="ar-SA"/>
                        </w:rPr>
                        <w:t>202</w:t>
                      </w:r>
                      <w:r w:rsidR="00D44608">
                        <w:rPr>
                          <w:rFonts w:ascii="Arial" w:eastAsia="Times New Roman" w:hAnsi="Arial" w:cs="Arial"/>
                          <w:b/>
                          <w:bCs/>
                          <w:color w:val="FFFFFF"/>
                          <w:sz w:val="22"/>
                          <w:szCs w:val="22"/>
                          <w:lang w:val="en-US" w:eastAsia="ar-SA"/>
                        </w:rPr>
                        <w:t>4</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rPr>
        <mc:AlternateContent>
          <mc:Choice Requires="wps">
            <w:drawing>
              <wp:anchor distT="0" distB="0" distL="114935" distR="114935" simplePos="0" relativeHeight="251658241"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60842075"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D44608">
                              <w:rPr>
                                <w:rFonts w:ascii="Times New Roman" w:hAnsi="Times New Roman" w:cs="Times New Roman"/>
                                <w:sz w:val="40"/>
                                <w:szCs w:val="40"/>
                                <w:lang w:val="en-US"/>
                              </w:rPr>
                              <w:t>3</w:t>
                            </w:r>
                            <w:r w:rsidRPr="006679E6">
                              <w:rPr>
                                <w:rFonts w:ascii="Times New Roman" w:hAnsi="Times New Roman" w:cs="Times New Roman"/>
                                <w:sz w:val="40"/>
                                <w:szCs w:val="40"/>
                                <w:lang w:val="en-US"/>
                              </w:rPr>
                              <w:t xml:space="preserve"> </w:t>
                            </w:r>
                            <w:r w:rsidR="008A561F" w:rsidRPr="00501CB7">
                              <w:rPr>
                                <w:rFonts w:ascii="Times New Roman" w:hAnsi="Times New Roman" w:cs="Times New Roman"/>
                                <w:sz w:val="40"/>
                                <w:szCs w:val="40"/>
                                <w:lang w:val="en-US"/>
                              </w:rPr>
                              <w:t>4</w:t>
                            </w:r>
                            <w:r w:rsidR="008A561F" w:rsidRPr="00501CB7">
                              <w:rPr>
                                <w:rFonts w:ascii="Times New Roman" w:hAnsi="Times New Roman" w:cs="Times New Roman"/>
                                <w:sz w:val="40"/>
                                <w:szCs w:val="40"/>
                                <w:vertAlign w:val="superscript"/>
                                <w:lang w:val="en-US"/>
                              </w:rPr>
                              <w:t>th</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" stroked="f">
                <v:fill opacity="0"/>
                <v:textbox inset="0,0,0,0">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60842075"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D44608">
                        <w:rPr>
                          <w:rFonts w:ascii="Times New Roman" w:hAnsi="Times New Roman" w:cs="Times New Roman"/>
                          <w:sz w:val="40"/>
                          <w:szCs w:val="40"/>
                          <w:lang w:val="en-US"/>
                        </w:rPr>
                        <w:t>3</w:t>
                      </w:r>
                      <w:r w:rsidRPr="006679E6">
                        <w:rPr>
                          <w:rFonts w:ascii="Times New Roman" w:hAnsi="Times New Roman" w:cs="Times New Roman"/>
                          <w:sz w:val="40"/>
                          <w:szCs w:val="40"/>
                          <w:lang w:val="en-US"/>
                        </w:rPr>
                        <w:t xml:space="preserve"> </w:t>
                      </w:r>
                      <w:r w:rsidR="008A561F" w:rsidRPr="00501CB7">
                        <w:rPr>
                          <w:rFonts w:ascii="Times New Roman" w:hAnsi="Times New Roman" w:cs="Times New Roman"/>
                          <w:sz w:val="40"/>
                          <w:szCs w:val="40"/>
                          <w:lang w:val="en-US"/>
                        </w:rPr>
                        <w:t>4</w:t>
                      </w:r>
                      <w:r w:rsidR="008A561F" w:rsidRPr="00501CB7">
                        <w:rPr>
                          <w:rFonts w:ascii="Times New Roman" w:hAnsi="Times New Roman" w:cs="Times New Roman"/>
                          <w:sz w:val="40"/>
                          <w:szCs w:val="40"/>
                          <w:vertAlign w:val="superscript"/>
                          <w:lang w:val="en-US"/>
                        </w:rPr>
                        <w:t>th</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rPr>
        <w:drawing>
          <wp:anchor distT="0" distB="0" distL="114300" distR="114300" simplePos="0" relativeHeight="251658240"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4D5A0563" w:rsidR="00D07713" w:rsidRPr="006679E6" w:rsidRDefault="00D07713">
      <w:pPr>
        <w:rPr>
          <w:rFonts w:ascii="Palatino Linotype" w:hAnsi="Palatino Linotype" w:cstheme="minorHAnsi"/>
          <w:lang w:val="en-US"/>
        </w:rPr>
      </w:pPr>
    </w:p>
    <w:p w14:paraId="6783B39D" w14:textId="421FDF15" w:rsidR="00D34702" w:rsidRPr="006679E6" w:rsidRDefault="001272BD"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highlight w:val="yellow"/>
          <w:lang w:val="en-US"/>
        </w:rPr>
        <w:br/>
      </w:r>
      <w:r w:rsidR="009B0ACB" w:rsidRPr="009B0ACB">
        <w:rPr>
          <w:rFonts w:ascii="Palatino Linotype" w:hAnsi="Palatino Linotype" w:cstheme="minorHAnsi"/>
          <w:b/>
          <w:bCs/>
          <w:sz w:val="28"/>
          <w:szCs w:val="28"/>
          <w:lang w:val="en-US"/>
        </w:rPr>
        <w:t>GROWTH DRIVEN BY HOUSEHOLD CONSUMPTION AND INVESTMENT</w:t>
      </w:r>
    </w:p>
    <w:p w14:paraId="428E7403" w14:textId="0E850632"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 xml:space="preserve">Ozan </w:t>
      </w:r>
      <w:proofErr w:type="spellStart"/>
      <w:r w:rsidRPr="006679E6">
        <w:rPr>
          <w:rFonts w:ascii="Palatino Linotype" w:hAnsi="Palatino Linotype" w:cstheme="minorHAnsi"/>
          <w:b/>
          <w:bCs/>
          <w:sz w:val="22"/>
          <w:szCs w:val="22"/>
          <w:lang w:val="en-US"/>
        </w:rPr>
        <w:t>Bakış</w:t>
      </w:r>
      <w:proofErr w:type="spellEnd"/>
      <w:r w:rsidR="00C32789" w:rsidRPr="006679E6">
        <w:rPr>
          <w:rStyle w:val="FootnoteReference"/>
          <w:rFonts w:ascii="Palatino Linotype" w:hAnsi="Palatino Linotype" w:cstheme="minorHAnsi"/>
          <w:b/>
          <w:bCs/>
          <w:sz w:val="22"/>
          <w:szCs w:val="22"/>
          <w:lang w:val="en-US"/>
        </w:rPr>
        <w:footnoteReference w:id="2"/>
      </w:r>
      <w:r w:rsidR="001537D8" w:rsidRPr="006679E6">
        <w:rPr>
          <w:rFonts w:ascii="Palatino Linotype" w:hAnsi="Palatino Linotype" w:cstheme="minorHAnsi"/>
          <w:b/>
          <w:bCs/>
          <w:sz w:val="22"/>
          <w:szCs w:val="22"/>
          <w:lang w:val="en-US"/>
        </w:rPr>
        <w:t xml:space="preserve"> </w:t>
      </w:r>
      <w:r w:rsidR="003207F6">
        <w:rPr>
          <w:rFonts w:ascii="Palatino Linotype" w:hAnsi="Palatino Linotype" w:cstheme="minorHAnsi"/>
          <w:b/>
          <w:bCs/>
          <w:sz w:val="22"/>
          <w:szCs w:val="22"/>
          <w:lang w:val="en-US"/>
        </w:rPr>
        <w:t>and</w:t>
      </w:r>
      <w:r w:rsidR="001537D8" w:rsidRPr="006679E6">
        <w:rPr>
          <w:rFonts w:ascii="Palatino Linotype" w:hAnsi="Palatino Linotype" w:cstheme="minorHAnsi"/>
          <w:b/>
          <w:bCs/>
          <w:sz w:val="22"/>
          <w:szCs w:val="22"/>
          <w:lang w:val="en-US"/>
        </w:rPr>
        <w:t xml:space="preserve"> </w:t>
      </w:r>
      <w:r w:rsidR="009B0ACB">
        <w:rPr>
          <w:rFonts w:ascii="Palatino Linotype" w:hAnsi="Palatino Linotype" w:cstheme="minorHAnsi"/>
          <w:b/>
          <w:bCs/>
          <w:sz w:val="22"/>
          <w:szCs w:val="22"/>
          <w:lang w:val="en-US"/>
        </w:rPr>
        <w:t xml:space="preserve">Tarık </w:t>
      </w:r>
      <w:proofErr w:type="spellStart"/>
      <w:r w:rsidR="009B0ACB">
        <w:rPr>
          <w:rFonts w:ascii="Palatino Linotype" w:hAnsi="Palatino Linotype" w:cstheme="minorHAnsi"/>
          <w:b/>
          <w:bCs/>
          <w:sz w:val="22"/>
          <w:szCs w:val="22"/>
          <w:lang w:val="en-US"/>
        </w:rPr>
        <w:t>Kocar</w:t>
      </w:r>
      <w:proofErr w:type="spellEnd"/>
      <w:r w:rsidR="001537D8" w:rsidRPr="006679E6">
        <w:rPr>
          <w:rStyle w:val="FootnoteReference"/>
          <w:rFonts w:ascii="Palatino Linotype" w:hAnsi="Palatino Linotype" w:cstheme="minorHAnsi"/>
          <w:b/>
          <w:bCs/>
          <w:sz w:val="22"/>
          <w:szCs w:val="22"/>
          <w:lang w:val="en-US"/>
        </w:rPr>
        <w:footnoteReference w:id="3"/>
      </w:r>
    </w:p>
    <w:p w14:paraId="6E057918" w14:textId="604B3AAF" w:rsidR="00405BD8" w:rsidRPr="006679E6" w:rsidRDefault="00405BD8" w:rsidP="00751F72">
      <w:pPr>
        <w:jc w:val="center"/>
        <w:rPr>
          <w:rFonts w:ascii="Palatino Linotype" w:hAnsi="Palatino Linotype" w:cstheme="minorHAnsi"/>
          <w:b/>
          <w:sz w:val="22"/>
          <w:szCs w:val="22"/>
          <w:lang w:val="en-US"/>
        </w:rPr>
      </w:pPr>
    </w:p>
    <w:p w14:paraId="180703E7" w14:textId="3ACAE343"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p w14:paraId="66D287BC" w14:textId="6BBA3363" w:rsidR="000A770F" w:rsidRDefault="002A69AD" w:rsidP="00A728DD">
      <w:pPr>
        <w:spacing w:line="271" w:lineRule="auto"/>
        <w:ind w:left="567" w:right="567"/>
        <w:jc w:val="both"/>
        <w:rPr>
          <w:rFonts w:ascii="Palatino Linotype" w:hAnsi="Palatino Linotype" w:cstheme="minorHAnsi"/>
          <w:sz w:val="22"/>
          <w:szCs w:val="22"/>
          <w:lang w:val="en-US"/>
        </w:rPr>
      </w:pPr>
      <w:bookmarkStart w:id="0" w:name="OLE_LINK5"/>
      <w:bookmarkStart w:id="1" w:name="OLE_LINK6"/>
      <w:r w:rsidRPr="001272BD">
        <w:rPr>
          <w:rFonts w:ascii="Palatino Linotype" w:hAnsi="Palatino Linotype" w:cstheme="minorHAnsi"/>
          <w:sz w:val="22"/>
          <w:szCs w:val="22"/>
          <w:lang w:val="en-US"/>
        </w:rPr>
        <w:t xml:space="preserve">The Turkish economy </w:t>
      </w:r>
      <w:r w:rsidR="00AB4511">
        <w:rPr>
          <w:rFonts w:ascii="Palatino Linotype" w:hAnsi="Palatino Linotype" w:cstheme="minorHAnsi"/>
          <w:sz w:val="22"/>
          <w:szCs w:val="22"/>
          <w:lang w:val="en-US"/>
        </w:rPr>
        <w:t>grew</w:t>
      </w:r>
      <w:r w:rsidR="00C35B57">
        <w:rPr>
          <w:rFonts w:ascii="Palatino Linotype" w:hAnsi="Palatino Linotype" w:cstheme="minorHAnsi"/>
          <w:sz w:val="22"/>
          <w:szCs w:val="22"/>
          <w:lang w:val="en-US"/>
        </w:rPr>
        <w:t xml:space="preserve"> by</w:t>
      </w:r>
      <w:r w:rsidRPr="001272BD">
        <w:rPr>
          <w:rFonts w:ascii="Palatino Linotype" w:hAnsi="Palatino Linotype" w:cstheme="minorHAnsi"/>
          <w:sz w:val="22"/>
          <w:szCs w:val="22"/>
          <w:lang w:val="en-US"/>
        </w:rPr>
        <w:t xml:space="preserve"> </w:t>
      </w:r>
      <w:r w:rsidR="009E77E1">
        <w:rPr>
          <w:rFonts w:ascii="Palatino Linotype" w:hAnsi="Palatino Linotype" w:cstheme="minorHAnsi"/>
          <w:sz w:val="22"/>
          <w:szCs w:val="22"/>
          <w:lang w:val="en-US"/>
        </w:rPr>
        <w:t>4</w:t>
      </w:r>
      <w:r w:rsidRPr="001272BD">
        <w:rPr>
          <w:rFonts w:ascii="Palatino Linotype" w:hAnsi="Palatino Linotype" w:cstheme="minorHAnsi"/>
          <w:sz w:val="22"/>
          <w:szCs w:val="22"/>
          <w:lang w:val="en-US"/>
        </w:rPr>
        <w:t xml:space="preserve"> percent i</w:t>
      </w:r>
      <w:r w:rsidR="006679E6" w:rsidRPr="001272BD">
        <w:rPr>
          <w:rFonts w:ascii="Palatino Linotype" w:hAnsi="Palatino Linotype" w:cstheme="minorHAnsi"/>
          <w:sz w:val="22"/>
          <w:szCs w:val="22"/>
          <w:lang w:val="en-US"/>
        </w:rPr>
        <w:t xml:space="preserve">n the </w:t>
      </w:r>
      <w:r w:rsidR="00D85456">
        <w:rPr>
          <w:rFonts w:ascii="Palatino Linotype" w:hAnsi="Palatino Linotype" w:cstheme="minorHAnsi"/>
          <w:sz w:val="22"/>
          <w:szCs w:val="22"/>
          <w:lang w:val="en-US"/>
        </w:rPr>
        <w:t>fourth</w:t>
      </w:r>
      <w:r w:rsidR="006679E6" w:rsidRPr="001272BD">
        <w:rPr>
          <w:rFonts w:ascii="Palatino Linotype" w:hAnsi="Palatino Linotype" w:cstheme="minorHAnsi"/>
          <w:sz w:val="22"/>
          <w:szCs w:val="22"/>
          <w:lang w:val="en-US"/>
        </w:rPr>
        <w:t xml:space="preserve"> quarter of 202</w:t>
      </w:r>
      <w:r w:rsidR="009E77E1">
        <w:rPr>
          <w:rFonts w:ascii="Palatino Linotype" w:hAnsi="Palatino Linotype" w:cstheme="minorHAnsi"/>
          <w:sz w:val="22"/>
          <w:szCs w:val="22"/>
          <w:lang w:val="en-US"/>
        </w:rPr>
        <w:t>3</w:t>
      </w:r>
      <w:r w:rsidRPr="001272BD">
        <w:rPr>
          <w:rFonts w:ascii="Palatino Linotype" w:hAnsi="Palatino Linotype" w:cstheme="minorHAnsi"/>
          <w:sz w:val="22"/>
          <w:szCs w:val="22"/>
          <w:lang w:val="en-US"/>
        </w:rPr>
        <w:t xml:space="preserve">. </w:t>
      </w:r>
      <w:r w:rsidR="005A3C47" w:rsidRPr="005A3C47">
        <w:rPr>
          <w:rFonts w:ascii="Palatino Linotype" w:hAnsi="Palatino Linotype" w:cstheme="minorHAnsi"/>
          <w:sz w:val="22"/>
          <w:szCs w:val="22"/>
          <w:lang w:val="en-US"/>
        </w:rPr>
        <w:t>Thus, the</w:t>
      </w:r>
      <w:r w:rsidR="00DF072D">
        <w:rPr>
          <w:rFonts w:ascii="Palatino Linotype" w:hAnsi="Palatino Linotype" w:cstheme="minorHAnsi"/>
          <w:sz w:val="22"/>
          <w:szCs w:val="22"/>
          <w:lang w:val="en-US"/>
        </w:rPr>
        <w:t xml:space="preserve"> annual growth for 202</w:t>
      </w:r>
      <w:r w:rsidR="0073061C">
        <w:rPr>
          <w:rFonts w:ascii="Palatino Linotype" w:hAnsi="Palatino Linotype" w:cstheme="minorHAnsi"/>
          <w:sz w:val="22"/>
          <w:szCs w:val="22"/>
          <w:lang w:val="en-US"/>
        </w:rPr>
        <w:t>3</w:t>
      </w:r>
      <w:r w:rsidR="005A3C47" w:rsidRPr="005A3C47">
        <w:rPr>
          <w:rFonts w:ascii="Palatino Linotype" w:hAnsi="Palatino Linotype" w:cstheme="minorHAnsi"/>
          <w:sz w:val="22"/>
          <w:szCs w:val="22"/>
          <w:lang w:val="en-US"/>
        </w:rPr>
        <w:t xml:space="preserve"> was</w:t>
      </w:r>
      <w:r w:rsidR="00DF072D">
        <w:rPr>
          <w:rFonts w:ascii="Palatino Linotype" w:hAnsi="Palatino Linotype" w:cstheme="minorHAnsi"/>
          <w:sz w:val="22"/>
          <w:szCs w:val="22"/>
          <w:lang w:val="en-US"/>
        </w:rPr>
        <w:t xml:space="preserve"> recorded</w:t>
      </w:r>
      <w:r w:rsidR="005A3C47" w:rsidRPr="005A3C47">
        <w:rPr>
          <w:rFonts w:ascii="Palatino Linotype" w:hAnsi="Palatino Linotype" w:cstheme="minorHAnsi"/>
          <w:sz w:val="22"/>
          <w:szCs w:val="22"/>
          <w:lang w:val="en-US"/>
        </w:rPr>
        <w:t xml:space="preserve"> </w:t>
      </w:r>
      <w:r w:rsidR="00C35B57">
        <w:rPr>
          <w:rFonts w:ascii="Palatino Linotype" w:hAnsi="Palatino Linotype" w:cstheme="minorHAnsi"/>
          <w:sz w:val="22"/>
          <w:szCs w:val="22"/>
          <w:lang w:val="en-US"/>
        </w:rPr>
        <w:t xml:space="preserve">at </w:t>
      </w:r>
      <w:r w:rsidR="00C430C5">
        <w:rPr>
          <w:rFonts w:ascii="Palatino Linotype" w:hAnsi="Palatino Linotype" w:cstheme="minorHAnsi"/>
          <w:sz w:val="22"/>
          <w:szCs w:val="22"/>
          <w:lang w:val="en-US"/>
        </w:rPr>
        <w:t>4</w:t>
      </w:r>
      <w:r w:rsidR="005A3C47" w:rsidRPr="005A3C47">
        <w:rPr>
          <w:rFonts w:ascii="Palatino Linotype" w:hAnsi="Palatino Linotype" w:cstheme="minorHAnsi"/>
          <w:sz w:val="22"/>
          <w:szCs w:val="22"/>
          <w:lang w:val="en-US"/>
        </w:rPr>
        <w:t>.</w:t>
      </w:r>
      <w:r w:rsidR="00C430C5">
        <w:rPr>
          <w:rFonts w:ascii="Palatino Linotype" w:hAnsi="Palatino Linotype" w:cstheme="minorHAnsi"/>
          <w:sz w:val="22"/>
          <w:szCs w:val="22"/>
          <w:lang w:val="en-US"/>
        </w:rPr>
        <w:t>5</w:t>
      </w:r>
      <w:r w:rsidR="005A3C47" w:rsidRPr="005A3C47">
        <w:rPr>
          <w:rFonts w:ascii="Palatino Linotype" w:hAnsi="Palatino Linotype" w:cstheme="minorHAnsi"/>
          <w:sz w:val="22"/>
          <w:szCs w:val="22"/>
          <w:lang w:val="en-US"/>
        </w:rPr>
        <w:t>%.</w:t>
      </w:r>
      <w:r w:rsidR="00A728DD">
        <w:rPr>
          <w:rFonts w:ascii="Palatino Linotype" w:hAnsi="Palatino Linotype" w:cstheme="minorHAnsi"/>
          <w:sz w:val="22"/>
          <w:szCs w:val="22"/>
          <w:lang w:val="en-US"/>
        </w:rPr>
        <w:t xml:space="preserve"> </w:t>
      </w:r>
      <w:r w:rsidR="00BC6CE5" w:rsidRPr="00BC6CE5">
        <w:rPr>
          <w:rFonts w:ascii="Palatino Linotype" w:hAnsi="Palatino Linotype" w:cstheme="minorHAnsi"/>
          <w:sz w:val="22"/>
          <w:szCs w:val="22"/>
          <w:lang w:val="en-US"/>
        </w:rPr>
        <w:t>The largest contribution to growth in this quarter came from private consumption with 5.3</w:t>
      </w:r>
      <w:r w:rsidR="002B25BD">
        <w:rPr>
          <w:rFonts w:ascii="Palatino Linotype" w:hAnsi="Palatino Linotype" w:cstheme="minorHAnsi"/>
          <w:sz w:val="22"/>
          <w:szCs w:val="22"/>
          <w:lang w:val="en-US"/>
        </w:rPr>
        <w:t xml:space="preserve"> </w:t>
      </w:r>
      <w:r w:rsidR="00BC6CE5" w:rsidRPr="00BC6CE5">
        <w:rPr>
          <w:rFonts w:ascii="Palatino Linotype" w:hAnsi="Palatino Linotype" w:cstheme="minorHAnsi"/>
          <w:sz w:val="22"/>
          <w:szCs w:val="22"/>
          <w:lang w:val="en-US"/>
        </w:rPr>
        <w:t>p</w:t>
      </w:r>
      <w:r w:rsidR="00862F7D">
        <w:rPr>
          <w:rFonts w:ascii="Palatino Linotype" w:hAnsi="Palatino Linotype" w:cstheme="minorHAnsi"/>
          <w:sz w:val="22"/>
          <w:szCs w:val="22"/>
          <w:lang w:val="en-US"/>
        </w:rPr>
        <w:t>p</w:t>
      </w:r>
      <w:r w:rsidR="00BC6CE5" w:rsidRPr="00BC6CE5">
        <w:rPr>
          <w:rFonts w:ascii="Palatino Linotype" w:hAnsi="Palatino Linotype" w:cstheme="minorHAnsi"/>
          <w:sz w:val="22"/>
          <w:szCs w:val="22"/>
          <w:lang w:val="en-US"/>
        </w:rPr>
        <w:t>. The contribution of net exports, which was minus 5.3</w:t>
      </w:r>
      <w:r w:rsidR="002B25BD">
        <w:rPr>
          <w:rFonts w:ascii="Palatino Linotype" w:hAnsi="Palatino Linotype" w:cstheme="minorHAnsi"/>
          <w:sz w:val="22"/>
          <w:szCs w:val="22"/>
          <w:lang w:val="en-US"/>
        </w:rPr>
        <w:t xml:space="preserve"> </w:t>
      </w:r>
      <w:r w:rsidR="00ED4111">
        <w:rPr>
          <w:rFonts w:ascii="Palatino Linotype" w:hAnsi="Palatino Linotype" w:cstheme="minorHAnsi"/>
          <w:sz w:val="22"/>
          <w:szCs w:val="22"/>
          <w:lang w:val="en-US"/>
        </w:rPr>
        <w:t xml:space="preserve">pp </w:t>
      </w:r>
      <w:r w:rsidR="00BC6CE5" w:rsidRPr="00BC6CE5">
        <w:rPr>
          <w:rFonts w:ascii="Palatino Linotype" w:hAnsi="Palatino Linotype" w:cstheme="minorHAnsi"/>
          <w:sz w:val="22"/>
          <w:szCs w:val="22"/>
          <w:lang w:val="en-US"/>
        </w:rPr>
        <w:t>in the previous quarter, was minus 2.3</w:t>
      </w:r>
      <w:r w:rsidR="002B25BD">
        <w:rPr>
          <w:rFonts w:ascii="Palatino Linotype" w:hAnsi="Palatino Linotype" w:cstheme="minorHAnsi"/>
          <w:sz w:val="22"/>
          <w:szCs w:val="22"/>
          <w:lang w:val="en-US"/>
        </w:rPr>
        <w:t xml:space="preserve"> </w:t>
      </w:r>
      <w:r w:rsidR="00771EF2">
        <w:rPr>
          <w:rFonts w:ascii="Palatino Linotype" w:hAnsi="Palatino Linotype" w:cstheme="minorHAnsi"/>
          <w:sz w:val="22"/>
          <w:szCs w:val="22"/>
          <w:lang w:val="en-US"/>
        </w:rPr>
        <w:t xml:space="preserve">pp </w:t>
      </w:r>
      <w:r w:rsidR="00BC6CE5" w:rsidRPr="00BC6CE5">
        <w:rPr>
          <w:rFonts w:ascii="Palatino Linotype" w:hAnsi="Palatino Linotype" w:cstheme="minorHAnsi"/>
          <w:sz w:val="22"/>
          <w:szCs w:val="22"/>
          <w:lang w:val="en-US"/>
        </w:rPr>
        <w:t>in this quarter.</w:t>
      </w:r>
      <w:r w:rsidR="00E35120">
        <w:rPr>
          <w:rFonts w:ascii="Palatino Linotype" w:hAnsi="Palatino Linotype" w:cstheme="minorHAnsi"/>
          <w:sz w:val="22"/>
          <w:szCs w:val="22"/>
          <w:lang w:val="en-US"/>
        </w:rPr>
        <w:t xml:space="preserve"> </w:t>
      </w:r>
      <w:bookmarkStart w:id="2" w:name="OLE_LINK1"/>
      <w:bookmarkStart w:id="3" w:name="OLE_LINK2"/>
      <w:r w:rsidR="00594669">
        <w:rPr>
          <w:rFonts w:ascii="Palatino Linotype" w:hAnsi="Palatino Linotype" w:cstheme="minorHAnsi"/>
          <w:sz w:val="22"/>
          <w:szCs w:val="22"/>
          <w:lang w:val="en-US"/>
        </w:rPr>
        <w:t>Changes in inventories</w:t>
      </w:r>
      <w:r w:rsidR="00D335BA">
        <w:rPr>
          <w:rFonts w:ascii="Palatino Linotype" w:hAnsi="Palatino Linotype" w:cstheme="minorHAnsi"/>
          <w:sz w:val="22"/>
          <w:szCs w:val="22"/>
          <w:lang w:val="en-US"/>
        </w:rPr>
        <w:t>,</w:t>
      </w:r>
      <w:r w:rsidR="00594669">
        <w:rPr>
          <w:rFonts w:ascii="Palatino Linotype" w:hAnsi="Palatino Linotype" w:cstheme="minorHAnsi"/>
          <w:sz w:val="22"/>
          <w:szCs w:val="22"/>
          <w:lang w:val="en-US"/>
        </w:rPr>
        <w:t xml:space="preserve"> </w:t>
      </w:r>
      <w:r w:rsidR="00D335BA" w:rsidRPr="00D335BA">
        <w:rPr>
          <w:rFonts w:ascii="Palatino Linotype" w:hAnsi="Palatino Linotype" w:cstheme="minorHAnsi"/>
          <w:sz w:val="22"/>
          <w:szCs w:val="22"/>
          <w:lang w:val="en-US"/>
        </w:rPr>
        <w:t>which made a positive contribution to growth in the previous two quarters, decreased growth by 2.3</w:t>
      </w:r>
      <w:r w:rsidR="002B25BD">
        <w:rPr>
          <w:rFonts w:ascii="Palatino Linotype" w:hAnsi="Palatino Linotype" w:cstheme="minorHAnsi"/>
          <w:sz w:val="22"/>
          <w:szCs w:val="22"/>
          <w:lang w:val="en-US"/>
        </w:rPr>
        <w:t xml:space="preserve"> </w:t>
      </w:r>
      <w:r w:rsidR="00D335BA">
        <w:rPr>
          <w:rFonts w:ascii="Palatino Linotype" w:hAnsi="Palatino Linotype" w:cstheme="minorHAnsi"/>
          <w:sz w:val="22"/>
          <w:szCs w:val="22"/>
          <w:lang w:val="en-US"/>
        </w:rPr>
        <w:t xml:space="preserve">pp </w:t>
      </w:r>
      <w:r w:rsidR="00D335BA" w:rsidRPr="00D335BA">
        <w:rPr>
          <w:rFonts w:ascii="Palatino Linotype" w:hAnsi="Palatino Linotype" w:cstheme="minorHAnsi"/>
          <w:sz w:val="22"/>
          <w:szCs w:val="22"/>
          <w:lang w:val="en-US"/>
        </w:rPr>
        <w:t>this quarter</w:t>
      </w:r>
      <w:r w:rsidR="00594669">
        <w:rPr>
          <w:rFonts w:ascii="Palatino Linotype" w:hAnsi="Palatino Linotype" w:cstheme="minorHAnsi"/>
          <w:sz w:val="22"/>
          <w:szCs w:val="22"/>
          <w:lang w:val="en-US"/>
        </w:rPr>
        <w:t xml:space="preserve">. </w:t>
      </w:r>
      <w:r w:rsidR="00D200DB" w:rsidRPr="00D200DB">
        <w:rPr>
          <w:rFonts w:ascii="Palatino Linotype" w:hAnsi="Palatino Linotype" w:cstheme="minorHAnsi"/>
          <w:sz w:val="22"/>
          <w:szCs w:val="22"/>
          <w:lang w:val="en-US"/>
        </w:rPr>
        <w:t xml:space="preserve">According to the seasonally and </w:t>
      </w:r>
      <w:r w:rsidR="00BE013E">
        <w:rPr>
          <w:rFonts w:ascii="Palatino Linotype" w:hAnsi="Palatino Linotype" w:cstheme="minorHAnsi"/>
          <w:sz w:val="22"/>
          <w:szCs w:val="22"/>
          <w:lang w:val="en-US"/>
        </w:rPr>
        <w:t>calendar-adjusted</w:t>
      </w:r>
      <w:bookmarkEnd w:id="2"/>
      <w:bookmarkEnd w:id="3"/>
      <w:r w:rsidR="00D200DB" w:rsidRPr="00D200DB">
        <w:rPr>
          <w:rFonts w:ascii="Palatino Linotype" w:hAnsi="Palatino Linotype" w:cstheme="minorHAnsi"/>
          <w:sz w:val="22"/>
          <w:szCs w:val="22"/>
          <w:lang w:val="en-US"/>
        </w:rPr>
        <w:t xml:space="preserve"> series, </w:t>
      </w:r>
      <w:r w:rsidR="00A12228" w:rsidRPr="00A12228">
        <w:rPr>
          <w:rFonts w:ascii="Palatino Linotype" w:hAnsi="Palatino Linotype" w:cstheme="minorHAnsi"/>
          <w:sz w:val="22"/>
          <w:szCs w:val="22"/>
          <w:lang w:val="en-US"/>
        </w:rPr>
        <w:t>Turkish economy grew by 1 percent from the third quarter to the fourth quarter of 2023</w:t>
      </w:r>
      <w:r w:rsidR="00594669">
        <w:rPr>
          <w:rFonts w:ascii="Palatino Linotype" w:hAnsi="Palatino Linotype" w:cstheme="minorHAnsi"/>
          <w:sz w:val="22"/>
          <w:szCs w:val="22"/>
          <w:lang w:val="en-US"/>
        </w:rPr>
        <w:t xml:space="preserve">. </w:t>
      </w:r>
      <w:r w:rsidR="00CF78BA" w:rsidRPr="00CF78BA">
        <w:rPr>
          <w:rFonts w:ascii="Palatino Linotype" w:hAnsi="Palatino Linotype" w:cstheme="minorHAnsi"/>
          <w:sz w:val="22"/>
          <w:szCs w:val="22"/>
          <w:lang w:val="en-US"/>
        </w:rPr>
        <w:t>Private consumption made a positive contribution of 2.2</w:t>
      </w:r>
      <w:r w:rsidR="002B25BD">
        <w:rPr>
          <w:rFonts w:ascii="Palatino Linotype" w:hAnsi="Palatino Linotype" w:cstheme="minorHAnsi"/>
          <w:sz w:val="22"/>
          <w:szCs w:val="22"/>
          <w:lang w:val="en-US"/>
        </w:rPr>
        <w:t xml:space="preserve"> </w:t>
      </w:r>
      <w:r w:rsidR="00CF78BA">
        <w:rPr>
          <w:rFonts w:ascii="Palatino Linotype" w:hAnsi="Palatino Linotype" w:cstheme="minorHAnsi"/>
          <w:sz w:val="22"/>
          <w:szCs w:val="22"/>
          <w:lang w:val="en-US"/>
        </w:rPr>
        <w:t>pp</w:t>
      </w:r>
      <w:r w:rsidR="00CF78BA" w:rsidRPr="00CF78BA">
        <w:rPr>
          <w:rFonts w:ascii="Palatino Linotype" w:hAnsi="Palatino Linotype" w:cstheme="minorHAnsi"/>
          <w:sz w:val="22"/>
          <w:szCs w:val="22"/>
          <w:lang w:val="en-US"/>
        </w:rPr>
        <w:t xml:space="preserve"> to quarterly growth, while foreign trade made a positive contribution of 0.9</w:t>
      </w:r>
      <w:r w:rsidR="002B25BD">
        <w:rPr>
          <w:rFonts w:ascii="Palatino Linotype" w:hAnsi="Palatino Linotype" w:cstheme="minorHAnsi"/>
          <w:sz w:val="22"/>
          <w:szCs w:val="22"/>
          <w:lang w:val="en-US"/>
        </w:rPr>
        <w:t xml:space="preserve"> </w:t>
      </w:r>
      <w:r w:rsidR="0079765D">
        <w:rPr>
          <w:rFonts w:ascii="Palatino Linotype" w:hAnsi="Palatino Linotype" w:cstheme="minorHAnsi"/>
          <w:sz w:val="22"/>
          <w:szCs w:val="22"/>
          <w:lang w:val="en-US"/>
        </w:rPr>
        <w:t>pp</w:t>
      </w:r>
      <w:r w:rsidR="00CF78BA" w:rsidRPr="00CF78BA">
        <w:rPr>
          <w:rFonts w:ascii="Palatino Linotype" w:hAnsi="Palatino Linotype" w:cstheme="minorHAnsi"/>
          <w:sz w:val="22"/>
          <w:szCs w:val="22"/>
          <w:lang w:val="en-US"/>
        </w:rPr>
        <w:t>. Investments pulled quarterly growth down by 0.2</w:t>
      </w:r>
      <w:r w:rsidR="002B25BD">
        <w:rPr>
          <w:rFonts w:ascii="Palatino Linotype" w:hAnsi="Palatino Linotype" w:cstheme="minorHAnsi"/>
          <w:sz w:val="22"/>
          <w:szCs w:val="22"/>
          <w:lang w:val="en-US"/>
        </w:rPr>
        <w:t xml:space="preserve"> </w:t>
      </w:r>
      <w:r w:rsidR="0079765D">
        <w:rPr>
          <w:rFonts w:ascii="Palatino Linotype" w:hAnsi="Palatino Linotype" w:cstheme="minorHAnsi"/>
          <w:sz w:val="22"/>
          <w:szCs w:val="22"/>
          <w:lang w:val="en-US"/>
        </w:rPr>
        <w:t>pp</w:t>
      </w:r>
      <w:r w:rsidR="00CF78BA" w:rsidRPr="00CF78BA">
        <w:rPr>
          <w:rFonts w:ascii="Palatino Linotype" w:hAnsi="Palatino Linotype" w:cstheme="minorHAnsi"/>
          <w:sz w:val="22"/>
          <w:szCs w:val="22"/>
          <w:lang w:val="en-US"/>
        </w:rPr>
        <w:t xml:space="preserve"> and stock changes by 1.4</w:t>
      </w:r>
      <w:r w:rsidR="002B25BD">
        <w:rPr>
          <w:rFonts w:ascii="Palatino Linotype" w:hAnsi="Palatino Linotype" w:cstheme="minorHAnsi"/>
          <w:sz w:val="22"/>
          <w:szCs w:val="22"/>
          <w:lang w:val="en-US"/>
        </w:rPr>
        <w:t xml:space="preserve"> </w:t>
      </w:r>
      <w:r w:rsidR="0079765D">
        <w:rPr>
          <w:rFonts w:ascii="Palatino Linotype" w:hAnsi="Palatino Linotype" w:cstheme="minorHAnsi"/>
          <w:sz w:val="22"/>
          <w:szCs w:val="22"/>
          <w:lang w:val="en-US"/>
        </w:rPr>
        <w:t>pp</w:t>
      </w:r>
      <w:r w:rsidR="00CF78BA" w:rsidRPr="00CF78BA">
        <w:rPr>
          <w:rFonts w:ascii="Palatino Linotype" w:hAnsi="Palatino Linotype" w:cstheme="minorHAnsi"/>
          <w:sz w:val="22"/>
          <w:szCs w:val="22"/>
          <w:lang w:val="en-US"/>
        </w:rPr>
        <w:t>.</w:t>
      </w:r>
    </w:p>
    <w:p w14:paraId="358903C7" w14:textId="2F356F8D" w:rsidR="00FC0279" w:rsidRPr="001272BD" w:rsidRDefault="00FC0279" w:rsidP="000A770F">
      <w:pPr>
        <w:spacing w:line="271" w:lineRule="auto"/>
        <w:ind w:left="567" w:right="567"/>
        <w:jc w:val="both"/>
        <w:rPr>
          <w:rFonts w:ascii="Palatino Linotype" w:hAnsi="Palatino Linotype" w:cstheme="minorHAnsi"/>
          <w:sz w:val="22"/>
          <w:szCs w:val="22"/>
          <w:lang w:val="en-US"/>
        </w:rPr>
      </w:pPr>
    </w:p>
    <w:p w14:paraId="368B86F2" w14:textId="1268C950" w:rsidR="001272BD" w:rsidRDefault="004D583E" w:rsidP="001272BD">
      <w:pPr>
        <w:ind w:left="567" w:right="56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Figure 1: Contributions to growth (left) and year-on-year growth rates (right) of GDP components in 202</w:t>
      </w:r>
      <w:r w:rsidR="00A476C4">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Q</w:t>
      </w:r>
      <w:bookmarkEnd w:id="0"/>
      <w:bookmarkEnd w:id="1"/>
      <w:r w:rsidR="00AE2C37">
        <w:rPr>
          <w:rFonts w:ascii="Palatino Linotype" w:hAnsi="Palatino Linotype" w:cstheme="minorHAnsi"/>
          <w:b/>
          <w:bCs/>
          <w:sz w:val="22"/>
          <w:szCs w:val="22"/>
          <w:lang w:val="en-US"/>
        </w:rPr>
        <w:t>4</w:t>
      </w:r>
    </w:p>
    <w:p w14:paraId="51391F88" w14:textId="77777777" w:rsidR="00693B52" w:rsidRDefault="00693B52" w:rsidP="001272BD">
      <w:pPr>
        <w:ind w:left="567" w:right="567"/>
        <w:jc w:val="both"/>
        <w:rPr>
          <w:rFonts w:ascii="Palatino Linotype" w:hAnsi="Palatino Linotype" w:cstheme="minorHAnsi"/>
          <w:b/>
          <w:bCs/>
          <w:sz w:val="22"/>
          <w:szCs w:val="22"/>
          <w:lang w:val="en-US"/>
        </w:rPr>
      </w:pPr>
    </w:p>
    <w:p w14:paraId="746EBA6B" w14:textId="715A48CE" w:rsidR="0025499A" w:rsidRPr="00BF1B78" w:rsidRDefault="00CA1C70" w:rsidP="00BF1B78">
      <w:pPr>
        <w:spacing w:after="120" w:line="288" w:lineRule="auto"/>
        <w:ind w:right="567"/>
        <w:jc w:val="both"/>
        <w:rPr>
          <w:rFonts w:ascii="Palatino Linotype" w:hAnsi="Palatino Linotype" w:cstheme="minorHAnsi"/>
          <w:sz w:val="22"/>
          <w:szCs w:val="22"/>
        </w:rPr>
      </w:pPr>
      <w:r>
        <w:rPr>
          <w:noProof/>
        </w:rPr>
        <w:drawing>
          <wp:inline distT="0" distB="0" distL="0" distR="0" wp14:anchorId="5DAC6196" wp14:editId="338C7B0B">
            <wp:extent cx="2581275" cy="2276475"/>
            <wp:effectExtent l="0" t="0" r="9525" b="9525"/>
            <wp:docPr id="1772833351" name="Chart 1">
              <a:extLst xmlns:a="http://schemas.openxmlformats.org/drawingml/2006/main">
                <a:ext uri="{FF2B5EF4-FFF2-40B4-BE49-F238E27FC236}">
                  <a16:creationId xmlns:a16="http://schemas.microsoft.com/office/drawing/2014/main" id="{DCF0186A-08C1-4475-880B-93EA7D2AC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657E5">
        <w:rPr>
          <w:noProof/>
        </w:rPr>
        <w:drawing>
          <wp:inline distT="0" distB="0" distL="0" distR="0" wp14:anchorId="182E8C0E" wp14:editId="242025F6">
            <wp:extent cx="2667000" cy="2295525"/>
            <wp:effectExtent l="0" t="0" r="0" b="9525"/>
            <wp:docPr id="1393433439" name="Chart 1">
              <a:extLst xmlns:a="http://schemas.openxmlformats.org/drawingml/2006/main">
                <a:ext uri="{FF2B5EF4-FFF2-40B4-BE49-F238E27FC236}">
                  <a16:creationId xmlns:a16="http://schemas.microsoft.com/office/drawing/2014/main" id="{3C438DF1-C2E0-4453-A670-B9E3E1C7F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FB53CB" w14:textId="322F0087" w:rsidR="006679E6" w:rsidRPr="001272BD" w:rsidRDefault="0025499A" w:rsidP="0025499A">
      <w:pPr>
        <w:ind w:right="567"/>
        <w:jc w:val="both"/>
        <w:rPr>
          <w:rFonts w:ascii="Palatino Linotype" w:hAnsi="Palatino Linotype" w:cstheme="minorHAnsi"/>
          <w:b/>
          <w:bCs/>
          <w:sz w:val="22"/>
          <w:szCs w:val="22"/>
          <w:lang w:val="en-US"/>
        </w:rPr>
      </w:pPr>
      <w:r>
        <w:rPr>
          <w:rFonts w:ascii="Palatino Linotype" w:hAnsi="Palatino Linotype" w:cstheme="minorHAnsi"/>
          <w:sz w:val="18"/>
          <w:szCs w:val="18"/>
          <w:lang w:val="en-US"/>
        </w:rPr>
        <w:t xml:space="preserve">            </w:t>
      </w:r>
      <w:r w:rsidR="006679E6" w:rsidRPr="00155A64">
        <w:rPr>
          <w:rFonts w:ascii="Palatino Linotype" w:hAnsi="Palatino Linotype" w:cstheme="minorHAnsi"/>
          <w:sz w:val="18"/>
          <w:szCs w:val="18"/>
          <w:lang w:val="en-US"/>
        </w:rPr>
        <w:t xml:space="preserve">Source: </w:t>
      </w:r>
      <w:proofErr w:type="spellStart"/>
      <w:r w:rsidR="006679E6" w:rsidRPr="00155A64">
        <w:rPr>
          <w:rFonts w:ascii="Palatino Linotype" w:hAnsi="Palatino Linotype" w:cstheme="minorHAnsi"/>
          <w:sz w:val="18"/>
          <w:szCs w:val="18"/>
          <w:lang w:val="en-US"/>
        </w:rPr>
        <w:t>TurkStat</w:t>
      </w:r>
      <w:proofErr w:type="spellEnd"/>
      <w:r w:rsidR="006679E6" w:rsidRPr="00155A64">
        <w:rPr>
          <w:rFonts w:ascii="Palatino Linotype" w:hAnsi="Palatino Linotype" w:cstheme="minorHAnsi"/>
          <w:sz w:val="18"/>
          <w:szCs w:val="18"/>
          <w:lang w:val="en-US"/>
        </w:rPr>
        <w:t xml:space="preserve">, </w:t>
      </w:r>
      <w:proofErr w:type="spellStart"/>
      <w:r w:rsidR="006679E6" w:rsidRPr="00155A64">
        <w:rPr>
          <w:rFonts w:ascii="Palatino Linotype" w:hAnsi="Palatino Linotype" w:cstheme="minorHAnsi"/>
          <w:sz w:val="18"/>
          <w:szCs w:val="18"/>
          <w:lang w:val="en-US"/>
        </w:rPr>
        <w:t>Betam</w:t>
      </w:r>
      <w:proofErr w:type="spellEnd"/>
      <w:r w:rsidR="006679E6" w:rsidRPr="00155A64">
        <w:rPr>
          <w:rFonts w:ascii="Palatino Linotype" w:hAnsi="Palatino Linotype" w:cstheme="minorHAnsi"/>
          <w:sz w:val="16"/>
          <w:szCs w:val="16"/>
          <w:lang w:val="en-US"/>
        </w:rPr>
        <w:t xml:space="preserve"> </w:t>
      </w:r>
    </w:p>
    <w:p w14:paraId="4199117A" w14:textId="2EDBD620"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3110643A" w14:textId="5C8861B1" w:rsidR="001D16EA" w:rsidRDefault="001D16EA" w:rsidP="00E263B5">
      <w:pPr>
        <w:pStyle w:val="NormalWeb"/>
        <w:spacing w:line="360" w:lineRule="auto"/>
        <w:ind w:right="77"/>
        <w:rPr>
          <w:rFonts w:ascii="Palatino Linotype" w:hAnsi="Palatino Linotype" w:cstheme="minorHAnsi"/>
          <w:b/>
          <w:bCs/>
          <w:sz w:val="22"/>
          <w:szCs w:val="22"/>
          <w:lang w:val="en-US"/>
        </w:rPr>
      </w:pPr>
      <w:r w:rsidRPr="001D16EA">
        <w:rPr>
          <w:rFonts w:ascii="Palatino Linotype" w:hAnsi="Palatino Linotype" w:cstheme="minorHAnsi"/>
          <w:b/>
          <w:bCs/>
          <w:sz w:val="22"/>
          <w:szCs w:val="22"/>
          <w:lang w:val="en-US"/>
        </w:rPr>
        <w:lastRenderedPageBreak/>
        <w:t>Private consumption increased quarter-on-</w:t>
      </w:r>
      <w:r w:rsidR="00F66ACA" w:rsidRPr="001D16EA">
        <w:rPr>
          <w:rFonts w:ascii="Palatino Linotype" w:hAnsi="Palatino Linotype" w:cstheme="minorHAnsi"/>
          <w:b/>
          <w:bCs/>
          <w:sz w:val="22"/>
          <w:szCs w:val="22"/>
          <w:lang w:val="en-US"/>
        </w:rPr>
        <w:t>quarter</w:t>
      </w:r>
    </w:p>
    <w:p w14:paraId="584BCFA1" w14:textId="1A827F67" w:rsidR="008B7350" w:rsidRDefault="008B7350"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8B7350">
        <w:rPr>
          <w:rFonts w:ascii="Palatino Linotype" w:hAnsi="Palatino Linotype" w:cstheme="minorHAnsi"/>
          <w:sz w:val="22"/>
          <w:szCs w:val="22"/>
          <w:lang w:val="en-US"/>
        </w:rPr>
        <w:t xml:space="preserve">In the fourth quarter of 2023, private consumption increased by 9.3 percent </w:t>
      </w:r>
      <w:r>
        <w:rPr>
          <w:rFonts w:ascii="Palatino Linotype" w:hAnsi="Palatino Linotype" w:cstheme="minorHAnsi"/>
          <w:sz w:val="22"/>
          <w:szCs w:val="22"/>
          <w:lang w:val="en-US"/>
        </w:rPr>
        <w:t>YoY</w:t>
      </w:r>
      <w:r w:rsidRPr="008B7350">
        <w:rPr>
          <w:rFonts w:ascii="Palatino Linotype" w:hAnsi="Palatino Linotype" w:cstheme="minorHAnsi"/>
          <w:sz w:val="22"/>
          <w:szCs w:val="22"/>
          <w:lang w:val="en-US"/>
        </w:rPr>
        <w:t xml:space="preserve"> and contributed 5.3 percentage points to growth (Table 1). According to seasonally and calendar-adjusted figures, private consumption increased by 3.6 percent </w:t>
      </w:r>
      <w:proofErr w:type="spellStart"/>
      <w:r>
        <w:rPr>
          <w:rFonts w:ascii="Palatino Linotype" w:hAnsi="Palatino Linotype" w:cstheme="minorHAnsi"/>
          <w:sz w:val="22"/>
          <w:szCs w:val="22"/>
          <w:lang w:val="en-US"/>
        </w:rPr>
        <w:t>QoQ</w:t>
      </w:r>
      <w:proofErr w:type="spellEnd"/>
      <w:r w:rsidRPr="008B7350">
        <w:rPr>
          <w:rFonts w:ascii="Palatino Linotype" w:hAnsi="Palatino Linotype" w:cstheme="minorHAnsi"/>
          <w:sz w:val="22"/>
          <w:szCs w:val="22"/>
          <w:lang w:val="en-US"/>
        </w:rPr>
        <w:t xml:space="preserve"> and contributed 2.2 percentage points to quarterly growth (Table 2).</w:t>
      </w:r>
    </w:p>
    <w:p w14:paraId="248A4A91" w14:textId="77777777" w:rsidR="00EB2B22" w:rsidRPr="006679E6"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6B3F4B04" w:rsidR="00006890"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1: Growth rates and contributions to the </w:t>
      </w:r>
      <w:r w:rsidR="00325894">
        <w:rPr>
          <w:rFonts w:ascii="Palatino Linotype" w:hAnsi="Palatino Linotype" w:cstheme="minorHAnsi"/>
          <w:b/>
          <w:bCs/>
          <w:sz w:val="22"/>
          <w:szCs w:val="22"/>
          <w:lang w:val="en-US"/>
        </w:rPr>
        <w:t>growth of GDP components in 202</w:t>
      </w:r>
      <w:r w:rsidR="00F05E1C">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Q</w:t>
      </w:r>
      <w:r w:rsidR="007E1D16">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and 202</w:t>
      </w:r>
      <w:r w:rsidR="00F05E1C">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Q</w:t>
      </w:r>
      <w:r w:rsidR="007E1D16">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compared to the same quarter of the previous year</w:t>
      </w:r>
    </w:p>
    <w:tbl>
      <w:tblPr>
        <w:tblW w:w="8120" w:type="dxa"/>
        <w:tblCellMar>
          <w:left w:w="70" w:type="dxa"/>
          <w:right w:w="70" w:type="dxa"/>
        </w:tblCellMar>
        <w:tblLook w:val="04A0" w:firstRow="1" w:lastRow="0" w:firstColumn="1" w:lastColumn="0" w:noHBand="0" w:noVBand="1"/>
      </w:tblPr>
      <w:tblGrid>
        <w:gridCol w:w="2122"/>
        <w:gridCol w:w="1110"/>
        <w:gridCol w:w="1828"/>
        <w:gridCol w:w="1243"/>
        <w:gridCol w:w="1817"/>
      </w:tblGrid>
      <w:tr w:rsidR="007E1D16" w:rsidRPr="007E1D16" w14:paraId="16DE4B05" w14:textId="77777777" w:rsidTr="00594859">
        <w:trPr>
          <w:trHeight w:val="282"/>
        </w:trPr>
        <w:tc>
          <w:tcPr>
            <w:tcW w:w="2122" w:type="dxa"/>
            <w:tcBorders>
              <w:top w:val="single" w:sz="4" w:space="0" w:color="auto"/>
              <w:left w:val="single" w:sz="4" w:space="0" w:color="auto"/>
              <w:bottom w:val="nil"/>
              <w:right w:val="nil"/>
            </w:tcBorders>
            <w:shd w:val="clear" w:color="000000" w:fill="FFFFFF"/>
            <w:noWrap/>
            <w:vAlign w:val="bottom"/>
            <w:hideMark/>
          </w:tcPr>
          <w:p w14:paraId="3634B9AD" w14:textId="77777777" w:rsidR="007E1D16" w:rsidRPr="007E1D16" w:rsidRDefault="007E1D16" w:rsidP="007E1D16">
            <w:pPr>
              <w:rPr>
                <w:rFonts w:ascii="Calibri" w:hAnsi="Calibri" w:cs="Calibri"/>
                <w:b/>
                <w:bCs/>
                <w:color w:val="000000"/>
                <w:sz w:val="20"/>
                <w:szCs w:val="20"/>
              </w:rPr>
            </w:pPr>
            <w:r w:rsidRPr="007E1D16">
              <w:rPr>
                <w:rFonts w:ascii="Calibri" w:hAnsi="Calibri" w:cs="Calibri"/>
                <w:b/>
                <w:bCs/>
                <w:color w:val="000000"/>
                <w:sz w:val="20"/>
                <w:szCs w:val="20"/>
              </w:rPr>
              <w:t> </w:t>
            </w:r>
          </w:p>
        </w:tc>
        <w:tc>
          <w:tcPr>
            <w:tcW w:w="2938"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C3E25D" w14:textId="5973928F" w:rsidR="007E1D16" w:rsidRPr="007E1D16" w:rsidRDefault="007E1D16" w:rsidP="007E1D16">
            <w:pPr>
              <w:jc w:val="center"/>
              <w:rPr>
                <w:rFonts w:ascii="Calibri" w:hAnsi="Calibri" w:cs="Calibri"/>
                <w:b/>
                <w:bCs/>
                <w:color w:val="000000"/>
                <w:sz w:val="20"/>
                <w:szCs w:val="20"/>
              </w:rPr>
            </w:pPr>
            <w:r w:rsidRPr="007E1D16">
              <w:rPr>
                <w:rFonts w:ascii="Calibri" w:hAnsi="Calibri" w:cs="Calibri"/>
                <w:b/>
                <w:bCs/>
                <w:color w:val="000000"/>
                <w:sz w:val="20"/>
                <w:szCs w:val="20"/>
              </w:rPr>
              <w:t>202</w:t>
            </w:r>
            <w:r w:rsidR="00BE070F">
              <w:rPr>
                <w:rFonts w:ascii="Calibri" w:hAnsi="Calibri" w:cs="Calibri"/>
                <w:b/>
                <w:bCs/>
                <w:color w:val="000000"/>
                <w:sz w:val="20"/>
                <w:szCs w:val="20"/>
              </w:rPr>
              <w:t>3</w:t>
            </w:r>
            <w:r w:rsidRPr="007E1D16">
              <w:rPr>
                <w:rFonts w:ascii="Calibri" w:hAnsi="Calibri" w:cs="Calibri"/>
                <w:b/>
                <w:bCs/>
                <w:color w:val="000000"/>
                <w:sz w:val="20"/>
                <w:szCs w:val="20"/>
              </w:rPr>
              <w:t>Q3</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8CFCC52" w14:textId="0B822F1B" w:rsidR="007E1D16" w:rsidRPr="007E1D16" w:rsidRDefault="007E1D16" w:rsidP="007E1D16">
            <w:pPr>
              <w:jc w:val="center"/>
              <w:rPr>
                <w:rFonts w:ascii="Calibri" w:hAnsi="Calibri" w:cs="Calibri"/>
                <w:b/>
                <w:bCs/>
                <w:color w:val="000000"/>
                <w:sz w:val="20"/>
                <w:szCs w:val="20"/>
              </w:rPr>
            </w:pPr>
            <w:r w:rsidRPr="007E1D16">
              <w:rPr>
                <w:rFonts w:ascii="Calibri" w:hAnsi="Calibri" w:cs="Calibri"/>
                <w:b/>
                <w:bCs/>
                <w:color w:val="000000"/>
                <w:sz w:val="20"/>
                <w:szCs w:val="20"/>
              </w:rPr>
              <w:t>202</w:t>
            </w:r>
            <w:r w:rsidR="00BE070F">
              <w:rPr>
                <w:rFonts w:ascii="Calibri" w:hAnsi="Calibri" w:cs="Calibri"/>
                <w:b/>
                <w:bCs/>
                <w:color w:val="000000"/>
                <w:sz w:val="20"/>
                <w:szCs w:val="20"/>
              </w:rPr>
              <w:t>3</w:t>
            </w:r>
            <w:r w:rsidRPr="007E1D16">
              <w:rPr>
                <w:rFonts w:ascii="Calibri" w:hAnsi="Calibri" w:cs="Calibri"/>
                <w:b/>
                <w:bCs/>
                <w:color w:val="000000"/>
                <w:sz w:val="20"/>
                <w:szCs w:val="20"/>
              </w:rPr>
              <w:t>Q4</w:t>
            </w:r>
          </w:p>
        </w:tc>
      </w:tr>
      <w:tr w:rsidR="007E1D16" w:rsidRPr="007E1D16" w14:paraId="6A312672" w14:textId="77777777" w:rsidTr="00B03DA9">
        <w:trPr>
          <w:trHeight w:val="282"/>
        </w:trPr>
        <w:tc>
          <w:tcPr>
            <w:tcW w:w="2122" w:type="dxa"/>
            <w:tcBorders>
              <w:top w:val="nil"/>
              <w:left w:val="single" w:sz="4" w:space="0" w:color="auto"/>
              <w:bottom w:val="single" w:sz="4" w:space="0" w:color="auto"/>
              <w:right w:val="nil"/>
            </w:tcBorders>
            <w:shd w:val="clear" w:color="000000" w:fill="FFFFFF"/>
            <w:noWrap/>
            <w:vAlign w:val="bottom"/>
            <w:hideMark/>
          </w:tcPr>
          <w:p w14:paraId="68F0C180" w14:textId="77777777" w:rsidR="007E1D16" w:rsidRPr="007E1D16" w:rsidRDefault="007E1D16" w:rsidP="007E1D16">
            <w:pPr>
              <w:rPr>
                <w:rFonts w:ascii="Calibri" w:hAnsi="Calibri" w:cs="Calibri"/>
                <w:b/>
                <w:bCs/>
                <w:color w:val="000000"/>
                <w:sz w:val="20"/>
                <w:szCs w:val="20"/>
              </w:rPr>
            </w:pPr>
            <w:r w:rsidRPr="007E1D16">
              <w:rPr>
                <w:rFonts w:ascii="Calibri" w:hAnsi="Calibri" w:cs="Calibri"/>
                <w:b/>
                <w:bCs/>
                <w:color w:val="000000"/>
                <w:sz w:val="20"/>
                <w:szCs w:val="20"/>
              </w:rPr>
              <w:t> </w:t>
            </w:r>
          </w:p>
        </w:tc>
        <w:tc>
          <w:tcPr>
            <w:tcW w:w="1110" w:type="dxa"/>
            <w:tcBorders>
              <w:top w:val="nil"/>
              <w:left w:val="single" w:sz="4" w:space="0" w:color="auto"/>
              <w:bottom w:val="single" w:sz="4" w:space="0" w:color="auto"/>
              <w:right w:val="nil"/>
            </w:tcBorders>
            <w:shd w:val="clear" w:color="000000" w:fill="FFFFFF"/>
            <w:noWrap/>
            <w:vAlign w:val="bottom"/>
            <w:hideMark/>
          </w:tcPr>
          <w:p w14:paraId="773C3EA9" w14:textId="77777777" w:rsidR="007E1D16" w:rsidRPr="007E1D16" w:rsidRDefault="007E1D16" w:rsidP="007E1D16">
            <w:pPr>
              <w:jc w:val="center"/>
              <w:rPr>
                <w:rFonts w:ascii="Calibri" w:hAnsi="Calibri" w:cs="Calibri"/>
                <w:b/>
                <w:bCs/>
                <w:color w:val="000000"/>
                <w:sz w:val="20"/>
                <w:szCs w:val="20"/>
              </w:rPr>
            </w:pPr>
            <w:r w:rsidRPr="007E1D16">
              <w:rPr>
                <w:rFonts w:ascii="Calibri" w:hAnsi="Calibri" w:cs="Calibri"/>
                <w:b/>
                <w:bCs/>
                <w:color w:val="000000"/>
                <w:sz w:val="20"/>
                <w:szCs w:val="20"/>
              </w:rPr>
              <w:t>Change (%)</w:t>
            </w:r>
          </w:p>
        </w:tc>
        <w:tc>
          <w:tcPr>
            <w:tcW w:w="1828" w:type="dxa"/>
            <w:tcBorders>
              <w:top w:val="nil"/>
              <w:left w:val="nil"/>
              <w:bottom w:val="single" w:sz="4" w:space="0" w:color="auto"/>
              <w:right w:val="single" w:sz="4" w:space="0" w:color="auto"/>
            </w:tcBorders>
            <w:shd w:val="clear" w:color="000000" w:fill="FFFFFF"/>
            <w:noWrap/>
            <w:vAlign w:val="bottom"/>
            <w:hideMark/>
          </w:tcPr>
          <w:p w14:paraId="5D3CE090" w14:textId="77777777" w:rsidR="007E1D16" w:rsidRPr="007E1D16" w:rsidRDefault="007E1D16" w:rsidP="007E1D16">
            <w:pPr>
              <w:jc w:val="center"/>
              <w:rPr>
                <w:rFonts w:ascii="Calibri" w:hAnsi="Calibri" w:cs="Calibri"/>
                <w:b/>
                <w:bCs/>
                <w:color w:val="000000"/>
                <w:sz w:val="20"/>
                <w:szCs w:val="20"/>
              </w:rPr>
            </w:pPr>
            <w:r w:rsidRPr="007E1D16">
              <w:rPr>
                <w:rFonts w:ascii="Calibri" w:hAnsi="Calibri" w:cs="Calibri"/>
                <w:b/>
                <w:bCs/>
                <w:color w:val="000000"/>
                <w:sz w:val="20"/>
                <w:szCs w:val="20"/>
              </w:rPr>
              <w:t>Contribution (%)</w:t>
            </w:r>
          </w:p>
        </w:tc>
        <w:tc>
          <w:tcPr>
            <w:tcW w:w="1243" w:type="dxa"/>
            <w:tcBorders>
              <w:top w:val="nil"/>
              <w:left w:val="nil"/>
              <w:bottom w:val="single" w:sz="4" w:space="0" w:color="auto"/>
              <w:right w:val="nil"/>
            </w:tcBorders>
            <w:shd w:val="clear" w:color="000000" w:fill="FFFFFF"/>
            <w:noWrap/>
            <w:vAlign w:val="bottom"/>
            <w:hideMark/>
          </w:tcPr>
          <w:p w14:paraId="037FE83B" w14:textId="77777777" w:rsidR="007E1D16" w:rsidRPr="007E1D16" w:rsidRDefault="007E1D16" w:rsidP="007E1D16">
            <w:pPr>
              <w:jc w:val="center"/>
              <w:rPr>
                <w:rFonts w:ascii="Calibri" w:hAnsi="Calibri" w:cs="Calibri"/>
                <w:b/>
                <w:bCs/>
                <w:color w:val="000000"/>
                <w:sz w:val="20"/>
                <w:szCs w:val="20"/>
              </w:rPr>
            </w:pPr>
            <w:r w:rsidRPr="007E1D16">
              <w:rPr>
                <w:rFonts w:ascii="Calibri" w:hAnsi="Calibri" w:cs="Calibri"/>
                <w:b/>
                <w:bCs/>
                <w:color w:val="000000"/>
                <w:sz w:val="20"/>
                <w:szCs w:val="20"/>
              </w:rPr>
              <w:t>Change (%)</w:t>
            </w:r>
          </w:p>
        </w:tc>
        <w:tc>
          <w:tcPr>
            <w:tcW w:w="1817" w:type="dxa"/>
            <w:tcBorders>
              <w:top w:val="nil"/>
              <w:left w:val="nil"/>
              <w:bottom w:val="single" w:sz="4" w:space="0" w:color="auto"/>
              <w:right w:val="single" w:sz="4" w:space="0" w:color="auto"/>
            </w:tcBorders>
            <w:shd w:val="clear" w:color="000000" w:fill="FFFFFF"/>
            <w:noWrap/>
            <w:vAlign w:val="bottom"/>
            <w:hideMark/>
          </w:tcPr>
          <w:p w14:paraId="5CFCD2D5" w14:textId="77777777" w:rsidR="007E1D16" w:rsidRPr="007E1D16" w:rsidRDefault="007E1D16" w:rsidP="007E1D16">
            <w:pPr>
              <w:jc w:val="center"/>
              <w:rPr>
                <w:rFonts w:ascii="Calibri" w:hAnsi="Calibri" w:cs="Calibri"/>
                <w:b/>
                <w:bCs/>
                <w:color w:val="000000"/>
                <w:sz w:val="20"/>
                <w:szCs w:val="20"/>
              </w:rPr>
            </w:pPr>
            <w:r w:rsidRPr="007E1D16">
              <w:rPr>
                <w:rFonts w:ascii="Calibri" w:hAnsi="Calibri" w:cs="Calibri"/>
                <w:b/>
                <w:bCs/>
                <w:color w:val="000000"/>
                <w:sz w:val="20"/>
                <w:szCs w:val="20"/>
              </w:rPr>
              <w:t>Contribution (%)</w:t>
            </w:r>
          </w:p>
        </w:tc>
      </w:tr>
      <w:tr w:rsidR="0060214D" w:rsidRPr="007E1D16" w14:paraId="7D8004CC" w14:textId="77777777" w:rsidTr="00B03DA9">
        <w:trPr>
          <w:trHeight w:val="282"/>
        </w:trPr>
        <w:tc>
          <w:tcPr>
            <w:tcW w:w="2122" w:type="dxa"/>
            <w:tcBorders>
              <w:top w:val="single" w:sz="4" w:space="0" w:color="auto"/>
              <w:left w:val="single" w:sz="4" w:space="0" w:color="auto"/>
              <w:bottom w:val="nil"/>
              <w:right w:val="single" w:sz="4" w:space="0" w:color="auto"/>
            </w:tcBorders>
            <w:shd w:val="clear" w:color="000000" w:fill="FFFFFF"/>
            <w:noWrap/>
            <w:vAlign w:val="bottom"/>
            <w:hideMark/>
          </w:tcPr>
          <w:p w14:paraId="7A9CC0EC"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Consumption</w:t>
            </w:r>
          </w:p>
        </w:tc>
        <w:tc>
          <w:tcPr>
            <w:tcW w:w="1110" w:type="dxa"/>
            <w:tcBorders>
              <w:top w:val="single" w:sz="4" w:space="0" w:color="auto"/>
              <w:left w:val="single" w:sz="4" w:space="0" w:color="auto"/>
              <w:bottom w:val="nil"/>
            </w:tcBorders>
            <w:shd w:val="clear" w:color="000000" w:fill="FFFFFF"/>
            <w:noWrap/>
            <w:vAlign w:val="bottom"/>
            <w:hideMark/>
          </w:tcPr>
          <w:p w14:paraId="6AA211F2" w14:textId="48087CE1"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11,1</w:t>
            </w:r>
          </w:p>
        </w:tc>
        <w:tc>
          <w:tcPr>
            <w:tcW w:w="1828" w:type="dxa"/>
            <w:tcBorders>
              <w:top w:val="single" w:sz="4" w:space="0" w:color="auto"/>
              <w:bottom w:val="nil"/>
              <w:right w:val="single" w:sz="4" w:space="0" w:color="auto"/>
            </w:tcBorders>
            <w:shd w:val="clear" w:color="000000" w:fill="FFFFFF"/>
            <w:noWrap/>
            <w:vAlign w:val="bottom"/>
            <w:hideMark/>
          </w:tcPr>
          <w:p w14:paraId="669766A0" w14:textId="39E312C9"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6,3</w:t>
            </w:r>
          </w:p>
        </w:tc>
        <w:tc>
          <w:tcPr>
            <w:tcW w:w="1243" w:type="dxa"/>
            <w:tcBorders>
              <w:top w:val="single" w:sz="4" w:space="0" w:color="auto"/>
              <w:left w:val="single" w:sz="4" w:space="0" w:color="auto"/>
              <w:bottom w:val="nil"/>
            </w:tcBorders>
            <w:shd w:val="clear" w:color="000000" w:fill="FFFFFF"/>
            <w:noWrap/>
            <w:vAlign w:val="bottom"/>
            <w:hideMark/>
          </w:tcPr>
          <w:p w14:paraId="5948EFAD" w14:textId="5DC5DF45"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9,3</w:t>
            </w:r>
          </w:p>
        </w:tc>
        <w:tc>
          <w:tcPr>
            <w:tcW w:w="1817" w:type="dxa"/>
            <w:tcBorders>
              <w:top w:val="single" w:sz="4" w:space="0" w:color="auto"/>
              <w:bottom w:val="nil"/>
              <w:right w:val="single" w:sz="4" w:space="0" w:color="auto"/>
            </w:tcBorders>
            <w:shd w:val="clear" w:color="000000" w:fill="FFFFFF"/>
            <w:noWrap/>
            <w:vAlign w:val="bottom"/>
            <w:hideMark/>
          </w:tcPr>
          <w:p w14:paraId="5E1F9ABC" w14:textId="7A989E80"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5,3</w:t>
            </w:r>
          </w:p>
        </w:tc>
      </w:tr>
      <w:tr w:rsidR="0060214D" w:rsidRPr="007E1D16" w14:paraId="58FE38EA" w14:textId="77777777" w:rsidTr="00B03DA9">
        <w:trPr>
          <w:trHeight w:val="282"/>
        </w:trPr>
        <w:tc>
          <w:tcPr>
            <w:tcW w:w="2122" w:type="dxa"/>
            <w:tcBorders>
              <w:top w:val="nil"/>
              <w:left w:val="single" w:sz="4" w:space="0" w:color="auto"/>
              <w:bottom w:val="nil"/>
              <w:right w:val="single" w:sz="4" w:space="0" w:color="auto"/>
            </w:tcBorders>
            <w:shd w:val="clear" w:color="000000" w:fill="FFFFFF"/>
            <w:noWrap/>
            <w:vAlign w:val="bottom"/>
            <w:hideMark/>
          </w:tcPr>
          <w:p w14:paraId="3344F288"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Government Spending</w:t>
            </w:r>
          </w:p>
        </w:tc>
        <w:tc>
          <w:tcPr>
            <w:tcW w:w="1110" w:type="dxa"/>
            <w:tcBorders>
              <w:top w:val="nil"/>
              <w:left w:val="single" w:sz="4" w:space="0" w:color="auto"/>
              <w:bottom w:val="nil"/>
            </w:tcBorders>
            <w:shd w:val="clear" w:color="000000" w:fill="FFFFFF"/>
            <w:noWrap/>
            <w:vAlign w:val="bottom"/>
            <w:hideMark/>
          </w:tcPr>
          <w:p w14:paraId="77191EF3" w14:textId="0EBEBCC7"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7,6</w:t>
            </w:r>
          </w:p>
        </w:tc>
        <w:tc>
          <w:tcPr>
            <w:tcW w:w="1828" w:type="dxa"/>
            <w:tcBorders>
              <w:top w:val="nil"/>
              <w:bottom w:val="nil"/>
              <w:right w:val="single" w:sz="4" w:space="0" w:color="auto"/>
            </w:tcBorders>
            <w:shd w:val="clear" w:color="000000" w:fill="FFFFFF"/>
            <w:noWrap/>
            <w:vAlign w:val="bottom"/>
            <w:hideMark/>
          </w:tcPr>
          <w:p w14:paraId="19C53E6D" w14:textId="716CA9CC"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0,9</w:t>
            </w:r>
          </w:p>
        </w:tc>
        <w:tc>
          <w:tcPr>
            <w:tcW w:w="1243" w:type="dxa"/>
            <w:tcBorders>
              <w:top w:val="nil"/>
              <w:left w:val="single" w:sz="4" w:space="0" w:color="auto"/>
              <w:bottom w:val="nil"/>
            </w:tcBorders>
            <w:shd w:val="clear" w:color="000000" w:fill="FFFFFF"/>
            <w:noWrap/>
            <w:vAlign w:val="bottom"/>
            <w:hideMark/>
          </w:tcPr>
          <w:p w14:paraId="3EF88FAC" w14:textId="4D6CC3E1"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1,7</w:t>
            </w:r>
          </w:p>
        </w:tc>
        <w:tc>
          <w:tcPr>
            <w:tcW w:w="1817" w:type="dxa"/>
            <w:tcBorders>
              <w:top w:val="nil"/>
              <w:bottom w:val="nil"/>
              <w:right w:val="single" w:sz="4" w:space="0" w:color="auto"/>
            </w:tcBorders>
            <w:shd w:val="clear" w:color="000000" w:fill="FFFFFF"/>
            <w:noWrap/>
            <w:vAlign w:val="bottom"/>
            <w:hideMark/>
          </w:tcPr>
          <w:p w14:paraId="60AC9C8A" w14:textId="779F4B0E"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0,1</w:t>
            </w:r>
          </w:p>
        </w:tc>
      </w:tr>
      <w:tr w:rsidR="0060214D" w:rsidRPr="007E1D16" w14:paraId="6B23C989" w14:textId="77777777" w:rsidTr="00B03DA9">
        <w:trPr>
          <w:trHeight w:val="282"/>
        </w:trPr>
        <w:tc>
          <w:tcPr>
            <w:tcW w:w="2122" w:type="dxa"/>
            <w:tcBorders>
              <w:top w:val="nil"/>
              <w:left w:val="single" w:sz="4" w:space="0" w:color="auto"/>
              <w:bottom w:val="nil"/>
              <w:right w:val="single" w:sz="4" w:space="0" w:color="auto"/>
            </w:tcBorders>
            <w:shd w:val="clear" w:color="000000" w:fill="FFFFFF"/>
            <w:noWrap/>
            <w:vAlign w:val="bottom"/>
            <w:hideMark/>
          </w:tcPr>
          <w:p w14:paraId="2BDA6098"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Investment</w:t>
            </w:r>
          </w:p>
        </w:tc>
        <w:tc>
          <w:tcPr>
            <w:tcW w:w="1110" w:type="dxa"/>
            <w:tcBorders>
              <w:top w:val="nil"/>
              <w:left w:val="single" w:sz="4" w:space="0" w:color="auto"/>
              <w:bottom w:val="nil"/>
            </w:tcBorders>
            <w:shd w:val="clear" w:color="000000" w:fill="FFFFFF"/>
            <w:noWrap/>
            <w:vAlign w:val="bottom"/>
            <w:hideMark/>
          </w:tcPr>
          <w:p w14:paraId="73B87D29" w14:textId="28B520E4"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14,8</w:t>
            </w:r>
          </w:p>
        </w:tc>
        <w:tc>
          <w:tcPr>
            <w:tcW w:w="1828" w:type="dxa"/>
            <w:tcBorders>
              <w:top w:val="nil"/>
              <w:bottom w:val="nil"/>
              <w:right w:val="single" w:sz="4" w:space="0" w:color="auto"/>
            </w:tcBorders>
            <w:shd w:val="clear" w:color="000000" w:fill="FFFFFF"/>
            <w:noWrap/>
            <w:vAlign w:val="bottom"/>
            <w:hideMark/>
          </w:tcPr>
          <w:p w14:paraId="07A674DA" w14:textId="011F8E89"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3,9</w:t>
            </w:r>
          </w:p>
        </w:tc>
        <w:tc>
          <w:tcPr>
            <w:tcW w:w="1243" w:type="dxa"/>
            <w:tcBorders>
              <w:top w:val="nil"/>
              <w:left w:val="single" w:sz="4" w:space="0" w:color="auto"/>
              <w:bottom w:val="nil"/>
            </w:tcBorders>
            <w:shd w:val="clear" w:color="000000" w:fill="FFFFFF"/>
            <w:noWrap/>
            <w:vAlign w:val="bottom"/>
            <w:hideMark/>
          </w:tcPr>
          <w:p w14:paraId="17DD727D" w14:textId="03875B13"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10,7</w:t>
            </w:r>
          </w:p>
        </w:tc>
        <w:tc>
          <w:tcPr>
            <w:tcW w:w="1817" w:type="dxa"/>
            <w:tcBorders>
              <w:top w:val="nil"/>
              <w:bottom w:val="nil"/>
              <w:right w:val="single" w:sz="4" w:space="0" w:color="auto"/>
            </w:tcBorders>
            <w:shd w:val="clear" w:color="000000" w:fill="FFFFFF"/>
            <w:noWrap/>
            <w:vAlign w:val="bottom"/>
            <w:hideMark/>
          </w:tcPr>
          <w:p w14:paraId="257DEE18" w14:textId="561FE3EF"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3,1</w:t>
            </w:r>
          </w:p>
        </w:tc>
      </w:tr>
      <w:tr w:rsidR="0060214D" w:rsidRPr="007E1D16" w14:paraId="6692020B" w14:textId="77777777" w:rsidTr="00B03DA9">
        <w:trPr>
          <w:trHeight w:val="282"/>
        </w:trPr>
        <w:tc>
          <w:tcPr>
            <w:tcW w:w="2122" w:type="dxa"/>
            <w:tcBorders>
              <w:top w:val="nil"/>
              <w:left w:val="single" w:sz="4" w:space="0" w:color="auto"/>
              <w:bottom w:val="nil"/>
              <w:right w:val="single" w:sz="4" w:space="0" w:color="auto"/>
            </w:tcBorders>
            <w:shd w:val="clear" w:color="000000" w:fill="FFFFFF"/>
            <w:noWrap/>
            <w:vAlign w:val="bottom"/>
            <w:hideMark/>
          </w:tcPr>
          <w:p w14:paraId="56F77D29"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Change in Inventories</w:t>
            </w:r>
          </w:p>
        </w:tc>
        <w:tc>
          <w:tcPr>
            <w:tcW w:w="1110" w:type="dxa"/>
            <w:tcBorders>
              <w:top w:val="nil"/>
              <w:left w:val="single" w:sz="4" w:space="0" w:color="auto"/>
              <w:bottom w:val="nil"/>
            </w:tcBorders>
            <w:shd w:val="clear" w:color="000000" w:fill="FFFFFF"/>
            <w:noWrap/>
            <w:vAlign w:val="bottom"/>
            <w:hideMark/>
          </w:tcPr>
          <w:p w14:paraId="6F89796A" w14:textId="3AA21496"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 </w:t>
            </w:r>
          </w:p>
        </w:tc>
        <w:tc>
          <w:tcPr>
            <w:tcW w:w="1828" w:type="dxa"/>
            <w:tcBorders>
              <w:top w:val="nil"/>
              <w:bottom w:val="nil"/>
              <w:right w:val="single" w:sz="4" w:space="0" w:color="auto"/>
            </w:tcBorders>
            <w:shd w:val="clear" w:color="000000" w:fill="FFFFFF"/>
            <w:noWrap/>
            <w:vAlign w:val="bottom"/>
            <w:hideMark/>
          </w:tcPr>
          <w:p w14:paraId="0803CA74" w14:textId="53EB40DC"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0,1</w:t>
            </w:r>
          </w:p>
        </w:tc>
        <w:tc>
          <w:tcPr>
            <w:tcW w:w="1243" w:type="dxa"/>
            <w:tcBorders>
              <w:top w:val="nil"/>
              <w:left w:val="single" w:sz="4" w:space="0" w:color="auto"/>
              <w:bottom w:val="nil"/>
            </w:tcBorders>
            <w:shd w:val="clear" w:color="000000" w:fill="FFFFFF"/>
            <w:noWrap/>
            <w:vAlign w:val="bottom"/>
            <w:hideMark/>
          </w:tcPr>
          <w:p w14:paraId="147A69D5" w14:textId="1B5125ED"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 </w:t>
            </w:r>
          </w:p>
        </w:tc>
        <w:tc>
          <w:tcPr>
            <w:tcW w:w="1817" w:type="dxa"/>
            <w:tcBorders>
              <w:top w:val="nil"/>
              <w:bottom w:val="nil"/>
              <w:right w:val="single" w:sz="4" w:space="0" w:color="auto"/>
            </w:tcBorders>
            <w:shd w:val="clear" w:color="000000" w:fill="FFFFFF"/>
            <w:noWrap/>
            <w:vAlign w:val="bottom"/>
            <w:hideMark/>
          </w:tcPr>
          <w:p w14:paraId="373AD1DE" w14:textId="1C059EFE"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-2,3</w:t>
            </w:r>
          </w:p>
        </w:tc>
      </w:tr>
      <w:tr w:rsidR="0060214D" w:rsidRPr="007E1D16" w14:paraId="35B2F7C6" w14:textId="77777777" w:rsidTr="00B03DA9">
        <w:trPr>
          <w:trHeight w:val="282"/>
        </w:trPr>
        <w:tc>
          <w:tcPr>
            <w:tcW w:w="2122" w:type="dxa"/>
            <w:tcBorders>
              <w:top w:val="nil"/>
              <w:left w:val="single" w:sz="4" w:space="0" w:color="auto"/>
              <w:bottom w:val="nil"/>
              <w:right w:val="single" w:sz="4" w:space="0" w:color="auto"/>
            </w:tcBorders>
            <w:shd w:val="clear" w:color="000000" w:fill="FFFFFF"/>
            <w:noWrap/>
            <w:vAlign w:val="bottom"/>
            <w:hideMark/>
          </w:tcPr>
          <w:p w14:paraId="0A655C61"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Export</w:t>
            </w:r>
          </w:p>
        </w:tc>
        <w:tc>
          <w:tcPr>
            <w:tcW w:w="1110" w:type="dxa"/>
            <w:tcBorders>
              <w:top w:val="nil"/>
              <w:left w:val="single" w:sz="4" w:space="0" w:color="auto"/>
              <w:bottom w:val="nil"/>
            </w:tcBorders>
            <w:shd w:val="clear" w:color="000000" w:fill="FFFFFF"/>
            <w:noWrap/>
            <w:vAlign w:val="bottom"/>
            <w:hideMark/>
          </w:tcPr>
          <w:p w14:paraId="6D95BCCB" w14:textId="0D1A223F"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1,2</w:t>
            </w:r>
          </w:p>
        </w:tc>
        <w:tc>
          <w:tcPr>
            <w:tcW w:w="1828" w:type="dxa"/>
            <w:tcBorders>
              <w:top w:val="nil"/>
              <w:bottom w:val="nil"/>
              <w:right w:val="single" w:sz="4" w:space="0" w:color="auto"/>
            </w:tcBorders>
            <w:shd w:val="clear" w:color="000000" w:fill="FFFFFF"/>
            <w:noWrap/>
            <w:vAlign w:val="bottom"/>
            <w:hideMark/>
          </w:tcPr>
          <w:p w14:paraId="2478A37F" w14:textId="2D16F33A"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0,4</w:t>
            </w:r>
          </w:p>
        </w:tc>
        <w:tc>
          <w:tcPr>
            <w:tcW w:w="1243" w:type="dxa"/>
            <w:tcBorders>
              <w:top w:val="nil"/>
              <w:left w:val="single" w:sz="4" w:space="0" w:color="auto"/>
              <w:bottom w:val="nil"/>
            </w:tcBorders>
            <w:shd w:val="clear" w:color="000000" w:fill="FFFFFF"/>
            <w:noWrap/>
            <w:vAlign w:val="bottom"/>
            <w:hideMark/>
          </w:tcPr>
          <w:p w14:paraId="4324FA68" w14:textId="488ED8F7"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0,2</w:t>
            </w:r>
          </w:p>
        </w:tc>
        <w:tc>
          <w:tcPr>
            <w:tcW w:w="1817" w:type="dxa"/>
            <w:tcBorders>
              <w:top w:val="nil"/>
              <w:bottom w:val="nil"/>
              <w:right w:val="single" w:sz="4" w:space="0" w:color="auto"/>
            </w:tcBorders>
            <w:shd w:val="clear" w:color="000000" w:fill="FFFFFF"/>
            <w:noWrap/>
            <w:vAlign w:val="bottom"/>
            <w:hideMark/>
          </w:tcPr>
          <w:p w14:paraId="7CA73541" w14:textId="7899749D"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0,0</w:t>
            </w:r>
          </w:p>
        </w:tc>
      </w:tr>
      <w:tr w:rsidR="0060214D" w:rsidRPr="007E1D16" w14:paraId="5EB46F1E" w14:textId="77777777" w:rsidTr="00B03DA9">
        <w:trPr>
          <w:trHeight w:val="282"/>
        </w:trPr>
        <w:tc>
          <w:tcPr>
            <w:tcW w:w="2122" w:type="dxa"/>
            <w:tcBorders>
              <w:top w:val="nil"/>
              <w:left w:val="single" w:sz="4" w:space="0" w:color="auto"/>
              <w:bottom w:val="nil"/>
              <w:right w:val="single" w:sz="4" w:space="0" w:color="auto"/>
            </w:tcBorders>
            <w:shd w:val="clear" w:color="000000" w:fill="FFFFFF"/>
            <w:noWrap/>
            <w:vAlign w:val="bottom"/>
            <w:hideMark/>
          </w:tcPr>
          <w:p w14:paraId="2DD835D5"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Import</w:t>
            </w:r>
          </w:p>
        </w:tc>
        <w:tc>
          <w:tcPr>
            <w:tcW w:w="1110" w:type="dxa"/>
            <w:tcBorders>
              <w:top w:val="nil"/>
              <w:left w:val="single" w:sz="4" w:space="0" w:color="auto"/>
              <w:bottom w:val="nil"/>
            </w:tcBorders>
            <w:shd w:val="clear" w:color="000000" w:fill="FFFFFF"/>
            <w:noWrap/>
            <w:vAlign w:val="bottom"/>
            <w:hideMark/>
          </w:tcPr>
          <w:p w14:paraId="5A95EA1E" w14:textId="6906C62E"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14,5</w:t>
            </w:r>
          </w:p>
        </w:tc>
        <w:tc>
          <w:tcPr>
            <w:tcW w:w="1828" w:type="dxa"/>
            <w:tcBorders>
              <w:top w:val="nil"/>
              <w:bottom w:val="nil"/>
              <w:right w:val="single" w:sz="4" w:space="0" w:color="auto"/>
            </w:tcBorders>
            <w:shd w:val="clear" w:color="000000" w:fill="FFFFFF"/>
            <w:noWrap/>
            <w:vAlign w:val="bottom"/>
            <w:hideMark/>
          </w:tcPr>
          <w:p w14:paraId="44437483" w14:textId="13AD649C"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-5,7</w:t>
            </w:r>
          </w:p>
        </w:tc>
        <w:tc>
          <w:tcPr>
            <w:tcW w:w="1243" w:type="dxa"/>
            <w:tcBorders>
              <w:top w:val="nil"/>
              <w:left w:val="single" w:sz="4" w:space="0" w:color="auto"/>
              <w:bottom w:val="nil"/>
            </w:tcBorders>
            <w:shd w:val="clear" w:color="000000" w:fill="FFFFFF"/>
            <w:noWrap/>
            <w:vAlign w:val="bottom"/>
            <w:hideMark/>
          </w:tcPr>
          <w:p w14:paraId="6AD9A9D7" w14:textId="635134A8"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2,7</w:t>
            </w:r>
          </w:p>
        </w:tc>
        <w:tc>
          <w:tcPr>
            <w:tcW w:w="1817" w:type="dxa"/>
            <w:tcBorders>
              <w:top w:val="nil"/>
              <w:bottom w:val="nil"/>
              <w:right w:val="single" w:sz="4" w:space="0" w:color="auto"/>
            </w:tcBorders>
            <w:shd w:val="clear" w:color="000000" w:fill="FFFFFF"/>
            <w:noWrap/>
            <w:vAlign w:val="bottom"/>
            <w:hideMark/>
          </w:tcPr>
          <w:p w14:paraId="3B559EA8" w14:textId="5A9495D1"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-2,3</w:t>
            </w:r>
          </w:p>
        </w:tc>
      </w:tr>
      <w:tr w:rsidR="0060214D" w:rsidRPr="007E1D16" w14:paraId="34305EA8" w14:textId="77777777" w:rsidTr="00B03DA9">
        <w:trPr>
          <w:trHeight w:val="315"/>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4B17B4CE" w14:textId="77777777" w:rsidR="0060214D" w:rsidRPr="007E1D16" w:rsidRDefault="0060214D" w:rsidP="0060214D">
            <w:pPr>
              <w:rPr>
                <w:rFonts w:ascii="Calibri" w:hAnsi="Calibri" w:cs="Calibri"/>
                <w:b/>
                <w:bCs/>
                <w:color w:val="000000"/>
                <w:sz w:val="20"/>
                <w:szCs w:val="20"/>
              </w:rPr>
            </w:pPr>
            <w:r w:rsidRPr="007E1D16">
              <w:rPr>
                <w:rFonts w:ascii="Calibri" w:hAnsi="Calibri" w:cs="Calibri"/>
                <w:b/>
                <w:bCs/>
                <w:color w:val="000000"/>
                <w:sz w:val="20"/>
                <w:szCs w:val="20"/>
              </w:rPr>
              <w:t>GDP</w:t>
            </w:r>
          </w:p>
        </w:tc>
        <w:tc>
          <w:tcPr>
            <w:tcW w:w="1110" w:type="dxa"/>
            <w:tcBorders>
              <w:top w:val="nil"/>
              <w:left w:val="single" w:sz="4" w:space="0" w:color="auto"/>
              <w:bottom w:val="single" w:sz="4" w:space="0" w:color="auto"/>
            </w:tcBorders>
            <w:shd w:val="clear" w:color="000000" w:fill="FFFFFF"/>
            <w:noWrap/>
            <w:vAlign w:val="bottom"/>
            <w:hideMark/>
          </w:tcPr>
          <w:p w14:paraId="678013AE" w14:textId="04810A09"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6,1</w:t>
            </w:r>
          </w:p>
        </w:tc>
        <w:tc>
          <w:tcPr>
            <w:tcW w:w="1828" w:type="dxa"/>
            <w:tcBorders>
              <w:top w:val="nil"/>
              <w:bottom w:val="single" w:sz="4" w:space="0" w:color="auto"/>
              <w:right w:val="single" w:sz="4" w:space="0" w:color="auto"/>
            </w:tcBorders>
            <w:shd w:val="clear" w:color="000000" w:fill="FFFFFF"/>
            <w:noWrap/>
            <w:vAlign w:val="bottom"/>
            <w:hideMark/>
          </w:tcPr>
          <w:p w14:paraId="377FFA0A" w14:textId="4696BFE4"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 </w:t>
            </w:r>
          </w:p>
        </w:tc>
        <w:tc>
          <w:tcPr>
            <w:tcW w:w="1243" w:type="dxa"/>
            <w:tcBorders>
              <w:top w:val="nil"/>
              <w:left w:val="single" w:sz="4" w:space="0" w:color="auto"/>
              <w:bottom w:val="single" w:sz="4" w:space="0" w:color="auto"/>
            </w:tcBorders>
            <w:shd w:val="clear" w:color="000000" w:fill="FFFFFF"/>
            <w:noWrap/>
            <w:vAlign w:val="bottom"/>
            <w:hideMark/>
          </w:tcPr>
          <w:p w14:paraId="43A826D4" w14:textId="2BF8B667"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4,0</w:t>
            </w:r>
          </w:p>
        </w:tc>
        <w:tc>
          <w:tcPr>
            <w:tcW w:w="1817" w:type="dxa"/>
            <w:tcBorders>
              <w:top w:val="nil"/>
              <w:bottom w:val="single" w:sz="4" w:space="0" w:color="auto"/>
              <w:right w:val="single" w:sz="4" w:space="0" w:color="auto"/>
            </w:tcBorders>
            <w:shd w:val="clear" w:color="000000" w:fill="FFFFFF"/>
            <w:noWrap/>
            <w:vAlign w:val="bottom"/>
            <w:hideMark/>
          </w:tcPr>
          <w:p w14:paraId="24E65AA6" w14:textId="1193D1CC" w:rsidR="0060214D" w:rsidRPr="007E1D16" w:rsidRDefault="0060214D" w:rsidP="0060214D">
            <w:pPr>
              <w:jc w:val="center"/>
              <w:rPr>
                <w:rFonts w:ascii="Calibri" w:hAnsi="Calibri" w:cs="Calibri"/>
                <w:color w:val="000000"/>
                <w:sz w:val="20"/>
                <w:szCs w:val="20"/>
              </w:rPr>
            </w:pPr>
            <w:r>
              <w:rPr>
                <w:rFonts w:ascii="Calibri" w:hAnsi="Calibri" w:cs="Calibri"/>
                <w:color w:val="000000"/>
                <w:sz w:val="20"/>
                <w:szCs w:val="20"/>
              </w:rPr>
              <w:t> </w:t>
            </w:r>
          </w:p>
        </w:tc>
      </w:tr>
    </w:tbl>
    <w:p w14:paraId="06E46BDB" w14:textId="3EAC3064" w:rsidR="00311EFF"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4566559" w14:textId="3DC71D0A" w:rsidR="00EB2543" w:rsidRPr="006679E6" w:rsidRDefault="00EB2543" w:rsidP="00405BD8">
      <w:pPr>
        <w:keepLines/>
        <w:widowControl w:val="0"/>
        <w:rPr>
          <w:rFonts w:ascii="Palatino Linotype" w:hAnsi="Palatino Linotype" w:cstheme="minorHAnsi"/>
          <w:sz w:val="18"/>
          <w:szCs w:val="18"/>
          <w:lang w:val="en-US"/>
        </w:rPr>
      </w:pPr>
    </w:p>
    <w:p w14:paraId="3CBA6B9B" w14:textId="1A7D57E6"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2: Growth rates and contributions to the </w:t>
      </w:r>
      <w:r w:rsidR="00114BBE">
        <w:rPr>
          <w:rFonts w:ascii="Palatino Linotype" w:hAnsi="Palatino Linotype" w:cstheme="minorHAnsi"/>
          <w:b/>
          <w:bCs/>
          <w:sz w:val="22"/>
          <w:szCs w:val="22"/>
          <w:lang w:val="en-US"/>
        </w:rPr>
        <w:t>growth of GDP components in 202</w:t>
      </w:r>
      <w:r w:rsidR="00F05E1C">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Q</w:t>
      </w:r>
      <w:r w:rsidR="00017E91">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and 202</w:t>
      </w:r>
      <w:r w:rsidR="00F05E1C">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Q</w:t>
      </w:r>
      <w:r w:rsidR="00017E91">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compared to the previous quarter</w:t>
      </w:r>
    </w:p>
    <w:tbl>
      <w:tblPr>
        <w:tblW w:w="8120" w:type="dxa"/>
        <w:tblCellMar>
          <w:left w:w="70" w:type="dxa"/>
          <w:right w:w="70" w:type="dxa"/>
        </w:tblCellMar>
        <w:tblLook w:val="04A0" w:firstRow="1" w:lastRow="0" w:firstColumn="1" w:lastColumn="0" w:noHBand="0" w:noVBand="1"/>
      </w:tblPr>
      <w:tblGrid>
        <w:gridCol w:w="2122"/>
        <w:gridCol w:w="1110"/>
        <w:gridCol w:w="1828"/>
        <w:gridCol w:w="1243"/>
        <w:gridCol w:w="1817"/>
      </w:tblGrid>
      <w:tr w:rsidR="00017E91" w:rsidRPr="00017E91" w14:paraId="1C5A88F1" w14:textId="77777777" w:rsidTr="00ED5301">
        <w:trPr>
          <w:trHeight w:val="282"/>
        </w:trPr>
        <w:tc>
          <w:tcPr>
            <w:tcW w:w="2122" w:type="dxa"/>
            <w:tcBorders>
              <w:top w:val="single" w:sz="4" w:space="0" w:color="auto"/>
              <w:left w:val="single" w:sz="4" w:space="0" w:color="auto"/>
              <w:bottom w:val="nil"/>
              <w:right w:val="nil"/>
            </w:tcBorders>
            <w:shd w:val="clear" w:color="000000" w:fill="FFFFFF"/>
            <w:noWrap/>
            <w:vAlign w:val="bottom"/>
            <w:hideMark/>
          </w:tcPr>
          <w:p w14:paraId="1CAF8BF8" w14:textId="77777777" w:rsidR="00017E91" w:rsidRPr="00017E91" w:rsidRDefault="00017E91" w:rsidP="00017E91">
            <w:pPr>
              <w:rPr>
                <w:rFonts w:ascii="Calibri" w:hAnsi="Calibri" w:cs="Calibri"/>
                <w:b/>
                <w:bCs/>
                <w:color w:val="000000"/>
                <w:sz w:val="20"/>
                <w:szCs w:val="20"/>
              </w:rPr>
            </w:pPr>
            <w:r w:rsidRPr="00017E91">
              <w:rPr>
                <w:rFonts w:ascii="Calibri" w:hAnsi="Calibri" w:cs="Calibri"/>
                <w:b/>
                <w:bCs/>
                <w:color w:val="000000"/>
                <w:sz w:val="20"/>
                <w:szCs w:val="20"/>
              </w:rPr>
              <w:t> </w:t>
            </w:r>
          </w:p>
        </w:tc>
        <w:tc>
          <w:tcPr>
            <w:tcW w:w="2938"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996EC8" w14:textId="26CF6565" w:rsidR="00017E91" w:rsidRPr="00017E91" w:rsidRDefault="00017E91" w:rsidP="00017E91">
            <w:pPr>
              <w:jc w:val="center"/>
              <w:rPr>
                <w:rFonts w:ascii="Calibri" w:hAnsi="Calibri" w:cs="Calibri"/>
                <w:b/>
                <w:bCs/>
                <w:color w:val="000000"/>
                <w:sz w:val="20"/>
                <w:szCs w:val="20"/>
              </w:rPr>
            </w:pPr>
            <w:r w:rsidRPr="00017E91">
              <w:rPr>
                <w:rFonts w:ascii="Calibri" w:hAnsi="Calibri" w:cs="Calibri"/>
                <w:b/>
                <w:bCs/>
                <w:color w:val="000000"/>
                <w:sz w:val="20"/>
                <w:szCs w:val="20"/>
              </w:rPr>
              <w:t>202</w:t>
            </w:r>
            <w:r w:rsidR="00BE070F">
              <w:rPr>
                <w:rFonts w:ascii="Calibri" w:hAnsi="Calibri" w:cs="Calibri"/>
                <w:b/>
                <w:bCs/>
                <w:color w:val="000000"/>
                <w:sz w:val="20"/>
                <w:szCs w:val="20"/>
              </w:rPr>
              <w:t>3</w:t>
            </w:r>
            <w:r w:rsidRPr="00017E91">
              <w:rPr>
                <w:rFonts w:ascii="Calibri" w:hAnsi="Calibri" w:cs="Calibri"/>
                <w:b/>
                <w:bCs/>
                <w:color w:val="000000"/>
                <w:sz w:val="20"/>
                <w:szCs w:val="20"/>
              </w:rPr>
              <w:t>Q3</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A3B9F49" w14:textId="0BBC5BDC" w:rsidR="00017E91" w:rsidRPr="00017E91" w:rsidRDefault="00017E91" w:rsidP="00017E91">
            <w:pPr>
              <w:jc w:val="center"/>
              <w:rPr>
                <w:rFonts w:ascii="Calibri" w:hAnsi="Calibri" w:cs="Calibri"/>
                <w:b/>
                <w:bCs/>
                <w:color w:val="000000"/>
                <w:sz w:val="20"/>
                <w:szCs w:val="20"/>
              </w:rPr>
            </w:pPr>
            <w:r w:rsidRPr="00017E91">
              <w:rPr>
                <w:rFonts w:ascii="Calibri" w:hAnsi="Calibri" w:cs="Calibri"/>
                <w:b/>
                <w:bCs/>
                <w:color w:val="000000"/>
                <w:sz w:val="20"/>
                <w:szCs w:val="20"/>
              </w:rPr>
              <w:t>202</w:t>
            </w:r>
            <w:r w:rsidR="00BE070F">
              <w:rPr>
                <w:rFonts w:ascii="Calibri" w:hAnsi="Calibri" w:cs="Calibri"/>
                <w:b/>
                <w:bCs/>
                <w:color w:val="000000"/>
                <w:sz w:val="20"/>
                <w:szCs w:val="20"/>
              </w:rPr>
              <w:t>3</w:t>
            </w:r>
            <w:r w:rsidRPr="00017E91">
              <w:rPr>
                <w:rFonts w:ascii="Calibri" w:hAnsi="Calibri" w:cs="Calibri"/>
                <w:b/>
                <w:bCs/>
                <w:color w:val="000000"/>
                <w:sz w:val="20"/>
                <w:szCs w:val="20"/>
              </w:rPr>
              <w:t>Q4</w:t>
            </w:r>
          </w:p>
        </w:tc>
      </w:tr>
      <w:tr w:rsidR="00017E91" w:rsidRPr="00017E91" w14:paraId="66894D1D" w14:textId="77777777" w:rsidTr="00ED5301">
        <w:trPr>
          <w:trHeight w:val="282"/>
        </w:trPr>
        <w:tc>
          <w:tcPr>
            <w:tcW w:w="2122" w:type="dxa"/>
            <w:tcBorders>
              <w:top w:val="nil"/>
              <w:left w:val="single" w:sz="4" w:space="0" w:color="auto"/>
              <w:bottom w:val="single" w:sz="4" w:space="0" w:color="auto"/>
              <w:right w:val="nil"/>
            </w:tcBorders>
            <w:shd w:val="clear" w:color="000000" w:fill="FFFFFF"/>
            <w:noWrap/>
            <w:vAlign w:val="bottom"/>
            <w:hideMark/>
          </w:tcPr>
          <w:p w14:paraId="58443BB9" w14:textId="77777777" w:rsidR="00017E91" w:rsidRPr="00017E91" w:rsidRDefault="00017E91" w:rsidP="00017E91">
            <w:pPr>
              <w:rPr>
                <w:rFonts w:ascii="Calibri" w:hAnsi="Calibri" w:cs="Calibri"/>
                <w:b/>
                <w:bCs/>
                <w:color w:val="000000"/>
                <w:sz w:val="20"/>
                <w:szCs w:val="20"/>
              </w:rPr>
            </w:pPr>
            <w:r w:rsidRPr="00017E91">
              <w:rPr>
                <w:rFonts w:ascii="Calibri" w:hAnsi="Calibri" w:cs="Calibri"/>
                <w:b/>
                <w:bCs/>
                <w:color w:val="000000"/>
                <w:sz w:val="20"/>
                <w:szCs w:val="20"/>
              </w:rPr>
              <w:t> </w:t>
            </w:r>
          </w:p>
        </w:tc>
        <w:tc>
          <w:tcPr>
            <w:tcW w:w="1110" w:type="dxa"/>
            <w:tcBorders>
              <w:top w:val="nil"/>
              <w:left w:val="single" w:sz="4" w:space="0" w:color="auto"/>
              <w:bottom w:val="single" w:sz="4" w:space="0" w:color="auto"/>
              <w:right w:val="nil"/>
            </w:tcBorders>
            <w:shd w:val="clear" w:color="000000" w:fill="FFFFFF"/>
            <w:noWrap/>
            <w:vAlign w:val="bottom"/>
            <w:hideMark/>
          </w:tcPr>
          <w:p w14:paraId="4CB40E8F" w14:textId="77777777" w:rsidR="00017E91" w:rsidRPr="00017E91" w:rsidRDefault="00017E91" w:rsidP="00017E91">
            <w:pPr>
              <w:jc w:val="center"/>
              <w:rPr>
                <w:rFonts w:ascii="Calibri" w:hAnsi="Calibri" w:cs="Calibri"/>
                <w:b/>
                <w:bCs/>
                <w:color w:val="000000"/>
                <w:sz w:val="20"/>
                <w:szCs w:val="20"/>
              </w:rPr>
            </w:pPr>
            <w:r w:rsidRPr="00017E91">
              <w:rPr>
                <w:rFonts w:ascii="Calibri" w:hAnsi="Calibri" w:cs="Calibri"/>
                <w:b/>
                <w:bCs/>
                <w:color w:val="000000"/>
                <w:sz w:val="20"/>
                <w:szCs w:val="20"/>
              </w:rPr>
              <w:t>Change (%)</w:t>
            </w:r>
          </w:p>
        </w:tc>
        <w:tc>
          <w:tcPr>
            <w:tcW w:w="1828" w:type="dxa"/>
            <w:tcBorders>
              <w:top w:val="nil"/>
              <w:left w:val="nil"/>
              <w:bottom w:val="nil"/>
              <w:right w:val="single" w:sz="4" w:space="0" w:color="auto"/>
            </w:tcBorders>
            <w:shd w:val="clear" w:color="000000" w:fill="FFFFFF"/>
            <w:noWrap/>
            <w:vAlign w:val="bottom"/>
            <w:hideMark/>
          </w:tcPr>
          <w:p w14:paraId="329F626F" w14:textId="77777777" w:rsidR="00017E91" w:rsidRPr="00017E91" w:rsidRDefault="00017E91" w:rsidP="00017E91">
            <w:pPr>
              <w:jc w:val="center"/>
              <w:rPr>
                <w:rFonts w:ascii="Calibri" w:hAnsi="Calibri" w:cs="Calibri"/>
                <w:b/>
                <w:bCs/>
                <w:color w:val="000000"/>
                <w:sz w:val="20"/>
                <w:szCs w:val="20"/>
              </w:rPr>
            </w:pPr>
            <w:r w:rsidRPr="00017E91">
              <w:rPr>
                <w:rFonts w:ascii="Calibri" w:hAnsi="Calibri" w:cs="Calibri"/>
                <w:b/>
                <w:bCs/>
                <w:color w:val="000000"/>
                <w:sz w:val="20"/>
                <w:szCs w:val="20"/>
              </w:rPr>
              <w:t>Contribution (%)</w:t>
            </w:r>
          </w:p>
        </w:tc>
        <w:tc>
          <w:tcPr>
            <w:tcW w:w="1243" w:type="dxa"/>
            <w:tcBorders>
              <w:top w:val="nil"/>
              <w:left w:val="nil"/>
              <w:bottom w:val="nil"/>
              <w:right w:val="nil"/>
            </w:tcBorders>
            <w:shd w:val="clear" w:color="000000" w:fill="FFFFFF"/>
            <w:noWrap/>
            <w:vAlign w:val="bottom"/>
            <w:hideMark/>
          </w:tcPr>
          <w:p w14:paraId="2790180A" w14:textId="77777777" w:rsidR="00017E91" w:rsidRPr="00017E91" w:rsidRDefault="00017E91" w:rsidP="00017E91">
            <w:pPr>
              <w:jc w:val="center"/>
              <w:rPr>
                <w:rFonts w:ascii="Calibri" w:hAnsi="Calibri" w:cs="Calibri"/>
                <w:b/>
                <w:bCs/>
                <w:color w:val="000000"/>
                <w:sz w:val="20"/>
                <w:szCs w:val="20"/>
              </w:rPr>
            </w:pPr>
            <w:r w:rsidRPr="00017E91">
              <w:rPr>
                <w:rFonts w:ascii="Calibri" w:hAnsi="Calibri" w:cs="Calibri"/>
                <w:b/>
                <w:bCs/>
                <w:color w:val="000000"/>
                <w:sz w:val="20"/>
                <w:szCs w:val="20"/>
              </w:rPr>
              <w:t>Change (%)</w:t>
            </w:r>
          </w:p>
        </w:tc>
        <w:tc>
          <w:tcPr>
            <w:tcW w:w="1817" w:type="dxa"/>
            <w:tcBorders>
              <w:top w:val="nil"/>
              <w:left w:val="nil"/>
              <w:bottom w:val="nil"/>
              <w:right w:val="single" w:sz="4" w:space="0" w:color="auto"/>
            </w:tcBorders>
            <w:shd w:val="clear" w:color="000000" w:fill="FFFFFF"/>
            <w:noWrap/>
            <w:vAlign w:val="bottom"/>
            <w:hideMark/>
          </w:tcPr>
          <w:p w14:paraId="5DF6F7B2" w14:textId="77777777" w:rsidR="00017E91" w:rsidRPr="00017E91" w:rsidRDefault="00017E91" w:rsidP="00017E91">
            <w:pPr>
              <w:jc w:val="center"/>
              <w:rPr>
                <w:rFonts w:ascii="Calibri" w:hAnsi="Calibri" w:cs="Calibri"/>
                <w:b/>
                <w:bCs/>
                <w:color w:val="000000"/>
                <w:sz w:val="20"/>
                <w:szCs w:val="20"/>
              </w:rPr>
            </w:pPr>
            <w:r w:rsidRPr="00017E91">
              <w:rPr>
                <w:rFonts w:ascii="Calibri" w:hAnsi="Calibri" w:cs="Calibri"/>
                <w:b/>
                <w:bCs/>
                <w:color w:val="000000"/>
                <w:sz w:val="20"/>
                <w:szCs w:val="20"/>
              </w:rPr>
              <w:t>Contribution (%)</w:t>
            </w:r>
          </w:p>
        </w:tc>
      </w:tr>
      <w:tr w:rsidR="0018090D" w:rsidRPr="00017E91" w14:paraId="0E0895CA" w14:textId="77777777" w:rsidTr="00ED5301">
        <w:trPr>
          <w:trHeight w:val="282"/>
        </w:trPr>
        <w:tc>
          <w:tcPr>
            <w:tcW w:w="2122" w:type="dxa"/>
            <w:tcBorders>
              <w:top w:val="single" w:sz="4" w:space="0" w:color="auto"/>
              <w:left w:val="single" w:sz="4" w:space="0" w:color="auto"/>
              <w:bottom w:val="nil"/>
              <w:right w:val="nil"/>
            </w:tcBorders>
            <w:shd w:val="clear" w:color="000000" w:fill="FFFFFF"/>
            <w:noWrap/>
            <w:vAlign w:val="bottom"/>
            <w:hideMark/>
          </w:tcPr>
          <w:p w14:paraId="3C604F7D"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Consumption</w:t>
            </w:r>
          </w:p>
        </w:tc>
        <w:tc>
          <w:tcPr>
            <w:tcW w:w="1110" w:type="dxa"/>
            <w:tcBorders>
              <w:top w:val="nil"/>
              <w:left w:val="single" w:sz="4" w:space="0" w:color="auto"/>
              <w:bottom w:val="nil"/>
              <w:right w:val="nil"/>
            </w:tcBorders>
            <w:shd w:val="clear" w:color="000000" w:fill="FFFFFF"/>
            <w:noWrap/>
            <w:vAlign w:val="bottom"/>
            <w:hideMark/>
          </w:tcPr>
          <w:p w14:paraId="55D65536" w14:textId="771CA62C"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-1,7</w:t>
            </w:r>
          </w:p>
        </w:tc>
        <w:tc>
          <w:tcPr>
            <w:tcW w:w="1828" w:type="dxa"/>
            <w:tcBorders>
              <w:top w:val="single" w:sz="4" w:space="0" w:color="auto"/>
              <w:left w:val="nil"/>
              <w:bottom w:val="nil"/>
              <w:right w:val="single" w:sz="4" w:space="0" w:color="auto"/>
            </w:tcBorders>
            <w:shd w:val="clear" w:color="000000" w:fill="FFFFFF"/>
            <w:noWrap/>
            <w:vAlign w:val="bottom"/>
            <w:hideMark/>
          </w:tcPr>
          <w:p w14:paraId="1A8FDA8D" w14:textId="5FCE912F"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-1,0</w:t>
            </w:r>
          </w:p>
        </w:tc>
        <w:tc>
          <w:tcPr>
            <w:tcW w:w="1243" w:type="dxa"/>
            <w:tcBorders>
              <w:top w:val="single" w:sz="4" w:space="0" w:color="auto"/>
              <w:left w:val="nil"/>
              <w:bottom w:val="nil"/>
              <w:right w:val="nil"/>
            </w:tcBorders>
            <w:shd w:val="clear" w:color="000000" w:fill="FFFFFF"/>
            <w:noWrap/>
            <w:vAlign w:val="bottom"/>
            <w:hideMark/>
          </w:tcPr>
          <w:p w14:paraId="1BC01636" w14:textId="4F78A46D"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3,6</w:t>
            </w:r>
          </w:p>
        </w:tc>
        <w:tc>
          <w:tcPr>
            <w:tcW w:w="1817" w:type="dxa"/>
            <w:tcBorders>
              <w:top w:val="single" w:sz="4" w:space="0" w:color="auto"/>
              <w:left w:val="nil"/>
              <w:bottom w:val="nil"/>
              <w:right w:val="single" w:sz="4" w:space="0" w:color="auto"/>
            </w:tcBorders>
            <w:shd w:val="clear" w:color="000000" w:fill="FFFFFF"/>
            <w:noWrap/>
            <w:vAlign w:val="bottom"/>
            <w:hideMark/>
          </w:tcPr>
          <w:p w14:paraId="3320D7EE" w14:textId="203026D0"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2,2</w:t>
            </w:r>
          </w:p>
        </w:tc>
      </w:tr>
      <w:tr w:rsidR="0018090D" w:rsidRPr="00017E91" w14:paraId="2267738F" w14:textId="77777777" w:rsidTr="00ED5301">
        <w:trPr>
          <w:trHeight w:val="282"/>
        </w:trPr>
        <w:tc>
          <w:tcPr>
            <w:tcW w:w="2122" w:type="dxa"/>
            <w:tcBorders>
              <w:top w:val="nil"/>
              <w:left w:val="single" w:sz="4" w:space="0" w:color="auto"/>
              <w:bottom w:val="nil"/>
              <w:right w:val="nil"/>
            </w:tcBorders>
            <w:shd w:val="clear" w:color="000000" w:fill="FFFFFF"/>
            <w:noWrap/>
            <w:vAlign w:val="bottom"/>
            <w:hideMark/>
          </w:tcPr>
          <w:p w14:paraId="7A670F11"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Government Spending</w:t>
            </w:r>
          </w:p>
        </w:tc>
        <w:tc>
          <w:tcPr>
            <w:tcW w:w="1110" w:type="dxa"/>
            <w:tcBorders>
              <w:top w:val="nil"/>
              <w:left w:val="single" w:sz="4" w:space="0" w:color="auto"/>
              <w:bottom w:val="nil"/>
              <w:right w:val="nil"/>
            </w:tcBorders>
            <w:shd w:val="clear" w:color="000000" w:fill="FFFFFF"/>
            <w:noWrap/>
            <w:vAlign w:val="bottom"/>
            <w:hideMark/>
          </w:tcPr>
          <w:p w14:paraId="5EB9F137" w14:textId="2CAB9F80"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2,6</w:t>
            </w:r>
          </w:p>
        </w:tc>
        <w:tc>
          <w:tcPr>
            <w:tcW w:w="1828" w:type="dxa"/>
            <w:tcBorders>
              <w:top w:val="nil"/>
              <w:left w:val="nil"/>
              <w:bottom w:val="nil"/>
              <w:right w:val="single" w:sz="4" w:space="0" w:color="auto"/>
            </w:tcBorders>
            <w:shd w:val="clear" w:color="000000" w:fill="FFFFFF"/>
            <w:noWrap/>
            <w:vAlign w:val="bottom"/>
            <w:hideMark/>
          </w:tcPr>
          <w:p w14:paraId="1E67B681" w14:textId="1BCDFFC9"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0,3</w:t>
            </w:r>
          </w:p>
        </w:tc>
        <w:tc>
          <w:tcPr>
            <w:tcW w:w="1243" w:type="dxa"/>
            <w:tcBorders>
              <w:top w:val="nil"/>
              <w:left w:val="nil"/>
              <w:bottom w:val="nil"/>
              <w:right w:val="nil"/>
            </w:tcBorders>
            <w:shd w:val="clear" w:color="000000" w:fill="FFFFFF"/>
            <w:noWrap/>
            <w:vAlign w:val="bottom"/>
            <w:hideMark/>
          </w:tcPr>
          <w:p w14:paraId="0BD13F72" w14:textId="00A95180"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-4,3</w:t>
            </w:r>
          </w:p>
        </w:tc>
        <w:tc>
          <w:tcPr>
            <w:tcW w:w="1817" w:type="dxa"/>
            <w:tcBorders>
              <w:top w:val="nil"/>
              <w:left w:val="nil"/>
              <w:bottom w:val="nil"/>
              <w:right w:val="single" w:sz="4" w:space="0" w:color="auto"/>
            </w:tcBorders>
            <w:shd w:val="clear" w:color="000000" w:fill="FFFFFF"/>
            <w:noWrap/>
            <w:vAlign w:val="bottom"/>
            <w:hideMark/>
          </w:tcPr>
          <w:p w14:paraId="757B9DF3" w14:textId="27604DAF"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-0,5</w:t>
            </w:r>
          </w:p>
        </w:tc>
      </w:tr>
      <w:tr w:rsidR="0018090D" w:rsidRPr="00017E91" w14:paraId="1A559FD2" w14:textId="77777777" w:rsidTr="00ED5301">
        <w:trPr>
          <w:trHeight w:val="282"/>
        </w:trPr>
        <w:tc>
          <w:tcPr>
            <w:tcW w:w="2122" w:type="dxa"/>
            <w:tcBorders>
              <w:top w:val="nil"/>
              <w:left w:val="single" w:sz="4" w:space="0" w:color="auto"/>
              <w:bottom w:val="nil"/>
              <w:right w:val="nil"/>
            </w:tcBorders>
            <w:shd w:val="clear" w:color="000000" w:fill="FFFFFF"/>
            <w:noWrap/>
            <w:vAlign w:val="bottom"/>
            <w:hideMark/>
          </w:tcPr>
          <w:p w14:paraId="75C8E739"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Investment</w:t>
            </w:r>
          </w:p>
        </w:tc>
        <w:tc>
          <w:tcPr>
            <w:tcW w:w="1110" w:type="dxa"/>
            <w:tcBorders>
              <w:top w:val="nil"/>
              <w:left w:val="single" w:sz="4" w:space="0" w:color="auto"/>
              <w:bottom w:val="nil"/>
              <w:right w:val="nil"/>
            </w:tcBorders>
            <w:shd w:val="clear" w:color="000000" w:fill="FFFFFF"/>
            <w:noWrap/>
            <w:vAlign w:val="bottom"/>
            <w:hideMark/>
          </w:tcPr>
          <w:p w14:paraId="375B7157" w14:textId="37B37CED"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4,9</w:t>
            </w:r>
          </w:p>
        </w:tc>
        <w:tc>
          <w:tcPr>
            <w:tcW w:w="1828" w:type="dxa"/>
            <w:tcBorders>
              <w:top w:val="nil"/>
              <w:left w:val="nil"/>
              <w:bottom w:val="nil"/>
              <w:right w:val="single" w:sz="4" w:space="0" w:color="auto"/>
            </w:tcBorders>
            <w:shd w:val="clear" w:color="000000" w:fill="FFFFFF"/>
            <w:noWrap/>
            <w:vAlign w:val="bottom"/>
            <w:hideMark/>
          </w:tcPr>
          <w:p w14:paraId="4A17E55B" w14:textId="6CEEE383"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1,5</w:t>
            </w:r>
          </w:p>
        </w:tc>
        <w:tc>
          <w:tcPr>
            <w:tcW w:w="1243" w:type="dxa"/>
            <w:tcBorders>
              <w:top w:val="nil"/>
              <w:left w:val="nil"/>
              <w:bottom w:val="nil"/>
              <w:right w:val="nil"/>
            </w:tcBorders>
            <w:shd w:val="clear" w:color="000000" w:fill="FFFFFF"/>
            <w:noWrap/>
            <w:vAlign w:val="bottom"/>
            <w:hideMark/>
          </w:tcPr>
          <w:p w14:paraId="11C6AA3B" w14:textId="0C9D9D54"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-0,8</w:t>
            </w:r>
          </w:p>
        </w:tc>
        <w:tc>
          <w:tcPr>
            <w:tcW w:w="1817" w:type="dxa"/>
            <w:tcBorders>
              <w:top w:val="nil"/>
              <w:left w:val="nil"/>
              <w:bottom w:val="nil"/>
              <w:right w:val="single" w:sz="4" w:space="0" w:color="auto"/>
            </w:tcBorders>
            <w:shd w:val="clear" w:color="000000" w:fill="FFFFFF"/>
            <w:noWrap/>
            <w:vAlign w:val="bottom"/>
            <w:hideMark/>
          </w:tcPr>
          <w:p w14:paraId="0D7D4891" w14:textId="1D5A3B02"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-0,2</w:t>
            </w:r>
          </w:p>
        </w:tc>
      </w:tr>
      <w:tr w:rsidR="0018090D" w:rsidRPr="00017E91" w14:paraId="63E635FA" w14:textId="77777777" w:rsidTr="00ED5301">
        <w:trPr>
          <w:trHeight w:val="282"/>
        </w:trPr>
        <w:tc>
          <w:tcPr>
            <w:tcW w:w="2122" w:type="dxa"/>
            <w:tcBorders>
              <w:top w:val="nil"/>
              <w:left w:val="single" w:sz="4" w:space="0" w:color="auto"/>
              <w:bottom w:val="nil"/>
              <w:right w:val="nil"/>
            </w:tcBorders>
            <w:shd w:val="clear" w:color="000000" w:fill="FFFFFF"/>
            <w:noWrap/>
            <w:vAlign w:val="bottom"/>
            <w:hideMark/>
          </w:tcPr>
          <w:p w14:paraId="61E0F728"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Change in Inventories</w:t>
            </w:r>
          </w:p>
        </w:tc>
        <w:tc>
          <w:tcPr>
            <w:tcW w:w="1110" w:type="dxa"/>
            <w:tcBorders>
              <w:top w:val="nil"/>
              <w:left w:val="single" w:sz="4" w:space="0" w:color="auto"/>
              <w:bottom w:val="nil"/>
              <w:right w:val="nil"/>
            </w:tcBorders>
            <w:shd w:val="clear" w:color="000000" w:fill="FFFFFF"/>
            <w:noWrap/>
            <w:vAlign w:val="bottom"/>
            <w:hideMark/>
          </w:tcPr>
          <w:p w14:paraId="0E769865" w14:textId="0AB95521"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 </w:t>
            </w:r>
          </w:p>
        </w:tc>
        <w:tc>
          <w:tcPr>
            <w:tcW w:w="1828" w:type="dxa"/>
            <w:tcBorders>
              <w:top w:val="nil"/>
              <w:left w:val="nil"/>
              <w:bottom w:val="nil"/>
              <w:right w:val="single" w:sz="4" w:space="0" w:color="auto"/>
            </w:tcBorders>
            <w:shd w:val="clear" w:color="000000" w:fill="FFFFFF"/>
            <w:noWrap/>
            <w:vAlign w:val="bottom"/>
            <w:hideMark/>
          </w:tcPr>
          <w:p w14:paraId="76C10C84" w14:textId="37088EE6"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-1,5</w:t>
            </w:r>
          </w:p>
        </w:tc>
        <w:tc>
          <w:tcPr>
            <w:tcW w:w="1243" w:type="dxa"/>
            <w:tcBorders>
              <w:top w:val="nil"/>
              <w:left w:val="nil"/>
              <w:bottom w:val="nil"/>
              <w:right w:val="nil"/>
            </w:tcBorders>
            <w:shd w:val="clear" w:color="000000" w:fill="FFFFFF"/>
            <w:noWrap/>
            <w:vAlign w:val="bottom"/>
            <w:hideMark/>
          </w:tcPr>
          <w:p w14:paraId="670A1C23" w14:textId="7775F22B"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 </w:t>
            </w:r>
          </w:p>
        </w:tc>
        <w:tc>
          <w:tcPr>
            <w:tcW w:w="1817" w:type="dxa"/>
            <w:tcBorders>
              <w:top w:val="nil"/>
              <w:left w:val="nil"/>
              <w:bottom w:val="nil"/>
              <w:right w:val="single" w:sz="4" w:space="0" w:color="auto"/>
            </w:tcBorders>
            <w:shd w:val="clear" w:color="000000" w:fill="FFFFFF"/>
            <w:noWrap/>
            <w:vAlign w:val="bottom"/>
            <w:hideMark/>
          </w:tcPr>
          <w:p w14:paraId="09E6520B" w14:textId="4067497D"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-1,4</w:t>
            </w:r>
          </w:p>
        </w:tc>
      </w:tr>
      <w:tr w:rsidR="0018090D" w:rsidRPr="00017E91" w14:paraId="05013537" w14:textId="77777777" w:rsidTr="00ED5301">
        <w:trPr>
          <w:trHeight w:val="282"/>
        </w:trPr>
        <w:tc>
          <w:tcPr>
            <w:tcW w:w="2122" w:type="dxa"/>
            <w:tcBorders>
              <w:top w:val="nil"/>
              <w:left w:val="single" w:sz="4" w:space="0" w:color="auto"/>
              <w:bottom w:val="nil"/>
              <w:right w:val="nil"/>
            </w:tcBorders>
            <w:shd w:val="clear" w:color="000000" w:fill="FFFFFF"/>
            <w:noWrap/>
            <w:vAlign w:val="bottom"/>
            <w:hideMark/>
          </w:tcPr>
          <w:p w14:paraId="11B1AAB0"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Export</w:t>
            </w:r>
          </w:p>
        </w:tc>
        <w:tc>
          <w:tcPr>
            <w:tcW w:w="1110" w:type="dxa"/>
            <w:tcBorders>
              <w:top w:val="nil"/>
              <w:left w:val="single" w:sz="4" w:space="0" w:color="auto"/>
              <w:bottom w:val="nil"/>
              <w:right w:val="nil"/>
            </w:tcBorders>
            <w:shd w:val="clear" w:color="000000" w:fill="FFFFFF"/>
            <w:noWrap/>
            <w:vAlign w:val="bottom"/>
            <w:hideMark/>
          </w:tcPr>
          <w:p w14:paraId="67EDE6DF" w14:textId="6C12EFCC"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5,2</w:t>
            </w:r>
          </w:p>
        </w:tc>
        <w:tc>
          <w:tcPr>
            <w:tcW w:w="1828" w:type="dxa"/>
            <w:tcBorders>
              <w:top w:val="nil"/>
              <w:left w:val="nil"/>
              <w:bottom w:val="nil"/>
              <w:right w:val="single" w:sz="4" w:space="0" w:color="auto"/>
            </w:tcBorders>
            <w:shd w:val="clear" w:color="000000" w:fill="FFFFFF"/>
            <w:noWrap/>
            <w:vAlign w:val="bottom"/>
            <w:hideMark/>
          </w:tcPr>
          <w:p w14:paraId="2CBED70C" w14:textId="156B5C86"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1,8</w:t>
            </w:r>
          </w:p>
        </w:tc>
        <w:tc>
          <w:tcPr>
            <w:tcW w:w="1243" w:type="dxa"/>
            <w:tcBorders>
              <w:top w:val="nil"/>
              <w:left w:val="nil"/>
              <w:bottom w:val="nil"/>
              <w:right w:val="nil"/>
            </w:tcBorders>
            <w:shd w:val="clear" w:color="000000" w:fill="FFFFFF"/>
            <w:noWrap/>
            <w:vAlign w:val="bottom"/>
            <w:hideMark/>
          </w:tcPr>
          <w:p w14:paraId="304CBFA0" w14:textId="0BFC930B"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-2,5</w:t>
            </w:r>
          </w:p>
        </w:tc>
        <w:tc>
          <w:tcPr>
            <w:tcW w:w="1817" w:type="dxa"/>
            <w:tcBorders>
              <w:top w:val="nil"/>
              <w:left w:val="nil"/>
              <w:bottom w:val="nil"/>
              <w:right w:val="single" w:sz="4" w:space="0" w:color="auto"/>
            </w:tcBorders>
            <w:shd w:val="clear" w:color="000000" w:fill="FFFFFF"/>
            <w:noWrap/>
            <w:vAlign w:val="bottom"/>
            <w:hideMark/>
          </w:tcPr>
          <w:p w14:paraId="0B6035EB" w14:textId="1F815235"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-0,9</w:t>
            </w:r>
          </w:p>
        </w:tc>
      </w:tr>
      <w:tr w:rsidR="0018090D" w:rsidRPr="00017E91" w14:paraId="57B5DDA2" w14:textId="77777777" w:rsidTr="00ED5301">
        <w:trPr>
          <w:trHeight w:val="282"/>
        </w:trPr>
        <w:tc>
          <w:tcPr>
            <w:tcW w:w="2122" w:type="dxa"/>
            <w:tcBorders>
              <w:top w:val="nil"/>
              <w:left w:val="single" w:sz="4" w:space="0" w:color="auto"/>
              <w:bottom w:val="nil"/>
              <w:right w:val="nil"/>
            </w:tcBorders>
            <w:shd w:val="clear" w:color="000000" w:fill="FFFFFF"/>
            <w:noWrap/>
            <w:vAlign w:val="bottom"/>
            <w:hideMark/>
          </w:tcPr>
          <w:p w14:paraId="1A634557"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Import</w:t>
            </w:r>
          </w:p>
        </w:tc>
        <w:tc>
          <w:tcPr>
            <w:tcW w:w="1110" w:type="dxa"/>
            <w:tcBorders>
              <w:top w:val="nil"/>
              <w:left w:val="single" w:sz="4" w:space="0" w:color="auto"/>
              <w:bottom w:val="nil"/>
              <w:right w:val="nil"/>
            </w:tcBorders>
            <w:shd w:val="clear" w:color="000000" w:fill="FFFFFF"/>
            <w:noWrap/>
            <w:vAlign w:val="bottom"/>
            <w:hideMark/>
          </w:tcPr>
          <w:p w14:paraId="6D67E395" w14:textId="6AB9D810"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1,6</w:t>
            </w:r>
          </w:p>
        </w:tc>
        <w:tc>
          <w:tcPr>
            <w:tcW w:w="1828" w:type="dxa"/>
            <w:tcBorders>
              <w:top w:val="nil"/>
              <w:left w:val="nil"/>
              <w:bottom w:val="nil"/>
              <w:right w:val="single" w:sz="4" w:space="0" w:color="auto"/>
            </w:tcBorders>
            <w:shd w:val="clear" w:color="000000" w:fill="FFFFFF"/>
            <w:noWrap/>
            <w:vAlign w:val="bottom"/>
            <w:hideMark/>
          </w:tcPr>
          <w:p w14:paraId="4592C82F" w14:textId="5E633132"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-0,7</w:t>
            </w:r>
          </w:p>
        </w:tc>
        <w:tc>
          <w:tcPr>
            <w:tcW w:w="1243" w:type="dxa"/>
            <w:tcBorders>
              <w:top w:val="nil"/>
              <w:left w:val="nil"/>
              <w:bottom w:val="nil"/>
              <w:right w:val="nil"/>
            </w:tcBorders>
            <w:shd w:val="clear" w:color="000000" w:fill="FFFFFF"/>
            <w:noWrap/>
            <w:vAlign w:val="bottom"/>
            <w:hideMark/>
          </w:tcPr>
          <w:p w14:paraId="2B16930F" w14:textId="6032BF22"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-3,9</w:t>
            </w:r>
          </w:p>
        </w:tc>
        <w:tc>
          <w:tcPr>
            <w:tcW w:w="1817" w:type="dxa"/>
            <w:tcBorders>
              <w:top w:val="nil"/>
              <w:left w:val="nil"/>
              <w:bottom w:val="nil"/>
              <w:right w:val="single" w:sz="4" w:space="0" w:color="auto"/>
            </w:tcBorders>
            <w:shd w:val="clear" w:color="000000" w:fill="FFFFFF"/>
            <w:noWrap/>
            <w:vAlign w:val="bottom"/>
            <w:hideMark/>
          </w:tcPr>
          <w:p w14:paraId="1C147414" w14:textId="1B6E3E52"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1,8</w:t>
            </w:r>
          </w:p>
        </w:tc>
      </w:tr>
      <w:tr w:rsidR="0018090D" w:rsidRPr="00017E91" w14:paraId="35F93783" w14:textId="77777777" w:rsidTr="00ED5301">
        <w:trPr>
          <w:trHeight w:val="315"/>
        </w:trPr>
        <w:tc>
          <w:tcPr>
            <w:tcW w:w="2122" w:type="dxa"/>
            <w:tcBorders>
              <w:top w:val="nil"/>
              <w:left w:val="single" w:sz="4" w:space="0" w:color="auto"/>
              <w:bottom w:val="single" w:sz="4" w:space="0" w:color="auto"/>
              <w:right w:val="nil"/>
            </w:tcBorders>
            <w:shd w:val="clear" w:color="000000" w:fill="FFFFFF"/>
            <w:noWrap/>
            <w:vAlign w:val="bottom"/>
            <w:hideMark/>
          </w:tcPr>
          <w:p w14:paraId="77047CCB" w14:textId="77777777" w:rsidR="0018090D" w:rsidRPr="00017E91" w:rsidRDefault="0018090D" w:rsidP="0018090D">
            <w:pPr>
              <w:rPr>
                <w:rFonts w:ascii="Calibri" w:hAnsi="Calibri" w:cs="Calibri"/>
                <w:b/>
                <w:bCs/>
                <w:color w:val="000000"/>
                <w:sz w:val="20"/>
                <w:szCs w:val="20"/>
              </w:rPr>
            </w:pPr>
            <w:r w:rsidRPr="00017E91">
              <w:rPr>
                <w:rFonts w:ascii="Calibri" w:hAnsi="Calibri" w:cs="Calibri"/>
                <w:b/>
                <w:bCs/>
                <w:color w:val="000000"/>
                <w:sz w:val="20"/>
                <w:szCs w:val="20"/>
              </w:rPr>
              <w:t>GDP</w:t>
            </w:r>
          </w:p>
        </w:tc>
        <w:tc>
          <w:tcPr>
            <w:tcW w:w="1110" w:type="dxa"/>
            <w:tcBorders>
              <w:top w:val="nil"/>
              <w:left w:val="single" w:sz="4" w:space="0" w:color="auto"/>
              <w:bottom w:val="double" w:sz="6" w:space="0" w:color="auto"/>
              <w:right w:val="nil"/>
            </w:tcBorders>
            <w:shd w:val="clear" w:color="000000" w:fill="FFFFFF"/>
            <w:noWrap/>
            <w:vAlign w:val="bottom"/>
            <w:hideMark/>
          </w:tcPr>
          <w:p w14:paraId="02347C00" w14:textId="576CA09E"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0,3</w:t>
            </w:r>
          </w:p>
        </w:tc>
        <w:tc>
          <w:tcPr>
            <w:tcW w:w="1828" w:type="dxa"/>
            <w:tcBorders>
              <w:top w:val="nil"/>
              <w:left w:val="nil"/>
              <w:bottom w:val="double" w:sz="6" w:space="0" w:color="auto"/>
              <w:right w:val="single" w:sz="4" w:space="0" w:color="auto"/>
            </w:tcBorders>
            <w:shd w:val="clear" w:color="000000" w:fill="FFFFFF"/>
            <w:noWrap/>
            <w:vAlign w:val="bottom"/>
            <w:hideMark/>
          </w:tcPr>
          <w:p w14:paraId="3285B00B" w14:textId="19DA2051"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 </w:t>
            </w:r>
          </w:p>
        </w:tc>
        <w:tc>
          <w:tcPr>
            <w:tcW w:w="1243" w:type="dxa"/>
            <w:tcBorders>
              <w:top w:val="nil"/>
              <w:left w:val="nil"/>
              <w:bottom w:val="double" w:sz="6" w:space="0" w:color="auto"/>
              <w:right w:val="nil"/>
            </w:tcBorders>
            <w:shd w:val="clear" w:color="000000" w:fill="FFFFFF"/>
            <w:noWrap/>
            <w:vAlign w:val="bottom"/>
            <w:hideMark/>
          </w:tcPr>
          <w:p w14:paraId="4DBF57A3" w14:textId="5C182858"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1,0</w:t>
            </w:r>
          </w:p>
        </w:tc>
        <w:tc>
          <w:tcPr>
            <w:tcW w:w="1817" w:type="dxa"/>
            <w:tcBorders>
              <w:top w:val="nil"/>
              <w:left w:val="nil"/>
              <w:bottom w:val="double" w:sz="6" w:space="0" w:color="auto"/>
              <w:right w:val="single" w:sz="4" w:space="0" w:color="auto"/>
            </w:tcBorders>
            <w:shd w:val="clear" w:color="000000" w:fill="FFFFFF"/>
            <w:noWrap/>
            <w:vAlign w:val="bottom"/>
            <w:hideMark/>
          </w:tcPr>
          <w:p w14:paraId="4091D731" w14:textId="4DC14082" w:rsidR="0018090D" w:rsidRPr="00017E91" w:rsidRDefault="0018090D" w:rsidP="0018090D">
            <w:pPr>
              <w:jc w:val="center"/>
              <w:rPr>
                <w:rFonts w:ascii="Calibri" w:hAnsi="Calibri" w:cs="Calibri"/>
                <w:color w:val="000000"/>
                <w:sz w:val="20"/>
                <w:szCs w:val="20"/>
              </w:rPr>
            </w:pPr>
            <w:r>
              <w:rPr>
                <w:rFonts w:ascii="Calibri" w:hAnsi="Calibri" w:cs="Calibri"/>
                <w:color w:val="000000"/>
                <w:sz w:val="20"/>
                <w:szCs w:val="20"/>
              </w:rPr>
              <w:t> </w:t>
            </w:r>
          </w:p>
        </w:tc>
      </w:tr>
    </w:tbl>
    <w:p w14:paraId="6A53BD8D" w14:textId="77777777" w:rsidR="00017E91" w:rsidRDefault="00017E91" w:rsidP="00006890">
      <w:pPr>
        <w:keepNext/>
        <w:rPr>
          <w:rFonts w:ascii="Palatino Linotype" w:hAnsi="Palatino Linotype" w:cstheme="minorHAnsi"/>
          <w:sz w:val="18"/>
          <w:szCs w:val="18"/>
          <w:lang w:val="en-US"/>
        </w:rPr>
      </w:pPr>
    </w:p>
    <w:p w14:paraId="046656A3" w14:textId="537C8052"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372F67EB" w14:textId="4A76DC06" w:rsidR="00BD0A1E" w:rsidRPr="004E5C57" w:rsidRDefault="00BD0A1E" w:rsidP="004E5C57">
      <w:pPr>
        <w:pStyle w:val="NormalWeb"/>
        <w:spacing w:line="360" w:lineRule="auto"/>
        <w:ind w:right="77"/>
        <w:rPr>
          <w:rFonts w:ascii="Palatino Linotype" w:hAnsi="Palatino Linotype" w:cstheme="minorHAnsi"/>
          <w:b/>
          <w:bCs/>
          <w:sz w:val="22"/>
          <w:szCs w:val="22"/>
          <w:lang w:val="en-US"/>
        </w:rPr>
      </w:pPr>
      <w:r w:rsidRPr="00BD0A1E">
        <w:rPr>
          <w:rFonts w:ascii="Palatino Linotype" w:hAnsi="Palatino Linotype" w:cstheme="minorHAnsi"/>
          <w:b/>
          <w:sz w:val="22"/>
          <w:szCs w:val="22"/>
          <w:lang w:val="en-US"/>
        </w:rPr>
        <w:t>Strong annual increase in investments</w:t>
      </w:r>
    </w:p>
    <w:p w14:paraId="20C32F52" w14:textId="33039F30" w:rsidR="002B5967" w:rsidRPr="004E5C57" w:rsidRDefault="004F6A35" w:rsidP="004E5C57">
      <w:pPr>
        <w:pStyle w:val="NormalWeb"/>
        <w:spacing w:before="0" w:beforeAutospacing="0" w:after="0" w:afterAutospacing="0" w:line="360" w:lineRule="auto"/>
        <w:ind w:right="77"/>
        <w:rPr>
          <w:rFonts w:ascii="Palatino Linotype" w:hAnsi="Palatino Linotype" w:cstheme="minorHAnsi"/>
          <w:sz w:val="22"/>
          <w:szCs w:val="22"/>
          <w:lang w:val="en-US"/>
        </w:rPr>
      </w:pPr>
      <w:r w:rsidRPr="004F6A35">
        <w:rPr>
          <w:rFonts w:ascii="Palatino Linotype" w:hAnsi="Palatino Linotype" w:cstheme="minorHAnsi"/>
          <w:sz w:val="22"/>
          <w:szCs w:val="22"/>
          <w:lang w:val="en-US"/>
        </w:rPr>
        <w:t xml:space="preserve">Investment expenditures increased by 10.7 percent </w:t>
      </w:r>
      <w:r>
        <w:rPr>
          <w:rFonts w:ascii="Palatino Linotype" w:hAnsi="Palatino Linotype" w:cstheme="minorHAnsi"/>
          <w:sz w:val="22"/>
          <w:szCs w:val="22"/>
          <w:lang w:val="en-US"/>
        </w:rPr>
        <w:t xml:space="preserve">YoY </w:t>
      </w:r>
      <w:r w:rsidRPr="004F6A35">
        <w:rPr>
          <w:rFonts w:ascii="Palatino Linotype" w:hAnsi="Palatino Linotype" w:cstheme="minorHAnsi"/>
          <w:sz w:val="22"/>
          <w:szCs w:val="22"/>
          <w:lang w:val="en-US"/>
        </w:rPr>
        <w:t>in this quarter, making a positive contribution of 3.1</w:t>
      </w:r>
      <w:r w:rsidR="000570B7">
        <w:rPr>
          <w:rFonts w:ascii="Palatino Linotype" w:hAnsi="Palatino Linotype" w:cstheme="minorHAnsi"/>
          <w:sz w:val="22"/>
          <w:szCs w:val="22"/>
          <w:lang w:val="en-US"/>
        </w:rPr>
        <w:t xml:space="preserve"> </w:t>
      </w:r>
      <w:r>
        <w:rPr>
          <w:rFonts w:ascii="Palatino Linotype" w:hAnsi="Palatino Linotype" w:cstheme="minorHAnsi"/>
          <w:sz w:val="22"/>
          <w:szCs w:val="22"/>
          <w:lang w:val="en-US"/>
        </w:rPr>
        <w:t xml:space="preserve">pp </w:t>
      </w:r>
      <w:r w:rsidRPr="004F6A35">
        <w:rPr>
          <w:rFonts w:ascii="Palatino Linotype" w:hAnsi="Palatino Linotype" w:cstheme="minorHAnsi"/>
          <w:sz w:val="22"/>
          <w:szCs w:val="22"/>
          <w:lang w:val="en-US"/>
        </w:rPr>
        <w:t xml:space="preserve">to growth. On a quarterly basis, investment expenditures decreased by 0.8 percent </w:t>
      </w:r>
      <w:proofErr w:type="spellStart"/>
      <w:r w:rsidR="000570B7">
        <w:rPr>
          <w:rFonts w:ascii="Palatino Linotype" w:hAnsi="Palatino Linotype" w:cstheme="minorHAnsi"/>
          <w:sz w:val="22"/>
          <w:szCs w:val="22"/>
          <w:lang w:val="en-US"/>
        </w:rPr>
        <w:t>QoQ</w:t>
      </w:r>
      <w:proofErr w:type="spellEnd"/>
      <w:r w:rsidRPr="004F6A35">
        <w:rPr>
          <w:rFonts w:ascii="Palatino Linotype" w:hAnsi="Palatino Linotype" w:cstheme="minorHAnsi"/>
          <w:sz w:val="22"/>
          <w:szCs w:val="22"/>
          <w:lang w:val="en-US"/>
        </w:rPr>
        <w:t xml:space="preserve">, pulling growth down by 0.2 </w:t>
      </w:r>
      <w:r w:rsidR="00583144">
        <w:rPr>
          <w:rFonts w:ascii="Palatino Linotype" w:hAnsi="Palatino Linotype" w:cstheme="minorHAnsi"/>
          <w:sz w:val="22"/>
          <w:szCs w:val="22"/>
          <w:lang w:val="en-US"/>
        </w:rPr>
        <w:t>pp</w:t>
      </w:r>
      <w:r w:rsidRPr="004F6A35">
        <w:rPr>
          <w:rFonts w:ascii="Palatino Linotype" w:hAnsi="Palatino Linotype" w:cstheme="minorHAnsi"/>
          <w:sz w:val="22"/>
          <w:szCs w:val="22"/>
          <w:lang w:val="en-US"/>
        </w:rPr>
        <w:t xml:space="preserve"> (Table 1 and Table 2).</w:t>
      </w:r>
    </w:p>
    <w:p w14:paraId="16625566" w14:textId="75B3A9EC" w:rsidR="00681AD9" w:rsidRPr="004E5C57" w:rsidRDefault="00531E24" w:rsidP="004E5C57">
      <w:pPr>
        <w:pStyle w:val="NormalWeb"/>
        <w:spacing w:line="360" w:lineRule="auto"/>
        <w:ind w:right="77"/>
        <w:rPr>
          <w:rFonts w:ascii="Palatino Linotype" w:hAnsi="Palatino Linotype" w:cstheme="minorHAnsi"/>
          <w:b/>
          <w:bCs/>
          <w:sz w:val="22"/>
          <w:szCs w:val="22"/>
          <w:lang w:val="en-US"/>
        </w:rPr>
      </w:pPr>
      <w:r w:rsidRPr="00531E24">
        <w:rPr>
          <w:rFonts w:ascii="Palatino Linotype" w:hAnsi="Palatino Linotype" w:cstheme="minorHAnsi"/>
          <w:b/>
          <w:sz w:val="22"/>
          <w:szCs w:val="22"/>
          <w:lang w:val="en-US"/>
        </w:rPr>
        <w:lastRenderedPageBreak/>
        <w:t>Decline in inventories after two quarters</w:t>
      </w:r>
      <w:r w:rsidR="00494926" w:rsidRPr="006679E6">
        <w:rPr>
          <w:rStyle w:val="FootnoteReference"/>
          <w:rFonts w:ascii="Palatino Linotype" w:hAnsi="Palatino Linotype" w:cstheme="minorHAnsi"/>
          <w:b/>
          <w:sz w:val="22"/>
          <w:szCs w:val="22"/>
          <w:lang w:val="en-US"/>
        </w:rPr>
        <w:footnoteReference w:id="4"/>
      </w:r>
    </w:p>
    <w:p w14:paraId="2E96B86E" w14:textId="0C933B1B" w:rsidR="007A6387" w:rsidRPr="003B69B2" w:rsidRDefault="00693077"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r>
        <w:rPr>
          <w:rFonts w:ascii="Palatino Linotype" w:hAnsi="Palatino Linotype" w:cstheme="minorHAnsi"/>
          <w:sz w:val="22"/>
          <w:szCs w:val="22"/>
          <w:lang w:val="en-US"/>
        </w:rPr>
        <w:t>Stock</w:t>
      </w:r>
      <w:r w:rsidRPr="00693077">
        <w:rPr>
          <w:rFonts w:ascii="Palatino Linotype" w:hAnsi="Palatino Linotype" w:cstheme="minorHAnsi"/>
          <w:sz w:val="22"/>
          <w:szCs w:val="22"/>
          <w:lang w:val="en-US"/>
        </w:rPr>
        <w:t xml:space="preserve"> changes, which had made a positive contribution to growth in the previous two quarters, reduced growth in this quarter. The contribution of </w:t>
      </w:r>
      <w:r>
        <w:rPr>
          <w:rFonts w:ascii="Palatino Linotype" w:hAnsi="Palatino Linotype" w:cstheme="minorHAnsi"/>
          <w:sz w:val="22"/>
          <w:szCs w:val="22"/>
          <w:lang w:val="en-US"/>
        </w:rPr>
        <w:t>stock</w:t>
      </w:r>
      <w:r w:rsidRPr="00693077">
        <w:rPr>
          <w:rFonts w:ascii="Palatino Linotype" w:hAnsi="Palatino Linotype" w:cstheme="minorHAnsi"/>
          <w:sz w:val="22"/>
          <w:szCs w:val="22"/>
          <w:lang w:val="en-US"/>
        </w:rPr>
        <w:t xml:space="preserve"> changes to annual growth was minus 2.3 </w:t>
      </w:r>
      <w:r>
        <w:rPr>
          <w:rFonts w:ascii="Palatino Linotype" w:hAnsi="Palatino Linotype" w:cstheme="minorHAnsi"/>
          <w:sz w:val="22"/>
          <w:szCs w:val="22"/>
          <w:lang w:val="en-US"/>
        </w:rPr>
        <w:t>pp</w:t>
      </w:r>
      <w:r w:rsidRPr="00693077">
        <w:rPr>
          <w:rFonts w:ascii="Palatino Linotype" w:hAnsi="Palatino Linotype" w:cstheme="minorHAnsi"/>
          <w:sz w:val="22"/>
          <w:szCs w:val="22"/>
          <w:lang w:val="en-US"/>
        </w:rPr>
        <w:t xml:space="preserve"> (Table 1). According to seasonally and calendar-adjusted data, the contribution to quarterly growth was minus 1.4 percentage points (Table 2).</w:t>
      </w:r>
    </w:p>
    <w:p w14:paraId="79DA80D7" w14:textId="03BD9EE2" w:rsidR="007A6387" w:rsidRPr="003B69B2" w:rsidRDefault="007A6387" w:rsidP="003B69B2">
      <w:pPr>
        <w:pStyle w:val="NormalWeb"/>
        <w:spacing w:line="360" w:lineRule="auto"/>
        <w:ind w:right="77"/>
        <w:rPr>
          <w:rFonts w:ascii="Palatino Linotype" w:hAnsi="Palatino Linotype" w:cstheme="minorHAnsi"/>
          <w:b/>
          <w:bCs/>
          <w:sz w:val="22"/>
          <w:szCs w:val="22"/>
          <w:lang w:val="en-US"/>
        </w:rPr>
      </w:pPr>
      <w:r w:rsidRPr="007A6387">
        <w:rPr>
          <w:rFonts w:ascii="Palatino Linotype" w:hAnsi="Palatino Linotype" w:cstheme="minorHAnsi"/>
          <w:b/>
          <w:sz w:val="22"/>
          <w:szCs w:val="22"/>
          <w:lang w:val="en-US"/>
        </w:rPr>
        <w:t>Negative contribution from foreign trade to growth</w:t>
      </w:r>
    </w:p>
    <w:p w14:paraId="436B54CC" w14:textId="78284132" w:rsidR="007524EB" w:rsidRPr="00610EAA" w:rsidRDefault="007524EB"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7524EB">
        <w:rPr>
          <w:rFonts w:ascii="Palatino Linotype" w:hAnsi="Palatino Linotype" w:cstheme="minorHAnsi"/>
          <w:sz w:val="22"/>
          <w:szCs w:val="22"/>
          <w:lang w:val="en-US"/>
        </w:rPr>
        <w:t xml:space="preserve">In the fourth quarter of 2023, exports increased by 0.2 percent </w:t>
      </w:r>
      <w:r>
        <w:rPr>
          <w:rFonts w:ascii="Palatino Linotype" w:hAnsi="Palatino Linotype" w:cstheme="minorHAnsi"/>
          <w:sz w:val="22"/>
          <w:szCs w:val="22"/>
          <w:lang w:val="en-US"/>
        </w:rPr>
        <w:t>YoY</w:t>
      </w:r>
      <w:r w:rsidRPr="007524EB">
        <w:rPr>
          <w:rFonts w:ascii="Palatino Linotype" w:hAnsi="Palatino Linotype" w:cstheme="minorHAnsi"/>
          <w:sz w:val="22"/>
          <w:szCs w:val="22"/>
          <w:lang w:val="en-US"/>
        </w:rPr>
        <w:t xml:space="preserve">, while </w:t>
      </w:r>
      <w:r w:rsidR="00994CB0" w:rsidRPr="007524EB">
        <w:rPr>
          <w:rFonts w:ascii="Palatino Linotype" w:hAnsi="Palatino Linotype" w:cstheme="minorHAnsi"/>
          <w:sz w:val="22"/>
          <w:szCs w:val="22"/>
          <w:lang w:val="en-US"/>
        </w:rPr>
        <w:t xml:space="preserve">growth </w:t>
      </w:r>
      <w:r w:rsidR="00994CB0">
        <w:rPr>
          <w:rFonts w:ascii="Palatino Linotype" w:hAnsi="Palatino Linotype" w:cstheme="minorHAnsi"/>
          <w:sz w:val="22"/>
          <w:szCs w:val="22"/>
          <w:lang w:val="en-US"/>
        </w:rPr>
        <w:t xml:space="preserve">of </w:t>
      </w:r>
      <w:r w:rsidRPr="007524EB">
        <w:rPr>
          <w:rFonts w:ascii="Palatino Linotype" w:hAnsi="Palatino Linotype" w:cstheme="minorHAnsi"/>
          <w:sz w:val="22"/>
          <w:szCs w:val="22"/>
          <w:lang w:val="en-US"/>
        </w:rPr>
        <w:t xml:space="preserve">import slowed down to 2.7 percent. As a result, the contribution of foreign trade to growth was minus 2.3 </w:t>
      </w:r>
      <w:r w:rsidR="00994CB0">
        <w:rPr>
          <w:rFonts w:ascii="Palatino Linotype" w:hAnsi="Palatino Linotype" w:cstheme="minorHAnsi"/>
          <w:sz w:val="22"/>
          <w:szCs w:val="22"/>
          <w:lang w:val="en-US"/>
        </w:rPr>
        <w:t xml:space="preserve">pp </w:t>
      </w:r>
      <w:r w:rsidRPr="007524EB">
        <w:rPr>
          <w:rFonts w:ascii="Palatino Linotype" w:hAnsi="Palatino Linotype" w:cstheme="minorHAnsi"/>
          <w:sz w:val="22"/>
          <w:szCs w:val="22"/>
          <w:lang w:val="en-US"/>
        </w:rPr>
        <w:t xml:space="preserve">on an annual basis. This contribution was minus 5.3 </w:t>
      </w:r>
      <w:r w:rsidR="00994CB0">
        <w:rPr>
          <w:rFonts w:ascii="Palatino Linotype" w:hAnsi="Palatino Linotype" w:cstheme="minorHAnsi"/>
          <w:sz w:val="22"/>
          <w:szCs w:val="22"/>
          <w:lang w:val="en-US"/>
        </w:rPr>
        <w:t xml:space="preserve">pp </w:t>
      </w:r>
      <w:r w:rsidRPr="007524EB">
        <w:rPr>
          <w:rFonts w:ascii="Palatino Linotype" w:hAnsi="Palatino Linotype" w:cstheme="minorHAnsi"/>
          <w:sz w:val="22"/>
          <w:szCs w:val="22"/>
          <w:lang w:val="en-US"/>
        </w:rPr>
        <w:t>in the previous quarter (Table 1). Seasonally and calendar adjusted figures show that exports and imports decreased by 2.5 percent and 3.9 percent, respectively (Table 2).</w:t>
      </w:r>
    </w:p>
    <w:p w14:paraId="2C621B8E" w14:textId="7DA9C2E4" w:rsidR="00C50B4E" w:rsidRPr="00C50B4E" w:rsidRDefault="00C50B4E" w:rsidP="00C50B4E">
      <w:pPr>
        <w:pStyle w:val="NormalWeb"/>
        <w:spacing w:line="360" w:lineRule="auto"/>
        <w:ind w:right="77"/>
        <w:rPr>
          <w:rFonts w:ascii="Palatino Linotype" w:hAnsi="Palatino Linotype" w:cstheme="minorHAnsi"/>
          <w:b/>
          <w:bCs/>
          <w:sz w:val="22"/>
          <w:szCs w:val="22"/>
          <w:lang w:val="en-US"/>
        </w:rPr>
      </w:pPr>
      <w:r w:rsidRPr="00C50B4E">
        <w:rPr>
          <w:rFonts w:ascii="Palatino Linotype" w:hAnsi="Palatino Linotype" w:cstheme="minorHAnsi"/>
          <w:b/>
          <w:bCs/>
          <w:sz w:val="22"/>
          <w:szCs w:val="22"/>
          <w:lang w:val="en-US"/>
        </w:rPr>
        <w:t>Public spending</w:t>
      </w:r>
      <w:r>
        <w:rPr>
          <w:rFonts w:ascii="Palatino Linotype" w:hAnsi="Palatino Linotype" w:cstheme="minorHAnsi"/>
          <w:b/>
          <w:bCs/>
          <w:sz w:val="22"/>
          <w:szCs w:val="22"/>
          <w:lang w:val="en-US"/>
        </w:rPr>
        <w:t xml:space="preserve"> </w:t>
      </w:r>
      <w:r w:rsidR="000E09A9">
        <w:rPr>
          <w:rFonts w:ascii="Palatino Linotype" w:hAnsi="Palatino Linotype" w:cstheme="minorHAnsi"/>
          <w:b/>
          <w:bCs/>
          <w:sz w:val="22"/>
          <w:szCs w:val="22"/>
          <w:lang w:val="en-US"/>
        </w:rPr>
        <w:t>decreased</w:t>
      </w:r>
    </w:p>
    <w:p w14:paraId="06B7E7B4" w14:textId="1AA2FBAC" w:rsidR="00EB2B22" w:rsidRPr="00C50B4E" w:rsidRDefault="00F81379" w:rsidP="00C50B4E">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F81379">
        <w:rPr>
          <w:rFonts w:ascii="Palatino Linotype" w:hAnsi="Palatino Linotype" w:cstheme="minorHAnsi"/>
          <w:bCs/>
          <w:sz w:val="22"/>
          <w:szCs w:val="22"/>
          <w:lang w:val="en-US"/>
        </w:rPr>
        <w:t xml:space="preserve">In the fourth quarter of 2023, public </w:t>
      </w:r>
      <w:r>
        <w:rPr>
          <w:rFonts w:ascii="Palatino Linotype" w:hAnsi="Palatino Linotype" w:cstheme="minorHAnsi"/>
          <w:bCs/>
          <w:sz w:val="22"/>
          <w:szCs w:val="22"/>
          <w:lang w:val="en-US"/>
        </w:rPr>
        <w:t xml:space="preserve">spending </w:t>
      </w:r>
      <w:r w:rsidRPr="00F81379">
        <w:rPr>
          <w:rFonts w:ascii="Palatino Linotype" w:hAnsi="Palatino Linotype" w:cstheme="minorHAnsi"/>
          <w:bCs/>
          <w:sz w:val="22"/>
          <w:szCs w:val="22"/>
          <w:lang w:val="en-US"/>
        </w:rPr>
        <w:t xml:space="preserve">increased by 1.7 percent, contributing 0.1 </w:t>
      </w:r>
      <w:r>
        <w:rPr>
          <w:rFonts w:ascii="Palatino Linotype" w:hAnsi="Palatino Linotype" w:cstheme="minorHAnsi"/>
          <w:bCs/>
          <w:sz w:val="22"/>
          <w:szCs w:val="22"/>
          <w:lang w:val="en-US"/>
        </w:rPr>
        <w:t xml:space="preserve">pp </w:t>
      </w:r>
      <w:r w:rsidRPr="00F81379">
        <w:rPr>
          <w:rFonts w:ascii="Palatino Linotype" w:hAnsi="Palatino Linotype" w:cstheme="minorHAnsi"/>
          <w:bCs/>
          <w:sz w:val="22"/>
          <w:szCs w:val="22"/>
          <w:lang w:val="en-US"/>
        </w:rPr>
        <w:t xml:space="preserve">to annual growth (Table 1). According to seasonally and calendar-adjusted figures, public consumption fell by 4.3 percent, contributing minus 0.5 </w:t>
      </w:r>
      <w:r w:rsidR="00BA0925">
        <w:rPr>
          <w:rFonts w:ascii="Palatino Linotype" w:hAnsi="Palatino Linotype" w:cstheme="minorHAnsi"/>
          <w:bCs/>
          <w:sz w:val="22"/>
          <w:szCs w:val="22"/>
          <w:lang w:val="en-US"/>
        </w:rPr>
        <w:t>pp</w:t>
      </w:r>
      <w:r w:rsidRPr="00F81379">
        <w:rPr>
          <w:rFonts w:ascii="Palatino Linotype" w:hAnsi="Palatino Linotype" w:cstheme="minorHAnsi"/>
          <w:bCs/>
          <w:sz w:val="22"/>
          <w:szCs w:val="22"/>
          <w:lang w:val="en-US"/>
        </w:rPr>
        <w:t xml:space="preserve"> (Table 2).</w:t>
      </w:r>
    </w:p>
    <w:p w14:paraId="4C5F10E3" w14:textId="697B9C05" w:rsidR="00955E90" w:rsidRPr="006679E6" w:rsidRDefault="00981D42" w:rsidP="004A286F">
      <w:pPr>
        <w:pStyle w:val="NormalWeb"/>
        <w:spacing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 xml:space="preserve">The future of </w:t>
      </w:r>
      <w:r w:rsidR="009F6397">
        <w:rPr>
          <w:rFonts w:ascii="Palatino Linotype" w:hAnsi="Palatino Linotype" w:cstheme="minorHAnsi"/>
          <w:b/>
          <w:bCs/>
          <w:sz w:val="22"/>
          <w:szCs w:val="22"/>
          <w:lang w:val="en-US"/>
        </w:rPr>
        <w:t xml:space="preserve">the </w:t>
      </w:r>
      <w:r>
        <w:rPr>
          <w:rFonts w:ascii="Palatino Linotype" w:hAnsi="Palatino Linotype" w:cstheme="minorHAnsi"/>
          <w:b/>
          <w:bCs/>
          <w:sz w:val="22"/>
          <w:szCs w:val="22"/>
          <w:lang w:val="en-US"/>
        </w:rPr>
        <w:t>growth</w:t>
      </w:r>
    </w:p>
    <w:p w14:paraId="0C06BC36" w14:textId="3834C402" w:rsidR="00AE2F80" w:rsidRDefault="00FD2354" w:rsidP="0059304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FD2354">
        <w:rPr>
          <w:rFonts w:ascii="Palatino Linotype" w:hAnsi="Palatino Linotype" w:cstheme="minorHAnsi"/>
          <w:bCs/>
          <w:sz w:val="22"/>
          <w:szCs w:val="22"/>
          <w:lang w:val="en-US"/>
        </w:rPr>
        <w:t xml:space="preserve">In the fourth quarter of 2023, the main contribution to growth came from private consumption </w:t>
      </w:r>
      <w:r w:rsidR="00F07212">
        <w:rPr>
          <w:rFonts w:ascii="Palatino Linotype" w:hAnsi="Palatino Linotype" w:cstheme="minorHAnsi"/>
          <w:bCs/>
          <w:sz w:val="22"/>
          <w:szCs w:val="22"/>
          <w:lang w:val="en-US"/>
        </w:rPr>
        <w:t>spendings</w:t>
      </w:r>
      <w:r w:rsidRPr="00FD2354">
        <w:rPr>
          <w:rFonts w:ascii="Palatino Linotype" w:hAnsi="Palatino Linotype" w:cstheme="minorHAnsi"/>
          <w:bCs/>
          <w:sz w:val="22"/>
          <w:szCs w:val="22"/>
          <w:lang w:val="en-US"/>
        </w:rPr>
        <w:t xml:space="preserve"> and investment expenditures. The contribution of inventory change and foreign trade was negative.</w:t>
      </w:r>
      <w:r w:rsidR="005926CB">
        <w:rPr>
          <w:rFonts w:ascii="Palatino Linotype" w:hAnsi="Palatino Linotype" w:cstheme="minorHAnsi"/>
          <w:bCs/>
          <w:sz w:val="22"/>
          <w:szCs w:val="22"/>
          <w:lang w:val="en-US"/>
        </w:rPr>
        <w:t xml:space="preserve"> </w:t>
      </w:r>
      <w:r w:rsidR="005926CB" w:rsidRPr="005926CB">
        <w:rPr>
          <w:rFonts w:ascii="Palatino Linotype" w:hAnsi="Palatino Linotype" w:cstheme="minorHAnsi"/>
          <w:bCs/>
          <w:sz w:val="22"/>
          <w:szCs w:val="22"/>
          <w:lang w:val="en-US"/>
        </w:rPr>
        <w:t>Due to the tight monetary policy likely to be implemented after the elections, we anticipate that private consumption</w:t>
      </w:r>
      <w:r w:rsidR="002E2BBD">
        <w:rPr>
          <w:rFonts w:ascii="Palatino Linotype" w:hAnsi="Palatino Linotype" w:cstheme="minorHAnsi"/>
          <w:bCs/>
          <w:sz w:val="22"/>
          <w:szCs w:val="22"/>
          <w:lang w:val="en-US"/>
        </w:rPr>
        <w:t xml:space="preserve"> spendings</w:t>
      </w:r>
      <w:r w:rsidR="005926CB" w:rsidRPr="005926CB">
        <w:rPr>
          <w:rFonts w:ascii="Palatino Linotype" w:hAnsi="Palatino Linotype" w:cstheme="minorHAnsi"/>
          <w:bCs/>
          <w:sz w:val="22"/>
          <w:szCs w:val="22"/>
          <w:lang w:val="en-US"/>
        </w:rPr>
        <w:t xml:space="preserve"> will make a relatively lower contribution to growth. </w:t>
      </w:r>
      <w:r w:rsidR="006E68B6" w:rsidRPr="006E68B6">
        <w:rPr>
          <w:rFonts w:ascii="Palatino Linotype" w:hAnsi="Palatino Linotype" w:cstheme="minorHAnsi"/>
          <w:bCs/>
          <w:sz w:val="22"/>
          <w:szCs w:val="22"/>
          <w:lang w:val="en-US"/>
        </w:rPr>
        <w:t>On the other hand, we expect a higher contribution to growth from the construction sector</w:t>
      </w:r>
      <w:r w:rsidR="006E68B6">
        <w:rPr>
          <w:rFonts w:ascii="Palatino Linotype" w:hAnsi="Palatino Linotype" w:cstheme="minorHAnsi"/>
          <w:bCs/>
          <w:sz w:val="22"/>
          <w:szCs w:val="22"/>
          <w:lang w:val="en-US"/>
        </w:rPr>
        <w:t xml:space="preserve"> </w:t>
      </w:r>
      <w:r w:rsidR="0091485C" w:rsidRPr="0091485C">
        <w:rPr>
          <w:rFonts w:ascii="Palatino Linotype" w:hAnsi="Palatino Linotype" w:cstheme="minorHAnsi"/>
          <w:bCs/>
          <w:sz w:val="22"/>
          <w:szCs w:val="22"/>
          <w:lang w:val="en-US"/>
        </w:rPr>
        <w:t>which has been stimulated by the devastating earthquakes of 6 February.</w:t>
      </w:r>
    </w:p>
    <w:p w14:paraId="16B9FFAA" w14:textId="77777777" w:rsidR="00FD2354" w:rsidRDefault="00FD2354" w:rsidP="00593041">
      <w:pPr>
        <w:pStyle w:val="NormalWeb"/>
        <w:spacing w:before="0" w:beforeAutospacing="0" w:after="0" w:afterAutospacing="0" w:line="360" w:lineRule="auto"/>
        <w:ind w:right="77"/>
        <w:jc w:val="both"/>
        <w:rPr>
          <w:rFonts w:ascii="Palatino Linotype" w:hAnsi="Palatino Linotype" w:cstheme="minorHAnsi"/>
          <w:bCs/>
          <w:sz w:val="22"/>
          <w:szCs w:val="22"/>
          <w:lang w:val="en-US"/>
        </w:rPr>
      </w:pPr>
    </w:p>
    <w:p w14:paraId="61C8E3D1" w14:textId="3FF8406B" w:rsidR="00A12631" w:rsidRPr="00155A64" w:rsidRDefault="00A12631" w:rsidP="00FC0279">
      <w:pPr>
        <w:pStyle w:val="NormalWeb"/>
        <w:spacing w:before="0" w:beforeAutospacing="0" w:after="0" w:afterAutospacing="0" w:line="360" w:lineRule="auto"/>
        <w:ind w:right="77"/>
        <w:jc w:val="both"/>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t xml:space="preserve">Figure 2: GDP growth rates compared to the previous quarter and </w:t>
      </w:r>
      <w:r w:rsidR="00C50B4E">
        <w:rPr>
          <w:rFonts w:ascii="Palatino Linotype" w:hAnsi="Palatino Linotype" w:cstheme="minorHAnsi"/>
          <w:b/>
          <w:bCs/>
          <w:sz w:val="21"/>
          <w:szCs w:val="21"/>
          <w:lang w:val="en-US"/>
        </w:rPr>
        <w:t xml:space="preserve">the </w:t>
      </w:r>
      <w:r w:rsidRPr="00155A64">
        <w:rPr>
          <w:rFonts w:ascii="Palatino Linotype" w:hAnsi="Palatino Linotype" w:cstheme="minorHAnsi"/>
          <w:b/>
          <w:bCs/>
          <w:sz w:val="21"/>
          <w:szCs w:val="21"/>
          <w:lang w:val="en-US"/>
        </w:rPr>
        <w:t>same quarter of last year</w:t>
      </w:r>
      <w:r w:rsidRPr="00155A64">
        <w:rPr>
          <w:noProof/>
          <w:sz w:val="21"/>
          <w:szCs w:val="21"/>
          <w:lang w:val="en-US" w:eastAsia="en-GB"/>
        </w:rPr>
        <w:t xml:space="preserve"> </w:t>
      </w:r>
      <w:r w:rsidRPr="00155A64">
        <w:rPr>
          <w:noProof/>
          <w:lang w:val="en-US"/>
        </w:rPr>
        <w:t xml:space="preserve"> </w:t>
      </w:r>
    </w:p>
    <w:p w14:paraId="0C69F403" w14:textId="2156B777" w:rsidR="00F560BC" w:rsidRDefault="00C7461D" w:rsidP="00A12631">
      <w:pPr>
        <w:pStyle w:val="NormalWeb"/>
        <w:spacing w:before="0" w:beforeAutospacing="0" w:after="0" w:afterAutospacing="0" w:line="360" w:lineRule="auto"/>
        <w:ind w:right="77"/>
        <w:jc w:val="both"/>
        <w:rPr>
          <w:rFonts w:ascii="Palatino Linotype" w:hAnsi="Palatino Linotype" w:cstheme="minorHAnsi"/>
          <w:sz w:val="18"/>
          <w:szCs w:val="18"/>
          <w:lang w:val="en-US"/>
        </w:rPr>
      </w:pPr>
      <w:r>
        <w:rPr>
          <w:noProof/>
        </w:rPr>
        <w:drawing>
          <wp:inline distT="0" distB="0" distL="0" distR="0" wp14:anchorId="16C90C2D" wp14:editId="4526DE9C">
            <wp:extent cx="5760720" cy="3108325"/>
            <wp:effectExtent l="0" t="0" r="11430" b="15875"/>
            <wp:docPr id="1490319067" name="Chart 1">
              <a:extLst xmlns:a="http://schemas.openxmlformats.org/drawingml/2006/main">
                <a:ext uri="{FF2B5EF4-FFF2-40B4-BE49-F238E27FC236}">
                  <a16:creationId xmlns:a16="http://schemas.microsoft.com/office/drawing/2014/main" id="{EE2C1B8D-E2B3-494F-B51B-45BE1C33E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661345CF"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0FE7" w14:textId="77777777" w:rsidR="00174FC1" w:rsidRDefault="00174FC1" w:rsidP="00DA0C5D">
      <w:r>
        <w:separator/>
      </w:r>
    </w:p>
  </w:endnote>
  <w:endnote w:type="continuationSeparator" w:id="0">
    <w:p w14:paraId="00C172F9" w14:textId="77777777" w:rsidR="00174FC1" w:rsidRDefault="00174FC1" w:rsidP="00DA0C5D">
      <w:r>
        <w:continuationSeparator/>
      </w:r>
    </w:p>
  </w:endnote>
  <w:endnote w:type="continuationNotice" w:id="1">
    <w:p w14:paraId="5EAF48F2" w14:textId="77777777" w:rsidR="00443AFF" w:rsidRDefault="0044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5746" w14:textId="77777777" w:rsidR="00174FC1" w:rsidRDefault="00174FC1" w:rsidP="00DA0C5D">
      <w:r>
        <w:separator/>
      </w:r>
    </w:p>
  </w:footnote>
  <w:footnote w:type="continuationSeparator" w:id="0">
    <w:p w14:paraId="03EA4899" w14:textId="77777777" w:rsidR="00174FC1" w:rsidRDefault="00174FC1" w:rsidP="00DA0C5D">
      <w:r>
        <w:continuationSeparator/>
      </w:r>
    </w:p>
  </w:footnote>
  <w:footnote w:type="continuationNotice" w:id="1">
    <w:p w14:paraId="03D5CC8E" w14:textId="77777777" w:rsidR="00443AFF" w:rsidRDefault="00443AFF"/>
  </w:footnote>
  <w:footnote w:id="2">
    <w:p w14:paraId="6D61CC27" w14:textId="61DF782A"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ozan.bakis@bau.edu.tr</w:t>
      </w:r>
    </w:p>
  </w:footnote>
  <w:footnote w:id="3">
    <w:p w14:paraId="5BE1DCEB" w14:textId="22FBF61B"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9B0ACB">
        <w:rPr>
          <w:rFonts w:ascii="Palatino Linotype" w:hAnsi="Palatino Linotype"/>
          <w:sz w:val="18"/>
          <w:szCs w:val="18"/>
        </w:rPr>
        <w:t>ahmettarik</w:t>
      </w:r>
      <w:r w:rsidR="00D910CD">
        <w:rPr>
          <w:rFonts w:ascii="Palatino Linotype" w:hAnsi="Palatino Linotype"/>
          <w:sz w:val="18"/>
          <w:szCs w:val="18"/>
        </w:rPr>
        <w:t>.</w:t>
      </w:r>
      <w:r w:rsidR="009B0ACB">
        <w:rPr>
          <w:rFonts w:ascii="Palatino Linotype" w:hAnsi="Palatino Linotype"/>
          <w:sz w:val="18"/>
          <w:szCs w:val="18"/>
        </w:rPr>
        <w:t>kocar</w:t>
      </w:r>
      <w:r w:rsidRPr="001866FC">
        <w:rPr>
          <w:rFonts w:ascii="Palatino Linotype" w:hAnsi="Palatino Linotype"/>
          <w:sz w:val="18"/>
          <w:szCs w:val="18"/>
        </w:rPr>
        <w:t>@bau.edu.tr</w:t>
      </w:r>
      <w:r>
        <w:t xml:space="preserve"> </w:t>
      </w:r>
    </w:p>
  </w:footnote>
  <w:footnote w:id="4">
    <w:p w14:paraId="02E4FAD1" w14:textId="1EDCF60B" w:rsidR="00494926" w:rsidRPr="008273F1" w:rsidRDefault="00494926">
      <w:pPr>
        <w:pStyle w:val="FootnoteText"/>
        <w:rPr>
          <w:lang w:val="en-US"/>
        </w:rPr>
      </w:pPr>
      <w:r w:rsidRPr="008273F1">
        <w:rPr>
          <w:rStyle w:val="FootnoteReference"/>
          <w:lang w:val="en-US"/>
        </w:rPr>
        <w:footnoteRef/>
      </w:r>
      <w:r w:rsidRPr="008273F1">
        <w:rPr>
          <w:lang w:val="en-US"/>
        </w:rPr>
        <w:t xml:space="preserve"> </w:t>
      </w:r>
      <w:proofErr w:type="spellStart"/>
      <w:r w:rsidR="008273F1" w:rsidRPr="008273F1">
        <w:rPr>
          <w:lang w:val="en-US"/>
        </w:rPr>
        <w:t>TurkStat</w:t>
      </w:r>
      <w:proofErr w:type="spellEnd"/>
      <w:r w:rsidR="008273F1" w:rsidRPr="008273F1">
        <w:rPr>
          <w:lang w:val="en-US"/>
        </w:rPr>
        <w:t xml:space="preserve">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w:t>
      </w:r>
      <w:proofErr w:type="spellStart"/>
      <w:r w:rsidR="008273F1" w:rsidRPr="008273F1">
        <w:rPr>
          <w:lang w:val="en-US"/>
        </w:rPr>
        <w:t>Betam</w:t>
      </w:r>
      <w:proofErr w:type="spellEnd"/>
      <w:r w:rsidR="008273F1" w:rsidRPr="008273F1">
        <w:rPr>
          <w:lang w:val="en-US"/>
        </w:rPr>
        <w:t xml:space="preserve">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91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rgUAxT2duywAAAA="/>
  </w:docVars>
  <w:rsids>
    <w:rsidRoot w:val="00D07713"/>
    <w:rsid w:val="0000013E"/>
    <w:rsid w:val="0000228F"/>
    <w:rsid w:val="00006890"/>
    <w:rsid w:val="00007C3F"/>
    <w:rsid w:val="000135D8"/>
    <w:rsid w:val="0001392F"/>
    <w:rsid w:val="000141C7"/>
    <w:rsid w:val="00017B51"/>
    <w:rsid w:val="00017E91"/>
    <w:rsid w:val="0002166C"/>
    <w:rsid w:val="00030A2C"/>
    <w:rsid w:val="00036770"/>
    <w:rsid w:val="000404B3"/>
    <w:rsid w:val="00041FB7"/>
    <w:rsid w:val="0004390D"/>
    <w:rsid w:val="00043D17"/>
    <w:rsid w:val="00044AF3"/>
    <w:rsid w:val="00044D9E"/>
    <w:rsid w:val="0004588B"/>
    <w:rsid w:val="000466FF"/>
    <w:rsid w:val="0005290F"/>
    <w:rsid w:val="00052B86"/>
    <w:rsid w:val="00054943"/>
    <w:rsid w:val="00055EA1"/>
    <w:rsid w:val="000561F7"/>
    <w:rsid w:val="000570B7"/>
    <w:rsid w:val="00057F8E"/>
    <w:rsid w:val="00061936"/>
    <w:rsid w:val="00062A8A"/>
    <w:rsid w:val="000652B6"/>
    <w:rsid w:val="00070018"/>
    <w:rsid w:val="000725DB"/>
    <w:rsid w:val="00073415"/>
    <w:rsid w:val="00073E72"/>
    <w:rsid w:val="000753CE"/>
    <w:rsid w:val="000769CF"/>
    <w:rsid w:val="00076F51"/>
    <w:rsid w:val="000772A5"/>
    <w:rsid w:val="00080211"/>
    <w:rsid w:val="00080336"/>
    <w:rsid w:val="00081C81"/>
    <w:rsid w:val="00085271"/>
    <w:rsid w:val="00087011"/>
    <w:rsid w:val="000905E5"/>
    <w:rsid w:val="0009191B"/>
    <w:rsid w:val="00091F3E"/>
    <w:rsid w:val="00096CDA"/>
    <w:rsid w:val="00097794"/>
    <w:rsid w:val="000978C8"/>
    <w:rsid w:val="000A05ED"/>
    <w:rsid w:val="000A3019"/>
    <w:rsid w:val="000A612E"/>
    <w:rsid w:val="000A770F"/>
    <w:rsid w:val="000B0D12"/>
    <w:rsid w:val="000B0FC1"/>
    <w:rsid w:val="000B45D6"/>
    <w:rsid w:val="000C1672"/>
    <w:rsid w:val="000C5C80"/>
    <w:rsid w:val="000C634D"/>
    <w:rsid w:val="000D5FD3"/>
    <w:rsid w:val="000D6E6C"/>
    <w:rsid w:val="000D70D1"/>
    <w:rsid w:val="000E09A9"/>
    <w:rsid w:val="000E2388"/>
    <w:rsid w:val="000E3805"/>
    <w:rsid w:val="000E445D"/>
    <w:rsid w:val="000F0B6B"/>
    <w:rsid w:val="000F28B9"/>
    <w:rsid w:val="000F2C7A"/>
    <w:rsid w:val="000F378E"/>
    <w:rsid w:val="000F6529"/>
    <w:rsid w:val="001004FF"/>
    <w:rsid w:val="0010209C"/>
    <w:rsid w:val="001104E9"/>
    <w:rsid w:val="00111CED"/>
    <w:rsid w:val="00114BBE"/>
    <w:rsid w:val="0011613D"/>
    <w:rsid w:val="001163CA"/>
    <w:rsid w:val="001239FD"/>
    <w:rsid w:val="0012527F"/>
    <w:rsid w:val="00125770"/>
    <w:rsid w:val="00126200"/>
    <w:rsid w:val="001272BD"/>
    <w:rsid w:val="00130D73"/>
    <w:rsid w:val="001314B0"/>
    <w:rsid w:val="00132910"/>
    <w:rsid w:val="00140468"/>
    <w:rsid w:val="00143F17"/>
    <w:rsid w:val="00144187"/>
    <w:rsid w:val="0014542A"/>
    <w:rsid w:val="00150D02"/>
    <w:rsid w:val="00150FFB"/>
    <w:rsid w:val="001527FA"/>
    <w:rsid w:val="001537D8"/>
    <w:rsid w:val="001540B7"/>
    <w:rsid w:val="00154296"/>
    <w:rsid w:val="0016084A"/>
    <w:rsid w:val="00160880"/>
    <w:rsid w:val="00163FF8"/>
    <w:rsid w:val="001648AB"/>
    <w:rsid w:val="0017057D"/>
    <w:rsid w:val="00173CB3"/>
    <w:rsid w:val="001744CD"/>
    <w:rsid w:val="00174FC1"/>
    <w:rsid w:val="00175563"/>
    <w:rsid w:val="00176914"/>
    <w:rsid w:val="00177002"/>
    <w:rsid w:val="001777A4"/>
    <w:rsid w:val="0018090D"/>
    <w:rsid w:val="00184174"/>
    <w:rsid w:val="00184B02"/>
    <w:rsid w:val="001851FE"/>
    <w:rsid w:val="001855BC"/>
    <w:rsid w:val="001866FC"/>
    <w:rsid w:val="00190944"/>
    <w:rsid w:val="0019279B"/>
    <w:rsid w:val="00194FF2"/>
    <w:rsid w:val="001978A0"/>
    <w:rsid w:val="001A080D"/>
    <w:rsid w:val="001A12DC"/>
    <w:rsid w:val="001A42FF"/>
    <w:rsid w:val="001A46C5"/>
    <w:rsid w:val="001A5699"/>
    <w:rsid w:val="001B1A85"/>
    <w:rsid w:val="001B371C"/>
    <w:rsid w:val="001B3A44"/>
    <w:rsid w:val="001B79D6"/>
    <w:rsid w:val="001C2763"/>
    <w:rsid w:val="001C2C68"/>
    <w:rsid w:val="001C65BF"/>
    <w:rsid w:val="001C7370"/>
    <w:rsid w:val="001D0150"/>
    <w:rsid w:val="001D16EA"/>
    <w:rsid w:val="001D181C"/>
    <w:rsid w:val="001D2107"/>
    <w:rsid w:val="001D36E7"/>
    <w:rsid w:val="001D420E"/>
    <w:rsid w:val="001D5B02"/>
    <w:rsid w:val="001D6465"/>
    <w:rsid w:val="001D7073"/>
    <w:rsid w:val="001D7513"/>
    <w:rsid w:val="001D7863"/>
    <w:rsid w:val="001E181B"/>
    <w:rsid w:val="001E2E49"/>
    <w:rsid w:val="001E3C98"/>
    <w:rsid w:val="001E495B"/>
    <w:rsid w:val="001E514D"/>
    <w:rsid w:val="001E72E4"/>
    <w:rsid w:val="001F12E3"/>
    <w:rsid w:val="001F1554"/>
    <w:rsid w:val="001F2DE9"/>
    <w:rsid w:val="001F5841"/>
    <w:rsid w:val="001F7B1D"/>
    <w:rsid w:val="001F7BC7"/>
    <w:rsid w:val="002006F8"/>
    <w:rsid w:val="00201E79"/>
    <w:rsid w:val="00202302"/>
    <w:rsid w:val="00205844"/>
    <w:rsid w:val="00206F72"/>
    <w:rsid w:val="002106DF"/>
    <w:rsid w:val="00211E95"/>
    <w:rsid w:val="00212579"/>
    <w:rsid w:val="00212782"/>
    <w:rsid w:val="00214914"/>
    <w:rsid w:val="00214B5E"/>
    <w:rsid w:val="0022637C"/>
    <w:rsid w:val="0022673E"/>
    <w:rsid w:val="00232635"/>
    <w:rsid w:val="00232745"/>
    <w:rsid w:val="002343A8"/>
    <w:rsid w:val="00235546"/>
    <w:rsid w:val="00235DBE"/>
    <w:rsid w:val="00241944"/>
    <w:rsid w:val="00242C10"/>
    <w:rsid w:val="00247A3C"/>
    <w:rsid w:val="0025111C"/>
    <w:rsid w:val="002515D2"/>
    <w:rsid w:val="00253E19"/>
    <w:rsid w:val="0025499A"/>
    <w:rsid w:val="00265553"/>
    <w:rsid w:val="002663FD"/>
    <w:rsid w:val="002676CD"/>
    <w:rsid w:val="00267F48"/>
    <w:rsid w:val="00270A75"/>
    <w:rsid w:val="002714F9"/>
    <w:rsid w:val="00272912"/>
    <w:rsid w:val="002729B4"/>
    <w:rsid w:val="002755D9"/>
    <w:rsid w:val="00275745"/>
    <w:rsid w:val="002804E5"/>
    <w:rsid w:val="00282242"/>
    <w:rsid w:val="002829BC"/>
    <w:rsid w:val="002847DE"/>
    <w:rsid w:val="0028498B"/>
    <w:rsid w:val="0029215C"/>
    <w:rsid w:val="00293D43"/>
    <w:rsid w:val="00295E9A"/>
    <w:rsid w:val="0029623C"/>
    <w:rsid w:val="0029624E"/>
    <w:rsid w:val="002A037D"/>
    <w:rsid w:val="002A07A9"/>
    <w:rsid w:val="002A16BA"/>
    <w:rsid w:val="002A57DB"/>
    <w:rsid w:val="002A69AD"/>
    <w:rsid w:val="002A7C37"/>
    <w:rsid w:val="002B2172"/>
    <w:rsid w:val="002B25BD"/>
    <w:rsid w:val="002B2A1B"/>
    <w:rsid w:val="002B3C10"/>
    <w:rsid w:val="002B4A1A"/>
    <w:rsid w:val="002B5967"/>
    <w:rsid w:val="002C00A1"/>
    <w:rsid w:val="002C4CC7"/>
    <w:rsid w:val="002C4E2F"/>
    <w:rsid w:val="002C5C24"/>
    <w:rsid w:val="002C64BB"/>
    <w:rsid w:val="002C7C80"/>
    <w:rsid w:val="002D1797"/>
    <w:rsid w:val="002D4D2D"/>
    <w:rsid w:val="002E2BBD"/>
    <w:rsid w:val="002E555E"/>
    <w:rsid w:val="002F2245"/>
    <w:rsid w:val="002F26B4"/>
    <w:rsid w:val="002F2D70"/>
    <w:rsid w:val="002F3163"/>
    <w:rsid w:val="002F63B2"/>
    <w:rsid w:val="00302EDD"/>
    <w:rsid w:val="003061DC"/>
    <w:rsid w:val="003079ED"/>
    <w:rsid w:val="00310C5C"/>
    <w:rsid w:val="00311BB2"/>
    <w:rsid w:val="00311EFF"/>
    <w:rsid w:val="00313311"/>
    <w:rsid w:val="003162CB"/>
    <w:rsid w:val="003172DB"/>
    <w:rsid w:val="003207F6"/>
    <w:rsid w:val="003208E6"/>
    <w:rsid w:val="0032176F"/>
    <w:rsid w:val="00321D78"/>
    <w:rsid w:val="0032280F"/>
    <w:rsid w:val="0032324A"/>
    <w:rsid w:val="00324C51"/>
    <w:rsid w:val="00325894"/>
    <w:rsid w:val="00326195"/>
    <w:rsid w:val="00326678"/>
    <w:rsid w:val="00327CFB"/>
    <w:rsid w:val="00334E27"/>
    <w:rsid w:val="0033649B"/>
    <w:rsid w:val="00337B14"/>
    <w:rsid w:val="00342DCC"/>
    <w:rsid w:val="003449E9"/>
    <w:rsid w:val="00344A74"/>
    <w:rsid w:val="003464FE"/>
    <w:rsid w:val="00347AE9"/>
    <w:rsid w:val="00351F12"/>
    <w:rsid w:val="00362359"/>
    <w:rsid w:val="00364AAB"/>
    <w:rsid w:val="00370A07"/>
    <w:rsid w:val="00370FEE"/>
    <w:rsid w:val="00374A57"/>
    <w:rsid w:val="00375EB0"/>
    <w:rsid w:val="003771C7"/>
    <w:rsid w:val="003777B5"/>
    <w:rsid w:val="00385A29"/>
    <w:rsid w:val="00385C7B"/>
    <w:rsid w:val="00385D4E"/>
    <w:rsid w:val="003967B5"/>
    <w:rsid w:val="003A4849"/>
    <w:rsid w:val="003A488B"/>
    <w:rsid w:val="003A4C32"/>
    <w:rsid w:val="003A7596"/>
    <w:rsid w:val="003B2008"/>
    <w:rsid w:val="003B2D0B"/>
    <w:rsid w:val="003B3122"/>
    <w:rsid w:val="003B69B2"/>
    <w:rsid w:val="003C233A"/>
    <w:rsid w:val="003C267D"/>
    <w:rsid w:val="003C2891"/>
    <w:rsid w:val="003C65A1"/>
    <w:rsid w:val="003C795F"/>
    <w:rsid w:val="003D4202"/>
    <w:rsid w:val="003D44CE"/>
    <w:rsid w:val="003D4627"/>
    <w:rsid w:val="003E1EED"/>
    <w:rsid w:val="003E3299"/>
    <w:rsid w:val="003E3EDF"/>
    <w:rsid w:val="003E5C0F"/>
    <w:rsid w:val="003F00A9"/>
    <w:rsid w:val="003F4E89"/>
    <w:rsid w:val="003F6C2B"/>
    <w:rsid w:val="004017B2"/>
    <w:rsid w:val="00401813"/>
    <w:rsid w:val="00401CD1"/>
    <w:rsid w:val="00401F56"/>
    <w:rsid w:val="0040374C"/>
    <w:rsid w:val="0040376D"/>
    <w:rsid w:val="004040C3"/>
    <w:rsid w:val="0040450F"/>
    <w:rsid w:val="004046BE"/>
    <w:rsid w:val="00405BD8"/>
    <w:rsid w:val="00407C84"/>
    <w:rsid w:val="00416A4B"/>
    <w:rsid w:val="00417F6E"/>
    <w:rsid w:val="00422850"/>
    <w:rsid w:val="00424382"/>
    <w:rsid w:val="004260AF"/>
    <w:rsid w:val="00431236"/>
    <w:rsid w:val="00431C38"/>
    <w:rsid w:val="00433A75"/>
    <w:rsid w:val="0044116A"/>
    <w:rsid w:val="004426B4"/>
    <w:rsid w:val="004435E3"/>
    <w:rsid w:val="00443AFF"/>
    <w:rsid w:val="00443C08"/>
    <w:rsid w:val="00447743"/>
    <w:rsid w:val="0045059C"/>
    <w:rsid w:val="00450CEA"/>
    <w:rsid w:val="00451A8A"/>
    <w:rsid w:val="004623F2"/>
    <w:rsid w:val="004647F0"/>
    <w:rsid w:val="00476131"/>
    <w:rsid w:val="00476E22"/>
    <w:rsid w:val="00477AED"/>
    <w:rsid w:val="00480684"/>
    <w:rsid w:val="00483EC5"/>
    <w:rsid w:val="00484630"/>
    <w:rsid w:val="0048774D"/>
    <w:rsid w:val="00490AAE"/>
    <w:rsid w:val="00492020"/>
    <w:rsid w:val="004931A5"/>
    <w:rsid w:val="00494926"/>
    <w:rsid w:val="004A286F"/>
    <w:rsid w:val="004A4910"/>
    <w:rsid w:val="004B0D97"/>
    <w:rsid w:val="004B130D"/>
    <w:rsid w:val="004B6E05"/>
    <w:rsid w:val="004B7166"/>
    <w:rsid w:val="004C548E"/>
    <w:rsid w:val="004D1FAD"/>
    <w:rsid w:val="004D583E"/>
    <w:rsid w:val="004D626D"/>
    <w:rsid w:val="004D6586"/>
    <w:rsid w:val="004E0098"/>
    <w:rsid w:val="004E5018"/>
    <w:rsid w:val="004E5C57"/>
    <w:rsid w:val="004F0543"/>
    <w:rsid w:val="004F10AB"/>
    <w:rsid w:val="004F4BDC"/>
    <w:rsid w:val="004F6A35"/>
    <w:rsid w:val="0050008F"/>
    <w:rsid w:val="00500EB9"/>
    <w:rsid w:val="00501CB7"/>
    <w:rsid w:val="005020BC"/>
    <w:rsid w:val="005033DB"/>
    <w:rsid w:val="00503A7A"/>
    <w:rsid w:val="00505041"/>
    <w:rsid w:val="00506253"/>
    <w:rsid w:val="00507586"/>
    <w:rsid w:val="00510883"/>
    <w:rsid w:val="00513359"/>
    <w:rsid w:val="005150C1"/>
    <w:rsid w:val="005171C3"/>
    <w:rsid w:val="00521326"/>
    <w:rsid w:val="005225E0"/>
    <w:rsid w:val="00523827"/>
    <w:rsid w:val="00530B9F"/>
    <w:rsid w:val="00531E24"/>
    <w:rsid w:val="00533672"/>
    <w:rsid w:val="0053582F"/>
    <w:rsid w:val="0053586E"/>
    <w:rsid w:val="00536FD0"/>
    <w:rsid w:val="005412B2"/>
    <w:rsid w:val="0054145E"/>
    <w:rsid w:val="00542345"/>
    <w:rsid w:val="005438B0"/>
    <w:rsid w:val="00544773"/>
    <w:rsid w:val="005600E7"/>
    <w:rsid w:val="00561710"/>
    <w:rsid w:val="00562AA1"/>
    <w:rsid w:val="005635AF"/>
    <w:rsid w:val="00566223"/>
    <w:rsid w:val="00570C1B"/>
    <w:rsid w:val="00572FD8"/>
    <w:rsid w:val="005748A8"/>
    <w:rsid w:val="00574BB8"/>
    <w:rsid w:val="00576C92"/>
    <w:rsid w:val="0058091B"/>
    <w:rsid w:val="005814C0"/>
    <w:rsid w:val="005824BD"/>
    <w:rsid w:val="00583144"/>
    <w:rsid w:val="0058588C"/>
    <w:rsid w:val="00586424"/>
    <w:rsid w:val="0058703D"/>
    <w:rsid w:val="005926CB"/>
    <w:rsid w:val="00593041"/>
    <w:rsid w:val="00594669"/>
    <w:rsid w:val="00594859"/>
    <w:rsid w:val="00597D3A"/>
    <w:rsid w:val="005A2246"/>
    <w:rsid w:val="005A3B33"/>
    <w:rsid w:val="005A3C47"/>
    <w:rsid w:val="005A617F"/>
    <w:rsid w:val="005B35F3"/>
    <w:rsid w:val="005B438A"/>
    <w:rsid w:val="005B67B3"/>
    <w:rsid w:val="005C00FE"/>
    <w:rsid w:val="005C08B0"/>
    <w:rsid w:val="005C4436"/>
    <w:rsid w:val="005C51D9"/>
    <w:rsid w:val="005C6245"/>
    <w:rsid w:val="005D00FB"/>
    <w:rsid w:val="005D27F8"/>
    <w:rsid w:val="005D2979"/>
    <w:rsid w:val="005D3C96"/>
    <w:rsid w:val="005D4126"/>
    <w:rsid w:val="005D658E"/>
    <w:rsid w:val="005D72F5"/>
    <w:rsid w:val="005D7F3E"/>
    <w:rsid w:val="005E2717"/>
    <w:rsid w:val="005E458B"/>
    <w:rsid w:val="005E49F0"/>
    <w:rsid w:val="005F0C29"/>
    <w:rsid w:val="005F0FF9"/>
    <w:rsid w:val="005F26AF"/>
    <w:rsid w:val="005F60F3"/>
    <w:rsid w:val="005F63C3"/>
    <w:rsid w:val="005F69B2"/>
    <w:rsid w:val="005F7787"/>
    <w:rsid w:val="0060214D"/>
    <w:rsid w:val="00602C2B"/>
    <w:rsid w:val="0060593A"/>
    <w:rsid w:val="00610889"/>
    <w:rsid w:val="00610EAA"/>
    <w:rsid w:val="0061333E"/>
    <w:rsid w:val="006138F0"/>
    <w:rsid w:val="00613D1F"/>
    <w:rsid w:val="0061410A"/>
    <w:rsid w:val="00625B95"/>
    <w:rsid w:val="006268DA"/>
    <w:rsid w:val="00630E99"/>
    <w:rsid w:val="006318CD"/>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69B5"/>
    <w:rsid w:val="00657B23"/>
    <w:rsid w:val="00664F82"/>
    <w:rsid w:val="006679E6"/>
    <w:rsid w:val="0067008D"/>
    <w:rsid w:val="0067066F"/>
    <w:rsid w:val="006761BB"/>
    <w:rsid w:val="0067693E"/>
    <w:rsid w:val="00680AE4"/>
    <w:rsid w:val="00680E36"/>
    <w:rsid w:val="00681022"/>
    <w:rsid w:val="006813D8"/>
    <w:rsid w:val="00681AD9"/>
    <w:rsid w:val="00686AAF"/>
    <w:rsid w:val="0069128A"/>
    <w:rsid w:val="00693077"/>
    <w:rsid w:val="00693B52"/>
    <w:rsid w:val="00694B4D"/>
    <w:rsid w:val="00694F52"/>
    <w:rsid w:val="00695471"/>
    <w:rsid w:val="006A201E"/>
    <w:rsid w:val="006A308B"/>
    <w:rsid w:val="006B0633"/>
    <w:rsid w:val="006C122C"/>
    <w:rsid w:val="006C3DFE"/>
    <w:rsid w:val="006C3EE6"/>
    <w:rsid w:val="006C49A7"/>
    <w:rsid w:val="006D02FD"/>
    <w:rsid w:val="006D160C"/>
    <w:rsid w:val="006D1DD6"/>
    <w:rsid w:val="006D32A0"/>
    <w:rsid w:val="006E07BA"/>
    <w:rsid w:val="006E68B6"/>
    <w:rsid w:val="006F0FC6"/>
    <w:rsid w:val="006F1912"/>
    <w:rsid w:val="006F2CD8"/>
    <w:rsid w:val="006F49E7"/>
    <w:rsid w:val="006F5E82"/>
    <w:rsid w:val="006F615A"/>
    <w:rsid w:val="007011B6"/>
    <w:rsid w:val="0070188F"/>
    <w:rsid w:val="00703D6B"/>
    <w:rsid w:val="00707FBD"/>
    <w:rsid w:val="00711441"/>
    <w:rsid w:val="007117F1"/>
    <w:rsid w:val="00711A8A"/>
    <w:rsid w:val="007135FC"/>
    <w:rsid w:val="0071407A"/>
    <w:rsid w:val="007201BD"/>
    <w:rsid w:val="00720250"/>
    <w:rsid w:val="007224AF"/>
    <w:rsid w:val="00724E7C"/>
    <w:rsid w:val="00726C51"/>
    <w:rsid w:val="0073061C"/>
    <w:rsid w:val="00731521"/>
    <w:rsid w:val="007362AC"/>
    <w:rsid w:val="00740D2B"/>
    <w:rsid w:val="0074205B"/>
    <w:rsid w:val="0075142F"/>
    <w:rsid w:val="00751F72"/>
    <w:rsid w:val="007524EB"/>
    <w:rsid w:val="007559DB"/>
    <w:rsid w:val="00761711"/>
    <w:rsid w:val="00765445"/>
    <w:rsid w:val="00770459"/>
    <w:rsid w:val="0077111C"/>
    <w:rsid w:val="007715F2"/>
    <w:rsid w:val="00771EF2"/>
    <w:rsid w:val="00773A17"/>
    <w:rsid w:val="00773D69"/>
    <w:rsid w:val="00773D8B"/>
    <w:rsid w:val="00776789"/>
    <w:rsid w:val="00777AEF"/>
    <w:rsid w:val="00783CD4"/>
    <w:rsid w:val="00790E8D"/>
    <w:rsid w:val="0079216E"/>
    <w:rsid w:val="00792F4E"/>
    <w:rsid w:val="00797437"/>
    <w:rsid w:val="0079765D"/>
    <w:rsid w:val="007A0630"/>
    <w:rsid w:val="007A0DBE"/>
    <w:rsid w:val="007A1767"/>
    <w:rsid w:val="007A2E24"/>
    <w:rsid w:val="007A5FB1"/>
    <w:rsid w:val="007A6387"/>
    <w:rsid w:val="007B5A28"/>
    <w:rsid w:val="007B70AD"/>
    <w:rsid w:val="007C1995"/>
    <w:rsid w:val="007C462A"/>
    <w:rsid w:val="007D4953"/>
    <w:rsid w:val="007E1D16"/>
    <w:rsid w:val="007F13F2"/>
    <w:rsid w:val="007F39BB"/>
    <w:rsid w:val="007F3B7C"/>
    <w:rsid w:val="007F3C9B"/>
    <w:rsid w:val="007F3CED"/>
    <w:rsid w:val="008057C2"/>
    <w:rsid w:val="008063E6"/>
    <w:rsid w:val="0081114C"/>
    <w:rsid w:val="008151D2"/>
    <w:rsid w:val="0081589C"/>
    <w:rsid w:val="00817A10"/>
    <w:rsid w:val="008271AD"/>
    <w:rsid w:val="008273F1"/>
    <w:rsid w:val="008275A8"/>
    <w:rsid w:val="00830B62"/>
    <w:rsid w:val="008312F9"/>
    <w:rsid w:val="00832402"/>
    <w:rsid w:val="0083370A"/>
    <w:rsid w:val="00835D87"/>
    <w:rsid w:val="0083655C"/>
    <w:rsid w:val="008379FE"/>
    <w:rsid w:val="00837B95"/>
    <w:rsid w:val="00841183"/>
    <w:rsid w:val="00841E4C"/>
    <w:rsid w:val="00844C00"/>
    <w:rsid w:val="00844C47"/>
    <w:rsid w:val="0084500C"/>
    <w:rsid w:val="00845815"/>
    <w:rsid w:val="00845A54"/>
    <w:rsid w:val="0084623F"/>
    <w:rsid w:val="008469D3"/>
    <w:rsid w:val="00852075"/>
    <w:rsid w:val="008533E6"/>
    <w:rsid w:val="00856B55"/>
    <w:rsid w:val="00857C0E"/>
    <w:rsid w:val="00862F7D"/>
    <w:rsid w:val="00864605"/>
    <w:rsid w:val="0086495E"/>
    <w:rsid w:val="00865CE6"/>
    <w:rsid w:val="008677E2"/>
    <w:rsid w:val="0086789C"/>
    <w:rsid w:val="00867DEE"/>
    <w:rsid w:val="0087023B"/>
    <w:rsid w:val="00870A3F"/>
    <w:rsid w:val="008753B3"/>
    <w:rsid w:val="0088079F"/>
    <w:rsid w:val="00881E18"/>
    <w:rsid w:val="00882039"/>
    <w:rsid w:val="0088270D"/>
    <w:rsid w:val="00884819"/>
    <w:rsid w:val="0089048A"/>
    <w:rsid w:val="008914E6"/>
    <w:rsid w:val="0089158B"/>
    <w:rsid w:val="00891C6B"/>
    <w:rsid w:val="00893320"/>
    <w:rsid w:val="00894070"/>
    <w:rsid w:val="008945AE"/>
    <w:rsid w:val="008949E0"/>
    <w:rsid w:val="008A3BD9"/>
    <w:rsid w:val="008A561F"/>
    <w:rsid w:val="008B0385"/>
    <w:rsid w:val="008B29F8"/>
    <w:rsid w:val="008B6FC3"/>
    <w:rsid w:val="008B7350"/>
    <w:rsid w:val="008C51CA"/>
    <w:rsid w:val="008C56F9"/>
    <w:rsid w:val="008C70C5"/>
    <w:rsid w:val="008C70F2"/>
    <w:rsid w:val="008C73E6"/>
    <w:rsid w:val="008D19E5"/>
    <w:rsid w:val="008D287D"/>
    <w:rsid w:val="008D2FEF"/>
    <w:rsid w:val="008D5E07"/>
    <w:rsid w:val="008D7AA2"/>
    <w:rsid w:val="008F1741"/>
    <w:rsid w:val="008F2BCD"/>
    <w:rsid w:val="008F6B3C"/>
    <w:rsid w:val="008F7702"/>
    <w:rsid w:val="008F7D61"/>
    <w:rsid w:val="00902A07"/>
    <w:rsid w:val="00905810"/>
    <w:rsid w:val="00912A8A"/>
    <w:rsid w:val="0091485C"/>
    <w:rsid w:val="00914D26"/>
    <w:rsid w:val="0091617E"/>
    <w:rsid w:val="00916533"/>
    <w:rsid w:val="00916C78"/>
    <w:rsid w:val="00917330"/>
    <w:rsid w:val="009176DF"/>
    <w:rsid w:val="009204AA"/>
    <w:rsid w:val="00920878"/>
    <w:rsid w:val="00920DA2"/>
    <w:rsid w:val="00922059"/>
    <w:rsid w:val="0092255D"/>
    <w:rsid w:val="0092349F"/>
    <w:rsid w:val="00923747"/>
    <w:rsid w:val="009247BA"/>
    <w:rsid w:val="00924CD9"/>
    <w:rsid w:val="00927D28"/>
    <w:rsid w:val="00930C9D"/>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28D9"/>
    <w:rsid w:val="00994CB0"/>
    <w:rsid w:val="00996151"/>
    <w:rsid w:val="00996EBD"/>
    <w:rsid w:val="00997694"/>
    <w:rsid w:val="00997713"/>
    <w:rsid w:val="00997C54"/>
    <w:rsid w:val="009A71AF"/>
    <w:rsid w:val="009B07DD"/>
    <w:rsid w:val="009B0ACB"/>
    <w:rsid w:val="009B1546"/>
    <w:rsid w:val="009B16AD"/>
    <w:rsid w:val="009B2E56"/>
    <w:rsid w:val="009B3197"/>
    <w:rsid w:val="009B385A"/>
    <w:rsid w:val="009B651F"/>
    <w:rsid w:val="009C2C5D"/>
    <w:rsid w:val="009C40EF"/>
    <w:rsid w:val="009C66C3"/>
    <w:rsid w:val="009D20D5"/>
    <w:rsid w:val="009D62AC"/>
    <w:rsid w:val="009D71BF"/>
    <w:rsid w:val="009E0348"/>
    <w:rsid w:val="009E25DA"/>
    <w:rsid w:val="009E2AA5"/>
    <w:rsid w:val="009E5241"/>
    <w:rsid w:val="009E68C6"/>
    <w:rsid w:val="009E77E1"/>
    <w:rsid w:val="009F23C4"/>
    <w:rsid w:val="009F2483"/>
    <w:rsid w:val="009F42CC"/>
    <w:rsid w:val="009F50B7"/>
    <w:rsid w:val="009F603E"/>
    <w:rsid w:val="009F6397"/>
    <w:rsid w:val="00A0084D"/>
    <w:rsid w:val="00A012CD"/>
    <w:rsid w:val="00A0130D"/>
    <w:rsid w:val="00A03316"/>
    <w:rsid w:val="00A0483D"/>
    <w:rsid w:val="00A04EFA"/>
    <w:rsid w:val="00A06A3E"/>
    <w:rsid w:val="00A06C40"/>
    <w:rsid w:val="00A10891"/>
    <w:rsid w:val="00A109C3"/>
    <w:rsid w:val="00A12228"/>
    <w:rsid w:val="00A12631"/>
    <w:rsid w:val="00A15DC3"/>
    <w:rsid w:val="00A170FB"/>
    <w:rsid w:val="00A2147D"/>
    <w:rsid w:val="00A251CD"/>
    <w:rsid w:val="00A25823"/>
    <w:rsid w:val="00A2601A"/>
    <w:rsid w:val="00A303D5"/>
    <w:rsid w:val="00A3095F"/>
    <w:rsid w:val="00A310EA"/>
    <w:rsid w:val="00A322AA"/>
    <w:rsid w:val="00A327F6"/>
    <w:rsid w:val="00A33E71"/>
    <w:rsid w:val="00A34DB9"/>
    <w:rsid w:val="00A40E31"/>
    <w:rsid w:val="00A444F9"/>
    <w:rsid w:val="00A46C4A"/>
    <w:rsid w:val="00A476C4"/>
    <w:rsid w:val="00A50FB7"/>
    <w:rsid w:val="00A57B44"/>
    <w:rsid w:val="00A6009C"/>
    <w:rsid w:val="00A603BC"/>
    <w:rsid w:val="00A6165E"/>
    <w:rsid w:val="00A648DB"/>
    <w:rsid w:val="00A657E5"/>
    <w:rsid w:val="00A675D3"/>
    <w:rsid w:val="00A719DB"/>
    <w:rsid w:val="00A72836"/>
    <w:rsid w:val="00A728DD"/>
    <w:rsid w:val="00A73EA9"/>
    <w:rsid w:val="00A7662B"/>
    <w:rsid w:val="00A842EA"/>
    <w:rsid w:val="00A8572B"/>
    <w:rsid w:val="00A86808"/>
    <w:rsid w:val="00A874DA"/>
    <w:rsid w:val="00A90B4F"/>
    <w:rsid w:val="00A90F77"/>
    <w:rsid w:val="00A92286"/>
    <w:rsid w:val="00A9270B"/>
    <w:rsid w:val="00A96DDC"/>
    <w:rsid w:val="00AA1706"/>
    <w:rsid w:val="00AA187A"/>
    <w:rsid w:val="00AA5024"/>
    <w:rsid w:val="00AA678E"/>
    <w:rsid w:val="00AA75BD"/>
    <w:rsid w:val="00AB1006"/>
    <w:rsid w:val="00AB36F7"/>
    <w:rsid w:val="00AB4511"/>
    <w:rsid w:val="00AB63B9"/>
    <w:rsid w:val="00AC2B3D"/>
    <w:rsid w:val="00AC4D0D"/>
    <w:rsid w:val="00AC59ED"/>
    <w:rsid w:val="00AD01B6"/>
    <w:rsid w:val="00AD7A16"/>
    <w:rsid w:val="00AD7ADC"/>
    <w:rsid w:val="00AE0998"/>
    <w:rsid w:val="00AE0D6A"/>
    <w:rsid w:val="00AE2C37"/>
    <w:rsid w:val="00AE2F80"/>
    <w:rsid w:val="00AE59EE"/>
    <w:rsid w:val="00AF3D11"/>
    <w:rsid w:val="00AF4774"/>
    <w:rsid w:val="00AF78D0"/>
    <w:rsid w:val="00B01508"/>
    <w:rsid w:val="00B01533"/>
    <w:rsid w:val="00B02076"/>
    <w:rsid w:val="00B02D74"/>
    <w:rsid w:val="00B03DA9"/>
    <w:rsid w:val="00B119E3"/>
    <w:rsid w:val="00B17241"/>
    <w:rsid w:val="00B17B6A"/>
    <w:rsid w:val="00B215AC"/>
    <w:rsid w:val="00B24D13"/>
    <w:rsid w:val="00B27C9F"/>
    <w:rsid w:val="00B31BB2"/>
    <w:rsid w:val="00B31FC9"/>
    <w:rsid w:val="00B34132"/>
    <w:rsid w:val="00B35FDB"/>
    <w:rsid w:val="00B366B7"/>
    <w:rsid w:val="00B36BFA"/>
    <w:rsid w:val="00B45DFF"/>
    <w:rsid w:val="00B4685F"/>
    <w:rsid w:val="00B51116"/>
    <w:rsid w:val="00B5190A"/>
    <w:rsid w:val="00B56D03"/>
    <w:rsid w:val="00B62037"/>
    <w:rsid w:val="00B703DE"/>
    <w:rsid w:val="00B74E5B"/>
    <w:rsid w:val="00B765FF"/>
    <w:rsid w:val="00B76782"/>
    <w:rsid w:val="00B82B92"/>
    <w:rsid w:val="00B86DAF"/>
    <w:rsid w:val="00B9319A"/>
    <w:rsid w:val="00B95E66"/>
    <w:rsid w:val="00B96779"/>
    <w:rsid w:val="00BA0925"/>
    <w:rsid w:val="00BA3C62"/>
    <w:rsid w:val="00BA5FF0"/>
    <w:rsid w:val="00BA7E44"/>
    <w:rsid w:val="00BB0912"/>
    <w:rsid w:val="00BB1741"/>
    <w:rsid w:val="00BB3448"/>
    <w:rsid w:val="00BB3FE6"/>
    <w:rsid w:val="00BB5725"/>
    <w:rsid w:val="00BC02B8"/>
    <w:rsid w:val="00BC1EF8"/>
    <w:rsid w:val="00BC3CCB"/>
    <w:rsid w:val="00BC6CE5"/>
    <w:rsid w:val="00BC7A19"/>
    <w:rsid w:val="00BD00B2"/>
    <w:rsid w:val="00BD0993"/>
    <w:rsid w:val="00BD0A1E"/>
    <w:rsid w:val="00BD51DF"/>
    <w:rsid w:val="00BD6621"/>
    <w:rsid w:val="00BD6EC8"/>
    <w:rsid w:val="00BD7F4E"/>
    <w:rsid w:val="00BE013E"/>
    <w:rsid w:val="00BE06CE"/>
    <w:rsid w:val="00BE070F"/>
    <w:rsid w:val="00BE1622"/>
    <w:rsid w:val="00BE280E"/>
    <w:rsid w:val="00BE6CCA"/>
    <w:rsid w:val="00BE7C49"/>
    <w:rsid w:val="00BF1B78"/>
    <w:rsid w:val="00BF1EC4"/>
    <w:rsid w:val="00BF59B3"/>
    <w:rsid w:val="00C066D2"/>
    <w:rsid w:val="00C11B5A"/>
    <w:rsid w:val="00C126FC"/>
    <w:rsid w:val="00C1422A"/>
    <w:rsid w:val="00C14C86"/>
    <w:rsid w:val="00C14FC9"/>
    <w:rsid w:val="00C167CC"/>
    <w:rsid w:val="00C20582"/>
    <w:rsid w:val="00C21E02"/>
    <w:rsid w:val="00C26ED1"/>
    <w:rsid w:val="00C271FA"/>
    <w:rsid w:val="00C32789"/>
    <w:rsid w:val="00C33B78"/>
    <w:rsid w:val="00C34C5C"/>
    <w:rsid w:val="00C35660"/>
    <w:rsid w:val="00C35B57"/>
    <w:rsid w:val="00C379B5"/>
    <w:rsid w:val="00C424B6"/>
    <w:rsid w:val="00C425A1"/>
    <w:rsid w:val="00C42979"/>
    <w:rsid w:val="00C430C5"/>
    <w:rsid w:val="00C43EBE"/>
    <w:rsid w:val="00C447F8"/>
    <w:rsid w:val="00C45966"/>
    <w:rsid w:val="00C5056E"/>
    <w:rsid w:val="00C50B4E"/>
    <w:rsid w:val="00C50FD5"/>
    <w:rsid w:val="00C517B1"/>
    <w:rsid w:val="00C51F7B"/>
    <w:rsid w:val="00C53444"/>
    <w:rsid w:val="00C5405F"/>
    <w:rsid w:val="00C56C6E"/>
    <w:rsid w:val="00C57749"/>
    <w:rsid w:val="00C60221"/>
    <w:rsid w:val="00C6130D"/>
    <w:rsid w:val="00C7220A"/>
    <w:rsid w:val="00C73CC1"/>
    <w:rsid w:val="00C742C7"/>
    <w:rsid w:val="00C7461D"/>
    <w:rsid w:val="00C754E1"/>
    <w:rsid w:val="00C7698F"/>
    <w:rsid w:val="00C807B2"/>
    <w:rsid w:val="00C813E4"/>
    <w:rsid w:val="00C82B14"/>
    <w:rsid w:val="00C850EC"/>
    <w:rsid w:val="00C86475"/>
    <w:rsid w:val="00C87C00"/>
    <w:rsid w:val="00C9003F"/>
    <w:rsid w:val="00C900F9"/>
    <w:rsid w:val="00C9036E"/>
    <w:rsid w:val="00C97FD1"/>
    <w:rsid w:val="00CA1C70"/>
    <w:rsid w:val="00CA234B"/>
    <w:rsid w:val="00CA3415"/>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1BF4"/>
    <w:rsid w:val="00CD6778"/>
    <w:rsid w:val="00CE3484"/>
    <w:rsid w:val="00CE6E39"/>
    <w:rsid w:val="00CF365B"/>
    <w:rsid w:val="00CF5053"/>
    <w:rsid w:val="00CF506B"/>
    <w:rsid w:val="00CF7798"/>
    <w:rsid w:val="00CF78BA"/>
    <w:rsid w:val="00D00081"/>
    <w:rsid w:val="00D0155A"/>
    <w:rsid w:val="00D01A3E"/>
    <w:rsid w:val="00D0604F"/>
    <w:rsid w:val="00D07713"/>
    <w:rsid w:val="00D10C44"/>
    <w:rsid w:val="00D1282D"/>
    <w:rsid w:val="00D136A7"/>
    <w:rsid w:val="00D147ED"/>
    <w:rsid w:val="00D1686E"/>
    <w:rsid w:val="00D1795F"/>
    <w:rsid w:val="00D17DAB"/>
    <w:rsid w:val="00D200DB"/>
    <w:rsid w:val="00D24254"/>
    <w:rsid w:val="00D257C1"/>
    <w:rsid w:val="00D314F9"/>
    <w:rsid w:val="00D31807"/>
    <w:rsid w:val="00D32C5D"/>
    <w:rsid w:val="00D335BA"/>
    <w:rsid w:val="00D34702"/>
    <w:rsid w:val="00D35A23"/>
    <w:rsid w:val="00D406AA"/>
    <w:rsid w:val="00D42F89"/>
    <w:rsid w:val="00D4418E"/>
    <w:rsid w:val="00D44562"/>
    <w:rsid w:val="00D44608"/>
    <w:rsid w:val="00D45167"/>
    <w:rsid w:val="00D4574F"/>
    <w:rsid w:val="00D463B7"/>
    <w:rsid w:val="00D46CA0"/>
    <w:rsid w:val="00D4719D"/>
    <w:rsid w:val="00D50220"/>
    <w:rsid w:val="00D52E27"/>
    <w:rsid w:val="00D53424"/>
    <w:rsid w:val="00D54395"/>
    <w:rsid w:val="00D57B0A"/>
    <w:rsid w:val="00D60AAF"/>
    <w:rsid w:val="00D63430"/>
    <w:rsid w:val="00D64700"/>
    <w:rsid w:val="00D65247"/>
    <w:rsid w:val="00D65AAD"/>
    <w:rsid w:val="00D67514"/>
    <w:rsid w:val="00D67F66"/>
    <w:rsid w:val="00D732A9"/>
    <w:rsid w:val="00D76361"/>
    <w:rsid w:val="00D803A1"/>
    <w:rsid w:val="00D85456"/>
    <w:rsid w:val="00D90931"/>
    <w:rsid w:val="00D910CD"/>
    <w:rsid w:val="00D92A1A"/>
    <w:rsid w:val="00D92C07"/>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B7B2E"/>
    <w:rsid w:val="00DC0B1C"/>
    <w:rsid w:val="00DC2AAD"/>
    <w:rsid w:val="00DC2EE6"/>
    <w:rsid w:val="00DC47DA"/>
    <w:rsid w:val="00DD2D75"/>
    <w:rsid w:val="00DD4D85"/>
    <w:rsid w:val="00DE57B8"/>
    <w:rsid w:val="00DE5907"/>
    <w:rsid w:val="00DF0251"/>
    <w:rsid w:val="00DF072D"/>
    <w:rsid w:val="00DF08BD"/>
    <w:rsid w:val="00DF1057"/>
    <w:rsid w:val="00DF1368"/>
    <w:rsid w:val="00DF44DE"/>
    <w:rsid w:val="00E04EFE"/>
    <w:rsid w:val="00E05DE7"/>
    <w:rsid w:val="00E0602A"/>
    <w:rsid w:val="00E109EA"/>
    <w:rsid w:val="00E122C5"/>
    <w:rsid w:val="00E2146F"/>
    <w:rsid w:val="00E21E9E"/>
    <w:rsid w:val="00E23E54"/>
    <w:rsid w:val="00E25A25"/>
    <w:rsid w:val="00E263B5"/>
    <w:rsid w:val="00E265D5"/>
    <w:rsid w:val="00E271BB"/>
    <w:rsid w:val="00E306CB"/>
    <w:rsid w:val="00E35120"/>
    <w:rsid w:val="00E3778C"/>
    <w:rsid w:val="00E37C95"/>
    <w:rsid w:val="00E40BEF"/>
    <w:rsid w:val="00E40CBC"/>
    <w:rsid w:val="00E40DD5"/>
    <w:rsid w:val="00E41840"/>
    <w:rsid w:val="00E4681E"/>
    <w:rsid w:val="00E540BC"/>
    <w:rsid w:val="00E565C5"/>
    <w:rsid w:val="00E57043"/>
    <w:rsid w:val="00E5723B"/>
    <w:rsid w:val="00E631F0"/>
    <w:rsid w:val="00E632EE"/>
    <w:rsid w:val="00E634D2"/>
    <w:rsid w:val="00E667CB"/>
    <w:rsid w:val="00E67DCD"/>
    <w:rsid w:val="00E750CC"/>
    <w:rsid w:val="00E77CAA"/>
    <w:rsid w:val="00E82940"/>
    <w:rsid w:val="00E83A84"/>
    <w:rsid w:val="00E85115"/>
    <w:rsid w:val="00E85F3F"/>
    <w:rsid w:val="00E94006"/>
    <w:rsid w:val="00EA0ED2"/>
    <w:rsid w:val="00EA52B3"/>
    <w:rsid w:val="00EA7527"/>
    <w:rsid w:val="00EB0B23"/>
    <w:rsid w:val="00EB2543"/>
    <w:rsid w:val="00EB2B22"/>
    <w:rsid w:val="00EB2C83"/>
    <w:rsid w:val="00EB3A96"/>
    <w:rsid w:val="00EB476F"/>
    <w:rsid w:val="00EB52B3"/>
    <w:rsid w:val="00EC136E"/>
    <w:rsid w:val="00EC1852"/>
    <w:rsid w:val="00EC2814"/>
    <w:rsid w:val="00EC37CB"/>
    <w:rsid w:val="00EC5804"/>
    <w:rsid w:val="00EC6E3B"/>
    <w:rsid w:val="00ED0762"/>
    <w:rsid w:val="00ED266F"/>
    <w:rsid w:val="00ED4111"/>
    <w:rsid w:val="00ED431D"/>
    <w:rsid w:val="00ED5301"/>
    <w:rsid w:val="00ED5E21"/>
    <w:rsid w:val="00ED7C53"/>
    <w:rsid w:val="00EE0633"/>
    <w:rsid w:val="00EE1239"/>
    <w:rsid w:val="00EE150B"/>
    <w:rsid w:val="00EE1BE5"/>
    <w:rsid w:val="00EE4795"/>
    <w:rsid w:val="00EF09A7"/>
    <w:rsid w:val="00EF29EC"/>
    <w:rsid w:val="00F0076E"/>
    <w:rsid w:val="00F00FB7"/>
    <w:rsid w:val="00F05E1C"/>
    <w:rsid w:val="00F0654E"/>
    <w:rsid w:val="00F07212"/>
    <w:rsid w:val="00F118B1"/>
    <w:rsid w:val="00F1313C"/>
    <w:rsid w:val="00F136EE"/>
    <w:rsid w:val="00F16BC1"/>
    <w:rsid w:val="00F21EBE"/>
    <w:rsid w:val="00F22A71"/>
    <w:rsid w:val="00F242DA"/>
    <w:rsid w:val="00F259FE"/>
    <w:rsid w:val="00F27D86"/>
    <w:rsid w:val="00F30329"/>
    <w:rsid w:val="00F31726"/>
    <w:rsid w:val="00F31E52"/>
    <w:rsid w:val="00F33EED"/>
    <w:rsid w:val="00F343EB"/>
    <w:rsid w:val="00F40931"/>
    <w:rsid w:val="00F41E19"/>
    <w:rsid w:val="00F441A2"/>
    <w:rsid w:val="00F44E44"/>
    <w:rsid w:val="00F46A54"/>
    <w:rsid w:val="00F50705"/>
    <w:rsid w:val="00F5130C"/>
    <w:rsid w:val="00F5534B"/>
    <w:rsid w:val="00F560BC"/>
    <w:rsid w:val="00F633F4"/>
    <w:rsid w:val="00F63BB9"/>
    <w:rsid w:val="00F65C09"/>
    <w:rsid w:val="00F66ACA"/>
    <w:rsid w:val="00F674E3"/>
    <w:rsid w:val="00F676BF"/>
    <w:rsid w:val="00F67B66"/>
    <w:rsid w:val="00F70EC7"/>
    <w:rsid w:val="00F72AAB"/>
    <w:rsid w:val="00F74EB9"/>
    <w:rsid w:val="00F7569A"/>
    <w:rsid w:val="00F80F23"/>
    <w:rsid w:val="00F81379"/>
    <w:rsid w:val="00F823F7"/>
    <w:rsid w:val="00F83990"/>
    <w:rsid w:val="00F87405"/>
    <w:rsid w:val="00F9160B"/>
    <w:rsid w:val="00F94113"/>
    <w:rsid w:val="00F9530C"/>
    <w:rsid w:val="00FA206C"/>
    <w:rsid w:val="00FA2340"/>
    <w:rsid w:val="00FA4D47"/>
    <w:rsid w:val="00FA63BA"/>
    <w:rsid w:val="00FB3FBF"/>
    <w:rsid w:val="00FB5611"/>
    <w:rsid w:val="00FB701E"/>
    <w:rsid w:val="00FC0279"/>
    <w:rsid w:val="00FC0F20"/>
    <w:rsid w:val="00FC5B54"/>
    <w:rsid w:val="00FD2267"/>
    <w:rsid w:val="00FD2354"/>
    <w:rsid w:val="00FD35CE"/>
    <w:rsid w:val="00FD7B4A"/>
    <w:rsid w:val="00FE385C"/>
    <w:rsid w:val="00FF0884"/>
    <w:rsid w:val="00FF13E3"/>
    <w:rsid w:val="00FF208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BB2310B1-1510-4A54-BB06-CF53DF1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 w:type="character" w:customStyle="1" w:styleId="apple-converted-space">
    <w:name w:val="apple-converted-space"/>
    <w:basedOn w:val="DefaultParagraphFont"/>
    <w:rsid w:val="00342DCC"/>
  </w:style>
  <w:style w:type="character" w:styleId="Emphasis">
    <w:name w:val="Emphasis"/>
    <w:basedOn w:val="DefaultParagraphFont"/>
    <w:uiPriority w:val="20"/>
    <w:qFormat/>
    <w:rsid w:val="00342DCC"/>
    <w:rPr>
      <w:i/>
      <w:iCs/>
    </w:rPr>
  </w:style>
  <w:style w:type="paragraph" w:styleId="Header">
    <w:name w:val="header"/>
    <w:basedOn w:val="Normal"/>
    <w:link w:val="HeaderChar"/>
    <w:uiPriority w:val="99"/>
    <w:semiHidden/>
    <w:unhideWhenUsed/>
    <w:rsid w:val="00443AFF"/>
    <w:pPr>
      <w:tabs>
        <w:tab w:val="center" w:pos="4536"/>
        <w:tab w:val="right" w:pos="9072"/>
      </w:tabs>
    </w:pPr>
  </w:style>
  <w:style w:type="character" w:customStyle="1" w:styleId="HeaderChar">
    <w:name w:val="Header Char"/>
    <w:basedOn w:val="DefaultParagraphFont"/>
    <w:link w:val="Header"/>
    <w:uiPriority w:val="99"/>
    <w:semiHidden/>
    <w:rsid w:val="00443AFF"/>
    <w:rPr>
      <w:rFonts w:ascii="Times New Roman"/>
      <w:sz w:val="24"/>
      <w:szCs w:val="24"/>
      <w:lang w:val="tr-TR" w:eastAsia="tr-TR"/>
    </w:rPr>
  </w:style>
  <w:style w:type="paragraph" w:styleId="Footer">
    <w:name w:val="footer"/>
    <w:basedOn w:val="Normal"/>
    <w:link w:val="FooterChar"/>
    <w:uiPriority w:val="99"/>
    <w:semiHidden/>
    <w:unhideWhenUsed/>
    <w:rsid w:val="00443AFF"/>
    <w:pPr>
      <w:tabs>
        <w:tab w:val="center" w:pos="4536"/>
        <w:tab w:val="right" w:pos="9072"/>
      </w:tabs>
    </w:pPr>
  </w:style>
  <w:style w:type="character" w:customStyle="1" w:styleId="FooterChar">
    <w:name w:val="Footer Char"/>
    <w:basedOn w:val="DefaultParagraphFont"/>
    <w:link w:val="Footer"/>
    <w:uiPriority w:val="99"/>
    <w:semiHidden/>
    <w:rsid w:val="00443AFF"/>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06">
      <w:bodyDiv w:val="1"/>
      <w:marLeft w:val="0"/>
      <w:marRight w:val="0"/>
      <w:marTop w:val="0"/>
      <w:marBottom w:val="0"/>
      <w:divBdr>
        <w:top w:val="none" w:sz="0" w:space="0" w:color="auto"/>
        <w:left w:val="none" w:sz="0" w:space="0" w:color="auto"/>
        <w:bottom w:val="none" w:sz="0" w:space="0" w:color="auto"/>
        <w:right w:val="none" w:sz="0" w:space="0" w:color="auto"/>
      </w:divBdr>
    </w:div>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78261841">
      <w:bodyDiv w:val="1"/>
      <w:marLeft w:val="0"/>
      <w:marRight w:val="0"/>
      <w:marTop w:val="0"/>
      <w:marBottom w:val="0"/>
      <w:divBdr>
        <w:top w:val="none" w:sz="0" w:space="0" w:color="auto"/>
        <w:left w:val="none" w:sz="0" w:space="0" w:color="auto"/>
        <w:bottom w:val="none" w:sz="0" w:space="0" w:color="auto"/>
        <w:right w:val="none" w:sz="0" w:space="0" w:color="auto"/>
      </w:divBdr>
    </w:div>
    <w:div w:id="113255543">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304093280">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1474149">
      <w:bodyDiv w:val="1"/>
      <w:marLeft w:val="0"/>
      <w:marRight w:val="0"/>
      <w:marTop w:val="0"/>
      <w:marBottom w:val="0"/>
      <w:divBdr>
        <w:top w:val="none" w:sz="0" w:space="0" w:color="auto"/>
        <w:left w:val="none" w:sz="0" w:space="0" w:color="auto"/>
        <w:bottom w:val="none" w:sz="0" w:space="0" w:color="auto"/>
        <w:right w:val="none" w:sz="0" w:space="0" w:color="auto"/>
      </w:divBdr>
      <w:divsChild>
        <w:div w:id="1868444086">
          <w:marLeft w:val="0"/>
          <w:marRight w:val="0"/>
          <w:marTop w:val="0"/>
          <w:marBottom w:val="0"/>
          <w:divBdr>
            <w:top w:val="none" w:sz="0" w:space="0" w:color="auto"/>
            <w:left w:val="none" w:sz="0" w:space="0" w:color="auto"/>
            <w:bottom w:val="none" w:sz="0" w:space="0" w:color="auto"/>
            <w:right w:val="none" w:sz="0" w:space="0" w:color="auto"/>
          </w:divBdr>
          <w:divsChild>
            <w:div w:id="807093105">
              <w:marLeft w:val="0"/>
              <w:marRight w:val="0"/>
              <w:marTop w:val="0"/>
              <w:marBottom w:val="0"/>
              <w:divBdr>
                <w:top w:val="none" w:sz="0" w:space="0" w:color="auto"/>
                <w:left w:val="none" w:sz="0" w:space="0" w:color="auto"/>
                <w:bottom w:val="none" w:sz="0" w:space="0" w:color="auto"/>
                <w:right w:val="none" w:sz="0" w:space="0" w:color="auto"/>
              </w:divBdr>
              <w:divsChild>
                <w:div w:id="198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861355019">
      <w:bodyDiv w:val="1"/>
      <w:marLeft w:val="0"/>
      <w:marRight w:val="0"/>
      <w:marTop w:val="0"/>
      <w:marBottom w:val="0"/>
      <w:divBdr>
        <w:top w:val="none" w:sz="0" w:space="0" w:color="auto"/>
        <w:left w:val="none" w:sz="0" w:space="0" w:color="auto"/>
        <w:bottom w:val="none" w:sz="0" w:space="0" w:color="auto"/>
        <w:right w:val="none" w:sz="0" w:space="0" w:color="auto"/>
      </w:divBdr>
    </w:div>
    <w:div w:id="890963229">
      <w:bodyDiv w:val="1"/>
      <w:marLeft w:val="0"/>
      <w:marRight w:val="0"/>
      <w:marTop w:val="0"/>
      <w:marBottom w:val="0"/>
      <w:divBdr>
        <w:top w:val="none" w:sz="0" w:space="0" w:color="auto"/>
        <w:left w:val="none" w:sz="0" w:space="0" w:color="auto"/>
        <w:bottom w:val="none" w:sz="0" w:space="0" w:color="auto"/>
        <w:right w:val="none" w:sz="0" w:space="0" w:color="auto"/>
      </w:divBdr>
    </w:div>
    <w:div w:id="900869166">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327435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174542">
      <w:bodyDiv w:val="1"/>
      <w:marLeft w:val="0"/>
      <w:marRight w:val="0"/>
      <w:marTop w:val="0"/>
      <w:marBottom w:val="0"/>
      <w:divBdr>
        <w:top w:val="none" w:sz="0" w:space="0" w:color="auto"/>
        <w:left w:val="none" w:sz="0" w:space="0" w:color="auto"/>
        <w:bottom w:val="none" w:sz="0" w:space="0" w:color="auto"/>
        <w:right w:val="none" w:sz="0" w:space="0" w:color="auto"/>
      </w:divBdr>
    </w:div>
    <w:div w:id="994259362">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15730573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18759161">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08705767">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 w:id="2130971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bau_edu_tr/Documents/betam_ortak/buyume_degerlendirme/buy_deg_tablolar_englis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'2023Q4'!$F$3</c:f>
              <c:strCache>
                <c:ptCount val="1"/>
                <c:pt idx="0">
                  <c:v>Contribution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82C-4ADA-BA70-AF54CE5DA151}"/>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E82C-4ADA-BA70-AF54CE5DA151}"/>
              </c:ext>
            </c:extLst>
          </c:dPt>
          <c:dPt>
            <c:idx val="2"/>
            <c:invertIfNegative val="0"/>
            <c:bubble3D val="0"/>
            <c:spPr>
              <a:solidFill>
                <a:srgbClr val="0070C0"/>
              </a:solidFill>
              <a:ln>
                <a:noFill/>
              </a:ln>
              <a:effectLst/>
            </c:spPr>
            <c:extLst>
              <c:ext xmlns:c16="http://schemas.microsoft.com/office/drawing/2014/chart" uri="{C3380CC4-5D6E-409C-BE32-E72D297353CC}">
                <c16:uniqueId val="{00000005-E82C-4ADA-BA70-AF54CE5DA151}"/>
              </c:ext>
            </c:extLst>
          </c:dPt>
          <c:dPt>
            <c:idx val="3"/>
            <c:invertIfNegative val="0"/>
            <c:bubble3D val="0"/>
            <c:spPr>
              <a:solidFill>
                <a:srgbClr val="FF0000"/>
              </a:solidFill>
              <a:ln>
                <a:noFill/>
              </a:ln>
              <a:effectLst/>
            </c:spPr>
            <c:extLst>
              <c:ext xmlns:c16="http://schemas.microsoft.com/office/drawing/2014/chart" uri="{C3380CC4-5D6E-409C-BE32-E72D297353CC}">
                <c16:uniqueId val="{00000007-E82C-4ADA-BA70-AF54CE5DA151}"/>
              </c:ext>
            </c:extLst>
          </c:dPt>
          <c:dPt>
            <c:idx val="4"/>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9-E82C-4ADA-BA70-AF54CE5DA151}"/>
              </c:ext>
            </c:extLst>
          </c:dPt>
          <c:dPt>
            <c:idx val="5"/>
            <c:invertIfNegative val="0"/>
            <c:bubble3D val="0"/>
            <c:spPr>
              <a:solidFill>
                <a:srgbClr val="FF0000"/>
              </a:solidFill>
              <a:ln>
                <a:noFill/>
              </a:ln>
              <a:effectLst/>
            </c:spPr>
            <c:extLst>
              <c:ext xmlns:c16="http://schemas.microsoft.com/office/drawing/2014/chart" uri="{C3380CC4-5D6E-409C-BE32-E72D297353CC}">
                <c16:uniqueId val="{0000000B-E82C-4ADA-BA70-AF54CE5DA151}"/>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'2023Q4'!$B$4:$B$10</c:f>
              <c:strCache>
                <c:ptCount val="7"/>
                <c:pt idx="0">
                  <c:v>Consumption</c:v>
                </c:pt>
                <c:pt idx="1">
                  <c:v>Government Spending</c:v>
                </c:pt>
                <c:pt idx="2">
                  <c:v>Investment</c:v>
                </c:pt>
                <c:pt idx="3">
                  <c:v>Change in Inventories</c:v>
                </c:pt>
                <c:pt idx="4">
                  <c:v>Export</c:v>
                </c:pt>
                <c:pt idx="5">
                  <c:v>Import</c:v>
                </c:pt>
                <c:pt idx="6">
                  <c:v>GDP</c:v>
                </c:pt>
              </c:strCache>
            </c:strRef>
          </c:cat>
          <c:val>
            <c:numRef>
              <c:f>'2023Q4'!$F$4:$F$9</c:f>
              <c:numCache>
                <c:formatCode>0.0</c:formatCode>
                <c:ptCount val="6"/>
                <c:pt idx="0">
                  <c:v>5.3408262566245881</c:v>
                </c:pt>
                <c:pt idx="1">
                  <c:v>0.1249183956441923</c:v>
                </c:pt>
                <c:pt idx="2">
                  <c:v>3.0933075654253588</c:v>
                </c:pt>
                <c:pt idx="3">
                  <c:v>-2.3448669642630242</c:v>
                </c:pt>
                <c:pt idx="4">
                  <c:v>3.030426094044018E-2</c:v>
                </c:pt>
                <c:pt idx="5">
                  <c:v>-2.2749938603555981</c:v>
                </c:pt>
              </c:numCache>
            </c:numRef>
          </c:val>
          <c:extLst>
            <c:ext xmlns:c16="http://schemas.microsoft.com/office/drawing/2014/chart" uri="{C3380CC4-5D6E-409C-BE32-E72D297353CC}">
              <c16:uniqueId val="{0000000C-E82C-4ADA-BA70-AF54CE5DA151}"/>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59328916529464E-2"/>
          <c:y val="4.4989760562368787E-2"/>
          <c:w val="0.88106997882817872"/>
          <c:h val="0.81498580906371376"/>
        </c:manualLayout>
      </c:layout>
      <c:barChart>
        <c:barDir val="col"/>
        <c:grouping val="clustered"/>
        <c:varyColors val="0"/>
        <c:ser>
          <c:idx val="0"/>
          <c:order val="0"/>
          <c:tx>
            <c:strRef>
              <c:f>'2023Q4'!$E$3</c:f>
              <c:strCache>
                <c:ptCount val="1"/>
                <c:pt idx="0">
                  <c:v>Change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C66-4637-AF94-F44EE848DCE1}"/>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DC66-4637-AF94-F44EE848DCE1}"/>
              </c:ext>
            </c:extLst>
          </c:dPt>
          <c:dPt>
            <c:idx val="2"/>
            <c:invertIfNegative val="0"/>
            <c:bubble3D val="0"/>
            <c:spPr>
              <a:solidFill>
                <a:srgbClr val="0070C0"/>
              </a:solidFill>
              <a:ln>
                <a:noFill/>
              </a:ln>
              <a:effectLst/>
            </c:spPr>
            <c:extLst>
              <c:ext xmlns:c16="http://schemas.microsoft.com/office/drawing/2014/chart" uri="{C3380CC4-5D6E-409C-BE32-E72D297353CC}">
                <c16:uniqueId val="{00000005-DC66-4637-AF94-F44EE848DCE1}"/>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DC66-4637-AF94-F44EE848DCE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DC66-4637-AF94-F44EE848DCE1}"/>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DC66-4637-AF94-F44EE848DC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('2023Q4'!$B$22:$B$24,'2023Q4'!$B$26:$B$28)</c:f>
              <c:strCache>
                <c:ptCount val="6"/>
                <c:pt idx="0">
                  <c:v>Consumption</c:v>
                </c:pt>
                <c:pt idx="1">
                  <c:v>Government Spending</c:v>
                </c:pt>
                <c:pt idx="2">
                  <c:v>Investment</c:v>
                </c:pt>
                <c:pt idx="3">
                  <c:v>Export</c:v>
                </c:pt>
                <c:pt idx="4">
                  <c:v>Import</c:v>
                </c:pt>
                <c:pt idx="5">
                  <c:v>GDP</c:v>
                </c:pt>
              </c:strCache>
              <c:extLst/>
            </c:strRef>
          </c:cat>
          <c:val>
            <c:numRef>
              <c:f>('2023Q4'!$E$4:$E$6,'2023Q4'!$E$8:$E$10)</c:f>
              <c:numCache>
                <c:formatCode>0.0</c:formatCode>
                <c:ptCount val="6"/>
                <c:pt idx="0">
                  <c:v>9.3278713823509598</c:v>
                </c:pt>
                <c:pt idx="1">
                  <c:v>1.7280847279463663</c:v>
                </c:pt>
                <c:pt idx="2">
                  <c:v>10.701221989132726</c:v>
                </c:pt>
                <c:pt idx="3">
                  <c:v>0.21405783305081805</c:v>
                </c:pt>
                <c:pt idx="4">
                  <c:v>2.676101574767964</c:v>
                </c:pt>
                <c:pt idx="5">
                  <c:v>3.9694956540159643</c:v>
                </c:pt>
              </c:numCache>
              <c:extLst/>
            </c:numRef>
          </c:val>
          <c:extLst>
            <c:ext xmlns:c16="http://schemas.microsoft.com/office/drawing/2014/chart" uri="{C3380CC4-5D6E-409C-BE32-E72D297353CC}">
              <c16:uniqueId val="{0000000C-DC66-4637-AF94-F44EE848DCE1}"/>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'2023Q4'!$E$32</c:f>
              <c:strCache>
                <c:ptCount val="1"/>
                <c:pt idx="0">
                  <c:v>Annual Change</c:v>
                </c:pt>
              </c:strCache>
            </c:strRef>
          </c:tx>
          <c:spPr>
            <a:solidFill>
              <a:schemeClr val="accent1"/>
            </a:solidFill>
            <a:ln>
              <a:noFill/>
            </a:ln>
            <a:effectLst/>
          </c:spPr>
          <c:invertIfNegative val="0"/>
          <c:cat>
            <c:strRef>
              <c:f>'2023Q4'!$A$45:$A$68</c:f>
              <c:strCache>
                <c:ptCount val="24"/>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pt idx="12">
                  <c:v>2021Q1</c:v>
                </c:pt>
                <c:pt idx="13">
                  <c:v>2021Q2</c:v>
                </c:pt>
                <c:pt idx="14">
                  <c:v>2021Q3</c:v>
                </c:pt>
                <c:pt idx="15">
                  <c:v>2021Q4</c:v>
                </c:pt>
                <c:pt idx="16">
                  <c:v>2022Q1</c:v>
                </c:pt>
                <c:pt idx="17">
                  <c:v>2022Q2</c:v>
                </c:pt>
                <c:pt idx="18">
                  <c:v>2022Q3</c:v>
                </c:pt>
                <c:pt idx="19">
                  <c:v>2022Q4</c:v>
                </c:pt>
                <c:pt idx="20">
                  <c:v>2023Q1</c:v>
                </c:pt>
                <c:pt idx="21">
                  <c:v>2023Q2</c:v>
                </c:pt>
                <c:pt idx="22">
                  <c:v>2023Q3</c:v>
                </c:pt>
                <c:pt idx="23">
                  <c:v>2023Q4</c:v>
                </c:pt>
              </c:strCache>
            </c:strRef>
          </c:cat>
          <c:val>
            <c:numRef>
              <c:f>'2023Q4'!$E$45:$E$68</c:f>
              <c:numCache>
                <c:formatCode>0.0</c:formatCode>
                <c:ptCount val="24"/>
                <c:pt idx="0">
                  <c:v>7.5076967152080343</c:v>
                </c:pt>
                <c:pt idx="1">
                  <c:v>5.8803835025076356</c:v>
                </c:pt>
                <c:pt idx="2">
                  <c:v>2.5358449432800301</c:v>
                </c:pt>
                <c:pt idx="3">
                  <c:v>-2.6155040563526244</c:v>
                </c:pt>
                <c:pt idx="4">
                  <c:v>-2.5322362682349886</c:v>
                </c:pt>
                <c:pt idx="5">
                  <c:v>-1.613914688031759</c:v>
                </c:pt>
                <c:pt idx="6">
                  <c:v>0.98439456192271901</c:v>
                </c:pt>
                <c:pt idx="7">
                  <c:v>5.9140500120599571</c:v>
                </c:pt>
                <c:pt idx="8">
                  <c:v>4.2767875122720955</c:v>
                </c:pt>
                <c:pt idx="9">
                  <c:v>-10.363467300122931</c:v>
                </c:pt>
                <c:pt idx="10">
                  <c:v>6.4369452340991451</c:v>
                </c:pt>
                <c:pt idx="11">
                  <c:v>6.3339105525392014</c:v>
                </c:pt>
                <c:pt idx="12">
                  <c:v>7.5460497925658121</c:v>
                </c:pt>
                <c:pt idx="13">
                  <c:v>22.349673166441164</c:v>
                </c:pt>
                <c:pt idx="14">
                  <c:v>7.9788159431068095</c:v>
                </c:pt>
                <c:pt idx="15">
                  <c:v>9.7035740112449531</c:v>
                </c:pt>
                <c:pt idx="16">
                  <c:v>7.8307137822557493</c:v>
                </c:pt>
                <c:pt idx="17">
                  <c:v>7.622751882474299</c:v>
                </c:pt>
                <c:pt idx="18">
                  <c:v>4.1458119565431772</c:v>
                </c:pt>
                <c:pt idx="19">
                  <c:v>3.3379144955896667</c:v>
                </c:pt>
                <c:pt idx="20">
                  <c:v>3.9581524085439579</c:v>
                </c:pt>
                <c:pt idx="21">
                  <c:v>3.9341876948764787</c:v>
                </c:pt>
                <c:pt idx="22">
                  <c:v>6.0736027706417728</c:v>
                </c:pt>
                <c:pt idx="23">
                  <c:v>3.9694956540159643</c:v>
                </c:pt>
              </c:numCache>
            </c:numRef>
          </c:val>
          <c:extLst>
            <c:ext xmlns:c16="http://schemas.microsoft.com/office/drawing/2014/chart" uri="{C3380CC4-5D6E-409C-BE32-E72D297353CC}">
              <c16:uniqueId val="{00000000-799D-457D-B070-AAD6E90F3297}"/>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'2023Q4'!$F$32</c:f>
              <c:strCache>
                <c:ptCount val="1"/>
                <c:pt idx="0">
                  <c:v>Quarter Change</c:v>
                </c:pt>
              </c:strCache>
            </c:strRef>
          </c:tx>
          <c:spPr>
            <a:ln w="25400" cap="rnd">
              <a:solidFill>
                <a:schemeClr val="tx1"/>
              </a:solidFill>
              <a:round/>
            </a:ln>
            <a:effectLst/>
          </c:spPr>
          <c:marker>
            <c:symbol val="none"/>
          </c:marker>
          <c:cat>
            <c:strRef>
              <c:f>'2023Q4'!$A$45:$A$68</c:f>
              <c:strCache>
                <c:ptCount val="24"/>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pt idx="12">
                  <c:v>2021Q1</c:v>
                </c:pt>
                <c:pt idx="13">
                  <c:v>2021Q2</c:v>
                </c:pt>
                <c:pt idx="14">
                  <c:v>2021Q3</c:v>
                </c:pt>
                <c:pt idx="15">
                  <c:v>2021Q4</c:v>
                </c:pt>
                <c:pt idx="16">
                  <c:v>2022Q1</c:v>
                </c:pt>
                <c:pt idx="17">
                  <c:v>2022Q2</c:v>
                </c:pt>
                <c:pt idx="18">
                  <c:v>2022Q3</c:v>
                </c:pt>
                <c:pt idx="19">
                  <c:v>2022Q4</c:v>
                </c:pt>
                <c:pt idx="20">
                  <c:v>2023Q1</c:v>
                </c:pt>
                <c:pt idx="21">
                  <c:v>2023Q2</c:v>
                </c:pt>
                <c:pt idx="22">
                  <c:v>2023Q3</c:v>
                </c:pt>
                <c:pt idx="23">
                  <c:v>2023Q4</c:v>
                </c:pt>
              </c:strCache>
            </c:strRef>
          </c:cat>
          <c:val>
            <c:numRef>
              <c:f>'2023Q4'!$F$45:$F$68</c:f>
              <c:numCache>
                <c:formatCode>0.0</c:formatCode>
                <c:ptCount val="24"/>
                <c:pt idx="0">
                  <c:v>1.2672880433580058</c:v>
                </c:pt>
                <c:pt idx="1">
                  <c:v>0.5884988294722282</c:v>
                </c:pt>
                <c:pt idx="2">
                  <c:v>-0.96115015350679567</c:v>
                </c:pt>
                <c:pt idx="3">
                  <c:v>-3.4489879329621442</c:v>
                </c:pt>
                <c:pt idx="4">
                  <c:v>1.5631743678819365</c:v>
                </c:pt>
                <c:pt idx="5">
                  <c:v>2.2712472670664452</c:v>
                </c:pt>
                <c:pt idx="6">
                  <c:v>0.5307685833922493</c:v>
                </c:pt>
                <c:pt idx="7">
                  <c:v>1.3352775764472913</c:v>
                </c:pt>
                <c:pt idx="8">
                  <c:v>0.17710632935445947</c:v>
                </c:pt>
                <c:pt idx="9">
                  <c:v>-10.713338285600582</c:v>
                </c:pt>
                <c:pt idx="10">
                  <c:v>16.411679394362121</c:v>
                </c:pt>
                <c:pt idx="11">
                  <c:v>1.4653093405633477</c:v>
                </c:pt>
                <c:pt idx="12">
                  <c:v>2.0339460621134453</c:v>
                </c:pt>
                <c:pt idx="13">
                  <c:v>1.7122326651323627</c:v>
                </c:pt>
                <c:pt idx="14">
                  <c:v>3.6475028058388537</c:v>
                </c:pt>
                <c:pt idx="15">
                  <c:v>1.5669582737234622</c:v>
                </c:pt>
                <c:pt idx="16">
                  <c:v>0.21273392019629522</c:v>
                </c:pt>
                <c:pt idx="17">
                  <c:v>1.4143990421107588</c:v>
                </c:pt>
                <c:pt idx="18">
                  <c:v>0.54220662510544582</c:v>
                </c:pt>
                <c:pt idx="19">
                  <c:v>1.1485431395287682</c:v>
                </c:pt>
                <c:pt idx="20">
                  <c:v>-0.16263734575530098</c:v>
                </c:pt>
                <c:pt idx="21">
                  <c:v>3.6089192040672735</c:v>
                </c:pt>
                <c:pt idx="22">
                  <c:v>0.3119434202804916</c:v>
                </c:pt>
                <c:pt idx="23">
                  <c:v>0.95274921952233083</c:v>
                </c:pt>
              </c:numCache>
            </c:numRef>
          </c:val>
          <c:smooth val="0"/>
          <c:extLst>
            <c:ext xmlns:c16="http://schemas.microsoft.com/office/drawing/2014/chart" uri="{C3380CC4-5D6E-409C-BE32-E72D297353CC}">
              <c16:uniqueId val="{00000001-799D-457D-B070-AAD6E90F3297}"/>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BCB0-B8AE-4223-B895-85FF4355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665</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cp:lastModifiedBy>Ahmet Tarik KOCAR</cp:lastModifiedBy>
  <cp:revision>257</cp:revision>
  <cp:lastPrinted>2024-03-11T07:28:00Z</cp:lastPrinted>
  <dcterms:created xsi:type="dcterms:W3CDTF">2021-09-28T23:00:00Z</dcterms:created>
  <dcterms:modified xsi:type="dcterms:W3CDTF">2024-03-11T07:31:00Z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0b41929a76fdc369c11536293068787720530d83219c8f9e2dbef719bc8724fa</vt:lpwstr>
  </property>
</Properties>
</file>