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9CB72" w14:textId="5AAEC89B" w:rsidR="00E162FF" w:rsidRDefault="00E162FF" w:rsidP="0074364C">
      <w:pPr>
        <w:pStyle w:val="Heading1"/>
        <w:rPr>
          <w:sz w:val="36"/>
          <w:szCs w:val="36"/>
        </w:rPr>
      </w:pPr>
      <w:r w:rsidRPr="00E162FF">
        <w:rPr>
          <w:sz w:val="36"/>
          <w:szCs w:val="36"/>
        </w:rPr>
        <mc:AlternateContent>
          <mc:Choice Requires="wps">
            <w:drawing>
              <wp:anchor distT="0" distB="0" distL="114935" distR="114935" simplePos="0" relativeHeight="251668480" behindDoc="0" locked="0" layoutInCell="1" allowOverlap="1" wp14:anchorId="07FE9CDE" wp14:editId="6A14D998">
                <wp:simplePos x="0" y="0"/>
                <wp:positionH relativeFrom="column">
                  <wp:posOffset>4958080</wp:posOffset>
                </wp:positionH>
                <wp:positionV relativeFrom="paragraph">
                  <wp:posOffset>309880</wp:posOffset>
                </wp:positionV>
                <wp:extent cx="1511935"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66EF2" w14:textId="096EFBA6" w:rsidR="00E162FF" w:rsidRPr="00DF0B5B" w:rsidRDefault="00E162FF" w:rsidP="00E162FF">
                            <w:pPr>
                              <w:pStyle w:val="Heading3"/>
                              <w:numPr>
                                <w:ilvl w:val="2"/>
                                <w:numId w:val="0"/>
                              </w:numPr>
                              <w:tabs>
                                <w:tab w:val="num" w:pos="720"/>
                              </w:tabs>
                              <w:suppressAutoHyphens/>
                              <w:ind w:left="720" w:hanging="720"/>
                              <w:jc w:val="right"/>
                              <w:rPr>
                                <w:rFonts w:ascii="Cambria" w:hAnsi="Cambria"/>
                                <w:color w:val="FFFFFF"/>
                              </w:rPr>
                            </w:pPr>
                            <w:r>
                              <w:rPr>
                                <w:rFonts w:ascii="Cambria" w:hAnsi="Cambria"/>
                                <w:color w:val="FFFFFF"/>
                              </w:rPr>
                              <w:t>22</w:t>
                            </w:r>
                            <w:r>
                              <w:rPr>
                                <w:rFonts w:ascii="Cambria" w:hAnsi="Cambria"/>
                                <w:color w:val="FFFFFF"/>
                              </w:rPr>
                              <w:t xml:space="preserve"> </w:t>
                            </w:r>
                            <w:r>
                              <w:rPr>
                                <w:rFonts w:ascii="Cambria" w:hAnsi="Cambria"/>
                                <w:color w:val="FFFFFF"/>
                              </w:rPr>
                              <w:t>Ocak 2024</w:t>
                            </w:r>
                          </w:p>
                          <w:p w14:paraId="4C0AF16F" w14:textId="77777777" w:rsidR="00E162FF" w:rsidRPr="00DF0B5B" w:rsidRDefault="00E162FF" w:rsidP="00E16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E9CDE" id="_x0000_t202" coordsize="21600,21600" o:spt="202" path="m,l,21600r21600,l21600,xe">
                <v:stroke joinstyle="miter"/>
                <v:path gradientshapeok="t" o:connecttype="rect"/>
              </v:shapetype>
              <v:shape id="Text Box 4" o:spid="_x0000_s1026" type="#_x0000_t202" style="position:absolute;margin-left:390.4pt;margin-top:24.4pt;width:119.05pt;height:35.8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XUigIAABw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" stroked="f">
                <v:fill opacity="0"/>
                <v:textbox inset="0,0,0,0">
                  <w:txbxContent>
                    <w:p w14:paraId="1FF66EF2" w14:textId="096EFBA6" w:rsidR="00E162FF" w:rsidRPr="00DF0B5B" w:rsidRDefault="00E162FF" w:rsidP="00E162FF">
                      <w:pPr>
                        <w:pStyle w:val="Heading3"/>
                        <w:numPr>
                          <w:ilvl w:val="2"/>
                          <w:numId w:val="0"/>
                        </w:numPr>
                        <w:tabs>
                          <w:tab w:val="num" w:pos="720"/>
                        </w:tabs>
                        <w:suppressAutoHyphens/>
                        <w:ind w:left="720" w:hanging="720"/>
                        <w:jc w:val="right"/>
                        <w:rPr>
                          <w:rFonts w:ascii="Cambria" w:hAnsi="Cambria"/>
                          <w:color w:val="FFFFFF"/>
                        </w:rPr>
                      </w:pPr>
                      <w:r>
                        <w:rPr>
                          <w:rFonts w:ascii="Cambria" w:hAnsi="Cambria"/>
                          <w:color w:val="FFFFFF"/>
                        </w:rPr>
                        <w:t>22</w:t>
                      </w:r>
                      <w:r>
                        <w:rPr>
                          <w:rFonts w:ascii="Cambria" w:hAnsi="Cambria"/>
                          <w:color w:val="FFFFFF"/>
                        </w:rPr>
                        <w:t xml:space="preserve"> </w:t>
                      </w:r>
                      <w:r>
                        <w:rPr>
                          <w:rFonts w:ascii="Cambria" w:hAnsi="Cambria"/>
                          <w:color w:val="FFFFFF"/>
                        </w:rPr>
                        <w:t>Ocak 2024</w:t>
                      </w:r>
                    </w:p>
                    <w:p w14:paraId="4C0AF16F" w14:textId="77777777" w:rsidR="00E162FF" w:rsidRPr="00DF0B5B" w:rsidRDefault="00E162FF" w:rsidP="00E162FF"/>
                  </w:txbxContent>
                </v:textbox>
              </v:shape>
            </w:pict>
          </mc:Fallback>
        </mc:AlternateContent>
      </w:r>
      <w:r w:rsidRPr="00E162FF">
        <w:rPr>
          <w:sz w:val="36"/>
          <w:szCs w:val="36"/>
        </w:rPr>
        <w:drawing>
          <wp:anchor distT="0" distB="0" distL="114300" distR="114300" simplePos="0" relativeHeight="251667456" behindDoc="1" locked="0" layoutInCell="1" allowOverlap="1" wp14:anchorId="4D5F0745" wp14:editId="350A0992">
            <wp:simplePos x="0" y="0"/>
            <wp:positionH relativeFrom="column">
              <wp:posOffset>-714375</wp:posOffset>
            </wp:positionH>
            <wp:positionV relativeFrom="paragraph">
              <wp:posOffset>-762000</wp:posOffset>
            </wp:positionV>
            <wp:extent cx="7391400" cy="1343025"/>
            <wp:effectExtent l="1905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91400" cy="1343025"/>
                    </a:xfrm>
                    <a:prstGeom prst="rect">
                      <a:avLst/>
                    </a:prstGeom>
                    <a:noFill/>
                    <a:ln w="9525">
                      <a:noFill/>
                      <a:miter lim="800000"/>
                      <a:headEnd/>
                      <a:tailEnd/>
                    </a:ln>
                  </pic:spPr>
                </pic:pic>
              </a:graphicData>
            </a:graphic>
          </wp:anchor>
        </w:drawing>
      </w:r>
      <w:r w:rsidRPr="00E162FF">
        <w:rPr>
          <w:sz w:val="36"/>
          <w:szCs w:val="36"/>
        </w:rPr>
        <mc:AlternateContent>
          <mc:Choice Requires="wps">
            <w:drawing>
              <wp:anchor distT="0" distB="0" distL="114300" distR="114300" simplePos="0" relativeHeight="251669504" behindDoc="0" locked="0" layoutInCell="1" allowOverlap="1" wp14:anchorId="6FDD45FD" wp14:editId="38A5F654">
                <wp:simplePos x="0" y="0"/>
                <wp:positionH relativeFrom="column">
                  <wp:posOffset>1979930</wp:posOffset>
                </wp:positionH>
                <wp:positionV relativeFrom="paragraph">
                  <wp:posOffset>-539750</wp:posOffset>
                </wp:positionV>
                <wp:extent cx="3524250" cy="5588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21A7C" w14:textId="4E211E9A" w:rsidR="00E162FF" w:rsidRPr="00E162FF" w:rsidRDefault="00E162FF" w:rsidP="00E162FF">
                            <w:pPr>
                              <w:rPr>
                                <w:rFonts w:ascii="Cambria" w:hAnsi="Cambria"/>
                                <w:b/>
                                <w:sz w:val="44"/>
                                <w:szCs w:val="44"/>
                              </w:rPr>
                            </w:pPr>
                            <w:r>
                              <w:rPr>
                                <w:rFonts w:ascii="Cambria" w:hAnsi="Cambria"/>
                                <w:b/>
                                <w:sz w:val="44"/>
                                <w:szCs w:val="44"/>
                              </w:rPr>
                              <w:t>Araştırma Notu 2</w:t>
                            </w:r>
                            <w:r>
                              <w:rPr>
                                <w:rFonts w:ascii="Cambria" w:hAnsi="Cambria"/>
                                <w:b/>
                                <w:sz w:val="44"/>
                                <w:szCs w:val="44"/>
                              </w:rPr>
                              <w:t>4</w:t>
                            </w:r>
                            <w:r w:rsidRPr="008E0812">
                              <w:rPr>
                                <w:rFonts w:ascii="Cambria" w:hAnsi="Cambria"/>
                                <w:b/>
                                <w:sz w:val="44"/>
                                <w:szCs w:val="44"/>
                              </w:rPr>
                              <w:t>/2</w:t>
                            </w:r>
                            <w:r>
                              <w:rPr>
                                <w:rFonts w:ascii="Cambria" w:hAnsi="Cambria"/>
                                <w:b/>
                                <w:sz w:val="44"/>
                                <w:szCs w:val="44"/>
                              </w:rPr>
                              <w:t>76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D45FD" id="Text Box 3" o:spid="_x0000_s1027" type="#_x0000_t202" style="position:absolute;margin-left:155.9pt;margin-top:-42.5pt;width:277.5pt;height: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" filled="f" stroked="f">
                <v:textbox inset=",7.2pt,,7.2pt">
                  <w:txbxContent>
                    <w:p w14:paraId="70221A7C" w14:textId="4E211E9A" w:rsidR="00E162FF" w:rsidRPr="00E162FF" w:rsidRDefault="00E162FF" w:rsidP="00E162FF">
                      <w:pPr>
                        <w:rPr>
                          <w:rFonts w:ascii="Cambria" w:hAnsi="Cambria"/>
                          <w:b/>
                          <w:sz w:val="44"/>
                          <w:szCs w:val="44"/>
                        </w:rPr>
                      </w:pPr>
                      <w:r>
                        <w:rPr>
                          <w:rFonts w:ascii="Cambria" w:hAnsi="Cambria"/>
                          <w:b/>
                          <w:sz w:val="44"/>
                          <w:szCs w:val="44"/>
                        </w:rPr>
                        <w:t>Araştırma Notu 2</w:t>
                      </w:r>
                      <w:r>
                        <w:rPr>
                          <w:rFonts w:ascii="Cambria" w:hAnsi="Cambria"/>
                          <w:b/>
                          <w:sz w:val="44"/>
                          <w:szCs w:val="44"/>
                        </w:rPr>
                        <w:t>4</w:t>
                      </w:r>
                      <w:r w:rsidRPr="008E0812">
                        <w:rPr>
                          <w:rFonts w:ascii="Cambria" w:hAnsi="Cambria"/>
                          <w:b/>
                          <w:sz w:val="44"/>
                          <w:szCs w:val="44"/>
                        </w:rPr>
                        <w:t>/2</w:t>
                      </w:r>
                      <w:r>
                        <w:rPr>
                          <w:rFonts w:ascii="Cambria" w:hAnsi="Cambria"/>
                          <w:b/>
                          <w:sz w:val="44"/>
                          <w:szCs w:val="44"/>
                        </w:rPr>
                        <w:t>76</w:t>
                      </w:r>
                    </w:p>
                  </w:txbxContent>
                </v:textbox>
              </v:shape>
            </w:pict>
          </mc:Fallback>
        </mc:AlternateContent>
      </w:r>
    </w:p>
    <w:p w14:paraId="799ECEAF" w14:textId="64A59A04" w:rsidR="00E162FF" w:rsidRDefault="00E162FF" w:rsidP="0074364C">
      <w:pPr>
        <w:pStyle w:val="Heading1"/>
        <w:rPr>
          <w:sz w:val="36"/>
          <w:szCs w:val="36"/>
        </w:rPr>
      </w:pPr>
    </w:p>
    <w:p w14:paraId="25D918FB" w14:textId="77777777" w:rsidR="00E162FF" w:rsidRPr="00E162FF" w:rsidRDefault="00E162FF" w:rsidP="00E162FF">
      <w:pPr>
        <w:pStyle w:val="Heading1"/>
        <w:spacing w:line="240" w:lineRule="auto"/>
        <w:jc w:val="center"/>
        <w:rPr>
          <w:rFonts w:asciiTheme="minorHAnsi" w:hAnsiTheme="minorHAnsi" w:cstheme="minorHAnsi"/>
          <w:b/>
          <w:color w:val="auto"/>
          <w:sz w:val="36"/>
          <w:szCs w:val="36"/>
        </w:rPr>
      </w:pPr>
      <w:r w:rsidRPr="00E162FF">
        <w:rPr>
          <w:rFonts w:asciiTheme="minorHAnsi" w:hAnsiTheme="minorHAnsi" w:cstheme="minorHAnsi"/>
          <w:b/>
          <w:color w:val="auto"/>
          <w:sz w:val="36"/>
          <w:szCs w:val="36"/>
        </w:rPr>
        <w:t xml:space="preserve">TÜRKİYE’DE GIDA ENFLASYONUN NEDENLERİ </w:t>
      </w:r>
    </w:p>
    <w:p w14:paraId="02D4F884" w14:textId="7E769257" w:rsidR="0074364C" w:rsidRPr="00E162FF" w:rsidRDefault="00E162FF" w:rsidP="00E162FF">
      <w:pPr>
        <w:pStyle w:val="Heading1"/>
        <w:spacing w:line="240" w:lineRule="auto"/>
        <w:jc w:val="center"/>
        <w:rPr>
          <w:rFonts w:asciiTheme="minorHAnsi" w:hAnsiTheme="minorHAnsi" w:cstheme="minorHAnsi"/>
          <w:b/>
          <w:color w:val="auto"/>
          <w:sz w:val="36"/>
          <w:szCs w:val="36"/>
        </w:rPr>
      </w:pPr>
      <w:r w:rsidRPr="00E162FF">
        <w:rPr>
          <w:rFonts w:asciiTheme="minorHAnsi" w:hAnsiTheme="minorHAnsi" w:cstheme="minorHAnsi"/>
          <w:b/>
          <w:color w:val="auto"/>
          <w:sz w:val="36"/>
          <w:szCs w:val="36"/>
        </w:rPr>
        <w:t>VE ÖLÇÜM SORUNLARI</w:t>
      </w:r>
    </w:p>
    <w:p w14:paraId="48D4FF28" w14:textId="77777777" w:rsidR="00124250" w:rsidRDefault="00124250" w:rsidP="00124250">
      <w:pPr>
        <w:rPr>
          <w:sz w:val="28"/>
          <w:szCs w:val="28"/>
        </w:rPr>
      </w:pPr>
    </w:p>
    <w:p w14:paraId="5DC65B0C" w14:textId="6974ACF2" w:rsidR="00124250" w:rsidRPr="00E162FF" w:rsidRDefault="00124250" w:rsidP="00E162FF">
      <w:pPr>
        <w:jc w:val="center"/>
        <w:rPr>
          <w:b/>
          <w:sz w:val="28"/>
          <w:szCs w:val="28"/>
        </w:rPr>
      </w:pPr>
      <w:r w:rsidRPr="00E162FF">
        <w:rPr>
          <w:b/>
          <w:sz w:val="28"/>
          <w:szCs w:val="28"/>
        </w:rPr>
        <w:t>Barış Soybilgen</w:t>
      </w:r>
      <w:r w:rsidR="00E162FF" w:rsidRPr="00033BB1">
        <w:rPr>
          <w:rFonts w:eastAsia="Times New Roman" w:cs="Arial"/>
          <w:b/>
          <w:vertAlign w:val="superscript"/>
        </w:rPr>
        <w:footnoteReference w:customMarkFollows="1" w:id="1"/>
        <w:t>*</w:t>
      </w:r>
    </w:p>
    <w:p w14:paraId="20C23614" w14:textId="77777777" w:rsidR="008B518E" w:rsidRPr="00E162FF" w:rsidRDefault="008B518E" w:rsidP="00E162FF">
      <w:pPr>
        <w:spacing w:line="254" w:lineRule="auto"/>
        <w:jc w:val="center"/>
        <w:rPr>
          <w:rFonts w:ascii="Calibri" w:eastAsia="Aptos" w:hAnsi="Calibri" w:cs="Calibri"/>
          <w:b/>
          <w:kern w:val="0"/>
          <w:lang w:eastAsia="tr-TR"/>
          <w14:ligatures w14:val="none"/>
        </w:rPr>
      </w:pPr>
      <w:r w:rsidRPr="00E162FF">
        <w:rPr>
          <w:rFonts w:ascii="Calibri" w:eastAsia="Aptos" w:hAnsi="Calibri" w:cs="Calibri"/>
          <w:b/>
          <w:kern w:val="0"/>
          <w:lang w:eastAsia="tr-TR"/>
          <w14:ligatures w14:val="none"/>
        </w:rPr>
        <w:t>Yönetici Özeti</w:t>
      </w:r>
    </w:p>
    <w:p w14:paraId="55A1651F" w14:textId="77777777" w:rsidR="008B518E" w:rsidRPr="008B518E" w:rsidRDefault="008B518E" w:rsidP="008B518E">
      <w:pPr>
        <w:spacing w:line="254" w:lineRule="auto"/>
        <w:jc w:val="both"/>
        <w:rPr>
          <w:rFonts w:ascii="Calibri" w:eastAsia="Aptos" w:hAnsi="Calibri" w:cs="Calibri"/>
          <w:kern w:val="0"/>
          <w:lang w:eastAsia="tr-TR"/>
          <w14:ligatures w14:val="none"/>
        </w:rPr>
      </w:pPr>
      <w:r w:rsidRPr="008B518E">
        <w:rPr>
          <w:rFonts w:ascii="Calibri" w:eastAsia="Aptos" w:hAnsi="Calibri" w:cs="Calibri"/>
          <w:kern w:val="0"/>
          <w:lang w:eastAsia="tr-TR"/>
          <w14:ligatures w14:val="none"/>
        </w:rPr>
        <w:t>Türkiye'de gıda enflasyonu, hanehalkı bütçesi ve satın alma gücü üzerinde doğrudan etkiye sahip olması nedeniyle büyük bir ekonomik sorun teşkil etmektedir. Türkiye’deki gıda enflasyonunu anlamak için Türkiye İstatistik Kurumu (TÜİK), İstanbul Ticaret Odası (İTO), Türk-İş ve BİLGİ Finansal Uygulama ve Araştırma Merkezi (CEFIS) tarafından oluşturulan çeşitli gıda fiyat endeksleri kullanılmaktadır. Bu araştırma notunda genel olarak gıda endekslerinin 2022 Nisan ayına kadar genelde beraber hareket etmesine rağmen sonrasında özellikle TÜİK endeksinin diğer endekslerden ayrıştığı ortaya konulmaktadır. Bu bulgu Türkiye’de gıda enflasyonun anlaşılması için sadece tek bir endekse bakılmaması gerektiğini göstermektedir.</w:t>
      </w:r>
    </w:p>
    <w:p w14:paraId="37D83562" w14:textId="77777777" w:rsidR="008B518E" w:rsidRDefault="008B518E" w:rsidP="008B518E">
      <w:pPr>
        <w:spacing w:line="254" w:lineRule="auto"/>
        <w:jc w:val="both"/>
        <w:rPr>
          <w:rFonts w:ascii="Calibri" w:eastAsia="Aptos" w:hAnsi="Calibri" w:cs="Calibri"/>
          <w:kern w:val="0"/>
          <w:lang w:eastAsia="tr-TR"/>
          <w14:ligatures w14:val="none"/>
        </w:rPr>
      </w:pPr>
      <w:r w:rsidRPr="008B518E">
        <w:rPr>
          <w:rFonts w:ascii="Calibri" w:eastAsia="Aptos" w:hAnsi="Calibri" w:cs="Calibri"/>
          <w:kern w:val="0"/>
          <w:lang w:eastAsia="tr-TR"/>
          <w14:ligatures w14:val="none"/>
        </w:rPr>
        <w:t>Araştırma notunda, ayrıca döviz kuru ve tarım üretici fiyatlarındaki hareketlerin gıda fiyatları üzerinde uzun süreli etkileri olduğunu ortaya koymaktadır. Yapılan analizi sonucunda, gıda fiyatlarındaki değişkenliğin büyük bir kısmının sepet döviz kurundan etkilendiği ve ikinci önemli etmen olarak tarım üretici fiyatlarının etkili olduğu belirlenmiştir. Bu bulgular, gıda fiyatlarının kontrolünde döviz kurunun ve tarım politikalarının dikkatle yönetilmesinin kritik öneme sahip olduğunu göstermektedir. Özellikle kuru kontrol etmeden gıda fiyatlarını yakın gelecekte kontrol etmek çok mümkün görünmemektedir.</w:t>
      </w:r>
    </w:p>
    <w:p w14:paraId="0AADE160" w14:textId="77777777" w:rsidR="008B518E" w:rsidRDefault="008B518E" w:rsidP="008B518E">
      <w:pPr>
        <w:spacing w:line="254" w:lineRule="auto"/>
        <w:jc w:val="both"/>
        <w:rPr>
          <w:rFonts w:ascii="Calibri" w:eastAsia="Aptos" w:hAnsi="Calibri" w:cs="Calibri"/>
          <w:kern w:val="0"/>
          <w:lang w:eastAsia="tr-TR"/>
          <w14:ligatures w14:val="none"/>
        </w:rPr>
      </w:pPr>
    </w:p>
    <w:p w14:paraId="574CB41F" w14:textId="77777777" w:rsidR="008B518E" w:rsidRPr="008B518E" w:rsidRDefault="00124250" w:rsidP="00C00DB1">
      <w:pPr>
        <w:pStyle w:val="ListParagraph"/>
        <w:numPr>
          <w:ilvl w:val="0"/>
          <w:numId w:val="2"/>
        </w:numPr>
        <w:spacing w:line="254" w:lineRule="auto"/>
        <w:jc w:val="both"/>
        <w:rPr>
          <w:rFonts w:ascii="Calibri" w:eastAsia="Aptos" w:hAnsi="Calibri" w:cs="Calibri"/>
          <w:b/>
          <w:bCs/>
          <w:kern w:val="0"/>
          <w:sz w:val="24"/>
          <w:szCs w:val="24"/>
          <w:lang w:eastAsia="tr-TR"/>
          <w14:ligatures w14:val="none"/>
        </w:rPr>
      </w:pPr>
      <w:r w:rsidRPr="008B518E">
        <w:rPr>
          <w:b/>
          <w:bCs/>
          <w:sz w:val="24"/>
          <w:szCs w:val="24"/>
        </w:rPr>
        <w:t>Giriş</w:t>
      </w:r>
      <w:bookmarkStart w:id="0" w:name="_GoBack"/>
      <w:bookmarkEnd w:id="0"/>
    </w:p>
    <w:p w14:paraId="039C5484" w14:textId="77777777" w:rsidR="008B518E" w:rsidRDefault="008B518E" w:rsidP="008B518E">
      <w:pPr>
        <w:pStyle w:val="ListParagraph"/>
        <w:spacing w:line="254" w:lineRule="auto"/>
        <w:jc w:val="both"/>
        <w:rPr>
          <w:b/>
          <w:bCs/>
          <w:sz w:val="24"/>
          <w:szCs w:val="24"/>
        </w:rPr>
      </w:pPr>
    </w:p>
    <w:p w14:paraId="6A4E6D20" w14:textId="34A6F1F0" w:rsidR="00EA40CE" w:rsidRPr="008B518E" w:rsidRDefault="00EA40CE" w:rsidP="008B518E">
      <w:pPr>
        <w:pStyle w:val="ListParagraph"/>
        <w:spacing w:line="254" w:lineRule="auto"/>
        <w:jc w:val="both"/>
        <w:rPr>
          <w:rFonts w:ascii="Calibri" w:eastAsia="Aptos" w:hAnsi="Calibri" w:cs="Calibri"/>
          <w:b/>
          <w:bCs/>
          <w:kern w:val="0"/>
          <w:sz w:val="24"/>
          <w:szCs w:val="24"/>
          <w:lang w:eastAsia="tr-TR"/>
          <w14:ligatures w14:val="none"/>
        </w:rPr>
      </w:pPr>
      <w:r w:rsidRPr="008B518E">
        <w:t xml:space="preserve">Gıda enflasyonu, </w:t>
      </w:r>
      <w:r w:rsidR="0083297A" w:rsidRPr="008B518E">
        <w:t>t</w:t>
      </w:r>
      <w:r w:rsidRPr="008B518E">
        <w:t xml:space="preserve">üketici </w:t>
      </w:r>
      <w:r w:rsidR="0083297A" w:rsidRPr="008B518E">
        <w:t>f</w:t>
      </w:r>
      <w:r w:rsidRPr="008B518E">
        <w:t xml:space="preserve">iyat </w:t>
      </w:r>
      <w:r w:rsidR="0083297A" w:rsidRPr="008B518E">
        <w:t>e</w:t>
      </w:r>
      <w:r w:rsidRPr="008B518E">
        <w:t xml:space="preserve">nflasyonunun en kritik belirleyicilerinden biri olarak </w:t>
      </w:r>
      <w:r w:rsidR="003C5D41" w:rsidRPr="008B518E">
        <w:t xml:space="preserve">geniş </w:t>
      </w:r>
      <w:r w:rsidRPr="008B518E">
        <w:t xml:space="preserve">halk </w:t>
      </w:r>
      <w:r w:rsidR="003C5D41" w:rsidRPr="008B518E">
        <w:t>kesim</w:t>
      </w:r>
      <w:r w:rsidR="00BF6DA6" w:rsidRPr="008B518E">
        <w:t>leri</w:t>
      </w:r>
      <w:r w:rsidR="003C5D41" w:rsidRPr="008B518E">
        <w:t xml:space="preserve"> </w:t>
      </w:r>
      <w:r w:rsidRPr="008B518E">
        <w:t xml:space="preserve">için büyük bir öneme sahiptir. Genellikle bireylerin günlük yaşamda karşılaştığı enflasyon, aslında gıda enflasyonudur ve bu durum hanehalklarının bütçelerini ve satın alma gücünü </w:t>
      </w:r>
      <w:r w:rsidR="001F54A8" w:rsidRPr="008B518E">
        <w:t xml:space="preserve">doğrudan </w:t>
      </w:r>
      <w:r w:rsidRPr="008B518E">
        <w:t>olarak etkilemektedir.</w:t>
      </w:r>
      <w:r w:rsidR="00394986" w:rsidRPr="008B518E">
        <w:t xml:space="preserve"> Özellikle düşük gelirli hanehalkları, gıda enflasyonunun yükselmesinden daha fazla etkilenmektedir. </w:t>
      </w:r>
      <w:r w:rsidR="00355904" w:rsidRPr="008B518E">
        <w:t>Bu nedenle gıda enflasyonuna yol açan faktörleri anlamak önemlidir.</w:t>
      </w:r>
      <w:r w:rsidR="00394986" w:rsidRPr="008B518E">
        <w:t xml:space="preserve">  </w:t>
      </w:r>
    </w:p>
    <w:p w14:paraId="42C9CD9B" w14:textId="0B2C7AA3" w:rsidR="00EA40CE" w:rsidRPr="00097D63" w:rsidRDefault="00355904" w:rsidP="00C00DB1">
      <w:pPr>
        <w:pStyle w:val="Heading2"/>
        <w:spacing w:after="160"/>
        <w:jc w:val="both"/>
        <w:rPr>
          <w:rFonts w:asciiTheme="minorHAnsi" w:eastAsiaTheme="minorHAnsi" w:hAnsiTheme="minorHAnsi" w:cstheme="minorBidi"/>
          <w:color w:val="auto"/>
          <w:sz w:val="22"/>
          <w:szCs w:val="22"/>
        </w:rPr>
      </w:pPr>
      <w:r w:rsidRPr="00097D63">
        <w:rPr>
          <w:rFonts w:asciiTheme="minorHAnsi" w:eastAsiaTheme="minorHAnsi" w:hAnsiTheme="minorHAnsi" w:cstheme="minorBidi"/>
          <w:color w:val="auto"/>
          <w:sz w:val="22"/>
          <w:szCs w:val="22"/>
        </w:rPr>
        <w:lastRenderedPageBreak/>
        <w:t xml:space="preserve">Gıda enflasyonu üzerine bir analiz yapabilmek için ilk önce gıda enflasyonunu doğru bir biçimde ölçülmesi gerekmektedir. Türkiye’de gıda enflasyonunu </w:t>
      </w:r>
      <w:r w:rsidR="00344282" w:rsidRPr="00097D63">
        <w:rPr>
          <w:rFonts w:asciiTheme="minorHAnsi" w:eastAsiaTheme="minorHAnsi" w:hAnsiTheme="minorHAnsi" w:cstheme="minorBidi"/>
          <w:color w:val="auto"/>
          <w:sz w:val="22"/>
          <w:szCs w:val="22"/>
        </w:rPr>
        <w:t>ölçmek için kullanılabilecek bir dizi endeks vardır. Gıda enflasyonuna yol açan nedenler incelenmeden önce bunlar arasındaki ilişkiyi anlamak önem arz etmektedir.</w:t>
      </w:r>
    </w:p>
    <w:p w14:paraId="73B16692" w14:textId="48581969" w:rsidR="00EA40CE" w:rsidRDefault="00EA40CE" w:rsidP="00C00DB1">
      <w:pPr>
        <w:pStyle w:val="Heading2"/>
        <w:spacing w:after="160"/>
        <w:jc w:val="both"/>
        <w:rPr>
          <w:rFonts w:asciiTheme="minorHAnsi" w:eastAsiaTheme="minorHAnsi" w:hAnsiTheme="minorHAnsi" w:cstheme="minorBidi"/>
          <w:color w:val="auto"/>
          <w:sz w:val="22"/>
          <w:szCs w:val="22"/>
        </w:rPr>
      </w:pPr>
      <w:r w:rsidRPr="00097D63">
        <w:rPr>
          <w:rFonts w:asciiTheme="minorHAnsi" w:eastAsiaTheme="minorHAnsi" w:hAnsiTheme="minorHAnsi" w:cstheme="minorBidi"/>
          <w:color w:val="auto"/>
          <w:sz w:val="22"/>
          <w:szCs w:val="22"/>
        </w:rPr>
        <w:t>Bu araştırma notu, ilk olarak Türkiye'de gıda fiyatlarını izlemek için kullanılabilecek endeksleri tanıtmaktadır. Ardından, Türkiye'de gıda fiyat</w:t>
      </w:r>
      <w:r w:rsidR="00F67EE1" w:rsidRPr="00097D63">
        <w:rPr>
          <w:rFonts w:asciiTheme="minorHAnsi" w:eastAsiaTheme="minorHAnsi" w:hAnsiTheme="minorHAnsi" w:cstheme="minorBidi"/>
          <w:color w:val="auto"/>
          <w:sz w:val="22"/>
          <w:szCs w:val="22"/>
        </w:rPr>
        <w:t>larının</w:t>
      </w:r>
      <w:r w:rsidRPr="00097D63">
        <w:rPr>
          <w:rFonts w:asciiTheme="minorHAnsi" w:eastAsiaTheme="minorHAnsi" w:hAnsiTheme="minorHAnsi" w:cstheme="minorBidi"/>
          <w:color w:val="auto"/>
          <w:sz w:val="22"/>
          <w:szCs w:val="22"/>
        </w:rPr>
        <w:t xml:space="preserve"> zaman içindeki değişimleri karşılaştırılacak ve en son olarak Türkiye'deki gıda fiyatlarını etkileyen faktörler ele alınacaktır.</w:t>
      </w:r>
    </w:p>
    <w:p w14:paraId="51B61A04" w14:textId="4FE3DD66" w:rsidR="00B35CD8" w:rsidRPr="00105A7B" w:rsidRDefault="00826D32" w:rsidP="00C00DB1">
      <w:pPr>
        <w:pStyle w:val="Heading2"/>
        <w:spacing w:after="160"/>
      </w:pPr>
      <w:r>
        <w:t xml:space="preserve">2. Türkiye’de </w:t>
      </w:r>
      <w:r w:rsidR="00105A7B" w:rsidRPr="00105A7B">
        <w:t xml:space="preserve">Gıda Fiyat </w:t>
      </w:r>
      <w:r w:rsidR="00B35CD8" w:rsidRPr="00105A7B">
        <w:t>Endeksler</w:t>
      </w:r>
      <w:r w:rsidR="00105A7B" w:rsidRPr="00105A7B">
        <w:t>i</w:t>
      </w:r>
    </w:p>
    <w:p w14:paraId="3FD99A05" w14:textId="41A9B083" w:rsidR="00EA40CE" w:rsidRPr="00097D63" w:rsidRDefault="00EA40CE" w:rsidP="00C00DB1">
      <w:pPr>
        <w:pStyle w:val="Heading2"/>
        <w:spacing w:after="160"/>
        <w:jc w:val="both"/>
        <w:rPr>
          <w:rFonts w:asciiTheme="minorHAnsi" w:eastAsiaTheme="minorHAnsi" w:hAnsiTheme="minorHAnsi" w:cstheme="minorBidi"/>
          <w:color w:val="auto"/>
          <w:sz w:val="22"/>
          <w:szCs w:val="22"/>
        </w:rPr>
      </w:pPr>
      <w:r w:rsidRPr="00097D63">
        <w:rPr>
          <w:rFonts w:asciiTheme="minorHAnsi" w:eastAsiaTheme="minorHAnsi" w:hAnsiTheme="minorHAnsi" w:cstheme="minorBidi"/>
          <w:color w:val="auto"/>
          <w:sz w:val="22"/>
          <w:szCs w:val="22"/>
        </w:rPr>
        <w:t xml:space="preserve">Türkiye'de gıda fiyatlarının izlenebileceği en geniş kapsamlı </w:t>
      </w:r>
      <w:r w:rsidR="00F67EE1" w:rsidRPr="00097D63">
        <w:rPr>
          <w:rFonts w:asciiTheme="minorHAnsi" w:eastAsiaTheme="minorHAnsi" w:hAnsiTheme="minorHAnsi" w:cstheme="minorBidi"/>
          <w:color w:val="auto"/>
          <w:sz w:val="22"/>
          <w:szCs w:val="22"/>
        </w:rPr>
        <w:t>ölçüt</w:t>
      </w:r>
      <w:r w:rsidRPr="00097D63">
        <w:rPr>
          <w:rFonts w:asciiTheme="minorHAnsi" w:eastAsiaTheme="minorHAnsi" w:hAnsiTheme="minorHAnsi" w:cstheme="minorBidi"/>
          <w:color w:val="auto"/>
          <w:sz w:val="22"/>
          <w:szCs w:val="22"/>
        </w:rPr>
        <w:t xml:space="preserve">, Türkiye İstatistik Kurumu'nun (TÜİK) </w:t>
      </w:r>
      <w:r w:rsidR="00D63290" w:rsidRPr="00097D63">
        <w:rPr>
          <w:rFonts w:asciiTheme="minorHAnsi" w:eastAsiaTheme="minorHAnsi" w:hAnsiTheme="minorHAnsi" w:cstheme="minorBidi"/>
          <w:color w:val="auto"/>
          <w:sz w:val="22"/>
          <w:szCs w:val="22"/>
        </w:rPr>
        <w:t>t</w:t>
      </w:r>
      <w:r w:rsidRPr="00097D63">
        <w:rPr>
          <w:rFonts w:asciiTheme="minorHAnsi" w:eastAsiaTheme="minorHAnsi" w:hAnsiTheme="minorHAnsi" w:cstheme="minorBidi"/>
          <w:color w:val="auto"/>
          <w:sz w:val="22"/>
          <w:szCs w:val="22"/>
        </w:rPr>
        <w:t xml:space="preserve">üketici </w:t>
      </w:r>
      <w:r w:rsidR="00D63290" w:rsidRPr="00097D63">
        <w:rPr>
          <w:rFonts w:asciiTheme="minorHAnsi" w:eastAsiaTheme="minorHAnsi" w:hAnsiTheme="minorHAnsi" w:cstheme="minorBidi"/>
          <w:color w:val="auto"/>
          <w:sz w:val="22"/>
          <w:szCs w:val="22"/>
        </w:rPr>
        <w:t>f</w:t>
      </w:r>
      <w:r w:rsidRPr="00097D63">
        <w:rPr>
          <w:rFonts w:asciiTheme="minorHAnsi" w:eastAsiaTheme="minorHAnsi" w:hAnsiTheme="minorHAnsi" w:cstheme="minorBidi"/>
          <w:color w:val="auto"/>
          <w:sz w:val="22"/>
          <w:szCs w:val="22"/>
        </w:rPr>
        <w:t xml:space="preserve">iyat </w:t>
      </w:r>
      <w:r w:rsidR="00D63290" w:rsidRPr="00097D63">
        <w:rPr>
          <w:rFonts w:asciiTheme="minorHAnsi" w:eastAsiaTheme="minorHAnsi" w:hAnsiTheme="minorHAnsi" w:cstheme="minorBidi"/>
          <w:color w:val="auto"/>
          <w:sz w:val="22"/>
          <w:szCs w:val="22"/>
        </w:rPr>
        <w:t>e</w:t>
      </w:r>
      <w:r w:rsidRPr="00097D63">
        <w:rPr>
          <w:rFonts w:asciiTheme="minorHAnsi" w:eastAsiaTheme="minorHAnsi" w:hAnsiTheme="minorHAnsi" w:cstheme="minorBidi"/>
          <w:color w:val="auto"/>
          <w:sz w:val="22"/>
          <w:szCs w:val="22"/>
        </w:rPr>
        <w:t>ndeksi (TÜFE) altında yer alan gıda ve alkolsüz içecekler endeks</w:t>
      </w:r>
      <w:r w:rsidR="00F67EE1" w:rsidRPr="00097D63">
        <w:rPr>
          <w:rFonts w:asciiTheme="minorHAnsi" w:eastAsiaTheme="minorHAnsi" w:hAnsiTheme="minorHAnsi" w:cstheme="minorBidi"/>
          <w:color w:val="auto"/>
          <w:sz w:val="22"/>
          <w:szCs w:val="22"/>
        </w:rPr>
        <w:t>idir</w:t>
      </w:r>
      <w:r w:rsidR="00A34707" w:rsidRPr="00097D63">
        <w:rPr>
          <w:rFonts w:asciiTheme="minorHAnsi" w:eastAsiaTheme="minorHAnsi" w:hAnsiTheme="minorHAnsi" w:cstheme="minorBidi"/>
          <w:color w:val="auto"/>
          <w:sz w:val="22"/>
          <w:szCs w:val="22"/>
        </w:rPr>
        <w:t>.</w:t>
      </w:r>
      <w:r w:rsidRPr="00097D63">
        <w:rPr>
          <w:rFonts w:asciiTheme="minorHAnsi" w:eastAsiaTheme="minorHAnsi" w:hAnsiTheme="minorHAnsi" w:cstheme="minorBidi"/>
          <w:color w:val="auto"/>
          <w:sz w:val="22"/>
          <w:szCs w:val="22"/>
        </w:rPr>
        <w:t xml:space="preserve"> TÜİK, Türkiye genelinden gıda ürünü fiyatlarını sahadan toplamaktadır.</w:t>
      </w:r>
    </w:p>
    <w:p w14:paraId="229D7A9A" w14:textId="3D6D773D" w:rsidR="00EA40CE" w:rsidRPr="00097D63" w:rsidRDefault="00DE340B" w:rsidP="00C00DB1">
      <w:pPr>
        <w:pStyle w:val="Heading2"/>
        <w:spacing w:after="160"/>
        <w:jc w:val="both"/>
        <w:rPr>
          <w:rFonts w:asciiTheme="minorHAnsi" w:eastAsiaTheme="minorHAnsi" w:hAnsiTheme="minorHAnsi" w:cstheme="minorBidi"/>
          <w:color w:val="auto"/>
          <w:sz w:val="22"/>
          <w:szCs w:val="22"/>
        </w:rPr>
      </w:pPr>
      <w:r w:rsidRPr="00097D63">
        <w:rPr>
          <w:rFonts w:asciiTheme="minorHAnsi" w:eastAsiaTheme="minorHAnsi" w:hAnsiTheme="minorHAnsi" w:cstheme="minorBidi"/>
          <w:color w:val="auto"/>
          <w:sz w:val="22"/>
          <w:szCs w:val="22"/>
        </w:rPr>
        <w:t xml:space="preserve">Kamuoyu tarafından dikkatli bir biçimde takip edilen diğer bir gıda fiyatları göstergesi de </w:t>
      </w:r>
      <w:r w:rsidR="00EA40CE" w:rsidRPr="00097D63">
        <w:rPr>
          <w:rFonts w:asciiTheme="minorHAnsi" w:eastAsiaTheme="minorHAnsi" w:hAnsiTheme="minorHAnsi" w:cstheme="minorBidi"/>
          <w:color w:val="auto"/>
          <w:sz w:val="22"/>
          <w:szCs w:val="22"/>
        </w:rPr>
        <w:t>İstanbul Ticaret Odası'nın (İTO) ücretliler için oluşturduğu geçinme endeksinin gıda alt endeksi</w:t>
      </w:r>
      <w:r w:rsidRPr="00097D63">
        <w:rPr>
          <w:rFonts w:asciiTheme="minorHAnsi" w:eastAsiaTheme="minorHAnsi" w:hAnsiTheme="minorHAnsi" w:cstheme="minorBidi"/>
          <w:color w:val="auto"/>
          <w:sz w:val="22"/>
          <w:szCs w:val="22"/>
        </w:rPr>
        <w:t>dir</w:t>
      </w:r>
      <w:r w:rsidR="00EA40CE" w:rsidRPr="00097D63">
        <w:rPr>
          <w:rFonts w:asciiTheme="minorHAnsi" w:eastAsiaTheme="minorHAnsi" w:hAnsiTheme="minorHAnsi" w:cstheme="minorBidi"/>
          <w:color w:val="auto"/>
          <w:sz w:val="22"/>
          <w:szCs w:val="22"/>
        </w:rPr>
        <w:t>. Bu endekste yalnızca İstanbul'a ait saha verileri kullanılmaktadır.</w:t>
      </w:r>
    </w:p>
    <w:p w14:paraId="3FB8BAC0" w14:textId="635B59FC" w:rsidR="00EA40CE" w:rsidRPr="00097D63" w:rsidRDefault="00EA40CE" w:rsidP="00C00DB1">
      <w:pPr>
        <w:pStyle w:val="Heading2"/>
        <w:spacing w:after="160"/>
        <w:jc w:val="both"/>
        <w:rPr>
          <w:rFonts w:asciiTheme="minorHAnsi" w:eastAsiaTheme="minorHAnsi" w:hAnsiTheme="minorHAnsi" w:cstheme="minorBidi"/>
          <w:color w:val="auto"/>
          <w:sz w:val="22"/>
          <w:szCs w:val="22"/>
        </w:rPr>
      </w:pPr>
      <w:r w:rsidRPr="00097D63">
        <w:rPr>
          <w:rFonts w:asciiTheme="minorHAnsi" w:eastAsiaTheme="minorHAnsi" w:hAnsiTheme="minorHAnsi" w:cstheme="minorBidi"/>
          <w:color w:val="auto"/>
          <w:sz w:val="22"/>
          <w:szCs w:val="22"/>
        </w:rPr>
        <w:t>Türk-İş'in açlık sınırı verileri de gıda fiyat endeksi olarak değerlendirilebilir. Bu endekste, Ankara'da yaşayan dört kişilik bir aile için ortalama beslenme modeli temel alınarak, gıda için yapılması gereken minimum harcamanın hesaplanması yapılmaktadır.</w:t>
      </w:r>
    </w:p>
    <w:p w14:paraId="760BE43A" w14:textId="406B1FB7" w:rsidR="00EA40CE" w:rsidRDefault="00EA40CE" w:rsidP="00C00DB1">
      <w:pPr>
        <w:pStyle w:val="Heading2"/>
        <w:spacing w:after="160"/>
        <w:jc w:val="both"/>
        <w:rPr>
          <w:rFonts w:asciiTheme="minorHAnsi" w:eastAsiaTheme="minorHAnsi" w:hAnsiTheme="minorHAnsi" w:cstheme="minorBidi"/>
          <w:color w:val="auto"/>
          <w:sz w:val="22"/>
          <w:szCs w:val="22"/>
        </w:rPr>
      </w:pPr>
      <w:r w:rsidRPr="00097D63">
        <w:rPr>
          <w:rFonts w:asciiTheme="minorHAnsi" w:eastAsiaTheme="minorHAnsi" w:hAnsiTheme="minorHAnsi" w:cstheme="minorBidi"/>
          <w:color w:val="auto"/>
          <w:sz w:val="22"/>
          <w:szCs w:val="22"/>
        </w:rPr>
        <w:t>Son olarak, BİLGİ Finansal Uygulama ve Araştırma Merkezi (CEFIS) tarafından yeni geliştirilen bir gıda fiyat endeksi bulunmaktadır. Bu endeks, TÜİK'in sahadan topladığı veriler yerine online veriler kullanmaktadır. Yukarıda bahsedilen diğer endeksler uzun yılları kapsarken, CEFIS gıda fiyat endeksi 2018 Temmuz'dan itibaren oluşturulmuş ve daha kısa bir süreyi kapsamaktadır.</w:t>
      </w:r>
    </w:p>
    <w:p w14:paraId="20BDB1AD" w14:textId="3317F101" w:rsidR="00560A32" w:rsidRPr="00D42489" w:rsidRDefault="00826D32" w:rsidP="00FF6527">
      <w:pPr>
        <w:pStyle w:val="Heading2"/>
        <w:spacing w:after="160"/>
        <w:rPr>
          <w:color w:val="FF0000"/>
          <w:sz w:val="24"/>
          <w:szCs w:val="24"/>
        </w:rPr>
      </w:pPr>
      <w:r w:rsidRPr="00097D63">
        <w:t xml:space="preserve">3. </w:t>
      </w:r>
      <w:r w:rsidR="00560A32" w:rsidRPr="00097D63">
        <w:t xml:space="preserve">Gıda </w:t>
      </w:r>
      <w:r w:rsidR="007504A0" w:rsidRPr="00097D63">
        <w:t>Enflasyonlarının</w:t>
      </w:r>
      <w:r w:rsidR="00903244" w:rsidRPr="00097D63">
        <w:t xml:space="preserve"> </w:t>
      </w:r>
      <w:r w:rsidRPr="00097D63">
        <w:t>Karşılaştırılması</w:t>
      </w:r>
      <w:r w:rsidR="007504A0">
        <w:t xml:space="preserve"> </w:t>
      </w:r>
    </w:p>
    <w:p w14:paraId="065032E6" w14:textId="315E6297" w:rsidR="008A05F0" w:rsidRDefault="00DE340B" w:rsidP="00FF6527">
      <w:pPr>
        <w:spacing w:before="40"/>
        <w:jc w:val="both"/>
        <w:rPr>
          <w:rStyle w:val="hgkelc"/>
        </w:rPr>
      </w:pPr>
      <w:r>
        <w:t>Yukarıda bahse</w:t>
      </w:r>
      <w:r w:rsidR="00D7426D">
        <w:t>dilen</w:t>
      </w:r>
      <w:r>
        <w:t xml:space="preserve"> dört endeksin birbirlerine göre nasıl hareket ettiğini anlamak için i</w:t>
      </w:r>
      <w:r w:rsidR="00EA40CE">
        <w:t xml:space="preserve">lk olarak, </w:t>
      </w:r>
      <w:r w:rsidR="00365481">
        <w:t xml:space="preserve">TÜİK, İTO, </w:t>
      </w:r>
      <w:r w:rsidR="00365481">
        <w:rPr>
          <w:rStyle w:val="hgkelc"/>
        </w:rPr>
        <w:t>Türk-İş</w:t>
      </w:r>
      <w:r w:rsidR="008A05F0">
        <w:rPr>
          <w:rStyle w:val="hgkelc"/>
        </w:rPr>
        <w:t xml:space="preserve"> ve </w:t>
      </w:r>
      <w:r w:rsidR="008A05F0" w:rsidRPr="00F4454D">
        <w:rPr>
          <w:rStyle w:val="hgkelc"/>
        </w:rPr>
        <w:t>CEFIS</w:t>
      </w:r>
      <w:r w:rsidR="00365481" w:rsidRPr="00F4454D">
        <w:rPr>
          <w:rStyle w:val="hgkelc"/>
        </w:rPr>
        <w:t xml:space="preserve"> gıda </w:t>
      </w:r>
      <w:r w:rsidR="007504A0" w:rsidRPr="00F4454D">
        <w:t xml:space="preserve">enflasyonları </w:t>
      </w:r>
      <w:r w:rsidR="00EA40CE" w:rsidRPr="00F4454D">
        <w:t>karşılaştır</w:t>
      </w:r>
      <w:r w:rsidR="00D7426D" w:rsidRPr="00F4454D">
        <w:t>ılmaktadır</w:t>
      </w:r>
      <w:r w:rsidR="00365481" w:rsidRPr="00F4454D">
        <w:rPr>
          <w:rStyle w:val="hgkelc"/>
        </w:rPr>
        <w:t>.</w:t>
      </w:r>
      <w:r w:rsidR="00365481">
        <w:rPr>
          <w:rStyle w:val="hgkelc"/>
        </w:rPr>
        <w:t xml:space="preserve"> </w:t>
      </w:r>
      <w:r w:rsidR="007F3CBE">
        <w:rPr>
          <w:rStyle w:val="hgkelc"/>
        </w:rPr>
        <w:t>Şekil 1’de</w:t>
      </w:r>
      <w:r w:rsidR="00560A32">
        <w:rPr>
          <w:rStyle w:val="hgkelc"/>
        </w:rPr>
        <w:t xml:space="preserve"> gıda endekslerinden elde edilen</w:t>
      </w:r>
      <w:r w:rsidR="007F3CBE">
        <w:rPr>
          <w:rStyle w:val="hgkelc"/>
        </w:rPr>
        <w:t xml:space="preserve"> </w:t>
      </w:r>
      <w:r w:rsidR="007F3CBE">
        <w:t>TÜİK, İTO,</w:t>
      </w:r>
      <w:r w:rsidR="008A05F0">
        <w:t xml:space="preserve"> </w:t>
      </w:r>
      <w:r w:rsidR="007F3CBE">
        <w:rPr>
          <w:rStyle w:val="hgkelc"/>
        </w:rPr>
        <w:t>Türk-İş</w:t>
      </w:r>
      <w:r w:rsidR="008A05F0">
        <w:rPr>
          <w:rStyle w:val="hgkelc"/>
        </w:rPr>
        <w:t xml:space="preserve"> ve CEFIS</w:t>
      </w:r>
      <w:r w:rsidR="007F3CBE">
        <w:rPr>
          <w:rStyle w:val="hgkelc"/>
        </w:rPr>
        <w:t>’in yıllık gıda enflasyonları gözük</w:t>
      </w:r>
      <w:r w:rsidR="00560A32">
        <w:rPr>
          <w:rStyle w:val="hgkelc"/>
        </w:rPr>
        <w:t>mektedir</w:t>
      </w:r>
      <w:r w:rsidR="007F3CBE">
        <w:rPr>
          <w:rStyle w:val="hgkelc"/>
        </w:rPr>
        <w:t xml:space="preserve">. </w:t>
      </w:r>
      <w:r w:rsidR="008A05F0">
        <w:rPr>
          <w:rStyle w:val="hgkelc"/>
        </w:rPr>
        <w:t>Temmuz 2019-Ekim 2021 arasında yıllık gıda enflasyonun yüzde 10 ile yüzde 30 bandında hareket ettiği görülmektedir.</w:t>
      </w:r>
      <w:r w:rsidR="001027CB">
        <w:rPr>
          <w:rStyle w:val="hgkelc"/>
        </w:rPr>
        <w:t xml:space="preserve"> CEFIS gıda enflasyonun yüksek volatilite göstermesi dışında</w:t>
      </w:r>
      <w:r w:rsidR="008A05F0">
        <w:rPr>
          <w:rStyle w:val="hgkelc"/>
        </w:rPr>
        <w:t xml:space="preserve"> herhangi bir kurumun gıda enflasyonun </w:t>
      </w:r>
      <w:r w:rsidR="001027CB">
        <w:rPr>
          <w:rStyle w:val="hgkelc"/>
        </w:rPr>
        <w:t>birbirinden sistematik olarak ayrışmamıştır</w:t>
      </w:r>
      <w:r w:rsidR="008A05F0">
        <w:rPr>
          <w:rStyle w:val="hgkelc"/>
        </w:rPr>
        <w:t>.</w:t>
      </w:r>
    </w:p>
    <w:p w14:paraId="6AB669FA" w14:textId="3528AC28" w:rsidR="008A05F0" w:rsidRDefault="008A05F0" w:rsidP="00FF6527">
      <w:pPr>
        <w:spacing w:before="40"/>
        <w:jc w:val="both"/>
        <w:rPr>
          <w:rStyle w:val="hgkelc"/>
        </w:rPr>
      </w:pPr>
      <w:r w:rsidRPr="003B48BF">
        <w:rPr>
          <w:rStyle w:val="hgkelc"/>
        </w:rPr>
        <w:t>Kasım 2021’de</w:t>
      </w:r>
      <w:r w:rsidR="005D6882" w:rsidRPr="003B48BF">
        <w:rPr>
          <w:rStyle w:val="hgkelc"/>
        </w:rPr>
        <w:t>n başlayarak</w:t>
      </w:r>
      <w:r w:rsidRPr="003B48BF">
        <w:rPr>
          <w:rStyle w:val="hgkelc"/>
        </w:rPr>
        <w:t xml:space="preserve"> </w:t>
      </w:r>
      <w:r w:rsidR="005D6882" w:rsidRPr="003B48BF">
        <w:rPr>
          <w:rStyle w:val="hgkelc"/>
        </w:rPr>
        <w:t>ise enflasyon dinamiklerinde önemli bir değişim gözükmektedir. Kasım 2021’den</w:t>
      </w:r>
      <w:r w:rsidR="001027CB" w:rsidRPr="003B48BF">
        <w:rPr>
          <w:rStyle w:val="hgkelc"/>
        </w:rPr>
        <w:t xml:space="preserve"> sonra</w:t>
      </w:r>
      <w:r w:rsidR="005D6882" w:rsidRPr="003B48BF">
        <w:rPr>
          <w:rStyle w:val="hgkelc"/>
        </w:rPr>
        <w:t xml:space="preserve"> gıda enflasyonu sadece 6 ayda </w:t>
      </w:r>
      <w:r w:rsidR="001027CB" w:rsidRPr="003B48BF">
        <w:rPr>
          <w:rStyle w:val="hgkelc"/>
        </w:rPr>
        <w:t>yüzde 30’dan yüzde 100’ün üstüne çıkmıştır</w:t>
      </w:r>
      <w:r w:rsidR="005D6882" w:rsidRPr="003B48BF">
        <w:rPr>
          <w:rStyle w:val="hgkelc"/>
        </w:rPr>
        <w:t xml:space="preserve">. </w:t>
      </w:r>
      <w:r w:rsidRPr="003B48BF">
        <w:rPr>
          <w:rStyle w:val="hgkelc"/>
        </w:rPr>
        <w:t xml:space="preserve"> </w:t>
      </w:r>
      <w:r w:rsidR="005D6882" w:rsidRPr="003B48BF">
        <w:rPr>
          <w:rStyle w:val="hgkelc"/>
        </w:rPr>
        <w:t>Ayrıca Nisan 2022’den sonra TÜİK gıda enflasyonu ve diğer gıda enflasyonlarında önemli bir farklılaşma gözükmektedir. Nisan 2022’den sonra TÜİK gıda enflasyonun artış hızı önemli ölçüde yavaşlarken diğer gıda enflasyonlar</w:t>
      </w:r>
      <w:r w:rsidR="001027CB" w:rsidRPr="003B48BF">
        <w:rPr>
          <w:rStyle w:val="hgkelc"/>
        </w:rPr>
        <w:t xml:space="preserve">ında artış devam etmiştir. </w:t>
      </w:r>
      <w:r w:rsidR="005D6882" w:rsidRPr="003B48BF">
        <w:rPr>
          <w:rStyle w:val="hgkelc"/>
        </w:rPr>
        <w:t xml:space="preserve"> </w:t>
      </w:r>
      <w:r w:rsidR="001027CB" w:rsidRPr="003B48BF">
        <w:rPr>
          <w:rStyle w:val="hgkelc"/>
        </w:rPr>
        <w:t xml:space="preserve">Bunun sonucunda </w:t>
      </w:r>
      <w:r w:rsidR="001027CB" w:rsidRPr="003B48BF">
        <w:t>2022 Kasım ayında Türk-İş %137, CEFIS %136, İTO %119, TÜİK ise %103 yıllık gıda enflasyonu rapor etmiştir.</w:t>
      </w:r>
      <w:r w:rsidR="003B48BF" w:rsidRPr="003B48BF">
        <w:t xml:space="preserve"> TÜİK gıda enflasyonu 2022 Haziran’ından beri sistemik olarak İTO ve Türk-İş gıda enflasyonlarının altında kalmaktadır. Ancak 2023 Haziran’ından sonra TÜİK gıda enflasyonu İTO ve Türk-İş gıda yakınsadığı hatta Ekim 2023’de CEFIS gıda enflasyonun üstüne çıktığı görülmektedir.</w:t>
      </w:r>
    </w:p>
    <w:p w14:paraId="1B616E66" w14:textId="48F0E3E3" w:rsidR="008E4C17" w:rsidRDefault="008E4C17" w:rsidP="008E4C17">
      <w:pPr>
        <w:spacing w:after="0"/>
        <w:jc w:val="both"/>
        <w:rPr>
          <w:rStyle w:val="hgkelc"/>
        </w:rPr>
      </w:pPr>
      <w:r>
        <w:rPr>
          <w:rStyle w:val="hgkelc"/>
        </w:rPr>
        <w:t xml:space="preserve">Şekil 1. </w:t>
      </w:r>
      <w:r>
        <w:t xml:space="preserve">TÜİK, İTO ve </w:t>
      </w:r>
      <w:r>
        <w:rPr>
          <w:rStyle w:val="hgkelc"/>
        </w:rPr>
        <w:t xml:space="preserve">Türk-İş Yıllık Gıda </w:t>
      </w:r>
      <w:r w:rsidRPr="0026035C">
        <w:rPr>
          <w:rStyle w:val="hgkelc"/>
        </w:rPr>
        <w:t>Enflasyonları</w:t>
      </w:r>
      <w:r w:rsidR="007504A0" w:rsidRPr="0026035C">
        <w:rPr>
          <w:rStyle w:val="hgkelc"/>
        </w:rPr>
        <w:t xml:space="preserve"> (%)</w:t>
      </w:r>
    </w:p>
    <w:p w14:paraId="7EF7A618" w14:textId="28C903F6" w:rsidR="009520B1" w:rsidRDefault="0044087D" w:rsidP="008E4C17">
      <w:pPr>
        <w:jc w:val="both"/>
        <w:rPr>
          <w:rStyle w:val="hgkelc"/>
        </w:rPr>
      </w:pPr>
      <w:r>
        <w:rPr>
          <w:noProof/>
          <w:lang w:eastAsia="tr-TR"/>
        </w:rPr>
        <w:lastRenderedPageBreak/>
        <w:drawing>
          <wp:inline distT="0" distB="0" distL="0" distR="0" wp14:anchorId="4350F651" wp14:editId="65AA682E">
            <wp:extent cx="5943600" cy="4114800"/>
            <wp:effectExtent l="0" t="0" r="0" b="0"/>
            <wp:docPr id="2019443610" name="Chart 1">
              <a:extLst xmlns:a="http://schemas.openxmlformats.org/drawingml/2006/main">
                <a:ext uri="{FF2B5EF4-FFF2-40B4-BE49-F238E27FC236}">
                  <a16:creationId xmlns:a16="http://schemas.microsoft.com/office/drawing/2014/main" id="{B9967BEF-F49A-49F4-8D76-D3FFC82302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98FE25" w14:textId="4860F5E1" w:rsidR="00266B63" w:rsidRDefault="00266B63" w:rsidP="00FF6527">
      <w:pPr>
        <w:spacing w:before="40"/>
        <w:jc w:val="both"/>
      </w:pPr>
      <w:r>
        <w:t xml:space="preserve">Şekil </w:t>
      </w:r>
      <w:r w:rsidR="001027CB">
        <w:t>1</w:t>
      </w:r>
      <w:r>
        <w:t>’deki ilginç bir bulgu</w:t>
      </w:r>
      <w:r w:rsidR="006C3BCC">
        <w:t xml:space="preserve"> da</w:t>
      </w:r>
      <w:r>
        <w:t xml:space="preserve"> online gıda fiyatlarının sahadaki fiyatlardan çok daha hızlı arttığıdır. Büyük ihtimalle online fiyatların katılığı sahadaki fiyatlara kıyasla daha düşüktür. Alışverişin çoğunluğunun internete döndüğü bir dönemde fiyat endeksi hesaplayan kurumlar doğru bir biçimde fiyat endeksi oluşturabilmesi için online fiyatları da dikkate alması gerekmektedir.</w:t>
      </w:r>
      <w:r w:rsidR="001027CB">
        <w:t xml:space="preserve"> Buna karşın sadece online gıda fiyatlarını içeren CEFIS gıda endeksi diğer endekslere göre daha volatildir. Bu nedenle online ve sahadan gıda fiyatlarını birleştiren bir endeks</w:t>
      </w:r>
      <w:r w:rsidR="009520B1">
        <w:t>in</w:t>
      </w:r>
      <w:r w:rsidR="001027CB">
        <w:t xml:space="preserve"> Türkiye gıda fiyatları hakkında </w:t>
      </w:r>
      <w:r w:rsidR="009520B1">
        <w:t>daha doğru sonuçlar vereceği düşünül</w:t>
      </w:r>
      <w:r w:rsidR="006C3BCC">
        <w:t>ebilir</w:t>
      </w:r>
      <w:r w:rsidR="001027CB">
        <w:t>.</w:t>
      </w:r>
    </w:p>
    <w:p w14:paraId="1FEE75D4" w14:textId="1B17E0C8" w:rsidR="00266B63" w:rsidRPr="0044087D" w:rsidRDefault="00826D32" w:rsidP="008E4C17">
      <w:pPr>
        <w:pStyle w:val="Heading2"/>
        <w:spacing w:after="160"/>
      </w:pPr>
      <w:r w:rsidRPr="0044087D">
        <w:t>4. Türkiye’de Gıda Fiyat</w:t>
      </w:r>
      <w:r w:rsidR="004701EF" w:rsidRPr="0044087D">
        <w:t>larını Etkileyen Başlıca İki Etmen: Döviz kuru ve Tarım Üretici Fiyatları</w:t>
      </w:r>
    </w:p>
    <w:p w14:paraId="565DAC0B" w14:textId="687E1A92" w:rsidR="00AF7714" w:rsidRDefault="00B26D60" w:rsidP="008E4C17">
      <w:pPr>
        <w:spacing w:before="40"/>
        <w:jc w:val="both"/>
      </w:pPr>
      <w:r>
        <w:t>Türkiye’de gıda fiyatlarını ölçmek için kullanılan değişik endeksler tanıt</w:t>
      </w:r>
      <w:r w:rsidR="00E07621">
        <w:t>ıldıktan</w:t>
      </w:r>
      <w:r>
        <w:t xml:space="preserve"> sonra</w:t>
      </w:r>
      <w:r w:rsidR="00110C8E" w:rsidRPr="0044087D">
        <w:t>,</w:t>
      </w:r>
      <w:r>
        <w:t xml:space="preserve"> şimdi</w:t>
      </w:r>
      <w:r w:rsidR="00110C8E" w:rsidRPr="0044087D">
        <w:t xml:space="preserve"> Türkiye'de gıda enflasyonunu etkileyen faktörler derinlemesine incele</w:t>
      </w:r>
      <w:r w:rsidR="00E07621">
        <w:t>necektir</w:t>
      </w:r>
      <w:r w:rsidR="00110C8E" w:rsidRPr="0044087D">
        <w:t>.</w:t>
      </w:r>
      <w:r w:rsidR="00AF7714">
        <w:t xml:space="preserve"> Bu bölümde gıda fiyat endeksi olarak</w:t>
      </w:r>
      <w:r w:rsidR="00110C8E" w:rsidRPr="0044087D">
        <w:t xml:space="preserve"> </w:t>
      </w:r>
      <w:r w:rsidR="00AF7714" w:rsidRPr="00AF7714">
        <w:t>İTO ve Türk-İş gıda fiyat endekslerinin</w:t>
      </w:r>
      <w:r w:rsidR="00AF7714">
        <w:t xml:space="preserve"> ortalaması alınmaktadır. TÜİK gıda endeksi 2022 2. yılındaki </w:t>
      </w:r>
      <w:r w:rsidR="003D420B">
        <w:t xml:space="preserve">gıda enflasyonundaki </w:t>
      </w:r>
      <w:r w:rsidR="00AF7714">
        <w:t xml:space="preserve">yükselmeyi yakalayamadığı için CEFIS gıda endeksi de daha volatil bir endeks olduğu için bu iki endeks </w:t>
      </w:r>
      <w:r w:rsidR="003D420B">
        <w:t>tercih edilmektedir</w:t>
      </w:r>
      <w:r w:rsidR="00AF7714">
        <w:t xml:space="preserve">. </w:t>
      </w:r>
    </w:p>
    <w:p w14:paraId="26B67BDE" w14:textId="028C86F6" w:rsidR="00FF6527" w:rsidRDefault="00AF7714" w:rsidP="008E4C17">
      <w:pPr>
        <w:spacing w:before="40"/>
        <w:jc w:val="both"/>
        <w:rPr>
          <w:noProof/>
        </w:rPr>
      </w:pPr>
      <w:r>
        <w:rPr>
          <w:noProof/>
        </w:rPr>
        <w:lastRenderedPageBreak/>
        <w:t>Gıda fiyatlarına etkileyen sebepleri incelemek</w:t>
      </w:r>
      <w:r w:rsidR="00826D32" w:rsidRPr="0044087D">
        <w:rPr>
          <w:noProof/>
        </w:rPr>
        <w:t xml:space="preserve"> </w:t>
      </w:r>
      <w:r w:rsidR="008A21D8" w:rsidRPr="0044087D">
        <w:rPr>
          <w:noProof/>
        </w:rPr>
        <w:t>için</w:t>
      </w:r>
      <w:r w:rsidR="00826D32" w:rsidRPr="0044087D">
        <w:rPr>
          <w:noProof/>
        </w:rPr>
        <w:t xml:space="preserve"> </w:t>
      </w:r>
      <w:bookmarkStart w:id="1" w:name="_Hlk147071079"/>
      <w:r w:rsidR="008A21D8" w:rsidRPr="0044087D">
        <w:rPr>
          <w:noProof/>
        </w:rPr>
        <w:t xml:space="preserve">sepet döviz kuru, tarım </w:t>
      </w:r>
      <w:r w:rsidR="007302E1" w:rsidRPr="0044087D">
        <w:rPr>
          <w:noProof/>
        </w:rPr>
        <w:t xml:space="preserve">ürünleri üretici </w:t>
      </w:r>
      <w:r w:rsidR="008A21D8" w:rsidRPr="0044087D">
        <w:rPr>
          <w:noProof/>
        </w:rPr>
        <w:t xml:space="preserve">fiyat endeksi, dünya gıda fiyatları endeksi ve </w:t>
      </w:r>
      <w:r w:rsidR="002E6EAE" w:rsidRPr="0044087D">
        <w:rPr>
          <w:noProof/>
        </w:rPr>
        <w:t>ortalama yerel</w:t>
      </w:r>
      <w:r w:rsidR="008A21D8" w:rsidRPr="0044087D">
        <w:rPr>
          <w:noProof/>
        </w:rPr>
        <w:t xml:space="preserve"> gıda fiyatları endeks</w:t>
      </w:r>
      <w:r w:rsidR="007302E1" w:rsidRPr="0044087D">
        <w:rPr>
          <w:noProof/>
        </w:rPr>
        <w:t>i</w:t>
      </w:r>
      <w:bookmarkEnd w:id="1"/>
      <w:r w:rsidR="008A21D8" w:rsidRPr="0044087D">
        <w:rPr>
          <w:noProof/>
        </w:rPr>
        <w:t>ni</w:t>
      </w:r>
      <w:r w:rsidR="002E6EAE" w:rsidRPr="0044087D">
        <w:rPr>
          <w:rStyle w:val="FootnoteReference"/>
          <w:noProof/>
        </w:rPr>
        <w:footnoteReference w:id="2"/>
      </w:r>
      <w:r w:rsidR="008A21D8" w:rsidRPr="0044087D">
        <w:rPr>
          <w:noProof/>
        </w:rPr>
        <w:t xml:space="preserve"> </w:t>
      </w:r>
      <w:r w:rsidR="007302E1" w:rsidRPr="0044087D">
        <w:rPr>
          <w:noProof/>
        </w:rPr>
        <w:t xml:space="preserve">içeren bir </w:t>
      </w:r>
      <w:r w:rsidR="00F744BA" w:rsidRPr="0044087D">
        <w:rPr>
          <w:noProof/>
        </w:rPr>
        <w:t>vektör otoregresif</w:t>
      </w:r>
      <w:r w:rsidR="00110C8E" w:rsidRPr="0044087D">
        <w:rPr>
          <w:noProof/>
        </w:rPr>
        <w:t xml:space="preserve"> (VAR)</w:t>
      </w:r>
      <w:r w:rsidR="00F744BA" w:rsidRPr="0044087D">
        <w:rPr>
          <w:noProof/>
        </w:rPr>
        <w:t xml:space="preserve"> modeli </w:t>
      </w:r>
      <w:r w:rsidR="003D420B">
        <w:rPr>
          <w:noProof/>
        </w:rPr>
        <w:t>kullanılmaktadır</w:t>
      </w:r>
    </w:p>
    <w:p w14:paraId="4697806A" w14:textId="6D7C2EB1" w:rsidR="005E3F5A" w:rsidRDefault="005E3F5A" w:rsidP="005E3F5A">
      <w:pPr>
        <w:spacing w:after="0" w:line="240" w:lineRule="auto"/>
        <w:rPr>
          <w:noProof/>
        </w:rPr>
      </w:pPr>
      <w:r>
        <w:rPr>
          <w:rStyle w:val="hgkelc"/>
        </w:rPr>
        <w:t xml:space="preserve">Şekil </w:t>
      </w:r>
      <w:r w:rsidR="00F4454D">
        <w:rPr>
          <w:rStyle w:val="hgkelc"/>
        </w:rPr>
        <w:t>2</w:t>
      </w:r>
      <w:r>
        <w:rPr>
          <w:rStyle w:val="hgkelc"/>
        </w:rPr>
        <w:t xml:space="preserve">. Yıllık </w:t>
      </w:r>
      <w:r>
        <w:t>S</w:t>
      </w:r>
      <w:r w:rsidRPr="007302E1">
        <w:t>epet Döviz Kuru</w:t>
      </w:r>
      <w:r>
        <w:t xml:space="preserve"> Değişimi</w:t>
      </w:r>
      <w:r w:rsidRPr="007302E1">
        <w:t>,</w:t>
      </w:r>
      <w:r>
        <w:t xml:space="preserve"> Yıllık</w:t>
      </w:r>
      <w:r w:rsidRPr="007302E1">
        <w:t xml:space="preserve"> Tarım Ürünleri Üretici Fiyat </w:t>
      </w:r>
      <w:r>
        <w:t>Enflasyonu</w:t>
      </w:r>
      <w:r w:rsidRPr="007302E1">
        <w:t xml:space="preserve">, </w:t>
      </w:r>
      <w:r>
        <w:t xml:space="preserve">Yıllık </w:t>
      </w:r>
      <w:r w:rsidRPr="007302E1">
        <w:t xml:space="preserve">Dünya Gıda </w:t>
      </w:r>
      <w:r>
        <w:t>Enflasyonu</w:t>
      </w:r>
      <w:r w:rsidRPr="007302E1">
        <w:t xml:space="preserve"> ve </w:t>
      </w:r>
      <w:r>
        <w:t xml:space="preserve">Yıllık </w:t>
      </w:r>
      <w:r w:rsidRPr="007302E1">
        <w:t xml:space="preserve">Yerel Gıda </w:t>
      </w:r>
      <w:r>
        <w:t>Enflasyonu</w:t>
      </w:r>
    </w:p>
    <w:p w14:paraId="4F681C08" w14:textId="77777777" w:rsidR="005E3F5A" w:rsidRDefault="005E3F5A" w:rsidP="005E3F5A">
      <w:pPr>
        <w:spacing w:after="0" w:line="240" w:lineRule="auto"/>
      </w:pPr>
      <w:r>
        <w:rPr>
          <w:noProof/>
          <w:lang w:eastAsia="tr-TR"/>
        </w:rPr>
        <w:drawing>
          <wp:inline distT="0" distB="0" distL="0" distR="0" wp14:anchorId="210AEB51" wp14:editId="3AF240B1">
            <wp:extent cx="5943600" cy="4114800"/>
            <wp:effectExtent l="0" t="0" r="0" b="0"/>
            <wp:docPr id="888288282" name="Chart 1">
              <a:extLst xmlns:a="http://schemas.openxmlformats.org/drawingml/2006/main">
                <a:ext uri="{FF2B5EF4-FFF2-40B4-BE49-F238E27FC236}">
                  <a16:creationId xmlns:a16="http://schemas.microsoft.com/office/drawing/2014/main" id="{A7C26218-687C-45ED-A1B7-2D11C400E7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15B25C" w14:textId="7AA89DF7" w:rsidR="005E3F5A" w:rsidRDefault="005E3F5A" w:rsidP="005E3F5A">
      <w:pPr>
        <w:spacing w:after="0" w:line="240" w:lineRule="auto"/>
        <w:jc w:val="both"/>
        <w:rPr>
          <w:sz w:val="20"/>
          <w:szCs w:val="20"/>
        </w:rPr>
      </w:pPr>
      <w:r w:rsidRPr="003C5D41">
        <w:rPr>
          <w:sz w:val="20"/>
          <w:szCs w:val="20"/>
        </w:rPr>
        <w:t xml:space="preserve">Not: Yıllık yerel gıda enflasyonu endeksi İTO ve Türk-İş gıda fiyat endekslerinin ortalamasıdır. Yıllık Dünya gıda enflasyonu Dünya Bankası’ndan alınmıştır. Sepet döviz kuru %50 ABD Doları %50 Euro içermektedir. </w:t>
      </w:r>
      <w:r w:rsidRPr="007302E1">
        <w:rPr>
          <w:sz w:val="20"/>
          <w:szCs w:val="20"/>
        </w:rPr>
        <w:t>Yıllık tarım ürünleri üretici fiyat enflasyonu TÜİK’den alınmıştır.</w:t>
      </w:r>
    </w:p>
    <w:p w14:paraId="5356DE62" w14:textId="77777777" w:rsidR="005E3F5A" w:rsidRPr="005E3F5A" w:rsidRDefault="005E3F5A" w:rsidP="005E3F5A">
      <w:pPr>
        <w:spacing w:after="0" w:line="240" w:lineRule="auto"/>
        <w:jc w:val="both"/>
        <w:rPr>
          <w:sz w:val="20"/>
          <w:szCs w:val="20"/>
        </w:rPr>
      </w:pPr>
    </w:p>
    <w:p w14:paraId="60F8A791" w14:textId="393967E9" w:rsidR="00826D32" w:rsidRDefault="00FF6527" w:rsidP="008E4C17">
      <w:pPr>
        <w:spacing w:before="40"/>
        <w:jc w:val="both"/>
        <w:rPr>
          <w:noProof/>
        </w:rPr>
      </w:pPr>
      <w:r>
        <w:rPr>
          <w:noProof/>
        </w:rPr>
        <w:t>İlk önce bu dört değişken arasındaki ilişkiyi</w:t>
      </w:r>
      <w:r w:rsidR="00AF7714">
        <w:rPr>
          <w:noProof/>
        </w:rPr>
        <w:t xml:space="preserve"> bu değişkenlerin yıllık değişimlerini alarak</w:t>
      </w:r>
      <w:r>
        <w:rPr>
          <w:noProof/>
        </w:rPr>
        <w:t xml:space="preserve"> Şekil </w:t>
      </w:r>
      <w:r w:rsidR="00F4454D">
        <w:rPr>
          <w:noProof/>
        </w:rPr>
        <w:t>2</w:t>
      </w:r>
      <w:r>
        <w:rPr>
          <w:noProof/>
        </w:rPr>
        <w:t>’</w:t>
      </w:r>
      <w:r w:rsidR="00805A72">
        <w:rPr>
          <w:noProof/>
        </w:rPr>
        <w:t>t</w:t>
      </w:r>
      <w:r>
        <w:rPr>
          <w:noProof/>
        </w:rPr>
        <w:t xml:space="preserve">e </w:t>
      </w:r>
      <w:r w:rsidR="003D420B">
        <w:rPr>
          <w:noProof/>
        </w:rPr>
        <w:t>incelenecektir</w:t>
      </w:r>
      <w:r>
        <w:rPr>
          <w:noProof/>
        </w:rPr>
        <w:t xml:space="preserve">. Şekil </w:t>
      </w:r>
      <w:r w:rsidR="00F4454D">
        <w:rPr>
          <w:noProof/>
        </w:rPr>
        <w:t>2</w:t>
      </w:r>
      <w:r>
        <w:rPr>
          <w:noProof/>
        </w:rPr>
        <w:t>’</w:t>
      </w:r>
      <w:r w:rsidR="00805A72">
        <w:rPr>
          <w:noProof/>
        </w:rPr>
        <w:t>t</w:t>
      </w:r>
      <w:r>
        <w:rPr>
          <w:noProof/>
        </w:rPr>
        <w:t>e görüldüğü üzere 2021 sonunda başlayan faiz indirimleri bir kur şoku yaratarak gıda enflasyonunda ve tarım üretici enflasyonunda bir ivlenme yaratmaktadır. Sonrasında tarım ürünleri üretici fiyatlarının kalıcı olarak yükselmesi gıda enflasyonu daha da yapışkan ve kalıcı hale getirmektedir. Dünya gıda fiyatlarında da uzun dönemli negatif trendinin aksine 2021 ve 2022 yıllarında artış yaşanması</w:t>
      </w:r>
      <w:r w:rsidR="006E5180">
        <w:rPr>
          <w:noProof/>
        </w:rPr>
        <w:t xml:space="preserve"> </w:t>
      </w:r>
      <w:r>
        <w:rPr>
          <w:noProof/>
        </w:rPr>
        <w:t>Türkiye’deki gıda fiyatlarının düşmesini daha da zorlaştırmaktadır.</w:t>
      </w:r>
    </w:p>
    <w:p w14:paraId="54AC8015" w14:textId="77777777" w:rsidR="005E3F5A" w:rsidRDefault="005E3F5A" w:rsidP="00FF6527">
      <w:pPr>
        <w:spacing w:after="0"/>
        <w:jc w:val="both"/>
        <w:rPr>
          <w:noProof/>
        </w:rPr>
      </w:pPr>
    </w:p>
    <w:p w14:paraId="70D50AD5" w14:textId="1143A308" w:rsidR="00FF6527" w:rsidRPr="00D65E31" w:rsidRDefault="00FF6527" w:rsidP="00FF6527">
      <w:pPr>
        <w:spacing w:after="0"/>
        <w:jc w:val="both"/>
        <w:rPr>
          <w:noProof/>
        </w:rPr>
      </w:pPr>
      <w:r>
        <w:rPr>
          <w:noProof/>
        </w:rPr>
        <w:t xml:space="preserve">Şekil </w:t>
      </w:r>
      <w:r w:rsidR="00F4454D">
        <w:rPr>
          <w:noProof/>
        </w:rPr>
        <w:t>3</w:t>
      </w:r>
      <w:r>
        <w:rPr>
          <w:noProof/>
        </w:rPr>
        <w:t>. Kümülatif Etki Tepki Fonksiyonları</w:t>
      </w:r>
    </w:p>
    <w:tbl>
      <w:tblPr>
        <w:tblStyle w:val="TableGrid"/>
        <w:tblW w:w="0" w:type="auto"/>
        <w:tblLook w:val="04A0" w:firstRow="1" w:lastRow="0" w:firstColumn="1" w:lastColumn="0" w:noHBand="0" w:noVBand="1"/>
      </w:tblPr>
      <w:tblGrid>
        <w:gridCol w:w="4646"/>
        <w:gridCol w:w="4704"/>
      </w:tblGrid>
      <w:tr w:rsidR="00DD150A" w14:paraId="3455ECBF" w14:textId="77777777" w:rsidTr="00DD150A">
        <w:tc>
          <w:tcPr>
            <w:tcW w:w="4675" w:type="dxa"/>
          </w:tcPr>
          <w:p w14:paraId="6F754270" w14:textId="2409E5CA" w:rsidR="00DD150A" w:rsidRDefault="0074364C" w:rsidP="007302E1">
            <w:r>
              <w:rPr>
                <w:noProof/>
                <w:lang w:eastAsia="tr-TR"/>
              </w:rPr>
              <w:lastRenderedPageBreak/>
              <mc:AlternateContent>
                <mc:Choice Requires="wps">
                  <w:drawing>
                    <wp:anchor distT="45720" distB="45720" distL="114300" distR="114300" simplePos="0" relativeHeight="251659264" behindDoc="0" locked="0" layoutInCell="1" allowOverlap="1" wp14:anchorId="2AC13E64" wp14:editId="569C124C">
                      <wp:simplePos x="0" y="0"/>
                      <wp:positionH relativeFrom="column">
                        <wp:align>center</wp:align>
                      </wp:positionH>
                      <wp:positionV relativeFrom="paragraph">
                        <wp:posOffset>182880</wp:posOffset>
                      </wp:positionV>
                      <wp:extent cx="2360930" cy="4762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rgbClr val="000000"/>
                                </a:solidFill>
                                <a:miter lim="800000"/>
                                <a:headEnd/>
                                <a:tailEnd/>
                              </a:ln>
                            </wps:spPr>
                            <wps:txbx>
                              <w:txbxContent>
                                <w:p w14:paraId="6F1E62DE" w14:textId="454B7CBD" w:rsidR="0074364C" w:rsidRDefault="0074364C" w:rsidP="0074364C">
                                  <w:pPr>
                                    <w:spacing w:after="0" w:line="240" w:lineRule="auto"/>
                                  </w:pPr>
                                  <w:r>
                                    <w:t>Dünya Gıda Fiyatları Endeksi -&gt; Ortalama Gıda Fiyatları Endeksi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C13E64" id="Text Box 2" o:spid="_x0000_s1028" type="#_x0000_t202" style="position:absolute;margin-left:0;margin-top:14.4pt;width:185.9pt;height:37.5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aGJw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">
                      <v:textbox>
                        <w:txbxContent>
                          <w:p w14:paraId="6F1E62DE" w14:textId="454B7CBD" w:rsidR="0074364C" w:rsidRDefault="0074364C" w:rsidP="0074364C">
                            <w:pPr>
                              <w:spacing w:after="0" w:line="240" w:lineRule="auto"/>
                            </w:pPr>
                            <w:r>
                              <w:t>Dünya Gıda Fiyatları Endeksi -&gt; Ortalama Gıda Fiyatları Endeksi</w:t>
                            </w:r>
                          </w:p>
                        </w:txbxContent>
                      </v:textbox>
                      <w10:wrap type="square"/>
                    </v:shape>
                  </w:pict>
                </mc:Fallback>
              </mc:AlternateContent>
            </w:r>
            <w:r w:rsidR="00DD150A">
              <w:rPr>
                <w:noProof/>
                <w:lang w:eastAsia="tr-TR"/>
              </w:rPr>
              <w:drawing>
                <wp:inline distT="0" distB="0" distL="0" distR="0" wp14:anchorId="2ADB1119" wp14:editId="32F3E247">
                  <wp:extent cx="2907665" cy="2726978"/>
                  <wp:effectExtent l="0" t="0" r="6985" b="0"/>
                  <wp:docPr id="1018268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733"/>
                          <a:stretch/>
                        </pic:blipFill>
                        <pic:spPr bwMode="auto">
                          <a:xfrm>
                            <a:off x="0" y="0"/>
                            <a:ext cx="2918070" cy="27367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0082C897" w14:textId="75F4B3D1" w:rsidR="00DD150A" w:rsidRDefault="0074364C" w:rsidP="007302E1">
            <w:r>
              <w:rPr>
                <w:noProof/>
                <w:lang w:eastAsia="tr-TR"/>
              </w:rPr>
              <mc:AlternateContent>
                <mc:Choice Requires="wps">
                  <w:drawing>
                    <wp:anchor distT="45720" distB="45720" distL="114300" distR="114300" simplePos="0" relativeHeight="251661312" behindDoc="0" locked="0" layoutInCell="1" allowOverlap="1" wp14:anchorId="47A35070" wp14:editId="5F51A7BC">
                      <wp:simplePos x="0" y="0"/>
                      <wp:positionH relativeFrom="column">
                        <wp:align>center</wp:align>
                      </wp:positionH>
                      <wp:positionV relativeFrom="paragraph">
                        <wp:posOffset>182880</wp:posOffset>
                      </wp:positionV>
                      <wp:extent cx="2360930" cy="1404620"/>
                      <wp:effectExtent l="0" t="0" r="22860" b="11430"/>
                      <wp:wrapSquare wrapText="bothSides"/>
                      <wp:docPr id="9524847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86B5AF" w14:textId="59410B5B" w:rsidR="0074364C" w:rsidRDefault="0074364C" w:rsidP="0074364C">
                                  <w:pPr>
                                    <w:spacing w:after="0" w:line="240" w:lineRule="auto"/>
                                  </w:pPr>
                                  <w:r>
                                    <w:t xml:space="preserve">Sepet </w:t>
                                  </w:r>
                                  <w:r>
                                    <w:t>Döviz Kuru -&gt; Ortalama Gıda Fiyatları Endeksi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A35070" id="_x0000_s1029"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">
                      <v:textbox style="mso-fit-shape-to-text:t">
                        <w:txbxContent>
                          <w:p w14:paraId="2786B5AF" w14:textId="59410B5B" w:rsidR="0074364C" w:rsidRDefault="0074364C" w:rsidP="0074364C">
                            <w:pPr>
                              <w:spacing w:after="0" w:line="240" w:lineRule="auto"/>
                            </w:pPr>
                            <w:r>
                              <w:t xml:space="preserve">Sepet </w:t>
                            </w:r>
                            <w:r>
                              <w:t>Döviz Kuru -&gt; Ortalama Gıda Fiyatları Endeksi</w:t>
                            </w:r>
                          </w:p>
                        </w:txbxContent>
                      </v:textbox>
                      <w10:wrap type="square"/>
                    </v:shape>
                  </w:pict>
                </mc:Fallback>
              </mc:AlternateContent>
            </w:r>
            <w:r w:rsidR="00DD150A">
              <w:rPr>
                <w:noProof/>
                <w:lang w:eastAsia="tr-TR"/>
              </w:rPr>
              <w:drawing>
                <wp:inline distT="0" distB="0" distL="0" distR="0" wp14:anchorId="667F1219" wp14:editId="5EA5BFDB">
                  <wp:extent cx="2947035" cy="2743200"/>
                  <wp:effectExtent l="0" t="0" r="5715" b="0"/>
                  <wp:docPr id="15120645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427"/>
                          <a:stretch/>
                        </pic:blipFill>
                        <pic:spPr bwMode="auto">
                          <a:xfrm>
                            <a:off x="0" y="0"/>
                            <a:ext cx="2966865" cy="27616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D150A" w14:paraId="52C4A345" w14:textId="77777777" w:rsidTr="00DD150A">
        <w:tc>
          <w:tcPr>
            <w:tcW w:w="4675" w:type="dxa"/>
          </w:tcPr>
          <w:p w14:paraId="5F683573" w14:textId="27427D7E" w:rsidR="00DD150A" w:rsidRDefault="0074364C" w:rsidP="007302E1">
            <w:r>
              <w:rPr>
                <w:noProof/>
                <w:lang w:eastAsia="tr-TR"/>
              </w:rPr>
              <mc:AlternateContent>
                <mc:Choice Requires="wps">
                  <w:drawing>
                    <wp:anchor distT="45720" distB="45720" distL="114300" distR="114300" simplePos="0" relativeHeight="251663360" behindDoc="0" locked="0" layoutInCell="1" allowOverlap="1" wp14:anchorId="3CD4FFE6" wp14:editId="5269EC13">
                      <wp:simplePos x="0" y="0"/>
                      <wp:positionH relativeFrom="column">
                        <wp:align>center</wp:align>
                      </wp:positionH>
                      <wp:positionV relativeFrom="paragraph">
                        <wp:posOffset>182880</wp:posOffset>
                      </wp:positionV>
                      <wp:extent cx="2360930" cy="1404620"/>
                      <wp:effectExtent l="0" t="0" r="22860" b="11430"/>
                      <wp:wrapSquare wrapText="bothSides"/>
                      <wp:docPr id="2130997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8E44F5" w14:textId="7F17690E" w:rsidR="0074364C" w:rsidRDefault="0074364C" w:rsidP="0074364C">
                                  <w:pPr>
                                    <w:spacing w:after="0" w:line="240" w:lineRule="auto"/>
                                  </w:pPr>
                                  <w:r w:rsidRPr="0074364C">
                                    <w:t xml:space="preserve">Tarım </w:t>
                                  </w:r>
                                  <w:r w:rsidRPr="0074364C">
                                    <w:t>Ürünleri Üretici Fiyat Endeksi</w:t>
                                  </w:r>
                                  <w:r>
                                    <w:t xml:space="preserve"> -&gt; Ortalama Gıda Fiyatları Endeksi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D4FFE6" id="_x0000_s1030" type="#_x0000_t202" style="position:absolute;margin-left:0;margin-top:14.4pt;width:185.9pt;height:110.6pt;z-index:25166336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AAEIrvLgIAAFUEAAAOAAAAAAAAAAAAAAAAAC4CAABkcnMv&#10;ZTJvRG9jLnhtbFBLAQItABQABgAIAAAAIQBIWydy2wAAAAcBAAAPAAAAAAAAAAAAAAAAAIgEAABk&#10;cnMvZG93bnJldi54bWxQSwUGAAAAAAQABADzAAAAkAUAAAAA&#10;">
                      <v:textbox style="mso-fit-shape-to-text:t">
                        <w:txbxContent>
                          <w:p w14:paraId="2E8E44F5" w14:textId="7F17690E" w:rsidR="0074364C" w:rsidRDefault="0074364C" w:rsidP="0074364C">
                            <w:pPr>
                              <w:spacing w:after="0" w:line="240" w:lineRule="auto"/>
                            </w:pPr>
                            <w:r w:rsidRPr="0074364C">
                              <w:t xml:space="preserve">Tarım </w:t>
                            </w:r>
                            <w:r w:rsidRPr="0074364C">
                              <w:t>Ürünleri Üretici Fiyat Endeksi</w:t>
                            </w:r>
                            <w:r>
                              <w:t xml:space="preserve"> -&gt; Ortalama Gıda Fiyatları Endeksi</w:t>
                            </w:r>
                          </w:p>
                        </w:txbxContent>
                      </v:textbox>
                      <w10:wrap type="square"/>
                    </v:shape>
                  </w:pict>
                </mc:Fallback>
              </mc:AlternateContent>
            </w:r>
            <w:r w:rsidR="00DD150A">
              <w:rPr>
                <w:noProof/>
                <w:lang w:eastAsia="tr-TR"/>
              </w:rPr>
              <w:drawing>
                <wp:inline distT="0" distB="0" distL="0" distR="0" wp14:anchorId="3D022D6A" wp14:editId="5D52525C">
                  <wp:extent cx="2863215" cy="2694993"/>
                  <wp:effectExtent l="0" t="0" r="0" b="0"/>
                  <wp:docPr id="10131002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396" b="-1"/>
                          <a:stretch/>
                        </pic:blipFill>
                        <pic:spPr bwMode="auto">
                          <a:xfrm>
                            <a:off x="0" y="0"/>
                            <a:ext cx="2874506" cy="27056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tcPr>
          <w:p w14:paraId="3BD76EDB" w14:textId="77B2873E" w:rsidR="00DD150A" w:rsidRDefault="0074364C" w:rsidP="007302E1">
            <w:r>
              <w:rPr>
                <w:noProof/>
                <w:lang w:eastAsia="tr-TR"/>
              </w:rPr>
              <mc:AlternateContent>
                <mc:Choice Requires="wps">
                  <w:drawing>
                    <wp:anchor distT="45720" distB="45720" distL="114300" distR="114300" simplePos="0" relativeHeight="251665408" behindDoc="0" locked="0" layoutInCell="1" allowOverlap="1" wp14:anchorId="16FB4AA4" wp14:editId="416B2575">
                      <wp:simplePos x="0" y="0"/>
                      <wp:positionH relativeFrom="column">
                        <wp:align>center</wp:align>
                      </wp:positionH>
                      <wp:positionV relativeFrom="paragraph">
                        <wp:posOffset>182880</wp:posOffset>
                      </wp:positionV>
                      <wp:extent cx="2360930" cy="1404620"/>
                      <wp:effectExtent l="0" t="0" r="22860" b="11430"/>
                      <wp:wrapSquare wrapText="bothSides"/>
                      <wp:docPr id="1609266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646081F" w14:textId="3692AD78" w:rsidR="0074364C" w:rsidRDefault="0074364C" w:rsidP="0074364C">
                                  <w:pPr>
                                    <w:spacing w:after="0" w:line="240" w:lineRule="auto"/>
                                  </w:pPr>
                                  <w:r>
                                    <w:t xml:space="preserve">Ortalama </w:t>
                                  </w:r>
                                  <w:r>
                                    <w:t>Gıda Fiyatları Endeksi -&gt; Ortalama Gıda Fiyatları Endeksi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FB4AA4" id="_x0000_s1031" type="#_x0000_t202" style="position:absolute;margin-left:0;margin-top:14.4pt;width:185.9pt;height:110.6pt;z-index:25166540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DzklKAtAgAAVQQAAA4AAAAAAAAAAAAAAAAALgIAAGRycy9l&#10;Mm9Eb2MueG1sUEsBAi0AFAAGAAgAAAAhAEhbJ3LbAAAABwEAAA8AAAAAAAAAAAAAAAAAhwQAAGRy&#10;cy9kb3ducmV2LnhtbFBLBQYAAAAABAAEAPMAAACPBQAAAAA=&#10;">
                      <v:textbox style="mso-fit-shape-to-text:t">
                        <w:txbxContent>
                          <w:p w14:paraId="7646081F" w14:textId="3692AD78" w:rsidR="0074364C" w:rsidRDefault="0074364C" w:rsidP="0074364C">
                            <w:pPr>
                              <w:spacing w:after="0" w:line="240" w:lineRule="auto"/>
                            </w:pPr>
                            <w:r>
                              <w:t xml:space="preserve">Ortalama </w:t>
                            </w:r>
                            <w:r>
                              <w:t>Gıda Fiyatları Endeksi -&gt; Ortalama Gıda Fiyatları Endeksi</w:t>
                            </w:r>
                          </w:p>
                        </w:txbxContent>
                      </v:textbox>
                      <w10:wrap type="square"/>
                    </v:shape>
                  </w:pict>
                </mc:Fallback>
              </mc:AlternateContent>
            </w:r>
            <w:r w:rsidR="00DD150A">
              <w:rPr>
                <w:noProof/>
                <w:lang w:eastAsia="tr-TR"/>
              </w:rPr>
              <w:drawing>
                <wp:inline distT="0" distB="0" distL="0" distR="0" wp14:anchorId="15A2AA9E" wp14:editId="0935590B">
                  <wp:extent cx="2844165" cy="2686050"/>
                  <wp:effectExtent l="0" t="0" r="0" b="0"/>
                  <wp:docPr id="12779819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263"/>
                          <a:stretch/>
                        </pic:blipFill>
                        <pic:spPr bwMode="auto">
                          <a:xfrm>
                            <a:off x="0" y="0"/>
                            <a:ext cx="2858974" cy="270003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24A73BF" w14:textId="2572806E" w:rsidR="007302E1" w:rsidRDefault="00DE767C" w:rsidP="007302E1">
      <w:pPr>
        <w:spacing w:after="0" w:line="240" w:lineRule="auto"/>
      </w:pPr>
      <w:r>
        <w:t xml:space="preserve">Not: Kesikli çizgiler </w:t>
      </w:r>
      <w:r w:rsidR="00C20F1E">
        <w:t xml:space="preserve">%95 </w:t>
      </w:r>
      <w:r>
        <w:rPr>
          <w:noProof/>
        </w:rPr>
        <w:t>güven aralığını göstermektedir</w:t>
      </w:r>
      <w:r w:rsidR="0044087D">
        <w:rPr>
          <w:noProof/>
        </w:rPr>
        <w:t>.</w:t>
      </w:r>
    </w:p>
    <w:p w14:paraId="44423A28" w14:textId="77777777" w:rsidR="0044087D" w:rsidRDefault="0044087D" w:rsidP="0044087D">
      <w:pPr>
        <w:jc w:val="both"/>
      </w:pPr>
    </w:p>
    <w:p w14:paraId="75311C28" w14:textId="63E80880" w:rsidR="00A8024F" w:rsidRDefault="008628A4" w:rsidP="005E3F5A">
      <w:pPr>
        <w:spacing w:before="40"/>
        <w:jc w:val="both"/>
      </w:pPr>
      <w:r>
        <w:t xml:space="preserve">VAR modelini için kullanılan veri seti Ocak 2005 ile Temmuz 2023 arasını kapsamaktadır. </w:t>
      </w:r>
      <w:r w:rsidR="00A8024F">
        <w:rPr>
          <w:noProof/>
        </w:rPr>
        <w:t>S</w:t>
      </w:r>
      <w:r w:rsidR="00A8024F" w:rsidRPr="0044087D">
        <w:rPr>
          <w:noProof/>
        </w:rPr>
        <w:t>epet döviz kuru, tarım ürünleri üretici fiyat endeksi, dünya gıda fiyatları endeksi ve ortalama yerel gıda fiyatları endeksi</w:t>
      </w:r>
      <w:r w:rsidR="00A8024F">
        <w:rPr>
          <w:noProof/>
        </w:rPr>
        <w:t xml:space="preserve"> VAR modeline koyulmadan önce standardize edilmiştir. Gecikme uzunluğu 3 olarak seçilmiştir. </w:t>
      </w:r>
      <w:r w:rsidR="0061625D">
        <w:t>Etki</w:t>
      </w:r>
      <w:r w:rsidR="00A8024F">
        <w:t xml:space="preserve"> tepki fonksiyonları </w:t>
      </w:r>
      <w:r w:rsidR="00A8024F" w:rsidRPr="00A8024F">
        <w:t>Cholesky ayrıştırması</w:t>
      </w:r>
      <w:r w:rsidR="00A8024F">
        <w:t xml:space="preserve"> kullanılarak hesaplanmıştır. </w:t>
      </w:r>
      <w:r w:rsidR="00A8024F" w:rsidRPr="00A8024F">
        <w:t>Cholesky ayrıştırması</w:t>
      </w:r>
      <w:r w:rsidR="00A8024F">
        <w:t xml:space="preserve"> için değişkenlerin </w:t>
      </w:r>
      <w:r w:rsidR="00A8024F">
        <w:lastRenderedPageBreak/>
        <w:t xml:space="preserve">sırası </w:t>
      </w:r>
      <w:r w:rsidR="00A8024F" w:rsidRPr="0044087D">
        <w:rPr>
          <w:noProof/>
        </w:rPr>
        <w:t>dünya gıda fiyatları endeksi</w:t>
      </w:r>
      <w:r w:rsidR="00A8024F">
        <w:rPr>
          <w:noProof/>
        </w:rPr>
        <w:t>, s</w:t>
      </w:r>
      <w:r w:rsidR="00A8024F" w:rsidRPr="0044087D">
        <w:rPr>
          <w:noProof/>
        </w:rPr>
        <w:t>epet döviz kuru</w:t>
      </w:r>
      <w:r w:rsidR="00A8024F">
        <w:rPr>
          <w:noProof/>
        </w:rPr>
        <w:t xml:space="preserve">, </w:t>
      </w:r>
      <w:r w:rsidR="00A8024F" w:rsidRPr="0044087D">
        <w:rPr>
          <w:noProof/>
        </w:rPr>
        <w:t>tarım ürünleri üretici fiyat endeksi</w:t>
      </w:r>
      <w:r w:rsidR="00A8024F">
        <w:rPr>
          <w:noProof/>
        </w:rPr>
        <w:t xml:space="preserve"> ve </w:t>
      </w:r>
      <w:r w:rsidR="00A8024F" w:rsidRPr="0044087D">
        <w:rPr>
          <w:noProof/>
        </w:rPr>
        <w:t>yerel gıda fiyatları endeksi</w:t>
      </w:r>
      <w:r w:rsidR="00A8024F">
        <w:rPr>
          <w:noProof/>
        </w:rPr>
        <w:t xml:space="preserve"> olarak belirlenmiştir.</w:t>
      </w:r>
    </w:p>
    <w:p w14:paraId="2590B214" w14:textId="19568EEF" w:rsidR="005E3F5A" w:rsidRDefault="00A8024F" w:rsidP="005E3F5A">
      <w:pPr>
        <w:spacing w:before="40"/>
        <w:jc w:val="both"/>
      </w:pPr>
      <w:r>
        <w:t xml:space="preserve">Yukarı paragrafta belirtilen spesifikasyona göre </w:t>
      </w:r>
      <w:r w:rsidR="005E3F5A">
        <w:t xml:space="preserve">Şekil </w:t>
      </w:r>
      <w:r w:rsidR="00F4454D">
        <w:t>3</w:t>
      </w:r>
      <w:r w:rsidR="005E3F5A">
        <w:t xml:space="preserve">’de VAR modelinden çıkan kümülatif etki tepki fonksiyonları </w:t>
      </w:r>
      <w:r>
        <w:t>verilmektedir</w:t>
      </w:r>
      <w:r w:rsidR="005E3F5A">
        <w:t>.</w:t>
      </w:r>
      <w:r>
        <w:t xml:space="preserve"> Etki tepki fonksiyonları bir değişkene verilen birim şokun diğer değişkenleri nasıl etkilendiğini anlaşılmasını sağla</w:t>
      </w:r>
      <w:r w:rsidR="0061625D">
        <w:t>maktadır</w:t>
      </w:r>
      <w:r w:rsidR="00590263">
        <w:t>.</w:t>
      </w:r>
      <w:r w:rsidR="005E3F5A">
        <w:t xml:space="preserve"> Dünya gıda fiyatları endeksi üzerinde meydana gelen bir şok, gıda fiyatları üzerinde uzun süreli bir etkiye sahiptir. Ancak bu Şekil </w:t>
      </w:r>
      <w:r w:rsidR="00F4454D">
        <w:t>3</w:t>
      </w:r>
      <w:r w:rsidR="005E3F5A">
        <w:t>’e göre istatistiksel olarak anlamlı değildir.</w:t>
      </w:r>
      <w:r w:rsidR="005E3F5A">
        <w:rPr>
          <w:rStyle w:val="FootnoteReference"/>
        </w:rPr>
        <w:footnoteReference w:id="3"/>
      </w:r>
      <w:r w:rsidR="005E3F5A">
        <w:t xml:space="preserve"> Döviz kurundaki bir şokun da gıda fiyatları üzerindeki etkisi pozitif görünmektedir ve dönem içerisinde bu etki artmaktadır. Bu, döviz kurunun gıda fiyatlarını belirlemedeki önemli bir etken olduğunu göstermektedir. </w:t>
      </w:r>
      <w:r w:rsidR="005E3F5A">
        <w:rPr>
          <w:noProof/>
        </w:rPr>
        <w:t>T</w:t>
      </w:r>
      <w:r w:rsidR="005E3F5A" w:rsidRPr="00E3449B">
        <w:rPr>
          <w:noProof/>
        </w:rPr>
        <w:t xml:space="preserve">arım </w:t>
      </w:r>
      <w:r w:rsidR="005E3F5A">
        <w:rPr>
          <w:noProof/>
        </w:rPr>
        <w:t>ü</w:t>
      </w:r>
      <w:r w:rsidR="005E3F5A" w:rsidRPr="00E3449B">
        <w:rPr>
          <w:noProof/>
        </w:rPr>
        <w:t>rünleri</w:t>
      </w:r>
      <w:r w:rsidR="005E3F5A">
        <w:t xml:space="preserve"> üretici fiyatları endeksi meydana gelen bir şok da gıda fiyatları üzerinde güçlü ve stabil bir kümülatif etkiye sahiptir. Bu, üretici fiyatlarının nihai gıda fiyatları üzerindeki olan rolü ile hemen hemen tutarlıdır. Son olarak gıda fiyatları endeksi kendisi üzerinde güçlü pozitif bir kümülatif etkiye sahiptir. Bu sezgiseldir çünkü serinin en iyi kendi geçmiş değerleriyle açıklanması beklenir.</w:t>
      </w:r>
    </w:p>
    <w:p w14:paraId="2BD70F29" w14:textId="6C4CD6F4" w:rsidR="00C20F1E" w:rsidRDefault="00C20F1E" w:rsidP="00C20F1E">
      <w:pPr>
        <w:spacing w:after="0" w:line="240" w:lineRule="auto"/>
        <w:rPr>
          <w:sz w:val="20"/>
          <w:szCs w:val="20"/>
        </w:rPr>
      </w:pPr>
      <w:r w:rsidRPr="00805A72">
        <w:t xml:space="preserve">Şekil </w:t>
      </w:r>
      <w:r w:rsidR="00F4454D">
        <w:t>4</w:t>
      </w:r>
      <w:r w:rsidRPr="00805A72">
        <w:t>. Ortalama Gıda Endeksinin Öngörü Hatası Değişiklik Ayrıştırması</w:t>
      </w:r>
      <w:r w:rsidRPr="00E10D6C">
        <w:rPr>
          <w:sz w:val="20"/>
          <w:szCs w:val="20"/>
        </w:rPr>
        <w:t xml:space="preserve"> </w:t>
      </w:r>
      <w:r>
        <w:rPr>
          <w:noProof/>
          <w:lang w:eastAsia="tr-TR"/>
        </w:rPr>
        <w:drawing>
          <wp:inline distT="0" distB="0" distL="0" distR="0" wp14:anchorId="746D690A" wp14:editId="246399F9">
            <wp:extent cx="5943600" cy="3026410"/>
            <wp:effectExtent l="0" t="0" r="0" b="2540"/>
            <wp:docPr id="418165382" name="Chart 1">
              <a:extLst xmlns:a="http://schemas.openxmlformats.org/drawingml/2006/main">
                <a:ext uri="{FF2B5EF4-FFF2-40B4-BE49-F238E27FC236}">
                  <a16:creationId xmlns:a16="http://schemas.microsoft.com/office/drawing/2014/main" id="{33FA4D47-A526-ED4B-9EE8-F0E9E43124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4F4A01" w14:textId="77777777" w:rsidR="00C20F1E" w:rsidRDefault="00C20F1E" w:rsidP="005E3F5A">
      <w:pPr>
        <w:spacing w:before="40"/>
        <w:jc w:val="both"/>
      </w:pPr>
    </w:p>
    <w:p w14:paraId="6894D65B" w14:textId="30F04D55" w:rsidR="00F4454D" w:rsidRPr="00F4454D" w:rsidRDefault="0044087D" w:rsidP="00F4454D">
      <w:pPr>
        <w:jc w:val="both"/>
        <w:rPr>
          <w:noProof/>
        </w:rPr>
      </w:pPr>
      <w:r>
        <w:t xml:space="preserve">Son olarak Şekil </w:t>
      </w:r>
      <w:r w:rsidR="00F4454D">
        <w:t>4</w:t>
      </w:r>
      <w:r>
        <w:t>’d</w:t>
      </w:r>
      <w:r w:rsidR="00805A72">
        <w:t>e</w:t>
      </w:r>
      <w:r>
        <w:t xml:space="preserve"> öngörü hatası değişiklik ayrıştırması (FEVD) grafiği gösterilmektedir. Bu grafikte gıda fiyatları endeksindeki tahmin varyansının ne kadarının diğer değişkenlerdeki şoklara—Dünya gıda fiyatları endeksi, döviz kuru, </w:t>
      </w:r>
      <w:r>
        <w:rPr>
          <w:noProof/>
        </w:rPr>
        <w:t>t</w:t>
      </w:r>
      <w:r w:rsidRPr="00E3449B">
        <w:rPr>
          <w:noProof/>
        </w:rPr>
        <w:t xml:space="preserve">arım </w:t>
      </w:r>
      <w:r>
        <w:rPr>
          <w:noProof/>
        </w:rPr>
        <w:t>ü</w:t>
      </w:r>
      <w:r w:rsidRPr="00E3449B">
        <w:rPr>
          <w:noProof/>
        </w:rPr>
        <w:t>rünleri</w:t>
      </w:r>
      <w:r>
        <w:t xml:space="preserve"> üretici fiyatları endeksi ve kendisine—bağlanabileceğini göstermektedir. Şekil </w:t>
      </w:r>
      <w:r w:rsidR="00F4454D">
        <w:t>4</w:t>
      </w:r>
      <w:r>
        <w:t>’</w:t>
      </w:r>
      <w:r w:rsidR="00805A72">
        <w:t>e</w:t>
      </w:r>
      <w:r>
        <w:t xml:space="preserve"> göre Dünya gıda fiyatları endeksi tahmin hata varyansına başlangıçta küçük bir katkı sağlamakta ancak zamanla toplam varyansın %7’sine kadar açıklamaktadır. Döviz kurunun etkisi ilk periyotlarda küçük olsa da, zaman içerisinde gıda fiyatları varyansını açıklayan en önemli değişken olmaktadır ve varyansın %62’sine kadar açıklamaktadır. </w:t>
      </w:r>
      <w:r>
        <w:rPr>
          <w:noProof/>
        </w:rPr>
        <w:t>T</w:t>
      </w:r>
      <w:r w:rsidRPr="00E3449B">
        <w:rPr>
          <w:noProof/>
        </w:rPr>
        <w:t xml:space="preserve">arım </w:t>
      </w:r>
      <w:r>
        <w:rPr>
          <w:noProof/>
        </w:rPr>
        <w:t>ü</w:t>
      </w:r>
      <w:r w:rsidRPr="00E3449B">
        <w:rPr>
          <w:noProof/>
        </w:rPr>
        <w:t>rünleri</w:t>
      </w:r>
      <w:r>
        <w:t xml:space="preserve"> üretici fiyatları endeksi gıda fiyatları endeksi üzerinde başlangıçta önemli bir etkiye sahiptir ve varyansın %40 ile %50’sini açıklamaktadır, fakat zaman içerisinde varyansın açıklama gücü düşmektedir. Buna karşın uzun dönemde döviz kurundan sonra gıda fiyatlarını </w:t>
      </w:r>
      <w:r>
        <w:lastRenderedPageBreak/>
        <w:t xml:space="preserve">etkileyen en önemli etken olmaktadır. Şekil </w:t>
      </w:r>
      <w:r w:rsidR="00F4454D">
        <w:t>3</w:t>
      </w:r>
      <w:r>
        <w:t xml:space="preserve"> ve Şekil </w:t>
      </w:r>
      <w:r w:rsidR="00F4454D">
        <w:t>4</w:t>
      </w:r>
      <w:r>
        <w:t>’</w:t>
      </w:r>
      <w:r w:rsidR="00805A72">
        <w:t>e</w:t>
      </w:r>
      <w:r>
        <w:t xml:space="preserve"> göre Türkiye’de gıda fiyatlarını etkileyen en önemli kalemler döviz kuru ve </w:t>
      </w:r>
      <w:r>
        <w:rPr>
          <w:noProof/>
        </w:rPr>
        <w:t>t</w:t>
      </w:r>
      <w:r w:rsidRPr="00E3449B">
        <w:rPr>
          <w:noProof/>
        </w:rPr>
        <w:t xml:space="preserve">arım </w:t>
      </w:r>
      <w:r>
        <w:rPr>
          <w:noProof/>
        </w:rPr>
        <w:t>ü</w:t>
      </w:r>
      <w:r w:rsidRPr="00E3449B">
        <w:rPr>
          <w:noProof/>
        </w:rPr>
        <w:t xml:space="preserve">rünleri </w:t>
      </w:r>
      <w:r>
        <w:rPr>
          <w:noProof/>
        </w:rPr>
        <w:t>ü</w:t>
      </w:r>
      <w:r w:rsidRPr="00E3449B">
        <w:rPr>
          <w:noProof/>
        </w:rPr>
        <w:t xml:space="preserve">retici </w:t>
      </w:r>
      <w:r>
        <w:rPr>
          <w:noProof/>
        </w:rPr>
        <w:t>f</w:t>
      </w:r>
      <w:r w:rsidRPr="00E3449B">
        <w:rPr>
          <w:noProof/>
        </w:rPr>
        <w:t>iyat</w:t>
      </w:r>
      <w:r>
        <w:rPr>
          <w:noProof/>
        </w:rPr>
        <w:t>larıdır.</w:t>
      </w:r>
    </w:p>
    <w:p w14:paraId="72AD9F54" w14:textId="327A4376" w:rsidR="004A2827" w:rsidRDefault="004A2827" w:rsidP="004A2827">
      <w:pPr>
        <w:pStyle w:val="Heading2"/>
      </w:pPr>
      <w:r>
        <w:t>5. Sonuç</w:t>
      </w:r>
    </w:p>
    <w:p w14:paraId="60049300" w14:textId="134869ED" w:rsidR="004A2827" w:rsidRDefault="00B269CE" w:rsidP="00FF6527">
      <w:pPr>
        <w:jc w:val="both"/>
      </w:pPr>
      <w:r>
        <w:t>Bu araştırma notunda, Türkiye'de gıda enflasyonunu</w:t>
      </w:r>
      <w:r w:rsidR="004F01F1">
        <w:t xml:space="preserve"> ölçülmesini sağlayan değişik göstergeler mercek altına alınmış ve sonrasında Türkiye'de gıda enflasyonunu etkileyen temel </w:t>
      </w:r>
      <w:r w:rsidR="004F01F1" w:rsidRPr="0044087D">
        <w:t>faktörler</w:t>
      </w:r>
      <w:r w:rsidR="004F01F1">
        <w:t xml:space="preserve"> incelenmiştir.</w:t>
      </w:r>
    </w:p>
    <w:p w14:paraId="0F12D0A1" w14:textId="449D6512" w:rsidR="00047803" w:rsidRDefault="00B269CE" w:rsidP="00047803">
      <w:pPr>
        <w:spacing w:before="40"/>
        <w:jc w:val="both"/>
        <w:rPr>
          <w:rStyle w:val="hgkelc"/>
        </w:rPr>
      </w:pPr>
      <w:r>
        <w:t>İlk olarak, TÜİK, İTO</w:t>
      </w:r>
      <w:r w:rsidR="00913C8E">
        <w:t>,</w:t>
      </w:r>
      <w:r>
        <w:t xml:space="preserve"> Türk-İş</w:t>
      </w:r>
      <w:r w:rsidR="00913C8E">
        <w:t xml:space="preserve"> ve CEFIS</w:t>
      </w:r>
      <w:r>
        <w:t xml:space="preserve"> gibi farklı kaynaklardan alınan gıda </w:t>
      </w:r>
      <w:r w:rsidR="001D4D47">
        <w:t>enflasyonları</w:t>
      </w:r>
      <w:r>
        <w:t xml:space="preserve"> incelenmiştir. </w:t>
      </w:r>
      <w:r w:rsidR="001D4D47">
        <w:t>TÜİK, İTO, Türk-İş ve CEFIS gibi gıda enflasyonları karşılaştırıldığında 202</w:t>
      </w:r>
      <w:r w:rsidR="00047803">
        <w:t>2 Nisan ayına kadar genelde</w:t>
      </w:r>
      <w:r w:rsidR="001D4D47">
        <w:t xml:space="preserve"> </w:t>
      </w:r>
      <w:r w:rsidR="00047803">
        <w:t>beraber</w:t>
      </w:r>
      <w:r w:rsidR="001D4D47">
        <w:t xml:space="preserve"> hareket ettiği ancak sonrasında ayrıştığı göze çarpmaktadır. </w:t>
      </w:r>
      <w:r w:rsidR="00047803" w:rsidRPr="003B48BF">
        <w:rPr>
          <w:rStyle w:val="hgkelc"/>
        </w:rPr>
        <w:t>Nisan 2022’den sonra TÜİK gıda enflasyonun artış hızı önemli ölçüde yavaşlarken diğer gıda enflasyonlarında artış devam etmiştir.</w:t>
      </w:r>
      <w:r w:rsidR="00047803">
        <w:rPr>
          <w:rStyle w:val="hgkelc"/>
        </w:rPr>
        <w:t xml:space="preserve"> </w:t>
      </w:r>
      <w:r w:rsidR="00047803" w:rsidRPr="003B48BF">
        <w:t xml:space="preserve">2023 Haziran’ından sonra </w:t>
      </w:r>
      <w:r w:rsidR="00047803">
        <w:t xml:space="preserve">ise </w:t>
      </w:r>
      <w:r w:rsidR="00047803" w:rsidRPr="003B48BF">
        <w:t>TÜİK gıda enflasyonu</w:t>
      </w:r>
      <w:r w:rsidR="00047803">
        <w:t>nun</w:t>
      </w:r>
      <w:r w:rsidR="00047803" w:rsidRPr="003B48BF">
        <w:t xml:space="preserve"> İTO ve Türk-İş gıda</w:t>
      </w:r>
      <w:r w:rsidR="00047803">
        <w:t xml:space="preserve"> enflasyonuna</w:t>
      </w:r>
      <w:r w:rsidR="00047803" w:rsidRPr="003B48BF">
        <w:t xml:space="preserve"> </w:t>
      </w:r>
      <w:r w:rsidR="00047803">
        <w:t xml:space="preserve">yeniden </w:t>
      </w:r>
      <w:r w:rsidR="00047803" w:rsidRPr="003B48BF">
        <w:t>yakınsa</w:t>
      </w:r>
      <w:r w:rsidR="00047803">
        <w:t>maya başladığı görülmektedir.</w:t>
      </w:r>
      <w:r w:rsidR="00047803" w:rsidRPr="003B48BF">
        <w:t xml:space="preserve"> </w:t>
      </w:r>
    </w:p>
    <w:p w14:paraId="7CF014AA" w14:textId="615CEA57" w:rsidR="004F2626" w:rsidRPr="004A2827" w:rsidRDefault="00234180" w:rsidP="00B269CE">
      <w:pPr>
        <w:jc w:val="both"/>
      </w:pPr>
      <w:r>
        <w:t xml:space="preserve">Sonrasında </w:t>
      </w:r>
      <w:r w:rsidR="000547EF">
        <w:rPr>
          <w:noProof/>
        </w:rPr>
        <w:t>s</w:t>
      </w:r>
      <w:r w:rsidR="000547EF" w:rsidRPr="0044087D">
        <w:rPr>
          <w:noProof/>
        </w:rPr>
        <w:t>epet döviz kuru, tarım ürünleri üretici fiyat endeksi, dünya gıda fiyatları endeksi ve ortalama yerel gıda fiyatları endeksini içeren bir vektör otoregresif (VAR) modeli</w:t>
      </w:r>
      <w:r w:rsidR="000547EF">
        <w:t xml:space="preserve"> kullanarak gıda fiyatlarını etkileyen faktörler ortaya konulmuştur.</w:t>
      </w:r>
      <w:r w:rsidR="00F4454D">
        <w:t xml:space="preserve"> TÜİK gıda endeksi 2022 2. yılındaki gıda enflasyonundaki yükselmeyi yakalayamadığı için CEFIS gıda endeksi de daha volatil bir endeks olduğu için İTO ve Türk-İş </w:t>
      </w:r>
      <w:r w:rsidR="00F4454D" w:rsidRPr="00AF7714">
        <w:t>gıda fiyat endekslerinin</w:t>
      </w:r>
      <w:r w:rsidR="00F4454D">
        <w:t xml:space="preserve"> ortalaması </w:t>
      </w:r>
      <w:r w:rsidR="00F4454D" w:rsidRPr="0044087D">
        <w:rPr>
          <w:noProof/>
        </w:rPr>
        <w:t>yerel gıda fiyatları endeksi</w:t>
      </w:r>
      <w:r w:rsidR="00F4454D">
        <w:rPr>
          <w:noProof/>
        </w:rPr>
        <w:t xml:space="preserve"> olarak kullanılmıştır</w:t>
      </w:r>
      <w:r w:rsidR="00F4454D">
        <w:t>. VAR analizine göre</w:t>
      </w:r>
      <w:r w:rsidR="000547EF">
        <w:t xml:space="preserve"> </w:t>
      </w:r>
      <w:r w:rsidR="00F4454D">
        <w:t>ö</w:t>
      </w:r>
      <w:r w:rsidR="000547EF">
        <w:t>zellikle döviz kuru ve tarım ürünleri üretici fiyatları, gıda fiyatları üzerinde uzun süreli etkilere sahiptir. Döviz kuru, zaman içerisinde gıda fiyatları varyansını açıklayan en önemli değişken olmaktadır ve varyansın %62’sine kadar açıklamaktadır. Tarım ürünleri üretici fiyatları ise varyansın %40 ile %50’sini açıklamakta fakat zaman içerisinde varyansı açıklama gücü azalmaktadır. Özellikle kuru kontrol etmeden gıda fiyatlarını yakın gelecekte kontrol etmek çok mümkün görünmemektedir.</w:t>
      </w:r>
    </w:p>
    <w:sectPr w:rsidR="004F2626" w:rsidRPr="004A2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9D2AA" w14:textId="77777777" w:rsidR="002A6DE1" w:rsidRDefault="002A6DE1" w:rsidP="002E6EAE">
      <w:pPr>
        <w:spacing w:after="0" w:line="240" w:lineRule="auto"/>
      </w:pPr>
      <w:r>
        <w:separator/>
      </w:r>
    </w:p>
  </w:endnote>
  <w:endnote w:type="continuationSeparator" w:id="0">
    <w:p w14:paraId="55FD0585" w14:textId="77777777" w:rsidR="002A6DE1" w:rsidRDefault="002A6DE1" w:rsidP="002E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773F1" w14:textId="77777777" w:rsidR="002A6DE1" w:rsidRDefault="002A6DE1" w:rsidP="002E6EAE">
      <w:pPr>
        <w:spacing w:after="0" w:line="240" w:lineRule="auto"/>
      </w:pPr>
      <w:r>
        <w:separator/>
      </w:r>
    </w:p>
  </w:footnote>
  <w:footnote w:type="continuationSeparator" w:id="0">
    <w:p w14:paraId="3E07FD62" w14:textId="77777777" w:rsidR="002A6DE1" w:rsidRDefault="002A6DE1" w:rsidP="002E6EAE">
      <w:pPr>
        <w:spacing w:after="0" w:line="240" w:lineRule="auto"/>
      </w:pPr>
      <w:r>
        <w:continuationSeparator/>
      </w:r>
    </w:p>
  </w:footnote>
  <w:footnote w:id="1">
    <w:p w14:paraId="3C1BB27B" w14:textId="511507F1" w:rsidR="00E162FF" w:rsidRPr="00922E45" w:rsidRDefault="00E162FF" w:rsidP="00D8022E">
      <w:pPr>
        <w:pStyle w:val="FootnoteText"/>
        <w:rPr>
          <w:rFonts w:cs="Arial"/>
          <w:sz w:val="18"/>
          <w:szCs w:val="18"/>
        </w:rPr>
      </w:pPr>
      <w:r w:rsidRPr="00922E45">
        <w:rPr>
          <w:rStyle w:val="FootnoteReference"/>
          <w:rFonts w:cs="Arial"/>
          <w:b/>
          <w:sz w:val="18"/>
          <w:szCs w:val="18"/>
        </w:rPr>
        <w:t>*</w:t>
      </w:r>
      <w:r w:rsidRPr="00922E45">
        <w:rPr>
          <w:rFonts w:cs="Arial"/>
          <w:sz w:val="18"/>
          <w:szCs w:val="18"/>
        </w:rPr>
        <w:t xml:space="preserve">Dr. </w:t>
      </w:r>
      <w:r>
        <w:rPr>
          <w:rFonts w:cs="Arial"/>
          <w:sz w:val="18"/>
          <w:szCs w:val="18"/>
        </w:rPr>
        <w:t xml:space="preserve">Barış Soybilgen, </w:t>
      </w:r>
      <w:r w:rsidR="00D8022E" w:rsidRPr="00D8022E">
        <w:rPr>
          <w:rFonts w:cs="Arial"/>
          <w:sz w:val="18"/>
          <w:szCs w:val="18"/>
        </w:rPr>
        <w:t>Sambla Group</w:t>
      </w:r>
      <w:r w:rsidR="00D8022E">
        <w:rPr>
          <w:rFonts w:cs="Arial"/>
          <w:sz w:val="18"/>
          <w:szCs w:val="18"/>
        </w:rPr>
        <w:t xml:space="preserve">, </w:t>
      </w:r>
      <w:r w:rsidR="00D8022E" w:rsidRPr="00D8022E">
        <w:rPr>
          <w:rFonts w:cs="Arial"/>
          <w:sz w:val="18"/>
          <w:szCs w:val="18"/>
        </w:rPr>
        <w:t>Data Scientist,</w:t>
      </w:r>
      <w:r w:rsidR="00D8022E">
        <w:rPr>
          <w:rFonts w:cs="Arial"/>
          <w:sz w:val="18"/>
          <w:szCs w:val="18"/>
        </w:rPr>
        <w:t xml:space="preserve"> </w:t>
      </w:r>
      <w:hyperlink r:id="rId1" w:history="1">
        <w:r w:rsidR="00D8022E" w:rsidRPr="00166B01">
          <w:rPr>
            <w:rStyle w:val="Hyperlink"/>
            <w:rFonts w:cs="Arial"/>
            <w:sz w:val="18"/>
            <w:szCs w:val="18"/>
          </w:rPr>
          <w:t>soybilgen@gmail.com</w:t>
        </w:r>
      </w:hyperlink>
      <w:r w:rsidR="00D8022E">
        <w:rPr>
          <w:rFonts w:cs="Arial"/>
          <w:sz w:val="18"/>
          <w:szCs w:val="18"/>
        </w:rPr>
        <w:t xml:space="preserve"> </w:t>
      </w:r>
    </w:p>
  </w:footnote>
  <w:footnote w:id="2">
    <w:p w14:paraId="7D0D4D4A" w14:textId="35993C7F" w:rsidR="002E6EAE" w:rsidRDefault="002E6EAE">
      <w:pPr>
        <w:pStyle w:val="FootnoteText"/>
      </w:pPr>
      <w:r>
        <w:rPr>
          <w:rStyle w:val="FootnoteReference"/>
        </w:rPr>
        <w:footnoteRef/>
      </w:r>
      <w:r>
        <w:t xml:space="preserve"> </w:t>
      </w:r>
      <w:r>
        <w:t>Ortalama yerel gıda endeksi 2020=100’e yeniden endekslenmiş İTO ve Türk-İş gıda endekslerinin ortalaması olarak hesaplanmıştır.</w:t>
      </w:r>
    </w:p>
  </w:footnote>
  <w:footnote w:id="3">
    <w:p w14:paraId="4813E080" w14:textId="77777777" w:rsidR="005E3F5A" w:rsidRDefault="005E3F5A" w:rsidP="005E3F5A">
      <w:pPr>
        <w:pStyle w:val="FootnoteText"/>
      </w:pPr>
      <w:r>
        <w:rPr>
          <w:rStyle w:val="FootnoteReference"/>
        </w:rPr>
        <w:footnoteRef/>
      </w:r>
      <w:r>
        <w:t xml:space="preserve"> Güven </w:t>
      </w:r>
      <w:r>
        <w:t>aralıklarının biri negatif kısımda diğeri pozitif kısımda olduğu için istatistiksel olarak anlamsızdır.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032F7"/>
    <w:multiLevelType w:val="hybridMultilevel"/>
    <w:tmpl w:val="878C8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BC0A9C"/>
    <w:multiLevelType w:val="hybridMultilevel"/>
    <w:tmpl w:val="63C4C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F2"/>
    <w:rsid w:val="000216D4"/>
    <w:rsid w:val="00022EF9"/>
    <w:rsid w:val="00047803"/>
    <w:rsid w:val="000547EF"/>
    <w:rsid w:val="0007006D"/>
    <w:rsid w:val="00097D63"/>
    <w:rsid w:val="000D5E57"/>
    <w:rsid w:val="0010004E"/>
    <w:rsid w:val="001027CB"/>
    <w:rsid w:val="00105A7B"/>
    <w:rsid w:val="00107D82"/>
    <w:rsid w:val="00110C8E"/>
    <w:rsid w:val="001222C1"/>
    <w:rsid w:val="00124250"/>
    <w:rsid w:val="001306D2"/>
    <w:rsid w:val="00176750"/>
    <w:rsid w:val="001A5944"/>
    <w:rsid w:val="001B5154"/>
    <w:rsid w:val="001C4D56"/>
    <w:rsid w:val="001D4D47"/>
    <w:rsid w:val="001D7A76"/>
    <w:rsid w:val="001F54A8"/>
    <w:rsid w:val="00234180"/>
    <w:rsid w:val="0026035C"/>
    <w:rsid w:val="002614F2"/>
    <w:rsid w:val="00266B63"/>
    <w:rsid w:val="002763F0"/>
    <w:rsid w:val="002A2BA6"/>
    <w:rsid w:val="002A6DE1"/>
    <w:rsid w:val="002B1094"/>
    <w:rsid w:val="002B2F0F"/>
    <w:rsid w:val="002E6EAE"/>
    <w:rsid w:val="002F05E2"/>
    <w:rsid w:val="00313AD0"/>
    <w:rsid w:val="00344282"/>
    <w:rsid w:val="00355904"/>
    <w:rsid w:val="00365481"/>
    <w:rsid w:val="00394986"/>
    <w:rsid w:val="003A626D"/>
    <w:rsid w:val="003B23BB"/>
    <w:rsid w:val="003B444F"/>
    <w:rsid w:val="003B48BF"/>
    <w:rsid w:val="003B51CC"/>
    <w:rsid w:val="003C5D41"/>
    <w:rsid w:val="003D2D2A"/>
    <w:rsid w:val="003D420B"/>
    <w:rsid w:val="003D4F72"/>
    <w:rsid w:val="003D6FEA"/>
    <w:rsid w:val="00414AB0"/>
    <w:rsid w:val="004224F2"/>
    <w:rsid w:val="004343D0"/>
    <w:rsid w:val="0044087D"/>
    <w:rsid w:val="004701EF"/>
    <w:rsid w:val="004A1441"/>
    <w:rsid w:val="004A2827"/>
    <w:rsid w:val="004A42C4"/>
    <w:rsid w:val="004C377F"/>
    <w:rsid w:val="004F01F1"/>
    <w:rsid w:val="004F2626"/>
    <w:rsid w:val="00504980"/>
    <w:rsid w:val="00560A32"/>
    <w:rsid w:val="005678FA"/>
    <w:rsid w:val="00590263"/>
    <w:rsid w:val="005C41DD"/>
    <w:rsid w:val="005D6882"/>
    <w:rsid w:val="005E3F5A"/>
    <w:rsid w:val="00612E87"/>
    <w:rsid w:val="0061625D"/>
    <w:rsid w:val="006435BD"/>
    <w:rsid w:val="00645258"/>
    <w:rsid w:val="0064551F"/>
    <w:rsid w:val="00645D65"/>
    <w:rsid w:val="00681911"/>
    <w:rsid w:val="0068775A"/>
    <w:rsid w:val="006B429C"/>
    <w:rsid w:val="006B42E5"/>
    <w:rsid w:val="006C3BCC"/>
    <w:rsid w:val="006C4B44"/>
    <w:rsid w:val="006E5180"/>
    <w:rsid w:val="006F6F09"/>
    <w:rsid w:val="00711326"/>
    <w:rsid w:val="00720A41"/>
    <w:rsid w:val="00721833"/>
    <w:rsid w:val="007302E1"/>
    <w:rsid w:val="007310D9"/>
    <w:rsid w:val="0074364C"/>
    <w:rsid w:val="007504A0"/>
    <w:rsid w:val="007543DF"/>
    <w:rsid w:val="00765795"/>
    <w:rsid w:val="00781B5B"/>
    <w:rsid w:val="007A58F1"/>
    <w:rsid w:val="007C0162"/>
    <w:rsid w:val="007F3CBE"/>
    <w:rsid w:val="007F5CB8"/>
    <w:rsid w:val="00805A72"/>
    <w:rsid w:val="00826D32"/>
    <w:rsid w:val="0083297A"/>
    <w:rsid w:val="008444A5"/>
    <w:rsid w:val="00847C68"/>
    <w:rsid w:val="00847D2D"/>
    <w:rsid w:val="008628A4"/>
    <w:rsid w:val="00865551"/>
    <w:rsid w:val="008A05F0"/>
    <w:rsid w:val="008A21D8"/>
    <w:rsid w:val="008B518E"/>
    <w:rsid w:val="008E4C17"/>
    <w:rsid w:val="008F0D77"/>
    <w:rsid w:val="00903244"/>
    <w:rsid w:val="00913C8E"/>
    <w:rsid w:val="009154EB"/>
    <w:rsid w:val="00924194"/>
    <w:rsid w:val="00942392"/>
    <w:rsid w:val="009520B1"/>
    <w:rsid w:val="00957217"/>
    <w:rsid w:val="0098535B"/>
    <w:rsid w:val="00994A3C"/>
    <w:rsid w:val="009A43C7"/>
    <w:rsid w:val="009C1AC7"/>
    <w:rsid w:val="009C1C62"/>
    <w:rsid w:val="00A12F38"/>
    <w:rsid w:val="00A34707"/>
    <w:rsid w:val="00A44F15"/>
    <w:rsid w:val="00A8024F"/>
    <w:rsid w:val="00A83BC8"/>
    <w:rsid w:val="00AF7714"/>
    <w:rsid w:val="00B06E8F"/>
    <w:rsid w:val="00B269CE"/>
    <w:rsid w:val="00B26D60"/>
    <w:rsid w:val="00B35CD8"/>
    <w:rsid w:val="00B43EA0"/>
    <w:rsid w:val="00B70CE9"/>
    <w:rsid w:val="00B9621A"/>
    <w:rsid w:val="00BF6DA6"/>
    <w:rsid w:val="00C00DB1"/>
    <w:rsid w:val="00C05A38"/>
    <w:rsid w:val="00C20F1E"/>
    <w:rsid w:val="00C34CF2"/>
    <w:rsid w:val="00C47514"/>
    <w:rsid w:val="00C57ED6"/>
    <w:rsid w:val="00C93967"/>
    <w:rsid w:val="00CB2623"/>
    <w:rsid w:val="00CD6F83"/>
    <w:rsid w:val="00D17356"/>
    <w:rsid w:val="00D42489"/>
    <w:rsid w:val="00D50D4B"/>
    <w:rsid w:val="00D63290"/>
    <w:rsid w:val="00D65E31"/>
    <w:rsid w:val="00D7426D"/>
    <w:rsid w:val="00D8022E"/>
    <w:rsid w:val="00D808F2"/>
    <w:rsid w:val="00D92C14"/>
    <w:rsid w:val="00DA407A"/>
    <w:rsid w:val="00DC0C4C"/>
    <w:rsid w:val="00DC519E"/>
    <w:rsid w:val="00DD150A"/>
    <w:rsid w:val="00DE340B"/>
    <w:rsid w:val="00DE767C"/>
    <w:rsid w:val="00DF2F5C"/>
    <w:rsid w:val="00E07621"/>
    <w:rsid w:val="00E10D6C"/>
    <w:rsid w:val="00E110C0"/>
    <w:rsid w:val="00E162FF"/>
    <w:rsid w:val="00E3449B"/>
    <w:rsid w:val="00E92587"/>
    <w:rsid w:val="00EA40CE"/>
    <w:rsid w:val="00EB150A"/>
    <w:rsid w:val="00EB45E9"/>
    <w:rsid w:val="00EB7ABB"/>
    <w:rsid w:val="00EE3869"/>
    <w:rsid w:val="00F067C3"/>
    <w:rsid w:val="00F4454D"/>
    <w:rsid w:val="00F5293A"/>
    <w:rsid w:val="00F6320C"/>
    <w:rsid w:val="00F64DAE"/>
    <w:rsid w:val="00F65C20"/>
    <w:rsid w:val="00F67EE1"/>
    <w:rsid w:val="00F744BA"/>
    <w:rsid w:val="00FC55E9"/>
    <w:rsid w:val="00FC6EFF"/>
    <w:rsid w:val="00FE6FA2"/>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08A5"/>
  <w15:chartTrackingRefBased/>
  <w15:docId w15:val="{4C476602-6AFC-4DFE-8E62-D295E2B9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Heading1">
    <w:name w:val="heading 1"/>
    <w:basedOn w:val="Normal"/>
    <w:next w:val="Normal"/>
    <w:link w:val="Heading1Char"/>
    <w:uiPriority w:val="9"/>
    <w:qFormat/>
    <w:rsid w:val="00743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D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62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C47514"/>
  </w:style>
  <w:style w:type="character" w:customStyle="1" w:styleId="Heading2Char">
    <w:name w:val="Heading 2 Char"/>
    <w:basedOn w:val="DefaultParagraphFont"/>
    <w:link w:val="Heading2"/>
    <w:uiPriority w:val="9"/>
    <w:rsid w:val="00826D32"/>
    <w:rPr>
      <w:rFonts w:asciiTheme="majorHAnsi" w:eastAsiaTheme="majorEastAsia" w:hAnsiTheme="majorHAnsi" w:cstheme="majorBidi"/>
      <w:color w:val="2F5496" w:themeColor="accent1" w:themeShade="BF"/>
      <w:sz w:val="26"/>
      <w:szCs w:val="26"/>
      <w:lang w:val="tr-TR"/>
    </w:rPr>
  </w:style>
  <w:style w:type="table" w:styleId="TableGrid">
    <w:name w:val="Table Grid"/>
    <w:basedOn w:val="TableNormal"/>
    <w:uiPriority w:val="39"/>
    <w:rsid w:val="00DD1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364C"/>
    <w:rPr>
      <w:rFonts w:asciiTheme="majorHAnsi" w:eastAsiaTheme="majorEastAsia" w:hAnsiTheme="majorHAnsi" w:cstheme="majorBidi"/>
      <w:color w:val="2F5496" w:themeColor="accent1" w:themeShade="BF"/>
      <w:sz w:val="32"/>
      <w:szCs w:val="32"/>
      <w:lang w:val="tr-TR"/>
    </w:rPr>
  </w:style>
  <w:style w:type="paragraph" w:styleId="FootnoteText">
    <w:name w:val="footnote text"/>
    <w:basedOn w:val="Normal"/>
    <w:link w:val="FootnoteTextChar"/>
    <w:uiPriority w:val="99"/>
    <w:semiHidden/>
    <w:unhideWhenUsed/>
    <w:rsid w:val="002E6E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EAE"/>
    <w:rPr>
      <w:sz w:val="20"/>
      <w:szCs w:val="20"/>
      <w:lang w:val="tr-TR"/>
    </w:rPr>
  </w:style>
  <w:style w:type="character" w:styleId="FootnoteReference">
    <w:name w:val="footnote reference"/>
    <w:basedOn w:val="DefaultParagraphFont"/>
    <w:uiPriority w:val="99"/>
    <w:semiHidden/>
    <w:unhideWhenUsed/>
    <w:rsid w:val="002E6EAE"/>
    <w:rPr>
      <w:vertAlign w:val="superscript"/>
    </w:rPr>
  </w:style>
  <w:style w:type="character" w:styleId="CommentReference">
    <w:name w:val="annotation reference"/>
    <w:basedOn w:val="DefaultParagraphFont"/>
    <w:uiPriority w:val="99"/>
    <w:semiHidden/>
    <w:unhideWhenUsed/>
    <w:rsid w:val="00DE767C"/>
    <w:rPr>
      <w:sz w:val="16"/>
      <w:szCs w:val="16"/>
    </w:rPr>
  </w:style>
  <w:style w:type="paragraph" w:styleId="CommentText">
    <w:name w:val="annotation text"/>
    <w:basedOn w:val="Normal"/>
    <w:link w:val="CommentTextChar"/>
    <w:uiPriority w:val="99"/>
    <w:unhideWhenUsed/>
    <w:rsid w:val="00DE767C"/>
    <w:pPr>
      <w:spacing w:line="240" w:lineRule="auto"/>
    </w:pPr>
    <w:rPr>
      <w:sz w:val="20"/>
      <w:szCs w:val="20"/>
    </w:rPr>
  </w:style>
  <w:style w:type="character" w:customStyle="1" w:styleId="CommentTextChar">
    <w:name w:val="Comment Text Char"/>
    <w:basedOn w:val="DefaultParagraphFont"/>
    <w:link w:val="CommentText"/>
    <w:uiPriority w:val="99"/>
    <w:rsid w:val="00DE767C"/>
    <w:rPr>
      <w:sz w:val="20"/>
      <w:szCs w:val="20"/>
      <w:lang w:val="tr-TR"/>
    </w:rPr>
  </w:style>
  <w:style w:type="paragraph" w:styleId="CommentSubject">
    <w:name w:val="annotation subject"/>
    <w:basedOn w:val="CommentText"/>
    <w:next w:val="CommentText"/>
    <w:link w:val="CommentSubjectChar"/>
    <w:uiPriority w:val="99"/>
    <w:semiHidden/>
    <w:unhideWhenUsed/>
    <w:rsid w:val="00DE767C"/>
    <w:rPr>
      <w:b/>
      <w:bCs/>
    </w:rPr>
  </w:style>
  <w:style w:type="character" w:customStyle="1" w:styleId="CommentSubjectChar">
    <w:name w:val="Comment Subject Char"/>
    <w:basedOn w:val="CommentTextChar"/>
    <w:link w:val="CommentSubject"/>
    <w:uiPriority w:val="99"/>
    <w:semiHidden/>
    <w:rsid w:val="00DE767C"/>
    <w:rPr>
      <w:b/>
      <w:bCs/>
      <w:sz w:val="20"/>
      <w:szCs w:val="20"/>
      <w:lang w:val="tr-TR"/>
    </w:rPr>
  </w:style>
  <w:style w:type="paragraph" w:styleId="ListParagraph">
    <w:name w:val="List Paragraph"/>
    <w:basedOn w:val="Normal"/>
    <w:uiPriority w:val="34"/>
    <w:qFormat/>
    <w:rsid w:val="008B518E"/>
    <w:pPr>
      <w:ind w:left="720"/>
      <w:contextualSpacing/>
    </w:pPr>
  </w:style>
  <w:style w:type="character" w:customStyle="1" w:styleId="Heading3Char">
    <w:name w:val="Heading 3 Char"/>
    <w:basedOn w:val="DefaultParagraphFont"/>
    <w:link w:val="Heading3"/>
    <w:uiPriority w:val="9"/>
    <w:semiHidden/>
    <w:rsid w:val="00E162FF"/>
    <w:rPr>
      <w:rFonts w:asciiTheme="majorHAnsi" w:eastAsiaTheme="majorEastAsia" w:hAnsiTheme="majorHAnsi" w:cstheme="majorBidi"/>
      <w:color w:val="1F3763" w:themeColor="accent1" w:themeShade="7F"/>
      <w:sz w:val="24"/>
      <w:szCs w:val="24"/>
      <w:lang w:val="tr-TR"/>
    </w:rPr>
  </w:style>
  <w:style w:type="character" w:styleId="Hyperlink">
    <w:name w:val="Hyperlink"/>
    <w:basedOn w:val="DefaultParagraphFont"/>
    <w:uiPriority w:val="99"/>
    <w:unhideWhenUsed/>
    <w:rsid w:val="00E16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411">
      <w:bodyDiv w:val="1"/>
      <w:marLeft w:val="0"/>
      <w:marRight w:val="0"/>
      <w:marTop w:val="0"/>
      <w:marBottom w:val="0"/>
      <w:divBdr>
        <w:top w:val="none" w:sz="0" w:space="0" w:color="auto"/>
        <w:left w:val="none" w:sz="0" w:space="0" w:color="auto"/>
        <w:bottom w:val="none" w:sz="0" w:space="0" w:color="auto"/>
        <w:right w:val="none" w:sz="0" w:space="0" w:color="auto"/>
      </w:divBdr>
    </w:div>
    <w:div w:id="228077878">
      <w:bodyDiv w:val="1"/>
      <w:marLeft w:val="0"/>
      <w:marRight w:val="0"/>
      <w:marTop w:val="0"/>
      <w:marBottom w:val="0"/>
      <w:divBdr>
        <w:top w:val="none" w:sz="0" w:space="0" w:color="auto"/>
        <w:left w:val="none" w:sz="0" w:space="0" w:color="auto"/>
        <w:bottom w:val="none" w:sz="0" w:space="0" w:color="auto"/>
        <w:right w:val="none" w:sz="0" w:space="0" w:color="auto"/>
      </w:divBdr>
      <w:divsChild>
        <w:div w:id="1106265680">
          <w:marLeft w:val="0"/>
          <w:marRight w:val="0"/>
          <w:marTop w:val="0"/>
          <w:marBottom w:val="0"/>
          <w:divBdr>
            <w:top w:val="none" w:sz="0" w:space="0" w:color="auto"/>
            <w:left w:val="none" w:sz="0" w:space="0" w:color="auto"/>
            <w:bottom w:val="none" w:sz="0" w:space="0" w:color="auto"/>
            <w:right w:val="none" w:sz="0" w:space="0" w:color="auto"/>
          </w:divBdr>
        </w:div>
      </w:divsChild>
    </w:div>
    <w:div w:id="283273769">
      <w:bodyDiv w:val="1"/>
      <w:marLeft w:val="0"/>
      <w:marRight w:val="0"/>
      <w:marTop w:val="0"/>
      <w:marBottom w:val="0"/>
      <w:divBdr>
        <w:top w:val="none" w:sz="0" w:space="0" w:color="auto"/>
        <w:left w:val="none" w:sz="0" w:space="0" w:color="auto"/>
        <w:bottom w:val="none" w:sz="0" w:space="0" w:color="auto"/>
        <w:right w:val="none" w:sz="0" w:space="0" w:color="auto"/>
      </w:divBdr>
    </w:div>
    <w:div w:id="432288361">
      <w:bodyDiv w:val="1"/>
      <w:marLeft w:val="0"/>
      <w:marRight w:val="0"/>
      <w:marTop w:val="0"/>
      <w:marBottom w:val="0"/>
      <w:divBdr>
        <w:top w:val="none" w:sz="0" w:space="0" w:color="auto"/>
        <w:left w:val="none" w:sz="0" w:space="0" w:color="auto"/>
        <w:bottom w:val="none" w:sz="0" w:space="0" w:color="auto"/>
        <w:right w:val="none" w:sz="0" w:space="0" w:color="auto"/>
      </w:divBdr>
    </w:div>
    <w:div w:id="661472899">
      <w:bodyDiv w:val="1"/>
      <w:marLeft w:val="0"/>
      <w:marRight w:val="0"/>
      <w:marTop w:val="0"/>
      <w:marBottom w:val="0"/>
      <w:divBdr>
        <w:top w:val="none" w:sz="0" w:space="0" w:color="auto"/>
        <w:left w:val="none" w:sz="0" w:space="0" w:color="auto"/>
        <w:bottom w:val="none" w:sz="0" w:space="0" w:color="auto"/>
        <w:right w:val="none" w:sz="0" w:space="0" w:color="auto"/>
      </w:divBdr>
    </w:div>
    <w:div w:id="1181236005">
      <w:bodyDiv w:val="1"/>
      <w:marLeft w:val="0"/>
      <w:marRight w:val="0"/>
      <w:marTop w:val="0"/>
      <w:marBottom w:val="0"/>
      <w:divBdr>
        <w:top w:val="none" w:sz="0" w:space="0" w:color="auto"/>
        <w:left w:val="none" w:sz="0" w:space="0" w:color="auto"/>
        <w:bottom w:val="none" w:sz="0" w:space="0" w:color="auto"/>
        <w:right w:val="none" w:sz="0" w:space="0" w:color="auto"/>
      </w:divBdr>
    </w:div>
    <w:div w:id="1223758062">
      <w:bodyDiv w:val="1"/>
      <w:marLeft w:val="0"/>
      <w:marRight w:val="0"/>
      <w:marTop w:val="0"/>
      <w:marBottom w:val="0"/>
      <w:divBdr>
        <w:top w:val="none" w:sz="0" w:space="0" w:color="auto"/>
        <w:left w:val="none" w:sz="0" w:space="0" w:color="auto"/>
        <w:bottom w:val="none" w:sz="0" w:space="0" w:color="auto"/>
        <w:right w:val="none" w:sz="0" w:space="0" w:color="auto"/>
      </w:divBdr>
    </w:div>
    <w:div w:id="1337344479">
      <w:bodyDiv w:val="1"/>
      <w:marLeft w:val="0"/>
      <w:marRight w:val="0"/>
      <w:marTop w:val="0"/>
      <w:marBottom w:val="0"/>
      <w:divBdr>
        <w:top w:val="none" w:sz="0" w:space="0" w:color="auto"/>
        <w:left w:val="none" w:sz="0" w:space="0" w:color="auto"/>
        <w:bottom w:val="none" w:sz="0" w:space="0" w:color="auto"/>
        <w:right w:val="none" w:sz="0" w:space="0" w:color="auto"/>
      </w:divBdr>
      <w:divsChild>
        <w:div w:id="628122856">
          <w:marLeft w:val="0"/>
          <w:marRight w:val="0"/>
          <w:marTop w:val="0"/>
          <w:marBottom w:val="0"/>
          <w:divBdr>
            <w:top w:val="none" w:sz="0" w:space="0" w:color="auto"/>
            <w:left w:val="none" w:sz="0" w:space="0" w:color="auto"/>
            <w:bottom w:val="none" w:sz="0" w:space="0" w:color="auto"/>
            <w:right w:val="none" w:sz="0" w:space="0" w:color="auto"/>
          </w:divBdr>
          <w:divsChild>
            <w:div w:id="20043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mailto:soybilgen@g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GoogleDrive\My%20Drive\gidaanaliz_new.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GoogleDrive\My%20Drive\gidaanaliz_new.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GoogleDrive\My%20Drive\gidaanaliz.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Yıllık Gıda Enflasyonu Endeksleri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1"/>
          <c:order val="0"/>
          <c:tx>
            <c:strRef>
              <c:f>CEFIS!$Q$2</c:f>
              <c:strCache>
                <c:ptCount val="1"/>
                <c:pt idx="0">
                  <c:v>İTO</c:v>
                </c:pt>
              </c:strCache>
            </c:strRef>
          </c:tx>
          <c:spPr>
            <a:ln w="28575" cap="rnd">
              <a:solidFill>
                <a:schemeClr val="accent2"/>
              </a:solidFill>
              <a:prstDash val="sysDot"/>
              <a:round/>
            </a:ln>
            <a:effectLst/>
          </c:spPr>
          <c:marker>
            <c:symbol val="none"/>
          </c:marker>
          <c:cat>
            <c:numRef>
              <c:f>CEFIS!$O$15:$O$67</c:f>
              <c:numCache>
                <c:formatCode>m/d/yyyy</c:formatCode>
                <c:ptCount val="53"/>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pt idx="14">
                  <c:v>44075</c:v>
                </c:pt>
                <c:pt idx="15">
                  <c:v>44105</c:v>
                </c:pt>
                <c:pt idx="16">
                  <c:v>44136</c:v>
                </c:pt>
                <c:pt idx="17">
                  <c:v>44166</c:v>
                </c:pt>
                <c:pt idx="18">
                  <c:v>44197</c:v>
                </c:pt>
                <c:pt idx="19">
                  <c:v>44228</c:v>
                </c:pt>
                <c:pt idx="20">
                  <c:v>44256</c:v>
                </c:pt>
                <c:pt idx="21">
                  <c:v>44287</c:v>
                </c:pt>
                <c:pt idx="22">
                  <c:v>44317</c:v>
                </c:pt>
                <c:pt idx="23">
                  <c:v>44348</c:v>
                </c:pt>
                <c:pt idx="24">
                  <c:v>44378</c:v>
                </c:pt>
                <c:pt idx="25">
                  <c:v>44409</c:v>
                </c:pt>
                <c:pt idx="26">
                  <c:v>44440</c:v>
                </c:pt>
                <c:pt idx="27">
                  <c:v>44470</c:v>
                </c:pt>
                <c:pt idx="28">
                  <c:v>44501</c:v>
                </c:pt>
                <c:pt idx="29">
                  <c:v>44531</c:v>
                </c:pt>
                <c:pt idx="30">
                  <c:v>44562</c:v>
                </c:pt>
                <c:pt idx="31">
                  <c:v>44593</c:v>
                </c:pt>
                <c:pt idx="32">
                  <c:v>44621</c:v>
                </c:pt>
                <c:pt idx="33">
                  <c:v>44652</c:v>
                </c:pt>
                <c:pt idx="34">
                  <c:v>44682</c:v>
                </c:pt>
                <c:pt idx="35">
                  <c:v>44713</c:v>
                </c:pt>
                <c:pt idx="36">
                  <c:v>44743</c:v>
                </c:pt>
                <c:pt idx="37">
                  <c:v>44774</c:v>
                </c:pt>
                <c:pt idx="38">
                  <c:v>44805</c:v>
                </c:pt>
                <c:pt idx="39">
                  <c:v>44835</c:v>
                </c:pt>
                <c:pt idx="40">
                  <c:v>44866</c:v>
                </c:pt>
                <c:pt idx="41">
                  <c:v>44896</c:v>
                </c:pt>
                <c:pt idx="42">
                  <c:v>44927</c:v>
                </c:pt>
                <c:pt idx="43">
                  <c:v>44958</c:v>
                </c:pt>
                <c:pt idx="44">
                  <c:v>44986</c:v>
                </c:pt>
                <c:pt idx="45">
                  <c:v>45017</c:v>
                </c:pt>
                <c:pt idx="46">
                  <c:v>45047</c:v>
                </c:pt>
                <c:pt idx="47">
                  <c:v>45078</c:v>
                </c:pt>
                <c:pt idx="48">
                  <c:v>45108</c:v>
                </c:pt>
                <c:pt idx="49">
                  <c:v>45139</c:v>
                </c:pt>
                <c:pt idx="50">
                  <c:v>45170</c:v>
                </c:pt>
                <c:pt idx="51">
                  <c:v>45200</c:v>
                </c:pt>
                <c:pt idx="52">
                  <c:v>45231</c:v>
                </c:pt>
              </c:numCache>
            </c:numRef>
          </c:cat>
          <c:val>
            <c:numRef>
              <c:f>CEFIS!$Q$15:$Q$67</c:f>
              <c:numCache>
                <c:formatCode>0%</c:formatCode>
                <c:ptCount val="53"/>
                <c:pt idx="0">
                  <c:v>0.16974373916974317</c:v>
                </c:pt>
                <c:pt idx="1">
                  <c:v>0.22594929973335898</c:v>
                </c:pt>
                <c:pt idx="2">
                  <c:v>0.17349301767000691</c:v>
                </c:pt>
                <c:pt idx="3">
                  <c:v>0.1542234451370339</c:v>
                </c:pt>
                <c:pt idx="4">
                  <c:v>0.16416220652297242</c:v>
                </c:pt>
                <c:pt idx="5">
                  <c:v>0.17988419432983083</c:v>
                </c:pt>
                <c:pt idx="6">
                  <c:v>0.17126680513268711</c:v>
                </c:pt>
                <c:pt idx="7">
                  <c:v>0.16422085025608979</c:v>
                </c:pt>
                <c:pt idx="8">
                  <c:v>0.16491048368183581</c:v>
                </c:pt>
                <c:pt idx="9">
                  <c:v>0.15685288241095008</c:v>
                </c:pt>
                <c:pt idx="10">
                  <c:v>0.15023512289886054</c:v>
                </c:pt>
                <c:pt idx="11">
                  <c:v>0.16353604059887417</c:v>
                </c:pt>
                <c:pt idx="12">
                  <c:v>0.16190120440258782</c:v>
                </c:pt>
                <c:pt idx="13">
                  <c:v>0.11005322075360535</c:v>
                </c:pt>
                <c:pt idx="14">
                  <c:v>0.12067785780736107</c:v>
                </c:pt>
                <c:pt idx="15">
                  <c:v>0.14576848580521151</c:v>
                </c:pt>
                <c:pt idx="16">
                  <c:v>0.16876542105881009</c:v>
                </c:pt>
                <c:pt idx="17">
                  <c:v>0.17624644051212912</c:v>
                </c:pt>
                <c:pt idx="18">
                  <c:v>0.16353401056552297</c:v>
                </c:pt>
                <c:pt idx="19">
                  <c:v>0.17334166526014361</c:v>
                </c:pt>
                <c:pt idx="20">
                  <c:v>0.17450362005762354</c:v>
                </c:pt>
                <c:pt idx="21">
                  <c:v>0.15217247657594113</c:v>
                </c:pt>
                <c:pt idx="22">
                  <c:v>0.15857279959334791</c:v>
                </c:pt>
                <c:pt idx="23">
                  <c:v>0.16220615924401116</c:v>
                </c:pt>
                <c:pt idx="24">
                  <c:v>0.18147892468655891</c:v>
                </c:pt>
                <c:pt idx="25">
                  <c:v>0.20268555757953988</c:v>
                </c:pt>
                <c:pt idx="26">
                  <c:v>0.19650941204578909</c:v>
                </c:pt>
                <c:pt idx="27">
                  <c:v>0.20297328706953333</c:v>
                </c:pt>
                <c:pt idx="28">
                  <c:v>0.20274008463200532</c:v>
                </c:pt>
                <c:pt idx="29">
                  <c:v>0.34572728645882522</c:v>
                </c:pt>
                <c:pt idx="30">
                  <c:v>0.52122787535777304</c:v>
                </c:pt>
                <c:pt idx="31">
                  <c:v>0.58450640735292403</c:v>
                </c:pt>
                <c:pt idx="32">
                  <c:v>0.66413929740759281</c:v>
                </c:pt>
                <c:pt idx="33">
                  <c:v>0.84409989352951897</c:v>
                </c:pt>
                <c:pt idx="34">
                  <c:v>0.90959027182179675</c:v>
                </c:pt>
                <c:pt idx="35">
                  <c:v>0.99875327010864812</c:v>
                </c:pt>
                <c:pt idx="36">
                  <c:v>1.0714711351158703</c:v>
                </c:pt>
                <c:pt idx="37">
                  <c:v>1.0724801323266435</c:v>
                </c:pt>
                <c:pt idx="38">
                  <c:v>1.1321405691271433</c:v>
                </c:pt>
                <c:pt idx="39">
                  <c:v>1.159145227514391</c:v>
                </c:pt>
                <c:pt idx="40">
                  <c:v>1.1878221932647222</c:v>
                </c:pt>
                <c:pt idx="41">
                  <c:v>0.97181421269249846</c:v>
                </c:pt>
                <c:pt idx="42">
                  <c:v>0.83771490658607073</c:v>
                </c:pt>
                <c:pt idx="43">
                  <c:v>0.82817239169420165</c:v>
                </c:pt>
                <c:pt idx="44">
                  <c:v>0.79045858687980308</c:v>
                </c:pt>
                <c:pt idx="45">
                  <c:v>0.66808622662253669</c:v>
                </c:pt>
                <c:pt idx="46">
                  <c:v>0.6129441933484896</c:v>
                </c:pt>
                <c:pt idx="47">
                  <c:v>0.60641720091166285</c:v>
                </c:pt>
                <c:pt idx="48">
                  <c:v>0.66434200323112691</c:v>
                </c:pt>
                <c:pt idx="49">
                  <c:v>0.77891744594738066</c:v>
                </c:pt>
                <c:pt idx="50">
                  <c:v>0.79041758737477519</c:v>
                </c:pt>
                <c:pt idx="51">
                  <c:v>0.7690425056122705</c:v>
                </c:pt>
                <c:pt idx="52">
                  <c:v>0.77445809619522832</c:v>
                </c:pt>
              </c:numCache>
            </c:numRef>
          </c:val>
          <c:smooth val="0"/>
          <c:extLst>
            <c:ext xmlns:c16="http://schemas.microsoft.com/office/drawing/2014/chart" uri="{C3380CC4-5D6E-409C-BE32-E72D297353CC}">
              <c16:uniqueId val="{00000000-5F50-4BD4-8892-0A9C5B08D313}"/>
            </c:ext>
          </c:extLst>
        </c:ser>
        <c:ser>
          <c:idx val="2"/>
          <c:order val="1"/>
          <c:tx>
            <c:strRef>
              <c:f>CEFIS!$R$2</c:f>
              <c:strCache>
                <c:ptCount val="1"/>
                <c:pt idx="0">
                  <c:v>Türk-İş</c:v>
                </c:pt>
              </c:strCache>
            </c:strRef>
          </c:tx>
          <c:spPr>
            <a:ln w="28575" cap="rnd">
              <a:solidFill>
                <a:schemeClr val="accent4">
                  <a:lumMod val="75000"/>
                </a:schemeClr>
              </a:solidFill>
              <a:prstDash val="sysDash"/>
              <a:round/>
            </a:ln>
            <a:effectLst/>
          </c:spPr>
          <c:marker>
            <c:symbol val="none"/>
          </c:marker>
          <c:cat>
            <c:numRef>
              <c:f>CEFIS!$O$15:$O$67</c:f>
              <c:numCache>
                <c:formatCode>m/d/yyyy</c:formatCode>
                <c:ptCount val="53"/>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pt idx="14">
                  <c:v>44075</c:v>
                </c:pt>
                <c:pt idx="15">
                  <c:v>44105</c:v>
                </c:pt>
                <c:pt idx="16">
                  <c:v>44136</c:v>
                </c:pt>
                <c:pt idx="17">
                  <c:v>44166</c:v>
                </c:pt>
                <c:pt idx="18">
                  <c:v>44197</c:v>
                </c:pt>
                <c:pt idx="19">
                  <c:v>44228</c:v>
                </c:pt>
                <c:pt idx="20">
                  <c:v>44256</c:v>
                </c:pt>
                <c:pt idx="21">
                  <c:v>44287</c:v>
                </c:pt>
                <c:pt idx="22">
                  <c:v>44317</c:v>
                </c:pt>
                <c:pt idx="23">
                  <c:v>44348</c:v>
                </c:pt>
                <c:pt idx="24">
                  <c:v>44378</c:v>
                </c:pt>
                <c:pt idx="25">
                  <c:v>44409</c:v>
                </c:pt>
                <c:pt idx="26">
                  <c:v>44440</c:v>
                </c:pt>
                <c:pt idx="27">
                  <c:v>44470</c:v>
                </c:pt>
                <c:pt idx="28">
                  <c:v>44501</c:v>
                </c:pt>
                <c:pt idx="29">
                  <c:v>44531</c:v>
                </c:pt>
                <c:pt idx="30">
                  <c:v>44562</c:v>
                </c:pt>
                <c:pt idx="31">
                  <c:v>44593</c:v>
                </c:pt>
                <c:pt idx="32">
                  <c:v>44621</c:v>
                </c:pt>
                <c:pt idx="33">
                  <c:v>44652</c:v>
                </c:pt>
                <c:pt idx="34">
                  <c:v>44682</c:v>
                </c:pt>
                <c:pt idx="35">
                  <c:v>44713</c:v>
                </c:pt>
                <c:pt idx="36">
                  <c:v>44743</c:v>
                </c:pt>
                <c:pt idx="37">
                  <c:v>44774</c:v>
                </c:pt>
                <c:pt idx="38">
                  <c:v>44805</c:v>
                </c:pt>
                <c:pt idx="39">
                  <c:v>44835</c:v>
                </c:pt>
                <c:pt idx="40">
                  <c:v>44866</c:v>
                </c:pt>
                <c:pt idx="41">
                  <c:v>44896</c:v>
                </c:pt>
                <c:pt idx="42">
                  <c:v>44927</c:v>
                </c:pt>
                <c:pt idx="43">
                  <c:v>44958</c:v>
                </c:pt>
                <c:pt idx="44">
                  <c:v>44986</c:v>
                </c:pt>
                <c:pt idx="45">
                  <c:v>45017</c:v>
                </c:pt>
                <c:pt idx="46">
                  <c:v>45047</c:v>
                </c:pt>
                <c:pt idx="47">
                  <c:v>45078</c:v>
                </c:pt>
                <c:pt idx="48">
                  <c:v>45108</c:v>
                </c:pt>
                <c:pt idx="49">
                  <c:v>45139</c:v>
                </c:pt>
                <c:pt idx="50">
                  <c:v>45170</c:v>
                </c:pt>
                <c:pt idx="51">
                  <c:v>45200</c:v>
                </c:pt>
                <c:pt idx="52">
                  <c:v>45231</c:v>
                </c:pt>
              </c:numCache>
            </c:numRef>
          </c:cat>
          <c:val>
            <c:numRef>
              <c:f>CEFIS!$R$15:$R$67</c:f>
              <c:numCache>
                <c:formatCode>0%</c:formatCode>
                <c:ptCount val="53"/>
                <c:pt idx="0">
                  <c:v>0.19378498248359088</c:v>
                </c:pt>
                <c:pt idx="1">
                  <c:v>0.13586431775422469</c:v>
                </c:pt>
                <c:pt idx="2">
                  <c:v>9.048652817172953E-2</c:v>
                </c:pt>
                <c:pt idx="3">
                  <c:v>7.2483249450332021E-2</c:v>
                </c:pt>
                <c:pt idx="4">
                  <c:v>8.2420948057095433E-2</c:v>
                </c:pt>
                <c:pt idx="5">
                  <c:v>0.11412763502235768</c:v>
                </c:pt>
                <c:pt idx="6">
                  <c:v>0.10494060717094955</c:v>
                </c:pt>
                <c:pt idx="7">
                  <c:v>0.11264564973088076</c:v>
                </c:pt>
                <c:pt idx="8">
                  <c:v>0.16441090313291284</c:v>
                </c:pt>
                <c:pt idx="9">
                  <c:v>0.12677928131036742</c:v>
                </c:pt>
                <c:pt idx="10">
                  <c:v>0.14798510308720147</c:v>
                </c:pt>
                <c:pt idx="11">
                  <c:v>0.17604260897749091</c:v>
                </c:pt>
                <c:pt idx="12">
                  <c:v>0.15960563597463451</c:v>
                </c:pt>
                <c:pt idx="13">
                  <c:v>0.15788451076397014</c:v>
                </c:pt>
                <c:pt idx="14">
                  <c:v>0.18561215197721492</c:v>
                </c:pt>
                <c:pt idx="15">
                  <c:v>0.20589178317771539</c:v>
                </c:pt>
                <c:pt idx="16">
                  <c:v>0.19680145327962806</c:v>
                </c:pt>
                <c:pt idx="17">
                  <c:v>0.19754935959680031</c:v>
                </c:pt>
                <c:pt idx="18">
                  <c:v>0.19963053909752415</c:v>
                </c:pt>
                <c:pt idx="19">
                  <c:v>0.2120777184169258</c:v>
                </c:pt>
                <c:pt idx="20">
                  <c:v>0.19126400709522295</c:v>
                </c:pt>
                <c:pt idx="21">
                  <c:v>0.21197978096040426</c:v>
                </c:pt>
                <c:pt idx="22">
                  <c:v>0.1879552464072447</c:v>
                </c:pt>
                <c:pt idx="23">
                  <c:v>0.20986146074995471</c:v>
                </c:pt>
                <c:pt idx="24">
                  <c:v>0.2441594707578767</c:v>
                </c:pt>
                <c:pt idx="25">
                  <c:v>0.31905477061449128</c:v>
                </c:pt>
                <c:pt idx="26">
                  <c:v>0.28686696190740779</c:v>
                </c:pt>
                <c:pt idx="27">
                  <c:v>0.27413104081731299</c:v>
                </c:pt>
                <c:pt idx="28">
                  <c:v>0.30338900213377196</c:v>
                </c:pt>
                <c:pt idx="29">
                  <c:v>0.58221812088310942</c:v>
                </c:pt>
                <c:pt idx="30">
                  <c:v>0.59621336177756401</c:v>
                </c:pt>
                <c:pt idx="31">
                  <c:v>0.66387439147405836</c:v>
                </c:pt>
                <c:pt idx="32">
                  <c:v>0.76390579139523229</c:v>
                </c:pt>
                <c:pt idx="33">
                  <c:v>0.85025580069789131</c:v>
                </c:pt>
                <c:pt idx="34">
                  <c:v>1.0776138262466683</c:v>
                </c:pt>
                <c:pt idx="35">
                  <c:v>1.1729253009754288</c:v>
                </c:pt>
                <c:pt idx="36">
                  <c:v>1.2844336377178509</c:v>
                </c:pt>
                <c:pt idx="37">
                  <c:v>1.1911834392919274</c:v>
                </c:pt>
                <c:pt idx="38">
                  <c:v>1.3001374651178299</c:v>
                </c:pt>
                <c:pt idx="39">
                  <c:v>1.3477132242510472</c:v>
                </c:pt>
                <c:pt idx="40">
                  <c:v>1.3738948844582648</c:v>
                </c:pt>
                <c:pt idx="41">
                  <c:v>0.98410385934087374</c:v>
                </c:pt>
                <c:pt idx="42">
                  <c:v>1.0857845386416312</c:v>
                </c:pt>
                <c:pt idx="43">
                  <c:v>1.0702967121795206</c:v>
                </c:pt>
                <c:pt idx="44">
                  <c:v>0.946252029220779</c:v>
                </c:pt>
                <c:pt idx="45">
                  <c:v>0.90387010366986442</c:v>
                </c:pt>
                <c:pt idx="46">
                  <c:v>0.72187907641433391</c:v>
                </c:pt>
                <c:pt idx="47">
                  <c:v>0.62306686110189724</c:v>
                </c:pt>
                <c:pt idx="48">
                  <c:v>0.70440141060055783</c:v>
                </c:pt>
                <c:pt idx="49">
                  <c:v>0.77045934836627117</c:v>
                </c:pt>
                <c:pt idx="50">
                  <c:v>0.84041390276017958</c:v>
                </c:pt>
                <c:pt idx="51">
                  <c:v>0.84290452955666018</c:v>
                </c:pt>
                <c:pt idx="52">
                  <c:v>0.80122899503650369</c:v>
                </c:pt>
              </c:numCache>
            </c:numRef>
          </c:val>
          <c:smooth val="0"/>
          <c:extLst>
            <c:ext xmlns:c16="http://schemas.microsoft.com/office/drawing/2014/chart" uri="{C3380CC4-5D6E-409C-BE32-E72D297353CC}">
              <c16:uniqueId val="{00000001-5F50-4BD4-8892-0A9C5B08D313}"/>
            </c:ext>
          </c:extLst>
        </c:ser>
        <c:ser>
          <c:idx val="3"/>
          <c:order val="2"/>
          <c:tx>
            <c:strRef>
              <c:f>CEFIS!$P$2</c:f>
              <c:strCache>
                <c:ptCount val="1"/>
                <c:pt idx="0">
                  <c:v>TÜİK</c:v>
                </c:pt>
              </c:strCache>
            </c:strRef>
          </c:tx>
          <c:spPr>
            <a:ln w="28575" cap="rnd">
              <a:solidFill>
                <a:srgbClr val="92D050"/>
              </a:solidFill>
              <a:round/>
            </a:ln>
            <a:effectLst/>
          </c:spPr>
          <c:marker>
            <c:symbol val="none"/>
          </c:marker>
          <c:cat>
            <c:numRef>
              <c:f>CEFIS!$O$15:$O$67</c:f>
              <c:numCache>
                <c:formatCode>m/d/yyyy</c:formatCode>
                <c:ptCount val="53"/>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pt idx="14">
                  <c:v>44075</c:v>
                </c:pt>
                <c:pt idx="15">
                  <c:v>44105</c:v>
                </c:pt>
                <c:pt idx="16">
                  <c:v>44136</c:v>
                </c:pt>
                <c:pt idx="17">
                  <c:v>44166</c:v>
                </c:pt>
                <c:pt idx="18">
                  <c:v>44197</c:v>
                </c:pt>
                <c:pt idx="19">
                  <c:v>44228</c:v>
                </c:pt>
                <c:pt idx="20">
                  <c:v>44256</c:v>
                </c:pt>
                <c:pt idx="21">
                  <c:v>44287</c:v>
                </c:pt>
                <c:pt idx="22">
                  <c:v>44317</c:v>
                </c:pt>
                <c:pt idx="23">
                  <c:v>44348</c:v>
                </c:pt>
                <c:pt idx="24">
                  <c:v>44378</c:v>
                </c:pt>
                <c:pt idx="25">
                  <c:v>44409</c:v>
                </c:pt>
                <c:pt idx="26">
                  <c:v>44440</c:v>
                </c:pt>
                <c:pt idx="27">
                  <c:v>44470</c:v>
                </c:pt>
                <c:pt idx="28">
                  <c:v>44501</c:v>
                </c:pt>
                <c:pt idx="29">
                  <c:v>44531</c:v>
                </c:pt>
                <c:pt idx="30">
                  <c:v>44562</c:v>
                </c:pt>
                <c:pt idx="31">
                  <c:v>44593</c:v>
                </c:pt>
                <c:pt idx="32">
                  <c:v>44621</c:v>
                </c:pt>
                <c:pt idx="33">
                  <c:v>44652</c:v>
                </c:pt>
                <c:pt idx="34">
                  <c:v>44682</c:v>
                </c:pt>
                <c:pt idx="35">
                  <c:v>44713</c:v>
                </c:pt>
                <c:pt idx="36">
                  <c:v>44743</c:v>
                </c:pt>
                <c:pt idx="37">
                  <c:v>44774</c:v>
                </c:pt>
                <c:pt idx="38">
                  <c:v>44805</c:v>
                </c:pt>
                <c:pt idx="39">
                  <c:v>44835</c:v>
                </c:pt>
                <c:pt idx="40">
                  <c:v>44866</c:v>
                </c:pt>
                <c:pt idx="41">
                  <c:v>44896</c:v>
                </c:pt>
                <c:pt idx="42">
                  <c:v>44927</c:v>
                </c:pt>
                <c:pt idx="43">
                  <c:v>44958</c:v>
                </c:pt>
                <c:pt idx="44">
                  <c:v>44986</c:v>
                </c:pt>
                <c:pt idx="45">
                  <c:v>45017</c:v>
                </c:pt>
                <c:pt idx="46">
                  <c:v>45047</c:v>
                </c:pt>
                <c:pt idx="47">
                  <c:v>45078</c:v>
                </c:pt>
                <c:pt idx="48">
                  <c:v>45108</c:v>
                </c:pt>
                <c:pt idx="49">
                  <c:v>45139</c:v>
                </c:pt>
                <c:pt idx="50">
                  <c:v>45170</c:v>
                </c:pt>
                <c:pt idx="51">
                  <c:v>45200</c:v>
                </c:pt>
                <c:pt idx="52">
                  <c:v>45231</c:v>
                </c:pt>
              </c:numCache>
            </c:numRef>
          </c:cat>
          <c:val>
            <c:numRef>
              <c:f>CEFIS!$P$15:$P$67</c:f>
              <c:numCache>
                <c:formatCode>0%</c:formatCode>
                <c:ptCount val="53"/>
                <c:pt idx="0">
                  <c:v>0.18210258275736635</c:v>
                </c:pt>
                <c:pt idx="1">
                  <c:v>0.17224497709701647</c:v>
                </c:pt>
                <c:pt idx="2">
                  <c:v>9.5168674973235223E-2</c:v>
                </c:pt>
                <c:pt idx="3">
                  <c:v>7.8493247418130352E-2</c:v>
                </c:pt>
                <c:pt idx="4">
                  <c:v>8.8928412627834685E-2</c:v>
                </c:pt>
                <c:pt idx="5">
                  <c:v>0.1088773535104699</c:v>
                </c:pt>
                <c:pt idx="6">
                  <c:v>9.0354847376361569E-2</c:v>
                </c:pt>
                <c:pt idx="7">
                  <c:v>0.10576765525151566</c:v>
                </c:pt>
                <c:pt idx="8">
                  <c:v>0.10053185108169704</c:v>
                </c:pt>
                <c:pt idx="9">
                  <c:v>0.11279381605931538</c:v>
                </c:pt>
                <c:pt idx="10">
                  <c:v>0.12874132013728135</c:v>
                </c:pt>
                <c:pt idx="11">
                  <c:v>0.12925542706431337</c:v>
                </c:pt>
                <c:pt idx="12">
                  <c:v>0.12727720334810444</c:v>
                </c:pt>
                <c:pt idx="13">
                  <c:v>0.13513066490241465</c:v>
                </c:pt>
                <c:pt idx="14">
                  <c:v>0.14948314232825122</c:v>
                </c:pt>
                <c:pt idx="15">
                  <c:v>0.16506046283223852</c:v>
                </c:pt>
                <c:pt idx="16">
                  <c:v>0.21084115965700301</c:v>
                </c:pt>
                <c:pt idx="17">
                  <c:v>0.2061332169635417</c:v>
                </c:pt>
                <c:pt idx="18">
                  <c:v>0.181144449288273</c:v>
                </c:pt>
                <c:pt idx="19">
                  <c:v>0.18396680743869021</c:v>
                </c:pt>
                <c:pt idx="20">
                  <c:v>0.17439409905163328</c:v>
                </c:pt>
                <c:pt idx="21">
                  <c:v>0.16983271902466668</c:v>
                </c:pt>
                <c:pt idx="22">
                  <c:v>0.17041436854758896</c:v>
                </c:pt>
                <c:pt idx="23">
                  <c:v>0.19990657731625361</c:v>
                </c:pt>
                <c:pt idx="24">
                  <c:v>0.24919924292057938</c:v>
                </c:pt>
                <c:pt idx="25">
                  <c:v>0.28997887221331786</c:v>
                </c:pt>
                <c:pt idx="26">
                  <c:v>0.2878804328158362</c:v>
                </c:pt>
                <c:pt idx="27">
                  <c:v>0.27406041447137341</c:v>
                </c:pt>
                <c:pt idx="28">
                  <c:v>0.271148431045239</c:v>
                </c:pt>
                <c:pt idx="29">
                  <c:v>0.43804887675558346</c:v>
                </c:pt>
                <c:pt idx="30">
                  <c:v>0.55611720906348294</c:v>
                </c:pt>
                <c:pt idx="31">
                  <c:v>0.64469649561952425</c:v>
                </c:pt>
                <c:pt idx="32">
                  <c:v>0.70325335313500736</c:v>
                </c:pt>
                <c:pt idx="33">
                  <c:v>0.89095067862336408</c:v>
                </c:pt>
                <c:pt idx="34">
                  <c:v>0.91629410343160944</c:v>
                </c:pt>
                <c:pt idx="35">
                  <c:v>0.93934539138767437</c:v>
                </c:pt>
                <c:pt idx="36">
                  <c:v>0.9464605702131379</c:v>
                </c:pt>
                <c:pt idx="37">
                  <c:v>0.90254853512177902</c:v>
                </c:pt>
                <c:pt idx="38">
                  <c:v>0.93049623468584919</c:v>
                </c:pt>
                <c:pt idx="39">
                  <c:v>0.9904748776621406</c:v>
                </c:pt>
                <c:pt idx="40">
                  <c:v>1.0254947737040379</c:v>
                </c:pt>
                <c:pt idx="41">
                  <c:v>0.77867615104869525</c:v>
                </c:pt>
                <c:pt idx="42">
                  <c:v>0.71002670901609766</c:v>
                </c:pt>
                <c:pt idx="43">
                  <c:v>0.69334817224552703</c:v>
                </c:pt>
                <c:pt idx="44">
                  <c:v>0.67893732970027254</c:v>
                </c:pt>
                <c:pt idx="45">
                  <c:v>0.53922440380348147</c:v>
                </c:pt>
                <c:pt idx="46">
                  <c:v>0.5252139918344183</c:v>
                </c:pt>
                <c:pt idx="47">
                  <c:v>0.53916232387569951</c:v>
                </c:pt>
                <c:pt idx="48">
                  <c:v>0.60717627070437952</c:v>
                </c:pt>
                <c:pt idx="49">
                  <c:v>0.728611927449758</c:v>
                </c:pt>
                <c:pt idx="50">
                  <c:v>0.75139187074706171</c:v>
                </c:pt>
                <c:pt idx="51">
                  <c:v>0.71994265888267917</c:v>
                </c:pt>
                <c:pt idx="52">
                  <c:v>0.68631923404366768</c:v>
                </c:pt>
              </c:numCache>
            </c:numRef>
          </c:val>
          <c:smooth val="0"/>
          <c:extLst>
            <c:ext xmlns:c16="http://schemas.microsoft.com/office/drawing/2014/chart" uri="{C3380CC4-5D6E-409C-BE32-E72D297353CC}">
              <c16:uniqueId val="{00000002-5F50-4BD4-8892-0A9C5B08D313}"/>
            </c:ext>
          </c:extLst>
        </c:ser>
        <c:ser>
          <c:idx val="4"/>
          <c:order val="3"/>
          <c:tx>
            <c:strRef>
              <c:f>CEFIS!$S$2</c:f>
              <c:strCache>
                <c:ptCount val="1"/>
                <c:pt idx="0">
                  <c:v>CEFIS</c:v>
                </c:pt>
              </c:strCache>
            </c:strRef>
          </c:tx>
          <c:spPr>
            <a:ln w="28575" cap="rnd">
              <a:solidFill>
                <a:schemeClr val="accent5"/>
              </a:solidFill>
              <a:round/>
            </a:ln>
            <a:effectLst/>
          </c:spPr>
          <c:marker>
            <c:symbol val="none"/>
          </c:marker>
          <c:cat>
            <c:numRef>
              <c:f>CEFIS!$O$15:$O$67</c:f>
              <c:numCache>
                <c:formatCode>m/d/yyyy</c:formatCode>
                <c:ptCount val="53"/>
                <c:pt idx="0">
                  <c:v>43647</c:v>
                </c:pt>
                <c:pt idx="1">
                  <c:v>43678</c:v>
                </c:pt>
                <c:pt idx="2">
                  <c:v>43709</c:v>
                </c:pt>
                <c:pt idx="3">
                  <c:v>43739</c:v>
                </c:pt>
                <c:pt idx="4">
                  <c:v>43770</c:v>
                </c:pt>
                <c:pt idx="5">
                  <c:v>43800</c:v>
                </c:pt>
                <c:pt idx="6">
                  <c:v>43831</c:v>
                </c:pt>
                <c:pt idx="7">
                  <c:v>43862</c:v>
                </c:pt>
                <c:pt idx="8">
                  <c:v>43891</c:v>
                </c:pt>
                <c:pt idx="9">
                  <c:v>43922</c:v>
                </c:pt>
                <c:pt idx="10">
                  <c:v>43952</c:v>
                </c:pt>
                <c:pt idx="11">
                  <c:v>43983</c:v>
                </c:pt>
                <c:pt idx="12">
                  <c:v>44013</c:v>
                </c:pt>
                <c:pt idx="13">
                  <c:v>44044</c:v>
                </c:pt>
                <c:pt idx="14">
                  <c:v>44075</c:v>
                </c:pt>
                <c:pt idx="15">
                  <c:v>44105</c:v>
                </c:pt>
                <c:pt idx="16">
                  <c:v>44136</c:v>
                </c:pt>
                <c:pt idx="17">
                  <c:v>44166</c:v>
                </c:pt>
                <c:pt idx="18">
                  <c:v>44197</c:v>
                </c:pt>
                <c:pt idx="19">
                  <c:v>44228</c:v>
                </c:pt>
                <c:pt idx="20">
                  <c:v>44256</c:v>
                </c:pt>
                <c:pt idx="21">
                  <c:v>44287</c:v>
                </c:pt>
                <c:pt idx="22">
                  <c:v>44317</c:v>
                </c:pt>
                <c:pt idx="23">
                  <c:v>44348</c:v>
                </c:pt>
                <c:pt idx="24">
                  <c:v>44378</c:v>
                </c:pt>
                <c:pt idx="25">
                  <c:v>44409</c:v>
                </c:pt>
                <c:pt idx="26">
                  <c:v>44440</c:v>
                </c:pt>
                <c:pt idx="27">
                  <c:v>44470</c:v>
                </c:pt>
                <c:pt idx="28">
                  <c:v>44501</c:v>
                </c:pt>
                <c:pt idx="29">
                  <c:v>44531</c:v>
                </c:pt>
                <c:pt idx="30">
                  <c:v>44562</c:v>
                </c:pt>
                <c:pt idx="31">
                  <c:v>44593</c:v>
                </c:pt>
                <c:pt idx="32">
                  <c:v>44621</c:v>
                </c:pt>
                <c:pt idx="33">
                  <c:v>44652</c:v>
                </c:pt>
                <c:pt idx="34">
                  <c:v>44682</c:v>
                </c:pt>
                <c:pt idx="35">
                  <c:v>44713</c:v>
                </c:pt>
                <c:pt idx="36">
                  <c:v>44743</c:v>
                </c:pt>
                <c:pt idx="37">
                  <c:v>44774</c:v>
                </c:pt>
                <c:pt idx="38">
                  <c:v>44805</c:v>
                </c:pt>
                <c:pt idx="39">
                  <c:v>44835</c:v>
                </c:pt>
                <c:pt idx="40">
                  <c:v>44866</c:v>
                </c:pt>
                <c:pt idx="41">
                  <c:v>44896</c:v>
                </c:pt>
                <c:pt idx="42">
                  <c:v>44927</c:v>
                </c:pt>
                <c:pt idx="43">
                  <c:v>44958</c:v>
                </c:pt>
                <c:pt idx="44">
                  <c:v>44986</c:v>
                </c:pt>
                <c:pt idx="45">
                  <c:v>45017</c:v>
                </c:pt>
                <c:pt idx="46">
                  <c:v>45047</c:v>
                </c:pt>
                <c:pt idx="47">
                  <c:v>45078</c:v>
                </c:pt>
                <c:pt idx="48">
                  <c:v>45108</c:v>
                </c:pt>
                <c:pt idx="49">
                  <c:v>45139</c:v>
                </c:pt>
                <c:pt idx="50">
                  <c:v>45170</c:v>
                </c:pt>
                <c:pt idx="51">
                  <c:v>45200</c:v>
                </c:pt>
                <c:pt idx="52">
                  <c:v>45231</c:v>
                </c:pt>
              </c:numCache>
            </c:numRef>
          </c:cat>
          <c:val>
            <c:numRef>
              <c:f>CEFIS!$S$15:$S$67</c:f>
              <c:numCache>
                <c:formatCode>0%</c:formatCode>
                <c:ptCount val="53"/>
                <c:pt idx="0">
                  <c:v>0.1749836404897922</c:v>
                </c:pt>
                <c:pt idx="1">
                  <c:v>0.11476114115650393</c:v>
                </c:pt>
                <c:pt idx="2">
                  <c:v>5.9785657278398574E-2</c:v>
                </c:pt>
                <c:pt idx="3">
                  <c:v>4.8767755792189282E-2</c:v>
                </c:pt>
                <c:pt idx="4">
                  <c:v>8.6235115481585689E-2</c:v>
                </c:pt>
                <c:pt idx="5">
                  <c:v>9.0458630839566068E-2</c:v>
                </c:pt>
                <c:pt idx="6">
                  <c:v>7.8530883911974492E-2</c:v>
                </c:pt>
                <c:pt idx="7">
                  <c:v>0.13031395511906951</c:v>
                </c:pt>
                <c:pt idx="8">
                  <c:v>0.19135215408444783</c:v>
                </c:pt>
                <c:pt idx="9">
                  <c:v>0.20294621154154591</c:v>
                </c:pt>
                <c:pt idx="10">
                  <c:v>0.1895959668345788</c:v>
                </c:pt>
                <c:pt idx="11">
                  <c:v>0.18265218078719747</c:v>
                </c:pt>
                <c:pt idx="12">
                  <c:v>0.1857896166663846</c:v>
                </c:pt>
                <c:pt idx="13">
                  <c:v>0.22906743745225699</c:v>
                </c:pt>
                <c:pt idx="14">
                  <c:v>0.25775106029332551</c:v>
                </c:pt>
                <c:pt idx="15">
                  <c:v>0.2744839021746952</c:v>
                </c:pt>
                <c:pt idx="16">
                  <c:v>0.31165434443761431</c:v>
                </c:pt>
                <c:pt idx="17">
                  <c:v>0.33726608300387562</c:v>
                </c:pt>
                <c:pt idx="18">
                  <c:v>0.27019689744954101</c:v>
                </c:pt>
                <c:pt idx="19">
                  <c:v>0.24925218152774731</c:v>
                </c:pt>
                <c:pt idx="20">
                  <c:v>0.18952649795585574</c:v>
                </c:pt>
                <c:pt idx="21">
                  <c:v>0.13341118693152132</c:v>
                </c:pt>
                <c:pt idx="22">
                  <c:v>0.10992071246683688</c:v>
                </c:pt>
                <c:pt idx="23">
                  <c:v>0.15576421111575245</c:v>
                </c:pt>
                <c:pt idx="24">
                  <c:v>0.16713892293953125</c:v>
                </c:pt>
                <c:pt idx="25">
                  <c:v>0.22406101281758284</c:v>
                </c:pt>
                <c:pt idx="26">
                  <c:v>0.1923148757056985</c:v>
                </c:pt>
                <c:pt idx="27">
                  <c:v>0.21389317479521397</c:v>
                </c:pt>
                <c:pt idx="28">
                  <c:v>0.2669296123295315</c:v>
                </c:pt>
                <c:pt idx="29">
                  <c:v>0.5185825201675518</c:v>
                </c:pt>
                <c:pt idx="30">
                  <c:v>0.72236434842175057</c:v>
                </c:pt>
                <c:pt idx="31">
                  <c:v>0.80952694504312372</c:v>
                </c:pt>
                <c:pt idx="32">
                  <c:v>0.90117086664215362</c:v>
                </c:pt>
                <c:pt idx="33">
                  <c:v>1.110422960460927</c:v>
                </c:pt>
                <c:pt idx="34">
                  <c:v>1.2025388332978988</c:v>
                </c:pt>
                <c:pt idx="35">
                  <c:v>1.2354973997462659</c:v>
                </c:pt>
                <c:pt idx="36">
                  <c:v>1.4020844106204238</c:v>
                </c:pt>
                <c:pt idx="37">
                  <c:v>1.3058013055907463</c:v>
                </c:pt>
                <c:pt idx="38">
                  <c:v>1.4017330132217167</c:v>
                </c:pt>
                <c:pt idx="39">
                  <c:v>1.4535644384735047</c:v>
                </c:pt>
                <c:pt idx="40">
                  <c:v>1.3579689338771344</c:v>
                </c:pt>
                <c:pt idx="41">
                  <c:v>0.9437472127140365</c:v>
                </c:pt>
                <c:pt idx="42">
                  <c:v>0.82127297851234027</c:v>
                </c:pt>
                <c:pt idx="43">
                  <c:v>0.82876880111746276</c:v>
                </c:pt>
                <c:pt idx="44">
                  <c:v>0.79715216059710348</c:v>
                </c:pt>
                <c:pt idx="45">
                  <c:v>0.72237665201088674</c:v>
                </c:pt>
                <c:pt idx="46">
                  <c:v>0.6836139560596981</c:v>
                </c:pt>
                <c:pt idx="47">
                  <c:v>0.60025476826957358</c:v>
                </c:pt>
                <c:pt idx="48">
                  <c:v>0.70805167694884452</c:v>
                </c:pt>
                <c:pt idx="49">
                  <c:v>0.76860036078776006</c:v>
                </c:pt>
                <c:pt idx="50">
                  <c:v>0.70447910649095502</c:v>
                </c:pt>
                <c:pt idx="51">
                  <c:v>0.64104810052452454</c:v>
                </c:pt>
                <c:pt idx="52">
                  <c:v>0.72324488279766896</c:v>
                </c:pt>
              </c:numCache>
            </c:numRef>
          </c:val>
          <c:smooth val="0"/>
          <c:extLst>
            <c:ext xmlns:c16="http://schemas.microsoft.com/office/drawing/2014/chart" uri="{C3380CC4-5D6E-409C-BE32-E72D297353CC}">
              <c16:uniqueId val="{00000003-5F50-4BD4-8892-0A9C5B08D313}"/>
            </c:ext>
          </c:extLst>
        </c:ser>
        <c:dLbls>
          <c:showLegendKey val="0"/>
          <c:showVal val="0"/>
          <c:showCatName val="0"/>
          <c:showSerName val="0"/>
          <c:showPercent val="0"/>
          <c:showBubbleSize val="0"/>
        </c:dLbls>
        <c:smooth val="0"/>
        <c:axId val="2003804704"/>
        <c:axId val="507058192"/>
      </c:lineChart>
      <c:dateAx>
        <c:axId val="2003804704"/>
        <c:scaling>
          <c:orientation val="minMax"/>
        </c:scaling>
        <c:delete val="0"/>
        <c:axPos val="b"/>
        <c:numFmt formatCode="[$-41F]\ mmmm\ yy;@" sourceLinked="0"/>
        <c:majorTickMark val="out"/>
        <c:minorTickMark val="out"/>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7058192"/>
        <c:crosses val="autoZero"/>
        <c:auto val="1"/>
        <c:lblOffset val="100"/>
        <c:baseTimeUnit val="months"/>
        <c:majorUnit val="3"/>
        <c:majorTimeUnit val="months"/>
      </c:dateAx>
      <c:valAx>
        <c:axId val="507058192"/>
        <c:scaling>
          <c:orientation val="minMax"/>
          <c:max val="1.5"/>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03804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0"/>
          <c:tx>
            <c:strRef>
              <c:f>CEFIS!$T$2</c:f>
              <c:strCache>
                <c:ptCount val="1"/>
                <c:pt idx="0">
                  <c:v>Ortalama Gıda Endeksi</c:v>
                </c:pt>
              </c:strCache>
            </c:strRef>
          </c:tx>
          <c:spPr>
            <a:ln w="28575" cap="rnd">
              <a:solidFill>
                <a:schemeClr val="accent4"/>
              </a:solidFill>
              <a:round/>
            </a:ln>
            <a:effectLst/>
          </c:spPr>
          <c:marker>
            <c:symbol val="none"/>
          </c:marker>
          <c:cat>
            <c:numRef>
              <c:f>CEFIS!$O$21:$O$64</c:f>
              <c:numCache>
                <c:formatCode>m/d/yyyy</c:formatCode>
                <c:ptCount val="44"/>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numCache>
            </c:numRef>
          </c:cat>
          <c:val>
            <c:numRef>
              <c:f>CEFIS!$T$21:$T$64</c:f>
              <c:numCache>
                <c:formatCode>0%</c:formatCode>
                <c:ptCount val="44"/>
                <c:pt idx="0">
                  <c:v>0.13810370615181833</c:v>
                </c:pt>
                <c:pt idx="1">
                  <c:v>0.13843324999348527</c:v>
                </c:pt>
                <c:pt idx="2">
                  <c:v>0.16466069340737433</c:v>
                </c:pt>
                <c:pt idx="3">
                  <c:v>0.14181608186065875</c:v>
                </c:pt>
                <c:pt idx="4">
                  <c:v>0.14911011299303101</c:v>
                </c:pt>
                <c:pt idx="5">
                  <c:v>0.16978932478818254</c:v>
                </c:pt>
                <c:pt idx="6">
                  <c:v>0.16075342018861116</c:v>
                </c:pt>
                <c:pt idx="7">
                  <c:v>0.13396886575878775</c:v>
                </c:pt>
                <c:pt idx="8">
                  <c:v>0.15314500489228799</c:v>
                </c:pt>
                <c:pt idx="9">
                  <c:v>0.17583013449146345</c:v>
                </c:pt>
                <c:pt idx="10">
                  <c:v>0.18278343716921908</c:v>
                </c:pt>
                <c:pt idx="11">
                  <c:v>0.18689790005446472</c:v>
                </c:pt>
                <c:pt idx="12">
                  <c:v>0.18158227483152356</c:v>
                </c:pt>
                <c:pt idx="13">
                  <c:v>0.1927096918385347</c:v>
                </c:pt>
                <c:pt idx="14">
                  <c:v>0.18288381357642325</c:v>
                </c:pt>
                <c:pt idx="15">
                  <c:v>0.1820761287681727</c:v>
                </c:pt>
                <c:pt idx="16">
                  <c:v>0.17326402300029631</c:v>
                </c:pt>
                <c:pt idx="17">
                  <c:v>0.18603380999698294</c:v>
                </c:pt>
                <c:pt idx="18">
                  <c:v>0.2128191977222178</c:v>
                </c:pt>
                <c:pt idx="19">
                  <c:v>0.26087016409701558</c:v>
                </c:pt>
                <c:pt idx="20">
                  <c:v>0.24168818697659844</c:v>
                </c:pt>
                <c:pt idx="21">
                  <c:v>0.23855216394342316</c:v>
                </c:pt>
                <c:pt idx="22">
                  <c:v>0.25306454338288864</c:v>
                </c:pt>
                <c:pt idx="23">
                  <c:v>0.46397270367096732</c:v>
                </c:pt>
                <c:pt idx="24">
                  <c:v>0.55872061856766853</c:v>
                </c:pt>
                <c:pt idx="25">
                  <c:v>0.62419039941349119</c:v>
                </c:pt>
                <c:pt idx="26">
                  <c:v>0.71402254440141255</c:v>
                </c:pt>
                <c:pt idx="27">
                  <c:v>0.84717784711370514</c:v>
                </c:pt>
                <c:pt idx="28">
                  <c:v>0.99360204903423255</c:v>
                </c:pt>
                <c:pt idx="29">
                  <c:v>1.0858392855420385</c:v>
                </c:pt>
                <c:pt idx="30">
                  <c:v>1.1779523864168606</c:v>
                </c:pt>
                <c:pt idx="31">
                  <c:v>1.1318317858092855</c:v>
                </c:pt>
                <c:pt idx="32">
                  <c:v>1.2161390171224866</c:v>
                </c:pt>
                <c:pt idx="33">
                  <c:v>1.2534292258827191</c:v>
                </c:pt>
                <c:pt idx="34">
                  <c:v>1.2808585388614935</c:v>
                </c:pt>
                <c:pt idx="35">
                  <c:v>0.9779590360166861</c:v>
                </c:pt>
                <c:pt idx="36">
                  <c:v>0.96174972261385094</c:v>
                </c:pt>
                <c:pt idx="37">
                  <c:v>0.94923455193686113</c:v>
                </c:pt>
                <c:pt idx="38">
                  <c:v>0.86835530805029104</c:v>
                </c:pt>
                <c:pt idx="39">
                  <c:v>0.78597816514620056</c:v>
                </c:pt>
                <c:pt idx="40">
                  <c:v>0.66741163488141175</c:v>
                </c:pt>
                <c:pt idx="41">
                  <c:v>0.61474203100678004</c:v>
                </c:pt>
                <c:pt idx="42">
                  <c:v>0.68437170691584237</c:v>
                </c:pt>
                <c:pt idx="43">
                  <c:v>0.77468839715682591</c:v>
                </c:pt>
              </c:numCache>
            </c:numRef>
          </c:val>
          <c:smooth val="0"/>
          <c:extLst>
            <c:ext xmlns:c16="http://schemas.microsoft.com/office/drawing/2014/chart" uri="{C3380CC4-5D6E-409C-BE32-E72D297353CC}">
              <c16:uniqueId val="{00000000-6576-4220-B32B-400918ABF879}"/>
            </c:ext>
          </c:extLst>
        </c:ser>
        <c:ser>
          <c:idx val="6"/>
          <c:order val="1"/>
          <c:tx>
            <c:strRef>
              <c:f>CEFIS!$V$2</c:f>
              <c:strCache>
                <c:ptCount val="1"/>
                <c:pt idx="0">
                  <c:v>Sepet Kur</c:v>
                </c:pt>
              </c:strCache>
            </c:strRef>
          </c:tx>
          <c:spPr>
            <a:ln w="28575" cap="rnd">
              <a:solidFill>
                <a:schemeClr val="accent1">
                  <a:lumMod val="60000"/>
                </a:schemeClr>
              </a:solidFill>
              <a:round/>
            </a:ln>
            <a:effectLst/>
          </c:spPr>
          <c:marker>
            <c:symbol val="none"/>
          </c:marker>
          <c:cat>
            <c:numRef>
              <c:f>CEFIS!$O$21:$O$64</c:f>
              <c:numCache>
                <c:formatCode>m/d/yyyy</c:formatCode>
                <c:ptCount val="44"/>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numCache>
            </c:numRef>
          </c:cat>
          <c:val>
            <c:numRef>
              <c:f>CEFIS!$V$21:$V$64</c:f>
              <c:numCache>
                <c:formatCode>0%</c:formatCode>
                <c:ptCount val="44"/>
                <c:pt idx="0">
                  <c:v>8.6540353110849066E-2</c:v>
                </c:pt>
                <c:pt idx="1">
                  <c:v>0.12615065131206338</c:v>
                </c:pt>
                <c:pt idx="2">
                  <c:v>0.14686662053879274</c:v>
                </c:pt>
                <c:pt idx="3">
                  <c:v>0.16837346413226828</c:v>
                </c:pt>
                <c:pt idx="4">
                  <c:v>0.13242284184688802</c:v>
                </c:pt>
                <c:pt idx="5">
                  <c:v>0.17109882655569897</c:v>
                </c:pt>
                <c:pt idx="6">
                  <c:v>0.22201621684701744</c:v>
                </c:pt>
                <c:pt idx="7">
                  <c:v>0.33272869765023239</c:v>
                </c:pt>
                <c:pt idx="8">
                  <c:v>0.36868656794981813</c:v>
                </c:pt>
                <c:pt idx="9">
                  <c:v>0.40986985660433484</c:v>
                </c:pt>
                <c:pt idx="10">
                  <c:v>0.44310267557704619</c:v>
                </c:pt>
                <c:pt idx="11">
                  <c:v>0.38374426113355731</c:v>
                </c:pt>
                <c:pt idx="12">
                  <c:v>0.31171202663228303</c:v>
                </c:pt>
                <c:pt idx="13">
                  <c:v>0.23449753936396411</c:v>
                </c:pt>
                <c:pt idx="14">
                  <c:v>0.25964106433431211</c:v>
                </c:pt>
                <c:pt idx="15">
                  <c:v>0.25367844181200172</c:v>
                </c:pt>
                <c:pt idx="16">
                  <c:v>0.27703673144429986</c:v>
                </c:pt>
                <c:pt idx="17">
                  <c:v>0.31066632370003289</c:v>
                </c:pt>
                <c:pt idx="18">
                  <c:v>0.27957948750582129</c:v>
                </c:pt>
                <c:pt idx="19">
                  <c:v>0.16146585107649947</c:v>
                </c:pt>
                <c:pt idx="20">
                  <c:v>0.13313129249996902</c:v>
                </c:pt>
                <c:pt idx="21">
                  <c:v>0.15099022507763671</c:v>
                </c:pt>
                <c:pt idx="22">
                  <c:v>0.31236483107488344</c:v>
                </c:pt>
                <c:pt idx="23">
                  <c:v>0.68928510072873461</c:v>
                </c:pt>
                <c:pt idx="24">
                  <c:v>0.75965498898988848</c:v>
                </c:pt>
                <c:pt idx="25">
                  <c:v>0.86200527139639616</c:v>
                </c:pt>
                <c:pt idx="26">
                  <c:v>0.82692111496370968</c:v>
                </c:pt>
                <c:pt idx="27">
                  <c:v>0.70962534369802621</c:v>
                </c:pt>
                <c:pt idx="28">
                  <c:v>0.74546718898750841</c:v>
                </c:pt>
                <c:pt idx="29">
                  <c:v>0.84085316656472564</c:v>
                </c:pt>
                <c:pt idx="30">
                  <c:v>0.8795176793096926</c:v>
                </c:pt>
                <c:pt idx="31">
                  <c:v>0.96602313402005446</c:v>
                </c:pt>
                <c:pt idx="32">
                  <c:v>0.95961414892540797</c:v>
                </c:pt>
                <c:pt idx="33">
                  <c:v>0.86189067187401669</c:v>
                </c:pt>
                <c:pt idx="34">
                  <c:v>0.64263897803818004</c:v>
                </c:pt>
                <c:pt idx="35">
                  <c:v>0.33002668197958895</c:v>
                </c:pt>
                <c:pt idx="36">
                  <c:v>0.35184006775102628</c:v>
                </c:pt>
                <c:pt idx="37">
                  <c:v>0.33981229184030304</c:v>
                </c:pt>
                <c:pt idx="38">
                  <c:v>0.28091537008135714</c:v>
                </c:pt>
                <c:pt idx="39">
                  <c:v>0.3236902704704423</c:v>
                </c:pt>
                <c:pt idx="40">
                  <c:v>0.27460778654946871</c:v>
                </c:pt>
                <c:pt idx="41">
                  <c:v>0.38287343695928922</c:v>
                </c:pt>
                <c:pt idx="42">
                  <c:v>0.57918317285294085</c:v>
                </c:pt>
                <c:pt idx="43">
                  <c:v>0.55395868155205408</c:v>
                </c:pt>
              </c:numCache>
            </c:numRef>
          </c:val>
          <c:smooth val="0"/>
          <c:extLst>
            <c:ext xmlns:c16="http://schemas.microsoft.com/office/drawing/2014/chart" uri="{C3380CC4-5D6E-409C-BE32-E72D297353CC}">
              <c16:uniqueId val="{00000001-6576-4220-B32B-400918ABF879}"/>
            </c:ext>
          </c:extLst>
        </c:ser>
        <c:ser>
          <c:idx val="7"/>
          <c:order val="2"/>
          <c:tx>
            <c:strRef>
              <c:f>CEFIS!$W$2</c:f>
              <c:strCache>
                <c:ptCount val="1"/>
                <c:pt idx="0">
                  <c:v>Dünya Gıda Endeksi</c:v>
                </c:pt>
              </c:strCache>
            </c:strRef>
          </c:tx>
          <c:spPr>
            <a:ln w="28575" cap="rnd">
              <a:solidFill>
                <a:schemeClr val="accent2">
                  <a:lumMod val="60000"/>
                </a:schemeClr>
              </a:solidFill>
              <a:round/>
            </a:ln>
            <a:effectLst/>
          </c:spPr>
          <c:marker>
            <c:symbol val="none"/>
          </c:marker>
          <c:cat>
            <c:numRef>
              <c:f>CEFIS!$O$21:$O$64</c:f>
              <c:numCache>
                <c:formatCode>m/d/yyyy</c:formatCode>
                <c:ptCount val="44"/>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numCache>
            </c:numRef>
          </c:cat>
          <c:val>
            <c:numRef>
              <c:f>CEFIS!$W$21:$W$64</c:f>
              <c:numCache>
                <c:formatCode>0.0%</c:formatCode>
                <c:ptCount val="44"/>
                <c:pt idx="0">
                  <c:v>7.9397058771108586E-2</c:v>
                </c:pt>
                <c:pt idx="1">
                  <c:v>3.5074357615273E-2</c:v>
                </c:pt>
                <c:pt idx="2">
                  <c:v>2.1291270464254497E-2</c:v>
                </c:pt>
                <c:pt idx="3">
                  <c:v>-3.9822340758910446E-3</c:v>
                </c:pt>
                <c:pt idx="4">
                  <c:v>5.1742876133011872E-3</c:v>
                </c:pt>
                <c:pt idx="5">
                  <c:v>2.901590083175476E-3</c:v>
                </c:pt>
                <c:pt idx="6">
                  <c:v>2.6990714116718495E-2</c:v>
                </c:pt>
                <c:pt idx="7">
                  <c:v>7.6482312614313708E-2</c:v>
                </c:pt>
                <c:pt idx="8">
                  <c:v>0.12999796224500759</c:v>
                </c:pt>
                <c:pt idx="9">
                  <c:v>0.14487533464099789</c:v>
                </c:pt>
                <c:pt idx="10">
                  <c:v>0.15675685896555369</c:v>
                </c:pt>
                <c:pt idx="11">
                  <c:v>0.16464502204754838</c:v>
                </c:pt>
                <c:pt idx="12">
                  <c:v>0.22534361430442851</c:v>
                </c:pt>
                <c:pt idx="13">
                  <c:v>0.28860188205529069</c:v>
                </c:pt>
                <c:pt idx="14">
                  <c:v>0.30988929648691599</c:v>
                </c:pt>
                <c:pt idx="15">
                  <c:v>0.39960382825098617</c:v>
                </c:pt>
                <c:pt idx="16">
                  <c:v>0.4941116346514236</c:v>
                </c:pt>
                <c:pt idx="17">
                  <c:v>0.39699864964597076</c:v>
                </c:pt>
                <c:pt idx="18">
                  <c:v>0.37079471312302426</c:v>
                </c:pt>
                <c:pt idx="19">
                  <c:v>0.34823310603404001</c:v>
                </c:pt>
                <c:pt idx="20">
                  <c:v>0.28013044480261096</c:v>
                </c:pt>
                <c:pt idx="21">
                  <c:v>0.25559016153027225</c:v>
                </c:pt>
                <c:pt idx="22">
                  <c:v>0.21094969357527305</c:v>
                </c:pt>
                <c:pt idx="23">
                  <c:v>0.18603326765510086</c:v>
                </c:pt>
                <c:pt idx="24">
                  <c:v>0.16344232919792234</c:v>
                </c:pt>
                <c:pt idx="25">
                  <c:v>0.21196511507276128</c:v>
                </c:pt>
                <c:pt idx="26">
                  <c:v>0.364586692022002</c:v>
                </c:pt>
                <c:pt idx="27">
                  <c:v>0.32571266689391343</c:v>
                </c:pt>
                <c:pt idx="28">
                  <c:v>0.24595741960513196</c:v>
                </c:pt>
                <c:pt idx="29">
                  <c:v>0.22788770326101049</c:v>
                </c:pt>
                <c:pt idx="30">
                  <c:v>0.13372176088136478</c:v>
                </c:pt>
                <c:pt idx="31">
                  <c:v>0.10982393632552667</c:v>
                </c:pt>
                <c:pt idx="32">
                  <c:v>0.12109617942108475</c:v>
                </c:pt>
                <c:pt idx="33">
                  <c:v>0.10988948540285493</c:v>
                </c:pt>
                <c:pt idx="34">
                  <c:v>9.1918179797708666E-2</c:v>
                </c:pt>
                <c:pt idx="35">
                  <c:v>6.348262151640327E-2</c:v>
                </c:pt>
                <c:pt idx="36">
                  <c:v>1.625613046929919E-2</c:v>
                </c:pt>
                <c:pt idx="37">
                  <c:v>-2.7492789024248565E-2</c:v>
                </c:pt>
                <c:pt idx="38">
                  <c:v>-0.14354041960073849</c:v>
                </c:pt>
                <c:pt idx="39">
                  <c:v>-0.1355706259311239</c:v>
                </c:pt>
                <c:pt idx="40">
                  <c:v>-0.16319706959264735</c:v>
                </c:pt>
                <c:pt idx="41">
                  <c:v>-0.15217250965073592</c:v>
                </c:pt>
                <c:pt idx="42">
                  <c:v>-6.532271322245331E-2</c:v>
                </c:pt>
              </c:numCache>
            </c:numRef>
          </c:val>
          <c:smooth val="0"/>
          <c:extLst>
            <c:ext xmlns:c16="http://schemas.microsoft.com/office/drawing/2014/chart" uri="{C3380CC4-5D6E-409C-BE32-E72D297353CC}">
              <c16:uniqueId val="{00000002-6576-4220-B32B-400918ABF879}"/>
            </c:ext>
          </c:extLst>
        </c:ser>
        <c:ser>
          <c:idx val="1"/>
          <c:order val="3"/>
          <c:tx>
            <c:strRef>
              <c:f>CEFIS!$Y$2</c:f>
              <c:strCache>
                <c:ptCount val="1"/>
                <c:pt idx="0">
                  <c:v>Tarım Ürünleri Üretici Fiyat Endeksi</c:v>
                </c:pt>
              </c:strCache>
            </c:strRef>
          </c:tx>
          <c:spPr>
            <a:ln w="28575" cap="rnd">
              <a:solidFill>
                <a:srgbClr val="92D050"/>
              </a:solidFill>
              <a:prstDash val="dash"/>
              <a:round/>
            </a:ln>
            <a:effectLst/>
          </c:spPr>
          <c:marker>
            <c:symbol val="none"/>
          </c:marker>
          <c:cat>
            <c:numRef>
              <c:f>CEFIS!$O$21:$O$64</c:f>
              <c:numCache>
                <c:formatCode>m/d/yyyy</c:formatCode>
                <c:ptCount val="44"/>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numCache>
            </c:numRef>
          </c:cat>
          <c:val>
            <c:numRef>
              <c:f>CEFIS!$Y$21:$Y$64</c:f>
              <c:numCache>
                <c:formatCode>0.0%</c:formatCode>
                <c:ptCount val="44"/>
                <c:pt idx="0">
                  <c:v>0.10408164593625302</c:v>
                </c:pt>
                <c:pt idx="1">
                  <c:v>0.10225824191140886</c:v>
                </c:pt>
                <c:pt idx="2">
                  <c:v>0.10380925339231273</c:v>
                </c:pt>
                <c:pt idx="3">
                  <c:v>8.5834446125266695E-2</c:v>
                </c:pt>
                <c:pt idx="4">
                  <c:v>0.10593988721701653</c:v>
                </c:pt>
                <c:pt idx="5">
                  <c:v>0.14494545421916616</c:v>
                </c:pt>
                <c:pt idx="6">
                  <c:v>0.16285848649615042</c:v>
                </c:pt>
                <c:pt idx="7">
                  <c:v>0.17358121330724052</c:v>
                </c:pt>
                <c:pt idx="8">
                  <c:v>0.18485146976291422</c:v>
                </c:pt>
                <c:pt idx="9">
                  <c:v>0.18700507255252807</c:v>
                </c:pt>
                <c:pt idx="10">
                  <c:v>0.20758978431907882</c:v>
                </c:pt>
                <c:pt idx="11">
                  <c:v>0.21238252842849992</c:v>
                </c:pt>
                <c:pt idx="12">
                  <c:v>0.21258032187702658</c:v>
                </c:pt>
                <c:pt idx="13">
                  <c:v>0.21312794574088989</c:v>
                </c:pt>
                <c:pt idx="14">
                  <c:v>0.2206239070344671</c:v>
                </c:pt>
                <c:pt idx="15">
                  <c:v>0.21770945600998348</c:v>
                </c:pt>
                <c:pt idx="16">
                  <c:v>0.20197930724246516</c:v>
                </c:pt>
                <c:pt idx="17">
                  <c:v>0.21764442454097632</c:v>
                </c:pt>
                <c:pt idx="18">
                  <c:v>0.22794117647058809</c:v>
                </c:pt>
                <c:pt idx="19">
                  <c:v>0.24690122839197381</c:v>
                </c:pt>
                <c:pt idx="20">
                  <c:v>0.23347062649035322</c:v>
                </c:pt>
                <c:pt idx="21">
                  <c:v>0.23101063829787227</c:v>
                </c:pt>
                <c:pt idx="22">
                  <c:v>0.24344877196588222</c:v>
                </c:pt>
                <c:pt idx="23">
                  <c:v>0.36390502905229427</c:v>
                </c:pt>
                <c:pt idx="24">
                  <c:v>0.52005931255773263</c:v>
                </c:pt>
                <c:pt idx="25">
                  <c:v>0.68497109826589586</c:v>
                </c:pt>
                <c:pt idx="26">
                  <c:v>0.84108050651631383</c:v>
                </c:pt>
                <c:pt idx="27">
                  <c:v>1.1853728979363676</c:v>
                </c:pt>
                <c:pt idx="28">
                  <c:v>1.5497099550898201</c:v>
                </c:pt>
                <c:pt idx="29">
                  <c:v>1.4890033100404558</c:v>
                </c:pt>
                <c:pt idx="30">
                  <c:v>1.578855924514607</c:v>
                </c:pt>
                <c:pt idx="31">
                  <c:v>1.4242187848259262</c:v>
                </c:pt>
                <c:pt idx="32">
                  <c:v>1.5599824253075574</c:v>
                </c:pt>
                <c:pt idx="33">
                  <c:v>1.6332109061055178</c:v>
                </c:pt>
                <c:pt idx="34">
                  <c:v>1.6945743801652893</c:v>
                </c:pt>
                <c:pt idx="35">
                  <c:v>1.5102390833302728</c:v>
                </c:pt>
                <c:pt idx="36">
                  <c:v>1.4284288734444015</c:v>
                </c:pt>
                <c:pt idx="37">
                  <c:v>1.275547619717122</c:v>
                </c:pt>
                <c:pt idx="38">
                  <c:v>1.067735514204025</c:v>
                </c:pt>
                <c:pt idx="39">
                  <c:v>0.71516027403684235</c:v>
                </c:pt>
                <c:pt idx="40">
                  <c:v>0.50789136665039858</c:v>
                </c:pt>
                <c:pt idx="41">
                  <c:v>0.57928955612033795</c:v>
                </c:pt>
                <c:pt idx="42">
                  <c:v>0.62483310846586471</c:v>
                </c:pt>
                <c:pt idx="43">
                  <c:v>0.76354525812531571</c:v>
                </c:pt>
              </c:numCache>
            </c:numRef>
          </c:val>
          <c:smooth val="0"/>
          <c:extLst>
            <c:ext xmlns:c16="http://schemas.microsoft.com/office/drawing/2014/chart" uri="{C3380CC4-5D6E-409C-BE32-E72D297353CC}">
              <c16:uniqueId val="{00000003-6576-4220-B32B-400918ABF879}"/>
            </c:ext>
          </c:extLst>
        </c:ser>
        <c:dLbls>
          <c:showLegendKey val="0"/>
          <c:showVal val="0"/>
          <c:showCatName val="0"/>
          <c:showSerName val="0"/>
          <c:showPercent val="0"/>
          <c:showBubbleSize val="0"/>
        </c:dLbls>
        <c:smooth val="0"/>
        <c:axId val="2003804704"/>
        <c:axId val="507058192"/>
      </c:lineChart>
      <c:dateAx>
        <c:axId val="2003804704"/>
        <c:scaling>
          <c:orientation val="minMax"/>
        </c:scaling>
        <c:delete val="0"/>
        <c:axPos val="b"/>
        <c:numFmt formatCode="[$-41F]\ mmmm\ yyyy;@" sourceLinked="0"/>
        <c:majorTickMark val="out"/>
        <c:minorTickMark val="out"/>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07058192"/>
        <c:crosses val="autoZero"/>
        <c:auto val="1"/>
        <c:lblOffset val="100"/>
        <c:baseTimeUnit val="months"/>
        <c:majorUnit val="3"/>
        <c:majorTimeUnit val="months"/>
      </c:dateAx>
      <c:valAx>
        <c:axId val="507058192"/>
        <c:scaling>
          <c:orientation val="minMax"/>
          <c:max val="1.7500000000000002"/>
          <c:min val="-0.2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03804704"/>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Dünya Gıda Endeksi</c:v>
                </c:pt>
              </c:strCache>
            </c:strRef>
          </c:tx>
          <c:spPr>
            <a:solidFill>
              <a:schemeClr val="accent1"/>
            </a:solidFill>
            <a:ln>
              <a:noFill/>
            </a:ln>
            <a:effectLst/>
          </c:spPr>
          <c:invertIfNegative val="0"/>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Sheet1!$B$2:$B$25</c:f>
              <c:numCache>
                <c:formatCode>General</c:formatCode>
                <c:ptCount val="24"/>
                <c:pt idx="0">
                  <c:v>9.5530000000000007E-3</c:v>
                </c:pt>
                <c:pt idx="1">
                  <c:v>8.5749999999999993E-3</c:v>
                </c:pt>
                <c:pt idx="2">
                  <c:v>4.7999999999999996E-3</c:v>
                </c:pt>
                <c:pt idx="3">
                  <c:v>1.3775000000000001E-2</c:v>
                </c:pt>
                <c:pt idx="4">
                  <c:v>3.2128999999999998E-2</c:v>
                </c:pt>
                <c:pt idx="5">
                  <c:v>4.1591999999999997E-2</c:v>
                </c:pt>
                <c:pt idx="6">
                  <c:v>4.4651999999999997E-2</c:v>
                </c:pt>
                <c:pt idx="7">
                  <c:v>4.9572999999999999E-2</c:v>
                </c:pt>
                <c:pt idx="8">
                  <c:v>5.5639000000000001E-2</c:v>
                </c:pt>
                <c:pt idx="9">
                  <c:v>5.9111999999999998E-2</c:v>
                </c:pt>
                <c:pt idx="10">
                  <c:v>6.0675E-2</c:v>
                </c:pt>
                <c:pt idx="11">
                  <c:v>6.2537999999999996E-2</c:v>
                </c:pt>
                <c:pt idx="12">
                  <c:v>6.4654000000000003E-2</c:v>
                </c:pt>
                <c:pt idx="13">
                  <c:v>6.6056000000000004E-2</c:v>
                </c:pt>
                <c:pt idx="14">
                  <c:v>6.6915000000000002E-2</c:v>
                </c:pt>
                <c:pt idx="15">
                  <c:v>6.7866999999999997E-2</c:v>
                </c:pt>
                <c:pt idx="16">
                  <c:v>6.8895999999999999E-2</c:v>
                </c:pt>
                <c:pt idx="17">
                  <c:v>6.9702E-2</c:v>
                </c:pt>
                <c:pt idx="18">
                  <c:v>7.0332000000000006E-2</c:v>
                </c:pt>
                <c:pt idx="19">
                  <c:v>7.0980000000000001E-2</c:v>
                </c:pt>
                <c:pt idx="20">
                  <c:v>7.1639999999999995E-2</c:v>
                </c:pt>
                <c:pt idx="21">
                  <c:v>7.2210999999999997E-2</c:v>
                </c:pt>
                <c:pt idx="22">
                  <c:v>7.2707999999999995E-2</c:v>
                </c:pt>
                <c:pt idx="23">
                  <c:v>7.3205000000000006E-2</c:v>
                </c:pt>
              </c:numCache>
            </c:numRef>
          </c:val>
          <c:extLst>
            <c:ext xmlns:c16="http://schemas.microsoft.com/office/drawing/2014/chart" uri="{C3380CC4-5D6E-409C-BE32-E72D297353CC}">
              <c16:uniqueId val="{00000000-8A99-4A56-9D4B-A99EAB4C7215}"/>
            </c:ext>
          </c:extLst>
        </c:ser>
        <c:ser>
          <c:idx val="1"/>
          <c:order val="1"/>
          <c:tx>
            <c:strRef>
              <c:f>Sheet1!$C$1</c:f>
              <c:strCache>
                <c:ptCount val="1"/>
                <c:pt idx="0">
                  <c:v>Sepet Kur</c:v>
                </c:pt>
              </c:strCache>
            </c:strRef>
          </c:tx>
          <c:spPr>
            <a:solidFill>
              <a:schemeClr val="accent2"/>
            </a:solidFill>
            <a:ln>
              <a:noFill/>
            </a:ln>
            <a:effectLst/>
          </c:spPr>
          <c:invertIfNegative val="0"/>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Sheet1!$C$2:$C$25</c:f>
              <c:numCache>
                <c:formatCode>General</c:formatCode>
                <c:ptCount val="24"/>
                <c:pt idx="0">
                  <c:v>5.3726999999999997E-2</c:v>
                </c:pt>
                <c:pt idx="1">
                  <c:v>0.27263799999999999</c:v>
                </c:pt>
                <c:pt idx="2">
                  <c:v>0.36558800000000002</c:v>
                </c:pt>
                <c:pt idx="3">
                  <c:v>0.40221600000000002</c:v>
                </c:pt>
                <c:pt idx="4">
                  <c:v>0.418794</c:v>
                </c:pt>
                <c:pt idx="5">
                  <c:v>0.44813500000000001</c:v>
                </c:pt>
                <c:pt idx="6">
                  <c:v>0.47831400000000002</c:v>
                </c:pt>
                <c:pt idx="7">
                  <c:v>0.49890400000000001</c:v>
                </c:pt>
                <c:pt idx="8">
                  <c:v>0.51384200000000002</c:v>
                </c:pt>
                <c:pt idx="9">
                  <c:v>0.52978199999999998</c:v>
                </c:pt>
                <c:pt idx="10">
                  <c:v>0.54500999999999999</c:v>
                </c:pt>
                <c:pt idx="11">
                  <c:v>0.55687399999999998</c:v>
                </c:pt>
                <c:pt idx="12">
                  <c:v>0.56644899999999998</c:v>
                </c:pt>
                <c:pt idx="13">
                  <c:v>0.57557000000000003</c:v>
                </c:pt>
                <c:pt idx="14">
                  <c:v>0.58394500000000005</c:v>
                </c:pt>
                <c:pt idx="15">
                  <c:v>0.590893</c:v>
                </c:pt>
                <c:pt idx="16">
                  <c:v>0.59679000000000004</c:v>
                </c:pt>
                <c:pt idx="17">
                  <c:v>0.60222399999999998</c:v>
                </c:pt>
                <c:pt idx="18">
                  <c:v>0.60715699999999995</c:v>
                </c:pt>
                <c:pt idx="19">
                  <c:v>0.61141299999999998</c:v>
                </c:pt>
                <c:pt idx="20">
                  <c:v>0.61513700000000004</c:v>
                </c:pt>
                <c:pt idx="21">
                  <c:v>0.61853599999999997</c:v>
                </c:pt>
                <c:pt idx="22">
                  <c:v>0.62161699999999998</c:v>
                </c:pt>
                <c:pt idx="23">
                  <c:v>0.62469799999999998</c:v>
                </c:pt>
              </c:numCache>
            </c:numRef>
          </c:val>
          <c:extLst>
            <c:ext xmlns:c16="http://schemas.microsoft.com/office/drawing/2014/chart" uri="{C3380CC4-5D6E-409C-BE32-E72D297353CC}">
              <c16:uniqueId val="{00000001-8A99-4A56-9D4B-A99EAB4C7215}"/>
            </c:ext>
          </c:extLst>
        </c:ser>
        <c:ser>
          <c:idx val="2"/>
          <c:order val="2"/>
          <c:tx>
            <c:strRef>
              <c:f>Sheet1!$D$1</c:f>
              <c:strCache>
                <c:ptCount val="1"/>
                <c:pt idx="0">
                  <c:v>Tarım Ürünleri Üretici Fiyat Endeksi</c:v>
                </c:pt>
              </c:strCache>
            </c:strRef>
          </c:tx>
          <c:spPr>
            <a:solidFill>
              <a:schemeClr val="accent3"/>
            </a:solidFill>
            <a:ln>
              <a:noFill/>
            </a:ln>
            <a:effectLst/>
          </c:spPr>
          <c:invertIfNegative val="0"/>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Sheet1!$D$2:$D$25</c:f>
              <c:numCache>
                <c:formatCode>General</c:formatCode>
                <c:ptCount val="24"/>
                <c:pt idx="0">
                  <c:v>0.402036</c:v>
                </c:pt>
                <c:pt idx="1">
                  <c:v>0.50638000000000005</c:v>
                </c:pt>
                <c:pt idx="2">
                  <c:v>0.53916399999999998</c:v>
                </c:pt>
                <c:pt idx="3">
                  <c:v>0.50627200000000006</c:v>
                </c:pt>
                <c:pt idx="4">
                  <c:v>0.45800000000000002</c:v>
                </c:pt>
                <c:pt idx="5">
                  <c:v>0.42769099999999999</c:v>
                </c:pt>
                <c:pt idx="6">
                  <c:v>0.40584500000000001</c:v>
                </c:pt>
                <c:pt idx="7">
                  <c:v>0.38179000000000002</c:v>
                </c:pt>
                <c:pt idx="8">
                  <c:v>0.35819299999999998</c:v>
                </c:pt>
                <c:pt idx="9">
                  <c:v>0.340202</c:v>
                </c:pt>
                <c:pt idx="10">
                  <c:v>0.32603799999999999</c:v>
                </c:pt>
                <c:pt idx="11">
                  <c:v>0.31265999999999999</c:v>
                </c:pt>
                <c:pt idx="12">
                  <c:v>0.30035200000000001</c:v>
                </c:pt>
                <c:pt idx="13">
                  <c:v>0.29028500000000002</c:v>
                </c:pt>
                <c:pt idx="14">
                  <c:v>0.281891</c:v>
                </c:pt>
                <c:pt idx="15">
                  <c:v>0.27417599999999998</c:v>
                </c:pt>
                <c:pt idx="16">
                  <c:v>0.267156</c:v>
                </c:pt>
                <c:pt idx="17">
                  <c:v>0.26114399999999999</c:v>
                </c:pt>
                <c:pt idx="18">
                  <c:v>0.25592700000000002</c:v>
                </c:pt>
                <c:pt idx="19">
                  <c:v>0.25115599999999999</c:v>
                </c:pt>
                <c:pt idx="20">
                  <c:v>0.24681500000000001</c:v>
                </c:pt>
                <c:pt idx="21">
                  <c:v>0.24298700000000001</c:v>
                </c:pt>
                <c:pt idx="22">
                  <c:v>0.23958299999999999</c:v>
                </c:pt>
                <c:pt idx="23">
                  <c:v>0.236179</c:v>
                </c:pt>
              </c:numCache>
            </c:numRef>
          </c:val>
          <c:extLst>
            <c:ext xmlns:c16="http://schemas.microsoft.com/office/drawing/2014/chart" uri="{C3380CC4-5D6E-409C-BE32-E72D297353CC}">
              <c16:uniqueId val="{00000002-8A99-4A56-9D4B-A99EAB4C7215}"/>
            </c:ext>
          </c:extLst>
        </c:ser>
        <c:ser>
          <c:idx val="3"/>
          <c:order val="3"/>
          <c:tx>
            <c:strRef>
              <c:f>Sheet1!$E$1</c:f>
              <c:strCache>
                <c:ptCount val="1"/>
                <c:pt idx="0">
                  <c:v>Ortalama Gıda Endeksi</c:v>
                </c:pt>
              </c:strCache>
            </c:strRef>
          </c:tx>
          <c:spPr>
            <a:solidFill>
              <a:schemeClr val="accent4"/>
            </a:solidFill>
            <a:ln>
              <a:noFill/>
            </a:ln>
            <a:effectLst/>
          </c:spPr>
          <c:invertIfNegative val="0"/>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Sheet1!$E$2:$E$25</c:f>
              <c:numCache>
                <c:formatCode>General</c:formatCode>
                <c:ptCount val="24"/>
                <c:pt idx="0">
                  <c:v>0.53468300000000002</c:v>
                </c:pt>
                <c:pt idx="1">
                  <c:v>0.21240700000000001</c:v>
                </c:pt>
                <c:pt idx="2">
                  <c:v>9.0447E-2</c:v>
                </c:pt>
                <c:pt idx="3">
                  <c:v>7.7736E-2</c:v>
                </c:pt>
                <c:pt idx="4">
                  <c:v>9.1077000000000005E-2</c:v>
                </c:pt>
                <c:pt idx="5">
                  <c:v>8.2581000000000002E-2</c:v>
                </c:pt>
                <c:pt idx="6">
                  <c:v>7.1189000000000002E-2</c:v>
                </c:pt>
                <c:pt idx="7">
                  <c:v>6.9733000000000003E-2</c:v>
                </c:pt>
                <c:pt idx="8">
                  <c:v>7.2326000000000001E-2</c:v>
                </c:pt>
                <c:pt idx="9">
                  <c:v>7.0903999999999995E-2</c:v>
                </c:pt>
                <c:pt idx="10">
                  <c:v>6.8277000000000004E-2</c:v>
                </c:pt>
                <c:pt idx="11">
                  <c:v>6.7928000000000002E-2</c:v>
                </c:pt>
                <c:pt idx="12">
                  <c:v>6.8544999999999995E-2</c:v>
                </c:pt>
                <c:pt idx="13">
                  <c:v>6.8087999999999996E-2</c:v>
                </c:pt>
                <c:pt idx="14">
                  <c:v>6.7248000000000002E-2</c:v>
                </c:pt>
                <c:pt idx="15">
                  <c:v>6.7063999999999999E-2</c:v>
                </c:pt>
                <c:pt idx="16">
                  <c:v>6.7157999999999995E-2</c:v>
                </c:pt>
                <c:pt idx="17">
                  <c:v>6.6929000000000002E-2</c:v>
                </c:pt>
                <c:pt idx="18">
                  <c:v>6.6584000000000004E-2</c:v>
                </c:pt>
                <c:pt idx="19">
                  <c:v>6.6450999999999996E-2</c:v>
                </c:pt>
                <c:pt idx="20">
                  <c:v>6.6408999999999996E-2</c:v>
                </c:pt>
                <c:pt idx="21">
                  <c:v>6.6266000000000005E-2</c:v>
                </c:pt>
                <c:pt idx="22">
                  <c:v>6.6092999999999999E-2</c:v>
                </c:pt>
                <c:pt idx="23">
                  <c:v>6.5920000000000006E-2</c:v>
                </c:pt>
              </c:numCache>
            </c:numRef>
          </c:val>
          <c:extLst>
            <c:ext xmlns:c16="http://schemas.microsoft.com/office/drawing/2014/chart" uri="{C3380CC4-5D6E-409C-BE32-E72D297353CC}">
              <c16:uniqueId val="{00000003-8A99-4A56-9D4B-A99EAB4C7215}"/>
            </c:ext>
          </c:extLst>
        </c:ser>
        <c:dLbls>
          <c:showLegendKey val="0"/>
          <c:showVal val="0"/>
          <c:showCatName val="0"/>
          <c:showSerName val="0"/>
          <c:showPercent val="0"/>
          <c:showBubbleSize val="0"/>
        </c:dLbls>
        <c:gapWidth val="150"/>
        <c:overlap val="100"/>
        <c:axId val="1361660607"/>
        <c:axId val="1385188751"/>
      </c:barChart>
      <c:catAx>
        <c:axId val="1361660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tr-TR"/>
          </a:p>
        </c:txPr>
        <c:crossAx val="1385188751"/>
        <c:crosses val="autoZero"/>
        <c:auto val="1"/>
        <c:lblAlgn val="ctr"/>
        <c:lblOffset val="100"/>
        <c:noMultiLvlLbl val="0"/>
      </c:catAx>
      <c:valAx>
        <c:axId val="138518875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tr-TR"/>
          </a:p>
        </c:txPr>
        <c:crossAx val="1361660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tr-TR"/>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83F9-9A38-40EE-BB99-8117B8C6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1847</Words>
  <Characters>10531</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merve.akgul</cp:lastModifiedBy>
  <cp:revision>2</cp:revision>
  <dcterms:created xsi:type="dcterms:W3CDTF">2024-01-22T10:42:00Z</dcterms:created>
  <dcterms:modified xsi:type="dcterms:W3CDTF">2024-01-22T10:42:00Z</dcterms:modified>
</cp:coreProperties>
</file>