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C10365" w14:textId="5F7B22E6" w:rsidR="00BA5DA0" w:rsidRDefault="00650EC6" w:rsidP="00BA5DA0">
      <w:pPr>
        <w:jc w:val="center"/>
        <w:rPr>
          <w:b/>
          <w:sz w:val="28"/>
          <w:szCs w:val="28"/>
        </w:rPr>
      </w:pPr>
      <w:r>
        <w:rPr>
          <w:b/>
          <w:sz w:val="28"/>
          <w:szCs w:val="28"/>
        </w:rPr>
        <w:pict w14:anchorId="6E342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25pt;height:190.5pt">
            <v:imagedata r:id="rId11" o:title="betam-logo"/>
          </v:shape>
        </w:pict>
      </w:r>
    </w:p>
    <w:p w14:paraId="49ABF0EA" w14:textId="77777777" w:rsidR="00BA5DA0" w:rsidRDefault="00BA5DA0" w:rsidP="00BA5DA0">
      <w:pPr>
        <w:jc w:val="center"/>
        <w:rPr>
          <w:b/>
          <w:sz w:val="28"/>
          <w:szCs w:val="28"/>
        </w:rPr>
      </w:pPr>
    </w:p>
    <w:p w14:paraId="00674C68" w14:textId="77777777" w:rsidR="00BA5DA0" w:rsidRDefault="00BA5DA0" w:rsidP="00BA5DA0">
      <w:pPr>
        <w:jc w:val="center"/>
        <w:rPr>
          <w:b/>
          <w:sz w:val="28"/>
          <w:szCs w:val="28"/>
        </w:rPr>
      </w:pPr>
    </w:p>
    <w:p w14:paraId="15EAEAE1" w14:textId="77777777" w:rsidR="00BA5DA0" w:rsidRPr="004C03E6" w:rsidRDefault="00BA5DA0" w:rsidP="00BA5DA0">
      <w:pPr>
        <w:jc w:val="center"/>
        <w:rPr>
          <w:rFonts w:ascii="Times New Roman" w:hAnsi="Times New Roman" w:cs="Times New Roman"/>
          <w:b/>
          <w:sz w:val="28"/>
          <w:szCs w:val="28"/>
        </w:rPr>
      </w:pPr>
    </w:p>
    <w:p w14:paraId="70417CF3" w14:textId="77777777" w:rsidR="00BA5DA0" w:rsidRPr="0018211A" w:rsidRDefault="00BA5DA0" w:rsidP="00BA5DA0">
      <w:pPr>
        <w:jc w:val="center"/>
        <w:rPr>
          <w:rFonts w:ascii="Times New Roman" w:hAnsi="Times New Roman" w:cs="Times New Roman"/>
          <w:b/>
          <w:sz w:val="32"/>
          <w:szCs w:val="28"/>
        </w:rPr>
      </w:pPr>
    </w:p>
    <w:p w14:paraId="237B7BAD" w14:textId="77777777" w:rsidR="00BA5DA0" w:rsidRPr="0018211A" w:rsidRDefault="00BA5DA0" w:rsidP="00BA5DA0">
      <w:pPr>
        <w:pStyle w:val="Title"/>
        <w:spacing w:line="360" w:lineRule="auto"/>
        <w:jc w:val="center"/>
        <w:rPr>
          <w:sz w:val="32"/>
          <w:szCs w:val="28"/>
        </w:rPr>
      </w:pPr>
      <w:r w:rsidRPr="0018211A">
        <w:rPr>
          <w:sz w:val="32"/>
          <w:szCs w:val="28"/>
        </w:rPr>
        <w:t xml:space="preserve">TÜRKİYE’DE SEKTÖR KREDİLERİNİN KOMPOZİSYONU: </w:t>
      </w:r>
    </w:p>
    <w:p w14:paraId="77CD1D98" w14:textId="40F5744D" w:rsidR="00BA5DA0" w:rsidRPr="0018211A" w:rsidRDefault="00BA5DA0" w:rsidP="00BA5DA0">
      <w:pPr>
        <w:pStyle w:val="Title"/>
        <w:spacing w:line="360" w:lineRule="auto"/>
        <w:jc w:val="center"/>
        <w:rPr>
          <w:sz w:val="32"/>
          <w:szCs w:val="28"/>
        </w:rPr>
      </w:pPr>
      <w:r w:rsidRPr="0018211A">
        <w:rPr>
          <w:sz w:val="32"/>
          <w:szCs w:val="28"/>
        </w:rPr>
        <w:t xml:space="preserve">SON YİRMİ YILIN ANALİZİ </w:t>
      </w:r>
    </w:p>
    <w:p w14:paraId="4DC7F464" w14:textId="77777777" w:rsidR="00BA5DA0" w:rsidRDefault="00BA5DA0" w:rsidP="00BA5DA0">
      <w:pPr>
        <w:jc w:val="center"/>
        <w:rPr>
          <w:rFonts w:ascii="Times New Roman" w:hAnsi="Times New Roman" w:cs="Times New Roman"/>
          <w:b/>
          <w:sz w:val="28"/>
          <w:szCs w:val="28"/>
        </w:rPr>
      </w:pPr>
    </w:p>
    <w:p w14:paraId="0AF788A2" w14:textId="77777777" w:rsidR="00BA5DA0" w:rsidRDefault="00BA5DA0" w:rsidP="00BA5DA0">
      <w:pPr>
        <w:jc w:val="center"/>
        <w:rPr>
          <w:rFonts w:ascii="Times New Roman" w:hAnsi="Times New Roman" w:cs="Times New Roman"/>
          <w:b/>
          <w:sz w:val="28"/>
          <w:szCs w:val="28"/>
        </w:rPr>
      </w:pPr>
    </w:p>
    <w:p w14:paraId="55415C55" w14:textId="77777777" w:rsidR="00BA5DA0" w:rsidRDefault="00BA5DA0" w:rsidP="00BA5DA0">
      <w:pPr>
        <w:jc w:val="center"/>
        <w:rPr>
          <w:rFonts w:ascii="Times New Roman" w:hAnsi="Times New Roman" w:cs="Times New Roman"/>
          <w:b/>
          <w:sz w:val="28"/>
          <w:szCs w:val="28"/>
        </w:rPr>
      </w:pPr>
    </w:p>
    <w:p w14:paraId="08A8B706" w14:textId="77777777" w:rsidR="00BA5DA0" w:rsidRPr="00A16847" w:rsidRDefault="00BA5DA0" w:rsidP="00BA5DA0">
      <w:pPr>
        <w:jc w:val="center"/>
        <w:rPr>
          <w:rFonts w:ascii="Times New Roman" w:hAnsi="Times New Roman" w:cs="Times New Roman"/>
          <w:b/>
          <w:sz w:val="28"/>
          <w:szCs w:val="28"/>
        </w:rPr>
      </w:pPr>
    </w:p>
    <w:p w14:paraId="4B8213C2" w14:textId="4385944F" w:rsidR="00BA5DA0" w:rsidRPr="00A16847" w:rsidRDefault="00BA5DA0" w:rsidP="00BA5DA0">
      <w:pPr>
        <w:jc w:val="center"/>
        <w:rPr>
          <w:rFonts w:ascii="Times New Roman" w:hAnsi="Times New Roman" w:cs="Times New Roman"/>
          <w:b/>
          <w:sz w:val="28"/>
          <w:szCs w:val="28"/>
        </w:rPr>
      </w:pPr>
      <w:r>
        <w:rPr>
          <w:rFonts w:ascii="Times New Roman" w:hAnsi="Times New Roman" w:cs="Times New Roman"/>
          <w:b/>
          <w:sz w:val="28"/>
          <w:szCs w:val="28"/>
        </w:rPr>
        <w:t>BETAM WORKING PAPER SERIES #020</w:t>
      </w:r>
    </w:p>
    <w:p w14:paraId="754CAB6C" w14:textId="233679D8" w:rsidR="00BA5DA0" w:rsidRDefault="00BA5DA0" w:rsidP="00BA5DA0">
      <w:pPr>
        <w:jc w:val="center"/>
      </w:pPr>
      <w:r>
        <w:rPr>
          <w:rFonts w:ascii="Times New Roman" w:hAnsi="Times New Roman" w:cs="Times New Roman"/>
          <w:b/>
          <w:sz w:val="28"/>
          <w:szCs w:val="28"/>
        </w:rPr>
        <w:t>EKİM 2023</w:t>
      </w:r>
    </w:p>
    <w:p w14:paraId="195951A9" w14:textId="77777777" w:rsidR="00BA5DA0" w:rsidRDefault="00BA5DA0" w:rsidP="00BA5DA0"/>
    <w:p w14:paraId="129E8AF4" w14:textId="77777777" w:rsidR="00BA5DA0" w:rsidRDefault="00BA5DA0" w:rsidP="00BA5DA0"/>
    <w:p w14:paraId="67455BD9" w14:textId="77777777" w:rsidR="00BA5DA0" w:rsidRDefault="00BA5DA0" w:rsidP="00BA5DA0">
      <w:pPr>
        <w:jc w:val="center"/>
      </w:pPr>
      <w:r>
        <w:rPr>
          <w:noProof/>
          <w:lang w:eastAsia="tr-TR"/>
        </w:rPr>
        <w:drawing>
          <wp:inline distT="0" distB="0" distL="0" distR="0" wp14:anchorId="6132BE68" wp14:editId="72BF7DA3">
            <wp:extent cx="982681" cy="972000"/>
            <wp:effectExtent l="19050" t="0" r="7919" b="0"/>
            <wp:docPr id="8" name="Resim 2" descr="C:\Documents and Settings\merve.akgul\My Documents\Logolar\LOGO - BANNER\BULOGO\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erve.akgul\My Documents\Logolar\LOGO - BANNER\BULOGO\a2.jpg"/>
                    <pic:cNvPicPr>
                      <a:picLocks noChangeAspect="1" noChangeArrowheads="1"/>
                    </pic:cNvPicPr>
                  </pic:nvPicPr>
                  <pic:blipFill>
                    <a:blip r:embed="rId12" cstate="print"/>
                    <a:srcRect/>
                    <a:stretch>
                      <a:fillRect/>
                    </a:stretch>
                  </pic:blipFill>
                  <pic:spPr bwMode="auto">
                    <a:xfrm>
                      <a:off x="0" y="0"/>
                      <a:ext cx="982681" cy="972000"/>
                    </a:xfrm>
                    <a:prstGeom prst="rect">
                      <a:avLst/>
                    </a:prstGeom>
                    <a:noFill/>
                    <a:ln w="9525">
                      <a:noFill/>
                      <a:miter lim="800000"/>
                      <a:headEnd/>
                      <a:tailEnd/>
                    </a:ln>
                  </pic:spPr>
                </pic:pic>
              </a:graphicData>
            </a:graphic>
          </wp:inline>
        </w:drawing>
      </w:r>
    </w:p>
    <w:p w14:paraId="27233FA4" w14:textId="1655E17D" w:rsidR="00BF78E3" w:rsidRPr="000C4D84" w:rsidRDefault="00C46C98" w:rsidP="005E560D">
      <w:pPr>
        <w:pStyle w:val="Title"/>
        <w:spacing w:line="360" w:lineRule="auto"/>
        <w:jc w:val="center"/>
        <w:rPr>
          <w:sz w:val="28"/>
          <w:szCs w:val="28"/>
        </w:rPr>
      </w:pPr>
      <w:bookmarkStart w:id="0" w:name="_GoBack"/>
      <w:bookmarkEnd w:id="0"/>
      <w:r w:rsidRPr="00116E52">
        <w:rPr>
          <w:sz w:val="28"/>
          <w:szCs w:val="28"/>
        </w:rPr>
        <w:lastRenderedPageBreak/>
        <w:t>Türkiye’de Sektör</w:t>
      </w:r>
      <w:r w:rsidR="000F0A79" w:rsidRPr="00116E52">
        <w:rPr>
          <w:sz w:val="28"/>
          <w:szCs w:val="28"/>
        </w:rPr>
        <w:t xml:space="preserve"> Kredilerinin Kompozisyonu</w:t>
      </w:r>
      <w:r w:rsidR="00F74279" w:rsidRPr="00116E52">
        <w:rPr>
          <w:sz w:val="28"/>
          <w:szCs w:val="28"/>
        </w:rPr>
        <w:t>: Son Yirmi Yıl</w:t>
      </w:r>
      <w:r w:rsidR="003C5B34" w:rsidRPr="00116E52">
        <w:rPr>
          <w:sz w:val="28"/>
          <w:szCs w:val="28"/>
        </w:rPr>
        <w:t>ın</w:t>
      </w:r>
      <w:r w:rsidR="00F74279" w:rsidRPr="00116E52">
        <w:rPr>
          <w:sz w:val="28"/>
          <w:szCs w:val="28"/>
        </w:rPr>
        <w:t xml:space="preserve"> </w:t>
      </w:r>
      <w:r w:rsidR="003C5B34" w:rsidRPr="00116E52">
        <w:rPr>
          <w:sz w:val="28"/>
          <w:szCs w:val="28"/>
        </w:rPr>
        <w:t>Analizi</w:t>
      </w:r>
      <w:r w:rsidR="005C7637" w:rsidRPr="00116E52">
        <w:rPr>
          <w:sz w:val="28"/>
          <w:szCs w:val="28"/>
        </w:rPr>
        <w:t xml:space="preserve"> </w:t>
      </w:r>
      <w:r w:rsidR="005C7637" w:rsidRPr="00116E52">
        <w:rPr>
          <w:rStyle w:val="FootnoteReference"/>
          <w:sz w:val="28"/>
          <w:szCs w:val="28"/>
        </w:rPr>
        <w:footnoteReference w:customMarkFollows="1" w:id="1"/>
        <w:sym w:font="Symbol" w:char="F02A"/>
      </w:r>
    </w:p>
    <w:p w14:paraId="357C3C3F" w14:textId="16085AC2" w:rsidR="00BF78E3" w:rsidRDefault="00BF78E3" w:rsidP="005E560D">
      <w:pPr>
        <w:spacing w:line="360" w:lineRule="auto"/>
        <w:jc w:val="center"/>
        <w:rPr>
          <w:rStyle w:val="FootnoteReference"/>
          <w:rFonts w:ascii="Times New Roman" w:eastAsiaTheme="majorEastAsia" w:hAnsi="Times New Roman" w:cstheme="majorBidi"/>
          <w:bCs/>
          <w:color w:val="000000" w:themeColor="text1"/>
          <w:spacing w:val="-10"/>
          <w:kern w:val="28"/>
          <w:sz w:val="24"/>
          <w:szCs w:val="56"/>
        </w:rPr>
      </w:pPr>
      <w:r w:rsidRPr="000C4D84">
        <w:rPr>
          <w:rFonts w:ascii="Times New Roman" w:eastAsiaTheme="majorEastAsia" w:hAnsi="Times New Roman" w:cstheme="majorBidi"/>
          <w:bCs/>
          <w:color w:val="000000" w:themeColor="text1"/>
          <w:spacing w:val="-10"/>
          <w:kern w:val="28"/>
          <w:sz w:val="24"/>
          <w:szCs w:val="56"/>
        </w:rPr>
        <w:t xml:space="preserve">Zeren Tatar Taşpınar </w:t>
      </w:r>
      <w:r w:rsidRPr="000C4D84">
        <w:rPr>
          <w:rStyle w:val="FootnoteReference"/>
          <w:rFonts w:ascii="Times New Roman" w:eastAsiaTheme="majorEastAsia" w:hAnsi="Times New Roman" w:cstheme="majorBidi"/>
          <w:bCs/>
          <w:color w:val="000000" w:themeColor="text1"/>
          <w:spacing w:val="-10"/>
          <w:kern w:val="28"/>
          <w:sz w:val="24"/>
          <w:szCs w:val="56"/>
        </w:rPr>
        <w:footnoteReference w:customMarkFollows="1" w:id="2"/>
        <w:t>**</w:t>
      </w:r>
    </w:p>
    <w:p w14:paraId="6B5FEABB" w14:textId="20B88CFB" w:rsidR="0075684F" w:rsidRPr="000C4D84" w:rsidRDefault="0075684F" w:rsidP="000C4D84">
      <w:pPr>
        <w:spacing w:line="360" w:lineRule="auto"/>
        <w:rPr>
          <w:rFonts w:ascii="Times New Roman" w:eastAsiaTheme="majorEastAsia" w:hAnsi="Times New Roman" w:cstheme="majorBidi"/>
          <w:bCs/>
          <w:color w:val="000000" w:themeColor="text1"/>
          <w:spacing w:val="-10"/>
          <w:kern w:val="28"/>
          <w:sz w:val="24"/>
          <w:szCs w:val="56"/>
        </w:rPr>
        <w:sectPr w:rsidR="0075684F" w:rsidRPr="000C4D84" w:rsidSect="00D72CCB">
          <w:headerReference w:type="even" r:id="rId13"/>
          <w:headerReference w:type="default" r:id="rId14"/>
          <w:footerReference w:type="even" r:id="rId15"/>
          <w:footerReference w:type="default" r:id="rId16"/>
          <w:headerReference w:type="first" r:id="rId17"/>
          <w:footerReference w:type="first" r:id="rId18"/>
          <w:footnotePr>
            <w:numFmt w:val="chicago"/>
          </w:footnotePr>
          <w:type w:val="continuous"/>
          <w:pgSz w:w="12240" w:h="15840"/>
          <w:pgMar w:top="1440" w:right="1440" w:bottom="1440" w:left="1440" w:header="720" w:footer="720" w:gutter="0"/>
          <w:pgNumType w:start="0"/>
          <w:cols w:space="720"/>
          <w:titlePg/>
          <w:docGrid w:linePitch="360"/>
        </w:sectPr>
      </w:pPr>
    </w:p>
    <w:p w14:paraId="510F379B" w14:textId="4C6D2939" w:rsidR="0075684F" w:rsidRDefault="0075684F" w:rsidP="0075684F">
      <w:pPr>
        <w:pStyle w:val="Heading1"/>
        <w:numPr>
          <w:ilvl w:val="0"/>
          <w:numId w:val="0"/>
        </w:numPr>
        <w:spacing w:after="240" w:line="276" w:lineRule="auto"/>
        <w:ind w:left="432" w:hanging="432"/>
      </w:pPr>
      <w:r>
        <w:lastRenderedPageBreak/>
        <w:t>Özet</w:t>
      </w:r>
    </w:p>
    <w:p w14:paraId="12D3443B" w14:textId="5C5C61A1" w:rsidR="00F7290F" w:rsidRPr="00B36098" w:rsidRDefault="00D90FB7" w:rsidP="00B36098">
      <w:pPr>
        <w:jc w:val="both"/>
        <w:rPr>
          <w:rFonts w:ascii="Times New Roman" w:hAnsi="Times New Roman" w:cs="Times New Roman"/>
          <w:sz w:val="24"/>
          <w:szCs w:val="24"/>
        </w:rPr>
      </w:pPr>
      <w:r w:rsidRPr="00B36098">
        <w:rPr>
          <w:rFonts w:ascii="Times New Roman" w:hAnsi="Times New Roman" w:cs="Times New Roman"/>
          <w:sz w:val="24"/>
          <w:szCs w:val="24"/>
        </w:rPr>
        <w:t xml:space="preserve">Türkiye’de </w:t>
      </w:r>
      <w:r w:rsidR="00207230">
        <w:rPr>
          <w:rFonts w:ascii="Times New Roman" w:hAnsi="Times New Roman" w:cs="Times New Roman"/>
          <w:sz w:val="24"/>
          <w:szCs w:val="24"/>
        </w:rPr>
        <w:t xml:space="preserve">bankalarca </w:t>
      </w:r>
      <w:r w:rsidRPr="00B36098">
        <w:rPr>
          <w:rFonts w:ascii="Times New Roman" w:hAnsi="Times New Roman" w:cs="Times New Roman"/>
          <w:sz w:val="24"/>
          <w:szCs w:val="24"/>
        </w:rPr>
        <w:t>özel sektör</w:t>
      </w:r>
      <w:r w:rsidR="00207230">
        <w:rPr>
          <w:rFonts w:ascii="Times New Roman" w:hAnsi="Times New Roman" w:cs="Times New Roman"/>
          <w:sz w:val="24"/>
          <w:szCs w:val="24"/>
        </w:rPr>
        <w:t>e tahsis edilen</w:t>
      </w:r>
      <w:r w:rsidRPr="00B36098">
        <w:rPr>
          <w:rFonts w:ascii="Times New Roman" w:hAnsi="Times New Roman" w:cs="Times New Roman"/>
          <w:sz w:val="24"/>
          <w:szCs w:val="24"/>
        </w:rPr>
        <w:t xml:space="preserve"> krediler 2004 yılı itibariyle sürekli artış eğilimindedir. </w:t>
      </w:r>
      <w:r w:rsidR="00B36098">
        <w:rPr>
          <w:rFonts w:ascii="Times New Roman" w:hAnsi="Times New Roman" w:cs="Times New Roman"/>
          <w:sz w:val="24"/>
          <w:szCs w:val="24"/>
        </w:rPr>
        <w:t xml:space="preserve">2004-2008 döneminde özel sektör kredilerindeki reel artış yıllık ortalama yüzde 27 iken, 2010-2015 döneminde yüzde 18, 2016 ve sonrasında ise yüzde 4,8 olmuştur. </w:t>
      </w:r>
      <w:r w:rsidR="00207230">
        <w:rPr>
          <w:rFonts w:ascii="Times New Roman" w:hAnsi="Times New Roman" w:cs="Times New Roman"/>
          <w:sz w:val="24"/>
          <w:szCs w:val="24"/>
        </w:rPr>
        <w:t xml:space="preserve">Bu artışlar sektör bazında farklılaşmaktadır, kimi sektörlerde krediler reel olarak toplamın çok üzerinde artarken kimi sektörlerde artış </w:t>
      </w:r>
      <w:r w:rsidR="00975DA9">
        <w:rPr>
          <w:rFonts w:ascii="Times New Roman" w:hAnsi="Times New Roman" w:cs="Times New Roman"/>
          <w:sz w:val="24"/>
          <w:szCs w:val="24"/>
        </w:rPr>
        <w:t xml:space="preserve">ortalamada veya </w:t>
      </w:r>
      <w:r w:rsidR="00207230">
        <w:rPr>
          <w:rFonts w:ascii="Times New Roman" w:hAnsi="Times New Roman" w:cs="Times New Roman"/>
          <w:sz w:val="24"/>
          <w:szCs w:val="24"/>
        </w:rPr>
        <w:t xml:space="preserve">ortalamanın altında kalmıştır. Kredi artışlarında sektörler arasındaki bu farklılaşma son yirmi yıllık dönemde özel sektör kredi kompozisyonunu değiştirmiştir. İmalat sanayinin </w:t>
      </w:r>
      <w:r w:rsidR="00025347">
        <w:rPr>
          <w:rFonts w:ascii="Times New Roman" w:hAnsi="Times New Roman" w:cs="Times New Roman"/>
          <w:sz w:val="24"/>
          <w:szCs w:val="24"/>
        </w:rPr>
        <w:t>özel sektör kredileri içindeki</w:t>
      </w:r>
      <w:r w:rsidR="00207230">
        <w:rPr>
          <w:rFonts w:ascii="Times New Roman" w:hAnsi="Times New Roman" w:cs="Times New Roman"/>
          <w:sz w:val="24"/>
          <w:szCs w:val="24"/>
        </w:rPr>
        <w:t xml:space="preserve"> payı </w:t>
      </w:r>
      <w:r w:rsidR="00025347">
        <w:rPr>
          <w:rFonts w:ascii="Times New Roman" w:hAnsi="Times New Roman" w:cs="Times New Roman"/>
          <w:sz w:val="24"/>
          <w:szCs w:val="24"/>
        </w:rPr>
        <w:t xml:space="preserve">1999 yılında yüzde 55 iken 2021 yılında yüzde 27 olmuştur. Buna karşılık </w:t>
      </w:r>
      <w:r w:rsidR="00207230">
        <w:rPr>
          <w:rFonts w:ascii="Times New Roman" w:hAnsi="Times New Roman" w:cs="Times New Roman"/>
          <w:sz w:val="24"/>
          <w:szCs w:val="24"/>
        </w:rPr>
        <w:t>elektrik, gaz,</w:t>
      </w:r>
      <w:r w:rsidR="00975DA9">
        <w:rPr>
          <w:rFonts w:ascii="Times New Roman" w:hAnsi="Times New Roman" w:cs="Times New Roman"/>
          <w:sz w:val="24"/>
          <w:szCs w:val="24"/>
        </w:rPr>
        <w:t xml:space="preserve"> buhar, su ve kanalizasyon;</w:t>
      </w:r>
      <w:r w:rsidR="00207230">
        <w:rPr>
          <w:rFonts w:ascii="Times New Roman" w:hAnsi="Times New Roman" w:cs="Times New Roman"/>
          <w:sz w:val="24"/>
          <w:szCs w:val="24"/>
        </w:rPr>
        <w:t xml:space="preserve"> </w:t>
      </w:r>
      <w:r w:rsidR="00025347">
        <w:rPr>
          <w:rFonts w:ascii="Times New Roman" w:hAnsi="Times New Roman" w:cs="Times New Roman"/>
          <w:sz w:val="24"/>
          <w:szCs w:val="24"/>
        </w:rPr>
        <w:t xml:space="preserve">ulaşım haberleşme; finans ve gayrimenkul faaliyetleri; </w:t>
      </w:r>
      <w:r w:rsidR="00975DA9">
        <w:rPr>
          <w:rFonts w:ascii="Times New Roman" w:hAnsi="Times New Roman" w:cs="Times New Roman"/>
          <w:sz w:val="24"/>
          <w:szCs w:val="24"/>
        </w:rPr>
        <w:t>ticaret, konaklama ve yiyecek hizmetleri</w:t>
      </w:r>
      <w:r w:rsidR="00207230">
        <w:rPr>
          <w:rFonts w:ascii="Times New Roman" w:hAnsi="Times New Roman" w:cs="Times New Roman"/>
          <w:sz w:val="24"/>
          <w:szCs w:val="24"/>
        </w:rPr>
        <w:t xml:space="preserve"> </w:t>
      </w:r>
      <w:r w:rsidR="00975DA9">
        <w:rPr>
          <w:rFonts w:ascii="Times New Roman" w:hAnsi="Times New Roman" w:cs="Times New Roman"/>
          <w:sz w:val="24"/>
          <w:szCs w:val="24"/>
        </w:rPr>
        <w:t>ile</w:t>
      </w:r>
      <w:r w:rsidR="00207230">
        <w:rPr>
          <w:rFonts w:ascii="Times New Roman" w:hAnsi="Times New Roman" w:cs="Times New Roman"/>
          <w:sz w:val="24"/>
          <w:szCs w:val="24"/>
        </w:rPr>
        <w:t xml:space="preserve"> </w:t>
      </w:r>
      <w:r w:rsidR="00025347">
        <w:rPr>
          <w:rFonts w:ascii="Times New Roman" w:hAnsi="Times New Roman" w:cs="Times New Roman"/>
          <w:sz w:val="24"/>
          <w:szCs w:val="24"/>
        </w:rPr>
        <w:t>inşaat kredi paylarını artıran başlıca sektörlerdir</w:t>
      </w:r>
      <w:r w:rsidR="00207230">
        <w:rPr>
          <w:rFonts w:ascii="Times New Roman" w:hAnsi="Times New Roman" w:cs="Times New Roman"/>
          <w:sz w:val="24"/>
          <w:szCs w:val="24"/>
        </w:rPr>
        <w:t xml:space="preserve">. </w:t>
      </w:r>
      <w:r w:rsidR="00025347">
        <w:rPr>
          <w:rFonts w:ascii="Times New Roman" w:hAnsi="Times New Roman" w:cs="Times New Roman"/>
          <w:sz w:val="24"/>
          <w:szCs w:val="24"/>
        </w:rPr>
        <w:t xml:space="preserve">İnşaat sektörü toplamın üzerinde gerçekleşen reel kredi artışı yaşadığı 2004-2008 ve 2010-2015 dönemlerinde yine ekonominin genelinden çok daha fazla büyümüş ve istihdam yaratmıştır. Benzer şekilde elektrik, gaz, buhar, su ve kanalizasyon sektörü </w:t>
      </w:r>
      <w:r w:rsidR="00B5240F">
        <w:rPr>
          <w:rFonts w:ascii="Times New Roman" w:hAnsi="Times New Roman" w:cs="Times New Roman"/>
          <w:sz w:val="24"/>
          <w:szCs w:val="24"/>
        </w:rPr>
        <w:t xml:space="preserve">de </w:t>
      </w:r>
      <w:r w:rsidR="00025347">
        <w:rPr>
          <w:rFonts w:ascii="Times New Roman" w:hAnsi="Times New Roman" w:cs="Times New Roman"/>
          <w:sz w:val="24"/>
          <w:szCs w:val="24"/>
        </w:rPr>
        <w:t>2010-2015 ve 2016 sonrasındaki dönemde</w:t>
      </w:r>
      <w:r w:rsidR="00B5240F">
        <w:rPr>
          <w:rFonts w:ascii="Times New Roman" w:hAnsi="Times New Roman" w:cs="Times New Roman"/>
          <w:sz w:val="24"/>
          <w:szCs w:val="24"/>
        </w:rPr>
        <w:t xml:space="preserve"> ekonominin genelinden ayrışan bir yüksek kredi, yüksek büyüme ve istihdam artışı deneyimi yaşamıştır. Ancak toplamın üzerinde reel kredi artışı yaşayan her sektörün reel göstergelerinde bu şekilde bir ayrışma gözlenme</w:t>
      </w:r>
      <w:r w:rsidR="00E71853">
        <w:rPr>
          <w:rFonts w:ascii="Times New Roman" w:hAnsi="Times New Roman" w:cs="Times New Roman"/>
          <w:sz w:val="24"/>
          <w:szCs w:val="24"/>
        </w:rPr>
        <w:t>miştir. Ayrıca imalat sektörü</w:t>
      </w:r>
      <w:r w:rsidR="00B5240F">
        <w:rPr>
          <w:rFonts w:ascii="Times New Roman" w:hAnsi="Times New Roman" w:cs="Times New Roman"/>
          <w:sz w:val="24"/>
          <w:szCs w:val="24"/>
        </w:rPr>
        <w:t xml:space="preserve"> </w:t>
      </w:r>
      <w:r w:rsidR="00DF033F">
        <w:rPr>
          <w:rFonts w:ascii="Times New Roman" w:hAnsi="Times New Roman" w:cs="Times New Roman"/>
          <w:sz w:val="24"/>
          <w:szCs w:val="24"/>
        </w:rPr>
        <w:t>toplamın altında gerçekleşen</w:t>
      </w:r>
      <w:r w:rsidR="00B5240F">
        <w:rPr>
          <w:rFonts w:ascii="Times New Roman" w:hAnsi="Times New Roman" w:cs="Times New Roman"/>
          <w:sz w:val="24"/>
          <w:szCs w:val="24"/>
        </w:rPr>
        <w:t xml:space="preserve"> reel kredi artış</w:t>
      </w:r>
      <w:r w:rsidR="00DF033F">
        <w:rPr>
          <w:rFonts w:ascii="Times New Roman" w:hAnsi="Times New Roman" w:cs="Times New Roman"/>
          <w:sz w:val="24"/>
          <w:szCs w:val="24"/>
        </w:rPr>
        <w:t xml:space="preserve">larına rağmen yüksek büyüme performansı sergilemiştir. Son olarak sektör bazında kredilerin uzun dönemde üretimle ve istihdamla ilişkisi sorgulandığında sektörlerin neredeyse hiçbirinde reel kredi değişimi ile büyüme ve istihdam değişimi arasında kredilerin değiştiği dönemden sonra anlamlı bir korelasyon gözlenmemiştir. </w:t>
      </w:r>
      <w:r w:rsidR="00DF033F" w:rsidRPr="00B03142">
        <w:rPr>
          <w:rFonts w:ascii="Times New Roman" w:hAnsi="Times New Roman" w:cs="Times New Roman"/>
          <w:sz w:val="24"/>
          <w:szCs w:val="24"/>
        </w:rPr>
        <w:t xml:space="preserve">Anlamlı bulunan korelasyonlar ya </w:t>
      </w:r>
      <w:r w:rsidR="00DF033F">
        <w:rPr>
          <w:rFonts w:ascii="Times New Roman" w:hAnsi="Times New Roman" w:cs="Times New Roman"/>
          <w:sz w:val="24"/>
          <w:szCs w:val="24"/>
        </w:rPr>
        <w:t xml:space="preserve">bir veya iki </w:t>
      </w:r>
      <w:r w:rsidR="00DF033F" w:rsidRPr="00B03142">
        <w:rPr>
          <w:rFonts w:ascii="Times New Roman" w:hAnsi="Times New Roman" w:cs="Times New Roman"/>
          <w:sz w:val="24"/>
          <w:szCs w:val="24"/>
        </w:rPr>
        <w:t xml:space="preserve">önceki dönem ya da cari dönem </w:t>
      </w:r>
      <w:r w:rsidR="00E71853">
        <w:rPr>
          <w:rFonts w:ascii="Times New Roman" w:hAnsi="Times New Roman" w:cs="Times New Roman"/>
          <w:sz w:val="24"/>
          <w:szCs w:val="24"/>
        </w:rPr>
        <w:t xml:space="preserve">büyümesi ve </w:t>
      </w:r>
      <w:r w:rsidR="00DF033F" w:rsidRPr="00B03142">
        <w:rPr>
          <w:rFonts w:ascii="Times New Roman" w:hAnsi="Times New Roman" w:cs="Times New Roman"/>
          <w:sz w:val="24"/>
          <w:szCs w:val="24"/>
        </w:rPr>
        <w:t>istihdam değişimi</w:t>
      </w:r>
      <w:r w:rsidR="00E71853">
        <w:rPr>
          <w:rFonts w:ascii="Times New Roman" w:hAnsi="Times New Roman" w:cs="Times New Roman"/>
          <w:sz w:val="24"/>
          <w:szCs w:val="24"/>
        </w:rPr>
        <w:t xml:space="preserve">yle, </w:t>
      </w:r>
      <w:r w:rsidR="00DF033F" w:rsidRPr="00B03142">
        <w:rPr>
          <w:rFonts w:ascii="Times New Roman" w:hAnsi="Times New Roman" w:cs="Times New Roman"/>
          <w:bCs/>
          <w:sz w:val="24"/>
          <w:szCs w:val="24"/>
        </w:rPr>
        <w:t xml:space="preserve">yüksek olmayan seviyelerde ve az sayıda sektörde </w:t>
      </w:r>
      <w:r w:rsidR="00E71853">
        <w:rPr>
          <w:rFonts w:ascii="Times New Roman" w:hAnsi="Times New Roman" w:cs="Times New Roman"/>
          <w:bCs/>
          <w:sz w:val="24"/>
          <w:szCs w:val="24"/>
        </w:rPr>
        <w:t>mevcuttur</w:t>
      </w:r>
      <w:r w:rsidR="00DF033F" w:rsidRPr="00B03142">
        <w:rPr>
          <w:rFonts w:ascii="Times New Roman" w:hAnsi="Times New Roman" w:cs="Times New Roman"/>
          <w:bCs/>
          <w:sz w:val="24"/>
          <w:szCs w:val="24"/>
        </w:rPr>
        <w:t>.</w:t>
      </w:r>
    </w:p>
    <w:p w14:paraId="62C02A80" w14:textId="220265FC" w:rsidR="00E8023C" w:rsidRPr="00B03142" w:rsidRDefault="00C46C98" w:rsidP="008D0759">
      <w:pPr>
        <w:pStyle w:val="Heading1"/>
        <w:spacing w:after="240" w:line="276" w:lineRule="auto"/>
      </w:pPr>
      <w:r w:rsidRPr="00B03142">
        <w:t>Giriş</w:t>
      </w:r>
    </w:p>
    <w:p w14:paraId="31E1ED75" w14:textId="10368E88" w:rsidR="00292A2D" w:rsidRPr="00B03142" w:rsidRDefault="00764950" w:rsidP="00AA3ED8">
      <w:pPr>
        <w:spacing w:after="0" w:line="276" w:lineRule="auto"/>
        <w:ind w:firstLine="360"/>
        <w:jc w:val="both"/>
        <w:rPr>
          <w:rFonts w:ascii="Times New Roman" w:hAnsi="Times New Roman" w:cs="Times New Roman"/>
          <w:sz w:val="24"/>
          <w:szCs w:val="24"/>
        </w:rPr>
      </w:pPr>
      <w:r w:rsidRPr="00B03142">
        <w:rPr>
          <w:rFonts w:ascii="Times New Roman" w:hAnsi="Times New Roman" w:cs="Times New Roman"/>
          <w:sz w:val="24"/>
          <w:szCs w:val="24"/>
        </w:rPr>
        <w:t>Levine (2021) finans</w:t>
      </w:r>
      <w:r w:rsidR="00F75BB4" w:rsidRPr="00B03142">
        <w:rPr>
          <w:rFonts w:ascii="Times New Roman" w:hAnsi="Times New Roman" w:cs="Times New Roman"/>
          <w:sz w:val="24"/>
          <w:szCs w:val="24"/>
        </w:rPr>
        <w:t>-</w:t>
      </w:r>
      <w:r w:rsidRPr="00B03142">
        <w:rPr>
          <w:rFonts w:ascii="Times New Roman" w:hAnsi="Times New Roman" w:cs="Times New Roman"/>
          <w:sz w:val="24"/>
          <w:szCs w:val="24"/>
        </w:rPr>
        <w:t xml:space="preserve">büyüme </w:t>
      </w:r>
      <w:r w:rsidR="00E408DC" w:rsidRPr="00B03142">
        <w:rPr>
          <w:rFonts w:ascii="Times New Roman" w:hAnsi="Times New Roman" w:cs="Times New Roman"/>
          <w:sz w:val="24"/>
          <w:szCs w:val="24"/>
        </w:rPr>
        <w:t>yazınında</w:t>
      </w:r>
      <w:r w:rsidRPr="00B03142">
        <w:rPr>
          <w:rFonts w:ascii="Times New Roman" w:hAnsi="Times New Roman" w:cs="Times New Roman"/>
          <w:sz w:val="24"/>
          <w:szCs w:val="24"/>
        </w:rPr>
        <w:t xml:space="preserve"> yakın döneme kadar yapılan çalışmaların sonucunu iki ana maddede özetlemiştir: </w:t>
      </w:r>
      <w:r w:rsidR="00E408DC" w:rsidRPr="00B03142">
        <w:rPr>
          <w:rFonts w:ascii="Times New Roman" w:hAnsi="Times New Roman" w:cs="Times New Roman"/>
          <w:sz w:val="24"/>
          <w:szCs w:val="24"/>
        </w:rPr>
        <w:t xml:space="preserve">(i) </w:t>
      </w:r>
      <w:r w:rsidRPr="00B03142">
        <w:rPr>
          <w:rFonts w:ascii="Times New Roman" w:hAnsi="Times New Roman" w:cs="Times New Roman"/>
          <w:sz w:val="24"/>
          <w:szCs w:val="24"/>
        </w:rPr>
        <w:t xml:space="preserve">finansal gelişme </w:t>
      </w:r>
      <w:r w:rsidR="00E408DC" w:rsidRPr="00B03142">
        <w:rPr>
          <w:rFonts w:ascii="Times New Roman" w:hAnsi="Times New Roman" w:cs="Times New Roman"/>
          <w:sz w:val="24"/>
          <w:szCs w:val="24"/>
        </w:rPr>
        <w:t>büyümeyi canlandırır, (ii) büyümeye katkı sağlayan bir finansal sistem tasarruf oranını artıran değil kaynakların etkin dağılımını sağlayan bir sistemdir.</w:t>
      </w:r>
      <w:r w:rsidR="00F304A3" w:rsidRPr="00B03142">
        <w:rPr>
          <w:rFonts w:ascii="Times New Roman" w:hAnsi="Times New Roman" w:cs="Times New Roman"/>
          <w:sz w:val="24"/>
          <w:szCs w:val="24"/>
        </w:rPr>
        <w:t xml:space="preserve"> </w:t>
      </w:r>
      <w:r w:rsidR="009262CA" w:rsidRPr="00B03142">
        <w:rPr>
          <w:rFonts w:ascii="Times New Roman" w:hAnsi="Times New Roman" w:cs="Times New Roman"/>
          <w:sz w:val="24"/>
          <w:szCs w:val="24"/>
        </w:rPr>
        <w:t>Levine (2018, 2021) k</w:t>
      </w:r>
      <w:r w:rsidR="0037576F" w:rsidRPr="00B03142">
        <w:rPr>
          <w:rFonts w:ascii="Times New Roman" w:hAnsi="Times New Roman" w:cs="Times New Roman"/>
          <w:sz w:val="24"/>
          <w:szCs w:val="24"/>
        </w:rPr>
        <w:t>aynakların etkin dağılımını</w:t>
      </w:r>
      <w:r w:rsidR="009262CA" w:rsidRPr="00B03142">
        <w:rPr>
          <w:rFonts w:ascii="Times New Roman" w:hAnsi="Times New Roman" w:cs="Times New Roman"/>
          <w:sz w:val="24"/>
          <w:szCs w:val="24"/>
        </w:rPr>
        <w:t>,</w:t>
      </w:r>
      <w:r w:rsidR="0037576F" w:rsidRPr="00B03142">
        <w:rPr>
          <w:rFonts w:ascii="Times New Roman" w:hAnsi="Times New Roman" w:cs="Times New Roman"/>
          <w:sz w:val="24"/>
          <w:szCs w:val="24"/>
        </w:rPr>
        <w:t xml:space="preserve"> kredilerin fikri olan, verimliliği yüksek girişimcilere tahsis edilmesi olarak tanımlamaktadır. </w:t>
      </w:r>
      <w:r w:rsidR="00FA7D58" w:rsidRPr="00B03142">
        <w:rPr>
          <w:rFonts w:ascii="Times New Roman" w:hAnsi="Times New Roman" w:cs="Times New Roman"/>
          <w:sz w:val="24"/>
          <w:szCs w:val="24"/>
        </w:rPr>
        <w:t xml:space="preserve">Philippon (2016) </w:t>
      </w:r>
      <w:r w:rsidR="00FF595E" w:rsidRPr="00B03142">
        <w:rPr>
          <w:rFonts w:ascii="Times New Roman" w:hAnsi="Times New Roman" w:cs="Times New Roman"/>
          <w:sz w:val="24"/>
          <w:szCs w:val="24"/>
        </w:rPr>
        <w:t xml:space="preserve">da büyüme-finans ilişkisinde kredi kompozisyonunun rolüne vurgu yapmış ve </w:t>
      </w:r>
      <w:r w:rsidR="00FA7D58" w:rsidRPr="00B03142">
        <w:rPr>
          <w:rFonts w:ascii="Times New Roman" w:hAnsi="Times New Roman" w:cs="Times New Roman"/>
          <w:sz w:val="24"/>
          <w:szCs w:val="24"/>
        </w:rPr>
        <w:t xml:space="preserve">finansal derinliği yüksek ülkelerde toplam kredilerdeki artışın büyüme getirmemesini ilgili artışta hanehalkı kredilerinin payının şirket kredilerinden yüksek olmasıyla ilişkilendirmiştir. </w:t>
      </w:r>
      <w:r w:rsidR="00B341C7" w:rsidRPr="00B03142">
        <w:rPr>
          <w:rFonts w:ascii="Times New Roman" w:hAnsi="Times New Roman" w:cs="Times New Roman"/>
          <w:sz w:val="24"/>
          <w:szCs w:val="24"/>
        </w:rPr>
        <w:t xml:space="preserve">Beck </w:t>
      </w:r>
      <w:r w:rsidR="007C087F" w:rsidRPr="00B03142">
        <w:rPr>
          <w:rFonts w:ascii="Times New Roman" w:hAnsi="Times New Roman" w:cs="Times New Roman"/>
          <w:sz w:val="24"/>
          <w:szCs w:val="24"/>
        </w:rPr>
        <w:t>vd.</w:t>
      </w:r>
      <w:r w:rsidR="00B341C7" w:rsidRPr="00B03142">
        <w:rPr>
          <w:rFonts w:ascii="Times New Roman" w:hAnsi="Times New Roman" w:cs="Times New Roman"/>
          <w:sz w:val="24"/>
          <w:szCs w:val="24"/>
        </w:rPr>
        <w:t xml:space="preserve"> (2012)</w:t>
      </w:r>
      <w:r w:rsidR="00586BF5" w:rsidRPr="00B03142">
        <w:rPr>
          <w:rFonts w:ascii="Times New Roman" w:hAnsi="Times New Roman" w:cs="Times New Roman"/>
          <w:sz w:val="24"/>
          <w:szCs w:val="24"/>
        </w:rPr>
        <w:t>,</w:t>
      </w:r>
      <w:r w:rsidR="00B341C7" w:rsidRPr="00B03142">
        <w:rPr>
          <w:rFonts w:ascii="Times New Roman" w:hAnsi="Times New Roman" w:cs="Times New Roman"/>
          <w:sz w:val="24"/>
          <w:szCs w:val="24"/>
        </w:rPr>
        <w:t xml:space="preserve"> </w:t>
      </w:r>
      <w:r w:rsidR="00132A25" w:rsidRPr="00B03142">
        <w:rPr>
          <w:rFonts w:ascii="Times New Roman" w:hAnsi="Times New Roman" w:cs="Times New Roman"/>
          <w:sz w:val="24"/>
          <w:szCs w:val="24"/>
        </w:rPr>
        <w:t>45 gelişmiş ve gelişmekte olan ülke veri</w:t>
      </w:r>
      <w:r w:rsidR="00586BF5" w:rsidRPr="00B03142">
        <w:rPr>
          <w:rFonts w:ascii="Times New Roman" w:hAnsi="Times New Roman" w:cs="Times New Roman"/>
          <w:sz w:val="24"/>
          <w:szCs w:val="24"/>
        </w:rPr>
        <w:t>siyle</w:t>
      </w:r>
      <w:r w:rsidR="00132A25" w:rsidRPr="00B03142">
        <w:rPr>
          <w:rFonts w:ascii="Times New Roman" w:hAnsi="Times New Roman" w:cs="Times New Roman"/>
          <w:sz w:val="24"/>
          <w:szCs w:val="24"/>
        </w:rPr>
        <w:t xml:space="preserve"> yaptıkları çalışmada şirket kredilerinin büyümeyi artırıcı, gelir </w:t>
      </w:r>
      <w:r w:rsidR="00132A25" w:rsidRPr="00B03142">
        <w:rPr>
          <w:rFonts w:ascii="Times New Roman" w:hAnsi="Times New Roman" w:cs="Times New Roman"/>
          <w:sz w:val="24"/>
          <w:szCs w:val="24"/>
        </w:rPr>
        <w:lastRenderedPageBreak/>
        <w:t>eşitsizliğini azaltıcı etkiye sahipken</w:t>
      </w:r>
      <w:r w:rsidR="00E42A86" w:rsidRPr="00B03142">
        <w:rPr>
          <w:rFonts w:ascii="Times New Roman" w:hAnsi="Times New Roman" w:cs="Times New Roman"/>
          <w:sz w:val="24"/>
          <w:szCs w:val="24"/>
        </w:rPr>
        <w:t>,</w:t>
      </w:r>
      <w:r w:rsidR="00132A25" w:rsidRPr="00B03142">
        <w:rPr>
          <w:rFonts w:ascii="Times New Roman" w:hAnsi="Times New Roman" w:cs="Times New Roman"/>
          <w:sz w:val="24"/>
          <w:szCs w:val="24"/>
        </w:rPr>
        <w:t xml:space="preserve"> hanehalkı kredilerinin </w:t>
      </w:r>
      <w:r w:rsidR="002F5D72" w:rsidRPr="00B03142">
        <w:rPr>
          <w:rFonts w:ascii="Times New Roman" w:hAnsi="Times New Roman" w:cs="Times New Roman"/>
          <w:sz w:val="24"/>
          <w:szCs w:val="24"/>
        </w:rPr>
        <w:t>bu büyüklüklere etkisi olmadığını göstermiştir.</w:t>
      </w:r>
      <w:r w:rsidR="00476466" w:rsidRPr="00B03142">
        <w:rPr>
          <w:rFonts w:ascii="Times New Roman" w:hAnsi="Times New Roman" w:cs="Times New Roman"/>
          <w:sz w:val="24"/>
          <w:szCs w:val="24"/>
        </w:rPr>
        <w:t xml:space="preserve"> </w:t>
      </w:r>
      <w:r w:rsidR="00971964" w:rsidRPr="00B03142">
        <w:rPr>
          <w:rStyle w:val="CommentReference"/>
          <w:rFonts w:ascii="Times New Roman" w:hAnsi="Times New Roman" w:cs="Times New Roman"/>
          <w:sz w:val="24"/>
          <w:szCs w:val="24"/>
        </w:rPr>
        <w:t>B</w:t>
      </w:r>
      <w:r w:rsidR="00FD1FE4" w:rsidRPr="00B03142">
        <w:rPr>
          <w:rFonts w:ascii="Times New Roman" w:hAnsi="Times New Roman" w:cs="Times New Roman"/>
          <w:sz w:val="24"/>
          <w:szCs w:val="24"/>
        </w:rPr>
        <w:t>ahadır ve Gümüş (2016)</w:t>
      </w:r>
      <w:r w:rsidR="00292A2D" w:rsidRPr="00B03142">
        <w:rPr>
          <w:rFonts w:ascii="Times New Roman" w:hAnsi="Times New Roman" w:cs="Times New Roman"/>
          <w:sz w:val="24"/>
          <w:szCs w:val="24"/>
        </w:rPr>
        <w:t xml:space="preserve"> </w:t>
      </w:r>
      <w:r w:rsidR="0048501B" w:rsidRPr="00B03142">
        <w:rPr>
          <w:rFonts w:ascii="Times New Roman" w:hAnsi="Times New Roman" w:cs="Times New Roman"/>
          <w:sz w:val="24"/>
          <w:szCs w:val="24"/>
        </w:rPr>
        <w:t xml:space="preserve">ise </w:t>
      </w:r>
      <w:r w:rsidR="00292A2D" w:rsidRPr="00B03142">
        <w:rPr>
          <w:rFonts w:ascii="Times New Roman" w:hAnsi="Times New Roman" w:cs="Times New Roman"/>
          <w:sz w:val="24"/>
          <w:szCs w:val="24"/>
        </w:rPr>
        <w:t xml:space="preserve">gelişmekte olan ülke ekonomileri için </w:t>
      </w:r>
      <w:r w:rsidR="0048501B" w:rsidRPr="00B03142">
        <w:rPr>
          <w:rFonts w:ascii="Times New Roman" w:hAnsi="Times New Roman" w:cs="Times New Roman"/>
          <w:sz w:val="24"/>
          <w:szCs w:val="24"/>
        </w:rPr>
        <w:t xml:space="preserve">yaptıkları analizde hanehalkı ve firma kredileri ayrımına ek olarak </w:t>
      </w:r>
      <w:r w:rsidR="00292A2D" w:rsidRPr="00B03142">
        <w:rPr>
          <w:rFonts w:ascii="Times New Roman" w:hAnsi="Times New Roman" w:cs="Times New Roman"/>
          <w:sz w:val="24"/>
          <w:szCs w:val="24"/>
        </w:rPr>
        <w:t xml:space="preserve">firma kredilerini </w:t>
      </w:r>
      <w:r w:rsidR="006B3605" w:rsidRPr="00B03142">
        <w:rPr>
          <w:rFonts w:ascii="Times New Roman" w:hAnsi="Times New Roman" w:cs="Times New Roman"/>
          <w:sz w:val="24"/>
          <w:szCs w:val="24"/>
        </w:rPr>
        <w:t xml:space="preserve">de </w:t>
      </w:r>
      <w:r w:rsidR="00292A2D" w:rsidRPr="00B03142">
        <w:rPr>
          <w:rFonts w:ascii="Times New Roman" w:hAnsi="Times New Roman" w:cs="Times New Roman"/>
          <w:sz w:val="24"/>
          <w:szCs w:val="24"/>
        </w:rPr>
        <w:t xml:space="preserve">ticarete konu olan ve olmayan firma kredileri olarak da </w:t>
      </w:r>
      <w:r w:rsidR="009C0BB2" w:rsidRPr="00B03142">
        <w:rPr>
          <w:rFonts w:ascii="Times New Roman" w:hAnsi="Times New Roman" w:cs="Times New Roman"/>
          <w:sz w:val="24"/>
          <w:szCs w:val="24"/>
        </w:rPr>
        <w:t>ayrıştırmış</w:t>
      </w:r>
      <w:r w:rsidR="00292A2D" w:rsidRPr="00B03142">
        <w:rPr>
          <w:rFonts w:ascii="Times New Roman" w:hAnsi="Times New Roman" w:cs="Times New Roman"/>
          <w:sz w:val="24"/>
          <w:szCs w:val="24"/>
        </w:rPr>
        <w:t xml:space="preserve"> ve</w:t>
      </w:r>
      <w:r w:rsidR="00FD1FE4" w:rsidRPr="00B03142">
        <w:rPr>
          <w:rFonts w:ascii="Times New Roman" w:hAnsi="Times New Roman" w:cs="Times New Roman"/>
          <w:sz w:val="24"/>
          <w:szCs w:val="24"/>
        </w:rPr>
        <w:t xml:space="preserve"> </w:t>
      </w:r>
      <w:r w:rsidR="00292A2D" w:rsidRPr="00B03142">
        <w:rPr>
          <w:rFonts w:ascii="Times New Roman" w:hAnsi="Times New Roman" w:cs="Times New Roman"/>
          <w:sz w:val="24"/>
          <w:szCs w:val="24"/>
        </w:rPr>
        <w:t xml:space="preserve">tüm bu kredi gruplarının ve bu kredi grupları aracılığıyla ekonomiye gelen şokların farklı iş döngüleri yarattığını </w:t>
      </w:r>
      <w:r w:rsidR="0048501B" w:rsidRPr="00B03142">
        <w:rPr>
          <w:rFonts w:ascii="Times New Roman" w:hAnsi="Times New Roman" w:cs="Times New Roman"/>
          <w:sz w:val="24"/>
          <w:szCs w:val="24"/>
        </w:rPr>
        <w:t>göstererek</w:t>
      </w:r>
      <w:r w:rsidR="00292A2D" w:rsidRPr="00B03142">
        <w:rPr>
          <w:rFonts w:ascii="Times New Roman" w:hAnsi="Times New Roman" w:cs="Times New Roman"/>
          <w:sz w:val="24"/>
          <w:szCs w:val="24"/>
        </w:rPr>
        <w:t xml:space="preserve"> kredi kompozisyonun iş döngüleri açısından da önemini vurgulamışlardır.</w:t>
      </w:r>
    </w:p>
    <w:p w14:paraId="0AE913D1" w14:textId="399481B5" w:rsidR="00E42A86" w:rsidRPr="00B03142" w:rsidRDefault="002D754A" w:rsidP="00AA3ED8">
      <w:pPr>
        <w:spacing w:after="0" w:line="276" w:lineRule="auto"/>
        <w:ind w:firstLine="360"/>
        <w:jc w:val="both"/>
        <w:rPr>
          <w:rFonts w:ascii="Times New Roman" w:hAnsi="Times New Roman" w:cs="Times New Roman"/>
          <w:sz w:val="24"/>
          <w:szCs w:val="24"/>
        </w:rPr>
      </w:pPr>
      <w:r w:rsidRPr="00B03142">
        <w:rPr>
          <w:rFonts w:ascii="Times New Roman" w:hAnsi="Times New Roman" w:cs="Times New Roman"/>
          <w:sz w:val="24"/>
          <w:szCs w:val="24"/>
        </w:rPr>
        <w:t>B</w:t>
      </w:r>
      <w:r w:rsidR="006B3605" w:rsidRPr="00B03142">
        <w:rPr>
          <w:rFonts w:ascii="Times New Roman" w:hAnsi="Times New Roman" w:cs="Times New Roman"/>
          <w:sz w:val="24"/>
          <w:szCs w:val="24"/>
        </w:rPr>
        <w:t>üyüme ve iş döngülerine etkilerinin yanında</w:t>
      </w:r>
      <w:r w:rsidRPr="00B03142">
        <w:rPr>
          <w:rFonts w:ascii="Times New Roman" w:hAnsi="Times New Roman" w:cs="Times New Roman"/>
          <w:sz w:val="24"/>
          <w:szCs w:val="24"/>
        </w:rPr>
        <w:t xml:space="preserve"> kredi kompozisyonu</w:t>
      </w:r>
      <w:r w:rsidR="006B3605" w:rsidRPr="00B03142">
        <w:rPr>
          <w:rFonts w:ascii="Times New Roman" w:hAnsi="Times New Roman" w:cs="Times New Roman"/>
          <w:sz w:val="24"/>
          <w:szCs w:val="24"/>
        </w:rPr>
        <w:t xml:space="preserve"> </w:t>
      </w:r>
      <w:r w:rsidR="008F3F99" w:rsidRPr="00B03142">
        <w:rPr>
          <w:rFonts w:ascii="Times New Roman" w:hAnsi="Times New Roman" w:cs="Times New Roman"/>
          <w:sz w:val="24"/>
          <w:szCs w:val="24"/>
        </w:rPr>
        <w:t>finansal istikrarın sağlanması ve korunması için de</w:t>
      </w:r>
      <w:r w:rsidR="00E022FB" w:rsidRPr="00B03142">
        <w:rPr>
          <w:rFonts w:ascii="Times New Roman" w:hAnsi="Times New Roman" w:cs="Times New Roman"/>
          <w:sz w:val="24"/>
          <w:szCs w:val="24"/>
        </w:rPr>
        <w:t xml:space="preserve"> büyük öneme sahiptir. </w:t>
      </w:r>
      <w:r w:rsidR="00152AA3" w:rsidRPr="00B03142">
        <w:rPr>
          <w:rFonts w:ascii="Times New Roman" w:hAnsi="Times New Roman" w:cs="Times New Roman"/>
          <w:sz w:val="24"/>
          <w:szCs w:val="24"/>
        </w:rPr>
        <w:t xml:space="preserve">Kredi genişlemeleri dönemlerinde hanehalkı ve firmaların emlakla ilgili borçluluğunun artması, inşaat </w:t>
      </w:r>
      <w:r w:rsidR="00DE7D50" w:rsidRPr="00B03142">
        <w:rPr>
          <w:rFonts w:ascii="Times New Roman" w:hAnsi="Times New Roman" w:cs="Times New Roman"/>
          <w:sz w:val="24"/>
          <w:szCs w:val="24"/>
        </w:rPr>
        <w:t xml:space="preserve">sektörü </w:t>
      </w:r>
      <w:r w:rsidR="00152AA3" w:rsidRPr="00B03142">
        <w:rPr>
          <w:rFonts w:ascii="Times New Roman" w:hAnsi="Times New Roman" w:cs="Times New Roman"/>
          <w:sz w:val="24"/>
          <w:szCs w:val="24"/>
        </w:rPr>
        <w:t xml:space="preserve">ve ticarete konu olmayan sektörlerin borçluluğunun artması ve bu dönemlerde bu sektörlerdeki </w:t>
      </w:r>
      <w:r w:rsidR="00EA42F2" w:rsidRPr="00B03142">
        <w:rPr>
          <w:rFonts w:ascii="Times New Roman" w:hAnsi="Times New Roman" w:cs="Times New Roman"/>
          <w:sz w:val="24"/>
          <w:szCs w:val="24"/>
        </w:rPr>
        <w:t xml:space="preserve">reel </w:t>
      </w:r>
      <w:r w:rsidR="00152AA3" w:rsidRPr="00B03142">
        <w:rPr>
          <w:rFonts w:ascii="Times New Roman" w:hAnsi="Times New Roman" w:cs="Times New Roman"/>
          <w:sz w:val="24"/>
          <w:szCs w:val="24"/>
        </w:rPr>
        <w:t>genişlemenin krize öncülük ettiği son dönem çalışmalarda vurgulanmaktadır.</w:t>
      </w:r>
      <w:r w:rsidR="00C90862" w:rsidRPr="00B03142">
        <w:rPr>
          <w:rStyle w:val="FootnoteReference"/>
          <w:rFonts w:ascii="Times New Roman" w:hAnsi="Times New Roman" w:cs="Times New Roman"/>
          <w:sz w:val="24"/>
          <w:szCs w:val="24"/>
        </w:rPr>
        <w:footnoteReference w:id="3"/>
      </w:r>
      <w:r w:rsidR="00C90862" w:rsidRPr="00B03142">
        <w:rPr>
          <w:rFonts w:ascii="Times New Roman" w:hAnsi="Times New Roman" w:cs="Times New Roman"/>
          <w:sz w:val="24"/>
          <w:szCs w:val="24"/>
        </w:rPr>
        <w:t xml:space="preserve"> K</w:t>
      </w:r>
      <w:r w:rsidR="00E42A86" w:rsidRPr="00B03142">
        <w:rPr>
          <w:rFonts w:ascii="Times New Roman" w:hAnsi="Times New Roman" w:cs="Times New Roman"/>
          <w:sz w:val="24"/>
          <w:szCs w:val="24"/>
        </w:rPr>
        <w:t xml:space="preserve">redi genişlemelerinin uzun dönemli kredi </w:t>
      </w:r>
      <w:r w:rsidR="00E42A86" w:rsidRPr="00937ED6">
        <w:rPr>
          <w:rFonts w:ascii="Times New Roman" w:hAnsi="Times New Roman" w:cs="Times New Roman"/>
          <w:sz w:val="24"/>
          <w:szCs w:val="24"/>
        </w:rPr>
        <w:t>eğilimi</w:t>
      </w:r>
      <w:r w:rsidR="004C538D" w:rsidRPr="00937ED6">
        <w:rPr>
          <w:rFonts w:ascii="Times New Roman" w:hAnsi="Times New Roman" w:cs="Times New Roman"/>
          <w:sz w:val="24"/>
          <w:szCs w:val="24"/>
        </w:rPr>
        <w:t>nin</w:t>
      </w:r>
      <w:r w:rsidR="00E42A86" w:rsidRPr="00937ED6">
        <w:rPr>
          <w:rFonts w:ascii="Times New Roman" w:hAnsi="Times New Roman" w:cs="Times New Roman"/>
          <w:sz w:val="24"/>
          <w:szCs w:val="24"/>
        </w:rPr>
        <w:t xml:space="preserve"> çok üzerinde seyrettiği</w:t>
      </w:r>
      <w:r w:rsidR="00C94A8A" w:rsidRPr="00937ED6">
        <w:rPr>
          <w:rFonts w:ascii="Times New Roman" w:hAnsi="Times New Roman" w:cs="Times New Roman"/>
          <w:sz w:val="24"/>
          <w:szCs w:val="24"/>
        </w:rPr>
        <w:t xml:space="preserve"> </w:t>
      </w:r>
      <w:r w:rsidR="00E86865" w:rsidRPr="00937ED6">
        <w:rPr>
          <w:rFonts w:ascii="Times New Roman" w:hAnsi="Times New Roman" w:cs="Times New Roman"/>
          <w:i/>
          <w:iCs/>
          <w:sz w:val="24"/>
          <w:szCs w:val="24"/>
        </w:rPr>
        <w:t xml:space="preserve">“kredi patlama” </w:t>
      </w:r>
      <w:r w:rsidR="00E86865" w:rsidRPr="00937ED6">
        <w:rPr>
          <w:rFonts w:ascii="Times New Roman" w:hAnsi="Times New Roman" w:cs="Times New Roman"/>
          <w:sz w:val="24"/>
          <w:szCs w:val="24"/>
        </w:rPr>
        <w:t xml:space="preserve">dönemleri </w:t>
      </w:r>
      <w:r w:rsidR="00C94A8A" w:rsidRPr="00937ED6">
        <w:rPr>
          <w:rFonts w:ascii="Times New Roman" w:hAnsi="Times New Roman" w:cs="Times New Roman"/>
          <w:sz w:val="24"/>
          <w:szCs w:val="24"/>
        </w:rPr>
        <w:t>kimi zaman</w:t>
      </w:r>
      <w:r w:rsidR="00E42A86" w:rsidRPr="00937ED6">
        <w:rPr>
          <w:rFonts w:ascii="Times New Roman" w:hAnsi="Times New Roman" w:cs="Times New Roman"/>
          <w:sz w:val="24"/>
          <w:szCs w:val="24"/>
        </w:rPr>
        <w:t xml:space="preserve"> finansal krizle sonuçlanırken </w:t>
      </w:r>
      <w:r w:rsidR="00E86865" w:rsidRPr="00937ED6">
        <w:rPr>
          <w:rFonts w:ascii="Times New Roman" w:hAnsi="Times New Roman" w:cs="Times New Roman"/>
          <w:sz w:val="24"/>
          <w:szCs w:val="24"/>
        </w:rPr>
        <w:t>kimi zaman</w:t>
      </w:r>
      <w:r w:rsidR="00E42A86" w:rsidRPr="00937ED6">
        <w:rPr>
          <w:rFonts w:ascii="Times New Roman" w:hAnsi="Times New Roman" w:cs="Times New Roman"/>
          <w:sz w:val="24"/>
          <w:szCs w:val="24"/>
        </w:rPr>
        <w:t xml:space="preserve"> kriz yaşanm</w:t>
      </w:r>
      <w:r w:rsidR="00D92E5D" w:rsidRPr="00937ED6">
        <w:rPr>
          <w:rFonts w:ascii="Times New Roman" w:hAnsi="Times New Roman" w:cs="Times New Roman"/>
          <w:sz w:val="24"/>
          <w:szCs w:val="24"/>
        </w:rPr>
        <w:t>adığı gözle</w:t>
      </w:r>
      <w:r w:rsidR="00974CBF" w:rsidRPr="00937ED6">
        <w:rPr>
          <w:rFonts w:ascii="Times New Roman" w:hAnsi="Times New Roman" w:cs="Times New Roman"/>
          <w:sz w:val="24"/>
          <w:szCs w:val="24"/>
        </w:rPr>
        <w:t>nmektedir</w:t>
      </w:r>
      <w:r w:rsidR="004C538D" w:rsidRPr="00937ED6">
        <w:rPr>
          <w:rFonts w:ascii="Times New Roman" w:hAnsi="Times New Roman" w:cs="Times New Roman"/>
          <w:sz w:val="24"/>
          <w:szCs w:val="24"/>
        </w:rPr>
        <w:t xml:space="preserve"> </w:t>
      </w:r>
      <w:r w:rsidR="00E42A86" w:rsidRPr="00937ED6">
        <w:rPr>
          <w:rFonts w:ascii="Times New Roman" w:hAnsi="Times New Roman" w:cs="Times New Roman"/>
          <w:sz w:val="24"/>
          <w:szCs w:val="24"/>
        </w:rPr>
        <w:t>(</w:t>
      </w:r>
      <w:r w:rsidR="00893A89" w:rsidRPr="00937ED6">
        <w:rPr>
          <w:rFonts w:ascii="Times New Roman" w:hAnsi="Times New Roman" w:cs="Times New Roman"/>
          <w:sz w:val="24"/>
          <w:szCs w:val="24"/>
        </w:rPr>
        <w:t xml:space="preserve">Dell’Ariccia </w:t>
      </w:r>
      <w:r w:rsidR="007C087F" w:rsidRPr="00937ED6">
        <w:rPr>
          <w:rFonts w:ascii="Times New Roman" w:hAnsi="Times New Roman" w:cs="Times New Roman"/>
          <w:sz w:val="24"/>
          <w:szCs w:val="24"/>
        </w:rPr>
        <w:t>vd.</w:t>
      </w:r>
      <w:r w:rsidR="004C538D" w:rsidRPr="00937ED6">
        <w:rPr>
          <w:rFonts w:ascii="Times New Roman" w:hAnsi="Times New Roman" w:cs="Times New Roman"/>
          <w:sz w:val="24"/>
          <w:szCs w:val="24"/>
        </w:rPr>
        <w:t xml:space="preserve">, </w:t>
      </w:r>
      <w:r w:rsidR="00B841C8" w:rsidRPr="00937ED6">
        <w:rPr>
          <w:rFonts w:ascii="Times New Roman" w:hAnsi="Times New Roman" w:cs="Times New Roman"/>
          <w:sz w:val="24"/>
          <w:szCs w:val="24"/>
        </w:rPr>
        <w:t>2020</w:t>
      </w:r>
      <w:r w:rsidR="00FF595E" w:rsidRPr="00937ED6">
        <w:rPr>
          <w:rFonts w:ascii="Times New Roman" w:hAnsi="Times New Roman" w:cs="Times New Roman"/>
          <w:sz w:val="24"/>
          <w:szCs w:val="24"/>
        </w:rPr>
        <w:t>;</w:t>
      </w:r>
      <w:r w:rsidR="00893A89" w:rsidRPr="00937ED6">
        <w:rPr>
          <w:rFonts w:ascii="Times New Roman" w:hAnsi="Times New Roman" w:cs="Times New Roman"/>
          <w:sz w:val="24"/>
          <w:szCs w:val="24"/>
        </w:rPr>
        <w:t xml:space="preserve"> </w:t>
      </w:r>
      <w:r w:rsidR="00E42A86" w:rsidRPr="00937ED6">
        <w:rPr>
          <w:rFonts w:ascii="Times New Roman" w:hAnsi="Times New Roman" w:cs="Times New Roman"/>
          <w:sz w:val="24"/>
          <w:szCs w:val="24"/>
        </w:rPr>
        <w:t>Gorton</w:t>
      </w:r>
      <w:r w:rsidR="004C538D" w:rsidRPr="00937ED6">
        <w:rPr>
          <w:rFonts w:ascii="Times New Roman" w:hAnsi="Times New Roman" w:cs="Times New Roman"/>
          <w:sz w:val="24"/>
          <w:szCs w:val="24"/>
        </w:rPr>
        <w:t xml:space="preserve"> ve</w:t>
      </w:r>
      <w:r w:rsidR="00E42A86" w:rsidRPr="00937ED6">
        <w:rPr>
          <w:rFonts w:ascii="Times New Roman" w:hAnsi="Times New Roman" w:cs="Times New Roman"/>
          <w:sz w:val="24"/>
          <w:szCs w:val="24"/>
        </w:rPr>
        <w:t xml:space="preserve"> Ordonez</w:t>
      </w:r>
      <w:r w:rsidR="004C538D" w:rsidRPr="00937ED6">
        <w:rPr>
          <w:rFonts w:ascii="Times New Roman" w:hAnsi="Times New Roman" w:cs="Times New Roman"/>
          <w:sz w:val="24"/>
          <w:szCs w:val="24"/>
        </w:rPr>
        <w:t xml:space="preserve">, </w:t>
      </w:r>
      <w:r w:rsidR="00893A89" w:rsidRPr="00937ED6">
        <w:rPr>
          <w:rFonts w:ascii="Times New Roman" w:hAnsi="Times New Roman" w:cs="Times New Roman"/>
          <w:sz w:val="24"/>
          <w:szCs w:val="24"/>
        </w:rPr>
        <w:t>2020)</w:t>
      </w:r>
      <w:r w:rsidR="004C538D" w:rsidRPr="00937ED6">
        <w:rPr>
          <w:rFonts w:ascii="Times New Roman" w:hAnsi="Times New Roman" w:cs="Times New Roman"/>
          <w:sz w:val="24"/>
          <w:szCs w:val="24"/>
        </w:rPr>
        <w:t xml:space="preserve">. Dell’Ariccia </w:t>
      </w:r>
      <w:r w:rsidR="007C087F" w:rsidRPr="00937ED6">
        <w:rPr>
          <w:rFonts w:ascii="Times New Roman" w:hAnsi="Times New Roman" w:cs="Times New Roman"/>
          <w:sz w:val="24"/>
          <w:szCs w:val="24"/>
        </w:rPr>
        <w:t>vd.</w:t>
      </w:r>
      <w:r w:rsidR="004C538D" w:rsidRPr="00937ED6">
        <w:rPr>
          <w:rFonts w:ascii="Times New Roman" w:hAnsi="Times New Roman" w:cs="Times New Roman"/>
          <w:sz w:val="24"/>
          <w:szCs w:val="24"/>
        </w:rPr>
        <w:t xml:space="preserve"> (</w:t>
      </w:r>
      <w:r w:rsidR="00C94A8A" w:rsidRPr="00937ED6">
        <w:rPr>
          <w:rFonts w:ascii="Times New Roman" w:hAnsi="Times New Roman" w:cs="Times New Roman"/>
          <w:sz w:val="24"/>
          <w:szCs w:val="24"/>
        </w:rPr>
        <w:t>20</w:t>
      </w:r>
      <w:r w:rsidR="00B841C8" w:rsidRPr="00937ED6">
        <w:rPr>
          <w:rFonts w:ascii="Times New Roman" w:hAnsi="Times New Roman" w:cs="Times New Roman"/>
          <w:sz w:val="24"/>
          <w:szCs w:val="24"/>
        </w:rPr>
        <w:t>20</w:t>
      </w:r>
      <w:r w:rsidR="004C538D" w:rsidRPr="00937ED6">
        <w:rPr>
          <w:rFonts w:ascii="Times New Roman" w:hAnsi="Times New Roman" w:cs="Times New Roman"/>
          <w:sz w:val="24"/>
          <w:szCs w:val="24"/>
        </w:rPr>
        <w:t>)</w:t>
      </w:r>
      <w:r w:rsidR="00C94A8A" w:rsidRPr="00937ED6">
        <w:rPr>
          <w:rFonts w:ascii="Times New Roman" w:hAnsi="Times New Roman" w:cs="Times New Roman"/>
          <w:sz w:val="24"/>
          <w:szCs w:val="24"/>
        </w:rPr>
        <w:t xml:space="preserve">, krizle sonuçlanan </w:t>
      </w:r>
      <w:r w:rsidR="00E86865" w:rsidRPr="00937ED6">
        <w:rPr>
          <w:rFonts w:ascii="Times New Roman" w:hAnsi="Times New Roman" w:cs="Times New Roman"/>
          <w:i/>
          <w:iCs/>
          <w:sz w:val="24"/>
          <w:szCs w:val="24"/>
        </w:rPr>
        <w:t xml:space="preserve">“kredi patlama” </w:t>
      </w:r>
      <w:r w:rsidR="00E86865" w:rsidRPr="00937ED6">
        <w:rPr>
          <w:rFonts w:ascii="Times New Roman" w:hAnsi="Times New Roman" w:cs="Times New Roman"/>
          <w:sz w:val="24"/>
          <w:szCs w:val="24"/>
        </w:rPr>
        <w:t xml:space="preserve">dönemlerini krize neden olmayan </w:t>
      </w:r>
      <w:r w:rsidR="00E86865" w:rsidRPr="00937ED6">
        <w:rPr>
          <w:rFonts w:ascii="Times New Roman" w:hAnsi="Times New Roman" w:cs="Times New Roman"/>
          <w:i/>
          <w:iCs/>
          <w:sz w:val="24"/>
          <w:szCs w:val="24"/>
        </w:rPr>
        <w:t xml:space="preserve">“kredi patlama” </w:t>
      </w:r>
      <w:r w:rsidR="00E86865" w:rsidRPr="00937ED6">
        <w:rPr>
          <w:rFonts w:ascii="Times New Roman" w:hAnsi="Times New Roman" w:cs="Times New Roman"/>
          <w:sz w:val="24"/>
          <w:szCs w:val="24"/>
        </w:rPr>
        <w:t>dönemlerinden ayrıştırmak için</w:t>
      </w:r>
      <w:r w:rsidR="00DE7D50" w:rsidRPr="00937ED6">
        <w:rPr>
          <w:rFonts w:ascii="Times New Roman" w:hAnsi="Times New Roman" w:cs="Times New Roman"/>
          <w:sz w:val="24"/>
          <w:szCs w:val="24"/>
        </w:rPr>
        <w:t>,</w:t>
      </w:r>
      <w:r w:rsidR="00E05403" w:rsidRPr="00937ED6">
        <w:rPr>
          <w:rFonts w:ascii="Times New Roman" w:hAnsi="Times New Roman" w:cs="Times New Roman"/>
          <w:sz w:val="24"/>
          <w:szCs w:val="24"/>
        </w:rPr>
        <w:t xml:space="preserve"> </w:t>
      </w:r>
      <w:r w:rsidR="0041621B" w:rsidRPr="00937ED6">
        <w:rPr>
          <w:rFonts w:ascii="Times New Roman" w:hAnsi="Times New Roman" w:cs="Times New Roman"/>
          <w:sz w:val="24"/>
          <w:szCs w:val="24"/>
        </w:rPr>
        <w:t xml:space="preserve">söz konusu dönemlerde </w:t>
      </w:r>
      <w:r w:rsidR="00E05403" w:rsidRPr="00937ED6">
        <w:rPr>
          <w:rFonts w:ascii="Times New Roman" w:hAnsi="Times New Roman" w:cs="Times New Roman"/>
          <w:sz w:val="24"/>
          <w:szCs w:val="24"/>
        </w:rPr>
        <w:t xml:space="preserve">sektörlerin </w:t>
      </w:r>
      <w:r w:rsidR="00B00BE4" w:rsidRPr="00937ED6">
        <w:rPr>
          <w:rFonts w:ascii="Times New Roman" w:hAnsi="Times New Roman" w:cs="Times New Roman"/>
          <w:sz w:val="24"/>
          <w:szCs w:val="24"/>
        </w:rPr>
        <w:t>üretim</w:t>
      </w:r>
      <w:r w:rsidR="00E05403" w:rsidRPr="00937ED6">
        <w:rPr>
          <w:rFonts w:ascii="Times New Roman" w:hAnsi="Times New Roman" w:cs="Times New Roman"/>
          <w:sz w:val="24"/>
          <w:szCs w:val="24"/>
        </w:rPr>
        <w:t xml:space="preserve"> (katma değer) ve istihdam değişimlerini gelişmiş ve gelişmekte olan ekonomileri kapsayan geniş bir örneklemde incelemişlerdir. Buna göre </w:t>
      </w:r>
      <w:r w:rsidR="00E05403" w:rsidRPr="00937ED6">
        <w:rPr>
          <w:rFonts w:ascii="Times New Roman" w:hAnsi="Times New Roman" w:cs="Times New Roman"/>
          <w:i/>
          <w:iCs/>
          <w:sz w:val="24"/>
          <w:szCs w:val="24"/>
        </w:rPr>
        <w:t>“kredi patlama”</w:t>
      </w:r>
      <w:r w:rsidR="00E05403" w:rsidRPr="00937ED6">
        <w:rPr>
          <w:rFonts w:ascii="Times New Roman" w:hAnsi="Times New Roman" w:cs="Times New Roman"/>
          <w:sz w:val="24"/>
          <w:szCs w:val="24"/>
        </w:rPr>
        <w:t xml:space="preserve"> dönemlerinde </w:t>
      </w:r>
      <w:r w:rsidR="00974CBF" w:rsidRPr="00937ED6">
        <w:rPr>
          <w:rFonts w:ascii="Times New Roman" w:hAnsi="Times New Roman" w:cs="Times New Roman"/>
          <w:sz w:val="24"/>
          <w:szCs w:val="24"/>
        </w:rPr>
        <w:t>ekonominin genelinde toplam</w:t>
      </w:r>
      <w:r w:rsidR="00E05403" w:rsidRPr="00937ED6">
        <w:rPr>
          <w:rFonts w:ascii="Times New Roman" w:hAnsi="Times New Roman" w:cs="Times New Roman"/>
          <w:sz w:val="24"/>
          <w:szCs w:val="24"/>
        </w:rPr>
        <w:t xml:space="preserve"> katma değer ve toplam istihdam artışı göz</w:t>
      </w:r>
      <w:r w:rsidR="00FB2371" w:rsidRPr="00937ED6">
        <w:rPr>
          <w:rFonts w:ascii="Times New Roman" w:hAnsi="Times New Roman" w:cs="Times New Roman"/>
          <w:sz w:val="24"/>
          <w:szCs w:val="24"/>
        </w:rPr>
        <w:t>lenmekte</w:t>
      </w:r>
      <w:r w:rsidR="00E05403" w:rsidRPr="00B03142">
        <w:rPr>
          <w:rFonts w:ascii="Times New Roman" w:hAnsi="Times New Roman" w:cs="Times New Roman"/>
          <w:sz w:val="24"/>
          <w:szCs w:val="24"/>
        </w:rPr>
        <w:t xml:space="preserve"> ancak sektör bazında bu etkiler farklılık göstermektedir. </w:t>
      </w:r>
      <w:r w:rsidR="00974CBF" w:rsidRPr="00B03142">
        <w:rPr>
          <w:rFonts w:ascii="Times New Roman" w:hAnsi="Times New Roman" w:cs="Times New Roman"/>
          <w:sz w:val="24"/>
          <w:szCs w:val="24"/>
        </w:rPr>
        <w:t xml:space="preserve">Krizle sonuçlanan </w:t>
      </w:r>
      <w:r w:rsidR="00974CBF" w:rsidRPr="00B03142">
        <w:rPr>
          <w:rFonts w:ascii="Times New Roman" w:hAnsi="Times New Roman" w:cs="Times New Roman"/>
          <w:i/>
          <w:iCs/>
          <w:sz w:val="24"/>
          <w:szCs w:val="24"/>
        </w:rPr>
        <w:t xml:space="preserve">“kredi patlama” </w:t>
      </w:r>
      <w:r w:rsidR="00974CBF" w:rsidRPr="00B03142">
        <w:rPr>
          <w:rFonts w:ascii="Times New Roman" w:hAnsi="Times New Roman" w:cs="Times New Roman"/>
          <w:sz w:val="24"/>
          <w:szCs w:val="24"/>
        </w:rPr>
        <w:t>dönemlerinde, t</w:t>
      </w:r>
      <w:r w:rsidR="00E05403" w:rsidRPr="00B03142">
        <w:rPr>
          <w:rFonts w:ascii="Times New Roman" w:hAnsi="Times New Roman" w:cs="Times New Roman"/>
          <w:sz w:val="24"/>
          <w:szCs w:val="24"/>
        </w:rPr>
        <w:t xml:space="preserve">icarete daha az konu olan, işgücü yoğun ve dış finansmana daha bağımlı olan sektörlerde </w:t>
      </w:r>
      <w:r w:rsidR="00FA53F3" w:rsidRPr="00B03142">
        <w:rPr>
          <w:rFonts w:ascii="Times New Roman" w:hAnsi="Times New Roman" w:cs="Times New Roman"/>
          <w:sz w:val="24"/>
          <w:szCs w:val="24"/>
        </w:rPr>
        <w:t>katma değer ve istihdam artışının</w:t>
      </w:r>
      <w:r w:rsidR="00974CBF" w:rsidRPr="00B03142">
        <w:rPr>
          <w:rFonts w:ascii="Times New Roman" w:hAnsi="Times New Roman" w:cs="Times New Roman"/>
          <w:sz w:val="24"/>
          <w:szCs w:val="24"/>
        </w:rPr>
        <w:t xml:space="preserve"> geri kalan sektörlere göre çok daha fazla </w:t>
      </w:r>
      <w:r w:rsidR="00FA53F3" w:rsidRPr="00B03142">
        <w:rPr>
          <w:rFonts w:ascii="Times New Roman" w:hAnsi="Times New Roman" w:cs="Times New Roman"/>
          <w:sz w:val="24"/>
          <w:szCs w:val="24"/>
        </w:rPr>
        <w:t xml:space="preserve">olduğu gözlenmiştir. Takip eden kriz döneminde ise en fazla daralmayı bu sektörler yaşamaktadırlar. Yazarlar, krizle sonuçlanan </w:t>
      </w:r>
      <w:r w:rsidR="00FA53F3" w:rsidRPr="00B03142">
        <w:rPr>
          <w:rFonts w:ascii="Times New Roman" w:hAnsi="Times New Roman" w:cs="Times New Roman"/>
          <w:i/>
          <w:iCs/>
          <w:sz w:val="24"/>
          <w:szCs w:val="24"/>
        </w:rPr>
        <w:t xml:space="preserve">“kredi patlama” </w:t>
      </w:r>
      <w:r w:rsidR="00FA53F3" w:rsidRPr="00B03142">
        <w:rPr>
          <w:rFonts w:ascii="Times New Roman" w:hAnsi="Times New Roman" w:cs="Times New Roman"/>
          <w:sz w:val="24"/>
          <w:szCs w:val="24"/>
        </w:rPr>
        <w:t xml:space="preserve">dönemlerinde en fazla büyüyen tek sektörün inşaat sektörü olduğunu raporlamışlardır. Bu nedenle inşaat sektöründeki hızlı ve olağan </w:t>
      </w:r>
      <w:r w:rsidR="008F3F99" w:rsidRPr="00B03142">
        <w:rPr>
          <w:rFonts w:ascii="Times New Roman" w:hAnsi="Times New Roman" w:cs="Times New Roman"/>
          <w:sz w:val="24"/>
          <w:szCs w:val="24"/>
        </w:rPr>
        <w:t>dışı</w:t>
      </w:r>
      <w:r w:rsidR="00FA53F3" w:rsidRPr="00B03142">
        <w:rPr>
          <w:rFonts w:ascii="Times New Roman" w:hAnsi="Times New Roman" w:cs="Times New Roman"/>
          <w:sz w:val="24"/>
          <w:szCs w:val="24"/>
        </w:rPr>
        <w:t xml:space="preserve"> büyümenin </w:t>
      </w:r>
      <w:r w:rsidR="00FA53F3" w:rsidRPr="00B03142">
        <w:rPr>
          <w:rFonts w:ascii="Times New Roman" w:hAnsi="Times New Roman" w:cs="Times New Roman"/>
          <w:i/>
          <w:iCs/>
          <w:sz w:val="24"/>
          <w:szCs w:val="24"/>
        </w:rPr>
        <w:t>“kredi patlama”</w:t>
      </w:r>
      <w:r w:rsidR="00FA53F3" w:rsidRPr="00B03142">
        <w:rPr>
          <w:rFonts w:ascii="Times New Roman" w:hAnsi="Times New Roman" w:cs="Times New Roman"/>
          <w:sz w:val="24"/>
          <w:szCs w:val="24"/>
        </w:rPr>
        <w:t xml:space="preserve">larının krizle sonuçlanacağı ya da sonuçlanmayacağı yönünde olduğunu belirlemede yardımcı </w:t>
      </w:r>
      <w:r w:rsidR="00D74A38" w:rsidRPr="00B03142">
        <w:rPr>
          <w:rFonts w:ascii="Times New Roman" w:hAnsi="Times New Roman" w:cs="Times New Roman"/>
          <w:sz w:val="24"/>
          <w:szCs w:val="24"/>
        </w:rPr>
        <w:t xml:space="preserve">bir gösterge </w:t>
      </w:r>
      <w:r w:rsidR="00FA53F3" w:rsidRPr="00B03142">
        <w:rPr>
          <w:rFonts w:ascii="Times New Roman" w:hAnsi="Times New Roman" w:cs="Times New Roman"/>
          <w:sz w:val="24"/>
          <w:szCs w:val="24"/>
        </w:rPr>
        <w:t>olacağını ileri sürmekte</w:t>
      </w:r>
      <w:r w:rsidR="00AA3ED8">
        <w:rPr>
          <w:rFonts w:ascii="Times New Roman" w:hAnsi="Times New Roman" w:cs="Times New Roman"/>
          <w:sz w:val="24"/>
          <w:szCs w:val="24"/>
        </w:rPr>
        <w:t>dirler</w:t>
      </w:r>
      <w:r w:rsidR="00FA53F3" w:rsidRPr="00B03142">
        <w:rPr>
          <w:rFonts w:ascii="Times New Roman" w:hAnsi="Times New Roman" w:cs="Times New Roman"/>
          <w:sz w:val="24"/>
          <w:szCs w:val="24"/>
        </w:rPr>
        <w:t xml:space="preserve">. </w:t>
      </w:r>
      <w:r w:rsidR="0041621B" w:rsidRPr="00B03142">
        <w:rPr>
          <w:rFonts w:ascii="Times New Roman" w:hAnsi="Times New Roman" w:cs="Times New Roman"/>
          <w:sz w:val="24"/>
          <w:szCs w:val="24"/>
        </w:rPr>
        <w:t>Söz konusu çalışmada toplam kredi</w:t>
      </w:r>
      <w:r w:rsidR="00C55E22">
        <w:rPr>
          <w:rFonts w:ascii="Times New Roman" w:hAnsi="Times New Roman" w:cs="Times New Roman"/>
          <w:sz w:val="24"/>
          <w:szCs w:val="24"/>
        </w:rPr>
        <w:t xml:space="preserve"> </w:t>
      </w:r>
      <w:r w:rsidR="0041621B" w:rsidRPr="00B03142">
        <w:rPr>
          <w:rFonts w:ascii="Times New Roman" w:hAnsi="Times New Roman" w:cs="Times New Roman"/>
          <w:sz w:val="24"/>
          <w:szCs w:val="24"/>
        </w:rPr>
        <w:t>verileri</w:t>
      </w:r>
      <w:r w:rsidR="00334B10" w:rsidRPr="00B03142">
        <w:rPr>
          <w:rFonts w:ascii="Times New Roman" w:hAnsi="Times New Roman" w:cs="Times New Roman"/>
          <w:sz w:val="24"/>
          <w:szCs w:val="24"/>
        </w:rPr>
        <w:t xml:space="preserve"> kullanılara</w:t>
      </w:r>
      <w:r w:rsidR="00FD5953" w:rsidRPr="00B03142">
        <w:rPr>
          <w:rFonts w:ascii="Times New Roman" w:hAnsi="Times New Roman" w:cs="Times New Roman"/>
          <w:sz w:val="24"/>
          <w:szCs w:val="24"/>
        </w:rPr>
        <w:t>k</w:t>
      </w:r>
      <w:r w:rsidR="00334B10" w:rsidRPr="00B03142">
        <w:rPr>
          <w:rFonts w:ascii="Times New Roman" w:hAnsi="Times New Roman" w:cs="Times New Roman"/>
          <w:sz w:val="24"/>
          <w:szCs w:val="24"/>
        </w:rPr>
        <w:t xml:space="preserve"> </w:t>
      </w:r>
      <w:r w:rsidR="0041621B" w:rsidRPr="00B03142">
        <w:rPr>
          <w:rFonts w:ascii="Times New Roman" w:hAnsi="Times New Roman" w:cs="Times New Roman"/>
          <w:i/>
          <w:iCs/>
          <w:sz w:val="24"/>
          <w:szCs w:val="24"/>
        </w:rPr>
        <w:t xml:space="preserve">“kredi patlama” </w:t>
      </w:r>
      <w:r w:rsidR="0041621B" w:rsidRPr="00B03142">
        <w:rPr>
          <w:rFonts w:ascii="Times New Roman" w:hAnsi="Times New Roman" w:cs="Times New Roman"/>
          <w:sz w:val="24"/>
          <w:szCs w:val="24"/>
        </w:rPr>
        <w:t>dönemleri</w:t>
      </w:r>
      <w:r w:rsidR="00334B10" w:rsidRPr="00B03142">
        <w:rPr>
          <w:rFonts w:ascii="Times New Roman" w:hAnsi="Times New Roman" w:cs="Times New Roman"/>
          <w:sz w:val="24"/>
          <w:szCs w:val="24"/>
        </w:rPr>
        <w:t xml:space="preserve"> belirlenmiştir.</w:t>
      </w:r>
      <w:r w:rsidR="0041621B" w:rsidRPr="00B03142">
        <w:rPr>
          <w:rFonts w:ascii="Times New Roman" w:hAnsi="Times New Roman" w:cs="Times New Roman"/>
          <w:sz w:val="24"/>
          <w:szCs w:val="24"/>
        </w:rPr>
        <w:t xml:space="preserve"> </w:t>
      </w:r>
      <w:r w:rsidR="0073322D" w:rsidRPr="00B03142">
        <w:rPr>
          <w:rFonts w:ascii="Times New Roman" w:hAnsi="Times New Roman" w:cs="Times New Roman"/>
          <w:sz w:val="24"/>
          <w:szCs w:val="24"/>
        </w:rPr>
        <w:t>Müller ve Verner (2023</w:t>
      </w:r>
      <w:r w:rsidR="00FA53F3" w:rsidRPr="00B03142">
        <w:rPr>
          <w:rFonts w:ascii="Times New Roman" w:hAnsi="Times New Roman" w:cs="Times New Roman"/>
          <w:sz w:val="24"/>
          <w:szCs w:val="24"/>
        </w:rPr>
        <w:t xml:space="preserve">) ise </w:t>
      </w:r>
      <w:r w:rsidR="00F933DA" w:rsidRPr="00B03142">
        <w:rPr>
          <w:rFonts w:ascii="Times New Roman" w:hAnsi="Times New Roman" w:cs="Times New Roman"/>
          <w:sz w:val="24"/>
          <w:szCs w:val="24"/>
        </w:rPr>
        <w:t xml:space="preserve">sektör bazında </w:t>
      </w:r>
      <w:r w:rsidR="001F2909" w:rsidRPr="00B03142">
        <w:rPr>
          <w:rFonts w:ascii="Times New Roman" w:hAnsi="Times New Roman" w:cs="Times New Roman"/>
          <w:sz w:val="24"/>
          <w:szCs w:val="24"/>
        </w:rPr>
        <w:t xml:space="preserve">kredi verilerini </w:t>
      </w:r>
      <w:r w:rsidR="00FA53F3" w:rsidRPr="00B03142">
        <w:rPr>
          <w:rFonts w:ascii="Times New Roman" w:hAnsi="Times New Roman" w:cs="Times New Roman"/>
          <w:sz w:val="24"/>
          <w:szCs w:val="24"/>
        </w:rPr>
        <w:t xml:space="preserve">kullanarak </w:t>
      </w:r>
      <w:r w:rsidR="00FA53F3" w:rsidRPr="00B03142">
        <w:rPr>
          <w:rFonts w:ascii="Times New Roman" w:hAnsi="Times New Roman" w:cs="Times New Roman"/>
          <w:i/>
          <w:iCs/>
          <w:sz w:val="24"/>
          <w:szCs w:val="24"/>
        </w:rPr>
        <w:t xml:space="preserve">“kredi patlama”ları </w:t>
      </w:r>
      <w:r w:rsidR="00FA53F3" w:rsidRPr="00B03142">
        <w:rPr>
          <w:rFonts w:ascii="Times New Roman" w:hAnsi="Times New Roman" w:cs="Times New Roman"/>
          <w:sz w:val="24"/>
          <w:szCs w:val="24"/>
        </w:rPr>
        <w:t>ve makroekonomik dalgalanmalar arasındaki ilişkiyi inc</w:t>
      </w:r>
      <w:r w:rsidR="00FA53F3" w:rsidRPr="00937ED6">
        <w:rPr>
          <w:rFonts w:ascii="Times New Roman" w:hAnsi="Times New Roman" w:cs="Times New Roman"/>
          <w:sz w:val="24"/>
          <w:szCs w:val="24"/>
        </w:rPr>
        <w:t>elemiş</w:t>
      </w:r>
      <w:r w:rsidR="00797E29" w:rsidRPr="00937ED6">
        <w:rPr>
          <w:rFonts w:ascii="Times New Roman" w:hAnsi="Times New Roman" w:cs="Times New Roman"/>
          <w:sz w:val="24"/>
          <w:szCs w:val="24"/>
        </w:rPr>
        <w:t>tir</w:t>
      </w:r>
      <w:r w:rsidR="00FA53F3" w:rsidRPr="00937ED6">
        <w:rPr>
          <w:rFonts w:ascii="Times New Roman" w:hAnsi="Times New Roman" w:cs="Times New Roman"/>
          <w:sz w:val="24"/>
          <w:szCs w:val="24"/>
        </w:rPr>
        <w:t xml:space="preserve">. </w:t>
      </w:r>
      <w:r w:rsidR="00F933DA" w:rsidRPr="00937ED6">
        <w:rPr>
          <w:rFonts w:ascii="Times New Roman" w:hAnsi="Times New Roman" w:cs="Times New Roman"/>
          <w:sz w:val="24"/>
          <w:szCs w:val="24"/>
        </w:rPr>
        <w:t>Bunun için toplamda 117 gelişmiş ve gel</w:t>
      </w:r>
      <w:r w:rsidR="00E43125" w:rsidRPr="00937ED6">
        <w:rPr>
          <w:rFonts w:ascii="Times New Roman" w:hAnsi="Times New Roman" w:cs="Times New Roman"/>
          <w:sz w:val="24"/>
          <w:szCs w:val="24"/>
        </w:rPr>
        <w:t>i</w:t>
      </w:r>
      <w:r w:rsidR="00F933DA" w:rsidRPr="00937ED6">
        <w:rPr>
          <w:rFonts w:ascii="Times New Roman" w:hAnsi="Times New Roman" w:cs="Times New Roman"/>
          <w:sz w:val="24"/>
          <w:szCs w:val="24"/>
        </w:rPr>
        <w:t xml:space="preserve">şmekte </w:t>
      </w:r>
      <w:r w:rsidR="003A75B1" w:rsidRPr="00937ED6">
        <w:rPr>
          <w:rFonts w:ascii="Times New Roman" w:hAnsi="Times New Roman" w:cs="Times New Roman"/>
          <w:sz w:val="24"/>
          <w:szCs w:val="24"/>
        </w:rPr>
        <w:t xml:space="preserve">olan </w:t>
      </w:r>
      <w:r w:rsidR="00F933DA" w:rsidRPr="00937ED6">
        <w:rPr>
          <w:rFonts w:ascii="Times New Roman" w:hAnsi="Times New Roman" w:cs="Times New Roman"/>
          <w:sz w:val="24"/>
          <w:szCs w:val="24"/>
        </w:rPr>
        <w:t>ülke</w:t>
      </w:r>
      <w:r w:rsidR="008F1E57" w:rsidRPr="00937ED6">
        <w:rPr>
          <w:rFonts w:ascii="Times New Roman" w:hAnsi="Times New Roman" w:cs="Times New Roman"/>
          <w:sz w:val="24"/>
          <w:szCs w:val="24"/>
        </w:rPr>
        <w:t>ye ait sektör bazlı özel sektör</w:t>
      </w:r>
      <w:r w:rsidR="00F933DA" w:rsidRPr="00937ED6">
        <w:rPr>
          <w:rFonts w:ascii="Times New Roman" w:hAnsi="Times New Roman" w:cs="Times New Roman"/>
          <w:sz w:val="24"/>
          <w:szCs w:val="24"/>
        </w:rPr>
        <w:t xml:space="preserve"> </w:t>
      </w:r>
      <w:r w:rsidR="00C55E22" w:rsidRPr="00937ED6">
        <w:rPr>
          <w:rFonts w:ascii="Times New Roman" w:hAnsi="Times New Roman" w:cs="Times New Roman"/>
          <w:sz w:val="24"/>
          <w:szCs w:val="24"/>
        </w:rPr>
        <w:t>kredi verilerini</w:t>
      </w:r>
      <w:r w:rsidR="00C55E22">
        <w:rPr>
          <w:rFonts w:ascii="Times New Roman" w:hAnsi="Times New Roman" w:cs="Times New Roman"/>
          <w:sz w:val="24"/>
          <w:szCs w:val="24"/>
        </w:rPr>
        <w:t xml:space="preserve"> </w:t>
      </w:r>
      <w:r w:rsidR="00F933DA" w:rsidRPr="00B03142">
        <w:rPr>
          <w:rFonts w:ascii="Times New Roman" w:hAnsi="Times New Roman" w:cs="Times New Roman"/>
          <w:sz w:val="24"/>
          <w:szCs w:val="24"/>
        </w:rPr>
        <w:t xml:space="preserve">kullanmışlardır. </w:t>
      </w:r>
      <w:r w:rsidR="009D3CB4" w:rsidRPr="00B03142">
        <w:rPr>
          <w:rFonts w:ascii="Times New Roman" w:hAnsi="Times New Roman" w:cs="Times New Roman"/>
          <w:sz w:val="24"/>
          <w:szCs w:val="24"/>
        </w:rPr>
        <w:t xml:space="preserve">Yazarlar ticarete konu olmayan sektörlerdeki genişlemenin genellikle krizle sonuçlandığını, bu sektörlerdeki (inşaat ve emlak sektörü dahil) </w:t>
      </w:r>
      <w:r w:rsidR="009D3CB4" w:rsidRPr="00B03142">
        <w:rPr>
          <w:rFonts w:ascii="Times New Roman" w:hAnsi="Times New Roman" w:cs="Times New Roman"/>
          <w:i/>
          <w:iCs/>
          <w:sz w:val="24"/>
          <w:szCs w:val="24"/>
        </w:rPr>
        <w:t>“kredi patlama”</w:t>
      </w:r>
      <w:r w:rsidR="009D3CB4" w:rsidRPr="00B03142">
        <w:rPr>
          <w:rFonts w:ascii="Times New Roman" w:hAnsi="Times New Roman" w:cs="Times New Roman"/>
          <w:sz w:val="24"/>
          <w:szCs w:val="24"/>
        </w:rPr>
        <w:t>larının finansal kriz riskini artırdığını ve verimlilikte yavaşlamalara neden olduğunu, diğer taraftan ticarete konu olan sektö</w:t>
      </w:r>
      <w:r w:rsidR="00924545" w:rsidRPr="00B03142">
        <w:rPr>
          <w:rFonts w:ascii="Times New Roman" w:hAnsi="Times New Roman" w:cs="Times New Roman"/>
          <w:sz w:val="24"/>
          <w:szCs w:val="24"/>
        </w:rPr>
        <w:t xml:space="preserve">rlerdeki </w:t>
      </w:r>
      <w:r w:rsidR="00924545" w:rsidRPr="00B03142">
        <w:rPr>
          <w:rFonts w:ascii="Times New Roman" w:hAnsi="Times New Roman" w:cs="Times New Roman"/>
          <w:i/>
          <w:iCs/>
          <w:sz w:val="24"/>
          <w:szCs w:val="24"/>
        </w:rPr>
        <w:t>“kredi patlama”</w:t>
      </w:r>
      <w:r w:rsidR="00924545" w:rsidRPr="00B03142">
        <w:rPr>
          <w:rFonts w:ascii="Times New Roman" w:hAnsi="Times New Roman" w:cs="Times New Roman"/>
          <w:sz w:val="24"/>
          <w:szCs w:val="24"/>
        </w:rPr>
        <w:t xml:space="preserve">larının finansal kriz riski taşımadan ve devam eden dönemlerde </w:t>
      </w:r>
      <w:r w:rsidR="00586BF5" w:rsidRPr="00B03142">
        <w:rPr>
          <w:rFonts w:ascii="Times New Roman" w:hAnsi="Times New Roman" w:cs="Times New Roman"/>
          <w:sz w:val="24"/>
          <w:szCs w:val="24"/>
        </w:rPr>
        <w:t>çıktıda</w:t>
      </w:r>
      <w:r w:rsidR="00924545" w:rsidRPr="00B03142">
        <w:rPr>
          <w:rFonts w:ascii="Times New Roman" w:hAnsi="Times New Roman" w:cs="Times New Roman"/>
          <w:sz w:val="24"/>
          <w:szCs w:val="24"/>
        </w:rPr>
        <w:t xml:space="preserve"> oynaklığa sebep olmadan verimlilik artışını sağladığını bulmuşlardır.</w:t>
      </w:r>
    </w:p>
    <w:p w14:paraId="6B7AF218" w14:textId="477852A7" w:rsidR="00E46931" w:rsidRPr="00B03142" w:rsidRDefault="00C90862" w:rsidP="00AA3ED8">
      <w:pPr>
        <w:spacing w:after="0" w:line="276" w:lineRule="auto"/>
        <w:ind w:firstLine="360"/>
        <w:jc w:val="both"/>
        <w:rPr>
          <w:rFonts w:ascii="Times New Roman" w:hAnsi="Times New Roman" w:cs="Times New Roman"/>
          <w:sz w:val="24"/>
          <w:szCs w:val="24"/>
        </w:rPr>
      </w:pPr>
      <w:r w:rsidRPr="00B03142">
        <w:rPr>
          <w:rFonts w:ascii="Times New Roman" w:hAnsi="Times New Roman" w:cs="Times New Roman"/>
          <w:sz w:val="24"/>
          <w:szCs w:val="24"/>
        </w:rPr>
        <w:t>Gerek büyümeye katkısı</w:t>
      </w:r>
      <w:r w:rsidR="009C0BB2" w:rsidRPr="00B03142">
        <w:rPr>
          <w:rFonts w:ascii="Times New Roman" w:hAnsi="Times New Roman" w:cs="Times New Roman"/>
          <w:sz w:val="24"/>
          <w:szCs w:val="24"/>
        </w:rPr>
        <w:t xml:space="preserve"> ve iş döngülerine etkisi</w:t>
      </w:r>
      <w:r w:rsidRPr="00B03142">
        <w:rPr>
          <w:rFonts w:ascii="Times New Roman" w:hAnsi="Times New Roman" w:cs="Times New Roman"/>
          <w:sz w:val="24"/>
          <w:szCs w:val="24"/>
        </w:rPr>
        <w:t xml:space="preserve"> gerek finansal istikrarı </w:t>
      </w:r>
      <w:r w:rsidR="00604ACC" w:rsidRPr="00B03142">
        <w:rPr>
          <w:rFonts w:ascii="Times New Roman" w:hAnsi="Times New Roman" w:cs="Times New Roman"/>
          <w:sz w:val="24"/>
          <w:szCs w:val="24"/>
        </w:rPr>
        <w:t>bozucu</w:t>
      </w:r>
      <w:r w:rsidR="00C80C6A" w:rsidRPr="00B03142">
        <w:rPr>
          <w:rFonts w:ascii="Times New Roman" w:hAnsi="Times New Roman" w:cs="Times New Roman"/>
          <w:sz w:val="24"/>
          <w:szCs w:val="24"/>
        </w:rPr>
        <w:t xml:space="preserve"> risk barındırması göz önünde bulundurulduğunda kredilerin sektörel kompozisyonu</w:t>
      </w:r>
      <w:r w:rsidR="001A2006" w:rsidRPr="00B03142">
        <w:rPr>
          <w:rFonts w:ascii="Times New Roman" w:hAnsi="Times New Roman" w:cs="Times New Roman"/>
          <w:sz w:val="24"/>
          <w:szCs w:val="24"/>
        </w:rPr>
        <w:t xml:space="preserve"> </w:t>
      </w:r>
      <w:r w:rsidR="00BE3C84" w:rsidRPr="00B03142">
        <w:rPr>
          <w:rFonts w:ascii="Times New Roman" w:hAnsi="Times New Roman" w:cs="Times New Roman"/>
          <w:sz w:val="24"/>
          <w:szCs w:val="24"/>
        </w:rPr>
        <w:t>politika yapıcılar için</w:t>
      </w:r>
      <w:r w:rsidR="00C80C6A" w:rsidRPr="00B03142">
        <w:rPr>
          <w:rFonts w:ascii="Times New Roman" w:hAnsi="Times New Roman" w:cs="Times New Roman"/>
          <w:sz w:val="24"/>
          <w:szCs w:val="24"/>
        </w:rPr>
        <w:t xml:space="preserve"> </w:t>
      </w:r>
      <w:r w:rsidR="001A2006" w:rsidRPr="00B03142">
        <w:rPr>
          <w:rFonts w:ascii="Times New Roman" w:hAnsi="Times New Roman" w:cs="Times New Roman"/>
          <w:sz w:val="24"/>
          <w:szCs w:val="24"/>
        </w:rPr>
        <w:t>önemli bir bilgi kaynağıdır</w:t>
      </w:r>
      <w:r w:rsidR="00C80C6A" w:rsidRPr="00B03142">
        <w:rPr>
          <w:rFonts w:ascii="Times New Roman" w:hAnsi="Times New Roman" w:cs="Times New Roman"/>
          <w:sz w:val="24"/>
          <w:szCs w:val="24"/>
        </w:rPr>
        <w:t xml:space="preserve">. </w:t>
      </w:r>
      <w:r w:rsidR="009D6B17" w:rsidRPr="00B03142">
        <w:rPr>
          <w:rFonts w:ascii="Times New Roman" w:hAnsi="Times New Roman" w:cs="Times New Roman"/>
          <w:sz w:val="24"/>
          <w:szCs w:val="24"/>
        </w:rPr>
        <w:t>M</w:t>
      </w:r>
      <w:r w:rsidR="001A2006" w:rsidRPr="00B03142">
        <w:rPr>
          <w:rFonts w:ascii="Times New Roman" w:hAnsi="Times New Roman" w:cs="Times New Roman"/>
          <w:sz w:val="24"/>
          <w:szCs w:val="24"/>
        </w:rPr>
        <w:t>akro ihtiyati politikalar finansal kriz potansiyeli en düşük olan sektörleri kısıtlayıcı bir şekilde etkiliyorsa</w:t>
      </w:r>
      <w:r w:rsidR="00BE3C84" w:rsidRPr="00B03142">
        <w:rPr>
          <w:rFonts w:ascii="Times New Roman" w:hAnsi="Times New Roman" w:cs="Times New Roman"/>
          <w:sz w:val="24"/>
          <w:szCs w:val="24"/>
        </w:rPr>
        <w:t xml:space="preserve">, bu politikaların refahı olumsuz etkileme </w:t>
      </w:r>
      <w:r w:rsidR="00334B10" w:rsidRPr="00B03142">
        <w:rPr>
          <w:rFonts w:ascii="Times New Roman" w:hAnsi="Times New Roman" w:cs="Times New Roman"/>
          <w:sz w:val="24"/>
          <w:szCs w:val="24"/>
        </w:rPr>
        <w:t>ihtimali</w:t>
      </w:r>
      <w:r w:rsidR="00554026" w:rsidRPr="00B03142">
        <w:rPr>
          <w:rFonts w:ascii="Times New Roman" w:hAnsi="Times New Roman" w:cs="Times New Roman"/>
          <w:sz w:val="24"/>
          <w:szCs w:val="24"/>
        </w:rPr>
        <w:t xml:space="preserve"> vardır </w:t>
      </w:r>
      <w:r w:rsidR="00554026" w:rsidRPr="00B03142">
        <w:rPr>
          <w:rFonts w:ascii="Times New Roman" w:hAnsi="Times New Roman" w:cs="Times New Roman"/>
          <w:sz w:val="24"/>
          <w:szCs w:val="24"/>
        </w:rPr>
        <w:lastRenderedPageBreak/>
        <w:t>(Müller, 2022</w:t>
      </w:r>
      <w:r w:rsidR="00BE3C84" w:rsidRPr="00B03142">
        <w:rPr>
          <w:rFonts w:ascii="Times New Roman" w:hAnsi="Times New Roman" w:cs="Times New Roman"/>
          <w:sz w:val="24"/>
          <w:szCs w:val="24"/>
        </w:rPr>
        <w:t xml:space="preserve">). </w:t>
      </w:r>
      <w:r w:rsidR="00971964" w:rsidRPr="00B03142">
        <w:rPr>
          <w:rFonts w:ascii="Times New Roman" w:hAnsi="Times New Roman" w:cs="Times New Roman"/>
          <w:sz w:val="24"/>
          <w:szCs w:val="24"/>
        </w:rPr>
        <w:t>B</w:t>
      </w:r>
      <w:r w:rsidR="00841740" w:rsidRPr="00B03142">
        <w:rPr>
          <w:rFonts w:ascii="Times New Roman" w:hAnsi="Times New Roman" w:cs="Times New Roman"/>
          <w:sz w:val="24"/>
          <w:szCs w:val="24"/>
        </w:rPr>
        <w:t>u nedenle, kredilerin tahsisinde firmaların geri ödeme yetkinliği kadar etkin dağılımı da önem kazanmaktadır. Kredilerin etkin dağılımını destekleyen politika tasarımında kredilerin tahsis edildiği sektörlerin ticarete konu olup olmamasının, büyüme ve istihdam yaratma kapasitelerinin sürekliliğinin ve verimlilik seviyelerinin göz önünde bulundurulması büyümeye katkı sağlayan ve finansal istikrarı sürdürülebilir kılan bir finansal sistem için faydalıdır.</w:t>
      </w:r>
    </w:p>
    <w:p w14:paraId="664A5C9D" w14:textId="7B1AC4F3" w:rsidR="00DB3EFE" w:rsidRPr="00B03142" w:rsidRDefault="00A81AD6" w:rsidP="00AA3ED8">
      <w:pPr>
        <w:spacing w:after="0" w:line="276" w:lineRule="auto"/>
        <w:ind w:firstLine="360"/>
        <w:jc w:val="both"/>
        <w:rPr>
          <w:rFonts w:ascii="Times New Roman" w:hAnsi="Times New Roman" w:cs="Times New Roman"/>
          <w:sz w:val="24"/>
          <w:szCs w:val="24"/>
        </w:rPr>
      </w:pPr>
      <w:r w:rsidRPr="00B03142">
        <w:rPr>
          <w:rFonts w:ascii="Times New Roman" w:hAnsi="Times New Roman" w:cs="Times New Roman"/>
          <w:sz w:val="24"/>
          <w:szCs w:val="24"/>
        </w:rPr>
        <w:t xml:space="preserve">Bu çalışmanın amacı </w:t>
      </w:r>
      <w:r w:rsidR="00E83D7A" w:rsidRPr="00B03142">
        <w:rPr>
          <w:rFonts w:ascii="Times New Roman" w:hAnsi="Times New Roman" w:cs="Times New Roman"/>
          <w:sz w:val="24"/>
          <w:szCs w:val="24"/>
        </w:rPr>
        <w:t>tüm</w:t>
      </w:r>
      <w:r w:rsidRPr="00B03142">
        <w:rPr>
          <w:rFonts w:ascii="Times New Roman" w:hAnsi="Times New Roman" w:cs="Times New Roman"/>
          <w:sz w:val="24"/>
          <w:szCs w:val="24"/>
        </w:rPr>
        <w:t xml:space="preserve"> </w:t>
      </w:r>
      <w:r w:rsidR="00E83D7A" w:rsidRPr="00B03142">
        <w:rPr>
          <w:rFonts w:ascii="Times New Roman" w:hAnsi="Times New Roman" w:cs="Times New Roman"/>
          <w:sz w:val="24"/>
          <w:szCs w:val="24"/>
        </w:rPr>
        <w:t>ekonomilerde</w:t>
      </w:r>
      <w:r w:rsidRPr="00B03142">
        <w:rPr>
          <w:rFonts w:ascii="Times New Roman" w:hAnsi="Times New Roman" w:cs="Times New Roman"/>
          <w:sz w:val="24"/>
          <w:szCs w:val="24"/>
        </w:rPr>
        <w:t xml:space="preserve"> kilit bir role sahip finansman</w:t>
      </w:r>
      <w:r w:rsidR="00DB1596" w:rsidRPr="00B03142">
        <w:rPr>
          <w:rFonts w:ascii="Times New Roman" w:hAnsi="Times New Roman" w:cs="Times New Roman"/>
          <w:sz w:val="24"/>
          <w:szCs w:val="24"/>
        </w:rPr>
        <w:t xml:space="preserve">a erişimin </w:t>
      </w:r>
      <w:r w:rsidRPr="00B03142">
        <w:rPr>
          <w:rFonts w:ascii="Times New Roman" w:hAnsi="Times New Roman" w:cs="Times New Roman"/>
          <w:sz w:val="24"/>
          <w:szCs w:val="24"/>
        </w:rPr>
        <w:t xml:space="preserve">en yaygın olarak kullanılan </w:t>
      </w:r>
      <w:r w:rsidR="00DB1596" w:rsidRPr="00B03142">
        <w:rPr>
          <w:rFonts w:ascii="Times New Roman" w:hAnsi="Times New Roman" w:cs="Times New Roman"/>
          <w:sz w:val="24"/>
          <w:szCs w:val="24"/>
        </w:rPr>
        <w:t>araçlarından biri olan kredilerin sektör kompozisyonun</w:t>
      </w:r>
      <w:r w:rsidR="00B04C41" w:rsidRPr="00B03142">
        <w:rPr>
          <w:rFonts w:ascii="Times New Roman" w:hAnsi="Times New Roman" w:cs="Times New Roman"/>
          <w:sz w:val="24"/>
          <w:szCs w:val="24"/>
        </w:rPr>
        <w:t>un</w:t>
      </w:r>
      <w:r w:rsidR="00DB1596" w:rsidRPr="00B03142">
        <w:rPr>
          <w:rFonts w:ascii="Times New Roman" w:hAnsi="Times New Roman" w:cs="Times New Roman"/>
          <w:sz w:val="24"/>
          <w:szCs w:val="24"/>
        </w:rPr>
        <w:t xml:space="preserve"> Türkiye’de 2000’li yılların başlangıcından günümüze nasıl</w:t>
      </w:r>
      <w:r w:rsidRPr="00B03142">
        <w:rPr>
          <w:rFonts w:ascii="Times New Roman" w:hAnsi="Times New Roman" w:cs="Times New Roman"/>
          <w:sz w:val="24"/>
          <w:szCs w:val="24"/>
        </w:rPr>
        <w:t xml:space="preserve"> </w:t>
      </w:r>
      <w:r w:rsidR="00DB1596" w:rsidRPr="00B03142">
        <w:rPr>
          <w:rFonts w:ascii="Times New Roman" w:hAnsi="Times New Roman" w:cs="Times New Roman"/>
          <w:sz w:val="24"/>
          <w:szCs w:val="24"/>
        </w:rPr>
        <w:t>bir seyir izlediğinin incelenmesidir</w:t>
      </w:r>
      <w:r w:rsidR="00B92387" w:rsidRPr="00B03142">
        <w:rPr>
          <w:rFonts w:ascii="Times New Roman" w:hAnsi="Times New Roman" w:cs="Times New Roman"/>
          <w:sz w:val="24"/>
          <w:szCs w:val="24"/>
        </w:rPr>
        <w:t xml:space="preserve">. </w:t>
      </w:r>
      <w:r w:rsidR="00DB3EFE" w:rsidRPr="00B03142">
        <w:rPr>
          <w:rFonts w:ascii="Times New Roman" w:hAnsi="Times New Roman" w:cs="Times New Roman"/>
          <w:sz w:val="24"/>
          <w:szCs w:val="24"/>
        </w:rPr>
        <w:t>Finans</w:t>
      </w:r>
      <w:r w:rsidR="00E83D7A" w:rsidRPr="00B03142">
        <w:rPr>
          <w:rFonts w:ascii="Times New Roman" w:hAnsi="Times New Roman" w:cs="Times New Roman"/>
          <w:sz w:val="24"/>
          <w:szCs w:val="24"/>
        </w:rPr>
        <w:t>-</w:t>
      </w:r>
      <w:r w:rsidR="00DB3EFE" w:rsidRPr="00B03142">
        <w:rPr>
          <w:rFonts w:ascii="Times New Roman" w:hAnsi="Times New Roman" w:cs="Times New Roman"/>
          <w:sz w:val="24"/>
          <w:szCs w:val="24"/>
        </w:rPr>
        <w:t>büyüme</w:t>
      </w:r>
      <w:r w:rsidR="00E83D7A" w:rsidRPr="00B03142">
        <w:rPr>
          <w:rFonts w:ascii="Times New Roman" w:hAnsi="Times New Roman" w:cs="Times New Roman"/>
          <w:sz w:val="24"/>
          <w:szCs w:val="24"/>
        </w:rPr>
        <w:t>-</w:t>
      </w:r>
      <w:r w:rsidR="00DB3EFE" w:rsidRPr="00B03142">
        <w:rPr>
          <w:rFonts w:ascii="Times New Roman" w:hAnsi="Times New Roman" w:cs="Times New Roman"/>
          <w:sz w:val="24"/>
          <w:szCs w:val="24"/>
        </w:rPr>
        <w:t xml:space="preserve">finansal istikrar yazınında finansal gelişmişlik seviyesi </w:t>
      </w:r>
      <w:r w:rsidR="00E576CD" w:rsidRPr="00B03142">
        <w:rPr>
          <w:rFonts w:ascii="Times New Roman" w:hAnsi="Times New Roman" w:cs="Times New Roman"/>
          <w:sz w:val="24"/>
          <w:szCs w:val="24"/>
        </w:rPr>
        <w:t xml:space="preserve">için </w:t>
      </w:r>
      <w:r w:rsidR="00DB3EFE" w:rsidRPr="00B03142">
        <w:rPr>
          <w:rFonts w:ascii="Times New Roman" w:hAnsi="Times New Roman" w:cs="Times New Roman"/>
          <w:sz w:val="24"/>
          <w:szCs w:val="24"/>
        </w:rPr>
        <w:t xml:space="preserve">en sık kullanılan göstergelerden biri </w:t>
      </w:r>
      <w:r w:rsidR="001735ED" w:rsidRPr="00B03142">
        <w:rPr>
          <w:rFonts w:ascii="Times New Roman" w:hAnsi="Times New Roman" w:cs="Times New Roman"/>
          <w:sz w:val="24"/>
          <w:szCs w:val="24"/>
        </w:rPr>
        <w:t xml:space="preserve">finansal olmayan </w:t>
      </w:r>
      <w:r w:rsidR="00DB3EFE" w:rsidRPr="00B03142">
        <w:rPr>
          <w:rFonts w:ascii="Times New Roman" w:hAnsi="Times New Roman" w:cs="Times New Roman"/>
          <w:sz w:val="24"/>
          <w:szCs w:val="24"/>
        </w:rPr>
        <w:t>özel sektör kredilerinin milli gelir içindeki payı</w:t>
      </w:r>
      <w:r w:rsidR="00B92387" w:rsidRPr="00B03142">
        <w:rPr>
          <w:rFonts w:ascii="Times New Roman" w:hAnsi="Times New Roman" w:cs="Times New Roman"/>
          <w:sz w:val="24"/>
          <w:szCs w:val="24"/>
        </w:rPr>
        <w:t>n</w:t>
      </w:r>
      <w:r w:rsidR="00B04C41" w:rsidRPr="00B03142">
        <w:rPr>
          <w:rFonts w:ascii="Times New Roman" w:hAnsi="Times New Roman" w:cs="Times New Roman"/>
          <w:sz w:val="24"/>
          <w:szCs w:val="24"/>
        </w:rPr>
        <w:t>ın seviyesi ve</w:t>
      </w:r>
      <w:r w:rsidR="00B92387" w:rsidRPr="00B03142">
        <w:rPr>
          <w:rFonts w:ascii="Times New Roman" w:hAnsi="Times New Roman" w:cs="Times New Roman"/>
          <w:sz w:val="24"/>
          <w:szCs w:val="24"/>
        </w:rPr>
        <w:t xml:space="preserve"> gelişimidir</w:t>
      </w:r>
      <w:r w:rsidR="00DB3EFE" w:rsidRPr="00B03142">
        <w:rPr>
          <w:rFonts w:ascii="Times New Roman" w:hAnsi="Times New Roman" w:cs="Times New Roman"/>
          <w:sz w:val="24"/>
          <w:szCs w:val="24"/>
        </w:rPr>
        <w:t xml:space="preserve">. Bu </w:t>
      </w:r>
      <w:r w:rsidR="00E576CD" w:rsidRPr="00B03142">
        <w:rPr>
          <w:rFonts w:ascii="Times New Roman" w:hAnsi="Times New Roman" w:cs="Times New Roman"/>
          <w:sz w:val="24"/>
          <w:szCs w:val="24"/>
        </w:rPr>
        <w:t xml:space="preserve">çalışmada </w:t>
      </w:r>
      <w:r w:rsidR="005E4E43" w:rsidRPr="00B03142">
        <w:rPr>
          <w:rFonts w:ascii="Times New Roman" w:hAnsi="Times New Roman" w:cs="Times New Roman"/>
          <w:sz w:val="24"/>
          <w:szCs w:val="24"/>
        </w:rPr>
        <w:t>firmalara tahsis edilen</w:t>
      </w:r>
      <w:r w:rsidR="00E576CD" w:rsidRPr="00B03142">
        <w:rPr>
          <w:rFonts w:ascii="Times New Roman" w:hAnsi="Times New Roman" w:cs="Times New Roman"/>
          <w:sz w:val="24"/>
          <w:szCs w:val="24"/>
        </w:rPr>
        <w:t xml:space="preserve"> krediler</w:t>
      </w:r>
      <w:r w:rsidR="005E4E43" w:rsidRPr="00B03142">
        <w:rPr>
          <w:rFonts w:ascii="Times New Roman" w:hAnsi="Times New Roman" w:cs="Times New Roman"/>
          <w:sz w:val="24"/>
          <w:szCs w:val="24"/>
        </w:rPr>
        <w:t>e</w:t>
      </w:r>
      <w:r w:rsidR="00E576CD" w:rsidRPr="00B03142">
        <w:rPr>
          <w:rFonts w:ascii="Times New Roman" w:hAnsi="Times New Roman" w:cs="Times New Roman"/>
          <w:sz w:val="24"/>
          <w:szCs w:val="24"/>
        </w:rPr>
        <w:t xml:space="preserve"> </w:t>
      </w:r>
      <w:r w:rsidR="00057D92" w:rsidRPr="00B03142">
        <w:rPr>
          <w:rFonts w:ascii="Times New Roman" w:hAnsi="Times New Roman" w:cs="Times New Roman"/>
          <w:sz w:val="24"/>
          <w:szCs w:val="24"/>
        </w:rPr>
        <w:t xml:space="preserve">(finans sektörü dahil) </w:t>
      </w:r>
      <w:r w:rsidR="00E576CD" w:rsidRPr="00B03142">
        <w:rPr>
          <w:rFonts w:ascii="Times New Roman" w:hAnsi="Times New Roman" w:cs="Times New Roman"/>
          <w:sz w:val="24"/>
          <w:szCs w:val="24"/>
        </w:rPr>
        <w:t>odaklanılacak ve analizin detaylandırılmasında</w:t>
      </w:r>
      <w:r w:rsidR="00026032">
        <w:rPr>
          <w:rFonts w:ascii="Times New Roman" w:hAnsi="Times New Roman" w:cs="Times New Roman"/>
          <w:sz w:val="24"/>
          <w:szCs w:val="24"/>
        </w:rPr>
        <w:t xml:space="preserve"> </w:t>
      </w:r>
      <w:r w:rsidR="001B093F" w:rsidRPr="00B03142">
        <w:rPr>
          <w:rFonts w:ascii="Times New Roman" w:hAnsi="Times New Roman" w:cs="Times New Roman"/>
          <w:sz w:val="24"/>
          <w:szCs w:val="24"/>
        </w:rPr>
        <w:t>bankalarca kullandırılan kredilerin sektörel dağılımı</w:t>
      </w:r>
      <w:r w:rsidR="00B92387" w:rsidRPr="00B03142">
        <w:rPr>
          <w:rFonts w:ascii="Times New Roman" w:hAnsi="Times New Roman" w:cs="Times New Roman"/>
          <w:sz w:val="24"/>
          <w:szCs w:val="24"/>
        </w:rPr>
        <w:t xml:space="preserve"> ilgili sektörler</w:t>
      </w:r>
      <w:r w:rsidR="00E836F0" w:rsidRPr="00B03142">
        <w:rPr>
          <w:rFonts w:ascii="Times New Roman" w:hAnsi="Times New Roman" w:cs="Times New Roman"/>
          <w:sz w:val="24"/>
          <w:szCs w:val="24"/>
        </w:rPr>
        <w:t>deki</w:t>
      </w:r>
      <w:r w:rsidR="00B92387" w:rsidRPr="00B03142">
        <w:rPr>
          <w:rFonts w:ascii="Times New Roman" w:hAnsi="Times New Roman" w:cs="Times New Roman"/>
          <w:sz w:val="24"/>
          <w:szCs w:val="24"/>
        </w:rPr>
        <w:t xml:space="preserve"> üretim</w:t>
      </w:r>
      <w:r w:rsidR="00E836F0" w:rsidRPr="00B03142">
        <w:rPr>
          <w:rFonts w:ascii="Times New Roman" w:hAnsi="Times New Roman" w:cs="Times New Roman"/>
          <w:sz w:val="24"/>
          <w:szCs w:val="24"/>
        </w:rPr>
        <w:t xml:space="preserve"> ve </w:t>
      </w:r>
      <w:r w:rsidR="00B92387" w:rsidRPr="00B03142">
        <w:rPr>
          <w:rFonts w:ascii="Times New Roman" w:hAnsi="Times New Roman" w:cs="Times New Roman"/>
          <w:sz w:val="24"/>
          <w:szCs w:val="24"/>
        </w:rPr>
        <w:t xml:space="preserve">istihdam </w:t>
      </w:r>
      <w:r w:rsidR="00E836F0" w:rsidRPr="00B03142">
        <w:rPr>
          <w:rFonts w:ascii="Times New Roman" w:hAnsi="Times New Roman" w:cs="Times New Roman"/>
          <w:sz w:val="24"/>
          <w:szCs w:val="24"/>
        </w:rPr>
        <w:t>gelişmeleri</w:t>
      </w:r>
      <w:r w:rsidR="00B92387" w:rsidRPr="00B03142">
        <w:rPr>
          <w:rFonts w:ascii="Times New Roman" w:hAnsi="Times New Roman" w:cs="Times New Roman"/>
          <w:sz w:val="24"/>
          <w:szCs w:val="24"/>
        </w:rPr>
        <w:t xml:space="preserve"> göz önünde bulundurularak </w:t>
      </w:r>
      <w:r w:rsidR="00B04C41" w:rsidRPr="00B03142">
        <w:rPr>
          <w:rFonts w:ascii="Times New Roman" w:hAnsi="Times New Roman" w:cs="Times New Roman"/>
          <w:sz w:val="24"/>
          <w:szCs w:val="24"/>
        </w:rPr>
        <w:t>incelenecektir</w:t>
      </w:r>
      <w:r w:rsidR="00B92387" w:rsidRPr="00B03142">
        <w:rPr>
          <w:rFonts w:ascii="Times New Roman" w:hAnsi="Times New Roman" w:cs="Times New Roman"/>
          <w:sz w:val="24"/>
          <w:szCs w:val="24"/>
        </w:rPr>
        <w:t xml:space="preserve">. </w:t>
      </w:r>
      <w:r w:rsidR="00E576CD" w:rsidRPr="00B03142">
        <w:rPr>
          <w:rFonts w:ascii="Times New Roman" w:hAnsi="Times New Roman" w:cs="Times New Roman"/>
          <w:sz w:val="24"/>
          <w:szCs w:val="24"/>
        </w:rPr>
        <w:t xml:space="preserve"> </w:t>
      </w:r>
    </w:p>
    <w:p w14:paraId="15E671B8" w14:textId="5B3D30B6" w:rsidR="00497A01" w:rsidRPr="00B03142" w:rsidRDefault="008F20CF" w:rsidP="00AA3ED8">
      <w:pPr>
        <w:spacing w:after="0" w:line="276" w:lineRule="auto"/>
        <w:ind w:firstLine="360"/>
        <w:jc w:val="both"/>
        <w:rPr>
          <w:rFonts w:ascii="Times New Roman" w:hAnsi="Times New Roman" w:cs="Times New Roman"/>
          <w:sz w:val="24"/>
          <w:szCs w:val="24"/>
        </w:rPr>
      </w:pPr>
      <w:r w:rsidRPr="00B03142">
        <w:rPr>
          <w:rFonts w:ascii="Times New Roman" w:hAnsi="Times New Roman" w:cs="Times New Roman"/>
          <w:sz w:val="24"/>
          <w:szCs w:val="24"/>
        </w:rPr>
        <w:t>Türkiye’de</w:t>
      </w:r>
      <w:r w:rsidR="002525C4">
        <w:rPr>
          <w:rFonts w:ascii="Times New Roman" w:hAnsi="Times New Roman" w:cs="Times New Roman"/>
          <w:sz w:val="24"/>
          <w:szCs w:val="24"/>
        </w:rPr>
        <w:t>ki</w:t>
      </w:r>
      <w:r w:rsidRPr="00B03142">
        <w:rPr>
          <w:rFonts w:ascii="Times New Roman" w:hAnsi="Times New Roman" w:cs="Times New Roman"/>
          <w:sz w:val="24"/>
          <w:szCs w:val="24"/>
        </w:rPr>
        <w:t xml:space="preserve"> </w:t>
      </w:r>
      <w:r w:rsidR="002F60E5" w:rsidRPr="00B03142">
        <w:rPr>
          <w:rFonts w:ascii="Times New Roman" w:hAnsi="Times New Roman" w:cs="Times New Roman"/>
          <w:sz w:val="24"/>
          <w:szCs w:val="24"/>
        </w:rPr>
        <w:t>bankalarca kullandırılan kredilerin sektörel dağılımı, sektörlerin toplam stok kredi ve yıllık kredi artışı içindeki pay</w:t>
      </w:r>
      <w:r w:rsidR="00A56D06" w:rsidRPr="00B03142">
        <w:rPr>
          <w:rFonts w:ascii="Times New Roman" w:hAnsi="Times New Roman" w:cs="Times New Roman"/>
          <w:sz w:val="24"/>
          <w:szCs w:val="24"/>
        </w:rPr>
        <w:t>ları</w:t>
      </w:r>
      <w:r w:rsidR="002F60E5" w:rsidRPr="00B03142">
        <w:rPr>
          <w:rFonts w:ascii="Times New Roman" w:hAnsi="Times New Roman" w:cs="Times New Roman"/>
          <w:sz w:val="24"/>
          <w:szCs w:val="24"/>
        </w:rPr>
        <w:t xml:space="preserve"> olarak TCMB tarafından yayınlanan Finansal İstikrar Raporlarında düzenli olarak takip edilmektedir.</w:t>
      </w:r>
      <w:r w:rsidR="002F60E5" w:rsidRPr="00B03142">
        <w:rPr>
          <w:rStyle w:val="FootnoteReference"/>
          <w:rFonts w:ascii="Times New Roman" w:hAnsi="Times New Roman" w:cs="Times New Roman"/>
          <w:sz w:val="24"/>
          <w:szCs w:val="24"/>
        </w:rPr>
        <w:footnoteReference w:id="4"/>
      </w:r>
      <w:r w:rsidR="002F60E5" w:rsidRPr="00B03142">
        <w:rPr>
          <w:rFonts w:ascii="Times New Roman" w:hAnsi="Times New Roman" w:cs="Times New Roman"/>
          <w:sz w:val="24"/>
          <w:szCs w:val="24"/>
        </w:rPr>
        <w:t xml:space="preserve"> </w:t>
      </w:r>
      <w:r w:rsidR="007A340A" w:rsidRPr="00B03142">
        <w:rPr>
          <w:rFonts w:ascii="Times New Roman" w:hAnsi="Times New Roman" w:cs="Times New Roman"/>
          <w:sz w:val="24"/>
          <w:szCs w:val="24"/>
        </w:rPr>
        <w:t xml:space="preserve">Ayrıca </w:t>
      </w:r>
      <w:r w:rsidR="001735ED" w:rsidRPr="00B03142">
        <w:rPr>
          <w:rFonts w:ascii="Times New Roman" w:hAnsi="Times New Roman" w:cs="Times New Roman"/>
          <w:sz w:val="24"/>
          <w:szCs w:val="24"/>
        </w:rPr>
        <w:t>Kasım 2019 Finansal İstikrar Raporunda</w:t>
      </w:r>
      <w:r w:rsidR="006858B8" w:rsidRPr="00B03142">
        <w:rPr>
          <w:rFonts w:ascii="Times New Roman" w:hAnsi="Times New Roman" w:cs="Times New Roman"/>
          <w:sz w:val="24"/>
          <w:szCs w:val="24"/>
        </w:rPr>
        <w:t xml:space="preserve"> (TCMB, 2019)</w:t>
      </w:r>
      <w:r w:rsidR="007A340A" w:rsidRPr="00B03142">
        <w:rPr>
          <w:rFonts w:ascii="Times New Roman" w:hAnsi="Times New Roman" w:cs="Times New Roman"/>
          <w:sz w:val="24"/>
          <w:szCs w:val="24"/>
        </w:rPr>
        <w:t xml:space="preserve"> </w:t>
      </w:r>
      <w:r w:rsidR="00AD0461" w:rsidRPr="00B03142">
        <w:rPr>
          <w:rFonts w:ascii="Times New Roman" w:hAnsi="Times New Roman" w:cs="Times New Roman"/>
          <w:sz w:val="24"/>
          <w:szCs w:val="24"/>
        </w:rPr>
        <w:t>bankalarca kullandırılan kredilerin çevrimsel dinamikleri özel konu başlığ</w:t>
      </w:r>
      <w:r w:rsidR="00DE7D50" w:rsidRPr="00B03142">
        <w:rPr>
          <w:rFonts w:ascii="Times New Roman" w:hAnsi="Times New Roman" w:cs="Times New Roman"/>
          <w:sz w:val="24"/>
          <w:szCs w:val="24"/>
        </w:rPr>
        <w:t xml:space="preserve">ı altında </w:t>
      </w:r>
      <w:r w:rsidR="00AD0461" w:rsidRPr="00B03142">
        <w:rPr>
          <w:rFonts w:ascii="Times New Roman" w:hAnsi="Times New Roman" w:cs="Times New Roman"/>
          <w:sz w:val="24"/>
          <w:szCs w:val="24"/>
        </w:rPr>
        <w:t>incelenmiş</w:t>
      </w:r>
      <w:r w:rsidR="00DE7D50" w:rsidRPr="00B03142">
        <w:rPr>
          <w:rFonts w:ascii="Times New Roman" w:hAnsi="Times New Roman" w:cs="Times New Roman"/>
          <w:sz w:val="24"/>
          <w:szCs w:val="24"/>
        </w:rPr>
        <w:t>,</w:t>
      </w:r>
      <w:r w:rsidR="00AD0461" w:rsidRPr="00B03142">
        <w:rPr>
          <w:rFonts w:ascii="Times New Roman" w:hAnsi="Times New Roman" w:cs="Times New Roman"/>
          <w:sz w:val="24"/>
          <w:szCs w:val="24"/>
        </w:rPr>
        <w:t xml:space="preserve"> kredi genişleme ve sıkışma dönemleri toplam</w:t>
      </w:r>
      <w:r w:rsidR="00C56D81" w:rsidRPr="00B03142">
        <w:rPr>
          <w:rFonts w:ascii="Times New Roman" w:hAnsi="Times New Roman" w:cs="Times New Roman"/>
          <w:sz w:val="24"/>
          <w:szCs w:val="24"/>
        </w:rPr>
        <w:t xml:space="preserve"> krediler</w:t>
      </w:r>
      <w:r w:rsidR="00AD0461" w:rsidRPr="00B03142">
        <w:rPr>
          <w:rFonts w:ascii="Times New Roman" w:hAnsi="Times New Roman" w:cs="Times New Roman"/>
          <w:sz w:val="24"/>
          <w:szCs w:val="24"/>
        </w:rPr>
        <w:t>, ticari</w:t>
      </w:r>
      <w:r w:rsidR="00C56D81" w:rsidRPr="00B03142">
        <w:rPr>
          <w:rFonts w:ascii="Times New Roman" w:hAnsi="Times New Roman" w:cs="Times New Roman"/>
          <w:sz w:val="24"/>
          <w:szCs w:val="24"/>
        </w:rPr>
        <w:t xml:space="preserve"> krediler</w:t>
      </w:r>
      <w:r w:rsidR="00AD0461" w:rsidRPr="00B03142">
        <w:rPr>
          <w:rFonts w:ascii="Times New Roman" w:hAnsi="Times New Roman" w:cs="Times New Roman"/>
          <w:sz w:val="24"/>
          <w:szCs w:val="24"/>
        </w:rPr>
        <w:t xml:space="preserve">, tüketici </w:t>
      </w:r>
      <w:r w:rsidR="00C56D81" w:rsidRPr="00B03142">
        <w:rPr>
          <w:rFonts w:ascii="Times New Roman" w:hAnsi="Times New Roman" w:cs="Times New Roman"/>
          <w:sz w:val="24"/>
          <w:szCs w:val="24"/>
        </w:rPr>
        <w:t xml:space="preserve">kredileri </w:t>
      </w:r>
      <w:r w:rsidR="00AD0461" w:rsidRPr="00B03142">
        <w:rPr>
          <w:rFonts w:ascii="Times New Roman" w:hAnsi="Times New Roman" w:cs="Times New Roman"/>
          <w:sz w:val="24"/>
          <w:szCs w:val="24"/>
        </w:rPr>
        <w:t xml:space="preserve">(alt kırılımlarıyla birlikte) için raporlanmıştır. </w:t>
      </w:r>
      <w:r w:rsidR="007A340A" w:rsidRPr="00B03142">
        <w:rPr>
          <w:rFonts w:ascii="Times New Roman" w:hAnsi="Times New Roman" w:cs="Times New Roman"/>
          <w:sz w:val="24"/>
          <w:szCs w:val="24"/>
        </w:rPr>
        <w:t xml:space="preserve">Çolak </w:t>
      </w:r>
      <w:r w:rsidR="003C383B" w:rsidRPr="00B03142">
        <w:rPr>
          <w:rFonts w:ascii="Times New Roman" w:hAnsi="Times New Roman" w:cs="Times New Roman"/>
          <w:sz w:val="24"/>
          <w:szCs w:val="24"/>
        </w:rPr>
        <w:t>vd.</w:t>
      </w:r>
      <w:r w:rsidR="007A340A" w:rsidRPr="00B03142">
        <w:rPr>
          <w:rFonts w:ascii="Times New Roman" w:hAnsi="Times New Roman" w:cs="Times New Roman"/>
          <w:sz w:val="24"/>
          <w:szCs w:val="24"/>
        </w:rPr>
        <w:t xml:space="preserve"> (2019)</w:t>
      </w:r>
      <w:r w:rsidR="007B133F" w:rsidRPr="00B03142">
        <w:rPr>
          <w:rFonts w:ascii="Times New Roman" w:hAnsi="Times New Roman" w:cs="Times New Roman"/>
          <w:sz w:val="24"/>
          <w:szCs w:val="24"/>
        </w:rPr>
        <w:t xml:space="preserve"> benzer raporlamayı</w:t>
      </w:r>
      <w:r w:rsidR="00DF6EDD" w:rsidRPr="00B03142">
        <w:rPr>
          <w:rFonts w:ascii="Times New Roman" w:hAnsi="Times New Roman" w:cs="Times New Roman"/>
          <w:sz w:val="24"/>
          <w:szCs w:val="24"/>
        </w:rPr>
        <w:t xml:space="preserve"> sektör kredileri </w:t>
      </w:r>
      <w:r w:rsidR="008F3F99" w:rsidRPr="00B03142">
        <w:rPr>
          <w:rFonts w:ascii="Times New Roman" w:hAnsi="Times New Roman" w:cs="Times New Roman"/>
          <w:sz w:val="24"/>
          <w:szCs w:val="24"/>
        </w:rPr>
        <w:t xml:space="preserve">için </w:t>
      </w:r>
      <w:r w:rsidR="007B133F" w:rsidRPr="00B03142">
        <w:rPr>
          <w:rFonts w:ascii="Times New Roman" w:hAnsi="Times New Roman" w:cs="Times New Roman"/>
          <w:sz w:val="24"/>
          <w:szCs w:val="24"/>
        </w:rPr>
        <w:t>yapmıştır</w:t>
      </w:r>
      <w:r w:rsidR="00DF6EDD" w:rsidRPr="00B03142">
        <w:rPr>
          <w:rFonts w:ascii="Times New Roman" w:hAnsi="Times New Roman" w:cs="Times New Roman"/>
          <w:sz w:val="24"/>
          <w:szCs w:val="24"/>
        </w:rPr>
        <w:t>.</w:t>
      </w:r>
      <w:r w:rsidR="00312F17" w:rsidRPr="00B03142">
        <w:rPr>
          <w:rFonts w:ascii="Times New Roman" w:hAnsi="Times New Roman" w:cs="Times New Roman"/>
          <w:sz w:val="24"/>
          <w:szCs w:val="24"/>
        </w:rPr>
        <w:t xml:space="preserve"> Küçük vd. (2022) </w:t>
      </w:r>
      <w:r w:rsidR="00497A01" w:rsidRPr="00B03142">
        <w:rPr>
          <w:rFonts w:ascii="Times New Roman" w:hAnsi="Times New Roman" w:cs="Times New Roman"/>
          <w:sz w:val="24"/>
          <w:szCs w:val="24"/>
        </w:rPr>
        <w:t xml:space="preserve">ise </w:t>
      </w:r>
      <w:r w:rsidR="00312F17" w:rsidRPr="00B03142">
        <w:rPr>
          <w:rFonts w:ascii="Times New Roman" w:hAnsi="Times New Roman" w:cs="Times New Roman"/>
          <w:sz w:val="24"/>
          <w:szCs w:val="24"/>
        </w:rPr>
        <w:t xml:space="preserve">Türkiye’de kredilerin ekonomiye etkilerini </w:t>
      </w:r>
      <w:r w:rsidR="00515448" w:rsidRPr="00B03142">
        <w:rPr>
          <w:rFonts w:ascii="Times New Roman" w:hAnsi="Times New Roman" w:cs="Times New Roman"/>
          <w:sz w:val="24"/>
          <w:szCs w:val="24"/>
        </w:rPr>
        <w:t xml:space="preserve">önce </w:t>
      </w:r>
      <w:r w:rsidR="00312F17" w:rsidRPr="00B03142">
        <w:rPr>
          <w:rFonts w:ascii="Times New Roman" w:hAnsi="Times New Roman" w:cs="Times New Roman"/>
          <w:sz w:val="24"/>
          <w:szCs w:val="24"/>
        </w:rPr>
        <w:t>hanehalkı ve firma kredileri</w:t>
      </w:r>
      <w:r w:rsidR="00515448" w:rsidRPr="00B03142">
        <w:rPr>
          <w:rFonts w:ascii="Times New Roman" w:hAnsi="Times New Roman" w:cs="Times New Roman"/>
          <w:sz w:val="24"/>
          <w:szCs w:val="24"/>
        </w:rPr>
        <w:t xml:space="preserve"> ayrımı yaparak</w:t>
      </w:r>
      <w:r w:rsidR="00312F17" w:rsidRPr="00B03142">
        <w:rPr>
          <w:rFonts w:ascii="Times New Roman" w:hAnsi="Times New Roman" w:cs="Times New Roman"/>
          <w:sz w:val="24"/>
          <w:szCs w:val="24"/>
        </w:rPr>
        <w:t>,</w:t>
      </w:r>
      <w:r w:rsidR="00515448" w:rsidRPr="00B03142">
        <w:rPr>
          <w:rFonts w:ascii="Times New Roman" w:hAnsi="Times New Roman" w:cs="Times New Roman"/>
          <w:sz w:val="24"/>
          <w:szCs w:val="24"/>
        </w:rPr>
        <w:t xml:space="preserve"> sonra hanehalkı kredilerini emlak ve ihtiyaç kredileri, firma kredilerini ise yerli ve yabancı para krediler gruplarına ayırarak incelemişlerdir.</w:t>
      </w:r>
      <w:r w:rsidR="00312F17" w:rsidRPr="00B03142">
        <w:rPr>
          <w:rFonts w:ascii="Times New Roman" w:hAnsi="Times New Roman" w:cs="Times New Roman"/>
          <w:sz w:val="24"/>
          <w:szCs w:val="24"/>
        </w:rPr>
        <w:t xml:space="preserve"> Buna göre hanehalkı ve yerli para cinsi firma kredilerini art</w:t>
      </w:r>
      <w:r w:rsidR="007B133F" w:rsidRPr="00B03142">
        <w:rPr>
          <w:rFonts w:ascii="Times New Roman" w:hAnsi="Times New Roman" w:cs="Times New Roman"/>
          <w:sz w:val="24"/>
          <w:szCs w:val="24"/>
        </w:rPr>
        <w:t>ıran kredi şo</w:t>
      </w:r>
      <w:r w:rsidR="00312F17" w:rsidRPr="00B03142">
        <w:rPr>
          <w:rFonts w:ascii="Times New Roman" w:hAnsi="Times New Roman" w:cs="Times New Roman"/>
          <w:sz w:val="24"/>
          <w:szCs w:val="24"/>
        </w:rPr>
        <w:t>klarının tüketim ve milli geliri artırıcı etkileri benzer seviyede ve yatırıma olan etki</w:t>
      </w:r>
      <w:r w:rsidR="008F3F99" w:rsidRPr="00B03142">
        <w:rPr>
          <w:rFonts w:ascii="Times New Roman" w:hAnsi="Times New Roman" w:cs="Times New Roman"/>
          <w:sz w:val="24"/>
          <w:szCs w:val="24"/>
        </w:rPr>
        <w:t>sin</w:t>
      </w:r>
      <w:r w:rsidR="00312F17" w:rsidRPr="00B03142">
        <w:rPr>
          <w:rFonts w:ascii="Times New Roman" w:hAnsi="Times New Roman" w:cs="Times New Roman"/>
          <w:sz w:val="24"/>
          <w:szCs w:val="24"/>
        </w:rPr>
        <w:t>den fazla iken, yabancı para firma kredilerinin yatırımı artırıcı etkisi daha fazla bulunmuştur.</w:t>
      </w:r>
      <w:r w:rsidR="00497A01" w:rsidRPr="00B03142">
        <w:rPr>
          <w:rFonts w:ascii="Times New Roman" w:hAnsi="Times New Roman" w:cs="Times New Roman"/>
          <w:sz w:val="24"/>
          <w:szCs w:val="24"/>
        </w:rPr>
        <w:t xml:space="preserve"> </w:t>
      </w:r>
      <w:r w:rsidR="00515448" w:rsidRPr="00B03142">
        <w:rPr>
          <w:rFonts w:ascii="Times New Roman" w:hAnsi="Times New Roman" w:cs="Times New Roman"/>
          <w:sz w:val="24"/>
          <w:szCs w:val="24"/>
        </w:rPr>
        <w:t>Ayrıca emlak kredileri ile firma kredilerinin yatırıma etkisinin benzer olduğunu göstermişlerdir.</w:t>
      </w:r>
    </w:p>
    <w:p w14:paraId="13C848EF" w14:textId="1587BD0B" w:rsidR="00681498" w:rsidRPr="00B03142" w:rsidRDefault="00D766B4" w:rsidP="00AA3ED8">
      <w:pPr>
        <w:spacing w:after="0" w:line="276" w:lineRule="auto"/>
        <w:ind w:firstLine="360"/>
        <w:jc w:val="both"/>
        <w:rPr>
          <w:rFonts w:ascii="Times New Roman" w:hAnsi="Times New Roman" w:cs="Times New Roman"/>
          <w:sz w:val="24"/>
          <w:szCs w:val="24"/>
        </w:rPr>
      </w:pPr>
      <w:r w:rsidRPr="00B03142">
        <w:rPr>
          <w:rFonts w:ascii="Times New Roman" w:hAnsi="Times New Roman" w:cs="Times New Roman"/>
          <w:sz w:val="24"/>
          <w:szCs w:val="24"/>
        </w:rPr>
        <w:t>Bu</w:t>
      </w:r>
      <w:r w:rsidR="00DF6EDD" w:rsidRPr="00B03142">
        <w:rPr>
          <w:rFonts w:ascii="Times New Roman" w:hAnsi="Times New Roman" w:cs="Times New Roman"/>
          <w:sz w:val="24"/>
          <w:szCs w:val="24"/>
        </w:rPr>
        <w:t xml:space="preserve"> çalışmanın Türkiye</w:t>
      </w:r>
      <w:r w:rsidRPr="00B03142">
        <w:rPr>
          <w:rFonts w:ascii="Times New Roman" w:hAnsi="Times New Roman" w:cs="Times New Roman"/>
          <w:sz w:val="24"/>
          <w:szCs w:val="24"/>
        </w:rPr>
        <w:t xml:space="preserve"> için yapılmış</w:t>
      </w:r>
      <w:r w:rsidR="00DF6EDD" w:rsidRPr="00B03142">
        <w:rPr>
          <w:rFonts w:ascii="Times New Roman" w:hAnsi="Times New Roman" w:cs="Times New Roman"/>
          <w:sz w:val="24"/>
          <w:szCs w:val="24"/>
        </w:rPr>
        <w:t xml:space="preserve"> sektörel kredi dağılımı çalışmalarına</w:t>
      </w:r>
      <w:r w:rsidR="00D72832" w:rsidRPr="00B03142">
        <w:rPr>
          <w:rFonts w:ascii="Times New Roman" w:hAnsi="Times New Roman" w:cs="Times New Roman"/>
          <w:sz w:val="24"/>
          <w:szCs w:val="24"/>
        </w:rPr>
        <w:t xml:space="preserve"> başlıca</w:t>
      </w:r>
      <w:r w:rsidR="00DF6EDD" w:rsidRPr="00B03142">
        <w:rPr>
          <w:rFonts w:ascii="Times New Roman" w:hAnsi="Times New Roman" w:cs="Times New Roman"/>
          <w:sz w:val="24"/>
          <w:szCs w:val="24"/>
        </w:rPr>
        <w:t xml:space="preserve"> katkısı</w:t>
      </w:r>
      <w:r w:rsidR="002272C2" w:rsidRPr="00B03142">
        <w:rPr>
          <w:rFonts w:ascii="Times New Roman" w:hAnsi="Times New Roman" w:cs="Times New Roman"/>
          <w:sz w:val="24"/>
          <w:szCs w:val="24"/>
        </w:rPr>
        <w:t>,</w:t>
      </w:r>
      <w:r w:rsidR="00DF6EDD" w:rsidRPr="00B03142">
        <w:rPr>
          <w:rFonts w:ascii="Times New Roman" w:hAnsi="Times New Roman" w:cs="Times New Roman"/>
          <w:sz w:val="24"/>
          <w:szCs w:val="24"/>
        </w:rPr>
        <w:t xml:space="preserve"> sektörel kredi </w:t>
      </w:r>
      <w:r w:rsidR="00D72832" w:rsidRPr="00B03142">
        <w:rPr>
          <w:rFonts w:ascii="Times New Roman" w:hAnsi="Times New Roman" w:cs="Times New Roman"/>
          <w:sz w:val="24"/>
          <w:szCs w:val="24"/>
        </w:rPr>
        <w:t>kompozisyondaki son yirmi yıldaki değişimi ilgili sektörlerin üretim</w:t>
      </w:r>
      <w:r w:rsidR="008532CB" w:rsidRPr="00B03142">
        <w:rPr>
          <w:rFonts w:ascii="Times New Roman" w:hAnsi="Times New Roman" w:cs="Times New Roman"/>
          <w:sz w:val="24"/>
          <w:szCs w:val="24"/>
        </w:rPr>
        <w:t xml:space="preserve"> ve</w:t>
      </w:r>
      <w:r w:rsidR="00D72832" w:rsidRPr="00B03142">
        <w:rPr>
          <w:rFonts w:ascii="Times New Roman" w:hAnsi="Times New Roman" w:cs="Times New Roman"/>
          <w:sz w:val="24"/>
          <w:szCs w:val="24"/>
        </w:rPr>
        <w:t xml:space="preserve"> i</w:t>
      </w:r>
      <w:r w:rsidR="008532CB" w:rsidRPr="00B03142">
        <w:rPr>
          <w:rFonts w:ascii="Times New Roman" w:hAnsi="Times New Roman" w:cs="Times New Roman"/>
          <w:sz w:val="24"/>
          <w:szCs w:val="24"/>
        </w:rPr>
        <w:t>stihdam yaratma performanslarıyla b</w:t>
      </w:r>
      <w:r w:rsidR="00DF6EDD" w:rsidRPr="00B03142">
        <w:rPr>
          <w:rFonts w:ascii="Times New Roman" w:hAnsi="Times New Roman" w:cs="Times New Roman"/>
          <w:sz w:val="24"/>
          <w:szCs w:val="24"/>
        </w:rPr>
        <w:t>irlikte ele alıp, kredi dağılımının</w:t>
      </w:r>
      <w:r w:rsidR="002272C2" w:rsidRPr="00B03142">
        <w:rPr>
          <w:rFonts w:ascii="Times New Roman" w:hAnsi="Times New Roman" w:cs="Times New Roman"/>
          <w:sz w:val="24"/>
          <w:szCs w:val="24"/>
        </w:rPr>
        <w:t xml:space="preserve"> bu reel göstergelerle ilişkisini sorgulamak ve</w:t>
      </w:r>
      <w:r w:rsidR="00DF6EDD" w:rsidRPr="00B03142">
        <w:rPr>
          <w:rFonts w:ascii="Times New Roman" w:hAnsi="Times New Roman" w:cs="Times New Roman"/>
          <w:sz w:val="24"/>
          <w:szCs w:val="24"/>
        </w:rPr>
        <w:t xml:space="preserve"> </w:t>
      </w:r>
      <w:r w:rsidR="0043739A" w:rsidRPr="00B03142">
        <w:rPr>
          <w:rFonts w:ascii="Times New Roman" w:hAnsi="Times New Roman" w:cs="Times New Roman"/>
          <w:sz w:val="24"/>
          <w:szCs w:val="24"/>
        </w:rPr>
        <w:t xml:space="preserve">reel </w:t>
      </w:r>
      <w:r w:rsidR="00DF6EDD" w:rsidRPr="00B03142">
        <w:rPr>
          <w:rFonts w:ascii="Times New Roman" w:hAnsi="Times New Roman" w:cs="Times New Roman"/>
          <w:sz w:val="24"/>
          <w:szCs w:val="24"/>
        </w:rPr>
        <w:t xml:space="preserve">etkinliğini makro seviyede tartışmaktır. </w:t>
      </w:r>
      <w:r w:rsidR="00497A01" w:rsidRPr="00B03142">
        <w:rPr>
          <w:rFonts w:ascii="Times New Roman" w:hAnsi="Times New Roman" w:cs="Times New Roman"/>
          <w:sz w:val="24"/>
          <w:szCs w:val="24"/>
        </w:rPr>
        <w:t>B</w:t>
      </w:r>
      <w:r w:rsidR="001F0025" w:rsidRPr="00B03142">
        <w:rPr>
          <w:rFonts w:ascii="Times New Roman" w:hAnsi="Times New Roman" w:cs="Times New Roman"/>
          <w:sz w:val="24"/>
          <w:szCs w:val="24"/>
        </w:rPr>
        <w:t>enzer bir amaçla,</w:t>
      </w:r>
      <w:r w:rsidR="00497A01" w:rsidRPr="00B03142">
        <w:rPr>
          <w:rFonts w:ascii="Times New Roman" w:hAnsi="Times New Roman" w:cs="Times New Roman"/>
          <w:sz w:val="24"/>
          <w:szCs w:val="24"/>
        </w:rPr>
        <w:t xml:space="preserve"> Akçiğit vd. (2021)</w:t>
      </w:r>
      <w:r w:rsidR="00BB01FB" w:rsidRPr="00B03142">
        <w:rPr>
          <w:rFonts w:ascii="Times New Roman" w:hAnsi="Times New Roman" w:cs="Times New Roman"/>
          <w:sz w:val="24"/>
          <w:szCs w:val="24"/>
        </w:rPr>
        <w:t>, Demirhan ve Aldan (2021)</w:t>
      </w:r>
      <w:r w:rsidR="00497A01" w:rsidRPr="00B03142">
        <w:rPr>
          <w:rFonts w:ascii="Times New Roman" w:hAnsi="Times New Roman" w:cs="Times New Roman"/>
          <w:sz w:val="24"/>
          <w:szCs w:val="24"/>
        </w:rPr>
        <w:t xml:space="preserve"> ile Bağır ve Seven (2022) </w:t>
      </w:r>
      <w:r w:rsidRPr="00B03142">
        <w:rPr>
          <w:rFonts w:ascii="Times New Roman" w:hAnsi="Times New Roman" w:cs="Times New Roman"/>
          <w:sz w:val="24"/>
          <w:szCs w:val="24"/>
        </w:rPr>
        <w:t xml:space="preserve">Türkiye’de </w:t>
      </w:r>
      <w:r w:rsidR="00142249" w:rsidRPr="00B03142">
        <w:rPr>
          <w:rFonts w:ascii="Times New Roman" w:hAnsi="Times New Roman" w:cs="Times New Roman"/>
          <w:sz w:val="24"/>
          <w:szCs w:val="24"/>
        </w:rPr>
        <w:t xml:space="preserve">firmaların </w:t>
      </w:r>
      <w:r w:rsidR="00497A01" w:rsidRPr="00B03142">
        <w:rPr>
          <w:rFonts w:ascii="Times New Roman" w:hAnsi="Times New Roman" w:cs="Times New Roman"/>
          <w:sz w:val="24"/>
          <w:szCs w:val="24"/>
        </w:rPr>
        <w:t>finansmana erişimin</w:t>
      </w:r>
      <w:r w:rsidR="00142249" w:rsidRPr="00B03142">
        <w:rPr>
          <w:rFonts w:ascii="Times New Roman" w:hAnsi="Times New Roman" w:cs="Times New Roman"/>
          <w:sz w:val="24"/>
          <w:szCs w:val="24"/>
        </w:rPr>
        <w:t xml:space="preserve">in ve/veya borçlanma kısıtının </w:t>
      </w:r>
      <w:r w:rsidR="00324F0B" w:rsidRPr="00B03142">
        <w:rPr>
          <w:rFonts w:ascii="Times New Roman" w:hAnsi="Times New Roman" w:cs="Times New Roman"/>
          <w:sz w:val="24"/>
          <w:szCs w:val="24"/>
        </w:rPr>
        <w:t>istihdam, üretim ve verimlilik</w:t>
      </w:r>
      <w:r w:rsidR="008F3F99" w:rsidRPr="00B03142">
        <w:rPr>
          <w:rFonts w:ascii="Times New Roman" w:hAnsi="Times New Roman" w:cs="Times New Roman"/>
          <w:sz w:val="24"/>
          <w:szCs w:val="24"/>
        </w:rPr>
        <w:t xml:space="preserve"> etkilerini firma verisi </w:t>
      </w:r>
      <w:r w:rsidR="00497A01" w:rsidRPr="00B03142">
        <w:rPr>
          <w:rFonts w:ascii="Times New Roman" w:hAnsi="Times New Roman" w:cs="Times New Roman"/>
          <w:sz w:val="24"/>
          <w:szCs w:val="24"/>
        </w:rPr>
        <w:t xml:space="preserve">kullanarak </w:t>
      </w:r>
      <w:r w:rsidR="00D00A97" w:rsidRPr="00B03142">
        <w:rPr>
          <w:rFonts w:ascii="Times New Roman" w:hAnsi="Times New Roman" w:cs="Times New Roman"/>
          <w:sz w:val="24"/>
          <w:szCs w:val="24"/>
        </w:rPr>
        <w:t xml:space="preserve">ve daha kısa dönemler için </w:t>
      </w:r>
      <w:r w:rsidR="00497A01" w:rsidRPr="00B03142">
        <w:rPr>
          <w:rFonts w:ascii="Times New Roman" w:hAnsi="Times New Roman" w:cs="Times New Roman"/>
          <w:sz w:val="24"/>
          <w:szCs w:val="24"/>
        </w:rPr>
        <w:t xml:space="preserve">tartışmıştır. </w:t>
      </w:r>
      <w:r w:rsidR="00681498" w:rsidRPr="00B03142">
        <w:rPr>
          <w:rFonts w:ascii="Times New Roman" w:hAnsi="Times New Roman" w:cs="Times New Roman"/>
          <w:sz w:val="24"/>
          <w:szCs w:val="24"/>
        </w:rPr>
        <w:t>Akçiğit vd. (2021)</w:t>
      </w:r>
      <w:r w:rsidR="00FF54AB" w:rsidRPr="00B03142">
        <w:rPr>
          <w:rFonts w:ascii="Times New Roman" w:hAnsi="Times New Roman" w:cs="Times New Roman"/>
          <w:sz w:val="24"/>
          <w:szCs w:val="24"/>
        </w:rPr>
        <w:t xml:space="preserve">, 2017 yılında uygulanan Kredi Garanti Fonu (KGF) politikası aracılığıyla tahsis edilen kredilerin reel etkinliğini ve firmaların risk davranışına etkisini </w:t>
      </w:r>
      <w:r w:rsidR="004F29FA" w:rsidRPr="00B03142">
        <w:rPr>
          <w:rFonts w:ascii="Times New Roman" w:hAnsi="Times New Roman" w:cs="Times New Roman"/>
          <w:sz w:val="24"/>
          <w:szCs w:val="24"/>
        </w:rPr>
        <w:t xml:space="preserve">mikro firma verisiyle </w:t>
      </w:r>
      <w:r w:rsidR="00FF54AB" w:rsidRPr="00B03142">
        <w:rPr>
          <w:rFonts w:ascii="Times New Roman" w:hAnsi="Times New Roman" w:cs="Times New Roman"/>
          <w:sz w:val="24"/>
          <w:szCs w:val="24"/>
        </w:rPr>
        <w:t>inceledikleri çalışma</w:t>
      </w:r>
      <w:r w:rsidR="004F29FA" w:rsidRPr="00B03142">
        <w:rPr>
          <w:rFonts w:ascii="Times New Roman" w:hAnsi="Times New Roman" w:cs="Times New Roman"/>
          <w:sz w:val="24"/>
          <w:szCs w:val="24"/>
        </w:rPr>
        <w:t>da</w:t>
      </w:r>
      <w:r w:rsidR="00FF54AB" w:rsidRPr="00B03142">
        <w:rPr>
          <w:rFonts w:ascii="Times New Roman" w:hAnsi="Times New Roman" w:cs="Times New Roman"/>
          <w:sz w:val="24"/>
          <w:szCs w:val="24"/>
        </w:rPr>
        <w:t xml:space="preserve"> </w:t>
      </w:r>
      <w:r w:rsidR="00904A5E" w:rsidRPr="00B03142">
        <w:rPr>
          <w:rFonts w:ascii="Times New Roman" w:hAnsi="Times New Roman" w:cs="Times New Roman"/>
          <w:sz w:val="24"/>
          <w:szCs w:val="24"/>
        </w:rPr>
        <w:t>KGF’den</w:t>
      </w:r>
      <w:r w:rsidR="00FF54AB" w:rsidRPr="00B03142">
        <w:rPr>
          <w:rFonts w:ascii="Times New Roman" w:hAnsi="Times New Roman" w:cs="Times New Roman"/>
          <w:sz w:val="24"/>
          <w:szCs w:val="24"/>
        </w:rPr>
        <w:t xml:space="preserve"> faydalanan firmaların kısa vadede istihdam ve satışlarını artırdığını</w:t>
      </w:r>
      <w:r w:rsidR="00515345" w:rsidRPr="00B03142">
        <w:rPr>
          <w:rFonts w:ascii="Times New Roman" w:hAnsi="Times New Roman" w:cs="Times New Roman"/>
          <w:sz w:val="24"/>
          <w:szCs w:val="24"/>
        </w:rPr>
        <w:t>,</w:t>
      </w:r>
      <w:r w:rsidR="00FF54AB" w:rsidRPr="00B03142">
        <w:rPr>
          <w:rFonts w:ascii="Times New Roman" w:hAnsi="Times New Roman" w:cs="Times New Roman"/>
          <w:sz w:val="24"/>
          <w:szCs w:val="24"/>
        </w:rPr>
        <w:t xml:space="preserve"> kredi temerrüt riskini azalttığını bulmuşlardır. </w:t>
      </w:r>
      <w:r w:rsidR="00281496" w:rsidRPr="00B03142">
        <w:rPr>
          <w:rFonts w:ascii="Times New Roman" w:hAnsi="Times New Roman" w:cs="Times New Roman"/>
          <w:sz w:val="24"/>
          <w:szCs w:val="24"/>
        </w:rPr>
        <w:t xml:space="preserve">Olumlu katkının en fazla bulunduğu sektörler toptan ve perakende ticaret, imalat sanayii ve inşaat sektörleridir. </w:t>
      </w:r>
      <w:r w:rsidR="00FF54AB" w:rsidRPr="00B03142">
        <w:rPr>
          <w:rFonts w:ascii="Times New Roman" w:hAnsi="Times New Roman" w:cs="Times New Roman"/>
          <w:sz w:val="24"/>
          <w:szCs w:val="24"/>
        </w:rPr>
        <w:t xml:space="preserve">Bu etkilerin firmaların büyüklüklerine ve faaliyet gösterdikleri sektöre göre farklılaştığını, KGF’nin küçük ölçekli, hizmet sektörü gibi emek yoğun ve toptan ve perakende </w:t>
      </w:r>
      <w:r w:rsidR="00FF54AB" w:rsidRPr="00B03142">
        <w:rPr>
          <w:rFonts w:ascii="Times New Roman" w:hAnsi="Times New Roman" w:cs="Times New Roman"/>
          <w:sz w:val="24"/>
          <w:szCs w:val="24"/>
        </w:rPr>
        <w:lastRenderedPageBreak/>
        <w:t>ticaret gibi iç piyasaya hizmet eden sektörlerde çalışan firmalarda daha etkin sonuçları yarattığını raporlamışlardır</w:t>
      </w:r>
      <w:r w:rsidR="00281496" w:rsidRPr="00B03142">
        <w:rPr>
          <w:rFonts w:ascii="Times New Roman" w:hAnsi="Times New Roman" w:cs="Times New Roman"/>
          <w:sz w:val="24"/>
          <w:szCs w:val="24"/>
        </w:rPr>
        <w:t>.</w:t>
      </w:r>
      <w:r w:rsidR="00FF54AB" w:rsidRPr="00B03142">
        <w:rPr>
          <w:rFonts w:ascii="Times New Roman" w:hAnsi="Times New Roman" w:cs="Times New Roman"/>
          <w:sz w:val="24"/>
          <w:szCs w:val="24"/>
        </w:rPr>
        <w:t xml:space="preserve"> </w:t>
      </w:r>
      <w:r w:rsidR="004F29FA" w:rsidRPr="00B03142">
        <w:rPr>
          <w:rFonts w:ascii="Times New Roman" w:hAnsi="Times New Roman" w:cs="Times New Roman"/>
          <w:sz w:val="24"/>
          <w:szCs w:val="24"/>
        </w:rPr>
        <w:t>Ayrıca</w:t>
      </w:r>
      <w:r w:rsidR="00FF54AB" w:rsidRPr="00B03142">
        <w:rPr>
          <w:rFonts w:ascii="Times New Roman" w:hAnsi="Times New Roman" w:cs="Times New Roman"/>
          <w:sz w:val="24"/>
          <w:szCs w:val="24"/>
        </w:rPr>
        <w:t xml:space="preserve"> KGF politikasının uzun vadeli etkilerinin </w:t>
      </w:r>
      <w:r w:rsidR="001F0025" w:rsidRPr="00B03142">
        <w:rPr>
          <w:rFonts w:ascii="Times New Roman" w:hAnsi="Times New Roman" w:cs="Times New Roman"/>
          <w:sz w:val="24"/>
          <w:szCs w:val="24"/>
        </w:rPr>
        <w:t xml:space="preserve">kısa dönemde yarattıkları olumlu katkılara göre </w:t>
      </w:r>
      <w:r w:rsidR="00FF54AB" w:rsidRPr="00B03142">
        <w:rPr>
          <w:rFonts w:ascii="Times New Roman" w:hAnsi="Times New Roman" w:cs="Times New Roman"/>
          <w:sz w:val="24"/>
          <w:szCs w:val="24"/>
        </w:rPr>
        <w:t>daha zayıf olduğunu ileri sürmüşlerdir.</w:t>
      </w:r>
      <w:r w:rsidR="00497A01" w:rsidRPr="00B03142">
        <w:rPr>
          <w:rFonts w:ascii="Times New Roman" w:hAnsi="Times New Roman" w:cs="Times New Roman"/>
          <w:sz w:val="24"/>
          <w:szCs w:val="24"/>
        </w:rPr>
        <w:t xml:space="preserve"> </w:t>
      </w:r>
      <w:r w:rsidR="00142249" w:rsidRPr="00B03142">
        <w:rPr>
          <w:rFonts w:ascii="Times New Roman" w:hAnsi="Times New Roman" w:cs="Times New Roman"/>
          <w:sz w:val="24"/>
          <w:szCs w:val="24"/>
        </w:rPr>
        <w:t xml:space="preserve">Demirhan ve Aldan (2021), 2005-2015 yılları arasında firma verisini kullanarak borçlanma kısıtının küçük ölçekli firmalarda istihdam değişimine negatif etkisi olduğunu göstermişlerdir. </w:t>
      </w:r>
      <w:r w:rsidR="00497A01" w:rsidRPr="00B03142">
        <w:rPr>
          <w:rFonts w:ascii="Times New Roman" w:hAnsi="Times New Roman" w:cs="Times New Roman"/>
          <w:sz w:val="24"/>
          <w:szCs w:val="24"/>
        </w:rPr>
        <w:t>Bağır ve Seven (2022) is</w:t>
      </w:r>
      <w:r w:rsidR="00142249" w:rsidRPr="00B03142">
        <w:rPr>
          <w:rFonts w:ascii="Times New Roman" w:hAnsi="Times New Roman" w:cs="Times New Roman"/>
          <w:sz w:val="24"/>
          <w:szCs w:val="24"/>
        </w:rPr>
        <w:t>e 2007-2018 dönemi firma verisini kullanarak yaptıkları analizde borçluluk artışının toplam faktör verimliliğini artırıcı etkisi olduğunu ve bu olumlu etkinin borçlanma kısıtı olan firmalarda daha fazla olduğunu bulmuşlardır.</w:t>
      </w:r>
    </w:p>
    <w:p w14:paraId="4008ACA4" w14:textId="6E1138CB" w:rsidR="007F39EA" w:rsidRPr="009B5921" w:rsidRDefault="007F39EA" w:rsidP="00AA3ED8">
      <w:pPr>
        <w:spacing w:after="0" w:line="276" w:lineRule="auto"/>
        <w:ind w:firstLine="360"/>
        <w:jc w:val="both"/>
        <w:rPr>
          <w:rFonts w:ascii="Times New Roman" w:hAnsi="Times New Roman" w:cs="Times New Roman"/>
          <w:color w:val="FF0000"/>
          <w:sz w:val="24"/>
          <w:szCs w:val="24"/>
        </w:rPr>
      </w:pPr>
      <w:r w:rsidRPr="00B03142">
        <w:rPr>
          <w:rFonts w:ascii="Times New Roman" w:hAnsi="Times New Roman" w:cs="Times New Roman"/>
          <w:sz w:val="24"/>
          <w:szCs w:val="24"/>
        </w:rPr>
        <w:t>Bu çalışmada</w:t>
      </w:r>
      <w:r w:rsidR="00142249" w:rsidRPr="00B03142">
        <w:rPr>
          <w:rFonts w:ascii="Times New Roman" w:hAnsi="Times New Roman" w:cs="Times New Roman"/>
          <w:sz w:val="24"/>
          <w:szCs w:val="24"/>
        </w:rPr>
        <w:t xml:space="preserve"> Türkiye üzerine yapılmış önceki çalışmaların sunduğu bilgiler ışığında sektörlerin kredi kullanımları, büyüme ve istihdam değişim</w:t>
      </w:r>
      <w:r w:rsidR="00D00A97" w:rsidRPr="00B03142">
        <w:rPr>
          <w:rFonts w:ascii="Times New Roman" w:hAnsi="Times New Roman" w:cs="Times New Roman"/>
          <w:sz w:val="24"/>
          <w:szCs w:val="24"/>
        </w:rPr>
        <w:t>leri</w:t>
      </w:r>
      <w:r w:rsidR="00142249" w:rsidRPr="00B03142">
        <w:rPr>
          <w:rFonts w:ascii="Times New Roman" w:hAnsi="Times New Roman" w:cs="Times New Roman"/>
          <w:sz w:val="24"/>
          <w:szCs w:val="24"/>
        </w:rPr>
        <w:t xml:space="preserve"> birlikte incelenerek, 2000’lerden itibaren </w:t>
      </w:r>
      <w:r w:rsidR="00A317D3" w:rsidRPr="00B03142">
        <w:rPr>
          <w:rFonts w:ascii="Times New Roman" w:hAnsi="Times New Roman" w:cs="Times New Roman"/>
          <w:sz w:val="24"/>
          <w:szCs w:val="24"/>
        </w:rPr>
        <w:t>kredi kullanımı</w:t>
      </w:r>
      <w:r w:rsidR="00142249" w:rsidRPr="00B03142">
        <w:rPr>
          <w:rFonts w:ascii="Times New Roman" w:hAnsi="Times New Roman" w:cs="Times New Roman"/>
          <w:sz w:val="24"/>
          <w:szCs w:val="24"/>
        </w:rPr>
        <w:t xml:space="preserve"> ve reel göstergelerin hareketlerini </w:t>
      </w:r>
      <w:r w:rsidR="001F0025" w:rsidRPr="00B03142">
        <w:rPr>
          <w:rFonts w:ascii="Times New Roman" w:hAnsi="Times New Roman" w:cs="Times New Roman"/>
          <w:sz w:val="24"/>
          <w:szCs w:val="24"/>
        </w:rPr>
        <w:t xml:space="preserve">sektör bazında </w:t>
      </w:r>
      <w:r w:rsidR="00142249" w:rsidRPr="00B03142">
        <w:rPr>
          <w:rFonts w:ascii="Times New Roman" w:hAnsi="Times New Roman" w:cs="Times New Roman"/>
          <w:sz w:val="24"/>
          <w:szCs w:val="24"/>
        </w:rPr>
        <w:t>özetleyen bir çe</w:t>
      </w:r>
      <w:r w:rsidR="004B353B" w:rsidRPr="00B03142">
        <w:rPr>
          <w:rFonts w:ascii="Times New Roman" w:hAnsi="Times New Roman" w:cs="Times New Roman"/>
          <w:sz w:val="24"/>
          <w:szCs w:val="24"/>
        </w:rPr>
        <w:t>rçeve sunulması hedeflenmektedir.</w:t>
      </w:r>
      <w:r w:rsidRPr="00B03142">
        <w:rPr>
          <w:rFonts w:ascii="Times New Roman" w:hAnsi="Times New Roman" w:cs="Times New Roman"/>
          <w:sz w:val="24"/>
          <w:szCs w:val="24"/>
        </w:rPr>
        <w:t xml:space="preserve"> </w:t>
      </w:r>
      <w:r w:rsidR="004B353B" w:rsidRPr="00B03142">
        <w:rPr>
          <w:rFonts w:ascii="Times New Roman" w:hAnsi="Times New Roman" w:cs="Times New Roman"/>
          <w:sz w:val="24"/>
          <w:szCs w:val="24"/>
        </w:rPr>
        <w:t xml:space="preserve">Çalışmada </w:t>
      </w:r>
      <w:r w:rsidRPr="00B03142">
        <w:rPr>
          <w:rFonts w:ascii="Times New Roman" w:hAnsi="Times New Roman" w:cs="Times New Roman"/>
          <w:sz w:val="24"/>
          <w:szCs w:val="24"/>
        </w:rPr>
        <w:t xml:space="preserve">sektörel kredi </w:t>
      </w:r>
      <w:r w:rsidR="00982CF9" w:rsidRPr="00B03142">
        <w:rPr>
          <w:rFonts w:ascii="Times New Roman" w:hAnsi="Times New Roman" w:cs="Times New Roman"/>
          <w:sz w:val="24"/>
          <w:szCs w:val="24"/>
        </w:rPr>
        <w:t xml:space="preserve">dağılımı analizlerinde kullanılan “Bankalarca Kullandıran Kredilerin Sektörel Dağılımı” verisi için Türkiye Bankalar Birliği </w:t>
      </w:r>
      <w:r w:rsidR="00C817D8" w:rsidRPr="00B03142">
        <w:rPr>
          <w:rFonts w:ascii="Times New Roman" w:hAnsi="Times New Roman" w:cs="Times New Roman"/>
          <w:sz w:val="24"/>
          <w:szCs w:val="24"/>
        </w:rPr>
        <w:t xml:space="preserve">(TBB) </w:t>
      </w:r>
      <w:r w:rsidR="00982CF9" w:rsidRPr="00B03142">
        <w:rPr>
          <w:rFonts w:ascii="Times New Roman" w:hAnsi="Times New Roman" w:cs="Times New Roman"/>
          <w:sz w:val="24"/>
          <w:szCs w:val="24"/>
        </w:rPr>
        <w:t xml:space="preserve">Risk Merkezi tarafından yayınlanan </w:t>
      </w:r>
      <w:r w:rsidR="004849A4" w:rsidRPr="00B03142">
        <w:rPr>
          <w:rFonts w:ascii="Times New Roman" w:hAnsi="Times New Roman" w:cs="Times New Roman"/>
          <w:sz w:val="24"/>
          <w:szCs w:val="24"/>
        </w:rPr>
        <w:t xml:space="preserve">aylık </w:t>
      </w:r>
      <w:r w:rsidR="00982CF9" w:rsidRPr="00B03142">
        <w:rPr>
          <w:rFonts w:ascii="Times New Roman" w:hAnsi="Times New Roman" w:cs="Times New Roman"/>
          <w:sz w:val="24"/>
          <w:szCs w:val="24"/>
        </w:rPr>
        <w:t>raporlar</w:t>
      </w:r>
      <w:r w:rsidR="004849A4" w:rsidRPr="00B03142">
        <w:rPr>
          <w:rFonts w:ascii="Times New Roman" w:hAnsi="Times New Roman" w:cs="Times New Roman"/>
          <w:sz w:val="24"/>
          <w:szCs w:val="24"/>
        </w:rPr>
        <w:t xml:space="preserve">dan her senenin </w:t>
      </w:r>
      <w:r w:rsidR="00074E2A" w:rsidRPr="00B03142">
        <w:rPr>
          <w:rFonts w:ascii="Times New Roman" w:hAnsi="Times New Roman" w:cs="Times New Roman"/>
          <w:sz w:val="24"/>
          <w:szCs w:val="24"/>
        </w:rPr>
        <w:t>aralık</w:t>
      </w:r>
      <w:r w:rsidR="004849A4" w:rsidRPr="00B03142">
        <w:rPr>
          <w:rFonts w:ascii="Times New Roman" w:hAnsi="Times New Roman" w:cs="Times New Roman"/>
          <w:sz w:val="24"/>
          <w:szCs w:val="24"/>
        </w:rPr>
        <w:t xml:space="preserve"> ayı raporu</w:t>
      </w:r>
      <w:r w:rsidR="00982CF9" w:rsidRPr="00B03142">
        <w:rPr>
          <w:rFonts w:ascii="Times New Roman" w:hAnsi="Times New Roman" w:cs="Times New Roman"/>
          <w:sz w:val="24"/>
          <w:szCs w:val="24"/>
        </w:rPr>
        <w:t xml:space="preserve"> kullanılmıştır. </w:t>
      </w:r>
      <w:r w:rsidR="004849A4" w:rsidRPr="00B03142">
        <w:rPr>
          <w:rFonts w:ascii="Times New Roman" w:hAnsi="Times New Roman" w:cs="Times New Roman"/>
          <w:sz w:val="24"/>
          <w:szCs w:val="24"/>
        </w:rPr>
        <w:t>Raporda “</w:t>
      </w:r>
      <w:r w:rsidR="004849A4" w:rsidRPr="00B03142">
        <w:rPr>
          <w:rFonts w:ascii="Times New Roman" w:hAnsi="Times New Roman" w:cs="Times New Roman"/>
          <w:i/>
          <w:sz w:val="24"/>
          <w:szCs w:val="24"/>
        </w:rPr>
        <w:t>Bankalarca Finansman Konularına Göre Firma Bazında Bildirimi Yapılan Nakdi Krediler ve Tasfiye Olunacak Krediler</w:t>
      </w:r>
      <w:r w:rsidR="004849A4" w:rsidRPr="00B03142">
        <w:rPr>
          <w:rFonts w:ascii="Times New Roman" w:hAnsi="Times New Roman" w:cs="Times New Roman"/>
          <w:sz w:val="24"/>
          <w:szCs w:val="24"/>
        </w:rPr>
        <w:t xml:space="preserve">” sunulmaktadır. Bu çalışmada sektörlere tahsis edilen krediler için söz konusu rapordaki sektörlerin nakdi kredileri ve tasfiye olunacak kredileri toplamı olan brüt krediler kullanılmıştır. </w:t>
      </w:r>
      <w:r w:rsidR="00982CF9" w:rsidRPr="00B03142">
        <w:rPr>
          <w:rFonts w:ascii="Times New Roman" w:hAnsi="Times New Roman" w:cs="Times New Roman"/>
          <w:sz w:val="24"/>
          <w:szCs w:val="24"/>
        </w:rPr>
        <w:t>Sektör bazlı üretim ve istihdam verileri Türkiye İstatistik Kurumu</w:t>
      </w:r>
      <w:r w:rsidR="005E4E43" w:rsidRPr="00B03142">
        <w:rPr>
          <w:rFonts w:ascii="Times New Roman" w:hAnsi="Times New Roman" w:cs="Times New Roman"/>
          <w:sz w:val="24"/>
          <w:szCs w:val="24"/>
        </w:rPr>
        <w:t xml:space="preserve"> (TÜİK)</w:t>
      </w:r>
      <w:r w:rsidR="00982CF9" w:rsidRPr="00B03142">
        <w:rPr>
          <w:rFonts w:ascii="Times New Roman" w:hAnsi="Times New Roman" w:cs="Times New Roman"/>
          <w:sz w:val="24"/>
          <w:szCs w:val="24"/>
        </w:rPr>
        <w:t xml:space="preserve"> veri tabanından alınmıştır. </w:t>
      </w:r>
      <w:r w:rsidR="00890DB8" w:rsidRPr="00B03142">
        <w:rPr>
          <w:rFonts w:ascii="Times New Roman" w:hAnsi="Times New Roman" w:cs="Times New Roman"/>
          <w:sz w:val="24"/>
          <w:szCs w:val="24"/>
        </w:rPr>
        <w:t xml:space="preserve">Farklı dönemlerde farklı kırılımlarda sunulan sektörel üretim, istihdam ve krediler bu çalışmada 9 sektörde toplulaştırılmıştır: </w:t>
      </w:r>
      <w:bookmarkStart w:id="1" w:name="_Hlk120015602"/>
      <w:r w:rsidR="00890DB8" w:rsidRPr="00B03142">
        <w:rPr>
          <w:rFonts w:ascii="Times New Roman" w:hAnsi="Times New Roman" w:cs="Times New Roman"/>
          <w:sz w:val="24"/>
          <w:szCs w:val="24"/>
        </w:rPr>
        <w:t xml:space="preserve">tarım (TAR); madencilik (MAD); elektrik, gaz ve su faaliyetleri (EGS); inşaat (İNŞ), toptan ve perakende ticaret ile konaklama ve yiyecek hizmetleri </w:t>
      </w:r>
      <w:r w:rsidR="00015F94" w:rsidRPr="00B03142">
        <w:rPr>
          <w:rFonts w:ascii="Times New Roman" w:hAnsi="Times New Roman" w:cs="Times New Roman"/>
          <w:sz w:val="24"/>
          <w:szCs w:val="24"/>
        </w:rPr>
        <w:t xml:space="preserve">(TİC); ulaştırma, haberleşme ve depolama faaliyetleri </w:t>
      </w:r>
      <w:r w:rsidR="00665F23" w:rsidRPr="00B03142">
        <w:rPr>
          <w:rFonts w:ascii="Times New Roman" w:hAnsi="Times New Roman" w:cs="Times New Roman"/>
          <w:sz w:val="24"/>
          <w:szCs w:val="24"/>
        </w:rPr>
        <w:t xml:space="preserve">ile bilgi ve iletişim </w:t>
      </w:r>
      <w:r w:rsidR="00015F94" w:rsidRPr="00B03142">
        <w:rPr>
          <w:rFonts w:ascii="Times New Roman" w:hAnsi="Times New Roman" w:cs="Times New Roman"/>
          <w:sz w:val="24"/>
          <w:szCs w:val="24"/>
        </w:rPr>
        <w:t xml:space="preserve">(UHD); </w:t>
      </w:r>
      <w:r w:rsidR="003F7B81" w:rsidRPr="00B03142">
        <w:rPr>
          <w:rFonts w:ascii="Times New Roman" w:hAnsi="Times New Roman" w:cs="Times New Roman"/>
          <w:sz w:val="24"/>
          <w:szCs w:val="24"/>
        </w:rPr>
        <w:t>finansal, idari, gayrimenkul ve mesleki faaliyetler (FİGM); devlet, kültür ve özel hizmetler (DKÖH)</w:t>
      </w:r>
      <w:bookmarkEnd w:id="1"/>
      <w:r w:rsidR="003F7B81" w:rsidRPr="00B03142">
        <w:rPr>
          <w:rFonts w:ascii="Times New Roman" w:hAnsi="Times New Roman" w:cs="Times New Roman"/>
          <w:sz w:val="24"/>
          <w:szCs w:val="24"/>
        </w:rPr>
        <w:t>.</w:t>
      </w:r>
      <w:r w:rsidR="00316DB8" w:rsidRPr="00B03142">
        <w:rPr>
          <w:rStyle w:val="FootnoteReference"/>
          <w:rFonts w:ascii="Times New Roman" w:hAnsi="Times New Roman" w:cs="Times New Roman"/>
          <w:sz w:val="24"/>
          <w:szCs w:val="24"/>
        </w:rPr>
        <w:footnoteReference w:id="5"/>
      </w:r>
      <w:r w:rsidR="003F7B81" w:rsidRPr="00B03142">
        <w:rPr>
          <w:rFonts w:ascii="Times New Roman" w:hAnsi="Times New Roman" w:cs="Times New Roman"/>
          <w:sz w:val="24"/>
          <w:szCs w:val="24"/>
        </w:rPr>
        <w:t xml:space="preserve"> </w:t>
      </w:r>
      <w:r w:rsidR="003C423A" w:rsidRPr="00B03142">
        <w:rPr>
          <w:rFonts w:ascii="Times New Roman" w:hAnsi="Times New Roman" w:cs="Times New Roman"/>
          <w:sz w:val="24"/>
          <w:szCs w:val="24"/>
        </w:rPr>
        <w:t xml:space="preserve">Veriyle ilgili daha fazla detay ve sektörlerin toplulaştırılmasıyla ilgili bilgiler Ek </w:t>
      </w:r>
      <w:r w:rsidR="00EB2695" w:rsidRPr="00B03142">
        <w:rPr>
          <w:rFonts w:ascii="Times New Roman" w:hAnsi="Times New Roman" w:cs="Times New Roman"/>
          <w:sz w:val="24"/>
          <w:szCs w:val="24"/>
        </w:rPr>
        <w:t xml:space="preserve">A’da </w:t>
      </w:r>
      <w:r w:rsidR="003C423A" w:rsidRPr="00B03142">
        <w:rPr>
          <w:rFonts w:ascii="Times New Roman" w:hAnsi="Times New Roman" w:cs="Times New Roman"/>
          <w:sz w:val="24"/>
          <w:szCs w:val="24"/>
        </w:rPr>
        <w:t>okuyucuya sunulmaktadır.</w:t>
      </w:r>
      <w:r w:rsidR="009B5921">
        <w:rPr>
          <w:rFonts w:ascii="Times New Roman" w:hAnsi="Times New Roman" w:cs="Times New Roman"/>
          <w:color w:val="FF0000"/>
          <w:sz w:val="24"/>
          <w:szCs w:val="24"/>
        </w:rPr>
        <w:t xml:space="preserve"> </w:t>
      </w:r>
    </w:p>
    <w:p w14:paraId="26999FD6" w14:textId="77777777" w:rsidR="009B5921" w:rsidRDefault="00804F96" w:rsidP="00AA3ED8">
      <w:pPr>
        <w:spacing w:after="0" w:line="276" w:lineRule="auto"/>
        <w:ind w:firstLine="360"/>
        <w:jc w:val="both"/>
        <w:rPr>
          <w:rFonts w:ascii="Times New Roman" w:hAnsi="Times New Roman" w:cs="Times New Roman"/>
          <w:sz w:val="24"/>
          <w:szCs w:val="24"/>
        </w:rPr>
      </w:pPr>
      <w:r w:rsidRPr="00B03142">
        <w:rPr>
          <w:rFonts w:ascii="Times New Roman" w:hAnsi="Times New Roman" w:cs="Times New Roman"/>
          <w:sz w:val="24"/>
          <w:szCs w:val="24"/>
        </w:rPr>
        <w:t>2000’lerin başından itibaren firmalara tahsis edilen kredilerin sektörel kompozisyonuyla ilgili bulgular</w:t>
      </w:r>
      <w:r w:rsidR="00156F59" w:rsidRPr="00B03142">
        <w:rPr>
          <w:rFonts w:ascii="Times New Roman" w:hAnsi="Times New Roman" w:cs="Times New Roman"/>
          <w:sz w:val="24"/>
          <w:szCs w:val="24"/>
        </w:rPr>
        <w:t xml:space="preserve">ın başında, </w:t>
      </w:r>
      <w:r w:rsidRPr="00B03142">
        <w:rPr>
          <w:rFonts w:ascii="Times New Roman" w:hAnsi="Times New Roman" w:cs="Times New Roman"/>
          <w:sz w:val="24"/>
          <w:szCs w:val="24"/>
        </w:rPr>
        <w:t xml:space="preserve">kredi kullanım payı en yüksek olan İMA sektörünün son yirmi yılda firmalara tahsis edilen toplam krediler içindeki payı yaklaşık yarı yarıya azalması, buna karşılık başta EGS, FİGM, UHD sektörleri olmak üzere diğer sektörlerin kullanım payları </w:t>
      </w:r>
      <w:r w:rsidR="00156F59" w:rsidRPr="00B03142">
        <w:rPr>
          <w:rFonts w:ascii="Times New Roman" w:hAnsi="Times New Roman" w:cs="Times New Roman"/>
          <w:sz w:val="24"/>
          <w:szCs w:val="24"/>
        </w:rPr>
        <w:t>artması gelmektedir. Kredi genişleme dönemlerini kaynak yaratımıyla ilgili itici güçlerin farklılaşmasına göre sınıfladığımızda 2004 – 2008 döneminde ülkedeki yapısal reformlar kaynaklı sermaye akışının kredi genişlemesinde itici güç olduğu</w:t>
      </w:r>
      <w:r w:rsidR="00D50006" w:rsidRPr="00B03142">
        <w:rPr>
          <w:rFonts w:ascii="Times New Roman" w:hAnsi="Times New Roman" w:cs="Times New Roman"/>
          <w:sz w:val="24"/>
          <w:szCs w:val="24"/>
        </w:rPr>
        <w:t xml:space="preserve"> süreçte son 20 yılın</w:t>
      </w:r>
      <w:r w:rsidR="00156F59" w:rsidRPr="00B03142">
        <w:rPr>
          <w:rFonts w:ascii="Times New Roman" w:hAnsi="Times New Roman" w:cs="Times New Roman"/>
          <w:sz w:val="24"/>
          <w:szCs w:val="24"/>
        </w:rPr>
        <w:t xml:space="preserve"> en yüksek reel kredi artışı gerçeklemiştir</w:t>
      </w:r>
      <w:r w:rsidR="00D50006" w:rsidRPr="00B03142">
        <w:rPr>
          <w:rFonts w:ascii="Times New Roman" w:hAnsi="Times New Roman" w:cs="Times New Roman"/>
          <w:sz w:val="24"/>
          <w:szCs w:val="24"/>
        </w:rPr>
        <w:t>. Bunu</w:t>
      </w:r>
      <w:r w:rsidR="00156F59" w:rsidRPr="00B03142">
        <w:rPr>
          <w:rFonts w:ascii="Times New Roman" w:hAnsi="Times New Roman" w:cs="Times New Roman"/>
          <w:sz w:val="24"/>
          <w:szCs w:val="24"/>
        </w:rPr>
        <w:t xml:space="preserve"> 2009 sonrasında gelişmiş ülkelerin parasal genişleme politikaları sonucu kredilerde artış yaşandığı</w:t>
      </w:r>
      <w:r w:rsidR="00D50006" w:rsidRPr="00B03142">
        <w:rPr>
          <w:rFonts w:ascii="Times New Roman" w:hAnsi="Times New Roman" w:cs="Times New Roman"/>
          <w:sz w:val="24"/>
          <w:szCs w:val="24"/>
        </w:rPr>
        <w:t xml:space="preserve"> dönem izlemiştir. </w:t>
      </w:r>
    </w:p>
    <w:p w14:paraId="6FC0D815" w14:textId="77777777" w:rsidR="009B5921" w:rsidRDefault="00D50006" w:rsidP="00AA3ED8">
      <w:pPr>
        <w:spacing w:after="0" w:line="276" w:lineRule="auto"/>
        <w:ind w:firstLine="360"/>
        <w:jc w:val="both"/>
        <w:rPr>
          <w:rFonts w:ascii="Times New Roman" w:hAnsi="Times New Roman" w:cs="Times New Roman"/>
          <w:sz w:val="24"/>
          <w:szCs w:val="24"/>
        </w:rPr>
      </w:pPr>
      <w:r w:rsidRPr="00B03142">
        <w:rPr>
          <w:rFonts w:ascii="Times New Roman" w:hAnsi="Times New Roman" w:cs="Times New Roman"/>
          <w:sz w:val="24"/>
          <w:szCs w:val="24"/>
        </w:rPr>
        <w:t xml:space="preserve">2016 sonrasındaki kredi genişlemeleri yerel politikalar kaynaklıdır. 2016 öncesi ve sonrası sektörlerin reel kredi kullanımlarında en belirgin farklılık gösteren sektör İNŞ olmuştur. </w:t>
      </w:r>
      <w:r w:rsidR="00DD3E61">
        <w:rPr>
          <w:rFonts w:ascii="Times New Roman" w:hAnsi="Times New Roman" w:cs="Times New Roman"/>
          <w:sz w:val="24"/>
          <w:szCs w:val="24"/>
        </w:rPr>
        <w:t>Yapısal reformlar kaynaklı ve</w:t>
      </w:r>
      <w:r w:rsidR="009F73B2">
        <w:rPr>
          <w:rFonts w:ascii="Times New Roman" w:hAnsi="Times New Roman" w:cs="Times New Roman"/>
          <w:sz w:val="24"/>
          <w:szCs w:val="24"/>
        </w:rPr>
        <w:t xml:space="preserve"> daha sonraki</w:t>
      </w:r>
      <w:r w:rsidR="00DD3E61">
        <w:rPr>
          <w:rFonts w:ascii="Times New Roman" w:hAnsi="Times New Roman" w:cs="Times New Roman"/>
          <w:sz w:val="24"/>
          <w:szCs w:val="24"/>
        </w:rPr>
        <w:t xml:space="preserve"> </w:t>
      </w:r>
      <w:r w:rsidR="009F73B2">
        <w:rPr>
          <w:rFonts w:ascii="Times New Roman" w:hAnsi="Times New Roman" w:cs="Times New Roman"/>
          <w:sz w:val="24"/>
          <w:szCs w:val="24"/>
        </w:rPr>
        <w:t xml:space="preserve">uluslararası </w:t>
      </w:r>
      <w:r w:rsidR="00DD3E61">
        <w:rPr>
          <w:rFonts w:ascii="Times New Roman" w:hAnsi="Times New Roman" w:cs="Times New Roman"/>
          <w:sz w:val="24"/>
          <w:szCs w:val="24"/>
        </w:rPr>
        <w:t>parasal genişleme kaynaklı kredi genişlemelerin</w:t>
      </w:r>
      <w:r w:rsidR="009F73B2">
        <w:rPr>
          <w:rFonts w:ascii="Times New Roman" w:hAnsi="Times New Roman" w:cs="Times New Roman"/>
          <w:sz w:val="24"/>
          <w:szCs w:val="24"/>
        </w:rPr>
        <w:t>in</w:t>
      </w:r>
      <w:r w:rsidR="00DD3E61">
        <w:rPr>
          <w:rFonts w:ascii="Times New Roman" w:hAnsi="Times New Roman" w:cs="Times New Roman"/>
          <w:sz w:val="24"/>
          <w:szCs w:val="24"/>
        </w:rPr>
        <w:t xml:space="preserve"> yaşandığı </w:t>
      </w:r>
      <w:r w:rsidR="009F73B2">
        <w:rPr>
          <w:rFonts w:ascii="Times New Roman" w:hAnsi="Times New Roman" w:cs="Times New Roman"/>
          <w:sz w:val="24"/>
          <w:szCs w:val="24"/>
        </w:rPr>
        <w:t>dönemlerde</w:t>
      </w:r>
      <w:r w:rsidR="00DD3E61">
        <w:rPr>
          <w:rFonts w:ascii="Times New Roman" w:hAnsi="Times New Roman" w:cs="Times New Roman"/>
          <w:sz w:val="24"/>
          <w:szCs w:val="24"/>
        </w:rPr>
        <w:t xml:space="preserve"> tüm sektörler büyüme ve istihdam artışı yaşamıştır ancak İNŞ sektöründe gözlenen büyüme ve istihdam artışları ekonominin genelinden ve diğer sektörlerden belirgin bir </w:t>
      </w:r>
      <w:r w:rsidR="00DD3E61">
        <w:rPr>
          <w:rFonts w:ascii="Times New Roman" w:hAnsi="Times New Roman" w:cs="Times New Roman"/>
          <w:sz w:val="24"/>
          <w:szCs w:val="24"/>
        </w:rPr>
        <w:lastRenderedPageBreak/>
        <w:t xml:space="preserve">şekilde </w:t>
      </w:r>
      <w:r w:rsidR="009F73B2">
        <w:rPr>
          <w:rFonts w:ascii="Times New Roman" w:hAnsi="Times New Roman" w:cs="Times New Roman"/>
          <w:sz w:val="24"/>
          <w:szCs w:val="24"/>
        </w:rPr>
        <w:t xml:space="preserve">yukarı yönlü </w:t>
      </w:r>
      <w:r w:rsidR="00DD3E61">
        <w:rPr>
          <w:rFonts w:ascii="Times New Roman" w:hAnsi="Times New Roman" w:cs="Times New Roman"/>
          <w:sz w:val="24"/>
          <w:szCs w:val="24"/>
        </w:rPr>
        <w:t xml:space="preserve">ayrışmıştır. </w:t>
      </w:r>
      <w:r w:rsidRPr="00B03142">
        <w:rPr>
          <w:rFonts w:ascii="Times New Roman" w:hAnsi="Times New Roman" w:cs="Times New Roman"/>
          <w:sz w:val="24"/>
          <w:szCs w:val="24"/>
        </w:rPr>
        <w:t xml:space="preserve">2017-2018 yıllarında </w:t>
      </w:r>
      <w:r w:rsidR="00DD3E61">
        <w:rPr>
          <w:rFonts w:ascii="Times New Roman" w:hAnsi="Times New Roman" w:cs="Times New Roman"/>
          <w:sz w:val="24"/>
          <w:szCs w:val="24"/>
        </w:rPr>
        <w:t xml:space="preserve">da </w:t>
      </w:r>
      <w:r w:rsidR="009F73B2">
        <w:rPr>
          <w:rFonts w:ascii="Times New Roman" w:hAnsi="Times New Roman" w:cs="Times New Roman"/>
          <w:sz w:val="24"/>
          <w:szCs w:val="24"/>
        </w:rPr>
        <w:t xml:space="preserve">İNŞ sektörü </w:t>
      </w:r>
      <w:r w:rsidRPr="00B03142">
        <w:rPr>
          <w:rFonts w:ascii="Times New Roman" w:hAnsi="Times New Roman" w:cs="Times New Roman"/>
          <w:sz w:val="24"/>
          <w:szCs w:val="24"/>
        </w:rPr>
        <w:t>KGF politikası sonucu kredi kullanımında başı çeke</w:t>
      </w:r>
      <w:r w:rsidR="009507A2" w:rsidRPr="00B03142">
        <w:rPr>
          <w:rFonts w:ascii="Times New Roman" w:hAnsi="Times New Roman" w:cs="Times New Roman"/>
          <w:sz w:val="24"/>
          <w:szCs w:val="24"/>
        </w:rPr>
        <w:t>n sektörlerden biri olmasına rağ</w:t>
      </w:r>
      <w:r w:rsidRPr="00B03142">
        <w:rPr>
          <w:rFonts w:ascii="Times New Roman" w:hAnsi="Times New Roman" w:cs="Times New Roman"/>
          <w:sz w:val="24"/>
          <w:szCs w:val="24"/>
        </w:rPr>
        <w:t xml:space="preserve">men bu dönemde </w:t>
      </w:r>
      <w:r w:rsidR="00DD3E61" w:rsidRPr="00B03142">
        <w:rPr>
          <w:rFonts w:ascii="Times New Roman" w:hAnsi="Times New Roman" w:cs="Times New Roman"/>
          <w:sz w:val="24"/>
          <w:szCs w:val="24"/>
        </w:rPr>
        <w:t>hem üretim hem istihdamda daralmalar yaşamış</w:t>
      </w:r>
      <w:r w:rsidR="009F73B2">
        <w:rPr>
          <w:rFonts w:ascii="Times New Roman" w:hAnsi="Times New Roman" w:cs="Times New Roman"/>
          <w:sz w:val="24"/>
          <w:szCs w:val="24"/>
        </w:rPr>
        <w:t xml:space="preserve"> ve </w:t>
      </w:r>
      <w:r w:rsidR="00570B9B" w:rsidRPr="00B03142">
        <w:rPr>
          <w:rFonts w:ascii="Times New Roman" w:hAnsi="Times New Roman" w:cs="Times New Roman"/>
          <w:sz w:val="24"/>
          <w:szCs w:val="24"/>
        </w:rPr>
        <w:t xml:space="preserve">diğer sektörlerden </w:t>
      </w:r>
      <w:r w:rsidR="009F73B2">
        <w:rPr>
          <w:rFonts w:ascii="Times New Roman" w:hAnsi="Times New Roman" w:cs="Times New Roman"/>
          <w:sz w:val="24"/>
          <w:szCs w:val="24"/>
        </w:rPr>
        <w:t>bu sefer ters yönde ayrışmıştır</w:t>
      </w:r>
      <w:r w:rsidRPr="00B03142">
        <w:rPr>
          <w:rFonts w:ascii="Times New Roman" w:hAnsi="Times New Roman" w:cs="Times New Roman"/>
          <w:sz w:val="24"/>
          <w:szCs w:val="24"/>
        </w:rPr>
        <w:t xml:space="preserve">. </w:t>
      </w:r>
    </w:p>
    <w:p w14:paraId="150F72DE" w14:textId="1B42E110" w:rsidR="00804F96" w:rsidRPr="00B03142" w:rsidRDefault="00D50006" w:rsidP="00AA3ED8">
      <w:pPr>
        <w:spacing w:after="0" w:line="276" w:lineRule="auto"/>
        <w:ind w:firstLine="360"/>
        <w:jc w:val="both"/>
        <w:rPr>
          <w:rFonts w:ascii="Times New Roman" w:hAnsi="Times New Roman" w:cs="Times New Roman"/>
          <w:sz w:val="24"/>
          <w:szCs w:val="24"/>
        </w:rPr>
      </w:pPr>
      <w:r w:rsidRPr="00B03142">
        <w:rPr>
          <w:rFonts w:ascii="Times New Roman" w:hAnsi="Times New Roman" w:cs="Times New Roman"/>
          <w:sz w:val="24"/>
          <w:szCs w:val="24"/>
        </w:rPr>
        <w:t xml:space="preserve">Uzun dönemli reel kredi değişimi ve reel büyüklükler değişimi ilişkisi sektör bazında incelendiğinde </w:t>
      </w:r>
      <w:r w:rsidR="00570B9B" w:rsidRPr="00B03142">
        <w:rPr>
          <w:rFonts w:ascii="Times New Roman" w:hAnsi="Times New Roman" w:cs="Times New Roman"/>
          <w:sz w:val="24"/>
          <w:szCs w:val="24"/>
        </w:rPr>
        <w:t>ise neredeyse sektörlerin tamamı</w:t>
      </w:r>
      <w:r w:rsidRPr="00B03142">
        <w:rPr>
          <w:rFonts w:ascii="Times New Roman" w:hAnsi="Times New Roman" w:cs="Times New Roman"/>
          <w:sz w:val="24"/>
          <w:szCs w:val="24"/>
        </w:rPr>
        <w:t xml:space="preserve"> için kredi değişikliği</w:t>
      </w:r>
      <w:r w:rsidR="00570B9B" w:rsidRPr="00B03142">
        <w:rPr>
          <w:rFonts w:ascii="Times New Roman" w:hAnsi="Times New Roman" w:cs="Times New Roman"/>
          <w:sz w:val="24"/>
          <w:szCs w:val="24"/>
        </w:rPr>
        <w:t>nin</w:t>
      </w:r>
      <w:r w:rsidRPr="00B03142">
        <w:rPr>
          <w:rFonts w:ascii="Times New Roman" w:hAnsi="Times New Roman" w:cs="Times New Roman"/>
          <w:sz w:val="24"/>
          <w:szCs w:val="24"/>
        </w:rPr>
        <w:t xml:space="preserve"> yaşa</w:t>
      </w:r>
      <w:r w:rsidR="00570B9B" w:rsidRPr="00B03142">
        <w:rPr>
          <w:rFonts w:ascii="Times New Roman" w:hAnsi="Times New Roman" w:cs="Times New Roman"/>
          <w:sz w:val="24"/>
          <w:szCs w:val="24"/>
        </w:rPr>
        <w:t>n</w:t>
      </w:r>
      <w:r w:rsidRPr="00B03142">
        <w:rPr>
          <w:rFonts w:ascii="Times New Roman" w:hAnsi="Times New Roman" w:cs="Times New Roman"/>
          <w:sz w:val="24"/>
          <w:szCs w:val="24"/>
        </w:rPr>
        <w:t>dığı dönemden sonraki dönem</w:t>
      </w:r>
      <w:r w:rsidR="00570B9B" w:rsidRPr="00B03142">
        <w:rPr>
          <w:rFonts w:ascii="Times New Roman" w:hAnsi="Times New Roman" w:cs="Times New Roman"/>
          <w:sz w:val="24"/>
          <w:szCs w:val="24"/>
        </w:rPr>
        <w:t>lerde</w:t>
      </w:r>
      <w:r w:rsidRPr="00B03142">
        <w:rPr>
          <w:rFonts w:ascii="Times New Roman" w:hAnsi="Times New Roman" w:cs="Times New Roman"/>
          <w:sz w:val="24"/>
          <w:szCs w:val="24"/>
        </w:rPr>
        <w:t xml:space="preserve"> </w:t>
      </w:r>
      <w:r w:rsidR="00570B9B" w:rsidRPr="00B03142">
        <w:rPr>
          <w:rFonts w:ascii="Times New Roman" w:hAnsi="Times New Roman" w:cs="Times New Roman"/>
          <w:sz w:val="24"/>
          <w:szCs w:val="24"/>
        </w:rPr>
        <w:t xml:space="preserve">kredi değişiminin </w:t>
      </w:r>
      <w:r w:rsidRPr="00B03142">
        <w:rPr>
          <w:rFonts w:ascii="Times New Roman" w:hAnsi="Times New Roman" w:cs="Times New Roman"/>
          <w:sz w:val="24"/>
          <w:szCs w:val="24"/>
        </w:rPr>
        <w:t>büyüme ve istihdam değiş</w:t>
      </w:r>
      <w:r w:rsidR="00570B9B" w:rsidRPr="00B03142">
        <w:rPr>
          <w:rFonts w:ascii="Times New Roman" w:hAnsi="Times New Roman" w:cs="Times New Roman"/>
          <w:sz w:val="24"/>
          <w:szCs w:val="24"/>
        </w:rPr>
        <w:t>imiyle</w:t>
      </w:r>
      <w:r w:rsidRPr="00B03142">
        <w:rPr>
          <w:rFonts w:ascii="Times New Roman" w:hAnsi="Times New Roman" w:cs="Times New Roman"/>
          <w:sz w:val="24"/>
          <w:szCs w:val="24"/>
        </w:rPr>
        <w:t xml:space="preserve"> istatiksel olarak anlamlı bir korelasyon</w:t>
      </w:r>
      <w:r w:rsidR="00570B9B" w:rsidRPr="00B03142">
        <w:rPr>
          <w:rFonts w:ascii="Times New Roman" w:hAnsi="Times New Roman" w:cs="Times New Roman"/>
          <w:sz w:val="24"/>
          <w:szCs w:val="24"/>
        </w:rPr>
        <w:t>a sahip olmadığı</w:t>
      </w:r>
      <w:r w:rsidRPr="00B03142">
        <w:rPr>
          <w:rFonts w:ascii="Times New Roman" w:hAnsi="Times New Roman" w:cs="Times New Roman"/>
          <w:sz w:val="24"/>
          <w:szCs w:val="24"/>
        </w:rPr>
        <w:t xml:space="preserve"> gözlenmiştir. Anlamlı bulunan korelasyonlar ya bir önceki dönem ya da cari dönem istihdam değişimi ve büyümesiyle olmuştur.</w:t>
      </w:r>
      <w:r w:rsidR="008870BD" w:rsidRPr="00B03142">
        <w:rPr>
          <w:rFonts w:ascii="Times New Roman" w:hAnsi="Times New Roman" w:cs="Times New Roman"/>
          <w:sz w:val="24"/>
          <w:szCs w:val="24"/>
        </w:rPr>
        <w:t xml:space="preserve"> Bu da sınırlı sayıda sektörde gözlenmiştir</w:t>
      </w:r>
      <w:r w:rsidR="002358BB" w:rsidRPr="00B03142">
        <w:rPr>
          <w:rFonts w:ascii="Times New Roman" w:hAnsi="Times New Roman" w:cs="Times New Roman"/>
          <w:sz w:val="24"/>
          <w:szCs w:val="24"/>
        </w:rPr>
        <w:t xml:space="preserve"> ve yüksek olmayan sevi</w:t>
      </w:r>
      <w:r w:rsidR="00742C6C" w:rsidRPr="00B03142">
        <w:rPr>
          <w:rFonts w:ascii="Times New Roman" w:hAnsi="Times New Roman" w:cs="Times New Roman"/>
          <w:sz w:val="24"/>
          <w:szCs w:val="24"/>
        </w:rPr>
        <w:t>ye</w:t>
      </w:r>
      <w:r w:rsidR="002358BB" w:rsidRPr="00B03142">
        <w:rPr>
          <w:rFonts w:ascii="Times New Roman" w:hAnsi="Times New Roman" w:cs="Times New Roman"/>
          <w:sz w:val="24"/>
          <w:szCs w:val="24"/>
        </w:rPr>
        <w:t>lerdedir</w:t>
      </w:r>
      <w:r w:rsidR="008870BD" w:rsidRPr="00B03142">
        <w:rPr>
          <w:rFonts w:ascii="Times New Roman" w:hAnsi="Times New Roman" w:cs="Times New Roman"/>
          <w:sz w:val="24"/>
          <w:szCs w:val="24"/>
        </w:rPr>
        <w:t>.</w:t>
      </w:r>
      <w:r w:rsidR="00570B9B" w:rsidRPr="00B03142">
        <w:rPr>
          <w:rFonts w:ascii="Times New Roman" w:hAnsi="Times New Roman" w:cs="Times New Roman"/>
          <w:sz w:val="24"/>
          <w:szCs w:val="24"/>
        </w:rPr>
        <w:t xml:space="preserve"> </w:t>
      </w:r>
      <w:r w:rsidR="009F73B2">
        <w:rPr>
          <w:rFonts w:ascii="Times New Roman" w:hAnsi="Times New Roman" w:cs="Times New Roman"/>
          <w:sz w:val="24"/>
          <w:szCs w:val="24"/>
        </w:rPr>
        <w:t xml:space="preserve">Öte yandan </w:t>
      </w:r>
      <w:r w:rsidR="00BD0653">
        <w:rPr>
          <w:rFonts w:ascii="Times New Roman" w:hAnsi="Times New Roman" w:cs="Times New Roman"/>
          <w:sz w:val="24"/>
          <w:szCs w:val="24"/>
        </w:rPr>
        <w:t xml:space="preserve">sektörlerin </w:t>
      </w:r>
      <w:r w:rsidR="009F73B2">
        <w:rPr>
          <w:rFonts w:ascii="Times New Roman" w:hAnsi="Times New Roman" w:cs="Times New Roman"/>
          <w:sz w:val="24"/>
          <w:szCs w:val="24"/>
        </w:rPr>
        <w:t>k</w:t>
      </w:r>
      <w:r w:rsidR="00570B9B" w:rsidRPr="00B03142">
        <w:rPr>
          <w:rFonts w:ascii="Times New Roman" w:hAnsi="Times New Roman" w:cs="Times New Roman"/>
          <w:sz w:val="24"/>
          <w:szCs w:val="24"/>
        </w:rPr>
        <w:t>redi pay</w:t>
      </w:r>
      <w:r w:rsidR="00BD0653">
        <w:rPr>
          <w:rFonts w:ascii="Times New Roman" w:hAnsi="Times New Roman" w:cs="Times New Roman"/>
          <w:sz w:val="24"/>
          <w:szCs w:val="24"/>
        </w:rPr>
        <w:t>ları ile üretim ve istihdam payları</w:t>
      </w:r>
      <w:r w:rsidR="005634DA">
        <w:rPr>
          <w:rFonts w:ascii="Times New Roman" w:hAnsi="Times New Roman" w:cs="Times New Roman"/>
          <w:sz w:val="24"/>
          <w:szCs w:val="24"/>
        </w:rPr>
        <w:t xml:space="preserve">nın, özellikle EGS, İNŞ ve FİGM sektörlerinde, birbirleriyle ilişkili olduğu gözlenmiştir. </w:t>
      </w:r>
    </w:p>
    <w:p w14:paraId="682316B7" w14:textId="3FFA6371" w:rsidR="00A317D3" w:rsidRPr="00B03142" w:rsidRDefault="0079557B" w:rsidP="00AA3ED8">
      <w:pPr>
        <w:spacing w:after="0" w:line="276" w:lineRule="auto"/>
        <w:ind w:firstLine="360"/>
        <w:jc w:val="both"/>
        <w:rPr>
          <w:rFonts w:ascii="Times New Roman" w:hAnsi="Times New Roman" w:cs="Times New Roman"/>
          <w:sz w:val="24"/>
          <w:szCs w:val="24"/>
        </w:rPr>
      </w:pPr>
      <w:r w:rsidRPr="00B03142">
        <w:rPr>
          <w:rFonts w:ascii="Times New Roman" w:hAnsi="Times New Roman" w:cs="Times New Roman"/>
          <w:sz w:val="24"/>
          <w:szCs w:val="24"/>
        </w:rPr>
        <w:t>Çalışma</w:t>
      </w:r>
      <w:r w:rsidR="00A14964" w:rsidRPr="00B03142">
        <w:rPr>
          <w:rFonts w:ascii="Times New Roman" w:hAnsi="Times New Roman" w:cs="Times New Roman"/>
          <w:sz w:val="24"/>
          <w:szCs w:val="24"/>
        </w:rPr>
        <w:t>nın devamı</w:t>
      </w:r>
      <w:r w:rsidRPr="00B03142">
        <w:rPr>
          <w:rFonts w:ascii="Times New Roman" w:hAnsi="Times New Roman" w:cs="Times New Roman"/>
          <w:sz w:val="24"/>
          <w:szCs w:val="24"/>
        </w:rPr>
        <w:t xml:space="preserve"> </w:t>
      </w:r>
      <w:r w:rsidR="000B7052" w:rsidRPr="00B03142">
        <w:rPr>
          <w:rFonts w:ascii="Times New Roman" w:hAnsi="Times New Roman" w:cs="Times New Roman"/>
          <w:sz w:val="24"/>
          <w:szCs w:val="24"/>
        </w:rPr>
        <w:t xml:space="preserve">dört </w:t>
      </w:r>
      <w:r w:rsidRPr="00B03142">
        <w:rPr>
          <w:rFonts w:ascii="Times New Roman" w:hAnsi="Times New Roman" w:cs="Times New Roman"/>
          <w:sz w:val="24"/>
          <w:szCs w:val="24"/>
        </w:rPr>
        <w:t>bölümden oluşmaktadır. İkinci bölümde,</w:t>
      </w:r>
      <w:r w:rsidR="00C81138" w:rsidRPr="00B03142">
        <w:rPr>
          <w:rFonts w:ascii="Times New Roman" w:hAnsi="Times New Roman" w:cs="Times New Roman"/>
          <w:sz w:val="24"/>
          <w:szCs w:val="24"/>
        </w:rPr>
        <w:t xml:space="preserve"> önce stok kredi verileri kullanılarak 2000 yılından itibaren </w:t>
      </w:r>
      <w:r w:rsidR="00217860" w:rsidRPr="00B03142">
        <w:rPr>
          <w:rFonts w:ascii="Times New Roman" w:hAnsi="Times New Roman" w:cs="Times New Roman"/>
          <w:sz w:val="24"/>
          <w:szCs w:val="24"/>
        </w:rPr>
        <w:t>kredilerin kompozisyonu</w:t>
      </w:r>
      <w:r w:rsidR="007E087F" w:rsidRPr="00B03142">
        <w:rPr>
          <w:rFonts w:ascii="Times New Roman" w:hAnsi="Times New Roman" w:cs="Times New Roman"/>
          <w:sz w:val="24"/>
          <w:szCs w:val="24"/>
        </w:rPr>
        <w:t xml:space="preserve">, </w:t>
      </w:r>
      <w:r w:rsidR="003205E8">
        <w:rPr>
          <w:rFonts w:ascii="Times New Roman" w:hAnsi="Times New Roman" w:cs="Times New Roman"/>
          <w:sz w:val="24"/>
          <w:szCs w:val="24"/>
        </w:rPr>
        <w:t xml:space="preserve">özel sektör kredilerin </w:t>
      </w:r>
      <w:r w:rsidR="007E087F" w:rsidRPr="00B03142">
        <w:rPr>
          <w:rFonts w:ascii="Times New Roman" w:hAnsi="Times New Roman" w:cs="Times New Roman"/>
          <w:sz w:val="24"/>
          <w:szCs w:val="24"/>
        </w:rPr>
        <w:t>toplam</w:t>
      </w:r>
      <w:r w:rsidR="003205E8">
        <w:rPr>
          <w:rFonts w:ascii="Times New Roman" w:hAnsi="Times New Roman" w:cs="Times New Roman"/>
          <w:sz w:val="24"/>
          <w:szCs w:val="24"/>
        </w:rPr>
        <w:t>da</w:t>
      </w:r>
      <w:r w:rsidR="007E087F" w:rsidRPr="00B03142">
        <w:rPr>
          <w:rFonts w:ascii="Times New Roman" w:hAnsi="Times New Roman" w:cs="Times New Roman"/>
          <w:sz w:val="24"/>
          <w:szCs w:val="24"/>
        </w:rPr>
        <w:t xml:space="preserve"> ve sektör bazında zaman içindeki değişimi ve </w:t>
      </w:r>
      <w:r w:rsidR="009D6B17" w:rsidRPr="00B03142">
        <w:rPr>
          <w:rFonts w:ascii="Times New Roman" w:hAnsi="Times New Roman" w:cs="Times New Roman"/>
          <w:sz w:val="24"/>
          <w:szCs w:val="24"/>
        </w:rPr>
        <w:t>bu değişimin</w:t>
      </w:r>
      <w:r w:rsidR="00956994" w:rsidRPr="00B03142">
        <w:rPr>
          <w:rFonts w:ascii="Times New Roman" w:hAnsi="Times New Roman" w:cs="Times New Roman"/>
          <w:sz w:val="24"/>
          <w:szCs w:val="24"/>
        </w:rPr>
        <w:t xml:space="preserve"> </w:t>
      </w:r>
      <w:r w:rsidR="007E087F" w:rsidRPr="00B03142">
        <w:rPr>
          <w:rFonts w:ascii="Times New Roman" w:hAnsi="Times New Roman" w:cs="Times New Roman"/>
          <w:sz w:val="24"/>
          <w:szCs w:val="24"/>
        </w:rPr>
        <w:t>sektörler arası ilişkileri</w:t>
      </w:r>
      <w:r w:rsidR="00217860" w:rsidRPr="00B03142">
        <w:rPr>
          <w:rFonts w:ascii="Times New Roman" w:hAnsi="Times New Roman" w:cs="Times New Roman"/>
          <w:sz w:val="24"/>
          <w:szCs w:val="24"/>
        </w:rPr>
        <w:t xml:space="preserve"> </w:t>
      </w:r>
      <w:r w:rsidR="00217860" w:rsidRPr="00D351A1">
        <w:rPr>
          <w:rFonts w:ascii="Times New Roman" w:hAnsi="Times New Roman" w:cs="Times New Roman"/>
          <w:sz w:val="24"/>
          <w:szCs w:val="24"/>
        </w:rPr>
        <w:t>incelenecek</w:t>
      </w:r>
      <w:r w:rsidR="00DD5658" w:rsidRPr="00D351A1">
        <w:rPr>
          <w:rFonts w:ascii="Times New Roman" w:hAnsi="Times New Roman" w:cs="Times New Roman"/>
          <w:sz w:val="24"/>
          <w:szCs w:val="24"/>
        </w:rPr>
        <w:t>tir.</w:t>
      </w:r>
      <w:r w:rsidR="009B5921" w:rsidRPr="00D351A1">
        <w:rPr>
          <w:rFonts w:ascii="Times New Roman" w:hAnsi="Times New Roman" w:cs="Times New Roman"/>
          <w:sz w:val="24"/>
          <w:szCs w:val="24"/>
        </w:rPr>
        <w:t xml:space="preserve"> </w:t>
      </w:r>
      <w:r w:rsidR="0012354E" w:rsidRPr="00D351A1">
        <w:rPr>
          <w:rFonts w:ascii="Times New Roman" w:hAnsi="Times New Roman" w:cs="Times New Roman"/>
          <w:sz w:val="24"/>
          <w:szCs w:val="24"/>
        </w:rPr>
        <w:t>Sonra</w:t>
      </w:r>
      <w:r w:rsidR="00217860" w:rsidRPr="00B03142">
        <w:rPr>
          <w:rFonts w:ascii="Times New Roman" w:hAnsi="Times New Roman" w:cs="Times New Roman"/>
          <w:sz w:val="24"/>
          <w:szCs w:val="24"/>
        </w:rPr>
        <w:t xml:space="preserve"> </w:t>
      </w:r>
      <w:r w:rsidR="003205E8" w:rsidRPr="00B03142">
        <w:rPr>
          <w:rFonts w:ascii="Times New Roman" w:hAnsi="Times New Roman" w:cs="Times New Roman"/>
          <w:sz w:val="24"/>
          <w:szCs w:val="24"/>
        </w:rPr>
        <w:t xml:space="preserve">toplam </w:t>
      </w:r>
      <w:r w:rsidR="003205E8">
        <w:rPr>
          <w:rFonts w:ascii="Times New Roman" w:hAnsi="Times New Roman" w:cs="Times New Roman"/>
          <w:sz w:val="24"/>
          <w:szCs w:val="24"/>
        </w:rPr>
        <w:t xml:space="preserve">özel sektör kredilerindeki yıllık </w:t>
      </w:r>
      <w:r w:rsidR="00BA12E0" w:rsidRPr="00B03142">
        <w:rPr>
          <w:rFonts w:ascii="Times New Roman" w:hAnsi="Times New Roman" w:cs="Times New Roman"/>
          <w:sz w:val="24"/>
          <w:szCs w:val="24"/>
        </w:rPr>
        <w:t xml:space="preserve">reel </w:t>
      </w:r>
      <w:r w:rsidR="003205E8">
        <w:rPr>
          <w:rFonts w:ascii="Times New Roman" w:hAnsi="Times New Roman" w:cs="Times New Roman"/>
          <w:sz w:val="24"/>
          <w:szCs w:val="24"/>
        </w:rPr>
        <w:t>değişim</w:t>
      </w:r>
      <w:r w:rsidR="00BA12E0" w:rsidRPr="00B03142">
        <w:rPr>
          <w:rFonts w:ascii="Times New Roman" w:hAnsi="Times New Roman" w:cs="Times New Roman"/>
          <w:sz w:val="24"/>
          <w:szCs w:val="24"/>
        </w:rPr>
        <w:t xml:space="preserve"> ve net kredi kullanım oran</w:t>
      </w:r>
      <w:r w:rsidR="003205E8">
        <w:rPr>
          <w:rFonts w:ascii="Times New Roman" w:hAnsi="Times New Roman" w:cs="Times New Roman"/>
          <w:sz w:val="24"/>
          <w:szCs w:val="24"/>
        </w:rPr>
        <w:t>ı gelişimi</w:t>
      </w:r>
      <w:r w:rsidR="00BA12E0" w:rsidRPr="00B03142">
        <w:rPr>
          <w:rFonts w:ascii="Times New Roman" w:hAnsi="Times New Roman" w:cs="Times New Roman"/>
          <w:sz w:val="24"/>
          <w:szCs w:val="24"/>
        </w:rPr>
        <w:t xml:space="preserve"> ilgili dönemlerdeki </w:t>
      </w:r>
      <w:r w:rsidR="00C50170" w:rsidRPr="00B03142">
        <w:rPr>
          <w:rFonts w:ascii="Times New Roman" w:hAnsi="Times New Roman" w:cs="Times New Roman"/>
          <w:sz w:val="24"/>
          <w:szCs w:val="24"/>
        </w:rPr>
        <w:t xml:space="preserve">yerel ve uluslararası </w:t>
      </w:r>
      <w:r w:rsidR="00217860" w:rsidRPr="00B03142">
        <w:rPr>
          <w:rFonts w:ascii="Times New Roman" w:hAnsi="Times New Roman" w:cs="Times New Roman"/>
          <w:sz w:val="24"/>
          <w:szCs w:val="24"/>
        </w:rPr>
        <w:t>ekonomik</w:t>
      </w:r>
      <w:r w:rsidR="007E087F" w:rsidRPr="00B03142">
        <w:rPr>
          <w:rFonts w:ascii="Times New Roman" w:hAnsi="Times New Roman" w:cs="Times New Roman"/>
          <w:sz w:val="24"/>
          <w:szCs w:val="24"/>
        </w:rPr>
        <w:t xml:space="preserve"> koşullar ile </w:t>
      </w:r>
      <w:r w:rsidR="00217860" w:rsidRPr="00B03142">
        <w:rPr>
          <w:rFonts w:ascii="Times New Roman" w:hAnsi="Times New Roman" w:cs="Times New Roman"/>
          <w:sz w:val="24"/>
          <w:szCs w:val="24"/>
        </w:rPr>
        <w:t>politika uygulama</w:t>
      </w:r>
      <w:r w:rsidR="00715127" w:rsidRPr="00B03142">
        <w:rPr>
          <w:rFonts w:ascii="Times New Roman" w:hAnsi="Times New Roman" w:cs="Times New Roman"/>
          <w:sz w:val="24"/>
          <w:szCs w:val="24"/>
        </w:rPr>
        <w:t>la</w:t>
      </w:r>
      <w:r w:rsidR="00217860" w:rsidRPr="00B03142">
        <w:rPr>
          <w:rFonts w:ascii="Times New Roman" w:hAnsi="Times New Roman" w:cs="Times New Roman"/>
          <w:sz w:val="24"/>
          <w:szCs w:val="24"/>
        </w:rPr>
        <w:t>rı göz önünde bulundurularak tartışılacaktır</w:t>
      </w:r>
      <w:r w:rsidRPr="00B03142">
        <w:rPr>
          <w:rFonts w:ascii="Times New Roman" w:hAnsi="Times New Roman" w:cs="Times New Roman"/>
          <w:sz w:val="24"/>
          <w:szCs w:val="24"/>
        </w:rPr>
        <w:t>.</w:t>
      </w:r>
      <w:r w:rsidR="00DD5658">
        <w:rPr>
          <w:rFonts w:ascii="Times New Roman" w:hAnsi="Times New Roman" w:cs="Times New Roman"/>
          <w:sz w:val="24"/>
          <w:szCs w:val="24"/>
        </w:rPr>
        <w:t xml:space="preserve"> </w:t>
      </w:r>
      <w:r w:rsidRPr="00B03142">
        <w:rPr>
          <w:rFonts w:ascii="Times New Roman" w:hAnsi="Times New Roman" w:cs="Times New Roman"/>
          <w:sz w:val="24"/>
          <w:szCs w:val="24"/>
        </w:rPr>
        <w:t>Üçüncü bölümde,</w:t>
      </w:r>
      <w:r w:rsidR="00217860" w:rsidRPr="00B03142">
        <w:rPr>
          <w:rFonts w:ascii="Times New Roman" w:hAnsi="Times New Roman" w:cs="Times New Roman"/>
          <w:sz w:val="24"/>
          <w:szCs w:val="24"/>
        </w:rPr>
        <w:t xml:space="preserve"> sektörlerin</w:t>
      </w:r>
      <w:r w:rsidR="00EA6C4F" w:rsidRPr="00B03142">
        <w:rPr>
          <w:rFonts w:ascii="Times New Roman" w:hAnsi="Times New Roman" w:cs="Times New Roman"/>
          <w:sz w:val="24"/>
          <w:szCs w:val="24"/>
        </w:rPr>
        <w:t xml:space="preserve"> </w:t>
      </w:r>
      <w:r w:rsidR="0058705D">
        <w:rPr>
          <w:rFonts w:ascii="Times New Roman" w:hAnsi="Times New Roman" w:cs="Times New Roman"/>
          <w:sz w:val="24"/>
          <w:szCs w:val="24"/>
        </w:rPr>
        <w:t>k</w:t>
      </w:r>
      <w:r w:rsidR="006B33EE" w:rsidRPr="00B03142">
        <w:rPr>
          <w:rFonts w:ascii="Times New Roman" w:hAnsi="Times New Roman" w:cs="Times New Roman"/>
          <w:sz w:val="24"/>
          <w:szCs w:val="24"/>
        </w:rPr>
        <w:t xml:space="preserve">endi üretimlerine göre kullandıkları kredi büyüklükleri raporlanacak ve </w:t>
      </w:r>
      <w:r w:rsidR="00EA6C4F" w:rsidRPr="00B03142">
        <w:rPr>
          <w:rFonts w:ascii="Times New Roman" w:hAnsi="Times New Roman" w:cs="Times New Roman"/>
          <w:sz w:val="24"/>
          <w:szCs w:val="24"/>
        </w:rPr>
        <w:t>farklı kredi genişleme ve daralma dönemlerinde</w:t>
      </w:r>
      <w:r w:rsidR="00217860" w:rsidRPr="00B03142">
        <w:rPr>
          <w:rFonts w:ascii="Times New Roman" w:hAnsi="Times New Roman" w:cs="Times New Roman"/>
          <w:sz w:val="24"/>
          <w:szCs w:val="24"/>
        </w:rPr>
        <w:t xml:space="preserve"> </w:t>
      </w:r>
      <w:r w:rsidR="006B33EE" w:rsidRPr="00B03142">
        <w:rPr>
          <w:rFonts w:ascii="Times New Roman" w:hAnsi="Times New Roman" w:cs="Times New Roman"/>
          <w:sz w:val="24"/>
          <w:szCs w:val="24"/>
        </w:rPr>
        <w:t xml:space="preserve">sektörlerin </w:t>
      </w:r>
      <w:r w:rsidR="00217860" w:rsidRPr="00B03142">
        <w:rPr>
          <w:rFonts w:ascii="Times New Roman" w:hAnsi="Times New Roman" w:cs="Times New Roman"/>
          <w:sz w:val="24"/>
          <w:szCs w:val="24"/>
        </w:rPr>
        <w:t>kredi kullanım</w:t>
      </w:r>
      <w:r w:rsidR="00EA6C4F" w:rsidRPr="00B03142">
        <w:rPr>
          <w:rFonts w:ascii="Times New Roman" w:hAnsi="Times New Roman" w:cs="Times New Roman"/>
          <w:sz w:val="24"/>
          <w:szCs w:val="24"/>
        </w:rPr>
        <w:t>ları</w:t>
      </w:r>
      <w:r w:rsidR="006B33EE" w:rsidRPr="00B03142">
        <w:rPr>
          <w:rFonts w:ascii="Times New Roman" w:hAnsi="Times New Roman" w:cs="Times New Roman"/>
          <w:sz w:val="24"/>
          <w:szCs w:val="24"/>
        </w:rPr>
        <w:t>ndaki değişimler</w:t>
      </w:r>
      <w:r w:rsidR="00EA6C4F" w:rsidRPr="00B03142">
        <w:rPr>
          <w:rFonts w:ascii="Times New Roman" w:hAnsi="Times New Roman" w:cs="Times New Roman"/>
          <w:sz w:val="24"/>
          <w:szCs w:val="24"/>
        </w:rPr>
        <w:t xml:space="preserve">, büyüme </w:t>
      </w:r>
      <w:r w:rsidR="00217860" w:rsidRPr="00B03142">
        <w:rPr>
          <w:rFonts w:ascii="Times New Roman" w:hAnsi="Times New Roman" w:cs="Times New Roman"/>
          <w:sz w:val="24"/>
          <w:szCs w:val="24"/>
        </w:rPr>
        <w:t>ve istihdam</w:t>
      </w:r>
      <w:r w:rsidR="00EA6C4F" w:rsidRPr="00B03142">
        <w:rPr>
          <w:rFonts w:ascii="Times New Roman" w:hAnsi="Times New Roman" w:cs="Times New Roman"/>
          <w:sz w:val="24"/>
          <w:szCs w:val="24"/>
        </w:rPr>
        <w:t xml:space="preserve"> </w:t>
      </w:r>
      <w:r w:rsidR="002B32CA" w:rsidRPr="00B03142">
        <w:rPr>
          <w:rFonts w:ascii="Times New Roman" w:hAnsi="Times New Roman" w:cs="Times New Roman"/>
          <w:sz w:val="24"/>
          <w:szCs w:val="24"/>
        </w:rPr>
        <w:t>değişiklikleriyle birlikte</w:t>
      </w:r>
      <w:r w:rsidR="00EA6C4F" w:rsidRPr="00B03142">
        <w:rPr>
          <w:rFonts w:ascii="Times New Roman" w:hAnsi="Times New Roman" w:cs="Times New Roman"/>
          <w:sz w:val="24"/>
          <w:szCs w:val="24"/>
        </w:rPr>
        <w:t xml:space="preserve"> t</w:t>
      </w:r>
      <w:r w:rsidR="006B33EE" w:rsidRPr="00B03142">
        <w:rPr>
          <w:rFonts w:ascii="Times New Roman" w:hAnsi="Times New Roman" w:cs="Times New Roman"/>
          <w:sz w:val="24"/>
          <w:szCs w:val="24"/>
        </w:rPr>
        <w:t>artışılacaktır</w:t>
      </w:r>
      <w:r w:rsidRPr="00B03142">
        <w:rPr>
          <w:rFonts w:ascii="Times New Roman" w:hAnsi="Times New Roman" w:cs="Times New Roman"/>
          <w:sz w:val="24"/>
          <w:szCs w:val="24"/>
        </w:rPr>
        <w:t>. Dördüncü bölüm</w:t>
      </w:r>
      <w:r w:rsidR="00217860" w:rsidRPr="00B03142">
        <w:rPr>
          <w:rFonts w:ascii="Times New Roman" w:hAnsi="Times New Roman" w:cs="Times New Roman"/>
          <w:sz w:val="24"/>
          <w:szCs w:val="24"/>
        </w:rPr>
        <w:t xml:space="preserve">de </w:t>
      </w:r>
      <w:r w:rsidR="007E087F" w:rsidRPr="00B03142">
        <w:rPr>
          <w:rFonts w:ascii="Times New Roman" w:hAnsi="Times New Roman" w:cs="Times New Roman"/>
          <w:sz w:val="24"/>
          <w:szCs w:val="24"/>
        </w:rPr>
        <w:t xml:space="preserve">ise </w:t>
      </w:r>
      <w:r w:rsidR="002B32CA" w:rsidRPr="00B03142">
        <w:rPr>
          <w:rFonts w:ascii="Times New Roman" w:hAnsi="Times New Roman" w:cs="Times New Roman"/>
          <w:sz w:val="24"/>
          <w:szCs w:val="24"/>
        </w:rPr>
        <w:t xml:space="preserve">önce </w:t>
      </w:r>
      <w:r w:rsidR="007E087F" w:rsidRPr="00B03142">
        <w:rPr>
          <w:rFonts w:ascii="Times New Roman" w:hAnsi="Times New Roman" w:cs="Times New Roman"/>
          <w:sz w:val="24"/>
          <w:szCs w:val="24"/>
        </w:rPr>
        <w:t xml:space="preserve">sektörlerin kredi kullanımlarındaki </w:t>
      </w:r>
      <w:r w:rsidR="002B32CA" w:rsidRPr="00B03142">
        <w:rPr>
          <w:rFonts w:ascii="Times New Roman" w:hAnsi="Times New Roman" w:cs="Times New Roman"/>
          <w:sz w:val="24"/>
          <w:szCs w:val="24"/>
        </w:rPr>
        <w:t xml:space="preserve">reel </w:t>
      </w:r>
      <w:r w:rsidR="007E087F" w:rsidRPr="00B03142">
        <w:rPr>
          <w:rFonts w:ascii="Times New Roman" w:hAnsi="Times New Roman" w:cs="Times New Roman"/>
          <w:sz w:val="24"/>
          <w:szCs w:val="24"/>
        </w:rPr>
        <w:t>değişikliklerin</w:t>
      </w:r>
      <w:r w:rsidR="002B32CA" w:rsidRPr="00B03142">
        <w:rPr>
          <w:rFonts w:ascii="Times New Roman" w:hAnsi="Times New Roman" w:cs="Times New Roman"/>
          <w:sz w:val="24"/>
          <w:szCs w:val="24"/>
        </w:rPr>
        <w:t xml:space="preserve"> sektörlerin büyüme ve</w:t>
      </w:r>
      <w:r w:rsidR="007E087F" w:rsidRPr="00B03142">
        <w:rPr>
          <w:rFonts w:ascii="Times New Roman" w:hAnsi="Times New Roman" w:cs="Times New Roman"/>
          <w:sz w:val="24"/>
          <w:szCs w:val="24"/>
        </w:rPr>
        <w:t xml:space="preserve"> istihdam</w:t>
      </w:r>
      <w:r w:rsidR="002B32CA" w:rsidRPr="00B03142">
        <w:rPr>
          <w:rFonts w:ascii="Times New Roman" w:hAnsi="Times New Roman" w:cs="Times New Roman"/>
          <w:sz w:val="24"/>
          <w:szCs w:val="24"/>
        </w:rPr>
        <w:t xml:space="preserve"> değişiklikleriyle ilişkisi</w:t>
      </w:r>
      <w:r w:rsidR="00496232">
        <w:rPr>
          <w:rFonts w:ascii="Times New Roman" w:hAnsi="Times New Roman" w:cs="Times New Roman"/>
          <w:sz w:val="24"/>
          <w:szCs w:val="24"/>
        </w:rPr>
        <w:t>ne uzun dönemli bakılacak</w:t>
      </w:r>
      <w:r w:rsidR="000E5FE9">
        <w:rPr>
          <w:rFonts w:ascii="Times New Roman" w:hAnsi="Times New Roman" w:cs="Times New Roman"/>
          <w:sz w:val="24"/>
          <w:szCs w:val="24"/>
        </w:rPr>
        <w:t xml:space="preserve"> ve</w:t>
      </w:r>
      <w:r w:rsidR="00496232">
        <w:rPr>
          <w:rFonts w:ascii="Times New Roman" w:hAnsi="Times New Roman" w:cs="Times New Roman"/>
          <w:sz w:val="24"/>
          <w:szCs w:val="24"/>
        </w:rPr>
        <w:t xml:space="preserve"> </w:t>
      </w:r>
      <w:r w:rsidR="000E5FE9">
        <w:rPr>
          <w:rFonts w:ascii="Times New Roman" w:hAnsi="Times New Roman" w:cs="Times New Roman"/>
          <w:sz w:val="24"/>
          <w:szCs w:val="24"/>
        </w:rPr>
        <w:t>ayrıca</w:t>
      </w:r>
      <w:r w:rsidR="00496232">
        <w:rPr>
          <w:rFonts w:ascii="Times New Roman" w:hAnsi="Times New Roman" w:cs="Times New Roman"/>
          <w:sz w:val="24"/>
          <w:szCs w:val="24"/>
        </w:rPr>
        <w:t xml:space="preserve"> sektörlerin</w:t>
      </w:r>
      <w:r w:rsidR="00D22EA2" w:rsidRPr="00B03142">
        <w:rPr>
          <w:rFonts w:ascii="Times New Roman" w:hAnsi="Times New Roman" w:cs="Times New Roman"/>
          <w:sz w:val="24"/>
          <w:szCs w:val="24"/>
        </w:rPr>
        <w:t xml:space="preserve"> kredi kullanım payların</w:t>
      </w:r>
      <w:r w:rsidR="00496232">
        <w:rPr>
          <w:rFonts w:ascii="Times New Roman" w:hAnsi="Times New Roman" w:cs="Times New Roman"/>
          <w:sz w:val="24"/>
          <w:szCs w:val="24"/>
        </w:rPr>
        <w:t>ın</w:t>
      </w:r>
      <w:r w:rsidR="00D22EA2" w:rsidRPr="00B03142">
        <w:rPr>
          <w:rFonts w:ascii="Times New Roman" w:hAnsi="Times New Roman" w:cs="Times New Roman"/>
          <w:sz w:val="24"/>
          <w:szCs w:val="24"/>
        </w:rPr>
        <w:t xml:space="preserve"> üretim ve istihdam </w:t>
      </w:r>
      <w:r w:rsidR="00496232">
        <w:rPr>
          <w:rFonts w:ascii="Times New Roman" w:hAnsi="Times New Roman" w:cs="Times New Roman"/>
          <w:sz w:val="24"/>
          <w:szCs w:val="24"/>
        </w:rPr>
        <w:t>paylarıyla</w:t>
      </w:r>
      <w:r w:rsidR="00D22EA2" w:rsidRPr="00B03142">
        <w:rPr>
          <w:rFonts w:ascii="Times New Roman" w:hAnsi="Times New Roman" w:cs="Times New Roman"/>
          <w:sz w:val="24"/>
          <w:szCs w:val="24"/>
        </w:rPr>
        <w:t xml:space="preserve"> </w:t>
      </w:r>
      <w:r w:rsidR="001E757B">
        <w:rPr>
          <w:rFonts w:ascii="Times New Roman" w:hAnsi="Times New Roman" w:cs="Times New Roman"/>
          <w:sz w:val="24"/>
          <w:szCs w:val="24"/>
        </w:rPr>
        <w:t>ilişkili</w:t>
      </w:r>
      <w:r w:rsidR="00D22EA2" w:rsidRPr="00B03142">
        <w:rPr>
          <w:rFonts w:ascii="Times New Roman" w:hAnsi="Times New Roman" w:cs="Times New Roman"/>
          <w:sz w:val="24"/>
          <w:szCs w:val="24"/>
        </w:rPr>
        <w:t xml:space="preserve"> olup olmadığı </w:t>
      </w:r>
      <w:r w:rsidR="002B32CA" w:rsidRPr="00B03142">
        <w:rPr>
          <w:rFonts w:ascii="Times New Roman" w:hAnsi="Times New Roman" w:cs="Times New Roman"/>
          <w:sz w:val="24"/>
          <w:szCs w:val="24"/>
        </w:rPr>
        <w:t>sorgulanacaktır</w:t>
      </w:r>
      <w:r w:rsidR="00956994" w:rsidRPr="00B03142">
        <w:rPr>
          <w:rFonts w:ascii="Times New Roman" w:hAnsi="Times New Roman" w:cs="Times New Roman"/>
          <w:sz w:val="24"/>
          <w:szCs w:val="24"/>
        </w:rPr>
        <w:t>. Beşinci</w:t>
      </w:r>
      <w:r w:rsidR="00217860" w:rsidRPr="00B03142">
        <w:rPr>
          <w:rFonts w:ascii="Times New Roman" w:hAnsi="Times New Roman" w:cs="Times New Roman"/>
          <w:sz w:val="24"/>
          <w:szCs w:val="24"/>
        </w:rPr>
        <w:t xml:space="preserve"> bölüm sonuç bölümüdür</w:t>
      </w:r>
      <w:r w:rsidRPr="00B03142">
        <w:rPr>
          <w:rFonts w:ascii="Times New Roman" w:hAnsi="Times New Roman" w:cs="Times New Roman"/>
          <w:sz w:val="24"/>
          <w:szCs w:val="24"/>
        </w:rPr>
        <w:t>.</w:t>
      </w:r>
    </w:p>
    <w:p w14:paraId="6CD7095A" w14:textId="77777777" w:rsidR="00840EFC" w:rsidRPr="00B03142" w:rsidRDefault="0060099E" w:rsidP="008D0759">
      <w:pPr>
        <w:pStyle w:val="Heading1"/>
        <w:spacing w:after="240" w:line="276" w:lineRule="auto"/>
      </w:pPr>
      <w:r w:rsidRPr="00B03142">
        <w:t>2000’lerin Başlangıcından Günümüze Özel Sektör Kredi Kompozisyonu</w:t>
      </w:r>
    </w:p>
    <w:p w14:paraId="0B0161A8" w14:textId="136D8D6B" w:rsidR="00504F84" w:rsidRPr="00B03142" w:rsidRDefault="00504F84" w:rsidP="008D0759">
      <w:pPr>
        <w:pStyle w:val="Heading2"/>
        <w:spacing w:after="240" w:line="276" w:lineRule="auto"/>
      </w:pPr>
      <w:r w:rsidRPr="00B03142">
        <w:t>Genel Bakış</w:t>
      </w:r>
    </w:p>
    <w:p w14:paraId="07101D96" w14:textId="358AEA63" w:rsidR="001B53FA" w:rsidRDefault="00516550" w:rsidP="001B53FA">
      <w:pPr>
        <w:pStyle w:val="ListParagraph"/>
        <w:spacing w:line="276" w:lineRule="auto"/>
        <w:ind w:left="0" w:firstLine="360"/>
        <w:jc w:val="both"/>
        <w:rPr>
          <w:rFonts w:ascii="Times New Roman" w:hAnsi="Times New Roman" w:cs="Times New Roman"/>
          <w:sz w:val="24"/>
          <w:szCs w:val="24"/>
        </w:rPr>
      </w:pPr>
      <w:r w:rsidRPr="00B03142">
        <w:rPr>
          <w:rFonts w:ascii="Times New Roman" w:hAnsi="Times New Roman" w:cs="Times New Roman"/>
          <w:sz w:val="24"/>
          <w:szCs w:val="24"/>
        </w:rPr>
        <w:t xml:space="preserve">Türkiye’de toplam kredi kompozisyonu 2001 krizi sonrasında kamu-özel sektörü payları açısından uzun dönemli bir değişim süreci içerisine girmiştir. </w:t>
      </w:r>
      <w:r w:rsidR="00C96736" w:rsidRPr="00B03142">
        <w:rPr>
          <w:rFonts w:ascii="Times New Roman" w:hAnsi="Times New Roman" w:cs="Times New Roman"/>
          <w:sz w:val="24"/>
          <w:szCs w:val="24"/>
        </w:rPr>
        <w:t xml:space="preserve">Kamu sektörü borçluluğunun payı azalırken, özel sektörün borçluluğu artarak toplam borçlanma içindeki payını artırmıştır. </w:t>
      </w:r>
      <w:r w:rsidR="000F3FCE" w:rsidRPr="00B03142">
        <w:rPr>
          <w:rFonts w:ascii="Times New Roman" w:hAnsi="Times New Roman" w:cs="Times New Roman"/>
          <w:sz w:val="24"/>
          <w:szCs w:val="24"/>
        </w:rPr>
        <w:t>Uluslararası Ödemeler Bankası (BIS) verileri kullanılarak hazırlanan Şekil 1</w:t>
      </w:r>
      <w:r w:rsidR="0043739A" w:rsidRPr="00B03142">
        <w:rPr>
          <w:rFonts w:ascii="Times New Roman" w:hAnsi="Times New Roman" w:cs="Times New Roman"/>
          <w:sz w:val="24"/>
          <w:szCs w:val="24"/>
        </w:rPr>
        <w:t>,</w:t>
      </w:r>
      <w:r w:rsidR="000F3FCE" w:rsidRPr="00B03142">
        <w:rPr>
          <w:rFonts w:ascii="Times New Roman" w:hAnsi="Times New Roman" w:cs="Times New Roman"/>
          <w:sz w:val="24"/>
          <w:szCs w:val="24"/>
        </w:rPr>
        <w:t xml:space="preserve"> </w:t>
      </w:r>
      <w:r w:rsidR="00B04C41" w:rsidRPr="00B03142">
        <w:rPr>
          <w:rFonts w:ascii="Times New Roman" w:hAnsi="Times New Roman" w:cs="Times New Roman"/>
          <w:sz w:val="24"/>
          <w:szCs w:val="24"/>
        </w:rPr>
        <w:t xml:space="preserve">tüm finansal kurumlar tarafından </w:t>
      </w:r>
      <w:r w:rsidR="008B2D33" w:rsidRPr="00B03142">
        <w:rPr>
          <w:rFonts w:ascii="Times New Roman" w:hAnsi="Times New Roman" w:cs="Times New Roman"/>
          <w:sz w:val="24"/>
          <w:szCs w:val="24"/>
        </w:rPr>
        <w:t xml:space="preserve">genel hükümet </w:t>
      </w:r>
      <w:r w:rsidR="00101885" w:rsidRPr="00B03142">
        <w:rPr>
          <w:rFonts w:ascii="Times New Roman" w:hAnsi="Times New Roman" w:cs="Times New Roman"/>
          <w:sz w:val="24"/>
          <w:szCs w:val="24"/>
        </w:rPr>
        <w:t xml:space="preserve">ve finansal olmayan özel sektöre (finansal olmayan </w:t>
      </w:r>
      <w:r w:rsidR="009F1269" w:rsidRPr="00B03142">
        <w:rPr>
          <w:rFonts w:ascii="Times New Roman" w:hAnsi="Times New Roman" w:cs="Times New Roman"/>
          <w:sz w:val="24"/>
          <w:szCs w:val="24"/>
        </w:rPr>
        <w:t>firmalar</w:t>
      </w:r>
      <w:r w:rsidR="00101885" w:rsidRPr="00B03142">
        <w:rPr>
          <w:rFonts w:ascii="Times New Roman" w:hAnsi="Times New Roman" w:cs="Times New Roman"/>
          <w:sz w:val="24"/>
          <w:szCs w:val="24"/>
        </w:rPr>
        <w:t xml:space="preserve"> ve hanehalkları) sağlanan krediler ile </w:t>
      </w:r>
      <w:r w:rsidR="007D636F" w:rsidRPr="00B03142">
        <w:rPr>
          <w:rFonts w:ascii="Times New Roman" w:hAnsi="Times New Roman" w:cs="Times New Roman"/>
          <w:sz w:val="24"/>
          <w:szCs w:val="24"/>
        </w:rPr>
        <w:t xml:space="preserve">sadece yerli bankaların </w:t>
      </w:r>
      <w:r w:rsidR="00101885" w:rsidRPr="00B03142">
        <w:rPr>
          <w:rFonts w:ascii="Times New Roman" w:hAnsi="Times New Roman" w:cs="Times New Roman"/>
          <w:sz w:val="24"/>
          <w:szCs w:val="24"/>
        </w:rPr>
        <w:t xml:space="preserve">finansal olmayan </w:t>
      </w:r>
      <w:r w:rsidR="00030DE5" w:rsidRPr="00B03142">
        <w:rPr>
          <w:rFonts w:ascii="Times New Roman" w:hAnsi="Times New Roman" w:cs="Times New Roman"/>
          <w:sz w:val="24"/>
          <w:szCs w:val="24"/>
        </w:rPr>
        <w:t xml:space="preserve">özel </w:t>
      </w:r>
      <w:r w:rsidR="00101885" w:rsidRPr="00B03142">
        <w:rPr>
          <w:rFonts w:ascii="Times New Roman" w:hAnsi="Times New Roman" w:cs="Times New Roman"/>
          <w:sz w:val="24"/>
          <w:szCs w:val="24"/>
        </w:rPr>
        <w:t>sektöre sağla</w:t>
      </w:r>
      <w:r w:rsidR="007D636F" w:rsidRPr="00B03142">
        <w:rPr>
          <w:rFonts w:ascii="Times New Roman" w:hAnsi="Times New Roman" w:cs="Times New Roman"/>
          <w:sz w:val="24"/>
          <w:szCs w:val="24"/>
        </w:rPr>
        <w:t>dığı</w:t>
      </w:r>
      <w:r w:rsidR="00101885" w:rsidRPr="00B03142">
        <w:rPr>
          <w:rFonts w:ascii="Times New Roman" w:hAnsi="Times New Roman" w:cs="Times New Roman"/>
          <w:sz w:val="24"/>
          <w:szCs w:val="24"/>
        </w:rPr>
        <w:t xml:space="preserve"> kredileri</w:t>
      </w:r>
      <w:r w:rsidR="00D36CAC" w:rsidRPr="00B03142">
        <w:rPr>
          <w:rFonts w:ascii="Times New Roman" w:hAnsi="Times New Roman" w:cs="Times New Roman"/>
          <w:sz w:val="24"/>
          <w:szCs w:val="24"/>
        </w:rPr>
        <w:t>n milli gelir</w:t>
      </w:r>
      <w:r w:rsidR="001B16FA">
        <w:rPr>
          <w:rFonts w:ascii="Times New Roman" w:hAnsi="Times New Roman" w:cs="Times New Roman"/>
          <w:sz w:val="24"/>
          <w:szCs w:val="24"/>
        </w:rPr>
        <w:t>e oranını</w:t>
      </w:r>
      <w:r w:rsidR="001B53FA">
        <w:rPr>
          <w:rFonts w:ascii="Times New Roman" w:hAnsi="Times New Roman" w:cs="Times New Roman"/>
          <w:sz w:val="24"/>
          <w:szCs w:val="24"/>
        </w:rPr>
        <w:t xml:space="preserve"> </w:t>
      </w:r>
      <w:r w:rsidR="00D36CAC" w:rsidRPr="00B03142">
        <w:rPr>
          <w:rFonts w:ascii="Times New Roman" w:hAnsi="Times New Roman" w:cs="Times New Roman"/>
          <w:sz w:val="24"/>
          <w:szCs w:val="24"/>
        </w:rPr>
        <w:t>2001 birinci çeyrek (2001Ç1) ile 2022 birinci çeyrek (2022Ç1) arasındaki dönem için</w:t>
      </w:r>
      <w:r w:rsidR="00101885" w:rsidRPr="00B03142">
        <w:rPr>
          <w:rFonts w:ascii="Times New Roman" w:hAnsi="Times New Roman" w:cs="Times New Roman"/>
          <w:sz w:val="24"/>
          <w:szCs w:val="24"/>
        </w:rPr>
        <w:t xml:space="preserve"> göstermektedir.</w:t>
      </w:r>
      <w:r w:rsidR="00101885" w:rsidRPr="00B03142">
        <w:rPr>
          <w:rStyle w:val="FootnoteReference"/>
          <w:rFonts w:ascii="Times New Roman" w:hAnsi="Times New Roman" w:cs="Times New Roman"/>
          <w:sz w:val="24"/>
          <w:szCs w:val="24"/>
        </w:rPr>
        <w:footnoteReference w:id="6"/>
      </w:r>
      <w:r w:rsidR="00D36CAC" w:rsidRPr="00B03142">
        <w:rPr>
          <w:rFonts w:ascii="Times New Roman" w:hAnsi="Times New Roman" w:cs="Times New Roman"/>
          <w:sz w:val="24"/>
          <w:szCs w:val="24"/>
        </w:rPr>
        <w:t xml:space="preserve"> </w:t>
      </w:r>
    </w:p>
    <w:p w14:paraId="2D4EAE6F" w14:textId="491A5971" w:rsidR="0002415B" w:rsidRPr="001B53FA" w:rsidRDefault="0002415B" w:rsidP="001B53FA">
      <w:pPr>
        <w:pStyle w:val="ListParagraph"/>
        <w:spacing w:line="276" w:lineRule="auto"/>
        <w:ind w:left="0" w:firstLine="360"/>
        <w:jc w:val="both"/>
        <w:rPr>
          <w:rFonts w:ascii="Times New Roman" w:hAnsi="Times New Roman" w:cs="Times New Roman"/>
          <w:sz w:val="24"/>
          <w:szCs w:val="24"/>
        </w:rPr>
      </w:pPr>
      <w:r>
        <w:rPr>
          <w:rFonts w:ascii="Times New Roman" w:hAnsi="Times New Roman" w:cs="Times New Roman"/>
          <w:sz w:val="24"/>
          <w:szCs w:val="24"/>
        </w:rPr>
        <w:t>Şekil 1’e</w:t>
      </w:r>
      <w:r w:rsidRPr="00B03142">
        <w:rPr>
          <w:rFonts w:ascii="Times New Roman" w:hAnsi="Times New Roman" w:cs="Times New Roman"/>
          <w:sz w:val="24"/>
          <w:szCs w:val="24"/>
        </w:rPr>
        <w:t xml:space="preserve"> göre, 2001 krizi döneminde milli gelirin yüzde 80’ine ulaşan genel hükümetin kullandığı kredi </w:t>
      </w:r>
      <w:r>
        <w:rPr>
          <w:rFonts w:ascii="Times New Roman" w:hAnsi="Times New Roman" w:cs="Times New Roman"/>
          <w:sz w:val="24"/>
          <w:szCs w:val="24"/>
        </w:rPr>
        <w:t>oranı</w:t>
      </w:r>
      <w:r w:rsidRPr="00B03142">
        <w:rPr>
          <w:rFonts w:ascii="Times New Roman" w:hAnsi="Times New Roman" w:cs="Times New Roman"/>
          <w:sz w:val="24"/>
          <w:szCs w:val="24"/>
        </w:rPr>
        <w:t xml:space="preserve"> (noktalı çizgi), 2001 sonu itibariyle sürekli azalma eğilimine girmiştir. Aynı </w:t>
      </w:r>
      <w:r w:rsidRPr="00B03142">
        <w:rPr>
          <w:rFonts w:ascii="Times New Roman" w:hAnsi="Times New Roman" w:cs="Times New Roman"/>
          <w:sz w:val="24"/>
          <w:szCs w:val="24"/>
        </w:rPr>
        <w:lastRenderedPageBreak/>
        <w:t xml:space="preserve">dönemde milli gelirin yüzde 30’unu oluşturan finansal olmayan özel sektör kredilerinin </w:t>
      </w:r>
      <w:r>
        <w:rPr>
          <w:rFonts w:ascii="Times New Roman" w:hAnsi="Times New Roman" w:cs="Times New Roman"/>
          <w:sz w:val="24"/>
          <w:szCs w:val="24"/>
        </w:rPr>
        <w:t>oranı</w:t>
      </w:r>
      <w:r w:rsidRPr="00B03142">
        <w:rPr>
          <w:rFonts w:ascii="Times New Roman" w:hAnsi="Times New Roman" w:cs="Times New Roman"/>
          <w:sz w:val="24"/>
          <w:szCs w:val="24"/>
        </w:rPr>
        <w:t xml:space="preserve"> (taralı alanın en üst seviyesi) ise 2001-2003 arasında yüzde 17’ye kadar düşmüş ancak 2004 ve sonrasında uzun vadeli artış sürecine girmiştir. Küresel finansal krizin patlak verdiği 2007 yılı sonu itibariyle genel hükümet ve finansal olmayan özel sektör kredilerinin milli gelir</w:t>
      </w:r>
      <w:r>
        <w:rPr>
          <w:rFonts w:ascii="Times New Roman" w:hAnsi="Times New Roman" w:cs="Times New Roman"/>
          <w:sz w:val="24"/>
          <w:szCs w:val="24"/>
        </w:rPr>
        <w:t>e</w:t>
      </w:r>
      <w:r w:rsidRPr="00B03142">
        <w:rPr>
          <w:rFonts w:ascii="Times New Roman" w:hAnsi="Times New Roman" w:cs="Times New Roman"/>
          <w:sz w:val="24"/>
          <w:szCs w:val="24"/>
        </w:rPr>
        <w:t xml:space="preserve"> </w:t>
      </w:r>
      <w:r>
        <w:rPr>
          <w:rFonts w:ascii="Times New Roman" w:hAnsi="Times New Roman" w:cs="Times New Roman"/>
          <w:sz w:val="24"/>
          <w:szCs w:val="24"/>
        </w:rPr>
        <w:t>oranı</w:t>
      </w:r>
      <w:r w:rsidRPr="00B03142">
        <w:rPr>
          <w:rFonts w:ascii="Times New Roman" w:hAnsi="Times New Roman" w:cs="Times New Roman"/>
          <w:sz w:val="24"/>
          <w:szCs w:val="24"/>
        </w:rPr>
        <w:t xml:space="preserve"> eşit seviyelere ulaşmış ve 2010 yılına kadar yüzde 40-50 seviyelerinde seyretmişlerdir. Küresel boyutta parasal genişlemenin hızlandığı 2010 yılı itibariyle finansal olmayan özel sektör kredilerinin milli gelir</w:t>
      </w:r>
      <w:r>
        <w:rPr>
          <w:rFonts w:ascii="Times New Roman" w:hAnsi="Times New Roman" w:cs="Times New Roman"/>
          <w:sz w:val="24"/>
          <w:szCs w:val="24"/>
        </w:rPr>
        <w:t>e oranı</w:t>
      </w:r>
      <w:r w:rsidRPr="00B03142">
        <w:rPr>
          <w:rFonts w:ascii="Times New Roman" w:hAnsi="Times New Roman" w:cs="Times New Roman"/>
          <w:sz w:val="24"/>
          <w:szCs w:val="24"/>
        </w:rPr>
        <w:t xml:space="preserve"> ile genel hükümetin </w:t>
      </w:r>
      <w:r>
        <w:rPr>
          <w:rFonts w:ascii="Times New Roman" w:hAnsi="Times New Roman" w:cs="Times New Roman"/>
          <w:sz w:val="24"/>
          <w:szCs w:val="24"/>
        </w:rPr>
        <w:t>kredi oranı</w:t>
      </w:r>
      <w:r w:rsidRPr="00B03142">
        <w:rPr>
          <w:rFonts w:ascii="Times New Roman" w:hAnsi="Times New Roman" w:cs="Times New Roman"/>
          <w:sz w:val="24"/>
          <w:szCs w:val="24"/>
        </w:rPr>
        <w:t xml:space="preserve"> arasındaki fark özel sektör lehine artmıştır. Küresel parasal genişlemelerin durduğu ve/veya sıkılaştığı 2014-2015 yıllarını takiben jeopolitik sebeplerden ulusal ekonomideki belirsizliklerin arttığı 2016 yılından sonra uygulanan KGF politikasının etkisiyle 2017-2018 yıllarında en yüksek seviye ulaşmıştır. Bu iki yılda özel sektör kredilerinin milli gelir</w:t>
      </w:r>
      <w:r>
        <w:rPr>
          <w:rFonts w:ascii="Times New Roman" w:hAnsi="Times New Roman" w:cs="Times New Roman"/>
          <w:sz w:val="24"/>
          <w:szCs w:val="24"/>
        </w:rPr>
        <w:t xml:space="preserve">e oranı </w:t>
      </w:r>
      <w:r w:rsidRPr="00B03142">
        <w:rPr>
          <w:rFonts w:ascii="Times New Roman" w:hAnsi="Times New Roman" w:cs="Times New Roman"/>
          <w:sz w:val="24"/>
          <w:szCs w:val="24"/>
        </w:rPr>
        <w:t xml:space="preserve">çeyreklik ortalamada yüzde 85 iken genel hükümetin </w:t>
      </w:r>
      <w:r>
        <w:rPr>
          <w:rFonts w:ascii="Times New Roman" w:hAnsi="Times New Roman" w:cs="Times New Roman"/>
          <w:sz w:val="24"/>
          <w:szCs w:val="24"/>
        </w:rPr>
        <w:t>kredi oranı</w:t>
      </w:r>
      <w:r w:rsidRPr="00B03142">
        <w:rPr>
          <w:rFonts w:ascii="Times New Roman" w:hAnsi="Times New Roman" w:cs="Times New Roman"/>
          <w:sz w:val="24"/>
          <w:szCs w:val="24"/>
        </w:rPr>
        <w:t xml:space="preserve"> yüzde 29 civarındadır. Pandemi dönemini de kapsayan 2019 yılı ve sonrasında söz konusu oranlar, sırasıyla, yüzde 86 ve 36’dır.</w:t>
      </w:r>
    </w:p>
    <w:p w14:paraId="67F9DCAD" w14:textId="73E01DA8" w:rsidR="001B53FA" w:rsidRPr="00A70EAB" w:rsidRDefault="001B53FA" w:rsidP="001B53FA">
      <w:pPr>
        <w:pStyle w:val="Caption"/>
        <w:keepNext/>
        <w:spacing w:before="240" w:line="276" w:lineRule="auto"/>
        <w:jc w:val="center"/>
        <w:rPr>
          <w:rFonts w:ascii="Times New Roman" w:hAnsi="Times New Roman" w:cs="Times New Roman"/>
          <w:b/>
          <w:bCs/>
          <w:i w:val="0"/>
          <w:iCs w:val="0"/>
          <w:color w:val="auto"/>
          <w:sz w:val="22"/>
          <w:szCs w:val="22"/>
        </w:rPr>
      </w:pPr>
      <w:r w:rsidRPr="00A70EAB">
        <w:rPr>
          <w:rFonts w:ascii="Times New Roman" w:hAnsi="Times New Roman" w:cs="Times New Roman"/>
          <w:b/>
          <w:bCs/>
          <w:i w:val="0"/>
          <w:iCs w:val="0"/>
          <w:color w:val="auto"/>
          <w:sz w:val="22"/>
          <w:szCs w:val="22"/>
        </w:rPr>
        <w:t xml:space="preserve">Şekil </w:t>
      </w:r>
      <w:r w:rsidRPr="00A70EAB">
        <w:rPr>
          <w:rFonts w:ascii="Times New Roman" w:hAnsi="Times New Roman" w:cs="Times New Roman"/>
          <w:b/>
          <w:bCs/>
          <w:i w:val="0"/>
          <w:iCs w:val="0"/>
          <w:color w:val="auto"/>
          <w:sz w:val="22"/>
          <w:szCs w:val="22"/>
        </w:rPr>
        <w:fldChar w:fldCharType="begin"/>
      </w:r>
      <w:r w:rsidRPr="00A70EAB">
        <w:rPr>
          <w:rFonts w:ascii="Times New Roman" w:hAnsi="Times New Roman" w:cs="Times New Roman"/>
          <w:b/>
          <w:bCs/>
          <w:i w:val="0"/>
          <w:iCs w:val="0"/>
          <w:color w:val="auto"/>
          <w:sz w:val="22"/>
          <w:szCs w:val="22"/>
        </w:rPr>
        <w:instrText xml:space="preserve"> SEQ Şekil \* ARABIC </w:instrText>
      </w:r>
      <w:r w:rsidRPr="00A70EAB">
        <w:rPr>
          <w:rFonts w:ascii="Times New Roman" w:hAnsi="Times New Roman" w:cs="Times New Roman"/>
          <w:b/>
          <w:bCs/>
          <w:i w:val="0"/>
          <w:iCs w:val="0"/>
          <w:color w:val="auto"/>
          <w:sz w:val="22"/>
          <w:szCs w:val="22"/>
        </w:rPr>
        <w:fldChar w:fldCharType="separate"/>
      </w:r>
      <w:r w:rsidR="0057441E">
        <w:rPr>
          <w:rFonts w:ascii="Times New Roman" w:hAnsi="Times New Roman" w:cs="Times New Roman"/>
          <w:b/>
          <w:bCs/>
          <w:i w:val="0"/>
          <w:iCs w:val="0"/>
          <w:noProof/>
          <w:color w:val="auto"/>
          <w:sz w:val="22"/>
          <w:szCs w:val="22"/>
        </w:rPr>
        <w:t>1</w:t>
      </w:r>
      <w:r w:rsidRPr="00A70EAB">
        <w:rPr>
          <w:rFonts w:ascii="Times New Roman" w:hAnsi="Times New Roman" w:cs="Times New Roman"/>
          <w:b/>
          <w:bCs/>
          <w:i w:val="0"/>
          <w:iCs w:val="0"/>
          <w:color w:val="auto"/>
          <w:sz w:val="22"/>
          <w:szCs w:val="22"/>
        </w:rPr>
        <w:fldChar w:fldCharType="end"/>
      </w:r>
      <w:r w:rsidRPr="00A70EAB">
        <w:rPr>
          <w:rFonts w:ascii="Times New Roman" w:hAnsi="Times New Roman" w:cs="Times New Roman"/>
          <w:b/>
          <w:bCs/>
          <w:i w:val="0"/>
          <w:iCs w:val="0"/>
          <w:color w:val="auto"/>
          <w:sz w:val="22"/>
          <w:szCs w:val="22"/>
        </w:rPr>
        <w:t>. Kredilerin Milli Gelir</w:t>
      </w:r>
      <w:r>
        <w:rPr>
          <w:rFonts w:ascii="Times New Roman" w:hAnsi="Times New Roman" w:cs="Times New Roman"/>
          <w:b/>
          <w:bCs/>
          <w:i w:val="0"/>
          <w:iCs w:val="0"/>
          <w:color w:val="auto"/>
          <w:sz w:val="22"/>
          <w:szCs w:val="22"/>
        </w:rPr>
        <w:t>e Oranı</w:t>
      </w:r>
      <w:r w:rsidR="002525C4">
        <w:rPr>
          <w:rFonts w:ascii="Times New Roman" w:hAnsi="Times New Roman" w:cs="Times New Roman"/>
          <w:b/>
          <w:bCs/>
          <w:i w:val="0"/>
          <w:iCs w:val="0"/>
          <w:color w:val="auto"/>
          <w:sz w:val="22"/>
          <w:szCs w:val="22"/>
        </w:rPr>
        <w:t xml:space="preserve"> </w:t>
      </w:r>
      <w:r w:rsidRPr="00A70EAB">
        <w:rPr>
          <w:rFonts w:ascii="Times New Roman" w:hAnsi="Times New Roman" w:cs="Times New Roman"/>
          <w:b/>
          <w:bCs/>
          <w:i w:val="0"/>
          <w:iCs w:val="0"/>
          <w:color w:val="auto"/>
          <w:sz w:val="22"/>
          <w:szCs w:val="22"/>
        </w:rPr>
        <w:t>(stok, %)</w:t>
      </w:r>
    </w:p>
    <w:p w14:paraId="7793C185" w14:textId="77777777" w:rsidR="001B53FA" w:rsidRPr="00B03142" w:rsidRDefault="001B53FA" w:rsidP="001B53FA">
      <w:pPr>
        <w:spacing w:after="0" w:line="276" w:lineRule="auto"/>
        <w:jc w:val="center"/>
        <w:rPr>
          <w:rFonts w:ascii="Times New Roman" w:hAnsi="Times New Roman" w:cs="Times New Roman"/>
          <w:b/>
          <w:bCs/>
          <w:sz w:val="24"/>
          <w:szCs w:val="24"/>
        </w:rPr>
      </w:pPr>
      <w:r w:rsidRPr="00B03142">
        <w:rPr>
          <w:noProof/>
          <w:lang w:eastAsia="tr-TR"/>
        </w:rPr>
        <w:drawing>
          <wp:inline distT="0" distB="0" distL="0" distR="0" wp14:anchorId="4F7DAF69" wp14:editId="23BF4143">
            <wp:extent cx="3924300" cy="22923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5A86364" w14:textId="7A740200" w:rsidR="001B53FA" w:rsidRPr="00AA3ED8" w:rsidRDefault="001B53FA" w:rsidP="001B53FA">
      <w:pPr>
        <w:pStyle w:val="ListParagraph"/>
        <w:spacing w:line="276" w:lineRule="auto"/>
        <w:ind w:left="0" w:firstLine="360"/>
        <w:jc w:val="both"/>
      </w:pPr>
      <w:r w:rsidRPr="00E35968">
        <w:rPr>
          <w:rFonts w:ascii="Times New Roman" w:hAnsi="Times New Roman" w:cs="Times New Roman"/>
          <w:sz w:val="16"/>
          <w:szCs w:val="18"/>
        </w:rPr>
        <w:t>Kaynak: BIS</w:t>
      </w:r>
    </w:p>
    <w:p w14:paraId="156D4451" w14:textId="77777777" w:rsidR="001B53FA" w:rsidRDefault="001B53FA" w:rsidP="005A0A24">
      <w:pPr>
        <w:pStyle w:val="ListParagraph"/>
        <w:spacing w:line="276" w:lineRule="auto"/>
        <w:ind w:left="0" w:firstLine="360"/>
        <w:jc w:val="both"/>
        <w:rPr>
          <w:rFonts w:ascii="Times New Roman" w:hAnsi="Times New Roman" w:cs="Times New Roman"/>
          <w:sz w:val="24"/>
          <w:szCs w:val="24"/>
        </w:rPr>
      </w:pPr>
    </w:p>
    <w:p w14:paraId="4585C6DE" w14:textId="20BC4FF9" w:rsidR="00A317D3" w:rsidRPr="00B03142" w:rsidRDefault="007D636F" w:rsidP="009507A2">
      <w:pPr>
        <w:pStyle w:val="ListParagraph"/>
        <w:spacing w:line="276" w:lineRule="auto"/>
        <w:ind w:left="0" w:firstLine="360"/>
        <w:jc w:val="both"/>
        <w:rPr>
          <w:rFonts w:ascii="Times New Roman" w:hAnsi="Times New Roman" w:cs="Times New Roman"/>
          <w:sz w:val="24"/>
          <w:szCs w:val="24"/>
        </w:rPr>
      </w:pPr>
      <w:r w:rsidRPr="00B03142">
        <w:rPr>
          <w:rFonts w:ascii="Times New Roman" w:hAnsi="Times New Roman" w:cs="Times New Roman"/>
          <w:sz w:val="24"/>
          <w:szCs w:val="24"/>
        </w:rPr>
        <w:t>Finansal olmayan ö</w:t>
      </w:r>
      <w:r w:rsidR="00516550" w:rsidRPr="00B03142">
        <w:rPr>
          <w:rFonts w:ascii="Times New Roman" w:hAnsi="Times New Roman" w:cs="Times New Roman"/>
          <w:sz w:val="24"/>
          <w:szCs w:val="24"/>
        </w:rPr>
        <w:t>zel sektör kredilerinin hanehalkı</w:t>
      </w:r>
      <w:r w:rsidRPr="00B03142">
        <w:rPr>
          <w:rFonts w:ascii="Times New Roman" w:hAnsi="Times New Roman" w:cs="Times New Roman"/>
          <w:sz w:val="24"/>
          <w:szCs w:val="24"/>
        </w:rPr>
        <w:t xml:space="preserve"> ve </w:t>
      </w:r>
      <w:r w:rsidR="00516550" w:rsidRPr="00B03142">
        <w:rPr>
          <w:rFonts w:ascii="Times New Roman" w:hAnsi="Times New Roman" w:cs="Times New Roman"/>
          <w:sz w:val="24"/>
          <w:szCs w:val="24"/>
        </w:rPr>
        <w:t>finansal olmayan firmalar dağılımına baktığımızda incelenen dönemin tamamında firmaların kredilerden aldığı pay hanehalkının payından çok daha fazladır. Özel sektör kredilerinin sürekli artış eğilimine geçtiği 2004</w:t>
      </w:r>
      <w:r w:rsidRPr="00B03142">
        <w:rPr>
          <w:rFonts w:ascii="Times New Roman" w:hAnsi="Times New Roman" w:cs="Times New Roman"/>
          <w:sz w:val="24"/>
          <w:szCs w:val="24"/>
        </w:rPr>
        <w:t>Ç1’de</w:t>
      </w:r>
      <w:r w:rsidR="00516550" w:rsidRPr="00B03142">
        <w:rPr>
          <w:rFonts w:ascii="Times New Roman" w:hAnsi="Times New Roman" w:cs="Times New Roman"/>
          <w:sz w:val="24"/>
          <w:szCs w:val="24"/>
        </w:rPr>
        <w:t xml:space="preserve"> hanehalkı kredileri toplam özel sektör kredilerinin yüzde 16’sını oluştururken, 2012</w:t>
      </w:r>
      <w:r w:rsidRPr="00B03142">
        <w:rPr>
          <w:rFonts w:ascii="Times New Roman" w:hAnsi="Times New Roman" w:cs="Times New Roman"/>
          <w:sz w:val="24"/>
          <w:szCs w:val="24"/>
        </w:rPr>
        <w:t xml:space="preserve">Ç4’e </w:t>
      </w:r>
      <w:r w:rsidR="00516550" w:rsidRPr="00B03142">
        <w:rPr>
          <w:rFonts w:ascii="Times New Roman" w:hAnsi="Times New Roman" w:cs="Times New Roman"/>
          <w:sz w:val="24"/>
          <w:szCs w:val="24"/>
        </w:rPr>
        <w:t xml:space="preserve">kadar payı sürekli artarak en yüksek seviyeye ulaşmış ve yüzde 29 olmuştur. Bu dönemden sonra </w:t>
      </w:r>
      <w:r w:rsidR="001A1A4F">
        <w:rPr>
          <w:rFonts w:ascii="Times New Roman" w:hAnsi="Times New Roman" w:cs="Times New Roman"/>
          <w:sz w:val="24"/>
          <w:szCs w:val="24"/>
        </w:rPr>
        <w:t>hanehalkının</w:t>
      </w:r>
      <w:r w:rsidR="001F15B5">
        <w:rPr>
          <w:rFonts w:ascii="Times New Roman" w:hAnsi="Times New Roman" w:cs="Times New Roman"/>
          <w:sz w:val="24"/>
          <w:szCs w:val="24"/>
        </w:rPr>
        <w:t xml:space="preserve"> </w:t>
      </w:r>
      <w:r w:rsidR="001A1A4F" w:rsidRPr="00B03142">
        <w:rPr>
          <w:rFonts w:ascii="Times New Roman" w:hAnsi="Times New Roman" w:cs="Times New Roman"/>
          <w:sz w:val="24"/>
          <w:szCs w:val="24"/>
        </w:rPr>
        <w:t>özel sektör kredileri içinde</w:t>
      </w:r>
      <w:r w:rsidR="001A1A4F">
        <w:rPr>
          <w:rFonts w:ascii="Times New Roman" w:hAnsi="Times New Roman" w:cs="Times New Roman"/>
          <w:sz w:val="24"/>
          <w:szCs w:val="24"/>
        </w:rPr>
        <w:t>ki</w:t>
      </w:r>
      <w:r w:rsidR="001A1A4F" w:rsidRPr="00B03142">
        <w:rPr>
          <w:rFonts w:ascii="Times New Roman" w:hAnsi="Times New Roman" w:cs="Times New Roman"/>
          <w:sz w:val="24"/>
          <w:szCs w:val="24"/>
        </w:rPr>
        <w:t xml:space="preserve"> </w:t>
      </w:r>
      <w:r w:rsidR="00516550" w:rsidRPr="00B03142">
        <w:rPr>
          <w:rFonts w:ascii="Times New Roman" w:hAnsi="Times New Roman" w:cs="Times New Roman"/>
          <w:sz w:val="24"/>
          <w:szCs w:val="24"/>
        </w:rPr>
        <w:t>payında düşme eğilimi ol</w:t>
      </w:r>
      <w:r w:rsidR="00660C73" w:rsidRPr="00B03142">
        <w:rPr>
          <w:rFonts w:ascii="Times New Roman" w:hAnsi="Times New Roman" w:cs="Times New Roman"/>
          <w:sz w:val="24"/>
          <w:szCs w:val="24"/>
        </w:rPr>
        <w:t>muştur. 2013</w:t>
      </w:r>
      <w:r w:rsidRPr="00B03142">
        <w:rPr>
          <w:rFonts w:ascii="Times New Roman" w:hAnsi="Times New Roman" w:cs="Times New Roman"/>
          <w:sz w:val="24"/>
          <w:szCs w:val="24"/>
        </w:rPr>
        <w:t>Ç1</w:t>
      </w:r>
      <w:r w:rsidR="00660C73" w:rsidRPr="00B03142">
        <w:rPr>
          <w:rFonts w:ascii="Times New Roman" w:hAnsi="Times New Roman" w:cs="Times New Roman"/>
          <w:sz w:val="24"/>
          <w:szCs w:val="24"/>
        </w:rPr>
        <w:t xml:space="preserve"> ve 2022</w:t>
      </w:r>
      <w:r w:rsidRPr="00B03142">
        <w:rPr>
          <w:rFonts w:ascii="Times New Roman" w:hAnsi="Times New Roman" w:cs="Times New Roman"/>
          <w:sz w:val="24"/>
          <w:szCs w:val="24"/>
        </w:rPr>
        <w:t>Ç1</w:t>
      </w:r>
      <w:r w:rsidR="00516550" w:rsidRPr="00B03142">
        <w:rPr>
          <w:rFonts w:ascii="Times New Roman" w:hAnsi="Times New Roman" w:cs="Times New Roman"/>
          <w:sz w:val="24"/>
          <w:szCs w:val="24"/>
        </w:rPr>
        <w:t xml:space="preserve"> arasında</w:t>
      </w:r>
      <w:r w:rsidR="001A1A4F">
        <w:rPr>
          <w:rFonts w:ascii="Times New Roman" w:hAnsi="Times New Roman" w:cs="Times New Roman"/>
          <w:sz w:val="24"/>
          <w:szCs w:val="24"/>
        </w:rPr>
        <w:t xml:space="preserve"> söz konusu pay ortalama </w:t>
      </w:r>
      <w:r w:rsidR="00516550" w:rsidRPr="00B03142">
        <w:rPr>
          <w:rFonts w:ascii="Times New Roman" w:hAnsi="Times New Roman" w:cs="Times New Roman"/>
          <w:sz w:val="24"/>
          <w:szCs w:val="24"/>
        </w:rPr>
        <w:t xml:space="preserve"> yüzde 21’dir. 2001 krizi ve sonrasındaki iki yıl boyunca özel sektör kredilerinin yüzde 90’nını oluşturan finansal olmayan firma kredilerinin payı, 2004</w:t>
      </w:r>
      <w:r w:rsidRPr="00B03142">
        <w:rPr>
          <w:rFonts w:ascii="Times New Roman" w:hAnsi="Times New Roman" w:cs="Times New Roman"/>
          <w:sz w:val="24"/>
          <w:szCs w:val="24"/>
        </w:rPr>
        <w:t>Ç1’den</w:t>
      </w:r>
      <w:r w:rsidR="00C95FD6" w:rsidRPr="00B03142">
        <w:rPr>
          <w:rFonts w:ascii="Times New Roman" w:hAnsi="Times New Roman" w:cs="Times New Roman"/>
          <w:sz w:val="24"/>
          <w:szCs w:val="24"/>
        </w:rPr>
        <w:t xml:space="preserve"> günümüze kadar yüzde 71-85</w:t>
      </w:r>
      <w:r w:rsidR="00516550" w:rsidRPr="00B03142">
        <w:rPr>
          <w:rFonts w:ascii="Times New Roman" w:hAnsi="Times New Roman" w:cs="Times New Roman"/>
          <w:sz w:val="24"/>
          <w:szCs w:val="24"/>
        </w:rPr>
        <w:t xml:space="preserve"> arasında </w:t>
      </w:r>
      <w:r w:rsidR="00C95FD6" w:rsidRPr="00B03142">
        <w:rPr>
          <w:rFonts w:ascii="Times New Roman" w:hAnsi="Times New Roman" w:cs="Times New Roman"/>
          <w:sz w:val="24"/>
          <w:szCs w:val="24"/>
        </w:rPr>
        <w:t>değişen paylara</w:t>
      </w:r>
      <w:r w:rsidR="00516550" w:rsidRPr="00B03142">
        <w:rPr>
          <w:rFonts w:ascii="Times New Roman" w:hAnsi="Times New Roman" w:cs="Times New Roman"/>
          <w:sz w:val="24"/>
          <w:szCs w:val="24"/>
        </w:rPr>
        <w:t xml:space="preserve"> sahip olmuştur. Özel sektöre yerel bankalarca kullandırılan kredilerin payı ise Şekil 1’de kalın çizgiyle gösterilmektedir. Buna göre 2001</w:t>
      </w:r>
      <w:r w:rsidRPr="00B03142">
        <w:rPr>
          <w:rFonts w:ascii="Times New Roman" w:hAnsi="Times New Roman" w:cs="Times New Roman"/>
          <w:sz w:val="24"/>
          <w:szCs w:val="24"/>
        </w:rPr>
        <w:t>Ç1’den</w:t>
      </w:r>
      <w:r w:rsidR="00516550" w:rsidRPr="00B03142">
        <w:rPr>
          <w:rFonts w:ascii="Times New Roman" w:hAnsi="Times New Roman" w:cs="Times New Roman"/>
          <w:sz w:val="24"/>
          <w:szCs w:val="24"/>
        </w:rPr>
        <w:t xml:space="preserve"> 2004</w:t>
      </w:r>
      <w:r w:rsidRPr="00B03142">
        <w:rPr>
          <w:rFonts w:ascii="Times New Roman" w:hAnsi="Times New Roman" w:cs="Times New Roman"/>
          <w:sz w:val="24"/>
          <w:szCs w:val="24"/>
        </w:rPr>
        <w:t>Ç1’e</w:t>
      </w:r>
      <w:r w:rsidR="00516550" w:rsidRPr="00B03142">
        <w:rPr>
          <w:rFonts w:ascii="Times New Roman" w:hAnsi="Times New Roman" w:cs="Times New Roman"/>
          <w:sz w:val="24"/>
          <w:szCs w:val="24"/>
        </w:rPr>
        <w:t xml:space="preserve"> kadar özel sektöre verilen kredilerin yaklaşık yarısı yerel bankalarca sağlanırken, 2004</w:t>
      </w:r>
      <w:r w:rsidRPr="00B03142">
        <w:rPr>
          <w:rFonts w:ascii="Times New Roman" w:hAnsi="Times New Roman" w:cs="Times New Roman"/>
          <w:sz w:val="24"/>
          <w:szCs w:val="24"/>
        </w:rPr>
        <w:t>Ç1’den</w:t>
      </w:r>
      <w:r w:rsidR="00516550" w:rsidRPr="00B03142">
        <w:rPr>
          <w:rFonts w:ascii="Times New Roman" w:hAnsi="Times New Roman" w:cs="Times New Roman"/>
          <w:sz w:val="24"/>
          <w:szCs w:val="24"/>
        </w:rPr>
        <w:t xml:space="preserve"> itibaren bu pay artmaya başlamıştır ve günümüze kadar olan dönemde </w:t>
      </w:r>
      <w:r w:rsidR="007E4ED1" w:rsidRPr="00B03142">
        <w:rPr>
          <w:rFonts w:ascii="Times New Roman" w:hAnsi="Times New Roman" w:cs="Times New Roman"/>
          <w:sz w:val="24"/>
          <w:szCs w:val="24"/>
        </w:rPr>
        <w:lastRenderedPageBreak/>
        <w:t>yerel bankaların finansal olmayan özel sektöre sağladığı kredilerin payı yüzde 60 ile 76 arasında değişmiştir</w:t>
      </w:r>
      <w:r w:rsidR="009507A2" w:rsidRPr="00B03142">
        <w:rPr>
          <w:rFonts w:ascii="Times New Roman" w:hAnsi="Times New Roman" w:cs="Times New Roman"/>
          <w:sz w:val="24"/>
          <w:szCs w:val="24"/>
        </w:rPr>
        <w:t>.</w:t>
      </w:r>
    </w:p>
    <w:p w14:paraId="41DA570D" w14:textId="1924FDD1" w:rsidR="00116AAD" w:rsidRPr="00B03142" w:rsidRDefault="00504F84" w:rsidP="008D0759">
      <w:pPr>
        <w:pStyle w:val="Heading2"/>
        <w:spacing w:after="240" w:line="276" w:lineRule="auto"/>
      </w:pPr>
      <w:r w:rsidRPr="00B03142">
        <w:t>Sektörel Kredi Kompozisyonu</w:t>
      </w:r>
    </w:p>
    <w:p w14:paraId="5B1D13E0" w14:textId="1473AB07" w:rsidR="00116AAD" w:rsidRPr="00B03142" w:rsidRDefault="00116AAD" w:rsidP="008D0759">
      <w:pPr>
        <w:spacing w:line="276" w:lineRule="auto"/>
        <w:ind w:firstLine="360"/>
        <w:jc w:val="both"/>
        <w:rPr>
          <w:rFonts w:ascii="Times New Roman" w:hAnsi="Times New Roman" w:cs="Times New Roman"/>
          <w:sz w:val="24"/>
          <w:szCs w:val="24"/>
        </w:rPr>
      </w:pPr>
      <w:r w:rsidRPr="00B03142">
        <w:rPr>
          <w:rFonts w:ascii="Times New Roman" w:hAnsi="Times New Roman" w:cs="Times New Roman"/>
          <w:sz w:val="24"/>
          <w:szCs w:val="24"/>
        </w:rPr>
        <w:t xml:space="preserve">Bu çalışmanın konusunu oluşturan sektör kredileri Türkiye’deki bankalarca </w:t>
      </w:r>
      <w:r w:rsidR="000440FB" w:rsidRPr="00B03142">
        <w:rPr>
          <w:rFonts w:ascii="Times New Roman" w:hAnsi="Times New Roman" w:cs="Times New Roman"/>
          <w:sz w:val="24"/>
          <w:szCs w:val="24"/>
        </w:rPr>
        <w:t xml:space="preserve">firmalara </w:t>
      </w:r>
      <w:r w:rsidRPr="00B03142">
        <w:rPr>
          <w:rFonts w:ascii="Times New Roman" w:hAnsi="Times New Roman" w:cs="Times New Roman"/>
          <w:sz w:val="24"/>
          <w:szCs w:val="24"/>
        </w:rPr>
        <w:t xml:space="preserve">kullandırılan kredilerdir. Şekil 1’de </w:t>
      </w:r>
      <w:r w:rsidR="00D9551E" w:rsidRPr="00B03142">
        <w:rPr>
          <w:rFonts w:ascii="Times New Roman" w:hAnsi="Times New Roman" w:cs="Times New Roman"/>
          <w:sz w:val="24"/>
          <w:szCs w:val="24"/>
        </w:rPr>
        <w:t>kalın çizgi ile gösterilen</w:t>
      </w:r>
      <w:r w:rsidRPr="00B03142">
        <w:rPr>
          <w:rFonts w:ascii="Times New Roman" w:hAnsi="Times New Roman" w:cs="Times New Roman"/>
          <w:sz w:val="24"/>
          <w:szCs w:val="24"/>
        </w:rPr>
        <w:t xml:space="preserve"> ve BIS verisi olan yerel bankalarca kullandırılan krediler kapsamındaki firma kredileri finans sektörünü içermemektedir. Çalışmanın devamında kullanılan ve TBB Risk Merkezi tarafından yayınlanan “Bankalarca Kullandıran Kredilerin Sektörel Dağılımı” verisinde ise firma kredileri finans sektörünü de kapsamaktadır.</w:t>
      </w:r>
      <w:r w:rsidR="00DF3289" w:rsidRPr="00B03142">
        <w:rPr>
          <w:rStyle w:val="FootnoteReference"/>
          <w:rFonts w:ascii="Times New Roman" w:hAnsi="Times New Roman" w:cs="Times New Roman"/>
          <w:sz w:val="24"/>
          <w:szCs w:val="24"/>
        </w:rPr>
        <w:footnoteReference w:id="7"/>
      </w:r>
      <w:r w:rsidR="004174F2" w:rsidRPr="00B03142">
        <w:rPr>
          <w:rFonts w:ascii="Times New Roman" w:hAnsi="Times New Roman" w:cs="Times New Roman"/>
          <w:sz w:val="24"/>
          <w:szCs w:val="24"/>
          <w:vertAlign w:val="superscript"/>
        </w:rPr>
        <w:t>,</w:t>
      </w:r>
      <w:r w:rsidR="004174F2" w:rsidRPr="00B03142">
        <w:rPr>
          <w:rStyle w:val="FootnoteReference"/>
          <w:rFonts w:ascii="Times New Roman" w:hAnsi="Times New Roman" w:cs="Times New Roman"/>
          <w:sz w:val="24"/>
          <w:szCs w:val="24"/>
        </w:rPr>
        <w:footnoteReference w:id="8"/>
      </w:r>
      <w:r w:rsidR="004174F2" w:rsidRPr="00B03142">
        <w:rPr>
          <w:rFonts w:ascii="Times New Roman" w:hAnsi="Times New Roman" w:cs="Times New Roman"/>
          <w:sz w:val="24"/>
          <w:szCs w:val="24"/>
          <w:vertAlign w:val="superscript"/>
        </w:rPr>
        <w:t>,</w:t>
      </w:r>
      <w:r w:rsidR="004174F2" w:rsidRPr="00B03142">
        <w:rPr>
          <w:rStyle w:val="FootnoteReference"/>
          <w:rFonts w:ascii="Times New Roman" w:hAnsi="Times New Roman" w:cs="Times New Roman"/>
          <w:sz w:val="24"/>
          <w:szCs w:val="24"/>
        </w:rPr>
        <w:footnoteReference w:id="9"/>
      </w:r>
      <w:r w:rsidRPr="00B03142">
        <w:rPr>
          <w:rFonts w:ascii="Times New Roman" w:hAnsi="Times New Roman" w:cs="Times New Roman"/>
          <w:sz w:val="24"/>
          <w:szCs w:val="24"/>
        </w:rPr>
        <w:t xml:space="preserve"> </w:t>
      </w:r>
      <w:r w:rsidR="00D9551E" w:rsidRPr="00B03142">
        <w:rPr>
          <w:rFonts w:ascii="Times New Roman" w:hAnsi="Times New Roman" w:cs="Times New Roman"/>
          <w:sz w:val="24"/>
          <w:szCs w:val="24"/>
        </w:rPr>
        <w:t>Şekil 2 bu veriyle</w:t>
      </w:r>
      <w:r w:rsidRPr="00B03142">
        <w:rPr>
          <w:rFonts w:ascii="Times New Roman" w:hAnsi="Times New Roman" w:cs="Times New Roman"/>
          <w:sz w:val="24"/>
          <w:szCs w:val="24"/>
        </w:rPr>
        <w:t xml:space="preserve"> oluşturulmuş</w:t>
      </w:r>
      <w:r w:rsidR="00D9551E" w:rsidRPr="00B03142">
        <w:rPr>
          <w:rFonts w:ascii="Times New Roman" w:hAnsi="Times New Roman" w:cs="Times New Roman"/>
          <w:sz w:val="24"/>
          <w:szCs w:val="24"/>
        </w:rPr>
        <w:t>tur</w:t>
      </w:r>
      <w:r w:rsidR="000717E9" w:rsidRPr="00B03142">
        <w:rPr>
          <w:rFonts w:ascii="Times New Roman" w:hAnsi="Times New Roman" w:cs="Times New Roman"/>
          <w:sz w:val="24"/>
          <w:szCs w:val="24"/>
        </w:rPr>
        <w:t xml:space="preserve"> ve yerel bankalarca kullandırılan kredilerin milli gelir</w:t>
      </w:r>
      <w:r w:rsidR="00E51DFB">
        <w:rPr>
          <w:rFonts w:ascii="Times New Roman" w:hAnsi="Times New Roman" w:cs="Times New Roman"/>
          <w:sz w:val="24"/>
          <w:szCs w:val="24"/>
        </w:rPr>
        <w:t>e oranını</w:t>
      </w:r>
      <w:r w:rsidR="000717E9" w:rsidRPr="00B03142">
        <w:rPr>
          <w:rFonts w:ascii="Times New Roman" w:hAnsi="Times New Roman" w:cs="Times New Roman"/>
          <w:sz w:val="24"/>
          <w:szCs w:val="24"/>
        </w:rPr>
        <w:t xml:space="preserve"> hanehalkı ve firmalara ayrıştırarak göstermektedir.</w:t>
      </w:r>
      <w:r w:rsidR="00D9551E" w:rsidRPr="00B03142">
        <w:rPr>
          <w:rFonts w:ascii="Times New Roman" w:hAnsi="Times New Roman" w:cs="Times New Roman"/>
          <w:sz w:val="24"/>
          <w:szCs w:val="24"/>
        </w:rPr>
        <w:t xml:space="preserve"> Buna göre</w:t>
      </w:r>
      <w:r w:rsidR="00462759" w:rsidRPr="00B03142">
        <w:rPr>
          <w:rFonts w:ascii="Times New Roman" w:hAnsi="Times New Roman" w:cs="Times New Roman"/>
          <w:sz w:val="24"/>
          <w:szCs w:val="24"/>
        </w:rPr>
        <w:t>,</w:t>
      </w:r>
      <w:r w:rsidRPr="00B03142">
        <w:rPr>
          <w:rFonts w:ascii="Times New Roman" w:hAnsi="Times New Roman" w:cs="Times New Roman"/>
          <w:sz w:val="24"/>
          <w:szCs w:val="24"/>
        </w:rPr>
        <w:t xml:space="preserve"> hanehalkı ve firma kredileri</w:t>
      </w:r>
      <w:r w:rsidR="00A617DE" w:rsidRPr="00B03142">
        <w:rPr>
          <w:rFonts w:ascii="Times New Roman" w:hAnsi="Times New Roman" w:cs="Times New Roman"/>
          <w:sz w:val="24"/>
          <w:szCs w:val="24"/>
        </w:rPr>
        <w:t xml:space="preserve"> toplamının</w:t>
      </w:r>
      <w:r w:rsidRPr="00B03142">
        <w:rPr>
          <w:rFonts w:ascii="Times New Roman" w:hAnsi="Times New Roman" w:cs="Times New Roman"/>
          <w:sz w:val="24"/>
          <w:szCs w:val="24"/>
        </w:rPr>
        <w:t xml:space="preserve"> seviyesi finans sektörünün dahil edilmesinden dolayı </w:t>
      </w:r>
      <w:r w:rsidR="000717E9" w:rsidRPr="00B03142">
        <w:rPr>
          <w:rFonts w:ascii="Times New Roman" w:hAnsi="Times New Roman" w:cs="Times New Roman"/>
          <w:sz w:val="24"/>
          <w:szCs w:val="24"/>
        </w:rPr>
        <w:t xml:space="preserve">BIS serisine göre </w:t>
      </w:r>
      <w:r w:rsidRPr="00B03142">
        <w:rPr>
          <w:rFonts w:ascii="Times New Roman" w:hAnsi="Times New Roman" w:cs="Times New Roman"/>
          <w:sz w:val="24"/>
          <w:szCs w:val="24"/>
        </w:rPr>
        <w:t xml:space="preserve">daha yüksektir ancak dağılımı ve trendi BIS </w:t>
      </w:r>
      <w:r w:rsidRPr="007B3F2B">
        <w:rPr>
          <w:rFonts w:ascii="Times New Roman" w:hAnsi="Times New Roman" w:cs="Times New Roman"/>
          <w:sz w:val="24"/>
          <w:szCs w:val="24"/>
        </w:rPr>
        <w:t xml:space="preserve">verisiyle </w:t>
      </w:r>
      <w:r w:rsidR="00E35112" w:rsidRPr="007B3F2B">
        <w:rPr>
          <w:rFonts w:ascii="Times New Roman" w:hAnsi="Times New Roman" w:cs="Times New Roman"/>
          <w:sz w:val="24"/>
          <w:szCs w:val="24"/>
        </w:rPr>
        <w:t>uyumludur</w:t>
      </w:r>
      <w:r w:rsidRPr="007B3F2B">
        <w:rPr>
          <w:rFonts w:ascii="Times New Roman" w:hAnsi="Times New Roman" w:cs="Times New Roman"/>
          <w:sz w:val="24"/>
          <w:szCs w:val="24"/>
        </w:rPr>
        <w:t>.</w:t>
      </w:r>
      <w:r w:rsidR="00A617DE" w:rsidRPr="00B03142">
        <w:rPr>
          <w:rFonts w:ascii="Times New Roman" w:hAnsi="Times New Roman" w:cs="Times New Roman"/>
          <w:sz w:val="24"/>
          <w:szCs w:val="24"/>
        </w:rPr>
        <w:t xml:space="preserve"> Ayrıca iki grafik birlikte düşünüldüğünde hanehalkına sağlanan kredi serisinin benzer oranlara sahip olması bu kesime sağlanan kredilerin neredeyse tamamının yerel bankalarca sağlandığına işaret etmektedir.</w:t>
      </w:r>
    </w:p>
    <w:p w14:paraId="3436D942" w14:textId="469DF4BA" w:rsidR="00D9551E" w:rsidRPr="00A70EAB" w:rsidRDefault="00D9551E" w:rsidP="00A70EAB">
      <w:pPr>
        <w:pStyle w:val="Caption"/>
        <w:keepNext/>
        <w:spacing w:before="240" w:line="276" w:lineRule="auto"/>
        <w:jc w:val="center"/>
        <w:rPr>
          <w:rFonts w:ascii="Times New Roman" w:hAnsi="Times New Roman" w:cs="Times New Roman"/>
          <w:b/>
          <w:bCs/>
          <w:i w:val="0"/>
          <w:iCs w:val="0"/>
          <w:color w:val="auto"/>
          <w:sz w:val="22"/>
          <w:szCs w:val="22"/>
        </w:rPr>
      </w:pPr>
      <w:r w:rsidRPr="00A70EAB">
        <w:rPr>
          <w:rFonts w:ascii="Times New Roman" w:hAnsi="Times New Roman" w:cs="Times New Roman"/>
          <w:b/>
          <w:bCs/>
          <w:i w:val="0"/>
          <w:iCs w:val="0"/>
          <w:color w:val="auto"/>
          <w:sz w:val="22"/>
          <w:szCs w:val="22"/>
        </w:rPr>
        <w:t xml:space="preserve">Şekil </w:t>
      </w:r>
      <w:r w:rsidR="00ED08B2" w:rsidRPr="00A70EAB">
        <w:rPr>
          <w:rFonts w:ascii="Times New Roman" w:hAnsi="Times New Roman" w:cs="Times New Roman"/>
          <w:b/>
          <w:bCs/>
          <w:i w:val="0"/>
          <w:iCs w:val="0"/>
          <w:color w:val="auto"/>
          <w:sz w:val="22"/>
          <w:szCs w:val="22"/>
        </w:rPr>
        <w:fldChar w:fldCharType="begin"/>
      </w:r>
      <w:r w:rsidR="00ED08B2" w:rsidRPr="00A70EAB">
        <w:rPr>
          <w:rFonts w:ascii="Times New Roman" w:hAnsi="Times New Roman" w:cs="Times New Roman"/>
          <w:b/>
          <w:bCs/>
          <w:i w:val="0"/>
          <w:iCs w:val="0"/>
          <w:color w:val="auto"/>
          <w:sz w:val="22"/>
          <w:szCs w:val="22"/>
        </w:rPr>
        <w:instrText xml:space="preserve"> SEQ Şekil \* ARABIC </w:instrText>
      </w:r>
      <w:r w:rsidR="00ED08B2" w:rsidRPr="00A70EAB">
        <w:rPr>
          <w:rFonts w:ascii="Times New Roman" w:hAnsi="Times New Roman" w:cs="Times New Roman"/>
          <w:b/>
          <w:bCs/>
          <w:i w:val="0"/>
          <w:iCs w:val="0"/>
          <w:color w:val="auto"/>
          <w:sz w:val="22"/>
          <w:szCs w:val="22"/>
        </w:rPr>
        <w:fldChar w:fldCharType="separate"/>
      </w:r>
      <w:r w:rsidR="0057441E">
        <w:rPr>
          <w:rFonts w:ascii="Times New Roman" w:hAnsi="Times New Roman" w:cs="Times New Roman"/>
          <w:b/>
          <w:bCs/>
          <w:i w:val="0"/>
          <w:iCs w:val="0"/>
          <w:noProof/>
          <w:color w:val="auto"/>
          <w:sz w:val="22"/>
          <w:szCs w:val="22"/>
        </w:rPr>
        <w:t>2</w:t>
      </w:r>
      <w:r w:rsidR="00ED08B2" w:rsidRPr="00A70EAB">
        <w:rPr>
          <w:rFonts w:ascii="Times New Roman" w:hAnsi="Times New Roman" w:cs="Times New Roman"/>
          <w:b/>
          <w:bCs/>
          <w:i w:val="0"/>
          <w:iCs w:val="0"/>
          <w:color w:val="auto"/>
          <w:sz w:val="22"/>
          <w:szCs w:val="22"/>
        </w:rPr>
        <w:fldChar w:fldCharType="end"/>
      </w:r>
      <w:r w:rsidRPr="00A70EAB">
        <w:rPr>
          <w:rFonts w:ascii="Times New Roman" w:hAnsi="Times New Roman" w:cs="Times New Roman"/>
          <w:b/>
          <w:bCs/>
          <w:i w:val="0"/>
          <w:iCs w:val="0"/>
          <w:color w:val="auto"/>
          <w:sz w:val="22"/>
          <w:szCs w:val="22"/>
        </w:rPr>
        <w:t>. Yerel Bankalarca Sağlanan Özel Sektör Kredilerin Milli Gelir</w:t>
      </w:r>
      <w:r w:rsidR="00E51DFB">
        <w:rPr>
          <w:rFonts w:ascii="Times New Roman" w:hAnsi="Times New Roman" w:cs="Times New Roman"/>
          <w:b/>
          <w:bCs/>
          <w:i w:val="0"/>
          <w:iCs w:val="0"/>
          <w:color w:val="auto"/>
          <w:sz w:val="22"/>
          <w:szCs w:val="22"/>
        </w:rPr>
        <w:t>e Oranı</w:t>
      </w:r>
      <w:r w:rsidRPr="00A70EAB">
        <w:rPr>
          <w:rFonts w:ascii="Times New Roman" w:hAnsi="Times New Roman" w:cs="Times New Roman"/>
          <w:b/>
          <w:bCs/>
          <w:i w:val="0"/>
          <w:iCs w:val="0"/>
          <w:color w:val="auto"/>
          <w:sz w:val="22"/>
          <w:szCs w:val="22"/>
        </w:rPr>
        <w:t xml:space="preserve"> (%)</w:t>
      </w:r>
    </w:p>
    <w:p w14:paraId="0D44F3B1" w14:textId="56B22847" w:rsidR="00116AAD" w:rsidRPr="00B03142" w:rsidRDefault="00CA6340" w:rsidP="008D0759">
      <w:pPr>
        <w:spacing w:after="0" w:line="276" w:lineRule="auto"/>
        <w:jc w:val="center"/>
        <w:rPr>
          <w:rFonts w:ascii="Times New Roman" w:hAnsi="Times New Roman" w:cs="Times New Roman"/>
          <w:b/>
          <w:bCs/>
          <w:sz w:val="24"/>
          <w:szCs w:val="24"/>
        </w:rPr>
      </w:pPr>
      <w:r>
        <w:rPr>
          <w:noProof/>
          <w:lang w:eastAsia="tr-TR"/>
        </w:rPr>
        <w:drawing>
          <wp:inline distT="0" distB="0" distL="0" distR="0" wp14:anchorId="0BC01140" wp14:editId="41FF7510">
            <wp:extent cx="4095750" cy="2166459"/>
            <wp:effectExtent l="0" t="0" r="0" b="5715"/>
            <wp:docPr id="1856738757" name="Picture 1" descr="A graph showing a number of yea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6738757" name="Picture 1" descr="A graph showing a number of years&#10;&#10;Description automatically generated with medium confidence"/>
                    <pic:cNvPicPr/>
                  </pic:nvPicPr>
                  <pic:blipFill>
                    <a:blip r:embed="rId20"/>
                    <a:stretch>
                      <a:fillRect/>
                    </a:stretch>
                  </pic:blipFill>
                  <pic:spPr>
                    <a:xfrm>
                      <a:off x="0" y="0"/>
                      <a:ext cx="4112714" cy="2175432"/>
                    </a:xfrm>
                    <a:prstGeom prst="rect">
                      <a:avLst/>
                    </a:prstGeom>
                  </pic:spPr>
                </pic:pic>
              </a:graphicData>
            </a:graphic>
          </wp:inline>
        </w:drawing>
      </w:r>
    </w:p>
    <w:p w14:paraId="47C3B41B" w14:textId="41E90CB7" w:rsidR="002D10AD" w:rsidRPr="00E35968" w:rsidRDefault="00116AAD" w:rsidP="00CA6340">
      <w:pPr>
        <w:spacing w:line="276" w:lineRule="auto"/>
        <w:ind w:left="1440" w:firstLine="360"/>
        <w:jc w:val="both"/>
        <w:rPr>
          <w:rFonts w:ascii="Times New Roman" w:hAnsi="Times New Roman" w:cs="Times New Roman"/>
          <w:sz w:val="16"/>
          <w:szCs w:val="18"/>
        </w:rPr>
      </w:pPr>
      <w:r w:rsidRPr="00E35968">
        <w:rPr>
          <w:rFonts w:ascii="Times New Roman" w:hAnsi="Times New Roman" w:cs="Times New Roman"/>
          <w:sz w:val="16"/>
          <w:szCs w:val="18"/>
        </w:rPr>
        <w:t>Kaynak: TCMB, TBB Risk Merkezi</w:t>
      </w:r>
    </w:p>
    <w:p w14:paraId="2DBE1895" w14:textId="70614CD9" w:rsidR="00F44B2B" w:rsidRDefault="000717E9" w:rsidP="00251976">
      <w:pPr>
        <w:spacing w:after="0" w:line="276" w:lineRule="auto"/>
        <w:ind w:firstLine="360"/>
        <w:jc w:val="both"/>
        <w:rPr>
          <w:rFonts w:ascii="Times New Roman" w:hAnsi="Times New Roman" w:cs="Times New Roman"/>
          <w:bCs/>
          <w:sz w:val="24"/>
          <w:szCs w:val="24"/>
        </w:rPr>
      </w:pPr>
      <w:r w:rsidRPr="00B03142">
        <w:rPr>
          <w:rFonts w:ascii="Times New Roman" w:hAnsi="Times New Roman" w:cs="Times New Roman"/>
          <w:bCs/>
          <w:sz w:val="24"/>
          <w:szCs w:val="24"/>
        </w:rPr>
        <w:t xml:space="preserve">Çalışmanın </w:t>
      </w:r>
      <w:r w:rsidR="00B11571" w:rsidRPr="00B03142">
        <w:rPr>
          <w:rFonts w:ascii="Times New Roman" w:hAnsi="Times New Roman" w:cs="Times New Roman"/>
          <w:bCs/>
          <w:sz w:val="24"/>
          <w:szCs w:val="24"/>
        </w:rPr>
        <w:t>devamında</w:t>
      </w:r>
      <w:r w:rsidR="006514C5" w:rsidRPr="00B03142">
        <w:rPr>
          <w:rFonts w:ascii="Times New Roman" w:hAnsi="Times New Roman" w:cs="Times New Roman"/>
          <w:bCs/>
          <w:sz w:val="24"/>
          <w:szCs w:val="24"/>
        </w:rPr>
        <w:t>,</w:t>
      </w:r>
      <w:r w:rsidRPr="00B03142">
        <w:rPr>
          <w:rFonts w:ascii="Times New Roman" w:hAnsi="Times New Roman" w:cs="Times New Roman"/>
          <w:bCs/>
          <w:sz w:val="24"/>
          <w:szCs w:val="24"/>
        </w:rPr>
        <w:t xml:space="preserve"> Şekil 2’de açık taralı alanla gösterilen hanehalkı dışında kalan ve yerel bankalarca sağlanan </w:t>
      </w:r>
      <w:r w:rsidR="005A0A24" w:rsidRPr="00B03142">
        <w:rPr>
          <w:rFonts w:ascii="Times New Roman" w:hAnsi="Times New Roman" w:cs="Times New Roman"/>
          <w:bCs/>
          <w:sz w:val="24"/>
          <w:szCs w:val="24"/>
        </w:rPr>
        <w:t>firma</w:t>
      </w:r>
      <w:r w:rsidRPr="00B03142">
        <w:rPr>
          <w:rFonts w:ascii="Times New Roman" w:hAnsi="Times New Roman" w:cs="Times New Roman"/>
          <w:bCs/>
          <w:sz w:val="24"/>
          <w:szCs w:val="24"/>
        </w:rPr>
        <w:t xml:space="preserve"> kredilerine odaklanılacak</w:t>
      </w:r>
      <w:r w:rsidR="0077757D">
        <w:rPr>
          <w:rFonts w:ascii="Times New Roman" w:hAnsi="Times New Roman" w:cs="Times New Roman"/>
          <w:bCs/>
          <w:sz w:val="24"/>
          <w:szCs w:val="24"/>
        </w:rPr>
        <w:t xml:space="preserve"> ve bu serinin sektör kırılımları incelenecektir</w:t>
      </w:r>
      <w:r w:rsidRPr="00B03142">
        <w:rPr>
          <w:rFonts w:ascii="Times New Roman" w:hAnsi="Times New Roman" w:cs="Times New Roman"/>
          <w:bCs/>
          <w:sz w:val="24"/>
          <w:szCs w:val="24"/>
        </w:rPr>
        <w:t xml:space="preserve">. </w:t>
      </w:r>
      <w:r w:rsidR="007B3F2B">
        <w:rPr>
          <w:rFonts w:ascii="Times New Roman" w:hAnsi="Times New Roman" w:cs="Times New Roman"/>
          <w:bCs/>
          <w:sz w:val="24"/>
          <w:szCs w:val="24"/>
        </w:rPr>
        <w:t xml:space="preserve">Bu amaçla hazırlanan </w:t>
      </w:r>
      <w:r w:rsidR="00B57527">
        <w:rPr>
          <w:rFonts w:ascii="Times New Roman" w:hAnsi="Times New Roman" w:cs="Times New Roman"/>
          <w:bCs/>
          <w:sz w:val="24"/>
          <w:szCs w:val="24"/>
        </w:rPr>
        <w:t>Şekil 3 yerel bankalarca firmalara tahsis edilen kredilerin milli gelire oranı</w:t>
      </w:r>
      <w:r w:rsidR="00373141">
        <w:rPr>
          <w:rFonts w:ascii="Times New Roman" w:hAnsi="Times New Roman" w:cs="Times New Roman"/>
          <w:bCs/>
          <w:sz w:val="24"/>
          <w:szCs w:val="24"/>
        </w:rPr>
        <w:t>nı</w:t>
      </w:r>
      <w:r w:rsidR="00B57527">
        <w:rPr>
          <w:rFonts w:ascii="Times New Roman" w:hAnsi="Times New Roman" w:cs="Times New Roman"/>
          <w:bCs/>
          <w:sz w:val="24"/>
          <w:szCs w:val="24"/>
        </w:rPr>
        <w:t xml:space="preserve"> sektör bazında (düz çizgi)</w:t>
      </w:r>
      <w:r w:rsidR="007D02BA">
        <w:rPr>
          <w:rFonts w:ascii="Times New Roman" w:hAnsi="Times New Roman" w:cs="Times New Roman"/>
          <w:bCs/>
          <w:sz w:val="24"/>
          <w:szCs w:val="24"/>
        </w:rPr>
        <w:t>,</w:t>
      </w:r>
      <w:r w:rsidR="00373141">
        <w:rPr>
          <w:rFonts w:ascii="Times New Roman" w:hAnsi="Times New Roman" w:cs="Times New Roman"/>
          <w:bCs/>
          <w:sz w:val="24"/>
          <w:szCs w:val="24"/>
        </w:rPr>
        <w:t xml:space="preserve"> toplam </w:t>
      </w:r>
      <w:r w:rsidR="007D02BA">
        <w:rPr>
          <w:rFonts w:ascii="Times New Roman" w:hAnsi="Times New Roman" w:cs="Times New Roman"/>
          <w:bCs/>
          <w:sz w:val="24"/>
          <w:szCs w:val="24"/>
        </w:rPr>
        <w:t xml:space="preserve">firma kredileri </w:t>
      </w:r>
      <w:r w:rsidR="00373141">
        <w:rPr>
          <w:rFonts w:ascii="Times New Roman" w:hAnsi="Times New Roman" w:cs="Times New Roman"/>
          <w:bCs/>
          <w:sz w:val="24"/>
          <w:szCs w:val="24"/>
        </w:rPr>
        <w:t>seri</w:t>
      </w:r>
      <w:r w:rsidR="007D02BA">
        <w:rPr>
          <w:rFonts w:ascii="Times New Roman" w:hAnsi="Times New Roman" w:cs="Times New Roman"/>
          <w:bCs/>
          <w:sz w:val="24"/>
          <w:szCs w:val="24"/>
        </w:rPr>
        <w:t>si</w:t>
      </w:r>
      <w:r w:rsidR="00373141">
        <w:rPr>
          <w:rFonts w:ascii="Times New Roman" w:hAnsi="Times New Roman" w:cs="Times New Roman"/>
          <w:bCs/>
          <w:sz w:val="24"/>
          <w:szCs w:val="24"/>
        </w:rPr>
        <w:t xml:space="preserve">yle (kesikli çizgi) birlikte </w:t>
      </w:r>
      <w:r w:rsidR="00B57527">
        <w:rPr>
          <w:rFonts w:ascii="Times New Roman" w:hAnsi="Times New Roman" w:cs="Times New Roman"/>
          <w:bCs/>
          <w:sz w:val="24"/>
          <w:szCs w:val="24"/>
        </w:rPr>
        <w:t>göster</w:t>
      </w:r>
      <w:r w:rsidR="00373141">
        <w:rPr>
          <w:rFonts w:ascii="Times New Roman" w:hAnsi="Times New Roman" w:cs="Times New Roman"/>
          <w:bCs/>
          <w:sz w:val="24"/>
          <w:szCs w:val="24"/>
        </w:rPr>
        <w:t>mektedir</w:t>
      </w:r>
      <w:r w:rsidR="00B57527">
        <w:rPr>
          <w:rFonts w:ascii="Times New Roman" w:hAnsi="Times New Roman" w:cs="Times New Roman"/>
          <w:bCs/>
          <w:sz w:val="24"/>
          <w:szCs w:val="24"/>
        </w:rPr>
        <w:t>.</w:t>
      </w:r>
      <w:r w:rsidR="00373141">
        <w:rPr>
          <w:rFonts w:ascii="Times New Roman" w:hAnsi="Times New Roman" w:cs="Times New Roman"/>
          <w:bCs/>
          <w:sz w:val="24"/>
          <w:szCs w:val="24"/>
        </w:rPr>
        <w:t xml:space="preserve"> </w:t>
      </w:r>
      <w:r w:rsidR="007D02BA">
        <w:rPr>
          <w:rFonts w:ascii="Times New Roman" w:hAnsi="Times New Roman" w:cs="Times New Roman"/>
          <w:bCs/>
          <w:sz w:val="24"/>
          <w:szCs w:val="24"/>
        </w:rPr>
        <w:t>Bu şekildeki</w:t>
      </w:r>
      <w:r w:rsidR="00373141">
        <w:rPr>
          <w:rFonts w:ascii="Times New Roman" w:hAnsi="Times New Roman" w:cs="Times New Roman"/>
          <w:bCs/>
          <w:sz w:val="24"/>
          <w:szCs w:val="24"/>
        </w:rPr>
        <w:t xml:space="preserve"> çizgiler</w:t>
      </w:r>
      <w:r w:rsidR="00B57527">
        <w:rPr>
          <w:rFonts w:ascii="Times New Roman" w:hAnsi="Times New Roman" w:cs="Times New Roman"/>
          <w:bCs/>
          <w:sz w:val="24"/>
          <w:szCs w:val="24"/>
        </w:rPr>
        <w:t xml:space="preserve"> </w:t>
      </w:r>
      <w:r w:rsidR="00373141">
        <w:rPr>
          <w:rFonts w:ascii="Times New Roman" w:hAnsi="Times New Roman" w:cs="Times New Roman"/>
          <w:bCs/>
          <w:sz w:val="24"/>
          <w:szCs w:val="24"/>
        </w:rPr>
        <w:t xml:space="preserve">serilerin 1999 değerlerinin 100’e eşitlenmesiyle elde edilen endeks </w:t>
      </w:r>
      <w:r w:rsidR="00373141">
        <w:rPr>
          <w:rFonts w:ascii="Times New Roman" w:hAnsi="Times New Roman" w:cs="Times New Roman"/>
          <w:bCs/>
          <w:sz w:val="24"/>
          <w:szCs w:val="24"/>
        </w:rPr>
        <w:lastRenderedPageBreak/>
        <w:t xml:space="preserve">değerleridir. </w:t>
      </w:r>
      <w:r w:rsidR="00826465">
        <w:rPr>
          <w:rFonts w:ascii="Times New Roman" w:hAnsi="Times New Roman" w:cs="Times New Roman"/>
          <w:bCs/>
          <w:sz w:val="24"/>
          <w:szCs w:val="24"/>
        </w:rPr>
        <w:t xml:space="preserve">Her grafikte aynı olan </w:t>
      </w:r>
      <w:r w:rsidR="00373141">
        <w:rPr>
          <w:rFonts w:ascii="Times New Roman" w:hAnsi="Times New Roman" w:cs="Times New Roman"/>
          <w:bCs/>
          <w:sz w:val="24"/>
          <w:szCs w:val="24"/>
        </w:rPr>
        <w:t xml:space="preserve">toplam firma kredilerinin milli gelire </w:t>
      </w:r>
      <w:r w:rsidR="00CA6340">
        <w:rPr>
          <w:rFonts w:ascii="Times New Roman" w:hAnsi="Times New Roman" w:cs="Times New Roman"/>
          <w:bCs/>
          <w:sz w:val="24"/>
          <w:szCs w:val="24"/>
        </w:rPr>
        <w:t>oran</w:t>
      </w:r>
      <w:r w:rsidR="008720FE">
        <w:rPr>
          <w:rFonts w:ascii="Times New Roman" w:hAnsi="Times New Roman" w:cs="Times New Roman"/>
          <w:bCs/>
          <w:sz w:val="24"/>
          <w:szCs w:val="24"/>
        </w:rPr>
        <w:t>ı</w:t>
      </w:r>
      <w:r w:rsidR="00906A4F">
        <w:rPr>
          <w:rFonts w:ascii="Times New Roman" w:hAnsi="Times New Roman" w:cs="Times New Roman"/>
          <w:bCs/>
          <w:sz w:val="24"/>
          <w:szCs w:val="24"/>
        </w:rPr>
        <w:t>na bakıldığında, oranın</w:t>
      </w:r>
      <w:r w:rsidR="00001472" w:rsidRPr="00B03142">
        <w:rPr>
          <w:rFonts w:ascii="Times New Roman" w:hAnsi="Times New Roman" w:cs="Times New Roman"/>
          <w:bCs/>
          <w:sz w:val="24"/>
          <w:szCs w:val="24"/>
        </w:rPr>
        <w:t xml:space="preserve"> </w:t>
      </w:r>
      <w:r w:rsidR="00E10EBA" w:rsidRPr="00B03142">
        <w:rPr>
          <w:rFonts w:ascii="Times New Roman" w:hAnsi="Times New Roman" w:cs="Times New Roman"/>
          <w:bCs/>
          <w:sz w:val="24"/>
          <w:szCs w:val="24"/>
        </w:rPr>
        <w:t>1999-2003 yılları arasında yüzde 28 azal</w:t>
      </w:r>
      <w:r w:rsidR="00906A4F">
        <w:rPr>
          <w:rFonts w:ascii="Times New Roman" w:hAnsi="Times New Roman" w:cs="Times New Roman"/>
          <w:bCs/>
          <w:sz w:val="24"/>
          <w:szCs w:val="24"/>
        </w:rPr>
        <w:t>dığı,</w:t>
      </w:r>
      <w:r w:rsidR="00F80EE8">
        <w:rPr>
          <w:rFonts w:ascii="Times New Roman" w:hAnsi="Times New Roman" w:cs="Times New Roman"/>
          <w:bCs/>
          <w:sz w:val="24"/>
          <w:szCs w:val="24"/>
        </w:rPr>
        <w:t xml:space="preserve"> ancak </w:t>
      </w:r>
      <w:r w:rsidR="00F80EE8" w:rsidRPr="00B03142">
        <w:rPr>
          <w:rFonts w:ascii="Times New Roman" w:hAnsi="Times New Roman" w:cs="Times New Roman"/>
          <w:bCs/>
          <w:sz w:val="24"/>
          <w:szCs w:val="24"/>
        </w:rPr>
        <w:t>2004 yılından itibaren uzun dönemli artış eğilimin</w:t>
      </w:r>
      <w:r w:rsidR="00F80EE8">
        <w:rPr>
          <w:rFonts w:ascii="Times New Roman" w:hAnsi="Times New Roman" w:cs="Times New Roman"/>
          <w:bCs/>
          <w:sz w:val="24"/>
          <w:szCs w:val="24"/>
        </w:rPr>
        <w:t>e gir</w:t>
      </w:r>
      <w:r w:rsidR="00906A4F">
        <w:rPr>
          <w:rFonts w:ascii="Times New Roman" w:hAnsi="Times New Roman" w:cs="Times New Roman"/>
          <w:bCs/>
          <w:sz w:val="24"/>
          <w:szCs w:val="24"/>
        </w:rPr>
        <w:t>diği görülmektedir</w:t>
      </w:r>
      <w:r w:rsidR="00F80EE8">
        <w:rPr>
          <w:rFonts w:ascii="Times New Roman" w:hAnsi="Times New Roman" w:cs="Times New Roman"/>
          <w:bCs/>
          <w:sz w:val="24"/>
          <w:szCs w:val="24"/>
        </w:rPr>
        <w:t xml:space="preserve">. </w:t>
      </w:r>
      <w:r w:rsidR="00906A4F">
        <w:rPr>
          <w:rFonts w:ascii="Times New Roman" w:hAnsi="Times New Roman" w:cs="Times New Roman"/>
          <w:bCs/>
          <w:sz w:val="24"/>
          <w:szCs w:val="24"/>
        </w:rPr>
        <w:t xml:space="preserve">Oran </w:t>
      </w:r>
      <w:r w:rsidR="00E10EBA" w:rsidRPr="00B03142">
        <w:rPr>
          <w:rFonts w:ascii="Times New Roman" w:hAnsi="Times New Roman" w:cs="Times New Roman"/>
          <w:bCs/>
          <w:sz w:val="24"/>
          <w:szCs w:val="24"/>
        </w:rPr>
        <w:t>2021 sonu itibariyle</w:t>
      </w:r>
      <w:r w:rsidR="00F80EE8">
        <w:rPr>
          <w:rFonts w:ascii="Times New Roman" w:hAnsi="Times New Roman" w:cs="Times New Roman"/>
          <w:bCs/>
          <w:sz w:val="24"/>
          <w:szCs w:val="24"/>
        </w:rPr>
        <w:t xml:space="preserve"> </w:t>
      </w:r>
      <w:r w:rsidR="00E10EBA" w:rsidRPr="00B03142">
        <w:rPr>
          <w:rFonts w:ascii="Times New Roman" w:hAnsi="Times New Roman" w:cs="Times New Roman"/>
          <w:bCs/>
          <w:sz w:val="24"/>
          <w:szCs w:val="24"/>
        </w:rPr>
        <w:t>2003 seviyesinin 4,3 katına çıkmıştır.</w:t>
      </w:r>
      <w:r w:rsidR="00EA60CD" w:rsidRPr="00EA60CD">
        <w:rPr>
          <w:rFonts w:ascii="Times New Roman" w:hAnsi="Times New Roman" w:cs="Times New Roman"/>
          <w:bCs/>
          <w:sz w:val="24"/>
          <w:szCs w:val="24"/>
        </w:rPr>
        <w:t xml:space="preserve"> </w:t>
      </w:r>
      <w:r w:rsidR="00F80EE8">
        <w:rPr>
          <w:rFonts w:ascii="Times New Roman" w:hAnsi="Times New Roman" w:cs="Times New Roman"/>
          <w:bCs/>
          <w:sz w:val="24"/>
          <w:szCs w:val="24"/>
        </w:rPr>
        <w:t>2004-2021 arasında</w:t>
      </w:r>
      <w:r w:rsidR="00EA60CD" w:rsidRPr="00B03142">
        <w:rPr>
          <w:rFonts w:ascii="Times New Roman" w:hAnsi="Times New Roman" w:cs="Times New Roman"/>
          <w:bCs/>
          <w:sz w:val="24"/>
          <w:szCs w:val="24"/>
        </w:rPr>
        <w:t xml:space="preserve"> </w:t>
      </w:r>
      <w:r w:rsidR="00906A4F">
        <w:rPr>
          <w:rFonts w:ascii="Times New Roman" w:hAnsi="Times New Roman" w:cs="Times New Roman"/>
          <w:bCs/>
          <w:sz w:val="24"/>
          <w:szCs w:val="24"/>
        </w:rPr>
        <w:t xml:space="preserve">orandaki </w:t>
      </w:r>
      <w:r w:rsidR="00EA60CD" w:rsidRPr="00B03142">
        <w:rPr>
          <w:rFonts w:ascii="Times New Roman" w:hAnsi="Times New Roman" w:cs="Times New Roman"/>
          <w:bCs/>
          <w:sz w:val="24"/>
          <w:szCs w:val="24"/>
        </w:rPr>
        <w:t>en keskin azalma 2016 yılında g</w:t>
      </w:r>
      <w:r w:rsidR="00906A4F">
        <w:rPr>
          <w:rFonts w:ascii="Times New Roman" w:hAnsi="Times New Roman" w:cs="Times New Roman"/>
          <w:bCs/>
          <w:sz w:val="24"/>
          <w:szCs w:val="24"/>
        </w:rPr>
        <w:t>erçekleşmiştir</w:t>
      </w:r>
      <w:r w:rsidR="00EA60CD" w:rsidRPr="00B03142">
        <w:rPr>
          <w:rFonts w:ascii="Times New Roman" w:hAnsi="Times New Roman" w:cs="Times New Roman"/>
          <w:bCs/>
          <w:sz w:val="24"/>
          <w:szCs w:val="24"/>
        </w:rPr>
        <w:t>. Bunun dışında 2009 ve 2019 yıllarında daha düşük daralma</w:t>
      </w:r>
      <w:r w:rsidR="007B3F2B">
        <w:rPr>
          <w:rFonts w:ascii="Times New Roman" w:hAnsi="Times New Roman" w:cs="Times New Roman"/>
          <w:bCs/>
          <w:sz w:val="24"/>
          <w:szCs w:val="24"/>
        </w:rPr>
        <w:t>lar</w:t>
      </w:r>
      <w:r w:rsidR="00EA60CD" w:rsidRPr="00B03142">
        <w:rPr>
          <w:rFonts w:ascii="Times New Roman" w:hAnsi="Times New Roman" w:cs="Times New Roman"/>
          <w:bCs/>
          <w:sz w:val="24"/>
          <w:szCs w:val="24"/>
        </w:rPr>
        <w:t xml:space="preserve"> yaşamıştır.</w:t>
      </w:r>
      <w:r w:rsidR="008720FE">
        <w:rPr>
          <w:rStyle w:val="FootnoteReference"/>
          <w:rFonts w:ascii="Times New Roman" w:hAnsi="Times New Roman" w:cs="Times New Roman"/>
          <w:bCs/>
          <w:sz w:val="24"/>
          <w:szCs w:val="24"/>
        </w:rPr>
        <w:footnoteReference w:id="10"/>
      </w:r>
      <w:r w:rsidR="00E10EBA" w:rsidRPr="00B03142">
        <w:rPr>
          <w:rFonts w:ascii="Times New Roman" w:hAnsi="Times New Roman" w:cs="Times New Roman"/>
          <w:bCs/>
          <w:sz w:val="24"/>
          <w:szCs w:val="24"/>
        </w:rPr>
        <w:t xml:space="preserve"> </w:t>
      </w:r>
    </w:p>
    <w:p w14:paraId="7F10464C" w14:textId="778D45D7" w:rsidR="009507A2" w:rsidRPr="00B03142" w:rsidRDefault="00D84B95" w:rsidP="00251976">
      <w:pPr>
        <w:spacing w:line="276" w:lineRule="auto"/>
        <w:ind w:firstLine="360"/>
        <w:jc w:val="both"/>
        <w:rPr>
          <w:rFonts w:ascii="Times New Roman" w:hAnsi="Times New Roman" w:cs="Times New Roman"/>
          <w:bCs/>
          <w:sz w:val="24"/>
          <w:szCs w:val="24"/>
        </w:rPr>
      </w:pPr>
      <w:r>
        <w:rPr>
          <w:rFonts w:ascii="Times New Roman" w:hAnsi="Times New Roman" w:cs="Times New Roman"/>
          <w:bCs/>
          <w:sz w:val="24"/>
          <w:szCs w:val="24"/>
        </w:rPr>
        <w:t xml:space="preserve">Sektör bazında kredi-milli gelir oranı gelişimine baktığımızda tüm sektörlerde 2004 yılı itibariyle uzun dönemli artış eğilimi gözlenmektedir. </w:t>
      </w:r>
      <w:r w:rsidR="00F44B2B">
        <w:rPr>
          <w:rFonts w:ascii="Times New Roman" w:hAnsi="Times New Roman" w:cs="Times New Roman"/>
          <w:bCs/>
          <w:sz w:val="24"/>
          <w:szCs w:val="24"/>
        </w:rPr>
        <w:t>Bu dönemde yalnızca</w:t>
      </w:r>
      <w:r w:rsidR="009507A2" w:rsidRPr="00B03142">
        <w:rPr>
          <w:rFonts w:ascii="Times New Roman" w:hAnsi="Times New Roman" w:cs="Times New Roman"/>
          <w:bCs/>
          <w:sz w:val="24"/>
          <w:szCs w:val="24"/>
        </w:rPr>
        <w:t xml:space="preserve"> İMA sektörü</w:t>
      </w:r>
      <w:r w:rsidR="00F44B2B">
        <w:rPr>
          <w:rFonts w:ascii="Times New Roman" w:hAnsi="Times New Roman" w:cs="Times New Roman"/>
          <w:bCs/>
          <w:sz w:val="24"/>
          <w:szCs w:val="24"/>
        </w:rPr>
        <w:t xml:space="preserve">nde kredi-milli gelir oranı artışı toplam </w:t>
      </w:r>
      <w:r w:rsidR="00494162">
        <w:rPr>
          <w:rFonts w:ascii="Times New Roman" w:hAnsi="Times New Roman" w:cs="Times New Roman"/>
          <w:bCs/>
          <w:sz w:val="24"/>
          <w:szCs w:val="24"/>
        </w:rPr>
        <w:t xml:space="preserve">firma </w:t>
      </w:r>
      <w:r w:rsidR="00F44B2B">
        <w:rPr>
          <w:rFonts w:ascii="Times New Roman" w:hAnsi="Times New Roman" w:cs="Times New Roman"/>
          <w:bCs/>
          <w:sz w:val="24"/>
          <w:szCs w:val="24"/>
        </w:rPr>
        <w:t>kredi</w:t>
      </w:r>
      <w:r w:rsidR="00494162">
        <w:rPr>
          <w:rFonts w:ascii="Times New Roman" w:hAnsi="Times New Roman" w:cs="Times New Roman"/>
          <w:bCs/>
          <w:sz w:val="24"/>
          <w:szCs w:val="24"/>
        </w:rPr>
        <w:t>si</w:t>
      </w:r>
      <w:r w:rsidR="00F44B2B">
        <w:rPr>
          <w:rFonts w:ascii="Times New Roman" w:hAnsi="Times New Roman" w:cs="Times New Roman"/>
          <w:bCs/>
          <w:sz w:val="24"/>
          <w:szCs w:val="24"/>
        </w:rPr>
        <w:t>-milli gelir oranının artış hızından yavaştır.</w:t>
      </w:r>
      <w:r w:rsidR="009507A2" w:rsidRPr="00B03142">
        <w:rPr>
          <w:rFonts w:ascii="Times New Roman" w:hAnsi="Times New Roman" w:cs="Times New Roman"/>
          <w:bCs/>
          <w:sz w:val="24"/>
          <w:szCs w:val="24"/>
        </w:rPr>
        <w:t xml:space="preserve"> </w:t>
      </w:r>
      <w:r w:rsidR="00F44B2B">
        <w:rPr>
          <w:rFonts w:ascii="Times New Roman" w:hAnsi="Times New Roman" w:cs="Times New Roman"/>
          <w:bCs/>
          <w:sz w:val="24"/>
          <w:szCs w:val="24"/>
        </w:rPr>
        <w:t>Kredi-milli gelir oranı a</w:t>
      </w:r>
      <w:r w:rsidR="009507A2" w:rsidRPr="00B03142">
        <w:rPr>
          <w:rFonts w:ascii="Times New Roman" w:hAnsi="Times New Roman" w:cs="Times New Roman"/>
          <w:bCs/>
          <w:sz w:val="24"/>
          <w:szCs w:val="24"/>
        </w:rPr>
        <w:t>rtış hızı en fazla olan ilk üç sektör EGS, UHD ve FİGM sektörleridir. Bunları DKÖH, TİC ve TAR sektörleri takip etmektedir. İNŞ ve MAD sektörlerin</w:t>
      </w:r>
      <w:r w:rsidR="00F44B2B">
        <w:rPr>
          <w:rFonts w:ascii="Times New Roman" w:hAnsi="Times New Roman" w:cs="Times New Roman"/>
          <w:bCs/>
          <w:sz w:val="24"/>
          <w:szCs w:val="24"/>
        </w:rPr>
        <w:t>d</w:t>
      </w:r>
      <w:r w:rsidR="009507A2" w:rsidRPr="00B03142">
        <w:rPr>
          <w:rFonts w:ascii="Times New Roman" w:hAnsi="Times New Roman" w:cs="Times New Roman"/>
          <w:bCs/>
          <w:sz w:val="24"/>
          <w:szCs w:val="24"/>
        </w:rPr>
        <w:t>e krediler</w:t>
      </w:r>
      <w:r w:rsidR="00217470">
        <w:rPr>
          <w:rFonts w:ascii="Times New Roman" w:hAnsi="Times New Roman" w:cs="Times New Roman"/>
          <w:bCs/>
          <w:sz w:val="24"/>
          <w:szCs w:val="24"/>
        </w:rPr>
        <w:t>-</w:t>
      </w:r>
      <w:r w:rsidR="009507A2" w:rsidRPr="00B03142">
        <w:rPr>
          <w:rFonts w:ascii="Times New Roman" w:hAnsi="Times New Roman" w:cs="Times New Roman"/>
          <w:bCs/>
          <w:sz w:val="24"/>
          <w:szCs w:val="24"/>
        </w:rPr>
        <w:t xml:space="preserve">milli gelir </w:t>
      </w:r>
      <w:r w:rsidR="00217470">
        <w:rPr>
          <w:rFonts w:ascii="Times New Roman" w:hAnsi="Times New Roman" w:cs="Times New Roman"/>
          <w:bCs/>
          <w:sz w:val="24"/>
          <w:szCs w:val="24"/>
        </w:rPr>
        <w:t>oranının</w:t>
      </w:r>
      <w:r w:rsidR="009507A2" w:rsidRPr="00B03142">
        <w:rPr>
          <w:rFonts w:ascii="Times New Roman" w:hAnsi="Times New Roman" w:cs="Times New Roman"/>
          <w:bCs/>
          <w:sz w:val="24"/>
          <w:szCs w:val="24"/>
        </w:rPr>
        <w:t xml:space="preserve"> </w:t>
      </w:r>
      <w:r w:rsidR="00944182">
        <w:rPr>
          <w:rFonts w:ascii="Times New Roman" w:hAnsi="Times New Roman" w:cs="Times New Roman"/>
          <w:bCs/>
          <w:sz w:val="24"/>
          <w:szCs w:val="24"/>
        </w:rPr>
        <w:t>artışı dönemin çoğunda toplam artışa paraleldir</w:t>
      </w:r>
      <w:r w:rsidR="00944182" w:rsidRPr="00826465">
        <w:rPr>
          <w:rFonts w:ascii="Times New Roman" w:hAnsi="Times New Roman" w:cs="Times New Roman"/>
          <w:bCs/>
          <w:sz w:val="24"/>
          <w:szCs w:val="24"/>
        </w:rPr>
        <w:t xml:space="preserve">. </w:t>
      </w:r>
      <w:r w:rsidR="00910C3C" w:rsidRPr="00826465">
        <w:rPr>
          <w:rFonts w:ascii="Times New Roman" w:hAnsi="Times New Roman" w:cs="Times New Roman"/>
          <w:bCs/>
          <w:sz w:val="24"/>
          <w:szCs w:val="24"/>
        </w:rPr>
        <w:t xml:space="preserve">Ancak </w:t>
      </w:r>
      <w:r w:rsidR="001931D0" w:rsidRPr="00826465">
        <w:rPr>
          <w:rFonts w:ascii="Times New Roman" w:hAnsi="Times New Roman" w:cs="Times New Roman"/>
          <w:bCs/>
          <w:sz w:val="24"/>
          <w:szCs w:val="24"/>
        </w:rPr>
        <w:t xml:space="preserve">2016’dan itibaren </w:t>
      </w:r>
      <w:r w:rsidR="009507A2" w:rsidRPr="00826465">
        <w:rPr>
          <w:rFonts w:ascii="Times New Roman" w:hAnsi="Times New Roman" w:cs="Times New Roman"/>
          <w:bCs/>
          <w:sz w:val="24"/>
          <w:szCs w:val="24"/>
        </w:rPr>
        <w:t>İNŞ sektörü</w:t>
      </w:r>
      <w:r w:rsidR="001931D0" w:rsidRPr="00826465">
        <w:rPr>
          <w:rFonts w:ascii="Times New Roman" w:hAnsi="Times New Roman" w:cs="Times New Roman"/>
          <w:bCs/>
          <w:sz w:val="24"/>
          <w:szCs w:val="24"/>
        </w:rPr>
        <w:t>nde</w:t>
      </w:r>
      <w:r w:rsidR="00910C3C" w:rsidRPr="00826465">
        <w:rPr>
          <w:rFonts w:ascii="Times New Roman" w:hAnsi="Times New Roman" w:cs="Times New Roman"/>
          <w:bCs/>
          <w:sz w:val="24"/>
          <w:szCs w:val="24"/>
        </w:rPr>
        <w:t>ki artışın toplam artışın</w:t>
      </w:r>
      <w:r w:rsidR="009507A2" w:rsidRPr="00826465">
        <w:rPr>
          <w:rFonts w:ascii="Times New Roman" w:hAnsi="Times New Roman" w:cs="Times New Roman"/>
          <w:bCs/>
          <w:sz w:val="24"/>
          <w:szCs w:val="24"/>
        </w:rPr>
        <w:t xml:space="preserve"> üzerinde seyret</w:t>
      </w:r>
      <w:r w:rsidR="001931D0" w:rsidRPr="00826465">
        <w:rPr>
          <w:rFonts w:ascii="Times New Roman" w:hAnsi="Times New Roman" w:cs="Times New Roman"/>
          <w:bCs/>
          <w:sz w:val="24"/>
          <w:szCs w:val="24"/>
        </w:rPr>
        <w:t>tiği not edilmelidir.</w:t>
      </w:r>
      <w:r w:rsidR="009507A2" w:rsidRPr="00B03142">
        <w:rPr>
          <w:rFonts w:ascii="Times New Roman" w:hAnsi="Times New Roman" w:cs="Times New Roman"/>
          <w:bCs/>
          <w:sz w:val="24"/>
          <w:szCs w:val="24"/>
        </w:rPr>
        <w:t xml:space="preserve"> </w:t>
      </w:r>
    </w:p>
    <w:p w14:paraId="7BD38333" w14:textId="1DFD3706" w:rsidR="00A317D3" w:rsidRDefault="00A317D3" w:rsidP="00A70EAB">
      <w:pPr>
        <w:pStyle w:val="Caption"/>
        <w:keepNext/>
        <w:spacing w:before="240" w:line="276" w:lineRule="auto"/>
        <w:jc w:val="center"/>
        <w:rPr>
          <w:rFonts w:ascii="Times New Roman" w:hAnsi="Times New Roman" w:cs="Times New Roman"/>
          <w:b/>
          <w:i w:val="0"/>
          <w:color w:val="auto"/>
          <w:sz w:val="22"/>
          <w:szCs w:val="22"/>
        </w:rPr>
      </w:pPr>
      <w:r w:rsidRPr="00A70EAB">
        <w:rPr>
          <w:rFonts w:ascii="Times New Roman" w:hAnsi="Times New Roman" w:cs="Times New Roman"/>
          <w:b/>
          <w:i w:val="0"/>
          <w:color w:val="auto"/>
          <w:sz w:val="22"/>
          <w:szCs w:val="22"/>
        </w:rPr>
        <w:t xml:space="preserve">Şekil </w:t>
      </w:r>
      <w:r w:rsidR="00ED08B2" w:rsidRPr="00A70EAB">
        <w:rPr>
          <w:rFonts w:ascii="Times New Roman" w:hAnsi="Times New Roman" w:cs="Times New Roman"/>
          <w:b/>
          <w:i w:val="0"/>
          <w:color w:val="auto"/>
          <w:sz w:val="22"/>
          <w:szCs w:val="22"/>
        </w:rPr>
        <w:fldChar w:fldCharType="begin"/>
      </w:r>
      <w:r w:rsidR="00ED08B2" w:rsidRPr="00A70EAB">
        <w:rPr>
          <w:rFonts w:ascii="Times New Roman" w:hAnsi="Times New Roman" w:cs="Times New Roman"/>
          <w:b/>
          <w:i w:val="0"/>
          <w:color w:val="auto"/>
          <w:sz w:val="22"/>
          <w:szCs w:val="22"/>
        </w:rPr>
        <w:instrText xml:space="preserve"> SEQ Şekil \* ARABIC </w:instrText>
      </w:r>
      <w:r w:rsidR="00ED08B2" w:rsidRPr="00A70EAB">
        <w:rPr>
          <w:rFonts w:ascii="Times New Roman" w:hAnsi="Times New Roman" w:cs="Times New Roman"/>
          <w:b/>
          <w:i w:val="0"/>
          <w:color w:val="auto"/>
          <w:sz w:val="22"/>
          <w:szCs w:val="22"/>
        </w:rPr>
        <w:fldChar w:fldCharType="separate"/>
      </w:r>
      <w:r w:rsidR="0057441E">
        <w:rPr>
          <w:rFonts w:ascii="Times New Roman" w:hAnsi="Times New Roman" w:cs="Times New Roman"/>
          <w:b/>
          <w:i w:val="0"/>
          <w:noProof/>
          <w:color w:val="auto"/>
          <w:sz w:val="22"/>
          <w:szCs w:val="22"/>
        </w:rPr>
        <w:t>3</w:t>
      </w:r>
      <w:r w:rsidR="00ED08B2" w:rsidRPr="00A70EAB">
        <w:rPr>
          <w:rFonts w:ascii="Times New Roman" w:hAnsi="Times New Roman" w:cs="Times New Roman"/>
          <w:b/>
          <w:i w:val="0"/>
          <w:color w:val="auto"/>
          <w:sz w:val="22"/>
          <w:szCs w:val="22"/>
        </w:rPr>
        <w:fldChar w:fldCharType="end"/>
      </w:r>
      <w:r w:rsidRPr="00A70EAB">
        <w:rPr>
          <w:rFonts w:ascii="Times New Roman" w:hAnsi="Times New Roman" w:cs="Times New Roman"/>
          <w:b/>
          <w:i w:val="0"/>
          <w:color w:val="auto"/>
          <w:sz w:val="22"/>
          <w:szCs w:val="22"/>
        </w:rPr>
        <w:t xml:space="preserve">. </w:t>
      </w:r>
      <w:r w:rsidR="00B57527">
        <w:rPr>
          <w:rFonts w:ascii="Times New Roman" w:hAnsi="Times New Roman" w:cs="Times New Roman"/>
          <w:b/>
          <w:i w:val="0"/>
          <w:color w:val="auto"/>
          <w:sz w:val="22"/>
          <w:szCs w:val="22"/>
        </w:rPr>
        <w:t xml:space="preserve">Toplam Özel Sektör ve </w:t>
      </w:r>
      <w:r w:rsidRPr="00A70EAB">
        <w:rPr>
          <w:rFonts w:ascii="Times New Roman" w:hAnsi="Times New Roman" w:cs="Times New Roman"/>
          <w:b/>
          <w:i w:val="0"/>
          <w:color w:val="auto"/>
          <w:sz w:val="22"/>
          <w:szCs w:val="22"/>
        </w:rPr>
        <w:t>Sektör Kredilerinin Milli Gelir</w:t>
      </w:r>
      <w:r w:rsidR="00A674F3">
        <w:rPr>
          <w:rFonts w:ascii="Times New Roman" w:hAnsi="Times New Roman" w:cs="Times New Roman"/>
          <w:b/>
          <w:i w:val="0"/>
          <w:color w:val="auto"/>
          <w:sz w:val="22"/>
          <w:szCs w:val="22"/>
        </w:rPr>
        <w:t>e Oranı</w:t>
      </w:r>
      <w:r w:rsidRPr="00A70EAB">
        <w:rPr>
          <w:rFonts w:ascii="Times New Roman" w:hAnsi="Times New Roman" w:cs="Times New Roman"/>
          <w:b/>
          <w:i w:val="0"/>
          <w:color w:val="auto"/>
          <w:sz w:val="22"/>
          <w:szCs w:val="22"/>
        </w:rPr>
        <w:t xml:space="preserve"> (1999=100)</w:t>
      </w:r>
    </w:p>
    <w:p w14:paraId="7C5D3D13" w14:textId="22AA4296" w:rsidR="00A317D3" w:rsidRDefault="00217470" w:rsidP="00826465">
      <w:pPr>
        <w:spacing w:after="0"/>
        <w:jc w:val="center"/>
        <w:rPr>
          <w:rFonts w:ascii="Times New Roman" w:hAnsi="Times New Roman" w:cs="Times New Roman"/>
          <w:b/>
          <w:bCs/>
          <w:sz w:val="18"/>
          <w:szCs w:val="18"/>
        </w:rPr>
      </w:pPr>
      <w:r w:rsidRPr="00B03142">
        <w:rPr>
          <w:noProof/>
          <w:lang w:eastAsia="tr-TR"/>
        </w:rPr>
        <w:drawing>
          <wp:inline distT="0" distB="0" distL="0" distR="0" wp14:anchorId="1CD6BDD3" wp14:editId="6C304EB4">
            <wp:extent cx="4247535" cy="2087140"/>
            <wp:effectExtent l="0" t="0" r="635" b="8890"/>
            <wp:docPr id="649250587" name="Picture 649250587" descr="A graph of different types of lin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1817788" name="Picture 1621817788" descr="A graph of different types of lines&#10;&#10;Description automatically generated with medium confidence"/>
                    <pic:cNvPicPr/>
                  </pic:nvPicPr>
                  <pic:blipFill>
                    <a:blip r:embed="rId21"/>
                    <a:stretch>
                      <a:fillRect/>
                    </a:stretch>
                  </pic:blipFill>
                  <pic:spPr>
                    <a:xfrm>
                      <a:off x="0" y="0"/>
                      <a:ext cx="4256850" cy="2091717"/>
                    </a:xfrm>
                    <a:prstGeom prst="rect">
                      <a:avLst/>
                    </a:prstGeom>
                  </pic:spPr>
                </pic:pic>
              </a:graphicData>
            </a:graphic>
          </wp:inline>
        </w:drawing>
      </w:r>
    </w:p>
    <w:p w14:paraId="17266E21" w14:textId="5FFD1D49" w:rsidR="00E35968" w:rsidRDefault="00E35968" w:rsidP="00826465">
      <w:pPr>
        <w:keepNext/>
        <w:tabs>
          <w:tab w:val="left" w:pos="1800"/>
        </w:tabs>
        <w:spacing w:line="276" w:lineRule="auto"/>
        <w:ind w:left="1800" w:right="1170"/>
        <w:jc w:val="both"/>
        <w:rPr>
          <w:rFonts w:ascii="Times New Roman" w:hAnsi="Times New Roman" w:cs="Times New Roman"/>
          <w:sz w:val="16"/>
          <w:szCs w:val="18"/>
        </w:rPr>
      </w:pPr>
      <w:r w:rsidRPr="00E35968">
        <w:rPr>
          <w:rFonts w:ascii="Times New Roman" w:hAnsi="Times New Roman" w:cs="Times New Roman"/>
          <w:sz w:val="16"/>
          <w:szCs w:val="18"/>
        </w:rPr>
        <w:t>Not: Kalın çizgi her bir sektöre yerli bankalarca tahsis edilen kredilerin GSYH</w:t>
      </w:r>
      <w:r w:rsidR="00A674F3">
        <w:rPr>
          <w:rFonts w:ascii="Times New Roman" w:hAnsi="Times New Roman" w:cs="Times New Roman"/>
          <w:sz w:val="16"/>
          <w:szCs w:val="18"/>
        </w:rPr>
        <w:t>’ye oranını</w:t>
      </w:r>
      <w:r w:rsidRPr="00E35968">
        <w:rPr>
          <w:rFonts w:ascii="Times New Roman" w:hAnsi="Times New Roman" w:cs="Times New Roman"/>
          <w:sz w:val="16"/>
          <w:szCs w:val="18"/>
        </w:rPr>
        <w:t xml:space="preserve"> gösteren endeks. Kesikli çizgi yerli bankalarca tahsis edilen toplam firma kredilerinin (tüm sektörlere yerel bankalarca tahsis edilen krediler) GSYH</w:t>
      </w:r>
      <w:r w:rsidR="00A674F3">
        <w:rPr>
          <w:rFonts w:ascii="Times New Roman" w:hAnsi="Times New Roman" w:cs="Times New Roman"/>
          <w:sz w:val="16"/>
          <w:szCs w:val="18"/>
        </w:rPr>
        <w:t>’ye oranını</w:t>
      </w:r>
      <w:r w:rsidRPr="00E35968">
        <w:rPr>
          <w:rFonts w:ascii="Times New Roman" w:hAnsi="Times New Roman" w:cs="Times New Roman"/>
          <w:sz w:val="16"/>
          <w:szCs w:val="18"/>
        </w:rPr>
        <w:t xml:space="preserve"> </w:t>
      </w:r>
      <w:r w:rsidR="00A674F3" w:rsidRPr="00E35968">
        <w:rPr>
          <w:rFonts w:ascii="Times New Roman" w:hAnsi="Times New Roman" w:cs="Times New Roman"/>
          <w:sz w:val="16"/>
          <w:szCs w:val="18"/>
        </w:rPr>
        <w:t>göster</w:t>
      </w:r>
      <w:r w:rsidR="00A674F3">
        <w:rPr>
          <w:rFonts w:ascii="Times New Roman" w:hAnsi="Times New Roman" w:cs="Times New Roman"/>
          <w:sz w:val="16"/>
          <w:szCs w:val="18"/>
        </w:rPr>
        <w:t>en</w:t>
      </w:r>
      <w:r w:rsidR="00A674F3" w:rsidRPr="00E35968">
        <w:rPr>
          <w:rFonts w:ascii="Times New Roman" w:hAnsi="Times New Roman" w:cs="Times New Roman"/>
          <w:sz w:val="16"/>
          <w:szCs w:val="18"/>
        </w:rPr>
        <w:t xml:space="preserve"> </w:t>
      </w:r>
      <w:r w:rsidRPr="00E35968">
        <w:rPr>
          <w:rFonts w:ascii="Times New Roman" w:hAnsi="Times New Roman" w:cs="Times New Roman"/>
          <w:sz w:val="16"/>
          <w:szCs w:val="18"/>
        </w:rPr>
        <w:t>endeks. Tüm endeksler ilgili oranların 1999 değerinin 100’e eşitlenmesiyle bulunmuştur.</w:t>
      </w:r>
    </w:p>
    <w:p w14:paraId="62F67282" w14:textId="626C2847" w:rsidR="00826465" w:rsidRPr="00826465" w:rsidRDefault="00826465" w:rsidP="00826465">
      <w:pPr>
        <w:spacing w:after="0" w:line="276" w:lineRule="auto"/>
        <w:ind w:firstLine="360"/>
        <w:jc w:val="both"/>
        <w:rPr>
          <w:rFonts w:ascii="Times New Roman" w:hAnsi="Times New Roman" w:cs="Times New Roman"/>
          <w:color w:val="FF0000"/>
          <w:sz w:val="24"/>
          <w:szCs w:val="24"/>
        </w:rPr>
      </w:pPr>
      <w:r w:rsidRPr="00B03142">
        <w:rPr>
          <w:rFonts w:ascii="Times New Roman" w:hAnsi="Times New Roman" w:cs="Times New Roman"/>
          <w:sz w:val="24"/>
          <w:szCs w:val="24"/>
        </w:rPr>
        <w:t xml:space="preserve">Bankalarca firmalara tahsis edilen kredilerin milli gelir içindeki paylarının değişim hızlarındaki son 22 yıldaki farklılaşmalar bu dönemde sektörel kredi dağılımını da değiştirmiştir. Şekil </w:t>
      </w:r>
      <w:r w:rsidR="00AC356A">
        <w:rPr>
          <w:rFonts w:ascii="Times New Roman" w:hAnsi="Times New Roman" w:cs="Times New Roman"/>
          <w:sz w:val="24"/>
          <w:szCs w:val="24"/>
        </w:rPr>
        <w:t>4</w:t>
      </w:r>
      <w:r w:rsidRPr="00B03142">
        <w:rPr>
          <w:rFonts w:ascii="Times New Roman" w:hAnsi="Times New Roman" w:cs="Times New Roman"/>
          <w:sz w:val="24"/>
          <w:szCs w:val="24"/>
        </w:rPr>
        <w:t xml:space="preserve">, yerel bankalarca firmalara kullandırılan kredilerin 1999 yılından günümüze stok olarak sektörel dağılımını göstermektedir. Buna göre toplam firmalara tahsis edilen kredilerin içinde en büyük payın, zaman içinde azalmasına rağmen, İMA sektörüne ait olduğu gözlenmektedir. 1999 yılında toplam firma kredilerinin yüzde 55’ini kullanan İMA sektörünün payı 2021 sonu itibariyle yüzde 27 olmuştur. 1999’dan itibaren düşüşte olan İMA sektörü payı en keskin düşüşü yüzde 12,5 küçülme ile 2006 yılında yaşamıştır. Sonrasında da 2010 yılı hariç payı düşmeye devam etmiş ve 2017 sonunda yüzde 25’e kadar inmiştir. </w:t>
      </w:r>
    </w:p>
    <w:p w14:paraId="0974DCCC" w14:textId="70A7DE16" w:rsidR="00295D8C" w:rsidRPr="00A70EAB" w:rsidRDefault="00295D8C" w:rsidP="00A70EAB">
      <w:pPr>
        <w:pStyle w:val="Caption"/>
        <w:keepNext/>
        <w:spacing w:before="240" w:line="276" w:lineRule="auto"/>
        <w:jc w:val="center"/>
        <w:rPr>
          <w:rFonts w:ascii="Times New Roman" w:hAnsi="Times New Roman" w:cs="Times New Roman"/>
          <w:b/>
          <w:bCs/>
          <w:i w:val="0"/>
          <w:iCs w:val="0"/>
          <w:color w:val="auto"/>
          <w:sz w:val="22"/>
          <w:szCs w:val="22"/>
        </w:rPr>
      </w:pPr>
      <w:r w:rsidRPr="00A70EAB">
        <w:rPr>
          <w:rFonts w:ascii="Times New Roman" w:hAnsi="Times New Roman" w:cs="Times New Roman"/>
          <w:b/>
          <w:bCs/>
          <w:i w:val="0"/>
          <w:iCs w:val="0"/>
          <w:color w:val="auto"/>
          <w:sz w:val="22"/>
          <w:szCs w:val="22"/>
        </w:rPr>
        <w:lastRenderedPageBreak/>
        <w:t xml:space="preserve">Şekil </w:t>
      </w:r>
      <w:r w:rsidRPr="00A70EAB">
        <w:rPr>
          <w:rFonts w:ascii="Times New Roman" w:hAnsi="Times New Roman" w:cs="Times New Roman"/>
          <w:b/>
          <w:bCs/>
          <w:i w:val="0"/>
          <w:iCs w:val="0"/>
          <w:color w:val="auto"/>
          <w:sz w:val="22"/>
          <w:szCs w:val="22"/>
        </w:rPr>
        <w:fldChar w:fldCharType="begin"/>
      </w:r>
      <w:r w:rsidRPr="00A70EAB">
        <w:rPr>
          <w:rFonts w:ascii="Times New Roman" w:hAnsi="Times New Roman" w:cs="Times New Roman"/>
          <w:b/>
          <w:bCs/>
          <w:i w:val="0"/>
          <w:iCs w:val="0"/>
          <w:color w:val="auto"/>
          <w:sz w:val="22"/>
          <w:szCs w:val="22"/>
        </w:rPr>
        <w:instrText xml:space="preserve"> SEQ Şekil \* ARABIC </w:instrText>
      </w:r>
      <w:r w:rsidRPr="00A70EAB">
        <w:rPr>
          <w:rFonts w:ascii="Times New Roman" w:hAnsi="Times New Roman" w:cs="Times New Roman"/>
          <w:b/>
          <w:bCs/>
          <w:i w:val="0"/>
          <w:iCs w:val="0"/>
          <w:color w:val="auto"/>
          <w:sz w:val="22"/>
          <w:szCs w:val="22"/>
        </w:rPr>
        <w:fldChar w:fldCharType="separate"/>
      </w:r>
      <w:r w:rsidR="0057441E">
        <w:rPr>
          <w:rFonts w:ascii="Times New Roman" w:hAnsi="Times New Roman" w:cs="Times New Roman"/>
          <w:b/>
          <w:bCs/>
          <w:i w:val="0"/>
          <w:iCs w:val="0"/>
          <w:noProof/>
          <w:color w:val="auto"/>
          <w:sz w:val="22"/>
          <w:szCs w:val="22"/>
        </w:rPr>
        <w:t>4</w:t>
      </w:r>
      <w:r w:rsidRPr="00A70EAB">
        <w:rPr>
          <w:rFonts w:ascii="Times New Roman" w:hAnsi="Times New Roman" w:cs="Times New Roman"/>
          <w:b/>
          <w:bCs/>
          <w:i w:val="0"/>
          <w:iCs w:val="0"/>
          <w:color w:val="auto"/>
          <w:sz w:val="22"/>
          <w:szCs w:val="22"/>
        </w:rPr>
        <w:fldChar w:fldCharType="end"/>
      </w:r>
      <w:r w:rsidRPr="00A70EAB">
        <w:rPr>
          <w:rFonts w:ascii="Times New Roman" w:hAnsi="Times New Roman" w:cs="Times New Roman"/>
          <w:b/>
          <w:bCs/>
          <w:i w:val="0"/>
          <w:iCs w:val="0"/>
          <w:color w:val="auto"/>
          <w:sz w:val="22"/>
          <w:szCs w:val="22"/>
        </w:rPr>
        <w:t>. Firma Kredilerinde Sektör Payları (stok, %)</w:t>
      </w:r>
    </w:p>
    <w:p w14:paraId="63473B79" w14:textId="77777777" w:rsidR="00295D8C" w:rsidRPr="00B03142" w:rsidRDefault="00295D8C" w:rsidP="00295D8C">
      <w:pPr>
        <w:spacing w:after="0" w:line="276" w:lineRule="auto"/>
        <w:ind w:firstLine="720"/>
        <w:jc w:val="center"/>
        <w:rPr>
          <w:rFonts w:ascii="Times New Roman" w:hAnsi="Times New Roman" w:cs="Times New Roman"/>
          <w:sz w:val="24"/>
          <w:szCs w:val="24"/>
        </w:rPr>
      </w:pPr>
      <w:r w:rsidRPr="00B03142">
        <w:rPr>
          <w:noProof/>
          <w:lang w:eastAsia="tr-TR"/>
        </w:rPr>
        <w:drawing>
          <wp:inline distT="0" distB="0" distL="0" distR="0" wp14:anchorId="218ED338" wp14:editId="72C11916">
            <wp:extent cx="4240696" cy="224312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240696" cy="2243128"/>
                    </a:xfrm>
                    <a:prstGeom prst="rect">
                      <a:avLst/>
                    </a:prstGeom>
                  </pic:spPr>
                </pic:pic>
              </a:graphicData>
            </a:graphic>
          </wp:inline>
        </w:drawing>
      </w:r>
    </w:p>
    <w:p w14:paraId="73EF04F6" w14:textId="3EC18818" w:rsidR="00295D8C" w:rsidRPr="00B03142" w:rsidRDefault="00295D8C" w:rsidP="00826465">
      <w:pPr>
        <w:keepNext/>
        <w:tabs>
          <w:tab w:val="left" w:pos="1530"/>
        </w:tabs>
        <w:spacing w:line="276" w:lineRule="auto"/>
        <w:ind w:left="1440" w:right="1440"/>
        <w:jc w:val="both"/>
      </w:pPr>
      <w:r w:rsidRPr="00B03142">
        <w:rPr>
          <w:rFonts w:ascii="Times New Roman" w:hAnsi="Times New Roman" w:cs="Times New Roman"/>
          <w:sz w:val="24"/>
          <w:szCs w:val="24"/>
        </w:rPr>
        <w:t xml:space="preserve">   </w:t>
      </w:r>
      <w:r w:rsidRPr="00B03142">
        <w:rPr>
          <w:rFonts w:ascii="Times New Roman" w:hAnsi="Times New Roman" w:cs="Times New Roman"/>
          <w:sz w:val="24"/>
          <w:szCs w:val="24"/>
        </w:rPr>
        <w:tab/>
      </w:r>
      <w:r w:rsidRPr="00E35968">
        <w:rPr>
          <w:rFonts w:ascii="Times New Roman" w:hAnsi="Times New Roman" w:cs="Times New Roman"/>
          <w:sz w:val="16"/>
          <w:szCs w:val="18"/>
        </w:rPr>
        <w:t>Kaynak: TCMB, TBB Risk Merkezi</w:t>
      </w:r>
    </w:p>
    <w:p w14:paraId="0798A10B" w14:textId="07AA6933" w:rsidR="00907C64" w:rsidRDefault="00907C64" w:rsidP="00295D8C">
      <w:pPr>
        <w:spacing w:line="276" w:lineRule="auto"/>
        <w:ind w:firstLine="360"/>
        <w:jc w:val="both"/>
        <w:rPr>
          <w:rFonts w:ascii="Times New Roman" w:hAnsi="Times New Roman" w:cs="Times New Roman"/>
          <w:sz w:val="24"/>
          <w:szCs w:val="24"/>
        </w:rPr>
      </w:pPr>
      <w:r w:rsidRPr="00B03142">
        <w:rPr>
          <w:rFonts w:ascii="Times New Roman" w:hAnsi="Times New Roman" w:cs="Times New Roman"/>
          <w:sz w:val="24"/>
          <w:szCs w:val="24"/>
        </w:rPr>
        <w:t xml:space="preserve">Payını en fazla artıran sektör ise EGS faaliyetleridir. 1999 yılında kredilerden aldığı pay yüzde 0,96 iken 2021 sonu itibariyle yüzde 10 olmuştur. Payını ikinci ve üçüncü en fazla artıran sektörler sırasıyla UHD ve FİGM sektörleridir. 1999’da payları sırasıyla yüzde 3,5 ve </w:t>
      </w:r>
      <w:r w:rsidR="00494162">
        <w:rPr>
          <w:rFonts w:ascii="Times New Roman" w:hAnsi="Times New Roman" w:cs="Times New Roman"/>
          <w:sz w:val="24"/>
          <w:szCs w:val="24"/>
        </w:rPr>
        <w:t xml:space="preserve">yüzde </w:t>
      </w:r>
      <w:r w:rsidRPr="00B03142">
        <w:rPr>
          <w:rFonts w:ascii="Times New Roman" w:hAnsi="Times New Roman" w:cs="Times New Roman"/>
          <w:sz w:val="24"/>
          <w:szCs w:val="24"/>
        </w:rPr>
        <w:t xml:space="preserve">5,8 iken 2021 sonunda yüzde 8,4 ve </w:t>
      </w:r>
      <w:r w:rsidR="00494162">
        <w:rPr>
          <w:rFonts w:ascii="Times New Roman" w:hAnsi="Times New Roman" w:cs="Times New Roman"/>
          <w:sz w:val="24"/>
          <w:szCs w:val="24"/>
        </w:rPr>
        <w:t xml:space="preserve">yüzde </w:t>
      </w:r>
      <w:r w:rsidRPr="00B03142">
        <w:rPr>
          <w:rFonts w:ascii="Times New Roman" w:hAnsi="Times New Roman" w:cs="Times New Roman"/>
          <w:sz w:val="24"/>
          <w:szCs w:val="24"/>
        </w:rPr>
        <w:t>10,7 olmuştur. Bu sektörleri sırasıyla DKÖH (yüzde 3,6’dan 5,1’e), TİC (yüzde 16’dan 21,8’e), MAD (1,6’dan 1,8’e), İNŞ (yüzde 9,5’ten yüzde 10,9’a) ve TAR (yüzde 4’ten 4</w:t>
      </w:r>
      <w:r w:rsidR="00494162">
        <w:rPr>
          <w:rFonts w:ascii="Times New Roman" w:hAnsi="Times New Roman" w:cs="Times New Roman"/>
          <w:sz w:val="24"/>
          <w:szCs w:val="24"/>
        </w:rPr>
        <w:t>,</w:t>
      </w:r>
      <w:r w:rsidRPr="00B03142">
        <w:rPr>
          <w:rFonts w:ascii="Times New Roman" w:hAnsi="Times New Roman" w:cs="Times New Roman"/>
          <w:sz w:val="24"/>
          <w:szCs w:val="24"/>
        </w:rPr>
        <w:t>1’</w:t>
      </w:r>
      <w:r w:rsidR="00295D8C" w:rsidRPr="00B03142">
        <w:rPr>
          <w:rFonts w:ascii="Times New Roman" w:hAnsi="Times New Roman" w:cs="Times New Roman"/>
          <w:sz w:val="24"/>
          <w:szCs w:val="24"/>
        </w:rPr>
        <w:t>e) sektörleri takip etmektedir.</w:t>
      </w:r>
    </w:p>
    <w:p w14:paraId="6C1BA09A" w14:textId="1CBC5162" w:rsidR="004357C6" w:rsidRPr="00826465" w:rsidRDefault="00240217" w:rsidP="00790F29">
      <w:pPr>
        <w:pStyle w:val="Heading2"/>
        <w:spacing w:after="240"/>
        <w:rPr>
          <w:rFonts w:cs="Times New Roman"/>
          <w:b w:val="0"/>
          <w:bCs/>
          <w:color w:val="FF0000"/>
          <w:szCs w:val="24"/>
        </w:rPr>
      </w:pPr>
      <w:r w:rsidRPr="00826465">
        <w:rPr>
          <w:rStyle w:val="Heading2Char"/>
          <w:b/>
          <w:color w:val="000000" w:themeColor="text1"/>
        </w:rPr>
        <w:t>F</w:t>
      </w:r>
      <w:r w:rsidR="004357C6" w:rsidRPr="00826465">
        <w:rPr>
          <w:rStyle w:val="Heading2Char"/>
          <w:b/>
          <w:color w:val="000000" w:themeColor="text1"/>
        </w:rPr>
        <w:t xml:space="preserve">inansal </w:t>
      </w:r>
      <w:r w:rsidRPr="00826465">
        <w:rPr>
          <w:rStyle w:val="Heading2Char"/>
          <w:b/>
          <w:color w:val="000000" w:themeColor="text1"/>
        </w:rPr>
        <w:t>Derinlik ve Sektör Kredi Paylarındaki Değişimler</w:t>
      </w:r>
      <w:r w:rsidRPr="00826465">
        <w:rPr>
          <w:rFonts w:cs="Times New Roman"/>
          <w:b w:val="0"/>
          <w:bCs/>
          <w:color w:val="000000" w:themeColor="text1"/>
          <w:szCs w:val="24"/>
        </w:rPr>
        <w:t xml:space="preserve"> </w:t>
      </w:r>
    </w:p>
    <w:p w14:paraId="7B60D3E5" w14:textId="6CFEE238" w:rsidR="00F64475" w:rsidRPr="00B03142" w:rsidRDefault="00970C70" w:rsidP="00790F29">
      <w:pPr>
        <w:spacing w:after="0" w:line="276" w:lineRule="auto"/>
        <w:ind w:firstLine="360"/>
        <w:jc w:val="both"/>
        <w:rPr>
          <w:rFonts w:ascii="Times New Roman" w:hAnsi="Times New Roman" w:cs="Times New Roman"/>
          <w:sz w:val="24"/>
          <w:szCs w:val="24"/>
        </w:rPr>
      </w:pPr>
      <w:r w:rsidRPr="00826465">
        <w:rPr>
          <w:rFonts w:ascii="Times New Roman" w:hAnsi="Times New Roman" w:cs="Times New Roman"/>
          <w:sz w:val="24"/>
          <w:szCs w:val="24"/>
        </w:rPr>
        <w:t xml:space="preserve">Bu aşamada </w:t>
      </w:r>
      <w:r w:rsidR="00B3382E" w:rsidRPr="00826465">
        <w:rPr>
          <w:rFonts w:ascii="Times New Roman" w:hAnsi="Times New Roman" w:cs="Times New Roman"/>
          <w:sz w:val="24"/>
          <w:szCs w:val="24"/>
        </w:rPr>
        <w:t>sektör bazında firmalara</w:t>
      </w:r>
      <w:r w:rsidR="009B4AD1" w:rsidRPr="00826465">
        <w:rPr>
          <w:rFonts w:ascii="Times New Roman" w:hAnsi="Times New Roman" w:cs="Times New Roman"/>
          <w:sz w:val="24"/>
          <w:szCs w:val="24"/>
        </w:rPr>
        <w:t xml:space="preserve"> yerel bankalarca tahsis edilen kredilerin toplam firma kredileri içindeki paylarının birbirleriyle ve </w:t>
      </w:r>
      <w:r w:rsidR="00240217" w:rsidRPr="00826465">
        <w:rPr>
          <w:rFonts w:ascii="Times New Roman" w:hAnsi="Times New Roman" w:cs="Times New Roman"/>
          <w:sz w:val="24"/>
          <w:szCs w:val="24"/>
        </w:rPr>
        <w:t xml:space="preserve">bir nevi finansal derinlik olarak yorumlanabilecek </w:t>
      </w:r>
      <w:r w:rsidR="009B4AD1" w:rsidRPr="00826465">
        <w:rPr>
          <w:rFonts w:ascii="Times New Roman" w:hAnsi="Times New Roman" w:cs="Times New Roman"/>
          <w:sz w:val="24"/>
          <w:szCs w:val="24"/>
        </w:rPr>
        <w:t xml:space="preserve">toplam firma kredilerinin milli gelir içindeki payı ile nasıl bir ilişkisi </w:t>
      </w:r>
      <w:r w:rsidRPr="00826465">
        <w:rPr>
          <w:rFonts w:ascii="Times New Roman" w:hAnsi="Times New Roman" w:cs="Times New Roman"/>
          <w:sz w:val="24"/>
          <w:szCs w:val="24"/>
        </w:rPr>
        <w:t xml:space="preserve">olduğu sorgulanabilir. </w:t>
      </w:r>
      <w:r w:rsidR="00BF0457" w:rsidRPr="00826465">
        <w:rPr>
          <w:rFonts w:ascii="Times New Roman" w:hAnsi="Times New Roman" w:cs="Times New Roman"/>
          <w:sz w:val="24"/>
          <w:szCs w:val="24"/>
        </w:rPr>
        <w:t>Söz</w:t>
      </w:r>
      <w:r w:rsidR="00BF0457" w:rsidRPr="00B03142">
        <w:rPr>
          <w:rFonts w:ascii="Times New Roman" w:hAnsi="Times New Roman" w:cs="Times New Roman"/>
          <w:sz w:val="24"/>
          <w:szCs w:val="24"/>
        </w:rPr>
        <w:t xml:space="preserve"> konusu ilişkilerin korelasyon katsayıları (</w:t>
      </w:r>
      <m:oMath>
        <m:r>
          <w:rPr>
            <w:rFonts w:ascii="Cambria Math" w:hAnsi="Cambria Math" w:cs="Times New Roman"/>
            <w:sz w:val="24"/>
            <w:szCs w:val="24"/>
          </w:rPr>
          <m:t>R</m:t>
        </m:r>
      </m:oMath>
      <w:r w:rsidR="00BF0457" w:rsidRPr="00B03142">
        <w:rPr>
          <w:rFonts w:ascii="Times New Roman" w:hAnsi="Times New Roman" w:cs="Times New Roman"/>
          <w:sz w:val="24"/>
          <w:szCs w:val="24"/>
        </w:rPr>
        <w:t xml:space="preserve">) ve istatistiksel olarak anlamlılık seviyeleri Tablo 1’de gösterilmektedir. </w:t>
      </w:r>
      <w:r w:rsidR="00240217">
        <w:rPr>
          <w:rFonts w:ascii="Times New Roman" w:hAnsi="Times New Roman" w:cs="Times New Roman"/>
          <w:sz w:val="24"/>
          <w:szCs w:val="24"/>
        </w:rPr>
        <w:t>Toplam finansal derinleşme</w:t>
      </w:r>
      <w:r w:rsidR="00F64475" w:rsidRPr="00B03142">
        <w:rPr>
          <w:rFonts w:ascii="Times New Roman" w:hAnsi="Times New Roman" w:cs="Times New Roman"/>
          <w:sz w:val="24"/>
          <w:szCs w:val="24"/>
        </w:rPr>
        <w:t xml:space="preserve"> ile</w:t>
      </w:r>
      <w:r w:rsidR="009B4AD1" w:rsidRPr="00B03142">
        <w:rPr>
          <w:rFonts w:ascii="Times New Roman" w:hAnsi="Times New Roman" w:cs="Times New Roman"/>
          <w:sz w:val="24"/>
          <w:szCs w:val="24"/>
        </w:rPr>
        <w:t xml:space="preserve"> </w:t>
      </w:r>
      <w:r w:rsidR="00BF0457" w:rsidRPr="00B03142">
        <w:rPr>
          <w:rFonts w:ascii="Times New Roman" w:hAnsi="Times New Roman" w:cs="Times New Roman"/>
          <w:sz w:val="24"/>
          <w:szCs w:val="24"/>
        </w:rPr>
        <w:t>sektör kredilerinin toplam firma kredileri</w:t>
      </w:r>
      <w:r w:rsidR="00F64475" w:rsidRPr="00B03142">
        <w:rPr>
          <w:rFonts w:ascii="Times New Roman" w:hAnsi="Times New Roman" w:cs="Times New Roman"/>
          <w:sz w:val="24"/>
          <w:szCs w:val="24"/>
        </w:rPr>
        <w:t xml:space="preserve"> içindeki payı</w:t>
      </w:r>
      <w:r w:rsidR="00BF0457" w:rsidRPr="00B03142">
        <w:rPr>
          <w:rFonts w:ascii="Times New Roman" w:hAnsi="Times New Roman" w:cs="Times New Roman"/>
          <w:sz w:val="24"/>
          <w:szCs w:val="24"/>
        </w:rPr>
        <w:t xml:space="preserve"> </w:t>
      </w:r>
      <w:r w:rsidR="00F64475" w:rsidRPr="00B03142">
        <w:rPr>
          <w:rFonts w:ascii="Times New Roman" w:hAnsi="Times New Roman" w:cs="Times New Roman"/>
          <w:sz w:val="24"/>
          <w:szCs w:val="24"/>
        </w:rPr>
        <w:t>arasındaki</w:t>
      </w:r>
      <w:r w:rsidR="00BF0457" w:rsidRPr="00B03142">
        <w:rPr>
          <w:rFonts w:ascii="Times New Roman" w:hAnsi="Times New Roman" w:cs="Times New Roman"/>
          <w:sz w:val="24"/>
          <w:szCs w:val="24"/>
        </w:rPr>
        <w:t xml:space="preserve"> </w:t>
      </w:r>
      <w:r w:rsidR="009B4AD1" w:rsidRPr="00B03142">
        <w:rPr>
          <w:rFonts w:ascii="Times New Roman" w:hAnsi="Times New Roman" w:cs="Times New Roman"/>
          <w:sz w:val="24"/>
          <w:szCs w:val="24"/>
        </w:rPr>
        <w:t>ilişki</w:t>
      </w:r>
      <w:r w:rsidR="00F64475" w:rsidRPr="00B03142">
        <w:rPr>
          <w:rFonts w:ascii="Times New Roman" w:hAnsi="Times New Roman" w:cs="Times New Roman"/>
          <w:sz w:val="24"/>
          <w:szCs w:val="24"/>
        </w:rPr>
        <w:t>ye</w:t>
      </w:r>
      <w:r w:rsidR="009B4AD1" w:rsidRPr="00B03142">
        <w:rPr>
          <w:rFonts w:ascii="Times New Roman" w:hAnsi="Times New Roman" w:cs="Times New Roman"/>
          <w:sz w:val="24"/>
          <w:szCs w:val="24"/>
        </w:rPr>
        <w:t xml:space="preserve"> </w:t>
      </w:r>
      <m:oMath>
        <m:r>
          <w:rPr>
            <w:rFonts w:ascii="Cambria Math" w:hAnsi="Cambria Math" w:cs="Times New Roman"/>
            <w:sz w:val="24"/>
            <w:szCs w:val="24"/>
          </w:rPr>
          <m:t>R</m:t>
        </m:r>
      </m:oMath>
      <w:r w:rsidR="0030439D" w:rsidRPr="00B03142">
        <w:rPr>
          <w:rFonts w:ascii="Times New Roman" w:hAnsi="Times New Roman" w:cs="Times New Roman"/>
          <w:sz w:val="24"/>
          <w:szCs w:val="24"/>
        </w:rPr>
        <w:t xml:space="preserve"> </w:t>
      </w:r>
      <w:r w:rsidR="00C26A3A" w:rsidRPr="00B03142">
        <w:rPr>
          <w:rFonts w:ascii="Times New Roman" w:hAnsi="Times New Roman" w:cs="Times New Roman"/>
          <w:sz w:val="24"/>
          <w:szCs w:val="24"/>
        </w:rPr>
        <w:t>aracılığıyla</w:t>
      </w:r>
      <w:r w:rsidR="00074E2A" w:rsidRPr="00B03142">
        <w:rPr>
          <w:rFonts w:ascii="Times New Roman" w:hAnsi="Times New Roman" w:cs="Times New Roman"/>
          <w:sz w:val="24"/>
          <w:szCs w:val="24"/>
        </w:rPr>
        <w:t xml:space="preserve"> </w:t>
      </w:r>
      <w:r w:rsidR="009B4AD1" w:rsidRPr="00B03142">
        <w:rPr>
          <w:rFonts w:ascii="Times New Roman" w:hAnsi="Times New Roman" w:cs="Times New Roman"/>
          <w:sz w:val="24"/>
          <w:szCs w:val="24"/>
        </w:rPr>
        <w:t>baktığımız</w:t>
      </w:r>
      <w:r w:rsidR="00BF0457" w:rsidRPr="00B03142">
        <w:rPr>
          <w:rFonts w:ascii="Times New Roman" w:hAnsi="Times New Roman" w:cs="Times New Roman"/>
          <w:sz w:val="24"/>
          <w:szCs w:val="24"/>
        </w:rPr>
        <w:t>da, finansal derinleşmeyle pozitif yönlü en güçlü ilişkiye sahip sektörün İNŞ (</w:t>
      </w:r>
      <m:oMath>
        <m:r>
          <w:rPr>
            <w:rFonts w:ascii="Cambria Math" w:hAnsi="Cambria Math" w:cs="Times New Roman"/>
            <w:sz w:val="24"/>
            <w:szCs w:val="24"/>
          </w:rPr>
          <m:t>R=0,88</m:t>
        </m:r>
      </m:oMath>
      <w:r w:rsidR="0030439D" w:rsidRPr="002E38DF">
        <w:rPr>
          <w:rFonts w:ascii="Times New Roman" w:eastAsiaTheme="minorEastAsia" w:hAnsi="Times New Roman" w:cs="Times New Roman"/>
          <w:sz w:val="24"/>
          <w:szCs w:val="24"/>
          <w:vertAlign w:val="superscript"/>
        </w:rPr>
        <w:t>****</w:t>
      </w:r>
      <w:r w:rsidR="00BF0457" w:rsidRPr="00B03142">
        <w:rPr>
          <w:rFonts w:ascii="Times New Roman" w:hAnsi="Times New Roman" w:cs="Times New Roman"/>
          <w:sz w:val="24"/>
          <w:szCs w:val="24"/>
        </w:rPr>
        <w:t xml:space="preserve">) </w:t>
      </w:r>
      <w:r w:rsidR="00F64475" w:rsidRPr="00B03142">
        <w:rPr>
          <w:rFonts w:ascii="Times New Roman" w:hAnsi="Times New Roman" w:cs="Times New Roman"/>
          <w:sz w:val="24"/>
          <w:szCs w:val="24"/>
        </w:rPr>
        <w:t>olduğu görülmektedir</w:t>
      </w:r>
      <w:r w:rsidR="00BF0457" w:rsidRPr="00B03142">
        <w:rPr>
          <w:rFonts w:ascii="Times New Roman" w:hAnsi="Times New Roman" w:cs="Times New Roman"/>
          <w:sz w:val="24"/>
          <w:szCs w:val="24"/>
        </w:rPr>
        <w:t>. Bunu EGS (</w:t>
      </w:r>
      <m:oMath>
        <m:r>
          <w:rPr>
            <w:rFonts w:ascii="Cambria Math" w:hAnsi="Cambria Math" w:cs="Times New Roman"/>
            <w:sz w:val="24"/>
            <w:szCs w:val="24"/>
          </w:rPr>
          <m:t>R=0,79</m:t>
        </m:r>
      </m:oMath>
      <w:r w:rsidR="003B3690" w:rsidRPr="002E38DF">
        <w:rPr>
          <w:rFonts w:ascii="Times New Roman" w:hAnsi="Times New Roman" w:cs="Times New Roman"/>
          <w:sz w:val="24"/>
          <w:szCs w:val="24"/>
          <w:vertAlign w:val="superscript"/>
        </w:rPr>
        <w:t>****</w:t>
      </w:r>
      <w:r w:rsidR="00BF0457" w:rsidRPr="00B03142">
        <w:rPr>
          <w:rFonts w:ascii="Times New Roman" w:hAnsi="Times New Roman" w:cs="Times New Roman"/>
          <w:sz w:val="24"/>
          <w:szCs w:val="24"/>
        </w:rPr>
        <w:t>), TİC (</w:t>
      </w:r>
      <m:oMath>
        <m:r>
          <w:rPr>
            <w:rFonts w:ascii="Cambria Math" w:hAnsi="Cambria Math" w:cs="Times New Roman"/>
            <w:sz w:val="24"/>
            <w:szCs w:val="24"/>
          </w:rPr>
          <m:t>R= 0,74</m:t>
        </m:r>
      </m:oMath>
      <w:r w:rsidR="003B3690" w:rsidRPr="00790F29">
        <w:rPr>
          <w:rFonts w:ascii="Times New Roman" w:hAnsi="Times New Roman" w:cs="Times New Roman"/>
          <w:sz w:val="24"/>
          <w:szCs w:val="24"/>
          <w:vertAlign w:val="superscript"/>
        </w:rPr>
        <w:t>****</w:t>
      </w:r>
      <w:r w:rsidR="00BF0457" w:rsidRPr="00B03142">
        <w:rPr>
          <w:rFonts w:ascii="Times New Roman" w:hAnsi="Times New Roman" w:cs="Times New Roman"/>
          <w:sz w:val="24"/>
          <w:szCs w:val="24"/>
        </w:rPr>
        <w:t>) ve FİGM (</w:t>
      </w:r>
      <m:oMath>
        <m:r>
          <w:rPr>
            <w:rFonts w:ascii="Cambria Math" w:hAnsi="Cambria Math" w:cs="Times New Roman"/>
            <w:sz w:val="24"/>
            <w:szCs w:val="24"/>
          </w:rPr>
          <m:t>R=0,72</m:t>
        </m:r>
      </m:oMath>
      <w:r w:rsidR="003B3690" w:rsidRPr="002E38DF">
        <w:rPr>
          <w:rFonts w:ascii="Times New Roman" w:hAnsi="Times New Roman" w:cs="Times New Roman"/>
          <w:sz w:val="24"/>
          <w:szCs w:val="24"/>
          <w:vertAlign w:val="superscript"/>
        </w:rPr>
        <w:t>****</w:t>
      </w:r>
      <w:r w:rsidR="00BF0457" w:rsidRPr="00B03142">
        <w:rPr>
          <w:rFonts w:ascii="Times New Roman" w:hAnsi="Times New Roman" w:cs="Times New Roman"/>
          <w:sz w:val="24"/>
          <w:szCs w:val="24"/>
        </w:rPr>
        <w:t xml:space="preserve">) takip etmektedir. </w:t>
      </w:r>
      <w:r w:rsidR="00AF682B" w:rsidRPr="00B03142">
        <w:rPr>
          <w:rFonts w:ascii="Times New Roman" w:hAnsi="Times New Roman" w:cs="Times New Roman"/>
          <w:sz w:val="24"/>
          <w:szCs w:val="24"/>
        </w:rPr>
        <w:t xml:space="preserve">Finansal derinlikle pozitif yönlü ancak çok da güçlü olmayan </w:t>
      </w:r>
      <w:r w:rsidR="003B3690" w:rsidRPr="00B03142">
        <w:rPr>
          <w:rFonts w:ascii="Times New Roman" w:hAnsi="Times New Roman" w:cs="Times New Roman"/>
          <w:sz w:val="24"/>
          <w:szCs w:val="24"/>
        </w:rPr>
        <w:t xml:space="preserve">bir ilişkiye sahip </w:t>
      </w:r>
      <w:r w:rsidR="00AF682B" w:rsidRPr="00B03142">
        <w:rPr>
          <w:rFonts w:ascii="Times New Roman" w:hAnsi="Times New Roman" w:cs="Times New Roman"/>
          <w:sz w:val="24"/>
          <w:szCs w:val="24"/>
        </w:rPr>
        <w:t>diğer iki sektör ise UHD (</w:t>
      </w:r>
      <m:oMath>
        <m:r>
          <w:rPr>
            <w:rFonts w:ascii="Cambria Math" w:hAnsi="Cambria Math" w:cs="Times New Roman"/>
            <w:sz w:val="24"/>
            <w:szCs w:val="24"/>
          </w:rPr>
          <m:t>R=0,48</m:t>
        </m:r>
      </m:oMath>
      <w:r w:rsidR="003B3690" w:rsidRPr="002E38DF">
        <w:rPr>
          <w:rFonts w:ascii="Times New Roman" w:hAnsi="Times New Roman" w:cs="Times New Roman"/>
          <w:sz w:val="24"/>
          <w:szCs w:val="24"/>
          <w:vertAlign w:val="superscript"/>
        </w:rPr>
        <w:t>*</w:t>
      </w:r>
      <w:r w:rsidR="00AF682B" w:rsidRPr="00B03142">
        <w:rPr>
          <w:rFonts w:ascii="Times New Roman" w:hAnsi="Times New Roman" w:cs="Times New Roman"/>
          <w:sz w:val="24"/>
          <w:szCs w:val="24"/>
        </w:rPr>
        <w:t>) ve DKÖH (</w:t>
      </w:r>
      <m:oMath>
        <m:r>
          <w:rPr>
            <w:rFonts w:ascii="Cambria Math" w:hAnsi="Cambria Math" w:cs="Times New Roman"/>
            <w:sz w:val="24"/>
            <w:szCs w:val="24"/>
          </w:rPr>
          <m:t>R=0,44</m:t>
        </m:r>
      </m:oMath>
      <w:r w:rsidR="003B3690" w:rsidRPr="002E38DF">
        <w:rPr>
          <w:rFonts w:ascii="Times New Roman" w:hAnsi="Times New Roman" w:cs="Times New Roman"/>
          <w:sz w:val="24"/>
          <w:szCs w:val="24"/>
          <w:vertAlign w:val="superscript"/>
        </w:rPr>
        <w:t>*</w:t>
      </w:r>
      <w:r w:rsidR="00AF682B" w:rsidRPr="00B03142">
        <w:rPr>
          <w:rFonts w:ascii="Times New Roman" w:hAnsi="Times New Roman" w:cs="Times New Roman"/>
          <w:sz w:val="24"/>
          <w:szCs w:val="24"/>
        </w:rPr>
        <w:t>)’dir. Finansal derinleşmenin oldukça güçlü ve negatif yönlü bir ilişkiye sahip olduğu tek sektör İMA (</w:t>
      </w:r>
      <m:oMath>
        <m:r>
          <w:rPr>
            <w:rFonts w:ascii="Cambria Math" w:hAnsi="Cambria Math" w:cs="Times New Roman"/>
            <w:sz w:val="24"/>
            <w:szCs w:val="24"/>
          </w:rPr>
          <m:t>R =-0,92</m:t>
        </m:r>
      </m:oMath>
      <w:r w:rsidR="003B3690" w:rsidRPr="002E38DF">
        <w:rPr>
          <w:rFonts w:ascii="Times New Roman" w:hAnsi="Times New Roman" w:cs="Times New Roman"/>
          <w:sz w:val="24"/>
          <w:szCs w:val="24"/>
          <w:vertAlign w:val="superscript"/>
        </w:rPr>
        <w:t>****</w:t>
      </w:r>
      <w:r w:rsidR="00AF682B" w:rsidRPr="00B03142">
        <w:rPr>
          <w:rFonts w:ascii="Times New Roman" w:hAnsi="Times New Roman" w:cs="Times New Roman"/>
          <w:sz w:val="24"/>
          <w:szCs w:val="24"/>
        </w:rPr>
        <w:t xml:space="preserve">)’dır. </w:t>
      </w:r>
    </w:p>
    <w:p w14:paraId="3E5FA78B" w14:textId="43E52191" w:rsidR="001E355D" w:rsidRDefault="003B3690" w:rsidP="002E38DF">
      <w:pPr>
        <w:spacing w:after="0" w:line="276" w:lineRule="auto"/>
        <w:ind w:firstLine="360"/>
        <w:jc w:val="both"/>
        <w:rPr>
          <w:rFonts w:ascii="Times New Roman" w:hAnsi="Times New Roman" w:cs="Times New Roman"/>
          <w:sz w:val="24"/>
          <w:szCs w:val="24"/>
        </w:rPr>
      </w:pPr>
      <w:r w:rsidRPr="00B03142">
        <w:rPr>
          <w:rFonts w:ascii="Times New Roman" w:hAnsi="Times New Roman" w:cs="Times New Roman"/>
          <w:sz w:val="24"/>
          <w:szCs w:val="24"/>
        </w:rPr>
        <w:t xml:space="preserve">Toplam firma kredileri içinde </w:t>
      </w:r>
      <w:r w:rsidR="00F77DB1" w:rsidRPr="00B03142">
        <w:rPr>
          <w:rFonts w:ascii="Times New Roman" w:hAnsi="Times New Roman" w:cs="Times New Roman"/>
          <w:sz w:val="24"/>
          <w:szCs w:val="24"/>
        </w:rPr>
        <w:t>İMA sektörü</w:t>
      </w:r>
      <w:r w:rsidR="00F64475" w:rsidRPr="00B03142">
        <w:rPr>
          <w:rFonts w:ascii="Times New Roman" w:hAnsi="Times New Roman" w:cs="Times New Roman"/>
          <w:sz w:val="24"/>
          <w:szCs w:val="24"/>
        </w:rPr>
        <w:t>nün</w:t>
      </w:r>
      <w:r w:rsidR="00F77DB1" w:rsidRPr="00B03142">
        <w:rPr>
          <w:rFonts w:ascii="Times New Roman" w:hAnsi="Times New Roman" w:cs="Times New Roman"/>
          <w:sz w:val="24"/>
          <w:szCs w:val="24"/>
        </w:rPr>
        <w:t xml:space="preserve"> kredi payının finansal derinlikle azalması sırasıyla en çok TİC (</w:t>
      </w:r>
      <m:oMath>
        <m:r>
          <w:rPr>
            <w:rFonts w:ascii="Cambria Math" w:hAnsi="Cambria Math" w:cs="Times New Roman"/>
            <w:sz w:val="24"/>
            <w:szCs w:val="24"/>
          </w:rPr>
          <m:t>R=-0,86</m:t>
        </m:r>
      </m:oMath>
      <w:r w:rsidRPr="002E38DF">
        <w:rPr>
          <w:rFonts w:ascii="Times New Roman" w:hAnsi="Times New Roman" w:cs="Times New Roman"/>
          <w:color w:val="000000"/>
          <w:sz w:val="24"/>
          <w:szCs w:val="24"/>
          <w:vertAlign w:val="superscript"/>
        </w:rPr>
        <w:t>****</w:t>
      </w:r>
      <w:r w:rsidR="00F77DB1" w:rsidRPr="00B03142">
        <w:rPr>
          <w:rFonts w:ascii="Times New Roman" w:hAnsi="Times New Roman" w:cs="Times New Roman"/>
          <w:sz w:val="24"/>
          <w:szCs w:val="24"/>
        </w:rPr>
        <w:t>), FİGM (</w:t>
      </w:r>
      <m:oMath>
        <m:r>
          <w:rPr>
            <w:rFonts w:ascii="Cambria Math" w:hAnsi="Cambria Math" w:cs="Times New Roman"/>
            <w:sz w:val="24"/>
            <w:szCs w:val="24"/>
          </w:rPr>
          <m:t>R=-0,82</m:t>
        </m:r>
      </m:oMath>
      <w:r w:rsidRPr="002E38DF">
        <w:rPr>
          <w:rFonts w:ascii="Times New Roman" w:hAnsi="Times New Roman" w:cs="Times New Roman"/>
          <w:color w:val="000000"/>
          <w:sz w:val="24"/>
          <w:szCs w:val="24"/>
          <w:vertAlign w:val="superscript"/>
        </w:rPr>
        <w:t>****</w:t>
      </w:r>
      <w:r w:rsidR="00F77DB1" w:rsidRPr="00B03142">
        <w:rPr>
          <w:rFonts w:ascii="Times New Roman" w:hAnsi="Times New Roman" w:cs="Times New Roman"/>
          <w:sz w:val="24"/>
          <w:szCs w:val="24"/>
        </w:rPr>
        <w:t>), EGS (</w:t>
      </w:r>
      <m:oMath>
        <m:r>
          <w:rPr>
            <w:rFonts w:ascii="Cambria Math" w:hAnsi="Cambria Math" w:cs="Times New Roman"/>
            <w:sz w:val="24"/>
            <w:szCs w:val="24"/>
          </w:rPr>
          <m:t>R=-0,75</m:t>
        </m:r>
      </m:oMath>
      <w:r w:rsidRPr="002E38DF">
        <w:rPr>
          <w:rFonts w:ascii="Times New Roman" w:hAnsi="Times New Roman" w:cs="Times New Roman"/>
          <w:color w:val="000000"/>
          <w:sz w:val="24"/>
          <w:szCs w:val="24"/>
          <w:vertAlign w:val="superscript"/>
        </w:rPr>
        <w:t>****</w:t>
      </w:r>
      <w:r w:rsidR="00F77DB1" w:rsidRPr="00B03142">
        <w:rPr>
          <w:rFonts w:ascii="Times New Roman" w:hAnsi="Times New Roman" w:cs="Times New Roman"/>
          <w:sz w:val="24"/>
          <w:szCs w:val="24"/>
        </w:rPr>
        <w:t>) ve İNŞ (</w:t>
      </w:r>
      <m:oMath>
        <m:r>
          <w:rPr>
            <w:rFonts w:ascii="Cambria Math" w:hAnsi="Cambria Math" w:cs="Times New Roman"/>
            <w:sz w:val="24"/>
            <w:szCs w:val="24"/>
          </w:rPr>
          <m:t>R=-0,74</m:t>
        </m:r>
      </m:oMath>
      <w:r w:rsidRPr="007B7230">
        <w:rPr>
          <w:rFonts w:ascii="Times New Roman" w:hAnsi="Times New Roman" w:cs="Times New Roman"/>
          <w:color w:val="000000"/>
          <w:sz w:val="24"/>
          <w:szCs w:val="24"/>
          <w:vertAlign w:val="superscript"/>
        </w:rPr>
        <w:t>****</w:t>
      </w:r>
      <w:r w:rsidR="00F77DB1" w:rsidRPr="00B03142">
        <w:rPr>
          <w:rFonts w:ascii="Times New Roman" w:hAnsi="Times New Roman" w:cs="Times New Roman"/>
          <w:sz w:val="24"/>
          <w:szCs w:val="24"/>
        </w:rPr>
        <w:t xml:space="preserve">) lehine olmuştur. </w:t>
      </w:r>
      <w:r w:rsidR="00CC4AB8" w:rsidRPr="00B03142">
        <w:rPr>
          <w:rFonts w:ascii="Times New Roman" w:hAnsi="Times New Roman" w:cs="Times New Roman"/>
          <w:sz w:val="24"/>
          <w:szCs w:val="24"/>
        </w:rPr>
        <w:t>Bu sektörlerden İNŞ’nin ve FİGM’nin kredi paylarının pozitif korelasyona sahip olduğu ilk sektör EGS</w:t>
      </w:r>
      <w:r w:rsidR="009E39B5" w:rsidRPr="00B03142">
        <w:rPr>
          <w:rFonts w:ascii="Times New Roman" w:hAnsi="Times New Roman" w:cs="Times New Roman"/>
          <w:sz w:val="24"/>
          <w:szCs w:val="24"/>
        </w:rPr>
        <w:t xml:space="preserve"> (sırasıyla, </w:t>
      </w:r>
      <m:oMath>
        <m:r>
          <w:rPr>
            <w:rFonts w:ascii="Cambria Math" w:hAnsi="Cambria Math" w:cs="Times New Roman"/>
            <w:sz w:val="24"/>
            <w:szCs w:val="24"/>
          </w:rPr>
          <m:t>R=</m:t>
        </m:r>
        <m:r>
          <w:rPr>
            <w:rFonts w:ascii="Cambria Math" w:hAnsi="Cambria Math" w:cs="Times New Roman"/>
            <w:color w:val="000000"/>
            <w:sz w:val="24"/>
            <w:szCs w:val="24"/>
          </w:rPr>
          <m:t>0,65</m:t>
        </m:r>
      </m:oMath>
      <w:r w:rsidR="009E39B5" w:rsidRPr="007B7230">
        <w:rPr>
          <w:rFonts w:ascii="Times New Roman" w:hAnsi="Times New Roman" w:cs="Times New Roman"/>
          <w:color w:val="000000"/>
          <w:sz w:val="24"/>
          <w:szCs w:val="24"/>
          <w:vertAlign w:val="superscript"/>
        </w:rPr>
        <w:t>***</w:t>
      </w:r>
      <w:r w:rsidR="009E39B5" w:rsidRPr="00B03142">
        <w:rPr>
          <w:rFonts w:ascii="Times New Roman" w:hAnsi="Times New Roman" w:cs="Times New Roman"/>
          <w:color w:val="000000"/>
          <w:sz w:val="24"/>
          <w:szCs w:val="24"/>
        </w:rPr>
        <w:t xml:space="preserve">, </w:t>
      </w:r>
      <m:oMath>
        <m:r>
          <w:rPr>
            <w:rFonts w:ascii="Cambria Math" w:hAnsi="Cambria Math" w:cs="Times New Roman"/>
            <w:sz w:val="24"/>
            <w:szCs w:val="24"/>
          </w:rPr>
          <m:t xml:space="preserve">R= </m:t>
        </m:r>
        <m:r>
          <w:rPr>
            <w:rFonts w:ascii="Cambria Math" w:hAnsi="Cambria Math" w:cs="Times New Roman"/>
            <w:color w:val="000000"/>
            <w:sz w:val="24"/>
            <w:szCs w:val="24"/>
          </w:rPr>
          <m:t>0,66</m:t>
        </m:r>
      </m:oMath>
      <w:r w:rsidR="009E39B5" w:rsidRPr="007B7230">
        <w:rPr>
          <w:rFonts w:ascii="Times New Roman" w:eastAsiaTheme="minorEastAsia" w:hAnsi="Times New Roman" w:cs="Times New Roman"/>
          <w:color w:val="000000"/>
          <w:sz w:val="24"/>
          <w:szCs w:val="24"/>
          <w:vertAlign w:val="superscript"/>
        </w:rPr>
        <w:t>***</w:t>
      </w:r>
      <w:r w:rsidR="009E39B5" w:rsidRPr="00B03142">
        <w:rPr>
          <w:rFonts w:ascii="Times New Roman" w:hAnsi="Times New Roman" w:cs="Times New Roman"/>
          <w:sz w:val="24"/>
          <w:szCs w:val="24"/>
        </w:rPr>
        <w:t>)</w:t>
      </w:r>
      <w:r w:rsidR="00CC4AB8" w:rsidRPr="00B03142">
        <w:rPr>
          <w:rFonts w:ascii="Times New Roman" w:hAnsi="Times New Roman" w:cs="Times New Roman"/>
          <w:sz w:val="24"/>
          <w:szCs w:val="24"/>
        </w:rPr>
        <w:t xml:space="preserve"> </w:t>
      </w:r>
      <w:r w:rsidR="009E39B5" w:rsidRPr="00B03142">
        <w:rPr>
          <w:rFonts w:ascii="Times New Roman" w:hAnsi="Times New Roman" w:cs="Times New Roman"/>
          <w:sz w:val="24"/>
          <w:szCs w:val="24"/>
        </w:rPr>
        <w:t xml:space="preserve">iken </w:t>
      </w:r>
      <w:r w:rsidR="00CC4AB8" w:rsidRPr="00B03142">
        <w:rPr>
          <w:rFonts w:ascii="Times New Roman" w:hAnsi="Times New Roman" w:cs="Times New Roman"/>
          <w:sz w:val="24"/>
          <w:szCs w:val="24"/>
        </w:rPr>
        <w:t>bunu TİC</w:t>
      </w:r>
      <w:r w:rsidR="009E39B5" w:rsidRPr="00B03142">
        <w:rPr>
          <w:rFonts w:ascii="Times New Roman" w:hAnsi="Times New Roman" w:cs="Times New Roman"/>
          <w:sz w:val="24"/>
          <w:szCs w:val="24"/>
        </w:rPr>
        <w:t xml:space="preserve"> (sırasıyla, </w:t>
      </w:r>
      <m:oMath>
        <m:r>
          <w:rPr>
            <w:rFonts w:ascii="Cambria Math" w:hAnsi="Cambria Math" w:cs="Times New Roman"/>
            <w:sz w:val="24"/>
            <w:szCs w:val="24"/>
          </w:rPr>
          <m:t>R=</m:t>
        </m:r>
        <m:r>
          <w:rPr>
            <w:rFonts w:ascii="Cambria Math" w:hAnsi="Cambria Math" w:cs="Times New Roman"/>
            <w:color w:val="000000"/>
            <w:sz w:val="24"/>
            <w:szCs w:val="24"/>
          </w:rPr>
          <m:t>0,54</m:t>
        </m:r>
      </m:oMath>
      <w:r w:rsidR="009E39B5" w:rsidRPr="007B7230">
        <w:rPr>
          <w:rFonts w:ascii="Times New Roman" w:hAnsi="Times New Roman" w:cs="Times New Roman"/>
          <w:color w:val="000000"/>
          <w:sz w:val="24"/>
          <w:szCs w:val="24"/>
          <w:vertAlign w:val="superscript"/>
        </w:rPr>
        <w:t>**</w:t>
      </w:r>
      <w:r w:rsidR="009E39B5" w:rsidRPr="00B03142">
        <w:rPr>
          <w:rFonts w:ascii="Times New Roman" w:hAnsi="Times New Roman" w:cs="Times New Roman"/>
          <w:color w:val="000000"/>
          <w:sz w:val="24"/>
          <w:szCs w:val="24"/>
        </w:rPr>
        <w:t xml:space="preserve">, </w:t>
      </w:r>
      <m:oMath>
        <m:r>
          <w:rPr>
            <w:rFonts w:ascii="Cambria Math" w:hAnsi="Cambria Math" w:cs="Times New Roman"/>
            <w:sz w:val="24"/>
            <w:szCs w:val="24"/>
          </w:rPr>
          <m:t>R=</m:t>
        </m:r>
        <m:r>
          <w:rPr>
            <w:rFonts w:ascii="Cambria Math" w:hAnsi="Cambria Math" w:cs="Times New Roman"/>
            <w:color w:val="000000"/>
            <w:sz w:val="24"/>
            <w:szCs w:val="24"/>
          </w:rPr>
          <m:t>0,63</m:t>
        </m:r>
      </m:oMath>
      <w:r w:rsidR="009E39B5" w:rsidRPr="007B7230">
        <w:rPr>
          <w:rFonts w:ascii="Times New Roman" w:eastAsiaTheme="minorEastAsia" w:hAnsi="Times New Roman" w:cs="Times New Roman"/>
          <w:color w:val="000000"/>
          <w:sz w:val="24"/>
          <w:szCs w:val="24"/>
          <w:vertAlign w:val="superscript"/>
        </w:rPr>
        <w:t>**</w:t>
      </w:r>
      <w:r w:rsidR="009E39B5" w:rsidRPr="00B03142">
        <w:rPr>
          <w:rFonts w:ascii="Times New Roman" w:hAnsi="Times New Roman" w:cs="Times New Roman"/>
          <w:sz w:val="24"/>
          <w:szCs w:val="24"/>
        </w:rPr>
        <w:t>)</w:t>
      </w:r>
      <w:r w:rsidR="00CC4AB8" w:rsidRPr="00B03142">
        <w:rPr>
          <w:rFonts w:ascii="Times New Roman" w:hAnsi="Times New Roman" w:cs="Times New Roman"/>
          <w:sz w:val="24"/>
          <w:szCs w:val="24"/>
        </w:rPr>
        <w:t xml:space="preserve"> takip etmektedir. </w:t>
      </w:r>
      <w:r w:rsidR="006A6ADD" w:rsidRPr="00B03142">
        <w:rPr>
          <w:rFonts w:ascii="Times New Roman" w:hAnsi="Times New Roman" w:cs="Times New Roman"/>
          <w:sz w:val="24"/>
          <w:szCs w:val="24"/>
        </w:rPr>
        <w:t xml:space="preserve">İNŞ’nin ve FİGM’nin kredi payları </w:t>
      </w:r>
      <w:r w:rsidR="00762B1E" w:rsidRPr="00B03142">
        <w:rPr>
          <w:rFonts w:ascii="Times New Roman" w:hAnsi="Times New Roman" w:cs="Times New Roman"/>
          <w:sz w:val="24"/>
          <w:szCs w:val="24"/>
        </w:rPr>
        <w:t>arasında ise daha düşük bir pozitif korelasyon mevcuttur (</w:t>
      </w:r>
      <m:oMath>
        <m:r>
          <w:rPr>
            <w:rFonts w:ascii="Cambria Math" w:hAnsi="Cambria Math" w:cs="Times New Roman"/>
            <w:sz w:val="24"/>
            <w:szCs w:val="24"/>
          </w:rPr>
          <m:t>R=</m:t>
        </m:r>
        <m:r>
          <w:rPr>
            <w:rFonts w:ascii="Cambria Math" w:hAnsi="Cambria Math" w:cs="Times New Roman"/>
            <w:color w:val="000000"/>
            <w:sz w:val="24"/>
            <w:szCs w:val="24"/>
          </w:rPr>
          <m:t>0.42</m:t>
        </m:r>
      </m:oMath>
      <w:r w:rsidR="00762B1E" w:rsidRPr="007B7230">
        <w:rPr>
          <w:rFonts w:ascii="Times New Roman" w:hAnsi="Times New Roman" w:cs="Times New Roman"/>
          <w:color w:val="000000"/>
          <w:sz w:val="24"/>
          <w:szCs w:val="24"/>
          <w:vertAlign w:val="superscript"/>
        </w:rPr>
        <w:t>*</w:t>
      </w:r>
      <w:r w:rsidR="00762B1E" w:rsidRPr="00B03142">
        <w:rPr>
          <w:rFonts w:ascii="Times New Roman" w:hAnsi="Times New Roman" w:cs="Times New Roman"/>
          <w:sz w:val="24"/>
          <w:szCs w:val="24"/>
        </w:rPr>
        <w:t xml:space="preserve">). </w:t>
      </w:r>
      <w:r w:rsidR="006A6ADD" w:rsidRPr="00B03142">
        <w:rPr>
          <w:rFonts w:ascii="Times New Roman" w:hAnsi="Times New Roman" w:cs="Times New Roman"/>
          <w:sz w:val="24"/>
          <w:szCs w:val="24"/>
        </w:rPr>
        <w:t xml:space="preserve"> EGS’nin kredi payının </w:t>
      </w:r>
      <w:r w:rsidR="00762B1E" w:rsidRPr="00B03142">
        <w:rPr>
          <w:rFonts w:ascii="Times New Roman" w:hAnsi="Times New Roman" w:cs="Times New Roman"/>
          <w:sz w:val="24"/>
          <w:szCs w:val="24"/>
        </w:rPr>
        <w:t>İNŞ ve FİGM</w:t>
      </w:r>
      <w:r w:rsidR="006A6ADD" w:rsidRPr="00B03142">
        <w:rPr>
          <w:rFonts w:ascii="Times New Roman" w:hAnsi="Times New Roman" w:cs="Times New Roman"/>
          <w:sz w:val="24"/>
          <w:szCs w:val="24"/>
        </w:rPr>
        <w:t xml:space="preserve"> </w:t>
      </w:r>
      <w:r w:rsidR="006A6ADD" w:rsidRPr="00B03142">
        <w:rPr>
          <w:rFonts w:ascii="Times New Roman" w:hAnsi="Times New Roman" w:cs="Times New Roman"/>
          <w:sz w:val="24"/>
          <w:szCs w:val="24"/>
        </w:rPr>
        <w:lastRenderedPageBreak/>
        <w:t>dışında pozitif ilişkili olduğu başka sektör bulunmazken, TİC</w:t>
      </w:r>
      <w:r w:rsidR="00762B1E" w:rsidRPr="00B03142">
        <w:rPr>
          <w:rFonts w:ascii="Times New Roman" w:hAnsi="Times New Roman" w:cs="Times New Roman"/>
          <w:sz w:val="24"/>
          <w:szCs w:val="24"/>
        </w:rPr>
        <w:t>’nin kredi payı en yüksek DKÖH’nin kredi payı ile pozitif korelasyona sahiptir (</w:t>
      </w:r>
      <m:oMath>
        <m:r>
          <w:rPr>
            <w:rFonts w:ascii="Cambria Math" w:hAnsi="Cambria Math" w:cs="Times New Roman"/>
            <w:sz w:val="24"/>
            <w:szCs w:val="24"/>
          </w:rPr>
          <m:t>R=</m:t>
        </m:r>
        <m:r>
          <w:rPr>
            <w:rFonts w:ascii="Cambria Math" w:hAnsi="Cambria Math" w:cs="Times New Roman"/>
            <w:color w:val="000000"/>
            <w:sz w:val="24"/>
            <w:szCs w:val="24"/>
          </w:rPr>
          <m:t>0.72</m:t>
        </m:r>
      </m:oMath>
      <w:r w:rsidR="00762B1E" w:rsidRPr="007B7230">
        <w:rPr>
          <w:rFonts w:ascii="Times New Roman" w:hAnsi="Times New Roman" w:cs="Times New Roman"/>
          <w:color w:val="000000"/>
          <w:sz w:val="24"/>
          <w:szCs w:val="24"/>
          <w:vertAlign w:val="superscript"/>
        </w:rPr>
        <w:t>***</w:t>
      </w:r>
      <w:r w:rsidR="00762B1E" w:rsidRPr="00B03142">
        <w:rPr>
          <w:rFonts w:ascii="Times New Roman" w:hAnsi="Times New Roman" w:cs="Times New Roman"/>
          <w:sz w:val="24"/>
          <w:szCs w:val="24"/>
        </w:rPr>
        <w:t>).</w:t>
      </w:r>
      <w:r w:rsidR="006A6ADD" w:rsidRPr="00B03142">
        <w:rPr>
          <w:rFonts w:ascii="Times New Roman" w:hAnsi="Times New Roman" w:cs="Times New Roman"/>
          <w:sz w:val="24"/>
          <w:szCs w:val="24"/>
        </w:rPr>
        <w:t xml:space="preserve"> </w:t>
      </w:r>
    </w:p>
    <w:p w14:paraId="515DA509" w14:textId="093974CF" w:rsidR="00295D8C" w:rsidRPr="00B03142" w:rsidRDefault="00043175" w:rsidP="00636453">
      <w:pPr>
        <w:spacing w:line="276" w:lineRule="auto"/>
        <w:ind w:firstLine="360"/>
        <w:jc w:val="both"/>
        <w:rPr>
          <w:rFonts w:ascii="Times New Roman" w:hAnsi="Times New Roman" w:cs="Times New Roman"/>
          <w:sz w:val="24"/>
          <w:szCs w:val="24"/>
        </w:rPr>
      </w:pPr>
      <w:r w:rsidRPr="00B03142">
        <w:rPr>
          <w:rFonts w:ascii="Times New Roman" w:hAnsi="Times New Roman" w:cs="Times New Roman"/>
          <w:sz w:val="24"/>
          <w:szCs w:val="24"/>
        </w:rPr>
        <w:t>İMA sektörü dışında sektörlerin kredi paylarının değişim iliş</w:t>
      </w:r>
      <w:r w:rsidR="007B7230">
        <w:rPr>
          <w:rFonts w:ascii="Times New Roman" w:hAnsi="Times New Roman" w:cs="Times New Roman"/>
          <w:sz w:val="24"/>
          <w:szCs w:val="24"/>
        </w:rPr>
        <w:t>k</w:t>
      </w:r>
      <w:r w:rsidRPr="00B03142">
        <w:rPr>
          <w:rFonts w:ascii="Times New Roman" w:hAnsi="Times New Roman" w:cs="Times New Roman"/>
          <w:sz w:val="24"/>
          <w:szCs w:val="24"/>
        </w:rPr>
        <w:t xml:space="preserve">isi sektörel üretim ilişkileri açısından anlamlı gözükmektedir. Elbette kesin bir bulgu için </w:t>
      </w:r>
      <w:r w:rsidR="007B7230" w:rsidRPr="00B03142">
        <w:rPr>
          <w:rFonts w:ascii="Times New Roman" w:hAnsi="Times New Roman" w:cs="Times New Roman"/>
          <w:sz w:val="24"/>
          <w:szCs w:val="24"/>
        </w:rPr>
        <w:t>mikro veri</w:t>
      </w:r>
      <w:r w:rsidRPr="00B03142">
        <w:rPr>
          <w:rFonts w:ascii="Times New Roman" w:hAnsi="Times New Roman" w:cs="Times New Roman"/>
          <w:sz w:val="24"/>
          <w:szCs w:val="24"/>
        </w:rPr>
        <w:t xml:space="preserve"> ile sektörlerin üretim süreçlerindeki tedarik ilişkileri</w:t>
      </w:r>
      <w:r w:rsidR="004E7953" w:rsidRPr="00B03142">
        <w:rPr>
          <w:rFonts w:ascii="Times New Roman" w:hAnsi="Times New Roman" w:cs="Times New Roman"/>
          <w:sz w:val="24"/>
          <w:szCs w:val="24"/>
        </w:rPr>
        <w:t>nin gücü</w:t>
      </w:r>
      <w:r w:rsidRPr="00B03142">
        <w:rPr>
          <w:rFonts w:ascii="Times New Roman" w:hAnsi="Times New Roman" w:cs="Times New Roman"/>
          <w:sz w:val="24"/>
          <w:szCs w:val="24"/>
        </w:rPr>
        <w:t xml:space="preserve"> kontrol edilmelidir. Bununla birlikte, özellikle İNŞ sektörü kredi payı artışının EGS, TİC ve FİGM sektörlerinin kredi payı artışıyla pozitif ilişkiye sahip olması bu sektörlerin aktivitelerinin pozitif ilişkide </w:t>
      </w:r>
      <w:r w:rsidR="004E7953" w:rsidRPr="00B03142">
        <w:rPr>
          <w:rFonts w:ascii="Times New Roman" w:hAnsi="Times New Roman" w:cs="Times New Roman"/>
          <w:sz w:val="24"/>
          <w:szCs w:val="24"/>
        </w:rPr>
        <w:t xml:space="preserve">olmasından kaynaklı olduğunu düşündürmektedir. Pozitif bulunan diğer ilişkiler de ilgili sektörlerin ekonomik </w:t>
      </w:r>
      <w:r w:rsidR="00007DDC" w:rsidRPr="00B03142">
        <w:rPr>
          <w:rFonts w:ascii="Times New Roman" w:hAnsi="Times New Roman" w:cs="Times New Roman"/>
          <w:sz w:val="24"/>
          <w:szCs w:val="24"/>
        </w:rPr>
        <w:t>ilişkileri göz önünde bulundurulunca anlamlı bulunmaktadır. İMA sektöründeki kredi payı değişimin</w:t>
      </w:r>
      <w:r w:rsidR="007B7230">
        <w:rPr>
          <w:rFonts w:ascii="Times New Roman" w:hAnsi="Times New Roman" w:cs="Times New Roman"/>
          <w:sz w:val="24"/>
          <w:szCs w:val="24"/>
        </w:rPr>
        <w:t>in</w:t>
      </w:r>
      <w:r w:rsidR="00007DDC" w:rsidRPr="00B03142">
        <w:rPr>
          <w:rFonts w:ascii="Times New Roman" w:hAnsi="Times New Roman" w:cs="Times New Roman"/>
          <w:sz w:val="24"/>
          <w:szCs w:val="24"/>
        </w:rPr>
        <w:t xml:space="preserve"> tüm sektörlerin kredi payı ile negatif ilişki içinde olması bu sektörün </w:t>
      </w:r>
      <w:r w:rsidR="00DB7BA5" w:rsidRPr="00B03142">
        <w:rPr>
          <w:rFonts w:ascii="Times New Roman" w:hAnsi="Times New Roman" w:cs="Times New Roman"/>
          <w:sz w:val="24"/>
          <w:szCs w:val="24"/>
        </w:rPr>
        <w:t>stok kredi payındaki azalmanın</w:t>
      </w:r>
      <w:r w:rsidR="00007DDC" w:rsidRPr="00B03142">
        <w:rPr>
          <w:rFonts w:ascii="Times New Roman" w:hAnsi="Times New Roman" w:cs="Times New Roman"/>
          <w:sz w:val="24"/>
          <w:szCs w:val="24"/>
        </w:rPr>
        <w:t xml:space="preserve"> yapısal </w:t>
      </w:r>
      <w:r w:rsidR="00DB7BA5" w:rsidRPr="00B03142">
        <w:rPr>
          <w:rFonts w:ascii="Times New Roman" w:hAnsi="Times New Roman" w:cs="Times New Roman"/>
          <w:sz w:val="24"/>
          <w:szCs w:val="24"/>
        </w:rPr>
        <w:t>bi</w:t>
      </w:r>
      <w:r w:rsidR="004E1872" w:rsidRPr="00B03142">
        <w:rPr>
          <w:rFonts w:ascii="Times New Roman" w:hAnsi="Times New Roman" w:cs="Times New Roman"/>
          <w:sz w:val="24"/>
          <w:szCs w:val="24"/>
        </w:rPr>
        <w:t>r değişim</w:t>
      </w:r>
      <w:r w:rsidR="00007DDC" w:rsidRPr="00B03142">
        <w:rPr>
          <w:rFonts w:ascii="Times New Roman" w:hAnsi="Times New Roman" w:cs="Times New Roman"/>
          <w:sz w:val="24"/>
          <w:szCs w:val="24"/>
        </w:rPr>
        <w:t xml:space="preserve"> olduğunu düşündürmektedir.</w:t>
      </w:r>
      <w:r w:rsidR="00762B1E" w:rsidRPr="00B03142">
        <w:rPr>
          <w:rFonts w:ascii="Times New Roman" w:hAnsi="Times New Roman" w:cs="Times New Roman"/>
          <w:sz w:val="24"/>
          <w:szCs w:val="24"/>
        </w:rPr>
        <w:t xml:space="preserve"> Bu yapısal azalmanın </w:t>
      </w:r>
      <w:r w:rsidR="0097289E" w:rsidRPr="00B03142">
        <w:rPr>
          <w:rFonts w:ascii="Times New Roman" w:hAnsi="Times New Roman" w:cs="Times New Roman"/>
          <w:sz w:val="24"/>
          <w:szCs w:val="24"/>
        </w:rPr>
        <w:t>İMA sektörün</w:t>
      </w:r>
      <w:r w:rsidR="00641C7B" w:rsidRPr="00B03142">
        <w:rPr>
          <w:rFonts w:ascii="Times New Roman" w:hAnsi="Times New Roman" w:cs="Times New Roman"/>
          <w:sz w:val="24"/>
          <w:szCs w:val="24"/>
        </w:rPr>
        <w:t>ün genelinde</w:t>
      </w:r>
      <w:r w:rsidR="0097289E" w:rsidRPr="00B03142">
        <w:rPr>
          <w:rFonts w:ascii="Times New Roman" w:hAnsi="Times New Roman" w:cs="Times New Roman"/>
          <w:sz w:val="24"/>
          <w:szCs w:val="24"/>
        </w:rPr>
        <w:t xml:space="preserve"> kullanıl</w:t>
      </w:r>
      <w:r w:rsidR="00641C7B" w:rsidRPr="00B03142">
        <w:rPr>
          <w:rFonts w:ascii="Times New Roman" w:hAnsi="Times New Roman" w:cs="Times New Roman"/>
          <w:sz w:val="24"/>
          <w:szCs w:val="24"/>
        </w:rPr>
        <w:t xml:space="preserve">an </w:t>
      </w:r>
      <w:r w:rsidR="00762B1E" w:rsidRPr="00B03142">
        <w:rPr>
          <w:rFonts w:ascii="Times New Roman" w:hAnsi="Times New Roman" w:cs="Times New Roman"/>
          <w:sz w:val="24"/>
          <w:szCs w:val="24"/>
        </w:rPr>
        <w:t>finansman</w:t>
      </w:r>
      <w:r w:rsidR="00641C7B" w:rsidRPr="00B03142">
        <w:rPr>
          <w:rFonts w:ascii="Times New Roman" w:hAnsi="Times New Roman" w:cs="Times New Roman"/>
          <w:sz w:val="24"/>
          <w:szCs w:val="24"/>
        </w:rPr>
        <w:t xml:space="preserve"> yönteminin farklılaşmasından mı kaynaklandığı (örn.</w:t>
      </w:r>
      <w:r w:rsidR="004773E4" w:rsidRPr="00B03142">
        <w:rPr>
          <w:rFonts w:ascii="Times New Roman" w:hAnsi="Times New Roman" w:cs="Times New Roman"/>
          <w:sz w:val="24"/>
          <w:szCs w:val="24"/>
        </w:rPr>
        <w:t>,</w:t>
      </w:r>
      <w:r w:rsidR="00641C7B" w:rsidRPr="00B03142">
        <w:rPr>
          <w:rFonts w:ascii="Times New Roman" w:hAnsi="Times New Roman" w:cs="Times New Roman"/>
          <w:sz w:val="24"/>
          <w:szCs w:val="24"/>
        </w:rPr>
        <w:t xml:space="preserve"> yurtdışından yabancı para cinsi borçlanma) yoksa erken sanayisizleşme süreciyle mi ilişkili olduğu araştırılmaya değer bir sorudur.</w:t>
      </w:r>
      <w:r w:rsidR="00AA35B1" w:rsidRPr="00B03142">
        <w:rPr>
          <w:rStyle w:val="FootnoteReference"/>
          <w:rFonts w:ascii="Times New Roman" w:hAnsi="Times New Roman" w:cs="Times New Roman"/>
          <w:sz w:val="24"/>
          <w:szCs w:val="24"/>
        </w:rPr>
        <w:footnoteReference w:id="11"/>
      </w:r>
    </w:p>
    <w:p w14:paraId="6B32CCCD" w14:textId="10DE725E" w:rsidR="001C467E" w:rsidRPr="00A70EAB" w:rsidRDefault="001C467E" w:rsidP="00A70EAB">
      <w:pPr>
        <w:pStyle w:val="Caption"/>
        <w:keepNext/>
        <w:spacing w:before="240" w:line="276" w:lineRule="auto"/>
        <w:jc w:val="center"/>
        <w:rPr>
          <w:rFonts w:ascii="Times New Roman" w:hAnsi="Times New Roman" w:cs="Times New Roman"/>
          <w:b/>
          <w:bCs/>
          <w:i w:val="0"/>
          <w:iCs w:val="0"/>
          <w:color w:val="auto"/>
          <w:sz w:val="22"/>
          <w:szCs w:val="22"/>
        </w:rPr>
      </w:pPr>
      <w:r w:rsidRPr="00A70EAB">
        <w:rPr>
          <w:rFonts w:ascii="Times New Roman" w:hAnsi="Times New Roman" w:cs="Times New Roman"/>
          <w:b/>
          <w:bCs/>
          <w:i w:val="0"/>
          <w:iCs w:val="0"/>
          <w:color w:val="auto"/>
          <w:sz w:val="22"/>
          <w:szCs w:val="22"/>
        </w:rPr>
        <w:t xml:space="preserve">Tablo </w:t>
      </w:r>
      <w:r w:rsidR="00CE05B5" w:rsidRPr="00A70EAB">
        <w:rPr>
          <w:rFonts w:ascii="Times New Roman" w:hAnsi="Times New Roman" w:cs="Times New Roman"/>
          <w:b/>
          <w:bCs/>
          <w:i w:val="0"/>
          <w:iCs w:val="0"/>
          <w:color w:val="auto"/>
          <w:sz w:val="22"/>
          <w:szCs w:val="22"/>
        </w:rPr>
        <w:fldChar w:fldCharType="begin"/>
      </w:r>
      <w:r w:rsidR="00CE05B5" w:rsidRPr="00A70EAB">
        <w:rPr>
          <w:rFonts w:ascii="Times New Roman" w:hAnsi="Times New Roman" w:cs="Times New Roman"/>
          <w:b/>
          <w:bCs/>
          <w:i w:val="0"/>
          <w:iCs w:val="0"/>
          <w:color w:val="auto"/>
          <w:sz w:val="22"/>
          <w:szCs w:val="22"/>
        </w:rPr>
        <w:instrText xml:space="preserve"> SEQ Tablo \* ARABIC </w:instrText>
      </w:r>
      <w:r w:rsidR="00CE05B5" w:rsidRPr="00A70EAB">
        <w:rPr>
          <w:rFonts w:ascii="Times New Roman" w:hAnsi="Times New Roman" w:cs="Times New Roman"/>
          <w:b/>
          <w:bCs/>
          <w:i w:val="0"/>
          <w:iCs w:val="0"/>
          <w:color w:val="auto"/>
          <w:sz w:val="22"/>
          <w:szCs w:val="22"/>
        </w:rPr>
        <w:fldChar w:fldCharType="separate"/>
      </w:r>
      <w:r w:rsidR="0057441E">
        <w:rPr>
          <w:rFonts w:ascii="Times New Roman" w:hAnsi="Times New Roman" w:cs="Times New Roman"/>
          <w:b/>
          <w:bCs/>
          <w:i w:val="0"/>
          <w:iCs w:val="0"/>
          <w:noProof/>
          <w:color w:val="auto"/>
          <w:sz w:val="22"/>
          <w:szCs w:val="22"/>
        </w:rPr>
        <w:t>1</w:t>
      </w:r>
      <w:r w:rsidR="00CE05B5" w:rsidRPr="00A70EAB">
        <w:rPr>
          <w:rFonts w:ascii="Times New Roman" w:hAnsi="Times New Roman" w:cs="Times New Roman"/>
          <w:b/>
          <w:bCs/>
          <w:i w:val="0"/>
          <w:iCs w:val="0"/>
          <w:color w:val="auto"/>
          <w:sz w:val="22"/>
          <w:szCs w:val="22"/>
        </w:rPr>
        <w:fldChar w:fldCharType="end"/>
      </w:r>
      <w:r w:rsidRPr="00A70EAB">
        <w:rPr>
          <w:rFonts w:ascii="Times New Roman" w:hAnsi="Times New Roman" w:cs="Times New Roman"/>
          <w:b/>
          <w:bCs/>
          <w:i w:val="0"/>
          <w:iCs w:val="0"/>
          <w:color w:val="auto"/>
          <w:sz w:val="22"/>
          <w:szCs w:val="22"/>
        </w:rPr>
        <w:t>. Sektör Kredi</w:t>
      </w:r>
      <w:r w:rsidR="0094168F" w:rsidRPr="00A70EAB">
        <w:rPr>
          <w:rFonts w:ascii="Times New Roman" w:hAnsi="Times New Roman" w:cs="Times New Roman"/>
          <w:b/>
          <w:bCs/>
          <w:i w:val="0"/>
          <w:iCs w:val="0"/>
          <w:color w:val="auto"/>
          <w:sz w:val="22"/>
          <w:szCs w:val="22"/>
        </w:rPr>
        <w:t>lerinin Toplam Özel Sektör Kredileri İçindeki</w:t>
      </w:r>
      <w:r w:rsidRPr="00A70EAB">
        <w:rPr>
          <w:rFonts w:ascii="Times New Roman" w:hAnsi="Times New Roman" w:cs="Times New Roman"/>
          <w:b/>
          <w:bCs/>
          <w:i w:val="0"/>
          <w:iCs w:val="0"/>
          <w:color w:val="auto"/>
          <w:sz w:val="22"/>
          <w:szCs w:val="22"/>
        </w:rPr>
        <w:t xml:space="preserve"> Paylarının Kendi Ara</w:t>
      </w:r>
      <w:r w:rsidR="0094168F" w:rsidRPr="00A70EAB">
        <w:rPr>
          <w:rFonts w:ascii="Times New Roman" w:hAnsi="Times New Roman" w:cs="Times New Roman"/>
          <w:b/>
          <w:bCs/>
          <w:i w:val="0"/>
          <w:iCs w:val="0"/>
          <w:color w:val="auto"/>
          <w:sz w:val="22"/>
          <w:szCs w:val="22"/>
        </w:rPr>
        <w:t>larındaki</w:t>
      </w:r>
      <w:r w:rsidRPr="00A70EAB">
        <w:rPr>
          <w:rFonts w:ascii="Times New Roman" w:hAnsi="Times New Roman" w:cs="Times New Roman"/>
          <w:b/>
          <w:bCs/>
          <w:i w:val="0"/>
          <w:iCs w:val="0"/>
          <w:color w:val="auto"/>
          <w:sz w:val="22"/>
          <w:szCs w:val="22"/>
        </w:rPr>
        <w:t xml:space="preserve"> ve </w:t>
      </w:r>
      <w:r w:rsidR="0094168F" w:rsidRPr="00A70EAB">
        <w:rPr>
          <w:rFonts w:ascii="Times New Roman" w:hAnsi="Times New Roman" w:cs="Times New Roman"/>
          <w:b/>
          <w:bCs/>
          <w:i w:val="0"/>
          <w:iCs w:val="0"/>
          <w:color w:val="auto"/>
          <w:sz w:val="22"/>
          <w:szCs w:val="22"/>
        </w:rPr>
        <w:t>Toplam Özel Sektör Kredilerinin Milli Gelir İçindeki Payı ile Korelasyonu</w:t>
      </w:r>
    </w:p>
    <w:tbl>
      <w:tblPr>
        <w:tblStyle w:val="TableGrid"/>
        <w:tblW w:w="0" w:type="auto"/>
        <w:jc w:val="center"/>
        <w:tblLook w:val="04A0" w:firstRow="1" w:lastRow="0" w:firstColumn="1" w:lastColumn="0" w:noHBand="0" w:noVBand="1"/>
      </w:tblPr>
      <w:tblGrid>
        <w:gridCol w:w="1409"/>
        <w:gridCol w:w="746"/>
        <w:gridCol w:w="893"/>
        <w:gridCol w:w="876"/>
        <w:gridCol w:w="893"/>
        <w:gridCol w:w="893"/>
        <w:gridCol w:w="694"/>
        <w:gridCol w:w="826"/>
        <w:gridCol w:w="661"/>
        <w:gridCol w:w="826"/>
      </w:tblGrid>
      <w:tr w:rsidR="00B97C42" w:rsidRPr="0075684F" w14:paraId="3B8BD1B5" w14:textId="77777777" w:rsidTr="0075684F">
        <w:trPr>
          <w:trHeight w:val="355"/>
          <w:jc w:val="center"/>
        </w:trPr>
        <w:tc>
          <w:tcPr>
            <w:tcW w:w="0" w:type="auto"/>
            <w:vAlign w:val="bottom"/>
          </w:tcPr>
          <w:p w14:paraId="6BFB012D" w14:textId="77777777" w:rsidR="00B97C42" w:rsidRPr="0075684F" w:rsidRDefault="00B97C42" w:rsidP="008D0759">
            <w:pPr>
              <w:spacing w:line="276" w:lineRule="auto"/>
              <w:rPr>
                <w:rFonts w:ascii="Times New Roman" w:hAnsi="Times New Roman" w:cs="Times New Roman"/>
                <w:sz w:val="20"/>
                <w:szCs w:val="20"/>
              </w:rPr>
            </w:pPr>
          </w:p>
        </w:tc>
        <w:tc>
          <w:tcPr>
            <w:tcW w:w="0" w:type="auto"/>
            <w:vAlign w:val="bottom"/>
          </w:tcPr>
          <w:p w14:paraId="1769127D" w14:textId="05870A80" w:rsidR="00B97C42" w:rsidRPr="0075684F" w:rsidRDefault="00B97C42" w:rsidP="008D0759">
            <w:pPr>
              <w:spacing w:line="276" w:lineRule="auto"/>
              <w:rPr>
                <w:rFonts w:ascii="Times New Roman" w:hAnsi="Times New Roman" w:cs="Times New Roman"/>
                <w:b/>
                <w:bCs/>
                <w:sz w:val="20"/>
                <w:szCs w:val="20"/>
              </w:rPr>
            </w:pPr>
            <w:r w:rsidRPr="0075684F">
              <w:rPr>
                <w:rFonts w:ascii="Times New Roman" w:hAnsi="Times New Roman" w:cs="Times New Roman"/>
                <w:b/>
                <w:bCs/>
                <w:color w:val="000000"/>
                <w:sz w:val="20"/>
                <w:szCs w:val="20"/>
              </w:rPr>
              <w:t>TAR</w:t>
            </w:r>
          </w:p>
        </w:tc>
        <w:tc>
          <w:tcPr>
            <w:tcW w:w="0" w:type="auto"/>
            <w:vAlign w:val="bottom"/>
          </w:tcPr>
          <w:p w14:paraId="34F6F1B2" w14:textId="2F81EBE9" w:rsidR="00B97C42" w:rsidRPr="0075684F" w:rsidRDefault="00B97C42" w:rsidP="008D0759">
            <w:pPr>
              <w:spacing w:line="276" w:lineRule="auto"/>
              <w:rPr>
                <w:rFonts w:ascii="Times New Roman" w:hAnsi="Times New Roman" w:cs="Times New Roman"/>
                <w:b/>
                <w:bCs/>
                <w:sz w:val="20"/>
                <w:szCs w:val="20"/>
              </w:rPr>
            </w:pPr>
            <w:r w:rsidRPr="0075684F">
              <w:rPr>
                <w:rFonts w:ascii="Times New Roman" w:hAnsi="Times New Roman" w:cs="Times New Roman"/>
                <w:b/>
                <w:bCs/>
                <w:color w:val="000000"/>
                <w:sz w:val="20"/>
                <w:szCs w:val="20"/>
              </w:rPr>
              <w:t>İNŞ</w:t>
            </w:r>
          </w:p>
        </w:tc>
        <w:tc>
          <w:tcPr>
            <w:tcW w:w="0" w:type="auto"/>
            <w:vAlign w:val="bottom"/>
          </w:tcPr>
          <w:p w14:paraId="00A2FA8E" w14:textId="1B0D0C05" w:rsidR="00B97C42" w:rsidRPr="0075684F" w:rsidRDefault="00B97C42" w:rsidP="008D0759">
            <w:pPr>
              <w:spacing w:line="276" w:lineRule="auto"/>
              <w:rPr>
                <w:rFonts w:ascii="Times New Roman" w:hAnsi="Times New Roman" w:cs="Times New Roman"/>
                <w:b/>
                <w:bCs/>
                <w:sz w:val="20"/>
                <w:szCs w:val="20"/>
              </w:rPr>
            </w:pPr>
            <w:r w:rsidRPr="0075684F">
              <w:rPr>
                <w:rFonts w:ascii="Times New Roman" w:hAnsi="Times New Roman" w:cs="Times New Roman"/>
                <w:b/>
                <w:bCs/>
                <w:color w:val="000000"/>
                <w:sz w:val="20"/>
                <w:szCs w:val="20"/>
              </w:rPr>
              <w:t>DKÖH</w:t>
            </w:r>
          </w:p>
        </w:tc>
        <w:tc>
          <w:tcPr>
            <w:tcW w:w="0" w:type="auto"/>
            <w:vAlign w:val="bottom"/>
          </w:tcPr>
          <w:p w14:paraId="0772D89B" w14:textId="43B6A46F" w:rsidR="00B97C42" w:rsidRPr="0075684F" w:rsidRDefault="00B97C42" w:rsidP="008D0759">
            <w:pPr>
              <w:spacing w:line="276" w:lineRule="auto"/>
              <w:rPr>
                <w:rFonts w:ascii="Times New Roman" w:hAnsi="Times New Roman" w:cs="Times New Roman"/>
                <w:b/>
                <w:bCs/>
                <w:sz w:val="20"/>
                <w:szCs w:val="20"/>
              </w:rPr>
            </w:pPr>
            <w:r w:rsidRPr="0075684F">
              <w:rPr>
                <w:rFonts w:ascii="Times New Roman" w:hAnsi="Times New Roman" w:cs="Times New Roman"/>
                <w:b/>
                <w:bCs/>
                <w:color w:val="000000"/>
                <w:sz w:val="20"/>
                <w:szCs w:val="20"/>
              </w:rPr>
              <w:t>FİGM</w:t>
            </w:r>
          </w:p>
        </w:tc>
        <w:tc>
          <w:tcPr>
            <w:tcW w:w="0" w:type="auto"/>
            <w:vAlign w:val="bottom"/>
          </w:tcPr>
          <w:p w14:paraId="5BEC5C91" w14:textId="2FC64E4C" w:rsidR="00B97C42" w:rsidRPr="0075684F" w:rsidRDefault="00B97C42" w:rsidP="008D0759">
            <w:pPr>
              <w:spacing w:line="276" w:lineRule="auto"/>
              <w:rPr>
                <w:rFonts w:ascii="Times New Roman" w:hAnsi="Times New Roman" w:cs="Times New Roman"/>
                <w:b/>
                <w:bCs/>
                <w:sz w:val="20"/>
                <w:szCs w:val="20"/>
              </w:rPr>
            </w:pPr>
            <w:r w:rsidRPr="0075684F">
              <w:rPr>
                <w:rFonts w:ascii="Times New Roman" w:hAnsi="Times New Roman" w:cs="Times New Roman"/>
                <w:b/>
                <w:bCs/>
                <w:color w:val="000000"/>
                <w:sz w:val="20"/>
                <w:szCs w:val="20"/>
              </w:rPr>
              <w:t>İMA</w:t>
            </w:r>
          </w:p>
        </w:tc>
        <w:tc>
          <w:tcPr>
            <w:tcW w:w="0" w:type="auto"/>
            <w:vAlign w:val="bottom"/>
          </w:tcPr>
          <w:p w14:paraId="15A81D1A" w14:textId="268E881C" w:rsidR="00B97C42" w:rsidRPr="0075684F" w:rsidRDefault="00B97C42" w:rsidP="008D0759">
            <w:pPr>
              <w:spacing w:line="276" w:lineRule="auto"/>
              <w:rPr>
                <w:rFonts w:ascii="Times New Roman" w:hAnsi="Times New Roman" w:cs="Times New Roman"/>
                <w:b/>
                <w:bCs/>
                <w:sz w:val="20"/>
                <w:szCs w:val="20"/>
              </w:rPr>
            </w:pPr>
            <w:r w:rsidRPr="0075684F">
              <w:rPr>
                <w:rFonts w:ascii="Times New Roman" w:hAnsi="Times New Roman" w:cs="Times New Roman"/>
                <w:b/>
                <w:bCs/>
                <w:color w:val="000000"/>
                <w:sz w:val="20"/>
                <w:szCs w:val="20"/>
              </w:rPr>
              <w:t>MAD</w:t>
            </w:r>
          </w:p>
        </w:tc>
        <w:tc>
          <w:tcPr>
            <w:tcW w:w="0" w:type="auto"/>
            <w:vAlign w:val="bottom"/>
          </w:tcPr>
          <w:p w14:paraId="6D713852" w14:textId="6C695606" w:rsidR="00B97C42" w:rsidRPr="0075684F" w:rsidRDefault="00B97C42" w:rsidP="008D0759">
            <w:pPr>
              <w:spacing w:line="276" w:lineRule="auto"/>
              <w:rPr>
                <w:rFonts w:ascii="Times New Roman" w:hAnsi="Times New Roman" w:cs="Times New Roman"/>
                <w:b/>
                <w:bCs/>
                <w:sz w:val="20"/>
                <w:szCs w:val="20"/>
              </w:rPr>
            </w:pPr>
            <w:r w:rsidRPr="0075684F">
              <w:rPr>
                <w:rFonts w:ascii="Times New Roman" w:hAnsi="Times New Roman" w:cs="Times New Roman"/>
                <w:b/>
                <w:bCs/>
                <w:color w:val="000000"/>
                <w:sz w:val="20"/>
                <w:szCs w:val="20"/>
              </w:rPr>
              <w:t>EGS</w:t>
            </w:r>
          </w:p>
        </w:tc>
        <w:tc>
          <w:tcPr>
            <w:tcW w:w="0" w:type="auto"/>
            <w:vAlign w:val="bottom"/>
          </w:tcPr>
          <w:p w14:paraId="2B8AA5BD" w14:textId="0A1D30C5" w:rsidR="00B97C42" w:rsidRPr="0075684F" w:rsidRDefault="00B97C42" w:rsidP="008D0759">
            <w:pPr>
              <w:spacing w:line="276" w:lineRule="auto"/>
              <w:rPr>
                <w:rFonts w:ascii="Times New Roman" w:hAnsi="Times New Roman" w:cs="Times New Roman"/>
                <w:b/>
                <w:bCs/>
                <w:sz w:val="20"/>
                <w:szCs w:val="20"/>
              </w:rPr>
            </w:pPr>
            <w:r w:rsidRPr="0075684F">
              <w:rPr>
                <w:rFonts w:ascii="Times New Roman" w:hAnsi="Times New Roman" w:cs="Times New Roman"/>
                <w:b/>
                <w:bCs/>
                <w:color w:val="000000"/>
                <w:sz w:val="20"/>
                <w:szCs w:val="20"/>
              </w:rPr>
              <w:t>UHD</w:t>
            </w:r>
          </w:p>
        </w:tc>
        <w:tc>
          <w:tcPr>
            <w:tcW w:w="0" w:type="auto"/>
            <w:vAlign w:val="bottom"/>
          </w:tcPr>
          <w:p w14:paraId="0105188F" w14:textId="5DCC4232" w:rsidR="00B97C42" w:rsidRPr="0075684F" w:rsidRDefault="00B97C42" w:rsidP="008D0759">
            <w:pPr>
              <w:spacing w:line="276" w:lineRule="auto"/>
              <w:rPr>
                <w:rFonts w:ascii="Times New Roman" w:hAnsi="Times New Roman" w:cs="Times New Roman"/>
                <w:b/>
                <w:bCs/>
                <w:sz w:val="20"/>
                <w:szCs w:val="20"/>
              </w:rPr>
            </w:pPr>
            <w:r w:rsidRPr="0075684F">
              <w:rPr>
                <w:rFonts w:ascii="Times New Roman" w:hAnsi="Times New Roman" w:cs="Times New Roman"/>
                <w:b/>
                <w:bCs/>
                <w:color w:val="000000"/>
                <w:sz w:val="20"/>
                <w:szCs w:val="20"/>
              </w:rPr>
              <w:t>TİC</w:t>
            </w:r>
          </w:p>
        </w:tc>
      </w:tr>
      <w:tr w:rsidR="00B97C42" w:rsidRPr="0075684F" w14:paraId="71198728" w14:textId="77777777" w:rsidTr="0075684F">
        <w:trPr>
          <w:trHeight w:val="355"/>
          <w:jc w:val="center"/>
        </w:trPr>
        <w:tc>
          <w:tcPr>
            <w:tcW w:w="0" w:type="auto"/>
            <w:vAlign w:val="center"/>
          </w:tcPr>
          <w:p w14:paraId="1902A26E" w14:textId="0614F3E8" w:rsidR="00B97C42" w:rsidRPr="0075684F" w:rsidRDefault="00B97C42" w:rsidP="008D0759">
            <w:pPr>
              <w:spacing w:line="276" w:lineRule="auto"/>
              <w:rPr>
                <w:rFonts w:ascii="Times New Roman" w:hAnsi="Times New Roman" w:cs="Times New Roman"/>
                <w:b/>
                <w:bCs/>
                <w:sz w:val="20"/>
                <w:szCs w:val="20"/>
              </w:rPr>
            </w:pPr>
            <w:r w:rsidRPr="0075684F">
              <w:rPr>
                <w:rFonts w:ascii="Times New Roman" w:hAnsi="Times New Roman" w:cs="Times New Roman"/>
                <w:b/>
                <w:bCs/>
                <w:color w:val="000000"/>
                <w:sz w:val="20"/>
                <w:szCs w:val="20"/>
              </w:rPr>
              <w:t>İNŞ</w:t>
            </w:r>
          </w:p>
        </w:tc>
        <w:tc>
          <w:tcPr>
            <w:tcW w:w="0" w:type="auto"/>
            <w:vAlign w:val="center"/>
          </w:tcPr>
          <w:p w14:paraId="151E0432" w14:textId="58EAFA44" w:rsidR="00B97C42" w:rsidRPr="0075684F" w:rsidRDefault="00B97C42" w:rsidP="008D0759">
            <w:pPr>
              <w:spacing w:line="276" w:lineRule="auto"/>
              <w:rPr>
                <w:rFonts w:ascii="Times New Roman" w:hAnsi="Times New Roman" w:cs="Times New Roman"/>
                <w:sz w:val="20"/>
                <w:szCs w:val="20"/>
              </w:rPr>
            </w:pPr>
            <w:r w:rsidRPr="0075684F">
              <w:rPr>
                <w:rFonts w:ascii="Times New Roman" w:hAnsi="Times New Roman" w:cs="Times New Roman"/>
                <w:color w:val="000000"/>
                <w:sz w:val="20"/>
                <w:szCs w:val="20"/>
              </w:rPr>
              <w:t xml:space="preserve"> 0</w:t>
            </w:r>
            <w:r w:rsidR="00AF682B" w:rsidRPr="0075684F">
              <w:rPr>
                <w:rFonts w:ascii="Times New Roman" w:hAnsi="Times New Roman" w:cs="Times New Roman"/>
                <w:color w:val="000000"/>
                <w:sz w:val="20"/>
                <w:szCs w:val="20"/>
              </w:rPr>
              <w:t>,</w:t>
            </w:r>
            <w:r w:rsidRPr="0075684F">
              <w:rPr>
                <w:rFonts w:ascii="Times New Roman" w:hAnsi="Times New Roman" w:cs="Times New Roman"/>
                <w:color w:val="000000"/>
                <w:sz w:val="20"/>
                <w:szCs w:val="20"/>
              </w:rPr>
              <w:t xml:space="preserve">12    </w:t>
            </w:r>
          </w:p>
        </w:tc>
        <w:tc>
          <w:tcPr>
            <w:tcW w:w="0" w:type="auto"/>
            <w:vAlign w:val="center"/>
          </w:tcPr>
          <w:p w14:paraId="3B93A86A" w14:textId="77777777" w:rsidR="00B97C42" w:rsidRPr="0075684F" w:rsidRDefault="00B97C42" w:rsidP="008D0759">
            <w:pPr>
              <w:spacing w:line="276" w:lineRule="auto"/>
              <w:rPr>
                <w:rFonts w:ascii="Times New Roman" w:hAnsi="Times New Roman" w:cs="Times New Roman"/>
                <w:sz w:val="20"/>
                <w:szCs w:val="20"/>
              </w:rPr>
            </w:pPr>
          </w:p>
        </w:tc>
        <w:tc>
          <w:tcPr>
            <w:tcW w:w="0" w:type="auto"/>
            <w:vAlign w:val="center"/>
          </w:tcPr>
          <w:p w14:paraId="2AB0B177" w14:textId="77777777" w:rsidR="00B97C42" w:rsidRPr="0075684F" w:rsidRDefault="00B97C42" w:rsidP="008D0759">
            <w:pPr>
              <w:spacing w:line="276" w:lineRule="auto"/>
              <w:rPr>
                <w:rFonts w:ascii="Times New Roman" w:hAnsi="Times New Roman" w:cs="Times New Roman"/>
                <w:sz w:val="20"/>
                <w:szCs w:val="20"/>
              </w:rPr>
            </w:pPr>
          </w:p>
        </w:tc>
        <w:tc>
          <w:tcPr>
            <w:tcW w:w="0" w:type="auto"/>
            <w:vAlign w:val="center"/>
          </w:tcPr>
          <w:p w14:paraId="5794FC98" w14:textId="77777777" w:rsidR="00B97C42" w:rsidRPr="0075684F" w:rsidRDefault="00B97C42" w:rsidP="008D0759">
            <w:pPr>
              <w:spacing w:line="276" w:lineRule="auto"/>
              <w:rPr>
                <w:rFonts w:ascii="Times New Roman" w:hAnsi="Times New Roman" w:cs="Times New Roman"/>
                <w:sz w:val="20"/>
                <w:szCs w:val="20"/>
              </w:rPr>
            </w:pPr>
          </w:p>
        </w:tc>
        <w:tc>
          <w:tcPr>
            <w:tcW w:w="0" w:type="auto"/>
            <w:vAlign w:val="center"/>
          </w:tcPr>
          <w:p w14:paraId="09AB2F4F" w14:textId="77777777" w:rsidR="00B97C42" w:rsidRPr="0075684F" w:rsidRDefault="00B97C42" w:rsidP="008D0759">
            <w:pPr>
              <w:spacing w:line="276" w:lineRule="auto"/>
              <w:rPr>
                <w:rFonts w:ascii="Times New Roman" w:hAnsi="Times New Roman" w:cs="Times New Roman"/>
                <w:sz w:val="20"/>
                <w:szCs w:val="20"/>
              </w:rPr>
            </w:pPr>
          </w:p>
        </w:tc>
        <w:tc>
          <w:tcPr>
            <w:tcW w:w="0" w:type="auto"/>
            <w:vAlign w:val="center"/>
          </w:tcPr>
          <w:p w14:paraId="0742A63F" w14:textId="77777777" w:rsidR="00B97C42" w:rsidRPr="0075684F" w:rsidRDefault="00B97C42" w:rsidP="008D0759">
            <w:pPr>
              <w:spacing w:line="276" w:lineRule="auto"/>
              <w:rPr>
                <w:rFonts w:ascii="Times New Roman" w:hAnsi="Times New Roman" w:cs="Times New Roman"/>
                <w:sz w:val="20"/>
                <w:szCs w:val="20"/>
              </w:rPr>
            </w:pPr>
          </w:p>
        </w:tc>
        <w:tc>
          <w:tcPr>
            <w:tcW w:w="0" w:type="auto"/>
            <w:vAlign w:val="center"/>
          </w:tcPr>
          <w:p w14:paraId="22F06960" w14:textId="77777777" w:rsidR="00B97C42" w:rsidRPr="0075684F" w:rsidRDefault="00B97C42" w:rsidP="008D0759">
            <w:pPr>
              <w:spacing w:line="276" w:lineRule="auto"/>
              <w:rPr>
                <w:rFonts w:ascii="Times New Roman" w:hAnsi="Times New Roman" w:cs="Times New Roman"/>
                <w:sz w:val="20"/>
                <w:szCs w:val="20"/>
              </w:rPr>
            </w:pPr>
          </w:p>
        </w:tc>
        <w:tc>
          <w:tcPr>
            <w:tcW w:w="0" w:type="auto"/>
            <w:vAlign w:val="center"/>
          </w:tcPr>
          <w:p w14:paraId="7C073AF9" w14:textId="77777777" w:rsidR="00B97C42" w:rsidRPr="0075684F" w:rsidRDefault="00B97C42" w:rsidP="008D0759">
            <w:pPr>
              <w:spacing w:line="276" w:lineRule="auto"/>
              <w:rPr>
                <w:rFonts w:ascii="Times New Roman" w:hAnsi="Times New Roman" w:cs="Times New Roman"/>
                <w:sz w:val="20"/>
                <w:szCs w:val="20"/>
              </w:rPr>
            </w:pPr>
          </w:p>
        </w:tc>
        <w:tc>
          <w:tcPr>
            <w:tcW w:w="0" w:type="auto"/>
            <w:vAlign w:val="center"/>
          </w:tcPr>
          <w:p w14:paraId="3C6E5E04" w14:textId="77777777" w:rsidR="00B97C42" w:rsidRPr="0075684F" w:rsidRDefault="00B97C42" w:rsidP="008D0759">
            <w:pPr>
              <w:spacing w:line="276" w:lineRule="auto"/>
              <w:rPr>
                <w:rFonts w:ascii="Times New Roman" w:hAnsi="Times New Roman" w:cs="Times New Roman"/>
                <w:sz w:val="20"/>
                <w:szCs w:val="20"/>
              </w:rPr>
            </w:pPr>
          </w:p>
        </w:tc>
      </w:tr>
      <w:tr w:rsidR="00B97C42" w:rsidRPr="0075684F" w14:paraId="6C096335" w14:textId="77777777" w:rsidTr="0075684F">
        <w:trPr>
          <w:trHeight w:val="355"/>
          <w:jc w:val="center"/>
        </w:trPr>
        <w:tc>
          <w:tcPr>
            <w:tcW w:w="0" w:type="auto"/>
            <w:vAlign w:val="center"/>
          </w:tcPr>
          <w:p w14:paraId="7B630336" w14:textId="71802B3F" w:rsidR="00B97C42" w:rsidRPr="0075684F" w:rsidRDefault="00B97C42" w:rsidP="008D0759">
            <w:pPr>
              <w:spacing w:line="276" w:lineRule="auto"/>
              <w:rPr>
                <w:rFonts w:ascii="Times New Roman" w:hAnsi="Times New Roman" w:cs="Times New Roman"/>
                <w:b/>
                <w:bCs/>
                <w:sz w:val="20"/>
                <w:szCs w:val="20"/>
              </w:rPr>
            </w:pPr>
            <w:r w:rsidRPr="0075684F">
              <w:rPr>
                <w:rFonts w:ascii="Times New Roman" w:hAnsi="Times New Roman" w:cs="Times New Roman"/>
                <w:b/>
                <w:bCs/>
                <w:color w:val="000000"/>
                <w:sz w:val="20"/>
                <w:szCs w:val="20"/>
              </w:rPr>
              <w:t>DKÖH</w:t>
            </w:r>
          </w:p>
        </w:tc>
        <w:tc>
          <w:tcPr>
            <w:tcW w:w="0" w:type="auto"/>
            <w:vAlign w:val="center"/>
          </w:tcPr>
          <w:p w14:paraId="207F2E39" w14:textId="329049B1" w:rsidR="00B97C42" w:rsidRPr="0075684F" w:rsidRDefault="00B97C42" w:rsidP="008D0759">
            <w:pPr>
              <w:spacing w:line="276" w:lineRule="auto"/>
              <w:rPr>
                <w:rFonts w:ascii="Times New Roman" w:hAnsi="Times New Roman" w:cs="Times New Roman"/>
                <w:sz w:val="20"/>
                <w:szCs w:val="20"/>
              </w:rPr>
            </w:pPr>
            <w:r w:rsidRPr="0075684F">
              <w:rPr>
                <w:rFonts w:ascii="Times New Roman" w:hAnsi="Times New Roman" w:cs="Times New Roman"/>
                <w:color w:val="000000"/>
                <w:sz w:val="20"/>
                <w:szCs w:val="20"/>
              </w:rPr>
              <w:t xml:space="preserve"> 0</w:t>
            </w:r>
            <w:r w:rsidR="00AF682B" w:rsidRPr="0075684F">
              <w:rPr>
                <w:rFonts w:ascii="Times New Roman" w:hAnsi="Times New Roman" w:cs="Times New Roman"/>
                <w:color w:val="000000"/>
                <w:sz w:val="20"/>
                <w:szCs w:val="20"/>
              </w:rPr>
              <w:t>,</w:t>
            </w:r>
            <w:r w:rsidRPr="0075684F">
              <w:rPr>
                <w:rFonts w:ascii="Times New Roman" w:hAnsi="Times New Roman" w:cs="Times New Roman"/>
                <w:color w:val="000000"/>
                <w:sz w:val="20"/>
                <w:szCs w:val="20"/>
              </w:rPr>
              <w:t>55</w:t>
            </w:r>
            <w:r w:rsidRPr="0075684F">
              <w:rPr>
                <w:rFonts w:ascii="Times New Roman" w:hAnsi="Times New Roman" w:cs="Times New Roman"/>
                <w:color w:val="000000"/>
                <w:sz w:val="20"/>
                <w:szCs w:val="20"/>
                <w:vertAlign w:val="superscript"/>
              </w:rPr>
              <w:t>**</w:t>
            </w:r>
            <w:r w:rsidRPr="0075684F">
              <w:rPr>
                <w:rFonts w:ascii="Times New Roman" w:hAnsi="Times New Roman" w:cs="Times New Roman"/>
                <w:color w:val="000000"/>
                <w:sz w:val="20"/>
                <w:szCs w:val="20"/>
              </w:rPr>
              <w:t xml:space="preserve">  </w:t>
            </w:r>
          </w:p>
        </w:tc>
        <w:tc>
          <w:tcPr>
            <w:tcW w:w="0" w:type="auto"/>
            <w:vAlign w:val="center"/>
          </w:tcPr>
          <w:p w14:paraId="4A1D0112" w14:textId="7D2831C7" w:rsidR="00B97C42" w:rsidRPr="0075684F" w:rsidRDefault="00B97C42" w:rsidP="008D0759">
            <w:pPr>
              <w:spacing w:line="276" w:lineRule="auto"/>
              <w:rPr>
                <w:rFonts w:ascii="Times New Roman" w:hAnsi="Times New Roman" w:cs="Times New Roman"/>
                <w:sz w:val="20"/>
                <w:szCs w:val="20"/>
              </w:rPr>
            </w:pPr>
            <w:r w:rsidRPr="0075684F">
              <w:rPr>
                <w:rFonts w:ascii="Times New Roman" w:hAnsi="Times New Roman" w:cs="Times New Roman"/>
                <w:color w:val="000000"/>
                <w:sz w:val="20"/>
                <w:szCs w:val="20"/>
              </w:rPr>
              <w:t xml:space="preserve"> 0</w:t>
            </w:r>
            <w:r w:rsidR="00AF682B" w:rsidRPr="0075684F">
              <w:rPr>
                <w:rFonts w:ascii="Times New Roman" w:hAnsi="Times New Roman" w:cs="Times New Roman"/>
                <w:color w:val="000000"/>
                <w:sz w:val="20"/>
                <w:szCs w:val="20"/>
              </w:rPr>
              <w:t>,</w:t>
            </w:r>
            <w:r w:rsidRPr="0075684F">
              <w:rPr>
                <w:rFonts w:ascii="Times New Roman" w:hAnsi="Times New Roman" w:cs="Times New Roman"/>
                <w:color w:val="000000"/>
                <w:sz w:val="20"/>
                <w:szCs w:val="20"/>
              </w:rPr>
              <w:t xml:space="preserve">31    </w:t>
            </w:r>
          </w:p>
        </w:tc>
        <w:tc>
          <w:tcPr>
            <w:tcW w:w="0" w:type="auto"/>
            <w:vAlign w:val="center"/>
          </w:tcPr>
          <w:p w14:paraId="55BEEA80" w14:textId="77777777" w:rsidR="00B97C42" w:rsidRPr="0075684F" w:rsidRDefault="00B97C42" w:rsidP="008D0759">
            <w:pPr>
              <w:spacing w:line="276" w:lineRule="auto"/>
              <w:rPr>
                <w:rFonts w:ascii="Times New Roman" w:hAnsi="Times New Roman" w:cs="Times New Roman"/>
                <w:sz w:val="20"/>
                <w:szCs w:val="20"/>
              </w:rPr>
            </w:pPr>
          </w:p>
        </w:tc>
        <w:tc>
          <w:tcPr>
            <w:tcW w:w="0" w:type="auto"/>
            <w:vAlign w:val="center"/>
          </w:tcPr>
          <w:p w14:paraId="18371DF9" w14:textId="77777777" w:rsidR="00B97C42" w:rsidRPr="0075684F" w:rsidRDefault="00B97C42" w:rsidP="008D0759">
            <w:pPr>
              <w:spacing w:line="276" w:lineRule="auto"/>
              <w:rPr>
                <w:rFonts w:ascii="Times New Roman" w:hAnsi="Times New Roman" w:cs="Times New Roman"/>
                <w:sz w:val="20"/>
                <w:szCs w:val="20"/>
              </w:rPr>
            </w:pPr>
          </w:p>
        </w:tc>
        <w:tc>
          <w:tcPr>
            <w:tcW w:w="0" w:type="auto"/>
            <w:vAlign w:val="center"/>
          </w:tcPr>
          <w:p w14:paraId="15859B66" w14:textId="77777777" w:rsidR="00B97C42" w:rsidRPr="0075684F" w:rsidRDefault="00B97C42" w:rsidP="008D0759">
            <w:pPr>
              <w:spacing w:line="276" w:lineRule="auto"/>
              <w:rPr>
                <w:rFonts w:ascii="Times New Roman" w:hAnsi="Times New Roman" w:cs="Times New Roman"/>
                <w:sz w:val="20"/>
                <w:szCs w:val="20"/>
              </w:rPr>
            </w:pPr>
          </w:p>
        </w:tc>
        <w:tc>
          <w:tcPr>
            <w:tcW w:w="0" w:type="auto"/>
            <w:vAlign w:val="center"/>
          </w:tcPr>
          <w:p w14:paraId="41A74589" w14:textId="77777777" w:rsidR="00B97C42" w:rsidRPr="0075684F" w:rsidRDefault="00B97C42" w:rsidP="008D0759">
            <w:pPr>
              <w:spacing w:line="276" w:lineRule="auto"/>
              <w:rPr>
                <w:rFonts w:ascii="Times New Roman" w:hAnsi="Times New Roman" w:cs="Times New Roman"/>
                <w:sz w:val="20"/>
                <w:szCs w:val="20"/>
              </w:rPr>
            </w:pPr>
          </w:p>
        </w:tc>
        <w:tc>
          <w:tcPr>
            <w:tcW w:w="0" w:type="auto"/>
            <w:vAlign w:val="center"/>
          </w:tcPr>
          <w:p w14:paraId="49237C6D" w14:textId="77777777" w:rsidR="00B97C42" w:rsidRPr="0075684F" w:rsidRDefault="00B97C42" w:rsidP="008D0759">
            <w:pPr>
              <w:spacing w:line="276" w:lineRule="auto"/>
              <w:rPr>
                <w:rFonts w:ascii="Times New Roman" w:hAnsi="Times New Roman" w:cs="Times New Roman"/>
                <w:sz w:val="20"/>
                <w:szCs w:val="20"/>
              </w:rPr>
            </w:pPr>
          </w:p>
        </w:tc>
        <w:tc>
          <w:tcPr>
            <w:tcW w:w="0" w:type="auto"/>
            <w:vAlign w:val="center"/>
          </w:tcPr>
          <w:p w14:paraId="71692B66" w14:textId="77777777" w:rsidR="00B97C42" w:rsidRPr="0075684F" w:rsidRDefault="00B97C42" w:rsidP="008D0759">
            <w:pPr>
              <w:spacing w:line="276" w:lineRule="auto"/>
              <w:rPr>
                <w:rFonts w:ascii="Times New Roman" w:hAnsi="Times New Roman" w:cs="Times New Roman"/>
                <w:sz w:val="20"/>
                <w:szCs w:val="20"/>
              </w:rPr>
            </w:pPr>
          </w:p>
        </w:tc>
        <w:tc>
          <w:tcPr>
            <w:tcW w:w="0" w:type="auto"/>
            <w:vAlign w:val="center"/>
          </w:tcPr>
          <w:p w14:paraId="6AB2E508" w14:textId="77777777" w:rsidR="00B97C42" w:rsidRPr="0075684F" w:rsidRDefault="00B97C42" w:rsidP="008D0759">
            <w:pPr>
              <w:spacing w:line="276" w:lineRule="auto"/>
              <w:rPr>
                <w:rFonts w:ascii="Times New Roman" w:hAnsi="Times New Roman" w:cs="Times New Roman"/>
                <w:sz w:val="20"/>
                <w:szCs w:val="20"/>
              </w:rPr>
            </w:pPr>
          </w:p>
        </w:tc>
      </w:tr>
      <w:tr w:rsidR="00B97C42" w:rsidRPr="0075684F" w14:paraId="683078E5" w14:textId="77777777" w:rsidTr="0075684F">
        <w:trPr>
          <w:trHeight w:val="355"/>
          <w:jc w:val="center"/>
        </w:trPr>
        <w:tc>
          <w:tcPr>
            <w:tcW w:w="0" w:type="auto"/>
            <w:vAlign w:val="center"/>
          </w:tcPr>
          <w:p w14:paraId="3F2FD965" w14:textId="67A803FE" w:rsidR="00B97C42" w:rsidRPr="0075684F" w:rsidRDefault="00B97C42" w:rsidP="008D0759">
            <w:pPr>
              <w:spacing w:line="276" w:lineRule="auto"/>
              <w:rPr>
                <w:rFonts w:ascii="Times New Roman" w:hAnsi="Times New Roman" w:cs="Times New Roman"/>
                <w:b/>
                <w:bCs/>
                <w:sz w:val="20"/>
                <w:szCs w:val="20"/>
              </w:rPr>
            </w:pPr>
            <w:r w:rsidRPr="0075684F">
              <w:rPr>
                <w:rFonts w:ascii="Times New Roman" w:hAnsi="Times New Roman" w:cs="Times New Roman"/>
                <w:b/>
                <w:bCs/>
                <w:color w:val="000000"/>
                <w:sz w:val="20"/>
                <w:szCs w:val="20"/>
              </w:rPr>
              <w:t>FİGM</w:t>
            </w:r>
          </w:p>
        </w:tc>
        <w:tc>
          <w:tcPr>
            <w:tcW w:w="0" w:type="auto"/>
            <w:vAlign w:val="center"/>
          </w:tcPr>
          <w:p w14:paraId="29B3DC52" w14:textId="54030367" w:rsidR="00B97C42" w:rsidRPr="0075684F" w:rsidRDefault="00B97C42" w:rsidP="008D0759">
            <w:pPr>
              <w:spacing w:line="276" w:lineRule="auto"/>
              <w:rPr>
                <w:rFonts w:ascii="Times New Roman" w:hAnsi="Times New Roman" w:cs="Times New Roman"/>
                <w:sz w:val="20"/>
                <w:szCs w:val="20"/>
              </w:rPr>
            </w:pPr>
            <w:r w:rsidRPr="0075684F">
              <w:rPr>
                <w:rFonts w:ascii="Times New Roman" w:hAnsi="Times New Roman" w:cs="Times New Roman"/>
                <w:color w:val="000000"/>
                <w:sz w:val="20"/>
                <w:szCs w:val="20"/>
              </w:rPr>
              <w:t xml:space="preserve"> 0</w:t>
            </w:r>
            <w:r w:rsidR="00AF682B" w:rsidRPr="0075684F">
              <w:rPr>
                <w:rFonts w:ascii="Times New Roman" w:hAnsi="Times New Roman" w:cs="Times New Roman"/>
                <w:color w:val="000000"/>
                <w:sz w:val="20"/>
                <w:szCs w:val="20"/>
              </w:rPr>
              <w:t>,</w:t>
            </w:r>
            <w:r w:rsidRPr="0075684F">
              <w:rPr>
                <w:rFonts w:ascii="Times New Roman" w:hAnsi="Times New Roman" w:cs="Times New Roman"/>
                <w:color w:val="000000"/>
                <w:sz w:val="20"/>
                <w:szCs w:val="20"/>
              </w:rPr>
              <w:t xml:space="preserve">04    </w:t>
            </w:r>
          </w:p>
        </w:tc>
        <w:tc>
          <w:tcPr>
            <w:tcW w:w="0" w:type="auto"/>
            <w:vAlign w:val="center"/>
          </w:tcPr>
          <w:p w14:paraId="74180D74" w14:textId="167696BE" w:rsidR="00B97C42" w:rsidRPr="0075684F" w:rsidRDefault="00B97C42" w:rsidP="008D0759">
            <w:pPr>
              <w:spacing w:line="276" w:lineRule="auto"/>
              <w:rPr>
                <w:rFonts w:ascii="Times New Roman" w:hAnsi="Times New Roman" w:cs="Times New Roman"/>
                <w:sz w:val="20"/>
                <w:szCs w:val="20"/>
              </w:rPr>
            </w:pPr>
            <w:r w:rsidRPr="0075684F">
              <w:rPr>
                <w:rFonts w:ascii="Times New Roman" w:hAnsi="Times New Roman" w:cs="Times New Roman"/>
                <w:color w:val="000000"/>
                <w:sz w:val="20"/>
                <w:szCs w:val="20"/>
              </w:rPr>
              <w:t xml:space="preserve"> 0</w:t>
            </w:r>
            <w:r w:rsidR="00AF682B" w:rsidRPr="0075684F">
              <w:rPr>
                <w:rFonts w:ascii="Times New Roman" w:hAnsi="Times New Roman" w:cs="Times New Roman"/>
                <w:color w:val="000000"/>
                <w:sz w:val="20"/>
                <w:szCs w:val="20"/>
              </w:rPr>
              <w:t>,</w:t>
            </w:r>
            <w:r w:rsidRPr="0075684F">
              <w:rPr>
                <w:rFonts w:ascii="Times New Roman" w:hAnsi="Times New Roman" w:cs="Times New Roman"/>
                <w:color w:val="000000"/>
                <w:sz w:val="20"/>
                <w:szCs w:val="20"/>
              </w:rPr>
              <w:t>42</w:t>
            </w:r>
            <w:r w:rsidRPr="0075684F">
              <w:rPr>
                <w:rFonts w:ascii="Times New Roman" w:hAnsi="Times New Roman" w:cs="Times New Roman"/>
                <w:color w:val="000000"/>
                <w:sz w:val="20"/>
                <w:szCs w:val="20"/>
                <w:vertAlign w:val="superscript"/>
              </w:rPr>
              <w:t>*</w:t>
            </w:r>
            <w:r w:rsidRPr="0075684F">
              <w:rPr>
                <w:rFonts w:ascii="Times New Roman" w:hAnsi="Times New Roman" w:cs="Times New Roman"/>
                <w:color w:val="000000"/>
                <w:sz w:val="20"/>
                <w:szCs w:val="20"/>
              </w:rPr>
              <w:t xml:space="preserve">   </w:t>
            </w:r>
          </w:p>
        </w:tc>
        <w:tc>
          <w:tcPr>
            <w:tcW w:w="0" w:type="auto"/>
            <w:vAlign w:val="center"/>
          </w:tcPr>
          <w:p w14:paraId="59C908E9" w14:textId="31458D5A" w:rsidR="00B97C42" w:rsidRPr="0075684F" w:rsidRDefault="00B97C42" w:rsidP="008D0759">
            <w:pPr>
              <w:spacing w:line="276" w:lineRule="auto"/>
              <w:rPr>
                <w:rFonts w:ascii="Times New Roman" w:hAnsi="Times New Roman" w:cs="Times New Roman"/>
                <w:sz w:val="20"/>
                <w:szCs w:val="20"/>
              </w:rPr>
            </w:pPr>
            <w:r w:rsidRPr="0075684F">
              <w:rPr>
                <w:rFonts w:ascii="Times New Roman" w:hAnsi="Times New Roman" w:cs="Times New Roman"/>
                <w:color w:val="000000"/>
                <w:sz w:val="20"/>
                <w:szCs w:val="20"/>
              </w:rPr>
              <w:t xml:space="preserve"> 0</w:t>
            </w:r>
            <w:r w:rsidR="00AF682B" w:rsidRPr="0075684F">
              <w:rPr>
                <w:rFonts w:ascii="Times New Roman" w:hAnsi="Times New Roman" w:cs="Times New Roman"/>
                <w:color w:val="000000"/>
                <w:sz w:val="20"/>
                <w:szCs w:val="20"/>
              </w:rPr>
              <w:t>,</w:t>
            </w:r>
            <w:r w:rsidRPr="0075684F">
              <w:rPr>
                <w:rFonts w:ascii="Times New Roman" w:hAnsi="Times New Roman" w:cs="Times New Roman"/>
                <w:color w:val="000000"/>
                <w:sz w:val="20"/>
                <w:szCs w:val="20"/>
              </w:rPr>
              <w:t>59</w:t>
            </w:r>
            <w:r w:rsidRPr="0075684F">
              <w:rPr>
                <w:rFonts w:ascii="Times New Roman" w:hAnsi="Times New Roman" w:cs="Times New Roman"/>
                <w:color w:val="000000"/>
                <w:sz w:val="20"/>
                <w:szCs w:val="20"/>
                <w:vertAlign w:val="superscript"/>
              </w:rPr>
              <w:t>**</w:t>
            </w:r>
            <w:r w:rsidRPr="0075684F">
              <w:rPr>
                <w:rFonts w:ascii="Times New Roman" w:hAnsi="Times New Roman" w:cs="Times New Roman"/>
                <w:color w:val="000000"/>
                <w:sz w:val="20"/>
                <w:szCs w:val="20"/>
              </w:rPr>
              <w:t xml:space="preserve">  </w:t>
            </w:r>
          </w:p>
        </w:tc>
        <w:tc>
          <w:tcPr>
            <w:tcW w:w="0" w:type="auto"/>
            <w:vAlign w:val="center"/>
          </w:tcPr>
          <w:p w14:paraId="1067B088" w14:textId="77777777" w:rsidR="00B97C42" w:rsidRPr="0075684F" w:rsidRDefault="00B97C42" w:rsidP="008D0759">
            <w:pPr>
              <w:spacing w:line="276" w:lineRule="auto"/>
              <w:rPr>
                <w:rFonts w:ascii="Times New Roman" w:hAnsi="Times New Roman" w:cs="Times New Roman"/>
                <w:sz w:val="20"/>
                <w:szCs w:val="20"/>
              </w:rPr>
            </w:pPr>
          </w:p>
        </w:tc>
        <w:tc>
          <w:tcPr>
            <w:tcW w:w="0" w:type="auto"/>
            <w:vAlign w:val="center"/>
          </w:tcPr>
          <w:p w14:paraId="74EC1BBB" w14:textId="77777777" w:rsidR="00B97C42" w:rsidRPr="0075684F" w:rsidRDefault="00B97C42" w:rsidP="008D0759">
            <w:pPr>
              <w:spacing w:line="276" w:lineRule="auto"/>
              <w:rPr>
                <w:rFonts w:ascii="Times New Roman" w:hAnsi="Times New Roman" w:cs="Times New Roman"/>
                <w:sz w:val="20"/>
                <w:szCs w:val="20"/>
              </w:rPr>
            </w:pPr>
          </w:p>
        </w:tc>
        <w:tc>
          <w:tcPr>
            <w:tcW w:w="0" w:type="auto"/>
            <w:vAlign w:val="center"/>
          </w:tcPr>
          <w:p w14:paraId="20F0DC55" w14:textId="77777777" w:rsidR="00B97C42" w:rsidRPr="0075684F" w:rsidRDefault="00B97C42" w:rsidP="008D0759">
            <w:pPr>
              <w:spacing w:line="276" w:lineRule="auto"/>
              <w:rPr>
                <w:rFonts w:ascii="Times New Roman" w:hAnsi="Times New Roman" w:cs="Times New Roman"/>
                <w:sz w:val="20"/>
                <w:szCs w:val="20"/>
              </w:rPr>
            </w:pPr>
          </w:p>
        </w:tc>
        <w:tc>
          <w:tcPr>
            <w:tcW w:w="0" w:type="auto"/>
            <w:vAlign w:val="center"/>
          </w:tcPr>
          <w:p w14:paraId="5341650C" w14:textId="77777777" w:rsidR="00B97C42" w:rsidRPr="0075684F" w:rsidRDefault="00B97C42" w:rsidP="008D0759">
            <w:pPr>
              <w:spacing w:line="276" w:lineRule="auto"/>
              <w:rPr>
                <w:rFonts w:ascii="Times New Roman" w:hAnsi="Times New Roman" w:cs="Times New Roman"/>
                <w:sz w:val="20"/>
                <w:szCs w:val="20"/>
              </w:rPr>
            </w:pPr>
          </w:p>
        </w:tc>
        <w:tc>
          <w:tcPr>
            <w:tcW w:w="0" w:type="auto"/>
            <w:vAlign w:val="center"/>
          </w:tcPr>
          <w:p w14:paraId="0ECE51BB" w14:textId="77777777" w:rsidR="00B97C42" w:rsidRPr="0075684F" w:rsidRDefault="00B97C42" w:rsidP="008D0759">
            <w:pPr>
              <w:spacing w:line="276" w:lineRule="auto"/>
              <w:rPr>
                <w:rFonts w:ascii="Times New Roman" w:hAnsi="Times New Roman" w:cs="Times New Roman"/>
                <w:sz w:val="20"/>
                <w:szCs w:val="20"/>
              </w:rPr>
            </w:pPr>
          </w:p>
        </w:tc>
        <w:tc>
          <w:tcPr>
            <w:tcW w:w="0" w:type="auto"/>
            <w:vAlign w:val="center"/>
          </w:tcPr>
          <w:p w14:paraId="1C223AA4" w14:textId="77777777" w:rsidR="00B97C42" w:rsidRPr="0075684F" w:rsidRDefault="00B97C42" w:rsidP="008D0759">
            <w:pPr>
              <w:spacing w:line="276" w:lineRule="auto"/>
              <w:rPr>
                <w:rFonts w:ascii="Times New Roman" w:hAnsi="Times New Roman" w:cs="Times New Roman"/>
                <w:sz w:val="20"/>
                <w:szCs w:val="20"/>
              </w:rPr>
            </w:pPr>
          </w:p>
        </w:tc>
      </w:tr>
      <w:tr w:rsidR="00B97C42" w:rsidRPr="0075684F" w14:paraId="4B151C36" w14:textId="77777777" w:rsidTr="0075684F">
        <w:trPr>
          <w:trHeight w:val="355"/>
          <w:jc w:val="center"/>
        </w:trPr>
        <w:tc>
          <w:tcPr>
            <w:tcW w:w="0" w:type="auto"/>
            <w:vAlign w:val="center"/>
          </w:tcPr>
          <w:p w14:paraId="269AE8CC" w14:textId="2072272E" w:rsidR="00B97C42" w:rsidRPr="0075684F" w:rsidRDefault="00B97C42" w:rsidP="008D0759">
            <w:pPr>
              <w:spacing w:line="276" w:lineRule="auto"/>
              <w:rPr>
                <w:rFonts w:ascii="Times New Roman" w:hAnsi="Times New Roman" w:cs="Times New Roman"/>
                <w:b/>
                <w:bCs/>
                <w:sz w:val="20"/>
                <w:szCs w:val="20"/>
              </w:rPr>
            </w:pPr>
            <w:r w:rsidRPr="0075684F">
              <w:rPr>
                <w:rFonts w:ascii="Times New Roman" w:hAnsi="Times New Roman" w:cs="Times New Roman"/>
                <w:b/>
                <w:bCs/>
                <w:color w:val="000000"/>
                <w:sz w:val="20"/>
                <w:szCs w:val="20"/>
              </w:rPr>
              <w:t>İMA</w:t>
            </w:r>
          </w:p>
        </w:tc>
        <w:tc>
          <w:tcPr>
            <w:tcW w:w="0" w:type="auto"/>
            <w:vAlign w:val="center"/>
          </w:tcPr>
          <w:p w14:paraId="1FE19A66" w14:textId="166800C0" w:rsidR="00B97C42" w:rsidRPr="0075684F" w:rsidRDefault="00B97C42" w:rsidP="008D0759">
            <w:pPr>
              <w:spacing w:line="276" w:lineRule="auto"/>
              <w:rPr>
                <w:rFonts w:ascii="Times New Roman" w:hAnsi="Times New Roman" w:cs="Times New Roman"/>
                <w:sz w:val="20"/>
                <w:szCs w:val="20"/>
              </w:rPr>
            </w:pPr>
            <w:r w:rsidRPr="0075684F">
              <w:rPr>
                <w:rFonts w:ascii="Times New Roman" w:hAnsi="Times New Roman" w:cs="Times New Roman"/>
                <w:color w:val="000000"/>
                <w:sz w:val="20"/>
                <w:szCs w:val="20"/>
              </w:rPr>
              <w:t>-0</w:t>
            </w:r>
            <w:r w:rsidR="00AF682B" w:rsidRPr="0075684F">
              <w:rPr>
                <w:rFonts w:ascii="Times New Roman" w:hAnsi="Times New Roman" w:cs="Times New Roman"/>
                <w:color w:val="000000"/>
                <w:sz w:val="20"/>
                <w:szCs w:val="20"/>
              </w:rPr>
              <w:t>,</w:t>
            </w:r>
            <w:r w:rsidRPr="0075684F">
              <w:rPr>
                <w:rFonts w:ascii="Times New Roman" w:hAnsi="Times New Roman" w:cs="Times New Roman"/>
                <w:color w:val="000000"/>
                <w:sz w:val="20"/>
                <w:szCs w:val="20"/>
              </w:rPr>
              <w:t xml:space="preserve">26    </w:t>
            </w:r>
          </w:p>
        </w:tc>
        <w:tc>
          <w:tcPr>
            <w:tcW w:w="0" w:type="auto"/>
            <w:vAlign w:val="center"/>
          </w:tcPr>
          <w:p w14:paraId="2CED0F0D" w14:textId="7FECE170" w:rsidR="00B97C42" w:rsidRPr="0075684F" w:rsidRDefault="00B97C42" w:rsidP="008D0759">
            <w:pPr>
              <w:spacing w:line="276" w:lineRule="auto"/>
              <w:rPr>
                <w:rFonts w:ascii="Times New Roman" w:hAnsi="Times New Roman" w:cs="Times New Roman"/>
                <w:sz w:val="20"/>
                <w:szCs w:val="20"/>
              </w:rPr>
            </w:pPr>
            <w:r w:rsidRPr="0075684F">
              <w:rPr>
                <w:rFonts w:ascii="Times New Roman" w:hAnsi="Times New Roman" w:cs="Times New Roman"/>
                <w:color w:val="000000"/>
                <w:sz w:val="20"/>
                <w:szCs w:val="20"/>
              </w:rPr>
              <w:t>-0</w:t>
            </w:r>
            <w:r w:rsidR="00AF682B" w:rsidRPr="0075684F">
              <w:rPr>
                <w:rFonts w:ascii="Times New Roman" w:hAnsi="Times New Roman" w:cs="Times New Roman"/>
                <w:color w:val="000000"/>
                <w:sz w:val="20"/>
                <w:szCs w:val="20"/>
              </w:rPr>
              <w:t>,</w:t>
            </w:r>
            <w:r w:rsidRPr="0075684F">
              <w:rPr>
                <w:rFonts w:ascii="Times New Roman" w:hAnsi="Times New Roman" w:cs="Times New Roman"/>
                <w:color w:val="000000"/>
                <w:sz w:val="20"/>
                <w:szCs w:val="20"/>
              </w:rPr>
              <w:t>74</w:t>
            </w:r>
            <w:r w:rsidRPr="0075684F">
              <w:rPr>
                <w:rFonts w:ascii="Times New Roman" w:hAnsi="Times New Roman" w:cs="Times New Roman"/>
                <w:color w:val="000000"/>
                <w:sz w:val="20"/>
                <w:szCs w:val="20"/>
                <w:vertAlign w:val="superscript"/>
              </w:rPr>
              <w:t>****</w:t>
            </w:r>
          </w:p>
        </w:tc>
        <w:tc>
          <w:tcPr>
            <w:tcW w:w="0" w:type="auto"/>
            <w:vAlign w:val="center"/>
          </w:tcPr>
          <w:p w14:paraId="1D6730F4" w14:textId="130C6AAE" w:rsidR="00B97C42" w:rsidRPr="0075684F" w:rsidRDefault="00B97C42" w:rsidP="008D0759">
            <w:pPr>
              <w:spacing w:line="276" w:lineRule="auto"/>
              <w:rPr>
                <w:rFonts w:ascii="Times New Roman" w:hAnsi="Times New Roman" w:cs="Times New Roman"/>
                <w:sz w:val="20"/>
                <w:szCs w:val="20"/>
              </w:rPr>
            </w:pPr>
            <w:r w:rsidRPr="0075684F">
              <w:rPr>
                <w:rFonts w:ascii="Times New Roman" w:hAnsi="Times New Roman" w:cs="Times New Roman"/>
                <w:color w:val="000000"/>
                <w:sz w:val="20"/>
                <w:szCs w:val="20"/>
              </w:rPr>
              <w:t>-0</w:t>
            </w:r>
            <w:r w:rsidR="00AF682B" w:rsidRPr="0075684F">
              <w:rPr>
                <w:rFonts w:ascii="Times New Roman" w:hAnsi="Times New Roman" w:cs="Times New Roman"/>
                <w:color w:val="000000"/>
                <w:sz w:val="20"/>
                <w:szCs w:val="20"/>
              </w:rPr>
              <w:t>,</w:t>
            </w:r>
            <w:r w:rsidRPr="0075684F">
              <w:rPr>
                <w:rFonts w:ascii="Times New Roman" w:hAnsi="Times New Roman" w:cs="Times New Roman"/>
                <w:color w:val="000000"/>
                <w:sz w:val="20"/>
                <w:szCs w:val="20"/>
              </w:rPr>
              <w:t>68</w:t>
            </w:r>
            <w:r w:rsidRPr="0075684F">
              <w:rPr>
                <w:rFonts w:ascii="Times New Roman" w:hAnsi="Times New Roman" w:cs="Times New Roman"/>
                <w:color w:val="000000"/>
                <w:sz w:val="20"/>
                <w:szCs w:val="20"/>
                <w:vertAlign w:val="superscript"/>
              </w:rPr>
              <w:t>***</w:t>
            </w:r>
            <w:r w:rsidRPr="0075684F">
              <w:rPr>
                <w:rFonts w:ascii="Times New Roman" w:hAnsi="Times New Roman" w:cs="Times New Roman"/>
                <w:color w:val="000000"/>
                <w:sz w:val="20"/>
                <w:szCs w:val="20"/>
              </w:rPr>
              <w:t xml:space="preserve"> </w:t>
            </w:r>
          </w:p>
        </w:tc>
        <w:tc>
          <w:tcPr>
            <w:tcW w:w="0" w:type="auto"/>
            <w:vAlign w:val="center"/>
          </w:tcPr>
          <w:p w14:paraId="1ACDC235" w14:textId="6DF3017F" w:rsidR="00B97C42" w:rsidRPr="0075684F" w:rsidRDefault="00B97C42" w:rsidP="008D0759">
            <w:pPr>
              <w:spacing w:line="276" w:lineRule="auto"/>
              <w:rPr>
                <w:rFonts w:ascii="Times New Roman" w:hAnsi="Times New Roman" w:cs="Times New Roman"/>
                <w:sz w:val="20"/>
                <w:szCs w:val="20"/>
              </w:rPr>
            </w:pPr>
            <w:r w:rsidRPr="0075684F">
              <w:rPr>
                <w:rFonts w:ascii="Times New Roman" w:hAnsi="Times New Roman" w:cs="Times New Roman"/>
                <w:color w:val="000000"/>
                <w:sz w:val="20"/>
                <w:szCs w:val="20"/>
              </w:rPr>
              <w:t>-0</w:t>
            </w:r>
            <w:r w:rsidR="00AF682B" w:rsidRPr="0075684F">
              <w:rPr>
                <w:rFonts w:ascii="Times New Roman" w:hAnsi="Times New Roman" w:cs="Times New Roman"/>
                <w:color w:val="000000"/>
                <w:sz w:val="20"/>
                <w:szCs w:val="20"/>
              </w:rPr>
              <w:t>,</w:t>
            </w:r>
            <w:r w:rsidRPr="0075684F">
              <w:rPr>
                <w:rFonts w:ascii="Times New Roman" w:hAnsi="Times New Roman" w:cs="Times New Roman"/>
                <w:color w:val="000000"/>
                <w:sz w:val="20"/>
                <w:szCs w:val="20"/>
              </w:rPr>
              <w:t>82</w:t>
            </w:r>
            <w:r w:rsidRPr="0075684F">
              <w:rPr>
                <w:rFonts w:ascii="Times New Roman" w:hAnsi="Times New Roman" w:cs="Times New Roman"/>
                <w:color w:val="000000"/>
                <w:sz w:val="20"/>
                <w:szCs w:val="20"/>
                <w:vertAlign w:val="superscript"/>
              </w:rPr>
              <w:t>****</w:t>
            </w:r>
          </w:p>
        </w:tc>
        <w:tc>
          <w:tcPr>
            <w:tcW w:w="0" w:type="auto"/>
            <w:vAlign w:val="center"/>
          </w:tcPr>
          <w:p w14:paraId="62A01C41" w14:textId="77777777" w:rsidR="00B97C42" w:rsidRPr="0075684F" w:rsidRDefault="00B97C42" w:rsidP="008D0759">
            <w:pPr>
              <w:spacing w:line="276" w:lineRule="auto"/>
              <w:rPr>
                <w:rFonts w:ascii="Times New Roman" w:hAnsi="Times New Roman" w:cs="Times New Roman"/>
                <w:sz w:val="20"/>
                <w:szCs w:val="20"/>
              </w:rPr>
            </w:pPr>
          </w:p>
        </w:tc>
        <w:tc>
          <w:tcPr>
            <w:tcW w:w="0" w:type="auto"/>
            <w:vAlign w:val="center"/>
          </w:tcPr>
          <w:p w14:paraId="3368E1E0" w14:textId="77777777" w:rsidR="00B97C42" w:rsidRPr="0075684F" w:rsidRDefault="00B97C42" w:rsidP="008D0759">
            <w:pPr>
              <w:spacing w:line="276" w:lineRule="auto"/>
              <w:rPr>
                <w:rFonts w:ascii="Times New Roman" w:hAnsi="Times New Roman" w:cs="Times New Roman"/>
                <w:sz w:val="20"/>
                <w:szCs w:val="20"/>
              </w:rPr>
            </w:pPr>
          </w:p>
        </w:tc>
        <w:tc>
          <w:tcPr>
            <w:tcW w:w="0" w:type="auto"/>
            <w:vAlign w:val="center"/>
          </w:tcPr>
          <w:p w14:paraId="59AE164E" w14:textId="77777777" w:rsidR="00B97C42" w:rsidRPr="0075684F" w:rsidRDefault="00B97C42" w:rsidP="008D0759">
            <w:pPr>
              <w:spacing w:line="276" w:lineRule="auto"/>
              <w:rPr>
                <w:rFonts w:ascii="Times New Roman" w:hAnsi="Times New Roman" w:cs="Times New Roman"/>
                <w:sz w:val="20"/>
                <w:szCs w:val="20"/>
              </w:rPr>
            </w:pPr>
          </w:p>
        </w:tc>
        <w:tc>
          <w:tcPr>
            <w:tcW w:w="0" w:type="auto"/>
            <w:vAlign w:val="center"/>
          </w:tcPr>
          <w:p w14:paraId="069A9691" w14:textId="77777777" w:rsidR="00B97C42" w:rsidRPr="0075684F" w:rsidRDefault="00B97C42" w:rsidP="008D0759">
            <w:pPr>
              <w:spacing w:line="276" w:lineRule="auto"/>
              <w:rPr>
                <w:rFonts w:ascii="Times New Roman" w:hAnsi="Times New Roman" w:cs="Times New Roman"/>
                <w:sz w:val="20"/>
                <w:szCs w:val="20"/>
              </w:rPr>
            </w:pPr>
          </w:p>
        </w:tc>
        <w:tc>
          <w:tcPr>
            <w:tcW w:w="0" w:type="auto"/>
            <w:vAlign w:val="center"/>
          </w:tcPr>
          <w:p w14:paraId="738EDF30" w14:textId="77777777" w:rsidR="00B97C42" w:rsidRPr="0075684F" w:rsidRDefault="00B97C42" w:rsidP="008D0759">
            <w:pPr>
              <w:spacing w:line="276" w:lineRule="auto"/>
              <w:rPr>
                <w:rFonts w:ascii="Times New Roman" w:hAnsi="Times New Roman" w:cs="Times New Roman"/>
                <w:sz w:val="20"/>
                <w:szCs w:val="20"/>
              </w:rPr>
            </w:pPr>
          </w:p>
        </w:tc>
      </w:tr>
      <w:tr w:rsidR="00B97C42" w:rsidRPr="0075684F" w14:paraId="3B53134C" w14:textId="77777777" w:rsidTr="0075684F">
        <w:trPr>
          <w:trHeight w:val="355"/>
          <w:jc w:val="center"/>
        </w:trPr>
        <w:tc>
          <w:tcPr>
            <w:tcW w:w="0" w:type="auto"/>
            <w:vAlign w:val="center"/>
          </w:tcPr>
          <w:p w14:paraId="03E8337D" w14:textId="0140FD7C" w:rsidR="00B97C42" w:rsidRPr="0075684F" w:rsidRDefault="00B97C42" w:rsidP="008D0759">
            <w:pPr>
              <w:spacing w:line="276" w:lineRule="auto"/>
              <w:rPr>
                <w:rFonts w:ascii="Times New Roman" w:hAnsi="Times New Roman" w:cs="Times New Roman"/>
                <w:b/>
                <w:bCs/>
                <w:sz w:val="20"/>
                <w:szCs w:val="20"/>
              </w:rPr>
            </w:pPr>
            <w:r w:rsidRPr="0075684F">
              <w:rPr>
                <w:rFonts w:ascii="Times New Roman" w:hAnsi="Times New Roman" w:cs="Times New Roman"/>
                <w:b/>
                <w:bCs/>
                <w:color w:val="000000"/>
                <w:sz w:val="20"/>
                <w:szCs w:val="20"/>
              </w:rPr>
              <w:t>MAD</w:t>
            </w:r>
          </w:p>
        </w:tc>
        <w:tc>
          <w:tcPr>
            <w:tcW w:w="0" w:type="auto"/>
            <w:vAlign w:val="center"/>
          </w:tcPr>
          <w:p w14:paraId="7E0BFD27" w14:textId="2ED20AAC" w:rsidR="00B97C42" w:rsidRPr="0075684F" w:rsidRDefault="00B97C42" w:rsidP="008D0759">
            <w:pPr>
              <w:spacing w:line="276" w:lineRule="auto"/>
              <w:rPr>
                <w:rFonts w:ascii="Times New Roman" w:hAnsi="Times New Roman" w:cs="Times New Roman"/>
                <w:sz w:val="20"/>
                <w:szCs w:val="20"/>
              </w:rPr>
            </w:pPr>
            <w:r w:rsidRPr="0075684F">
              <w:rPr>
                <w:rFonts w:ascii="Times New Roman" w:hAnsi="Times New Roman" w:cs="Times New Roman"/>
                <w:color w:val="000000"/>
                <w:sz w:val="20"/>
                <w:szCs w:val="20"/>
              </w:rPr>
              <w:t xml:space="preserve"> 0</w:t>
            </w:r>
            <w:r w:rsidR="00AF682B" w:rsidRPr="0075684F">
              <w:rPr>
                <w:rFonts w:ascii="Times New Roman" w:hAnsi="Times New Roman" w:cs="Times New Roman"/>
                <w:color w:val="000000"/>
                <w:sz w:val="20"/>
                <w:szCs w:val="20"/>
              </w:rPr>
              <w:t>,</w:t>
            </w:r>
            <w:r w:rsidRPr="0075684F">
              <w:rPr>
                <w:rFonts w:ascii="Times New Roman" w:hAnsi="Times New Roman" w:cs="Times New Roman"/>
                <w:color w:val="000000"/>
                <w:sz w:val="20"/>
                <w:szCs w:val="20"/>
              </w:rPr>
              <w:t>58</w:t>
            </w:r>
            <w:r w:rsidRPr="0075684F">
              <w:rPr>
                <w:rFonts w:ascii="Times New Roman" w:hAnsi="Times New Roman" w:cs="Times New Roman"/>
                <w:color w:val="000000"/>
                <w:sz w:val="20"/>
                <w:szCs w:val="20"/>
                <w:vertAlign w:val="superscript"/>
              </w:rPr>
              <w:t>**</w:t>
            </w:r>
            <w:r w:rsidRPr="0075684F">
              <w:rPr>
                <w:rFonts w:ascii="Times New Roman" w:hAnsi="Times New Roman" w:cs="Times New Roman"/>
                <w:color w:val="000000"/>
                <w:sz w:val="20"/>
                <w:szCs w:val="20"/>
              </w:rPr>
              <w:t xml:space="preserve">  </w:t>
            </w:r>
          </w:p>
        </w:tc>
        <w:tc>
          <w:tcPr>
            <w:tcW w:w="0" w:type="auto"/>
            <w:vAlign w:val="center"/>
          </w:tcPr>
          <w:p w14:paraId="2CFBAA98" w14:textId="79C38EA5" w:rsidR="00B97C42" w:rsidRPr="0075684F" w:rsidRDefault="00B97C42" w:rsidP="008D0759">
            <w:pPr>
              <w:spacing w:line="276" w:lineRule="auto"/>
              <w:rPr>
                <w:rFonts w:ascii="Times New Roman" w:hAnsi="Times New Roman" w:cs="Times New Roman"/>
                <w:sz w:val="20"/>
                <w:szCs w:val="20"/>
              </w:rPr>
            </w:pPr>
            <w:r w:rsidRPr="0075684F">
              <w:rPr>
                <w:rFonts w:ascii="Times New Roman" w:hAnsi="Times New Roman" w:cs="Times New Roman"/>
                <w:color w:val="000000"/>
                <w:sz w:val="20"/>
                <w:szCs w:val="20"/>
              </w:rPr>
              <w:t xml:space="preserve"> 0</w:t>
            </w:r>
            <w:r w:rsidR="00AF682B" w:rsidRPr="0075684F">
              <w:rPr>
                <w:rFonts w:ascii="Times New Roman" w:hAnsi="Times New Roman" w:cs="Times New Roman"/>
                <w:color w:val="000000"/>
                <w:sz w:val="20"/>
                <w:szCs w:val="20"/>
              </w:rPr>
              <w:t>,</w:t>
            </w:r>
            <w:r w:rsidRPr="0075684F">
              <w:rPr>
                <w:rFonts w:ascii="Times New Roman" w:hAnsi="Times New Roman" w:cs="Times New Roman"/>
                <w:color w:val="000000"/>
                <w:sz w:val="20"/>
                <w:szCs w:val="20"/>
              </w:rPr>
              <w:t xml:space="preserve">09    </w:t>
            </w:r>
          </w:p>
        </w:tc>
        <w:tc>
          <w:tcPr>
            <w:tcW w:w="0" w:type="auto"/>
            <w:vAlign w:val="center"/>
          </w:tcPr>
          <w:p w14:paraId="4DCC5293" w14:textId="7EF13F88" w:rsidR="00B97C42" w:rsidRPr="0075684F" w:rsidRDefault="00B97C42" w:rsidP="008D0759">
            <w:pPr>
              <w:spacing w:line="276" w:lineRule="auto"/>
              <w:rPr>
                <w:rFonts w:ascii="Times New Roman" w:hAnsi="Times New Roman" w:cs="Times New Roman"/>
                <w:sz w:val="20"/>
                <w:szCs w:val="20"/>
              </w:rPr>
            </w:pPr>
            <w:r w:rsidRPr="0075684F">
              <w:rPr>
                <w:rFonts w:ascii="Times New Roman" w:hAnsi="Times New Roman" w:cs="Times New Roman"/>
                <w:color w:val="000000"/>
                <w:sz w:val="20"/>
                <w:szCs w:val="20"/>
              </w:rPr>
              <w:t xml:space="preserve"> 0</w:t>
            </w:r>
            <w:r w:rsidR="00AF682B" w:rsidRPr="0075684F">
              <w:rPr>
                <w:rFonts w:ascii="Times New Roman" w:hAnsi="Times New Roman" w:cs="Times New Roman"/>
                <w:color w:val="000000"/>
                <w:sz w:val="20"/>
                <w:szCs w:val="20"/>
              </w:rPr>
              <w:t>,</w:t>
            </w:r>
            <w:r w:rsidRPr="0075684F">
              <w:rPr>
                <w:rFonts w:ascii="Times New Roman" w:hAnsi="Times New Roman" w:cs="Times New Roman"/>
                <w:color w:val="000000"/>
                <w:sz w:val="20"/>
                <w:szCs w:val="20"/>
              </w:rPr>
              <w:t xml:space="preserve">13    </w:t>
            </w:r>
          </w:p>
        </w:tc>
        <w:tc>
          <w:tcPr>
            <w:tcW w:w="0" w:type="auto"/>
            <w:vAlign w:val="center"/>
          </w:tcPr>
          <w:p w14:paraId="3288A493" w14:textId="30EB99C4" w:rsidR="00B97C42" w:rsidRPr="0075684F" w:rsidRDefault="00B97C42" w:rsidP="008D0759">
            <w:pPr>
              <w:spacing w:line="276" w:lineRule="auto"/>
              <w:rPr>
                <w:rFonts w:ascii="Times New Roman" w:hAnsi="Times New Roman" w:cs="Times New Roman"/>
                <w:sz w:val="20"/>
                <w:szCs w:val="20"/>
              </w:rPr>
            </w:pPr>
            <w:r w:rsidRPr="0075684F">
              <w:rPr>
                <w:rFonts w:ascii="Times New Roman" w:hAnsi="Times New Roman" w:cs="Times New Roman"/>
                <w:color w:val="000000"/>
                <w:sz w:val="20"/>
                <w:szCs w:val="20"/>
              </w:rPr>
              <w:t>-0</w:t>
            </w:r>
            <w:r w:rsidR="00AF682B" w:rsidRPr="0075684F">
              <w:rPr>
                <w:rFonts w:ascii="Times New Roman" w:hAnsi="Times New Roman" w:cs="Times New Roman"/>
                <w:color w:val="000000"/>
                <w:sz w:val="20"/>
                <w:szCs w:val="20"/>
              </w:rPr>
              <w:t>,</w:t>
            </w:r>
            <w:r w:rsidRPr="0075684F">
              <w:rPr>
                <w:rFonts w:ascii="Times New Roman" w:hAnsi="Times New Roman" w:cs="Times New Roman"/>
                <w:color w:val="000000"/>
                <w:sz w:val="20"/>
                <w:szCs w:val="20"/>
              </w:rPr>
              <w:t xml:space="preserve">23    </w:t>
            </w:r>
          </w:p>
        </w:tc>
        <w:tc>
          <w:tcPr>
            <w:tcW w:w="0" w:type="auto"/>
            <w:vAlign w:val="center"/>
          </w:tcPr>
          <w:p w14:paraId="3F1E66B5" w14:textId="3A199838" w:rsidR="00B97C42" w:rsidRPr="0075684F" w:rsidRDefault="00B97C42" w:rsidP="008D0759">
            <w:pPr>
              <w:spacing w:line="276" w:lineRule="auto"/>
              <w:rPr>
                <w:rFonts w:ascii="Times New Roman" w:hAnsi="Times New Roman" w:cs="Times New Roman"/>
                <w:sz w:val="20"/>
                <w:szCs w:val="20"/>
              </w:rPr>
            </w:pPr>
            <w:r w:rsidRPr="0075684F">
              <w:rPr>
                <w:rFonts w:ascii="Times New Roman" w:hAnsi="Times New Roman" w:cs="Times New Roman"/>
                <w:color w:val="000000"/>
                <w:sz w:val="20"/>
                <w:szCs w:val="20"/>
              </w:rPr>
              <w:t xml:space="preserve"> 0</w:t>
            </w:r>
            <w:r w:rsidR="00AF682B" w:rsidRPr="0075684F">
              <w:rPr>
                <w:rFonts w:ascii="Times New Roman" w:hAnsi="Times New Roman" w:cs="Times New Roman"/>
                <w:color w:val="000000"/>
                <w:sz w:val="20"/>
                <w:szCs w:val="20"/>
              </w:rPr>
              <w:t>,</w:t>
            </w:r>
            <w:r w:rsidRPr="0075684F">
              <w:rPr>
                <w:rFonts w:ascii="Times New Roman" w:hAnsi="Times New Roman" w:cs="Times New Roman"/>
                <w:color w:val="000000"/>
                <w:sz w:val="20"/>
                <w:szCs w:val="20"/>
              </w:rPr>
              <w:t xml:space="preserve">00    </w:t>
            </w:r>
          </w:p>
        </w:tc>
        <w:tc>
          <w:tcPr>
            <w:tcW w:w="0" w:type="auto"/>
            <w:vAlign w:val="center"/>
          </w:tcPr>
          <w:p w14:paraId="0C56F64A" w14:textId="77777777" w:rsidR="00B97C42" w:rsidRPr="0075684F" w:rsidRDefault="00B97C42" w:rsidP="008D0759">
            <w:pPr>
              <w:spacing w:line="276" w:lineRule="auto"/>
              <w:rPr>
                <w:rFonts w:ascii="Times New Roman" w:hAnsi="Times New Roman" w:cs="Times New Roman"/>
                <w:sz w:val="20"/>
                <w:szCs w:val="20"/>
              </w:rPr>
            </w:pPr>
          </w:p>
        </w:tc>
        <w:tc>
          <w:tcPr>
            <w:tcW w:w="0" w:type="auto"/>
            <w:vAlign w:val="center"/>
          </w:tcPr>
          <w:p w14:paraId="7F3321C3" w14:textId="77777777" w:rsidR="00B97C42" w:rsidRPr="0075684F" w:rsidRDefault="00B97C42" w:rsidP="008D0759">
            <w:pPr>
              <w:spacing w:line="276" w:lineRule="auto"/>
              <w:rPr>
                <w:rFonts w:ascii="Times New Roman" w:hAnsi="Times New Roman" w:cs="Times New Roman"/>
                <w:sz w:val="20"/>
                <w:szCs w:val="20"/>
              </w:rPr>
            </w:pPr>
          </w:p>
        </w:tc>
        <w:tc>
          <w:tcPr>
            <w:tcW w:w="0" w:type="auto"/>
            <w:vAlign w:val="center"/>
          </w:tcPr>
          <w:p w14:paraId="67A32E79" w14:textId="77777777" w:rsidR="00B97C42" w:rsidRPr="0075684F" w:rsidRDefault="00B97C42" w:rsidP="008D0759">
            <w:pPr>
              <w:spacing w:line="276" w:lineRule="auto"/>
              <w:rPr>
                <w:rFonts w:ascii="Times New Roman" w:hAnsi="Times New Roman" w:cs="Times New Roman"/>
                <w:sz w:val="20"/>
                <w:szCs w:val="20"/>
              </w:rPr>
            </w:pPr>
          </w:p>
        </w:tc>
        <w:tc>
          <w:tcPr>
            <w:tcW w:w="0" w:type="auto"/>
            <w:vAlign w:val="center"/>
          </w:tcPr>
          <w:p w14:paraId="7A3AC2E0" w14:textId="77777777" w:rsidR="00B97C42" w:rsidRPr="0075684F" w:rsidRDefault="00B97C42" w:rsidP="008D0759">
            <w:pPr>
              <w:spacing w:line="276" w:lineRule="auto"/>
              <w:rPr>
                <w:rFonts w:ascii="Times New Roman" w:hAnsi="Times New Roman" w:cs="Times New Roman"/>
                <w:sz w:val="20"/>
                <w:szCs w:val="20"/>
              </w:rPr>
            </w:pPr>
          </w:p>
        </w:tc>
      </w:tr>
      <w:tr w:rsidR="00B97C42" w:rsidRPr="0075684F" w14:paraId="0C061F2F" w14:textId="77777777" w:rsidTr="0075684F">
        <w:trPr>
          <w:trHeight w:val="355"/>
          <w:jc w:val="center"/>
        </w:trPr>
        <w:tc>
          <w:tcPr>
            <w:tcW w:w="0" w:type="auto"/>
            <w:vAlign w:val="center"/>
          </w:tcPr>
          <w:p w14:paraId="7D181143" w14:textId="2E4EBBB3" w:rsidR="00B97C42" w:rsidRPr="0075684F" w:rsidRDefault="00B97C42" w:rsidP="008D0759">
            <w:pPr>
              <w:spacing w:line="276" w:lineRule="auto"/>
              <w:rPr>
                <w:rFonts w:ascii="Times New Roman" w:hAnsi="Times New Roman" w:cs="Times New Roman"/>
                <w:b/>
                <w:bCs/>
                <w:sz w:val="20"/>
                <w:szCs w:val="20"/>
              </w:rPr>
            </w:pPr>
            <w:r w:rsidRPr="0075684F">
              <w:rPr>
                <w:rFonts w:ascii="Times New Roman" w:hAnsi="Times New Roman" w:cs="Times New Roman"/>
                <w:b/>
                <w:bCs/>
                <w:color w:val="000000"/>
                <w:sz w:val="20"/>
                <w:szCs w:val="20"/>
              </w:rPr>
              <w:t>EGS</w:t>
            </w:r>
          </w:p>
        </w:tc>
        <w:tc>
          <w:tcPr>
            <w:tcW w:w="0" w:type="auto"/>
            <w:vAlign w:val="center"/>
          </w:tcPr>
          <w:p w14:paraId="1F5B428F" w14:textId="0075C71C" w:rsidR="00B97C42" w:rsidRPr="0075684F" w:rsidRDefault="00B97C42" w:rsidP="008D0759">
            <w:pPr>
              <w:spacing w:line="276" w:lineRule="auto"/>
              <w:rPr>
                <w:rFonts w:ascii="Times New Roman" w:hAnsi="Times New Roman" w:cs="Times New Roman"/>
                <w:sz w:val="20"/>
                <w:szCs w:val="20"/>
              </w:rPr>
            </w:pPr>
            <w:r w:rsidRPr="0075684F">
              <w:rPr>
                <w:rFonts w:ascii="Times New Roman" w:hAnsi="Times New Roman" w:cs="Times New Roman"/>
                <w:color w:val="000000"/>
                <w:sz w:val="20"/>
                <w:szCs w:val="20"/>
              </w:rPr>
              <w:t>-0</w:t>
            </w:r>
            <w:r w:rsidR="00AF682B" w:rsidRPr="0075684F">
              <w:rPr>
                <w:rFonts w:ascii="Times New Roman" w:hAnsi="Times New Roman" w:cs="Times New Roman"/>
                <w:color w:val="000000"/>
                <w:sz w:val="20"/>
                <w:szCs w:val="20"/>
              </w:rPr>
              <w:t>,</w:t>
            </w:r>
            <w:r w:rsidRPr="0075684F">
              <w:rPr>
                <w:rFonts w:ascii="Times New Roman" w:hAnsi="Times New Roman" w:cs="Times New Roman"/>
                <w:color w:val="000000"/>
                <w:sz w:val="20"/>
                <w:szCs w:val="20"/>
              </w:rPr>
              <w:t xml:space="preserve">10    </w:t>
            </w:r>
          </w:p>
        </w:tc>
        <w:tc>
          <w:tcPr>
            <w:tcW w:w="0" w:type="auto"/>
            <w:vAlign w:val="center"/>
          </w:tcPr>
          <w:p w14:paraId="0B152E4F" w14:textId="3AB6E3F8" w:rsidR="00B97C42" w:rsidRPr="0075684F" w:rsidRDefault="00B97C42" w:rsidP="008D0759">
            <w:pPr>
              <w:spacing w:line="276" w:lineRule="auto"/>
              <w:rPr>
                <w:rFonts w:ascii="Times New Roman" w:hAnsi="Times New Roman" w:cs="Times New Roman"/>
                <w:sz w:val="20"/>
                <w:szCs w:val="20"/>
              </w:rPr>
            </w:pPr>
            <w:r w:rsidRPr="0075684F">
              <w:rPr>
                <w:rFonts w:ascii="Times New Roman" w:hAnsi="Times New Roman" w:cs="Times New Roman"/>
                <w:color w:val="000000"/>
                <w:sz w:val="20"/>
                <w:szCs w:val="20"/>
              </w:rPr>
              <w:t xml:space="preserve"> 0</w:t>
            </w:r>
            <w:r w:rsidR="00AF682B" w:rsidRPr="0075684F">
              <w:rPr>
                <w:rFonts w:ascii="Times New Roman" w:hAnsi="Times New Roman" w:cs="Times New Roman"/>
                <w:color w:val="000000"/>
                <w:sz w:val="20"/>
                <w:szCs w:val="20"/>
              </w:rPr>
              <w:t>,</w:t>
            </w:r>
            <w:r w:rsidRPr="0075684F">
              <w:rPr>
                <w:rFonts w:ascii="Times New Roman" w:hAnsi="Times New Roman" w:cs="Times New Roman"/>
                <w:color w:val="000000"/>
                <w:sz w:val="20"/>
                <w:szCs w:val="20"/>
              </w:rPr>
              <w:t>65</w:t>
            </w:r>
            <w:r w:rsidRPr="0075684F">
              <w:rPr>
                <w:rFonts w:ascii="Times New Roman" w:hAnsi="Times New Roman" w:cs="Times New Roman"/>
                <w:color w:val="000000"/>
                <w:sz w:val="20"/>
                <w:szCs w:val="20"/>
                <w:vertAlign w:val="superscript"/>
              </w:rPr>
              <w:t>***</w:t>
            </w:r>
            <w:r w:rsidRPr="0075684F">
              <w:rPr>
                <w:rFonts w:ascii="Times New Roman" w:hAnsi="Times New Roman" w:cs="Times New Roman"/>
                <w:color w:val="000000"/>
                <w:sz w:val="20"/>
                <w:szCs w:val="20"/>
              </w:rPr>
              <w:t xml:space="preserve"> </w:t>
            </w:r>
          </w:p>
        </w:tc>
        <w:tc>
          <w:tcPr>
            <w:tcW w:w="0" w:type="auto"/>
            <w:vAlign w:val="center"/>
          </w:tcPr>
          <w:p w14:paraId="469E55AE" w14:textId="61737D3B" w:rsidR="00B97C42" w:rsidRPr="0075684F" w:rsidRDefault="00B97C42" w:rsidP="008D0759">
            <w:pPr>
              <w:spacing w:line="276" w:lineRule="auto"/>
              <w:rPr>
                <w:rFonts w:ascii="Times New Roman" w:hAnsi="Times New Roman" w:cs="Times New Roman"/>
                <w:sz w:val="20"/>
                <w:szCs w:val="20"/>
              </w:rPr>
            </w:pPr>
            <w:r w:rsidRPr="0075684F">
              <w:rPr>
                <w:rFonts w:ascii="Times New Roman" w:hAnsi="Times New Roman" w:cs="Times New Roman"/>
                <w:color w:val="000000"/>
                <w:sz w:val="20"/>
                <w:szCs w:val="20"/>
              </w:rPr>
              <w:t xml:space="preserve"> 0</w:t>
            </w:r>
            <w:r w:rsidR="00AF682B" w:rsidRPr="0075684F">
              <w:rPr>
                <w:rFonts w:ascii="Times New Roman" w:hAnsi="Times New Roman" w:cs="Times New Roman"/>
                <w:color w:val="000000"/>
                <w:sz w:val="20"/>
                <w:szCs w:val="20"/>
              </w:rPr>
              <w:t>,</w:t>
            </w:r>
            <w:r w:rsidRPr="0075684F">
              <w:rPr>
                <w:rFonts w:ascii="Times New Roman" w:hAnsi="Times New Roman" w:cs="Times New Roman"/>
                <w:color w:val="000000"/>
                <w:sz w:val="20"/>
                <w:szCs w:val="20"/>
              </w:rPr>
              <w:t xml:space="preserve">12    </w:t>
            </w:r>
          </w:p>
        </w:tc>
        <w:tc>
          <w:tcPr>
            <w:tcW w:w="0" w:type="auto"/>
            <w:vAlign w:val="center"/>
          </w:tcPr>
          <w:p w14:paraId="4349CAE7" w14:textId="38F4AA66" w:rsidR="00B97C42" w:rsidRPr="0075684F" w:rsidRDefault="00B97C42" w:rsidP="008D0759">
            <w:pPr>
              <w:spacing w:line="276" w:lineRule="auto"/>
              <w:rPr>
                <w:rFonts w:ascii="Times New Roman" w:hAnsi="Times New Roman" w:cs="Times New Roman"/>
                <w:sz w:val="20"/>
                <w:szCs w:val="20"/>
              </w:rPr>
            </w:pPr>
            <w:r w:rsidRPr="0075684F">
              <w:rPr>
                <w:rFonts w:ascii="Times New Roman" w:hAnsi="Times New Roman" w:cs="Times New Roman"/>
                <w:color w:val="000000"/>
                <w:sz w:val="20"/>
                <w:szCs w:val="20"/>
              </w:rPr>
              <w:t xml:space="preserve"> 0</w:t>
            </w:r>
            <w:r w:rsidR="00AF682B" w:rsidRPr="0075684F">
              <w:rPr>
                <w:rFonts w:ascii="Times New Roman" w:hAnsi="Times New Roman" w:cs="Times New Roman"/>
                <w:color w:val="000000"/>
                <w:sz w:val="20"/>
                <w:szCs w:val="20"/>
              </w:rPr>
              <w:t>,</w:t>
            </w:r>
            <w:r w:rsidRPr="0075684F">
              <w:rPr>
                <w:rFonts w:ascii="Times New Roman" w:hAnsi="Times New Roman" w:cs="Times New Roman"/>
                <w:color w:val="000000"/>
                <w:sz w:val="20"/>
                <w:szCs w:val="20"/>
              </w:rPr>
              <w:t>66</w:t>
            </w:r>
            <w:r w:rsidRPr="0075684F">
              <w:rPr>
                <w:rFonts w:ascii="Times New Roman" w:hAnsi="Times New Roman" w:cs="Times New Roman"/>
                <w:color w:val="000000"/>
                <w:sz w:val="20"/>
                <w:szCs w:val="20"/>
                <w:vertAlign w:val="superscript"/>
              </w:rPr>
              <w:t>***</w:t>
            </w:r>
            <w:r w:rsidRPr="0075684F">
              <w:rPr>
                <w:rFonts w:ascii="Times New Roman" w:hAnsi="Times New Roman" w:cs="Times New Roman"/>
                <w:color w:val="000000"/>
                <w:sz w:val="20"/>
                <w:szCs w:val="20"/>
              </w:rPr>
              <w:t xml:space="preserve"> </w:t>
            </w:r>
          </w:p>
        </w:tc>
        <w:tc>
          <w:tcPr>
            <w:tcW w:w="0" w:type="auto"/>
            <w:vAlign w:val="center"/>
          </w:tcPr>
          <w:p w14:paraId="00F9DFD5" w14:textId="4E76F4BD" w:rsidR="00B97C42" w:rsidRPr="0075684F" w:rsidRDefault="00B97C42" w:rsidP="008D0759">
            <w:pPr>
              <w:spacing w:line="276" w:lineRule="auto"/>
              <w:rPr>
                <w:rFonts w:ascii="Times New Roman" w:hAnsi="Times New Roman" w:cs="Times New Roman"/>
                <w:sz w:val="20"/>
                <w:szCs w:val="20"/>
              </w:rPr>
            </w:pPr>
            <w:r w:rsidRPr="0075684F">
              <w:rPr>
                <w:rFonts w:ascii="Times New Roman" w:hAnsi="Times New Roman" w:cs="Times New Roman"/>
                <w:color w:val="000000"/>
                <w:sz w:val="20"/>
                <w:szCs w:val="20"/>
              </w:rPr>
              <w:t>-0</w:t>
            </w:r>
            <w:r w:rsidR="00AF682B" w:rsidRPr="0075684F">
              <w:rPr>
                <w:rFonts w:ascii="Times New Roman" w:hAnsi="Times New Roman" w:cs="Times New Roman"/>
                <w:color w:val="000000"/>
                <w:sz w:val="20"/>
                <w:szCs w:val="20"/>
              </w:rPr>
              <w:t>,</w:t>
            </w:r>
            <w:r w:rsidRPr="0075684F">
              <w:rPr>
                <w:rFonts w:ascii="Times New Roman" w:hAnsi="Times New Roman" w:cs="Times New Roman"/>
                <w:color w:val="000000"/>
                <w:sz w:val="20"/>
                <w:szCs w:val="20"/>
              </w:rPr>
              <w:t>75</w:t>
            </w:r>
            <w:r w:rsidRPr="0075684F">
              <w:rPr>
                <w:rFonts w:ascii="Times New Roman" w:hAnsi="Times New Roman" w:cs="Times New Roman"/>
                <w:color w:val="000000"/>
                <w:sz w:val="20"/>
                <w:szCs w:val="20"/>
                <w:vertAlign w:val="superscript"/>
              </w:rPr>
              <w:t>****</w:t>
            </w:r>
          </w:p>
        </w:tc>
        <w:tc>
          <w:tcPr>
            <w:tcW w:w="0" w:type="auto"/>
            <w:vAlign w:val="center"/>
          </w:tcPr>
          <w:p w14:paraId="0D0C8EAD" w14:textId="0E043D3D" w:rsidR="00B97C42" w:rsidRPr="0075684F" w:rsidRDefault="00B97C42" w:rsidP="008D0759">
            <w:pPr>
              <w:spacing w:line="276" w:lineRule="auto"/>
              <w:rPr>
                <w:rFonts w:ascii="Times New Roman" w:hAnsi="Times New Roman" w:cs="Times New Roman"/>
                <w:sz w:val="20"/>
                <w:szCs w:val="20"/>
              </w:rPr>
            </w:pPr>
            <w:r w:rsidRPr="0075684F">
              <w:rPr>
                <w:rFonts w:ascii="Times New Roman" w:hAnsi="Times New Roman" w:cs="Times New Roman"/>
                <w:color w:val="000000"/>
                <w:sz w:val="20"/>
                <w:szCs w:val="20"/>
              </w:rPr>
              <w:t>-0</w:t>
            </w:r>
            <w:r w:rsidR="00AF682B" w:rsidRPr="0075684F">
              <w:rPr>
                <w:rFonts w:ascii="Times New Roman" w:hAnsi="Times New Roman" w:cs="Times New Roman"/>
                <w:color w:val="000000"/>
                <w:sz w:val="20"/>
                <w:szCs w:val="20"/>
              </w:rPr>
              <w:t>,</w:t>
            </w:r>
            <w:r w:rsidRPr="0075684F">
              <w:rPr>
                <w:rFonts w:ascii="Times New Roman" w:hAnsi="Times New Roman" w:cs="Times New Roman"/>
                <w:color w:val="000000"/>
                <w:sz w:val="20"/>
                <w:szCs w:val="20"/>
              </w:rPr>
              <w:t xml:space="preserve">25    </w:t>
            </w:r>
          </w:p>
        </w:tc>
        <w:tc>
          <w:tcPr>
            <w:tcW w:w="0" w:type="auto"/>
            <w:vAlign w:val="center"/>
          </w:tcPr>
          <w:p w14:paraId="35CA4157" w14:textId="77777777" w:rsidR="00B97C42" w:rsidRPr="0075684F" w:rsidRDefault="00B97C42" w:rsidP="008D0759">
            <w:pPr>
              <w:spacing w:line="276" w:lineRule="auto"/>
              <w:rPr>
                <w:rFonts w:ascii="Times New Roman" w:hAnsi="Times New Roman" w:cs="Times New Roman"/>
                <w:sz w:val="20"/>
                <w:szCs w:val="20"/>
              </w:rPr>
            </w:pPr>
          </w:p>
        </w:tc>
        <w:tc>
          <w:tcPr>
            <w:tcW w:w="0" w:type="auto"/>
            <w:vAlign w:val="center"/>
          </w:tcPr>
          <w:p w14:paraId="2B397851" w14:textId="77777777" w:rsidR="00B97C42" w:rsidRPr="0075684F" w:rsidRDefault="00B97C42" w:rsidP="008D0759">
            <w:pPr>
              <w:spacing w:line="276" w:lineRule="auto"/>
              <w:rPr>
                <w:rFonts w:ascii="Times New Roman" w:hAnsi="Times New Roman" w:cs="Times New Roman"/>
                <w:sz w:val="20"/>
                <w:szCs w:val="20"/>
              </w:rPr>
            </w:pPr>
          </w:p>
        </w:tc>
        <w:tc>
          <w:tcPr>
            <w:tcW w:w="0" w:type="auto"/>
            <w:vAlign w:val="center"/>
          </w:tcPr>
          <w:p w14:paraId="56C98527" w14:textId="77777777" w:rsidR="00B97C42" w:rsidRPr="0075684F" w:rsidRDefault="00B97C42" w:rsidP="008D0759">
            <w:pPr>
              <w:spacing w:line="276" w:lineRule="auto"/>
              <w:rPr>
                <w:rFonts w:ascii="Times New Roman" w:hAnsi="Times New Roman" w:cs="Times New Roman"/>
                <w:sz w:val="20"/>
                <w:szCs w:val="20"/>
              </w:rPr>
            </w:pPr>
          </w:p>
        </w:tc>
      </w:tr>
      <w:tr w:rsidR="00B97C42" w:rsidRPr="0075684F" w14:paraId="1733B7EF" w14:textId="77777777" w:rsidTr="0075684F">
        <w:trPr>
          <w:trHeight w:val="355"/>
          <w:jc w:val="center"/>
        </w:trPr>
        <w:tc>
          <w:tcPr>
            <w:tcW w:w="0" w:type="auto"/>
            <w:vAlign w:val="center"/>
          </w:tcPr>
          <w:p w14:paraId="61E704C5" w14:textId="06E6435A" w:rsidR="00B97C42" w:rsidRPr="0075684F" w:rsidRDefault="00B97C42" w:rsidP="008D0759">
            <w:pPr>
              <w:spacing w:line="276" w:lineRule="auto"/>
              <w:rPr>
                <w:rFonts w:ascii="Times New Roman" w:hAnsi="Times New Roman" w:cs="Times New Roman"/>
                <w:b/>
                <w:bCs/>
                <w:sz w:val="20"/>
                <w:szCs w:val="20"/>
              </w:rPr>
            </w:pPr>
            <w:r w:rsidRPr="0075684F">
              <w:rPr>
                <w:rFonts w:ascii="Times New Roman" w:hAnsi="Times New Roman" w:cs="Times New Roman"/>
                <w:b/>
                <w:bCs/>
                <w:color w:val="000000"/>
                <w:sz w:val="20"/>
                <w:szCs w:val="20"/>
              </w:rPr>
              <w:t>UHD</w:t>
            </w:r>
          </w:p>
        </w:tc>
        <w:tc>
          <w:tcPr>
            <w:tcW w:w="0" w:type="auto"/>
            <w:vAlign w:val="center"/>
          </w:tcPr>
          <w:p w14:paraId="76AEEA55" w14:textId="546CA99F" w:rsidR="00B97C42" w:rsidRPr="0075684F" w:rsidRDefault="00B97C42" w:rsidP="008D0759">
            <w:pPr>
              <w:spacing w:line="276" w:lineRule="auto"/>
              <w:rPr>
                <w:rFonts w:ascii="Times New Roman" w:hAnsi="Times New Roman" w:cs="Times New Roman"/>
                <w:sz w:val="20"/>
                <w:szCs w:val="20"/>
              </w:rPr>
            </w:pPr>
            <w:r w:rsidRPr="0075684F">
              <w:rPr>
                <w:rFonts w:ascii="Times New Roman" w:hAnsi="Times New Roman" w:cs="Times New Roman"/>
                <w:color w:val="000000"/>
                <w:sz w:val="20"/>
                <w:szCs w:val="20"/>
              </w:rPr>
              <w:t xml:space="preserve"> 0</w:t>
            </w:r>
            <w:r w:rsidR="00AF682B" w:rsidRPr="0075684F">
              <w:rPr>
                <w:rFonts w:ascii="Times New Roman" w:hAnsi="Times New Roman" w:cs="Times New Roman"/>
                <w:color w:val="000000"/>
                <w:sz w:val="20"/>
                <w:szCs w:val="20"/>
              </w:rPr>
              <w:t>,</w:t>
            </w:r>
            <w:r w:rsidRPr="0075684F">
              <w:rPr>
                <w:rFonts w:ascii="Times New Roman" w:hAnsi="Times New Roman" w:cs="Times New Roman"/>
                <w:color w:val="000000"/>
                <w:sz w:val="20"/>
                <w:szCs w:val="20"/>
              </w:rPr>
              <w:t xml:space="preserve">00    </w:t>
            </w:r>
          </w:p>
        </w:tc>
        <w:tc>
          <w:tcPr>
            <w:tcW w:w="0" w:type="auto"/>
            <w:vAlign w:val="center"/>
          </w:tcPr>
          <w:p w14:paraId="2F60A6E1" w14:textId="01AD95F5" w:rsidR="00B97C42" w:rsidRPr="0075684F" w:rsidRDefault="00B97C42" w:rsidP="008D0759">
            <w:pPr>
              <w:spacing w:line="276" w:lineRule="auto"/>
              <w:rPr>
                <w:rFonts w:ascii="Times New Roman" w:hAnsi="Times New Roman" w:cs="Times New Roman"/>
                <w:sz w:val="20"/>
                <w:szCs w:val="20"/>
              </w:rPr>
            </w:pPr>
            <w:r w:rsidRPr="0075684F">
              <w:rPr>
                <w:rFonts w:ascii="Times New Roman" w:hAnsi="Times New Roman" w:cs="Times New Roman"/>
                <w:color w:val="000000"/>
                <w:sz w:val="20"/>
                <w:szCs w:val="20"/>
              </w:rPr>
              <w:t xml:space="preserve"> 0</w:t>
            </w:r>
            <w:r w:rsidR="00AF682B" w:rsidRPr="0075684F">
              <w:rPr>
                <w:rFonts w:ascii="Times New Roman" w:hAnsi="Times New Roman" w:cs="Times New Roman"/>
                <w:color w:val="000000"/>
                <w:sz w:val="20"/>
                <w:szCs w:val="20"/>
              </w:rPr>
              <w:t>,</w:t>
            </w:r>
            <w:r w:rsidRPr="0075684F">
              <w:rPr>
                <w:rFonts w:ascii="Times New Roman" w:hAnsi="Times New Roman" w:cs="Times New Roman"/>
                <w:color w:val="000000"/>
                <w:sz w:val="20"/>
                <w:szCs w:val="20"/>
              </w:rPr>
              <w:t xml:space="preserve">26    </w:t>
            </w:r>
          </w:p>
        </w:tc>
        <w:tc>
          <w:tcPr>
            <w:tcW w:w="0" w:type="auto"/>
            <w:vAlign w:val="center"/>
          </w:tcPr>
          <w:p w14:paraId="29EEE413" w14:textId="768C8EAC" w:rsidR="00B97C42" w:rsidRPr="0075684F" w:rsidRDefault="00B97C42" w:rsidP="008D0759">
            <w:pPr>
              <w:spacing w:line="276" w:lineRule="auto"/>
              <w:rPr>
                <w:rFonts w:ascii="Times New Roman" w:hAnsi="Times New Roman" w:cs="Times New Roman"/>
                <w:sz w:val="20"/>
                <w:szCs w:val="20"/>
              </w:rPr>
            </w:pPr>
            <w:r w:rsidRPr="0075684F">
              <w:rPr>
                <w:rFonts w:ascii="Times New Roman" w:hAnsi="Times New Roman" w:cs="Times New Roman"/>
                <w:color w:val="000000"/>
                <w:sz w:val="20"/>
                <w:szCs w:val="20"/>
              </w:rPr>
              <w:t xml:space="preserve"> 0</w:t>
            </w:r>
            <w:r w:rsidR="00AF682B" w:rsidRPr="0075684F">
              <w:rPr>
                <w:rFonts w:ascii="Times New Roman" w:hAnsi="Times New Roman" w:cs="Times New Roman"/>
                <w:color w:val="000000"/>
                <w:sz w:val="20"/>
                <w:szCs w:val="20"/>
              </w:rPr>
              <w:t>,</w:t>
            </w:r>
            <w:r w:rsidRPr="0075684F">
              <w:rPr>
                <w:rFonts w:ascii="Times New Roman" w:hAnsi="Times New Roman" w:cs="Times New Roman"/>
                <w:color w:val="000000"/>
                <w:sz w:val="20"/>
                <w:szCs w:val="20"/>
              </w:rPr>
              <w:t xml:space="preserve">24    </w:t>
            </w:r>
          </w:p>
        </w:tc>
        <w:tc>
          <w:tcPr>
            <w:tcW w:w="0" w:type="auto"/>
            <w:vAlign w:val="center"/>
          </w:tcPr>
          <w:p w14:paraId="4CB07AAD" w14:textId="0345EF89" w:rsidR="00B97C42" w:rsidRPr="0075684F" w:rsidRDefault="00B97C42" w:rsidP="008D0759">
            <w:pPr>
              <w:spacing w:line="276" w:lineRule="auto"/>
              <w:rPr>
                <w:rFonts w:ascii="Times New Roman" w:hAnsi="Times New Roman" w:cs="Times New Roman"/>
                <w:sz w:val="20"/>
                <w:szCs w:val="20"/>
              </w:rPr>
            </w:pPr>
            <w:r w:rsidRPr="0075684F">
              <w:rPr>
                <w:rFonts w:ascii="Times New Roman" w:hAnsi="Times New Roman" w:cs="Times New Roman"/>
                <w:color w:val="000000"/>
                <w:sz w:val="20"/>
                <w:szCs w:val="20"/>
              </w:rPr>
              <w:t xml:space="preserve"> 0</w:t>
            </w:r>
            <w:r w:rsidR="00AF682B" w:rsidRPr="0075684F">
              <w:rPr>
                <w:rFonts w:ascii="Times New Roman" w:hAnsi="Times New Roman" w:cs="Times New Roman"/>
                <w:color w:val="000000"/>
                <w:sz w:val="20"/>
                <w:szCs w:val="20"/>
              </w:rPr>
              <w:t>,</w:t>
            </w:r>
            <w:r w:rsidRPr="0075684F">
              <w:rPr>
                <w:rFonts w:ascii="Times New Roman" w:hAnsi="Times New Roman" w:cs="Times New Roman"/>
                <w:color w:val="000000"/>
                <w:sz w:val="20"/>
                <w:szCs w:val="20"/>
              </w:rPr>
              <w:t>51</w:t>
            </w:r>
            <w:r w:rsidRPr="0075684F">
              <w:rPr>
                <w:rFonts w:ascii="Times New Roman" w:hAnsi="Times New Roman" w:cs="Times New Roman"/>
                <w:color w:val="000000"/>
                <w:sz w:val="20"/>
                <w:szCs w:val="20"/>
                <w:vertAlign w:val="superscript"/>
              </w:rPr>
              <w:t>*</w:t>
            </w:r>
            <w:r w:rsidRPr="0075684F">
              <w:rPr>
                <w:rFonts w:ascii="Times New Roman" w:hAnsi="Times New Roman" w:cs="Times New Roman"/>
                <w:color w:val="000000"/>
                <w:sz w:val="20"/>
                <w:szCs w:val="20"/>
              </w:rPr>
              <w:t xml:space="preserve">   </w:t>
            </w:r>
          </w:p>
        </w:tc>
        <w:tc>
          <w:tcPr>
            <w:tcW w:w="0" w:type="auto"/>
            <w:vAlign w:val="center"/>
          </w:tcPr>
          <w:p w14:paraId="295F2D85" w14:textId="693DB8F2" w:rsidR="00B97C42" w:rsidRPr="0075684F" w:rsidRDefault="00B97C42" w:rsidP="008D0759">
            <w:pPr>
              <w:spacing w:line="276" w:lineRule="auto"/>
              <w:rPr>
                <w:rFonts w:ascii="Times New Roman" w:hAnsi="Times New Roman" w:cs="Times New Roman"/>
                <w:sz w:val="20"/>
                <w:szCs w:val="20"/>
              </w:rPr>
            </w:pPr>
            <w:r w:rsidRPr="0075684F">
              <w:rPr>
                <w:rFonts w:ascii="Times New Roman" w:hAnsi="Times New Roman" w:cs="Times New Roman"/>
                <w:color w:val="000000"/>
                <w:sz w:val="20"/>
                <w:szCs w:val="20"/>
              </w:rPr>
              <w:t>-0</w:t>
            </w:r>
            <w:r w:rsidR="00AF682B" w:rsidRPr="0075684F">
              <w:rPr>
                <w:rFonts w:ascii="Times New Roman" w:hAnsi="Times New Roman" w:cs="Times New Roman"/>
                <w:color w:val="000000"/>
                <w:sz w:val="20"/>
                <w:szCs w:val="20"/>
              </w:rPr>
              <w:t>,</w:t>
            </w:r>
            <w:r w:rsidRPr="0075684F">
              <w:rPr>
                <w:rFonts w:ascii="Times New Roman" w:hAnsi="Times New Roman" w:cs="Times New Roman"/>
                <w:color w:val="000000"/>
                <w:sz w:val="20"/>
                <w:szCs w:val="20"/>
              </w:rPr>
              <w:t>57</w:t>
            </w:r>
            <w:r w:rsidRPr="0075684F">
              <w:rPr>
                <w:rFonts w:ascii="Times New Roman" w:hAnsi="Times New Roman" w:cs="Times New Roman"/>
                <w:color w:val="000000"/>
                <w:sz w:val="20"/>
                <w:szCs w:val="20"/>
                <w:vertAlign w:val="superscript"/>
              </w:rPr>
              <w:t>**</w:t>
            </w:r>
            <w:r w:rsidRPr="0075684F">
              <w:rPr>
                <w:rFonts w:ascii="Times New Roman" w:hAnsi="Times New Roman" w:cs="Times New Roman"/>
                <w:color w:val="000000"/>
                <w:sz w:val="20"/>
                <w:szCs w:val="20"/>
              </w:rPr>
              <w:t xml:space="preserve">  </w:t>
            </w:r>
          </w:p>
        </w:tc>
        <w:tc>
          <w:tcPr>
            <w:tcW w:w="0" w:type="auto"/>
            <w:vAlign w:val="center"/>
          </w:tcPr>
          <w:p w14:paraId="436205A8" w14:textId="45D84285" w:rsidR="00B97C42" w:rsidRPr="0075684F" w:rsidRDefault="00B97C42" w:rsidP="008D0759">
            <w:pPr>
              <w:spacing w:line="276" w:lineRule="auto"/>
              <w:rPr>
                <w:rFonts w:ascii="Times New Roman" w:hAnsi="Times New Roman" w:cs="Times New Roman"/>
                <w:sz w:val="20"/>
                <w:szCs w:val="20"/>
              </w:rPr>
            </w:pPr>
            <w:r w:rsidRPr="0075684F">
              <w:rPr>
                <w:rFonts w:ascii="Times New Roman" w:hAnsi="Times New Roman" w:cs="Times New Roman"/>
                <w:color w:val="000000"/>
                <w:sz w:val="20"/>
                <w:szCs w:val="20"/>
              </w:rPr>
              <w:t>-0</w:t>
            </w:r>
            <w:r w:rsidR="00AF682B" w:rsidRPr="0075684F">
              <w:rPr>
                <w:rFonts w:ascii="Times New Roman" w:hAnsi="Times New Roman" w:cs="Times New Roman"/>
                <w:color w:val="000000"/>
                <w:sz w:val="20"/>
                <w:szCs w:val="20"/>
              </w:rPr>
              <w:t>,</w:t>
            </w:r>
            <w:r w:rsidRPr="0075684F">
              <w:rPr>
                <w:rFonts w:ascii="Times New Roman" w:hAnsi="Times New Roman" w:cs="Times New Roman"/>
                <w:color w:val="000000"/>
                <w:sz w:val="20"/>
                <w:szCs w:val="20"/>
              </w:rPr>
              <w:t xml:space="preserve">24    </w:t>
            </w:r>
          </w:p>
        </w:tc>
        <w:tc>
          <w:tcPr>
            <w:tcW w:w="0" w:type="auto"/>
            <w:vAlign w:val="center"/>
          </w:tcPr>
          <w:p w14:paraId="227FDCAB" w14:textId="10C9CEDD" w:rsidR="00B97C42" w:rsidRPr="0075684F" w:rsidRDefault="00B97C42" w:rsidP="008D0759">
            <w:pPr>
              <w:spacing w:line="276" w:lineRule="auto"/>
              <w:rPr>
                <w:rFonts w:ascii="Times New Roman" w:hAnsi="Times New Roman" w:cs="Times New Roman"/>
                <w:sz w:val="20"/>
                <w:szCs w:val="20"/>
              </w:rPr>
            </w:pPr>
            <w:r w:rsidRPr="0075684F">
              <w:rPr>
                <w:rFonts w:ascii="Times New Roman" w:hAnsi="Times New Roman" w:cs="Times New Roman"/>
                <w:color w:val="000000"/>
                <w:sz w:val="20"/>
                <w:szCs w:val="20"/>
              </w:rPr>
              <w:t xml:space="preserve"> 0</w:t>
            </w:r>
            <w:r w:rsidR="00AF682B" w:rsidRPr="0075684F">
              <w:rPr>
                <w:rFonts w:ascii="Times New Roman" w:hAnsi="Times New Roman" w:cs="Times New Roman"/>
                <w:color w:val="000000"/>
                <w:sz w:val="20"/>
                <w:szCs w:val="20"/>
              </w:rPr>
              <w:t>,</w:t>
            </w:r>
            <w:r w:rsidRPr="0075684F">
              <w:rPr>
                <w:rFonts w:ascii="Times New Roman" w:hAnsi="Times New Roman" w:cs="Times New Roman"/>
                <w:color w:val="000000"/>
                <w:sz w:val="20"/>
                <w:szCs w:val="20"/>
              </w:rPr>
              <w:t>63</w:t>
            </w:r>
            <w:r w:rsidRPr="0075684F">
              <w:rPr>
                <w:rFonts w:ascii="Times New Roman" w:hAnsi="Times New Roman" w:cs="Times New Roman"/>
                <w:color w:val="000000"/>
                <w:sz w:val="20"/>
                <w:szCs w:val="20"/>
                <w:vertAlign w:val="superscript"/>
              </w:rPr>
              <w:t>**</w:t>
            </w:r>
            <w:r w:rsidRPr="0075684F">
              <w:rPr>
                <w:rFonts w:ascii="Times New Roman" w:hAnsi="Times New Roman" w:cs="Times New Roman"/>
                <w:color w:val="000000"/>
                <w:sz w:val="20"/>
                <w:szCs w:val="20"/>
              </w:rPr>
              <w:t xml:space="preserve">  </w:t>
            </w:r>
          </w:p>
        </w:tc>
        <w:tc>
          <w:tcPr>
            <w:tcW w:w="0" w:type="auto"/>
            <w:vAlign w:val="center"/>
          </w:tcPr>
          <w:p w14:paraId="1E414F69" w14:textId="77777777" w:rsidR="00B97C42" w:rsidRPr="0075684F" w:rsidRDefault="00B97C42" w:rsidP="008D0759">
            <w:pPr>
              <w:spacing w:line="276" w:lineRule="auto"/>
              <w:rPr>
                <w:rFonts w:ascii="Times New Roman" w:hAnsi="Times New Roman" w:cs="Times New Roman"/>
                <w:sz w:val="20"/>
                <w:szCs w:val="20"/>
              </w:rPr>
            </w:pPr>
          </w:p>
        </w:tc>
        <w:tc>
          <w:tcPr>
            <w:tcW w:w="0" w:type="auto"/>
            <w:vAlign w:val="center"/>
          </w:tcPr>
          <w:p w14:paraId="4A9026F7" w14:textId="77777777" w:rsidR="00B97C42" w:rsidRPr="0075684F" w:rsidRDefault="00B97C42" w:rsidP="008D0759">
            <w:pPr>
              <w:spacing w:line="276" w:lineRule="auto"/>
              <w:rPr>
                <w:rFonts w:ascii="Times New Roman" w:hAnsi="Times New Roman" w:cs="Times New Roman"/>
                <w:sz w:val="20"/>
                <w:szCs w:val="20"/>
              </w:rPr>
            </w:pPr>
          </w:p>
        </w:tc>
      </w:tr>
      <w:tr w:rsidR="00B97C42" w:rsidRPr="0075684F" w14:paraId="4747FECD" w14:textId="77777777" w:rsidTr="0075684F">
        <w:trPr>
          <w:trHeight w:val="355"/>
          <w:jc w:val="center"/>
        </w:trPr>
        <w:tc>
          <w:tcPr>
            <w:tcW w:w="0" w:type="auto"/>
            <w:vAlign w:val="center"/>
          </w:tcPr>
          <w:p w14:paraId="36241C60" w14:textId="2A15D9F2" w:rsidR="00B97C42" w:rsidRPr="0075684F" w:rsidRDefault="00B97C42" w:rsidP="008D0759">
            <w:pPr>
              <w:spacing w:line="276" w:lineRule="auto"/>
              <w:rPr>
                <w:rFonts w:ascii="Times New Roman" w:hAnsi="Times New Roman" w:cs="Times New Roman"/>
                <w:b/>
                <w:bCs/>
                <w:sz w:val="20"/>
                <w:szCs w:val="20"/>
              </w:rPr>
            </w:pPr>
            <w:r w:rsidRPr="0075684F">
              <w:rPr>
                <w:rFonts w:ascii="Times New Roman" w:hAnsi="Times New Roman" w:cs="Times New Roman"/>
                <w:b/>
                <w:bCs/>
                <w:color w:val="000000"/>
                <w:sz w:val="20"/>
                <w:szCs w:val="20"/>
              </w:rPr>
              <w:t>TİC</w:t>
            </w:r>
          </w:p>
        </w:tc>
        <w:tc>
          <w:tcPr>
            <w:tcW w:w="0" w:type="auto"/>
            <w:vAlign w:val="center"/>
          </w:tcPr>
          <w:p w14:paraId="22614C78" w14:textId="2488FF15" w:rsidR="00B97C42" w:rsidRPr="0075684F" w:rsidRDefault="00B97C42" w:rsidP="008D0759">
            <w:pPr>
              <w:spacing w:line="276" w:lineRule="auto"/>
              <w:rPr>
                <w:rFonts w:ascii="Times New Roman" w:hAnsi="Times New Roman" w:cs="Times New Roman"/>
                <w:sz w:val="20"/>
                <w:szCs w:val="20"/>
              </w:rPr>
            </w:pPr>
            <w:r w:rsidRPr="0075684F">
              <w:rPr>
                <w:rFonts w:ascii="Times New Roman" w:hAnsi="Times New Roman" w:cs="Times New Roman"/>
                <w:color w:val="000000"/>
                <w:sz w:val="20"/>
                <w:szCs w:val="20"/>
              </w:rPr>
              <w:t xml:space="preserve"> 0</w:t>
            </w:r>
            <w:r w:rsidR="00AF682B" w:rsidRPr="0075684F">
              <w:rPr>
                <w:rFonts w:ascii="Times New Roman" w:hAnsi="Times New Roman" w:cs="Times New Roman"/>
                <w:color w:val="000000"/>
                <w:sz w:val="20"/>
                <w:szCs w:val="20"/>
              </w:rPr>
              <w:t>,</w:t>
            </w:r>
            <w:r w:rsidRPr="0075684F">
              <w:rPr>
                <w:rFonts w:ascii="Times New Roman" w:hAnsi="Times New Roman" w:cs="Times New Roman"/>
                <w:color w:val="000000"/>
                <w:sz w:val="20"/>
                <w:szCs w:val="20"/>
              </w:rPr>
              <w:t xml:space="preserve">25    </w:t>
            </w:r>
          </w:p>
        </w:tc>
        <w:tc>
          <w:tcPr>
            <w:tcW w:w="0" w:type="auto"/>
            <w:vAlign w:val="center"/>
          </w:tcPr>
          <w:p w14:paraId="09BF56E9" w14:textId="643FAB67" w:rsidR="00B97C42" w:rsidRPr="0075684F" w:rsidRDefault="00B97C42" w:rsidP="008D0759">
            <w:pPr>
              <w:spacing w:line="276" w:lineRule="auto"/>
              <w:rPr>
                <w:rFonts w:ascii="Times New Roman" w:hAnsi="Times New Roman" w:cs="Times New Roman"/>
                <w:sz w:val="20"/>
                <w:szCs w:val="20"/>
              </w:rPr>
            </w:pPr>
            <w:r w:rsidRPr="0075684F">
              <w:rPr>
                <w:rFonts w:ascii="Times New Roman" w:hAnsi="Times New Roman" w:cs="Times New Roman"/>
                <w:color w:val="000000"/>
                <w:sz w:val="20"/>
                <w:szCs w:val="20"/>
              </w:rPr>
              <w:t xml:space="preserve"> 0</w:t>
            </w:r>
            <w:r w:rsidR="00AF682B" w:rsidRPr="0075684F">
              <w:rPr>
                <w:rFonts w:ascii="Times New Roman" w:hAnsi="Times New Roman" w:cs="Times New Roman"/>
                <w:color w:val="000000"/>
                <w:sz w:val="20"/>
                <w:szCs w:val="20"/>
              </w:rPr>
              <w:t>,</w:t>
            </w:r>
            <w:r w:rsidRPr="0075684F">
              <w:rPr>
                <w:rFonts w:ascii="Times New Roman" w:hAnsi="Times New Roman" w:cs="Times New Roman"/>
                <w:color w:val="000000"/>
                <w:sz w:val="20"/>
                <w:szCs w:val="20"/>
              </w:rPr>
              <w:t>54</w:t>
            </w:r>
            <w:r w:rsidRPr="0075684F">
              <w:rPr>
                <w:rFonts w:ascii="Times New Roman" w:hAnsi="Times New Roman" w:cs="Times New Roman"/>
                <w:color w:val="000000"/>
                <w:sz w:val="20"/>
                <w:szCs w:val="20"/>
                <w:vertAlign w:val="superscript"/>
              </w:rPr>
              <w:t>**</w:t>
            </w:r>
            <w:r w:rsidRPr="0075684F">
              <w:rPr>
                <w:rFonts w:ascii="Times New Roman" w:hAnsi="Times New Roman" w:cs="Times New Roman"/>
                <w:color w:val="000000"/>
                <w:sz w:val="20"/>
                <w:szCs w:val="20"/>
              </w:rPr>
              <w:t xml:space="preserve">  </w:t>
            </w:r>
          </w:p>
        </w:tc>
        <w:tc>
          <w:tcPr>
            <w:tcW w:w="0" w:type="auto"/>
            <w:vAlign w:val="center"/>
          </w:tcPr>
          <w:p w14:paraId="0C75EEC8" w14:textId="75E22174" w:rsidR="00B97C42" w:rsidRPr="0075684F" w:rsidRDefault="00B97C42" w:rsidP="008D0759">
            <w:pPr>
              <w:spacing w:line="276" w:lineRule="auto"/>
              <w:rPr>
                <w:rFonts w:ascii="Times New Roman" w:hAnsi="Times New Roman" w:cs="Times New Roman"/>
                <w:sz w:val="20"/>
                <w:szCs w:val="20"/>
              </w:rPr>
            </w:pPr>
            <w:r w:rsidRPr="0075684F">
              <w:rPr>
                <w:rFonts w:ascii="Times New Roman" w:hAnsi="Times New Roman" w:cs="Times New Roman"/>
                <w:color w:val="000000"/>
                <w:sz w:val="20"/>
                <w:szCs w:val="20"/>
              </w:rPr>
              <w:t xml:space="preserve"> 0</w:t>
            </w:r>
            <w:r w:rsidR="00AF682B" w:rsidRPr="0075684F">
              <w:rPr>
                <w:rFonts w:ascii="Times New Roman" w:hAnsi="Times New Roman" w:cs="Times New Roman"/>
                <w:color w:val="000000"/>
                <w:sz w:val="20"/>
                <w:szCs w:val="20"/>
              </w:rPr>
              <w:t>,</w:t>
            </w:r>
            <w:r w:rsidRPr="0075684F">
              <w:rPr>
                <w:rFonts w:ascii="Times New Roman" w:hAnsi="Times New Roman" w:cs="Times New Roman"/>
                <w:color w:val="000000"/>
                <w:sz w:val="20"/>
                <w:szCs w:val="20"/>
              </w:rPr>
              <w:t>72</w:t>
            </w:r>
            <w:r w:rsidRPr="0075684F">
              <w:rPr>
                <w:rFonts w:ascii="Times New Roman" w:hAnsi="Times New Roman" w:cs="Times New Roman"/>
                <w:color w:val="000000"/>
                <w:sz w:val="20"/>
                <w:szCs w:val="20"/>
                <w:vertAlign w:val="superscript"/>
              </w:rPr>
              <w:t>****</w:t>
            </w:r>
          </w:p>
        </w:tc>
        <w:tc>
          <w:tcPr>
            <w:tcW w:w="0" w:type="auto"/>
            <w:vAlign w:val="center"/>
          </w:tcPr>
          <w:p w14:paraId="235622BC" w14:textId="1520212C" w:rsidR="00B97C42" w:rsidRPr="0075684F" w:rsidRDefault="00B97C42" w:rsidP="008D0759">
            <w:pPr>
              <w:spacing w:line="276" w:lineRule="auto"/>
              <w:rPr>
                <w:rFonts w:ascii="Times New Roman" w:hAnsi="Times New Roman" w:cs="Times New Roman"/>
                <w:sz w:val="20"/>
                <w:szCs w:val="20"/>
              </w:rPr>
            </w:pPr>
            <w:r w:rsidRPr="0075684F">
              <w:rPr>
                <w:rFonts w:ascii="Times New Roman" w:hAnsi="Times New Roman" w:cs="Times New Roman"/>
                <w:color w:val="000000"/>
                <w:sz w:val="20"/>
                <w:szCs w:val="20"/>
              </w:rPr>
              <w:t xml:space="preserve"> 0</w:t>
            </w:r>
            <w:r w:rsidR="00AF682B" w:rsidRPr="0075684F">
              <w:rPr>
                <w:rFonts w:ascii="Times New Roman" w:hAnsi="Times New Roman" w:cs="Times New Roman"/>
                <w:color w:val="000000"/>
                <w:sz w:val="20"/>
                <w:szCs w:val="20"/>
              </w:rPr>
              <w:t>,</w:t>
            </w:r>
            <w:r w:rsidRPr="0075684F">
              <w:rPr>
                <w:rFonts w:ascii="Times New Roman" w:hAnsi="Times New Roman" w:cs="Times New Roman"/>
                <w:color w:val="000000"/>
                <w:sz w:val="20"/>
                <w:szCs w:val="20"/>
              </w:rPr>
              <w:t>63</w:t>
            </w:r>
            <w:r w:rsidRPr="0075684F">
              <w:rPr>
                <w:rFonts w:ascii="Times New Roman" w:hAnsi="Times New Roman" w:cs="Times New Roman"/>
                <w:color w:val="000000"/>
                <w:sz w:val="20"/>
                <w:szCs w:val="20"/>
                <w:vertAlign w:val="superscript"/>
              </w:rPr>
              <w:t>**</w:t>
            </w:r>
            <w:r w:rsidRPr="0075684F">
              <w:rPr>
                <w:rFonts w:ascii="Times New Roman" w:hAnsi="Times New Roman" w:cs="Times New Roman"/>
                <w:color w:val="000000"/>
                <w:sz w:val="20"/>
                <w:szCs w:val="20"/>
              </w:rPr>
              <w:t xml:space="preserve">  </w:t>
            </w:r>
          </w:p>
        </w:tc>
        <w:tc>
          <w:tcPr>
            <w:tcW w:w="0" w:type="auto"/>
            <w:vAlign w:val="center"/>
          </w:tcPr>
          <w:p w14:paraId="3A7F42FD" w14:textId="3ABA3579" w:rsidR="00B97C42" w:rsidRPr="0075684F" w:rsidRDefault="00B97C42" w:rsidP="008D0759">
            <w:pPr>
              <w:spacing w:line="276" w:lineRule="auto"/>
              <w:rPr>
                <w:rFonts w:ascii="Times New Roman" w:hAnsi="Times New Roman" w:cs="Times New Roman"/>
                <w:sz w:val="20"/>
                <w:szCs w:val="20"/>
              </w:rPr>
            </w:pPr>
            <w:r w:rsidRPr="0075684F">
              <w:rPr>
                <w:rFonts w:ascii="Times New Roman" w:hAnsi="Times New Roman" w:cs="Times New Roman"/>
                <w:color w:val="000000"/>
                <w:sz w:val="20"/>
                <w:szCs w:val="20"/>
              </w:rPr>
              <w:t>-0</w:t>
            </w:r>
            <w:r w:rsidR="00AF682B" w:rsidRPr="0075684F">
              <w:rPr>
                <w:rFonts w:ascii="Times New Roman" w:hAnsi="Times New Roman" w:cs="Times New Roman"/>
                <w:color w:val="000000"/>
                <w:sz w:val="20"/>
                <w:szCs w:val="20"/>
              </w:rPr>
              <w:t>,</w:t>
            </w:r>
            <w:r w:rsidRPr="0075684F">
              <w:rPr>
                <w:rFonts w:ascii="Times New Roman" w:hAnsi="Times New Roman" w:cs="Times New Roman"/>
                <w:color w:val="000000"/>
                <w:sz w:val="20"/>
                <w:szCs w:val="20"/>
              </w:rPr>
              <w:t>86</w:t>
            </w:r>
            <w:r w:rsidRPr="0075684F">
              <w:rPr>
                <w:rFonts w:ascii="Times New Roman" w:hAnsi="Times New Roman" w:cs="Times New Roman"/>
                <w:color w:val="000000"/>
                <w:sz w:val="20"/>
                <w:szCs w:val="20"/>
                <w:vertAlign w:val="superscript"/>
              </w:rPr>
              <w:t>****</w:t>
            </w:r>
          </w:p>
        </w:tc>
        <w:tc>
          <w:tcPr>
            <w:tcW w:w="0" w:type="auto"/>
            <w:vAlign w:val="center"/>
          </w:tcPr>
          <w:p w14:paraId="3F39C2B2" w14:textId="2D7681A1" w:rsidR="00B97C42" w:rsidRPr="0075684F" w:rsidRDefault="00B97C42" w:rsidP="008D0759">
            <w:pPr>
              <w:spacing w:line="276" w:lineRule="auto"/>
              <w:rPr>
                <w:rFonts w:ascii="Times New Roman" w:hAnsi="Times New Roman" w:cs="Times New Roman"/>
                <w:sz w:val="20"/>
                <w:szCs w:val="20"/>
              </w:rPr>
            </w:pPr>
            <w:r w:rsidRPr="0075684F">
              <w:rPr>
                <w:rFonts w:ascii="Times New Roman" w:hAnsi="Times New Roman" w:cs="Times New Roman"/>
                <w:color w:val="000000"/>
                <w:sz w:val="20"/>
                <w:szCs w:val="20"/>
              </w:rPr>
              <w:t xml:space="preserve"> 0</w:t>
            </w:r>
            <w:r w:rsidR="00AF682B" w:rsidRPr="0075684F">
              <w:rPr>
                <w:rFonts w:ascii="Times New Roman" w:hAnsi="Times New Roman" w:cs="Times New Roman"/>
                <w:color w:val="000000"/>
                <w:sz w:val="20"/>
                <w:szCs w:val="20"/>
              </w:rPr>
              <w:t>,</w:t>
            </w:r>
            <w:r w:rsidRPr="0075684F">
              <w:rPr>
                <w:rFonts w:ascii="Times New Roman" w:hAnsi="Times New Roman" w:cs="Times New Roman"/>
                <w:color w:val="000000"/>
                <w:sz w:val="20"/>
                <w:szCs w:val="20"/>
              </w:rPr>
              <w:t xml:space="preserve">10    </w:t>
            </w:r>
          </w:p>
        </w:tc>
        <w:tc>
          <w:tcPr>
            <w:tcW w:w="0" w:type="auto"/>
            <w:vAlign w:val="center"/>
          </w:tcPr>
          <w:p w14:paraId="25EEF7E3" w14:textId="61D88F9A" w:rsidR="00B97C42" w:rsidRPr="0075684F" w:rsidRDefault="00B97C42" w:rsidP="008D0759">
            <w:pPr>
              <w:spacing w:line="276" w:lineRule="auto"/>
              <w:rPr>
                <w:rFonts w:ascii="Times New Roman" w:hAnsi="Times New Roman" w:cs="Times New Roman"/>
                <w:sz w:val="20"/>
                <w:szCs w:val="20"/>
              </w:rPr>
            </w:pPr>
            <w:r w:rsidRPr="0075684F">
              <w:rPr>
                <w:rFonts w:ascii="Times New Roman" w:hAnsi="Times New Roman" w:cs="Times New Roman"/>
                <w:color w:val="000000"/>
                <w:sz w:val="20"/>
                <w:szCs w:val="20"/>
              </w:rPr>
              <w:t xml:space="preserve"> 0</w:t>
            </w:r>
            <w:r w:rsidR="00AF682B" w:rsidRPr="0075684F">
              <w:rPr>
                <w:rFonts w:ascii="Times New Roman" w:hAnsi="Times New Roman" w:cs="Times New Roman"/>
                <w:color w:val="000000"/>
                <w:sz w:val="20"/>
                <w:szCs w:val="20"/>
              </w:rPr>
              <w:t>,</w:t>
            </w:r>
            <w:r w:rsidRPr="0075684F">
              <w:rPr>
                <w:rFonts w:ascii="Times New Roman" w:hAnsi="Times New Roman" w:cs="Times New Roman"/>
                <w:color w:val="000000"/>
                <w:sz w:val="20"/>
                <w:szCs w:val="20"/>
              </w:rPr>
              <w:t xml:space="preserve">40    </w:t>
            </w:r>
          </w:p>
        </w:tc>
        <w:tc>
          <w:tcPr>
            <w:tcW w:w="0" w:type="auto"/>
            <w:vAlign w:val="center"/>
          </w:tcPr>
          <w:p w14:paraId="5BA89568" w14:textId="33BBFCC7" w:rsidR="00B97C42" w:rsidRPr="0075684F" w:rsidRDefault="00B97C42" w:rsidP="008D0759">
            <w:pPr>
              <w:spacing w:line="276" w:lineRule="auto"/>
              <w:rPr>
                <w:rFonts w:ascii="Times New Roman" w:hAnsi="Times New Roman" w:cs="Times New Roman"/>
                <w:sz w:val="20"/>
                <w:szCs w:val="20"/>
              </w:rPr>
            </w:pPr>
            <w:r w:rsidRPr="0075684F">
              <w:rPr>
                <w:rFonts w:ascii="Times New Roman" w:hAnsi="Times New Roman" w:cs="Times New Roman"/>
                <w:color w:val="000000"/>
                <w:sz w:val="20"/>
                <w:szCs w:val="20"/>
              </w:rPr>
              <w:t xml:space="preserve"> 0</w:t>
            </w:r>
            <w:r w:rsidR="00AF682B" w:rsidRPr="0075684F">
              <w:rPr>
                <w:rFonts w:ascii="Times New Roman" w:hAnsi="Times New Roman" w:cs="Times New Roman"/>
                <w:color w:val="000000"/>
                <w:sz w:val="20"/>
                <w:szCs w:val="20"/>
              </w:rPr>
              <w:t>,</w:t>
            </w:r>
            <w:r w:rsidRPr="0075684F">
              <w:rPr>
                <w:rFonts w:ascii="Times New Roman" w:hAnsi="Times New Roman" w:cs="Times New Roman"/>
                <w:color w:val="000000"/>
                <w:sz w:val="20"/>
                <w:szCs w:val="20"/>
              </w:rPr>
              <w:t xml:space="preserve">29    </w:t>
            </w:r>
          </w:p>
        </w:tc>
        <w:tc>
          <w:tcPr>
            <w:tcW w:w="0" w:type="auto"/>
            <w:vAlign w:val="center"/>
          </w:tcPr>
          <w:p w14:paraId="6D789DBB" w14:textId="77777777" w:rsidR="00B97C42" w:rsidRPr="0075684F" w:rsidRDefault="00B97C42" w:rsidP="008D0759">
            <w:pPr>
              <w:spacing w:line="276" w:lineRule="auto"/>
              <w:rPr>
                <w:rFonts w:ascii="Times New Roman" w:hAnsi="Times New Roman" w:cs="Times New Roman"/>
                <w:sz w:val="20"/>
                <w:szCs w:val="20"/>
              </w:rPr>
            </w:pPr>
          </w:p>
        </w:tc>
      </w:tr>
      <w:tr w:rsidR="00B97C42" w:rsidRPr="0075684F" w14:paraId="78544927" w14:textId="77777777" w:rsidTr="0075684F">
        <w:trPr>
          <w:trHeight w:val="355"/>
          <w:jc w:val="center"/>
        </w:trPr>
        <w:tc>
          <w:tcPr>
            <w:tcW w:w="0" w:type="auto"/>
            <w:vAlign w:val="center"/>
          </w:tcPr>
          <w:p w14:paraId="3006DFA8" w14:textId="1B0E1E2F" w:rsidR="00B97C42" w:rsidRPr="0075684F" w:rsidRDefault="00357570" w:rsidP="008D0759">
            <w:pPr>
              <w:spacing w:line="276" w:lineRule="auto"/>
              <w:rPr>
                <w:rFonts w:ascii="Times New Roman" w:hAnsi="Times New Roman" w:cs="Times New Roman"/>
                <w:b/>
                <w:bCs/>
                <w:sz w:val="20"/>
                <w:szCs w:val="20"/>
                <w:vertAlign w:val="superscript"/>
              </w:rPr>
            </w:pPr>
            <w:r w:rsidRPr="0075684F">
              <w:rPr>
                <w:rFonts w:ascii="Times New Roman" w:hAnsi="Times New Roman" w:cs="Times New Roman"/>
                <w:b/>
                <w:bCs/>
                <w:color w:val="000000"/>
                <w:sz w:val="20"/>
                <w:szCs w:val="20"/>
              </w:rPr>
              <w:t>T</w:t>
            </w:r>
            <w:r w:rsidR="00DB1449" w:rsidRPr="0075684F">
              <w:rPr>
                <w:rFonts w:ascii="Times New Roman" w:hAnsi="Times New Roman" w:cs="Times New Roman"/>
                <w:b/>
                <w:bCs/>
                <w:color w:val="000000"/>
                <w:sz w:val="20"/>
                <w:szCs w:val="20"/>
              </w:rPr>
              <w:t>FK</w:t>
            </w:r>
            <w:r w:rsidR="00667B59" w:rsidRPr="0075684F">
              <w:rPr>
                <w:rFonts w:ascii="Times New Roman" w:hAnsi="Times New Roman" w:cs="Times New Roman"/>
                <w:b/>
                <w:bCs/>
                <w:color w:val="000000"/>
                <w:sz w:val="20"/>
                <w:szCs w:val="20"/>
                <w:vertAlign w:val="superscript"/>
              </w:rPr>
              <w:t>(b)</w:t>
            </w:r>
            <w:r w:rsidRPr="0075684F">
              <w:rPr>
                <w:rFonts w:ascii="Times New Roman" w:hAnsi="Times New Roman" w:cs="Times New Roman"/>
                <w:b/>
                <w:bCs/>
                <w:color w:val="000000"/>
                <w:sz w:val="20"/>
                <w:szCs w:val="20"/>
              </w:rPr>
              <w:t>/GSYH</w:t>
            </w:r>
          </w:p>
        </w:tc>
        <w:tc>
          <w:tcPr>
            <w:tcW w:w="0" w:type="auto"/>
            <w:vAlign w:val="center"/>
          </w:tcPr>
          <w:p w14:paraId="12BEFA10" w14:textId="378EE6C1" w:rsidR="00B97C42" w:rsidRPr="0075684F" w:rsidRDefault="00B97C42" w:rsidP="008D0759">
            <w:pPr>
              <w:spacing w:line="276" w:lineRule="auto"/>
              <w:rPr>
                <w:rFonts w:ascii="Times New Roman" w:hAnsi="Times New Roman" w:cs="Times New Roman"/>
                <w:sz w:val="20"/>
                <w:szCs w:val="20"/>
              </w:rPr>
            </w:pPr>
            <w:r w:rsidRPr="0075684F">
              <w:rPr>
                <w:rFonts w:ascii="Times New Roman" w:hAnsi="Times New Roman" w:cs="Times New Roman"/>
                <w:color w:val="000000"/>
                <w:sz w:val="20"/>
                <w:szCs w:val="20"/>
              </w:rPr>
              <w:t xml:space="preserve"> 0</w:t>
            </w:r>
            <w:r w:rsidR="00AF682B" w:rsidRPr="0075684F">
              <w:rPr>
                <w:rFonts w:ascii="Times New Roman" w:hAnsi="Times New Roman" w:cs="Times New Roman"/>
                <w:color w:val="000000"/>
                <w:sz w:val="20"/>
                <w:szCs w:val="20"/>
              </w:rPr>
              <w:t>,</w:t>
            </w:r>
            <w:r w:rsidRPr="0075684F">
              <w:rPr>
                <w:rFonts w:ascii="Times New Roman" w:hAnsi="Times New Roman" w:cs="Times New Roman"/>
                <w:color w:val="000000"/>
                <w:sz w:val="20"/>
                <w:szCs w:val="20"/>
              </w:rPr>
              <w:t xml:space="preserve">10    </w:t>
            </w:r>
          </w:p>
        </w:tc>
        <w:tc>
          <w:tcPr>
            <w:tcW w:w="0" w:type="auto"/>
            <w:vAlign w:val="center"/>
          </w:tcPr>
          <w:p w14:paraId="438BFCF9" w14:textId="62B6EAAD" w:rsidR="00B97C42" w:rsidRPr="0075684F" w:rsidRDefault="00B97C42" w:rsidP="008D0759">
            <w:pPr>
              <w:spacing w:line="276" w:lineRule="auto"/>
              <w:rPr>
                <w:rFonts w:ascii="Times New Roman" w:hAnsi="Times New Roman" w:cs="Times New Roman"/>
                <w:sz w:val="20"/>
                <w:szCs w:val="20"/>
              </w:rPr>
            </w:pPr>
            <w:r w:rsidRPr="0075684F">
              <w:rPr>
                <w:rFonts w:ascii="Times New Roman" w:hAnsi="Times New Roman" w:cs="Times New Roman"/>
                <w:color w:val="000000"/>
                <w:sz w:val="20"/>
                <w:szCs w:val="20"/>
              </w:rPr>
              <w:t xml:space="preserve"> 0</w:t>
            </w:r>
            <w:r w:rsidR="00AF682B" w:rsidRPr="0075684F">
              <w:rPr>
                <w:rFonts w:ascii="Times New Roman" w:hAnsi="Times New Roman" w:cs="Times New Roman"/>
                <w:color w:val="000000"/>
                <w:sz w:val="20"/>
                <w:szCs w:val="20"/>
              </w:rPr>
              <w:t>,</w:t>
            </w:r>
            <w:r w:rsidRPr="0075684F">
              <w:rPr>
                <w:rFonts w:ascii="Times New Roman" w:hAnsi="Times New Roman" w:cs="Times New Roman"/>
                <w:color w:val="000000"/>
                <w:sz w:val="20"/>
                <w:szCs w:val="20"/>
              </w:rPr>
              <w:t>8</w:t>
            </w:r>
            <w:r w:rsidR="00357570" w:rsidRPr="0075684F">
              <w:rPr>
                <w:rFonts w:ascii="Times New Roman" w:hAnsi="Times New Roman" w:cs="Times New Roman"/>
                <w:color w:val="000000"/>
                <w:sz w:val="20"/>
                <w:szCs w:val="20"/>
              </w:rPr>
              <w:t>8</w:t>
            </w:r>
            <w:r w:rsidRPr="0075684F">
              <w:rPr>
                <w:rFonts w:ascii="Times New Roman" w:hAnsi="Times New Roman" w:cs="Times New Roman"/>
                <w:color w:val="000000"/>
                <w:sz w:val="20"/>
                <w:szCs w:val="20"/>
                <w:vertAlign w:val="superscript"/>
              </w:rPr>
              <w:t>****</w:t>
            </w:r>
          </w:p>
        </w:tc>
        <w:tc>
          <w:tcPr>
            <w:tcW w:w="0" w:type="auto"/>
            <w:vAlign w:val="center"/>
          </w:tcPr>
          <w:p w14:paraId="6C74A908" w14:textId="600BB970" w:rsidR="00B97C42" w:rsidRPr="0075684F" w:rsidRDefault="00B97C42" w:rsidP="008D0759">
            <w:pPr>
              <w:spacing w:line="276" w:lineRule="auto"/>
              <w:rPr>
                <w:rFonts w:ascii="Times New Roman" w:hAnsi="Times New Roman" w:cs="Times New Roman"/>
                <w:sz w:val="20"/>
                <w:szCs w:val="20"/>
              </w:rPr>
            </w:pPr>
            <w:r w:rsidRPr="0075684F">
              <w:rPr>
                <w:rFonts w:ascii="Times New Roman" w:hAnsi="Times New Roman" w:cs="Times New Roman"/>
                <w:color w:val="000000"/>
                <w:sz w:val="20"/>
                <w:szCs w:val="20"/>
              </w:rPr>
              <w:t xml:space="preserve"> 0</w:t>
            </w:r>
            <w:r w:rsidR="00AF682B" w:rsidRPr="0075684F">
              <w:rPr>
                <w:rFonts w:ascii="Times New Roman" w:hAnsi="Times New Roman" w:cs="Times New Roman"/>
                <w:color w:val="000000"/>
                <w:sz w:val="20"/>
                <w:szCs w:val="20"/>
              </w:rPr>
              <w:t>,</w:t>
            </w:r>
            <w:r w:rsidRPr="0075684F">
              <w:rPr>
                <w:rFonts w:ascii="Times New Roman" w:hAnsi="Times New Roman" w:cs="Times New Roman"/>
                <w:color w:val="000000"/>
                <w:sz w:val="20"/>
                <w:szCs w:val="20"/>
              </w:rPr>
              <w:t>4</w:t>
            </w:r>
            <w:r w:rsidR="00357570" w:rsidRPr="0075684F">
              <w:rPr>
                <w:rFonts w:ascii="Times New Roman" w:hAnsi="Times New Roman" w:cs="Times New Roman"/>
                <w:color w:val="000000"/>
                <w:sz w:val="20"/>
                <w:szCs w:val="20"/>
              </w:rPr>
              <w:t>4</w:t>
            </w:r>
            <w:r w:rsidRPr="0075684F">
              <w:rPr>
                <w:rFonts w:ascii="Times New Roman" w:hAnsi="Times New Roman" w:cs="Times New Roman"/>
                <w:color w:val="000000"/>
                <w:sz w:val="20"/>
                <w:szCs w:val="20"/>
                <w:vertAlign w:val="superscript"/>
              </w:rPr>
              <w:t>*</w:t>
            </w:r>
            <w:r w:rsidRPr="0075684F">
              <w:rPr>
                <w:rFonts w:ascii="Times New Roman" w:hAnsi="Times New Roman" w:cs="Times New Roman"/>
                <w:color w:val="000000"/>
                <w:sz w:val="20"/>
                <w:szCs w:val="20"/>
              </w:rPr>
              <w:t xml:space="preserve">   </w:t>
            </w:r>
          </w:p>
        </w:tc>
        <w:tc>
          <w:tcPr>
            <w:tcW w:w="0" w:type="auto"/>
            <w:vAlign w:val="center"/>
          </w:tcPr>
          <w:p w14:paraId="52858A2C" w14:textId="73D3DB0A" w:rsidR="00B97C42" w:rsidRPr="0075684F" w:rsidRDefault="00B97C42" w:rsidP="008D0759">
            <w:pPr>
              <w:spacing w:line="276" w:lineRule="auto"/>
              <w:rPr>
                <w:rFonts w:ascii="Times New Roman" w:hAnsi="Times New Roman" w:cs="Times New Roman"/>
                <w:sz w:val="20"/>
                <w:szCs w:val="20"/>
              </w:rPr>
            </w:pPr>
            <w:r w:rsidRPr="0075684F">
              <w:rPr>
                <w:rFonts w:ascii="Times New Roman" w:hAnsi="Times New Roman" w:cs="Times New Roman"/>
                <w:color w:val="000000"/>
                <w:sz w:val="20"/>
                <w:szCs w:val="20"/>
              </w:rPr>
              <w:t xml:space="preserve"> 0</w:t>
            </w:r>
            <w:r w:rsidR="00AF682B" w:rsidRPr="0075684F">
              <w:rPr>
                <w:rFonts w:ascii="Times New Roman" w:hAnsi="Times New Roman" w:cs="Times New Roman"/>
                <w:color w:val="000000"/>
                <w:sz w:val="20"/>
                <w:szCs w:val="20"/>
              </w:rPr>
              <w:t>,</w:t>
            </w:r>
            <w:r w:rsidRPr="0075684F">
              <w:rPr>
                <w:rFonts w:ascii="Times New Roman" w:hAnsi="Times New Roman" w:cs="Times New Roman"/>
                <w:color w:val="000000"/>
                <w:sz w:val="20"/>
                <w:szCs w:val="20"/>
              </w:rPr>
              <w:t>7</w:t>
            </w:r>
            <w:r w:rsidR="005D32F5" w:rsidRPr="0075684F">
              <w:rPr>
                <w:rFonts w:ascii="Times New Roman" w:hAnsi="Times New Roman" w:cs="Times New Roman"/>
                <w:color w:val="000000"/>
                <w:sz w:val="20"/>
                <w:szCs w:val="20"/>
              </w:rPr>
              <w:t>2</w:t>
            </w:r>
            <w:r w:rsidRPr="0075684F">
              <w:rPr>
                <w:rFonts w:ascii="Times New Roman" w:hAnsi="Times New Roman" w:cs="Times New Roman"/>
                <w:color w:val="000000"/>
                <w:sz w:val="20"/>
                <w:szCs w:val="20"/>
                <w:vertAlign w:val="superscript"/>
              </w:rPr>
              <w:t>****</w:t>
            </w:r>
          </w:p>
        </w:tc>
        <w:tc>
          <w:tcPr>
            <w:tcW w:w="0" w:type="auto"/>
            <w:vAlign w:val="center"/>
          </w:tcPr>
          <w:p w14:paraId="681293F9" w14:textId="52379D2F" w:rsidR="00B97C42" w:rsidRPr="0075684F" w:rsidRDefault="00B97C42" w:rsidP="008D0759">
            <w:pPr>
              <w:spacing w:line="276" w:lineRule="auto"/>
              <w:rPr>
                <w:rFonts w:ascii="Times New Roman" w:hAnsi="Times New Roman" w:cs="Times New Roman"/>
                <w:sz w:val="20"/>
                <w:szCs w:val="20"/>
              </w:rPr>
            </w:pPr>
            <w:r w:rsidRPr="0075684F">
              <w:rPr>
                <w:rFonts w:ascii="Times New Roman" w:hAnsi="Times New Roman" w:cs="Times New Roman"/>
                <w:color w:val="000000"/>
                <w:sz w:val="20"/>
                <w:szCs w:val="20"/>
              </w:rPr>
              <w:t>-0</w:t>
            </w:r>
            <w:r w:rsidR="00AF682B" w:rsidRPr="0075684F">
              <w:rPr>
                <w:rFonts w:ascii="Times New Roman" w:hAnsi="Times New Roman" w:cs="Times New Roman"/>
                <w:color w:val="000000"/>
                <w:sz w:val="20"/>
                <w:szCs w:val="20"/>
              </w:rPr>
              <w:t>,</w:t>
            </w:r>
            <w:r w:rsidRPr="0075684F">
              <w:rPr>
                <w:rFonts w:ascii="Times New Roman" w:hAnsi="Times New Roman" w:cs="Times New Roman"/>
                <w:color w:val="000000"/>
                <w:sz w:val="20"/>
                <w:szCs w:val="20"/>
              </w:rPr>
              <w:t>9</w:t>
            </w:r>
            <w:r w:rsidR="005D32F5" w:rsidRPr="0075684F">
              <w:rPr>
                <w:rFonts w:ascii="Times New Roman" w:hAnsi="Times New Roman" w:cs="Times New Roman"/>
                <w:color w:val="000000"/>
                <w:sz w:val="20"/>
                <w:szCs w:val="20"/>
              </w:rPr>
              <w:t>2</w:t>
            </w:r>
            <w:r w:rsidRPr="0075684F">
              <w:rPr>
                <w:rFonts w:ascii="Times New Roman" w:hAnsi="Times New Roman" w:cs="Times New Roman"/>
                <w:color w:val="000000"/>
                <w:sz w:val="20"/>
                <w:szCs w:val="20"/>
                <w:vertAlign w:val="superscript"/>
              </w:rPr>
              <w:t>****</w:t>
            </w:r>
          </w:p>
        </w:tc>
        <w:tc>
          <w:tcPr>
            <w:tcW w:w="0" w:type="auto"/>
            <w:vAlign w:val="center"/>
          </w:tcPr>
          <w:p w14:paraId="2BC39711" w14:textId="23C9A7B6" w:rsidR="00B97C42" w:rsidRPr="0075684F" w:rsidRDefault="00B97C42" w:rsidP="008D0759">
            <w:pPr>
              <w:spacing w:line="276" w:lineRule="auto"/>
              <w:rPr>
                <w:rFonts w:ascii="Times New Roman" w:hAnsi="Times New Roman" w:cs="Times New Roman"/>
                <w:sz w:val="20"/>
                <w:szCs w:val="20"/>
              </w:rPr>
            </w:pPr>
            <w:r w:rsidRPr="0075684F">
              <w:rPr>
                <w:rFonts w:ascii="Times New Roman" w:hAnsi="Times New Roman" w:cs="Times New Roman"/>
                <w:color w:val="000000"/>
                <w:sz w:val="20"/>
                <w:szCs w:val="20"/>
              </w:rPr>
              <w:t xml:space="preserve"> 0</w:t>
            </w:r>
            <w:r w:rsidR="00AF682B" w:rsidRPr="0075684F">
              <w:rPr>
                <w:rFonts w:ascii="Times New Roman" w:hAnsi="Times New Roman" w:cs="Times New Roman"/>
                <w:color w:val="000000"/>
                <w:sz w:val="20"/>
                <w:szCs w:val="20"/>
              </w:rPr>
              <w:t>,</w:t>
            </w:r>
            <w:r w:rsidRPr="0075684F">
              <w:rPr>
                <w:rFonts w:ascii="Times New Roman" w:hAnsi="Times New Roman" w:cs="Times New Roman"/>
                <w:color w:val="000000"/>
                <w:sz w:val="20"/>
                <w:szCs w:val="20"/>
              </w:rPr>
              <w:t xml:space="preserve">06    </w:t>
            </w:r>
          </w:p>
        </w:tc>
        <w:tc>
          <w:tcPr>
            <w:tcW w:w="0" w:type="auto"/>
            <w:vAlign w:val="center"/>
          </w:tcPr>
          <w:p w14:paraId="09873854" w14:textId="493194D7" w:rsidR="00B97C42" w:rsidRPr="0075684F" w:rsidRDefault="00B97C42" w:rsidP="008D0759">
            <w:pPr>
              <w:spacing w:line="276" w:lineRule="auto"/>
              <w:rPr>
                <w:rFonts w:ascii="Times New Roman" w:hAnsi="Times New Roman" w:cs="Times New Roman"/>
                <w:sz w:val="20"/>
                <w:szCs w:val="20"/>
              </w:rPr>
            </w:pPr>
            <w:r w:rsidRPr="0075684F">
              <w:rPr>
                <w:rFonts w:ascii="Times New Roman" w:hAnsi="Times New Roman" w:cs="Times New Roman"/>
                <w:color w:val="000000"/>
                <w:sz w:val="20"/>
                <w:szCs w:val="20"/>
              </w:rPr>
              <w:t>0</w:t>
            </w:r>
            <w:r w:rsidR="00AF682B" w:rsidRPr="0075684F">
              <w:rPr>
                <w:rFonts w:ascii="Times New Roman" w:hAnsi="Times New Roman" w:cs="Times New Roman"/>
                <w:color w:val="000000"/>
                <w:sz w:val="20"/>
                <w:szCs w:val="20"/>
              </w:rPr>
              <w:t>,</w:t>
            </w:r>
            <w:r w:rsidRPr="0075684F">
              <w:rPr>
                <w:rFonts w:ascii="Times New Roman" w:hAnsi="Times New Roman" w:cs="Times New Roman"/>
                <w:color w:val="000000"/>
                <w:sz w:val="20"/>
                <w:szCs w:val="20"/>
              </w:rPr>
              <w:t>79</w:t>
            </w:r>
            <w:r w:rsidRPr="0075684F">
              <w:rPr>
                <w:rFonts w:ascii="Times New Roman" w:hAnsi="Times New Roman" w:cs="Times New Roman"/>
                <w:color w:val="000000"/>
                <w:sz w:val="20"/>
                <w:szCs w:val="20"/>
                <w:vertAlign w:val="superscript"/>
              </w:rPr>
              <w:t>****</w:t>
            </w:r>
          </w:p>
        </w:tc>
        <w:tc>
          <w:tcPr>
            <w:tcW w:w="0" w:type="auto"/>
            <w:vAlign w:val="center"/>
          </w:tcPr>
          <w:p w14:paraId="23889721" w14:textId="0E27CFF4" w:rsidR="00B97C42" w:rsidRPr="0075684F" w:rsidRDefault="00B97C42" w:rsidP="008D0759">
            <w:pPr>
              <w:spacing w:line="276" w:lineRule="auto"/>
              <w:rPr>
                <w:rFonts w:ascii="Times New Roman" w:hAnsi="Times New Roman" w:cs="Times New Roman"/>
                <w:sz w:val="20"/>
                <w:szCs w:val="20"/>
              </w:rPr>
            </w:pPr>
            <w:r w:rsidRPr="0075684F">
              <w:rPr>
                <w:rFonts w:ascii="Times New Roman" w:hAnsi="Times New Roman" w:cs="Times New Roman"/>
                <w:color w:val="000000"/>
                <w:sz w:val="20"/>
                <w:szCs w:val="20"/>
              </w:rPr>
              <w:t>0</w:t>
            </w:r>
            <w:r w:rsidR="00AF682B" w:rsidRPr="0075684F">
              <w:rPr>
                <w:rFonts w:ascii="Times New Roman" w:hAnsi="Times New Roman" w:cs="Times New Roman"/>
                <w:color w:val="000000"/>
                <w:sz w:val="20"/>
                <w:szCs w:val="20"/>
              </w:rPr>
              <w:t>,</w:t>
            </w:r>
            <w:r w:rsidRPr="0075684F">
              <w:rPr>
                <w:rFonts w:ascii="Times New Roman" w:hAnsi="Times New Roman" w:cs="Times New Roman"/>
                <w:color w:val="000000"/>
                <w:sz w:val="20"/>
                <w:szCs w:val="20"/>
              </w:rPr>
              <w:t>48</w:t>
            </w:r>
            <w:r w:rsidRPr="0075684F">
              <w:rPr>
                <w:rFonts w:ascii="Times New Roman" w:hAnsi="Times New Roman" w:cs="Times New Roman"/>
                <w:color w:val="000000"/>
                <w:sz w:val="20"/>
                <w:szCs w:val="20"/>
                <w:vertAlign w:val="superscript"/>
              </w:rPr>
              <w:t>*</w:t>
            </w:r>
            <w:r w:rsidRPr="0075684F">
              <w:rPr>
                <w:rFonts w:ascii="Times New Roman" w:hAnsi="Times New Roman" w:cs="Times New Roman"/>
                <w:color w:val="000000"/>
                <w:sz w:val="20"/>
                <w:szCs w:val="20"/>
              </w:rPr>
              <w:t xml:space="preserve">   </w:t>
            </w:r>
          </w:p>
        </w:tc>
        <w:tc>
          <w:tcPr>
            <w:tcW w:w="0" w:type="auto"/>
            <w:vAlign w:val="center"/>
          </w:tcPr>
          <w:p w14:paraId="4A1A91B2" w14:textId="286180EF" w:rsidR="00B97C42" w:rsidRPr="0075684F" w:rsidRDefault="00B97C42" w:rsidP="008D0759">
            <w:pPr>
              <w:spacing w:line="276" w:lineRule="auto"/>
              <w:rPr>
                <w:rFonts w:ascii="Times New Roman" w:hAnsi="Times New Roman" w:cs="Times New Roman"/>
                <w:sz w:val="20"/>
                <w:szCs w:val="20"/>
              </w:rPr>
            </w:pPr>
            <w:r w:rsidRPr="0075684F">
              <w:rPr>
                <w:rFonts w:ascii="Times New Roman" w:hAnsi="Times New Roman" w:cs="Times New Roman"/>
                <w:color w:val="000000"/>
                <w:sz w:val="20"/>
                <w:szCs w:val="20"/>
              </w:rPr>
              <w:t>0</w:t>
            </w:r>
            <w:r w:rsidR="00AF682B" w:rsidRPr="0075684F">
              <w:rPr>
                <w:rFonts w:ascii="Times New Roman" w:hAnsi="Times New Roman" w:cs="Times New Roman"/>
                <w:color w:val="000000"/>
                <w:sz w:val="20"/>
                <w:szCs w:val="20"/>
              </w:rPr>
              <w:t>,</w:t>
            </w:r>
            <w:r w:rsidRPr="0075684F">
              <w:rPr>
                <w:rFonts w:ascii="Times New Roman" w:hAnsi="Times New Roman" w:cs="Times New Roman"/>
                <w:color w:val="000000"/>
                <w:sz w:val="20"/>
                <w:szCs w:val="20"/>
              </w:rPr>
              <w:t>74</w:t>
            </w:r>
            <w:r w:rsidRPr="0075684F">
              <w:rPr>
                <w:rFonts w:ascii="Times New Roman" w:hAnsi="Times New Roman" w:cs="Times New Roman"/>
                <w:color w:val="000000"/>
                <w:sz w:val="20"/>
                <w:szCs w:val="20"/>
                <w:vertAlign w:val="superscript"/>
              </w:rPr>
              <w:t>****</w:t>
            </w:r>
          </w:p>
        </w:tc>
      </w:tr>
    </w:tbl>
    <w:p w14:paraId="41CF4DBF" w14:textId="2835C0F6" w:rsidR="00CC2F9F" w:rsidRPr="00B03142" w:rsidRDefault="0075684F" w:rsidP="0075684F">
      <w:pPr>
        <w:spacing w:line="276" w:lineRule="auto"/>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      </w:t>
      </w:r>
      <w:r w:rsidR="00430AD1" w:rsidRPr="00B03142">
        <w:rPr>
          <w:rFonts w:ascii="Times New Roman" w:hAnsi="Times New Roman" w:cs="Times New Roman"/>
          <w:sz w:val="20"/>
          <w:szCs w:val="20"/>
          <w:shd w:val="clear" w:color="auto" w:fill="FFFFFF"/>
        </w:rPr>
        <w:t xml:space="preserve">Not: </w:t>
      </w:r>
      <w:r w:rsidR="00DB1449" w:rsidRPr="00B03142">
        <w:rPr>
          <w:rFonts w:ascii="Times New Roman" w:hAnsi="Times New Roman" w:cs="Times New Roman"/>
          <w:b/>
          <w:bCs/>
          <w:sz w:val="20"/>
          <w:szCs w:val="20"/>
          <w:shd w:val="clear" w:color="auto" w:fill="FFFFFF"/>
        </w:rPr>
        <w:t>(a)</w:t>
      </w:r>
      <w:r w:rsidR="00DB1449" w:rsidRPr="00B03142">
        <w:rPr>
          <w:rFonts w:ascii="Times New Roman" w:hAnsi="Times New Roman" w:cs="Times New Roman"/>
          <w:sz w:val="20"/>
          <w:szCs w:val="20"/>
          <w:shd w:val="clear" w:color="auto" w:fill="FFFFFF"/>
        </w:rPr>
        <w:t xml:space="preserve"> </w:t>
      </w:r>
      <w:r w:rsidR="00096613" w:rsidRPr="00B03142">
        <w:rPr>
          <w:rFonts w:ascii="Times New Roman" w:hAnsi="Times New Roman" w:cs="Times New Roman"/>
          <w:sz w:val="20"/>
          <w:szCs w:val="20"/>
          <w:shd w:val="clear" w:color="auto" w:fill="FFFFFF"/>
        </w:rPr>
        <w:t xml:space="preserve">p &lt; </w:t>
      </w:r>
      <w:r w:rsidR="00AF682B" w:rsidRPr="00B03142">
        <w:rPr>
          <w:rFonts w:ascii="Times New Roman" w:hAnsi="Times New Roman" w:cs="Times New Roman"/>
          <w:sz w:val="20"/>
          <w:szCs w:val="20"/>
          <w:shd w:val="clear" w:color="auto" w:fill="FFFFFF"/>
        </w:rPr>
        <w:t>,</w:t>
      </w:r>
      <w:r w:rsidR="00096613" w:rsidRPr="00B03142">
        <w:rPr>
          <w:rFonts w:ascii="Times New Roman" w:hAnsi="Times New Roman" w:cs="Times New Roman"/>
          <w:sz w:val="20"/>
          <w:szCs w:val="20"/>
          <w:shd w:val="clear" w:color="auto" w:fill="FFFFFF"/>
        </w:rPr>
        <w:t xml:space="preserve">0001 ‘****’; p &lt; </w:t>
      </w:r>
      <w:r w:rsidR="00AF682B" w:rsidRPr="00B03142">
        <w:rPr>
          <w:rFonts w:ascii="Times New Roman" w:hAnsi="Times New Roman" w:cs="Times New Roman"/>
          <w:sz w:val="20"/>
          <w:szCs w:val="20"/>
          <w:shd w:val="clear" w:color="auto" w:fill="FFFFFF"/>
        </w:rPr>
        <w:t>,</w:t>
      </w:r>
      <w:r w:rsidR="00096613" w:rsidRPr="00B03142">
        <w:rPr>
          <w:rFonts w:ascii="Times New Roman" w:hAnsi="Times New Roman" w:cs="Times New Roman"/>
          <w:sz w:val="20"/>
          <w:szCs w:val="20"/>
          <w:shd w:val="clear" w:color="auto" w:fill="FFFFFF"/>
        </w:rPr>
        <w:t>001 ‘***’</w:t>
      </w:r>
      <w:r w:rsidR="00A92BAA" w:rsidRPr="00B03142">
        <w:rPr>
          <w:rFonts w:ascii="Times New Roman" w:hAnsi="Times New Roman" w:cs="Times New Roman"/>
          <w:sz w:val="20"/>
          <w:szCs w:val="20"/>
          <w:shd w:val="clear" w:color="auto" w:fill="FFFFFF"/>
        </w:rPr>
        <w:t>;</w:t>
      </w:r>
      <w:r w:rsidR="00096613" w:rsidRPr="00B03142">
        <w:rPr>
          <w:rFonts w:ascii="Times New Roman" w:hAnsi="Times New Roman" w:cs="Times New Roman"/>
          <w:sz w:val="20"/>
          <w:szCs w:val="20"/>
          <w:shd w:val="clear" w:color="auto" w:fill="FFFFFF"/>
        </w:rPr>
        <w:t xml:space="preserve"> p &lt; </w:t>
      </w:r>
      <w:r w:rsidR="00AF682B" w:rsidRPr="00B03142">
        <w:rPr>
          <w:rFonts w:ascii="Times New Roman" w:hAnsi="Times New Roman" w:cs="Times New Roman"/>
          <w:sz w:val="20"/>
          <w:szCs w:val="20"/>
          <w:shd w:val="clear" w:color="auto" w:fill="FFFFFF"/>
        </w:rPr>
        <w:t>,</w:t>
      </w:r>
      <w:r w:rsidR="00096613" w:rsidRPr="00B03142">
        <w:rPr>
          <w:rFonts w:ascii="Times New Roman" w:hAnsi="Times New Roman" w:cs="Times New Roman"/>
          <w:sz w:val="20"/>
          <w:szCs w:val="20"/>
          <w:shd w:val="clear" w:color="auto" w:fill="FFFFFF"/>
        </w:rPr>
        <w:t>01 ‘**’</w:t>
      </w:r>
      <w:r w:rsidR="00A92BAA" w:rsidRPr="00B03142">
        <w:rPr>
          <w:rFonts w:ascii="Times New Roman" w:hAnsi="Times New Roman" w:cs="Times New Roman"/>
          <w:sz w:val="20"/>
          <w:szCs w:val="20"/>
          <w:shd w:val="clear" w:color="auto" w:fill="FFFFFF"/>
        </w:rPr>
        <w:t>;</w:t>
      </w:r>
      <w:r w:rsidR="00096613" w:rsidRPr="00B03142">
        <w:rPr>
          <w:rFonts w:ascii="Times New Roman" w:hAnsi="Times New Roman" w:cs="Times New Roman"/>
          <w:sz w:val="20"/>
          <w:szCs w:val="20"/>
          <w:shd w:val="clear" w:color="auto" w:fill="FFFFFF"/>
        </w:rPr>
        <w:t xml:space="preserve"> p &lt; </w:t>
      </w:r>
      <w:r w:rsidR="00AF682B" w:rsidRPr="00B03142">
        <w:rPr>
          <w:rFonts w:ascii="Times New Roman" w:hAnsi="Times New Roman" w:cs="Times New Roman"/>
          <w:sz w:val="20"/>
          <w:szCs w:val="20"/>
          <w:shd w:val="clear" w:color="auto" w:fill="FFFFFF"/>
        </w:rPr>
        <w:t>,</w:t>
      </w:r>
      <w:r w:rsidR="00096613" w:rsidRPr="00B03142">
        <w:rPr>
          <w:rFonts w:ascii="Times New Roman" w:hAnsi="Times New Roman" w:cs="Times New Roman"/>
          <w:sz w:val="20"/>
          <w:szCs w:val="20"/>
          <w:shd w:val="clear" w:color="auto" w:fill="FFFFFF"/>
        </w:rPr>
        <w:t>05 ‘*’</w:t>
      </w:r>
      <w:r w:rsidR="00DB1449" w:rsidRPr="00B03142">
        <w:rPr>
          <w:rFonts w:ascii="Times New Roman" w:hAnsi="Times New Roman" w:cs="Times New Roman"/>
          <w:sz w:val="20"/>
          <w:szCs w:val="20"/>
          <w:shd w:val="clear" w:color="auto" w:fill="FFFFFF"/>
        </w:rPr>
        <w:t xml:space="preserve"> ; </w:t>
      </w:r>
      <w:r w:rsidR="00DB1449" w:rsidRPr="00B03142">
        <w:rPr>
          <w:rFonts w:ascii="Times New Roman" w:hAnsi="Times New Roman" w:cs="Times New Roman"/>
          <w:b/>
          <w:bCs/>
          <w:sz w:val="20"/>
          <w:szCs w:val="20"/>
          <w:shd w:val="clear" w:color="auto" w:fill="FFFFFF"/>
        </w:rPr>
        <w:t>(b)</w:t>
      </w:r>
      <w:r w:rsidR="00DB1449" w:rsidRPr="00B03142">
        <w:rPr>
          <w:rFonts w:ascii="Times New Roman" w:hAnsi="Times New Roman" w:cs="Times New Roman"/>
          <w:sz w:val="20"/>
          <w:szCs w:val="20"/>
          <w:shd w:val="clear" w:color="auto" w:fill="FFFFFF"/>
        </w:rPr>
        <w:t xml:space="preserve"> TFK</w:t>
      </w:r>
      <w:r w:rsidR="00EB492A" w:rsidRPr="00B03142">
        <w:rPr>
          <w:rFonts w:ascii="Times New Roman" w:hAnsi="Times New Roman" w:cs="Times New Roman"/>
          <w:sz w:val="20"/>
          <w:szCs w:val="20"/>
          <w:shd w:val="clear" w:color="auto" w:fill="FFFFFF"/>
        </w:rPr>
        <w:t>: Toplam Firma Kredileri</w:t>
      </w:r>
    </w:p>
    <w:p w14:paraId="46C5D8F3" w14:textId="7C42E36A" w:rsidR="00DF3289" w:rsidRPr="00D24427" w:rsidRDefault="00A16CA4" w:rsidP="00970C70">
      <w:pPr>
        <w:pStyle w:val="Heading2"/>
        <w:numPr>
          <w:ilvl w:val="1"/>
          <w:numId w:val="26"/>
        </w:numPr>
        <w:spacing w:after="240" w:line="276" w:lineRule="auto"/>
        <w:rPr>
          <w:strike/>
          <w:color w:val="FF0000"/>
        </w:rPr>
      </w:pPr>
      <w:r>
        <w:t xml:space="preserve">Kredi Piyasalarında Konjonktürel Gelişmeler ve Kredi Büyümesi </w:t>
      </w:r>
    </w:p>
    <w:p w14:paraId="4872E2FE" w14:textId="7C3B6A21" w:rsidR="00E57653" w:rsidRPr="00B03142" w:rsidRDefault="00053658" w:rsidP="00A70EAB">
      <w:pPr>
        <w:spacing w:after="0" w:line="276" w:lineRule="auto"/>
        <w:ind w:firstLine="360"/>
        <w:jc w:val="both"/>
        <w:rPr>
          <w:rFonts w:ascii="Times New Roman" w:hAnsi="Times New Roman" w:cs="Times New Roman"/>
          <w:sz w:val="24"/>
          <w:szCs w:val="24"/>
        </w:rPr>
      </w:pPr>
      <w:r w:rsidRPr="00B03142">
        <w:rPr>
          <w:rFonts w:ascii="Times New Roman" w:hAnsi="Times New Roman" w:cs="Times New Roman"/>
          <w:sz w:val="24"/>
          <w:szCs w:val="24"/>
        </w:rPr>
        <w:t xml:space="preserve">2000’li yılların başından itibaren yurtiçi kredi piyasalarını etkileyen yerli ve uluslararası ekonomik ve jeopolitik pek çok gelişme yaşanmıştır. </w:t>
      </w:r>
      <w:r w:rsidR="001C7A41" w:rsidRPr="00B03142">
        <w:rPr>
          <w:rFonts w:ascii="Times New Roman" w:hAnsi="Times New Roman" w:cs="Times New Roman"/>
          <w:sz w:val="24"/>
          <w:szCs w:val="24"/>
        </w:rPr>
        <w:t xml:space="preserve">Ayrıca </w:t>
      </w:r>
      <w:r w:rsidR="00CA6BD3" w:rsidRPr="00B03142">
        <w:rPr>
          <w:rFonts w:ascii="Times New Roman" w:hAnsi="Times New Roman" w:cs="Times New Roman"/>
          <w:sz w:val="24"/>
          <w:szCs w:val="24"/>
        </w:rPr>
        <w:t xml:space="preserve">bu dönemde </w:t>
      </w:r>
      <w:r w:rsidR="001C7A41" w:rsidRPr="00B03142">
        <w:rPr>
          <w:rFonts w:ascii="Times New Roman" w:hAnsi="Times New Roman" w:cs="Times New Roman"/>
          <w:sz w:val="24"/>
          <w:szCs w:val="24"/>
        </w:rPr>
        <w:t xml:space="preserve">doğrudan yerel kredi </w:t>
      </w:r>
      <w:r w:rsidR="00273E9B" w:rsidRPr="00B03142">
        <w:rPr>
          <w:rFonts w:ascii="Times New Roman" w:hAnsi="Times New Roman" w:cs="Times New Roman"/>
          <w:sz w:val="24"/>
          <w:szCs w:val="24"/>
        </w:rPr>
        <w:t xml:space="preserve">piyasalarını </w:t>
      </w:r>
      <w:r w:rsidR="001C7A41" w:rsidRPr="00B03142">
        <w:rPr>
          <w:rFonts w:ascii="Times New Roman" w:hAnsi="Times New Roman" w:cs="Times New Roman"/>
          <w:sz w:val="24"/>
          <w:szCs w:val="24"/>
        </w:rPr>
        <w:t>hedefleyen</w:t>
      </w:r>
      <w:r w:rsidR="00273E9B" w:rsidRPr="00B03142">
        <w:rPr>
          <w:rFonts w:ascii="Times New Roman" w:hAnsi="Times New Roman" w:cs="Times New Roman"/>
          <w:sz w:val="24"/>
          <w:szCs w:val="24"/>
        </w:rPr>
        <w:t xml:space="preserve">, bazen </w:t>
      </w:r>
      <w:r w:rsidR="005A0DCE" w:rsidRPr="00B03142">
        <w:rPr>
          <w:rFonts w:ascii="Times New Roman" w:hAnsi="Times New Roman" w:cs="Times New Roman"/>
          <w:sz w:val="24"/>
          <w:szCs w:val="24"/>
        </w:rPr>
        <w:t xml:space="preserve">piyasayı </w:t>
      </w:r>
      <w:r w:rsidR="00273E9B" w:rsidRPr="00B03142">
        <w:rPr>
          <w:rFonts w:ascii="Times New Roman" w:hAnsi="Times New Roman" w:cs="Times New Roman"/>
          <w:sz w:val="24"/>
          <w:szCs w:val="24"/>
        </w:rPr>
        <w:t xml:space="preserve">canlandırıcı bazen yatıştırıcı, </w:t>
      </w:r>
      <w:r w:rsidR="001C7A41" w:rsidRPr="00B03142">
        <w:rPr>
          <w:rFonts w:ascii="Times New Roman" w:hAnsi="Times New Roman" w:cs="Times New Roman"/>
          <w:sz w:val="24"/>
          <w:szCs w:val="24"/>
        </w:rPr>
        <w:t xml:space="preserve">kredi politikaları uygulanmıştır. </w:t>
      </w:r>
      <w:r w:rsidRPr="00B03142">
        <w:rPr>
          <w:rFonts w:ascii="Times New Roman" w:hAnsi="Times New Roman" w:cs="Times New Roman"/>
          <w:sz w:val="24"/>
          <w:szCs w:val="24"/>
        </w:rPr>
        <w:t xml:space="preserve">Bu gelişmelerin </w:t>
      </w:r>
      <w:r w:rsidR="001C7A41" w:rsidRPr="00B03142">
        <w:rPr>
          <w:rFonts w:ascii="Times New Roman" w:hAnsi="Times New Roman" w:cs="Times New Roman"/>
          <w:sz w:val="24"/>
          <w:szCs w:val="24"/>
        </w:rPr>
        <w:t xml:space="preserve">ve politika değişikliklerinin </w:t>
      </w:r>
      <w:r w:rsidRPr="00B03142">
        <w:rPr>
          <w:rFonts w:ascii="Times New Roman" w:hAnsi="Times New Roman" w:cs="Times New Roman"/>
          <w:sz w:val="24"/>
          <w:szCs w:val="24"/>
        </w:rPr>
        <w:t>yerel bankalarca firmalara tahsis e</w:t>
      </w:r>
      <w:r w:rsidR="00273E9B" w:rsidRPr="00B03142">
        <w:rPr>
          <w:rFonts w:ascii="Times New Roman" w:hAnsi="Times New Roman" w:cs="Times New Roman"/>
          <w:sz w:val="24"/>
          <w:szCs w:val="24"/>
        </w:rPr>
        <w:t>dilen kredileri</w:t>
      </w:r>
      <w:r w:rsidRPr="00B03142">
        <w:rPr>
          <w:rFonts w:ascii="Times New Roman" w:hAnsi="Times New Roman" w:cs="Times New Roman"/>
          <w:sz w:val="24"/>
          <w:szCs w:val="24"/>
        </w:rPr>
        <w:t xml:space="preserve"> nasıl etkilediğini tartışabilmek için bu bölümde reel kredi büyümesine ve net kredi kullanım</w:t>
      </w:r>
      <w:r w:rsidR="005E7BA9" w:rsidRPr="00B03142">
        <w:rPr>
          <w:rFonts w:ascii="Times New Roman" w:hAnsi="Times New Roman" w:cs="Times New Roman"/>
          <w:sz w:val="24"/>
          <w:szCs w:val="24"/>
        </w:rPr>
        <w:t xml:space="preserve">ının (NKK) milli gelir içindeki </w:t>
      </w:r>
      <w:r w:rsidRPr="00B03142">
        <w:rPr>
          <w:rFonts w:ascii="Times New Roman" w:hAnsi="Times New Roman" w:cs="Times New Roman"/>
          <w:sz w:val="24"/>
          <w:szCs w:val="24"/>
        </w:rPr>
        <w:t>oranına odaklanılacaktır.</w:t>
      </w:r>
      <w:r w:rsidR="00BB6990" w:rsidRPr="00B03142">
        <w:rPr>
          <w:rFonts w:ascii="Times New Roman" w:hAnsi="Times New Roman" w:cs="Times New Roman"/>
          <w:sz w:val="24"/>
          <w:szCs w:val="24"/>
        </w:rPr>
        <w:t xml:space="preserve"> </w:t>
      </w:r>
    </w:p>
    <w:p w14:paraId="6C11DCA8" w14:textId="6266EB0D" w:rsidR="00C53053" w:rsidRPr="00B03142" w:rsidRDefault="00FB7651" w:rsidP="00A70EAB">
      <w:pPr>
        <w:spacing w:after="0" w:line="276" w:lineRule="auto"/>
        <w:ind w:firstLine="360"/>
        <w:jc w:val="both"/>
        <w:rPr>
          <w:rFonts w:ascii="Times New Roman" w:hAnsi="Times New Roman" w:cs="Times New Roman"/>
          <w:sz w:val="24"/>
          <w:szCs w:val="24"/>
        </w:rPr>
      </w:pPr>
      <w:r w:rsidRPr="00B03142">
        <w:rPr>
          <w:rFonts w:ascii="Times New Roman" w:hAnsi="Times New Roman" w:cs="Times New Roman"/>
          <w:sz w:val="24"/>
          <w:szCs w:val="24"/>
        </w:rPr>
        <w:lastRenderedPageBreak/>
        <w:t>Reel krediler nominal kredilerin milli gelir deflatörüne bölünmesiyle elde edilmiştir.</w:t>
      </w:r>
      <w:r w:rsidR="00221F2F">
        <w:rPr>
          <w:rStyle w:val="FootnoteReference"/>
          <w:rFonts w:ascii="Times New Roman" w:hAnsi="Times New Roman" w:cs="Times New Roman"/>
          <w:sz w:val="24"/>
          <w:szCs w:val="24"/>
        </w:rPr>
        <w:footnoteReference w:id="12"/>
      </w:r>
      <w:r w:rsidRPr="00B03142">
        <w:rPr>
          <w:rFonts w:ascii="Times New Roman" w:hAnsi="Times New Roman" w:cs="Times New Roman"/>
          <w:sz w:val="24"/>
          <w:szCs w:val="24"/>
        </w:rPr>
        <w:t xml:space="preserve"> </w:t>
      </w:r>
      <w:r w:rsidR="00BB6990" w:rsidRPr="00B03142">
        <w:rPr>
          <w:rFonts w:ascii="Times New Roman" w:hAnsi="Times New Roman" w:cs="Times New Roman"/>
          <w:sz w:val="24"/>
          <w:szCs w:val="24"/>
        </w:rPr>
        <w:t>NKK</w:t>
      </w:r>
      <w:r w:rsidRPr="00B03142">
        <w:rPr>
          <w:rFonts w:ascii="Times New Roman" w:hAnsi="Times New Roman" w:cs="Times New Roman"/>
          <w:sz w:val="24"/>
          <w:szCs w:val="24"/>
        </w:rPr>
        <w:t>’nın</w:t>
      </w:r>
      <w:r w:rsidR="00BB6990" w:rsidRPr="00B03142">
        <w:rPr>
          <w:rFonts w:ascii="Times New Roman" w:hAnsi="Times New Roman" w:cs="Times New Roman"/>
          <w:sz w:val="24"/>
          <w:szCs w:val="24"/>
        </w:rPr>
        <w:t xml:space="preserve"> milli gelir içindeki payı serisi (</w:t>
      </w:r>
      <m:oMath>
        <m:r>
          <w:rPr>
            <w:rFonts w:ascii="Cambria Math" w:hAnsi="Cambria Math" w:cs="Times New Roman"/>
            <w:sz w:val="24"/>
            <w:szCs w:val="24"/>
          </w:rPr>
          <m:t>NKK/GSYH</m:t>
        </m:r>
      </m:oMath>
      <w:r w:rsidR="00BB6990" w:rsidRPr="00B03142">
        <w:rPr>
          <w:rFonts w:ascii="Times New Roman" w:hAnsi="Times New Roman" w:cs="Times New Roman"/>
          <w:sz w:val="24"/>
          <w:szCs w:val="24"/>
        </w:rPr>
        <w:t xml:space="preserve">) </w:t>
      </w:r>
      <w:r w:rsidRPr="00B03142">
        <w:rPr>
          <w:rFonts w:ascii="Times New Roman" w:hAnsi="Times New Roman" w:cs="Times New Roman"/>
          <w:sz w:val="24"/>
          <w:szCs w:val="24"/>
        </w:rPr>
        <w:t xml:space="preserve">ise Kara vd. (2014) çalışmasında önerildiği şekilde nominal kredi stokundaki yıllık değişimin bir önceki yılın nominal GSYH büyüklüğüne oranı olarak </w:t>
      </w:r>
      <w:r w:rsidR="00BB6990" w:rsidRPr="00B03142">
        <w:rPr>
          <w:rFonts w:ascii="Times New Roman" w:hAnsi="Times New Roman" w:cs="Times New Roman"/>
          <w:sz w:val="24"/>
          <w:szCs w:val="24"/>
        </w:rPr>
        <w:t>tanımlanmıştır.</w:t>
      </w:r>
      <w:r w:rsidR="00221F2F">
        <w:rPr>
          <w:rStyle w:val="FootnoteReference"/>
          <w:rFonts w:ascii="Times New Roman" w:hAnsi="Times New Roman" w:cs="Times New Roman"/>
          <w:sz w:val="24"/>
          <w:szCs w:val="24"/>
        </w:rPr>
        <w:footnoteReference w:id="13"/>
      </w:r>
      <w:r w:rsidRPr="00B03142">
        <w:rPr>
          <w:rFonts w:ascii="Times New Roman" w:hAnsi="Times New Roman" w:cs="Times New Roman"/>
          <w:sz w:val="24"/>
          <w:szCs w:val="24"/>
        </w:rPr>
        <w:t xml:space="preserve"> Kara vd. (2014) bu göstergeyi kredi büyümesin</w:t>
      </w:r>
      <w:r w:rsidR="009012AC" w:rsidRPr="00B03142">
        <w:rPr>
          <w:rFonts w:ascii="Times New Roman" w:hAnsi="Times New Roman" w:cs="Times New Roman"/>
          <w:sz w:val="24"/>
          <w:szCs w:val="24"/>
        </w:rPr>
        <w:t xml:space="preserve">i milli gelir gelişmeleriyle birlikte takip etme fırsatı verdiği için kredi genişlemelerinin </w:t>
      </w:r>
      <w:r w:rsidRPr="00B03142">
        <w:rPr>
          <w:rFonts w:ascii="Times New Roman" w:hAnsi="Times New Roman" w:cs="Times New Roman"/>
          <w:sz w:val="24"/>
          <w:szCs w:val="24"/>
        </w:rPr>
        <w:t>finansal istikrarı tehdit edici</w:t>
      </w:r>
      <w:r w:rsidR="005A0DCE" w:rsidRPr="00B03142">
        <w:rPr>
          <w:rFonts w:ascii="Times New Roman" w:hAnsi="Times New Roman" w:cs="Times New Roman"/>
          <w:sz w:val="24"/>
          <w:szCs w:val="24"/>
        </w:rPr>
        <w:t xml:space="preserve"> seviyelere ulaşıp ulaşmadığını</w:t>
      </w:r>
      <w:r w:rsidRPr="00B03142">
        <w:rPr>
          <w:rFonts w:ascii="Times New Roman" w:hAnsi="Times New Roman" w:cs="Times New Roman"/>
          <w:sz w:val="24"/>
          <w:szCs w:val="24"/>
        </w:rPr>
        <w:t xml:space="preserve"> </w:t>
      </w:r>
      <w:r w:rsidR="005A0DCE" w:rsidRPr="00B03142">
        <w:rPr>
          <w:rFonts w:ascii="Times New Roman" w:hAnsi="Times New Roman" w:cs="Times New Roman"/>
          <w:sz w:val="24"/>
          <w:szCs w:val="24"/>
        </w:rPr>
        <w:t>izlemek</w:t>
      </w:r>
      <w:r w:rsidRPr="00B03142">
        <w:rPr>
          <w:rFonts w:ascii="Times New Roman" w:hAnsi="Times New Roman" w:cs="Times New Roman"/>
          <w:sz w:val="24"/>
          <w:szCs w:val="24"/>
        </w:rPr>
        <w:t xml:space="preserve"> ve Türkiye için risk yaratmayacak optimal kredi büyüme oranı önermek </w:t>
      </w:r>
      <w:r w:rsidR="00C53053" w:rsidRPr="00B03142">
        <w:rPr>
          <w:rFonts w:ascii="Times New Roman" w:hAnsi="Times New Roman" w:cs="Times New Roman"/>
          <w:sz w:val="24"/>
          <w:szCs w:val="24"/>
        </w:rPr>
        <w:t xml:space="preserve">amacıyla </w:t>
      </w:r>
      <w:r w:rsidRPr="00B03142">
        <w:rPr>
          <w:rFonts w:ascii="Times New Roman" w:hAnsi="Times New Roman" w:cs="Times New Roman"/>
          <w:sz w:val="24"/>
          <w:szCs w:val="24"/>
        </w:rPr>
        <w:t>kullanmışlardır.</w:t>
      </w:r>
      <w:r w:rsidR="00D11840" w:rsidRPr="00B03142">
        <w:rPr>
          <w:rStyle w:val="FootnoteReference"/>
          <w:rFonts w:ascii="Times New Roman" w:hAnsi="Times New Roman" w:cs="Times New Roman"/>
          <w:sz w:val="24"/>
          <w:szCs w:val="24"/>
        </w:rPr>
        <w:footnoteReference w:id="14"/>
      </w:r>
      <w:r w:rsidRPr="00B03142">
        <w:rPr>
          <w:rFonts w:ascii="Times New Roman" w:hAnsi="Times New Roman" w:cs="Times New Roman"/>
          <w:sz w:val="24"/>
          <w:szCs w:val="24"/>
        </w:rPr>
        <w:t xml:space="preserve"> </w:t>
      </w:r>
      <w:r w:rsidR="00D11840" w:rsidRPr="00B03142">
        <w:rPr>
          <w:rFonts w:ascii="Times New Roman" w:hAnsi="Times New Roman" w:cs="Times New Roman"/>
          <w:sz w:val="24"/>
          <w:szCs w:val="24"/>
        </w:rPr>
        <w:t>TCMB Finansal İstikrar Rapor</w:t>
      </w:r>
      <w:r w:rsidR="00134651" w:rsidRPr="00B03142">
        <w:rPr>
          <w:rFonts w:ascii="Times New Roman" w:hAnsi="Times New Roman" w:cs="Times New Roman"/>
          <w:sz w:val="24"/>
          <w:szCs w:val="24"/>
        </w:rPr>
        <w:t xml:space="preserve">larında da aynı gösterge kredi genişlemesinin takibi için </w:t>
      </w:r>
      <w:r w:rsidR="00C53053" w:rsidRPr="00B03142">
        <w:rPr>
          <w:rFonts w:ascii="Times New Roman" w:hAnsi="Times New Roman" w:cs="Times New Roman"/>
          <w:sz w:val="24"/>
          <w:szCs w:val="24"/>
        </w:rPr>
        <w:t xml:space="preserve">çeyreklik sıklıkta </w:t>
      </w:r>
      <w:r w:rsidR="00134651" w:rsidRPr="00B03142">
        <w:rPr>
          <w:rFonts w:ascii="Times New Roman" w:hAnsi="Times New Roman" w:cs="Times New Roman"/>
          <w:sz w:val="24"/>
          <w:szCs w:val="24"/>
        </w:rPr>
        <w:t>kullanmaktadır.</w:t>
      </w:r>
      <w:r w:rsidR="00D11840" w:rsidRPr="00B03142">
        <w:rPr>
          <w:rFonts w:ascii="Times New Roman" w:hAnsi="Times New Roman" w:cs="Times New Roman"/>
          <w:sz w:val="24"/>
          <w:szCs w:val="24"/>
        </w:rPr>
        <w:t xml:space="preserve"> </w:t>
      </w:r>
    </w:p>
    <w:p w14:paraId="4BBA9E07" w14:textId="11C43DE1" w:rsidR="000B53D6" w:rsidRPr="00B03142" w:rsidRDefault="00516550" w:rsidP="00A70EAB">
      <w:pPr>
        <w:pStyle w:val="Caption"/>
        <w:keepNext/>
        <w:spacing w:before="240" w:line="276" w:lineRule="auto"/>
        <w:jc w:val="center"/>
        <w:rPr>
          <w:rFonts w:ascii="Times New Roman" w:hAnsi="Times New Roman" w:cs="Times New Roman"/>
          <w:b/>
          <w:bCs/>
          <w:i w:val="0"/>
          <w:iCs w:val="0"/>
          <w:sz w:val="22"/>
          <w:szCs w:val="22"/>
        </w:rPr>
      </w:pPr>
      <w:r w:rsidRPr="00B03142">
        <w:rPr>
          <w:rFonts w:ascii="Times New Roman" w:hAnsi="Times New Roman" w:cs="Times New Roman"/>
          <w:b/>
          <w:bCs/>
          <w:i w:val="0"/>
          <w:iCs w:val="0"/>
          <w:sz w:val="22"/>
          <w:szCs w:val="22"/>
        </w:rPr>
        <w:t>Ş</w:t>
      </w:r>
      <w:r w:rsidRPr="00A70EAB">
        <w:rPr>
          <w:rFonts w:ascii="Times New Roman" w:hAnsi="Times New Roman" w:cs="Times New Roman"/>
          <w:b/>
          <w:bCs/>
          <w:i w:val="0"/>
          <w:iCs w:val="0"/>
          <w:color w:val="auto"/>
          <w:sz w:val="22"/>
          <w:szCs w:val="22"/>
        </w:rPr>
        <w:t xml:space="preserve">ekil </w:t>
      </w:r>
      <w:r w:rsidR="00ED08B2" w:rsidRPr="00A70EAB">
        <w:rPr>
          <w:rFonts w:ascii="Times New Roman" w:hAnsi="Times New Roman" w:cs="Times New Roman"/>
          <w:b/>
          <w:bCs/>
          <w:i w:val="0"/>
          <w:iCs w:val="0"/>
          <w:color w:val="auto"/>
          <w:sz w:val="22"/>
          <w:szCs w:val="22"/>
        </w:rPr>
        <w:fldChar w:fldCharType="begin"/>
      </w:r>
      <w:r w:rsidR="00ED08B2" w:rsidRPr="00A70EAB">
        <w:rPr>
          <w:rFonts w:ascii="Times New Roman" w:hAnsi="Times New Roman" w:cs="Times New Roman"/>
          <w:b/>
          <w:bCs/>
          <w:i w:val="0"/>
          <w:iCs w:val="0"/>
          <w:color w:val="auto"/>
          <w:sz w:val="22"/>
          <w:szCs w:val="22"/>
        </w:rPr>
        <w:instrText xml:space="preserve"> SEQ Şekil \* ARABIC </w:instrText>
      </w:r>
      <w:r w:rsidR="00ED08B2" w:rsidRPr="00A70EAB">
        <w:rPr>
          <w:rFonts w:ascii="Times New Roman" w:hAnsi="Times New Roman" w:cs="Times New Roman"/>
          <w:b/>
          <w:bCs/>
          <w:i w:val="0"/>
          <w:iCs w:val="0"/>
          <w:color w:val="auto"/>
          <w:sz w:val="22"/>
          <w:szCs w:val="22"/>
        </w:rPr>
        <w:fldChar w:fldCharType="separate"/>
      </w:r>
      <w:r w:rsidR="0057441E">
        <w:rPr>
          <w:rFonts w:ascii="Times New Roman" w:hAnsi="Times New Roman" w:cs="Times New Roman"/>
          <w:b/>
          <w:bCs/>
          <w:i w:val="0"/>
          <w:iCs w:val="0"/>
          <w:noProof/>
          <w:color w:val="auto"/>
          <w:sz w:val="22"/>
          <w:szCs w:val="22"/>
        </w:rPr>
        <w:t>5</w:t>
      </w:r>
      <w:r w:rsidR="00ED08B2" w:rsidRPr="00A70EAB">
        <w:rPr>
          <w:rFonts w:ascii="Times New Roman" w:hAnsi="Times New Roman" w:cs="Times New Roman"/>
          <w:b/>
          <w:bCs/>
          <w:i w:val="0"/>
          <w:iCs w:val="0"/>
          <w:color w:val="auto"/>
          <w:sz w:val="22"/>
          <w:szCs w:val="22"/>
        </w:rPr>
        <w:fldChar w:fldCharType="end"/>
      </w:r>
      <w:r w:rsidRPr="00A70EAB">
        <w:rPr>
          <w:rFonts w:ascii="Times New Roman" w:hAnsi="Times New Roman" w:cs="Times New Roman"/>
          <w:b/>
          <w:bCs/>
          <w:i w:val="0"/>
          <w:iCs w:val="0"/>
          <w:color w:val="auto"/>
          <w:sz w:val="22"/>
          <w:szCs w:val="22"/>
        </w:rPr>
        <w:t xml:space="preserve">. </w:t>
      </w:r>
      <w:r w:rsidR="00B03FE7" w:rsidRPr="00A70EAB">
        <w:rPr>
          <w:rFonts w:ascii="Times New Roman" w:hAnsi="Times New Roman" w:cs="Times New Roman"/>
          <w:b/>
          <w:bCs/>
          <w:i w:val="0"/>
          <w:iCs w:val="0"/>
          <w:color w:val="auto"/>
          <w:sz w:val="22"/>
          <w:szCs w:val="22"/>
        </w:rPr>
        <w:t>Reel Kredi Büyüme Oranı</w:t>
      </w:r>
      <w:r w:rsidRPr="00A70EAB">
        <w:rPr>
          <w:rFonts w:ascii="Times New Roman" w:hAnsi="Times New Roman" w:cs="Times New Roman"/>
          <w:b/>
          <w:bCs/>
          <w:i w:val="0"/>
          <w:iCs w:val="0"/>
          <w:color w:val="auto"/>
          <w:sz w:val="22"/>
          <w:szCs w:val="22"/>
        </w:rPr>
        <w:t xml:space="preserve"> </w:t>
      </w:r>
      <w:r w:rsidR="00C70318" w:rsidRPr="00A70EAB">
        <w:rPr>
          <w:rFonts w:ascii="Times New Roman" w:hAnsi="Times New Roman" w:cs="Times New Roman"/>
          <w:b/>
          <w:bCs/>
          <w:i w:val="0"/>
          <w:iCs w:val="0"/>
          <w:color w:val="auto"/>
          <w:sz w:val="22"/>
          <w:szCs w:val="22"/>
        </w:rPr>
        <w:t xml:space="preserve">ve </w:t>
      </w:r>
      <w:r w:rsidR="00B03FE7" w:rsidRPr="00A70EAB">
        <w:rPr>
          <w:rFonts w:ascii="Times New Roman" w:hAnsi="Times New Roman" w:cs="Times New Roman"/>
          <w:b/>
          <w:bCs/>
          <w:i w:val="0"/>
          <w:iCs w:val="0"/>
          <w:color w:val="auto"/>
          <w:sz w:val="22"/>
          <w:szCs w:val="22"/>
        </w:rPr>
        <w:t xml:space="preserve">NKK/GSYH </w:t>
      </w:r>
      <w:r w:rsidR="00050221" w:rsidRPr="00A70EAB">
        <w:rPr>
          <w:rFonts w:ascii="Times New Roman" w:hAnsi="Times New Roman" w:cs="Times New Roman"/>
          <w:b/>
          <w:bCs/>
          <w:i w:val="0"/>
          <w:iCs w:val="0"/>
          <w:color w:val="auto"/>
          <w:sz w:val="22"/>
          <w:szCs w:val="22"/>
        </w:rPr>
        <w:t>Oranı</w:t>
      </w:r>
      <w:r w:rsidR="00C70318" w:rsidRPr="00A70EAB">
        <w:rPr>
          <w:rFonts w:ascii="Times New Roman" w:hAnsi="Times New Roman" w:cs="Times New Roman"/>
          <w:b/>
          <w:bCs/>
          <w:i w:val="0"/>
          <w:iCs w:val="0"/>
          <w:color w:val="auto"/>
          <w:sz w:val="22"/>
          <w:szCs w:val="22"/>
        </w:rPr>
        <w:t xml:space="preserve"> </w:t>
      </w:r>
      <w:r w:rsidRPr="00A70EAB">
        <w:rPr>
          <w:rFonts w:ascii="Times New Roman" w:hAnsi="Times New Roman" w:cs="Times New Roman"/>
          <w:b/>
          <w:bCs/>
          <w:i w:val="0"/>
          <w:iCs w:val="0"/>
          <w:color w:val="auto"/>
          <w:sz w:val="22"/>
          <w:szCs w:val="22"/>
        </w:rPr>
        <w:t>(%)</w:t>
      </w:r>
    </w:p>
    <w:p w14:paraId="32A8CCD2" w14:textId="23936D63" w:rsidR="00560B8A" w:rsidRPr="00B03142" w:rsidRDefault="00DA6623" w:rsidP="00221F2F">
      <w:pPr>
        <w:spacing w:after="0" w:line="276" w:lineRule="auto"/>
        <w:jc w:val="center"/>
      </w:pPr>
      <w:r w:rsidRPr="00B03142">
        <w:rPr>
          <w:noProof/>
          <w:lang w:eastAsia="tr-TR"/>
        </w:rPr>
        <w:drawing>
          <wp:inline distT="0" distB="0" distL="0" distR="0" wp14:anchorId="29C2E313" wp14:editId="1714D3F8">
            <wp:extent cx="4704521" cy="2488470"/>
            <wp:effectExtent l="0" t="0" r="127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728876" cy="2501353"/>
                    </a:xfrm>
                    <a:prstGeom prst="rect">
                      <a:avLst/>
                    </a:prstGeom>
                  </pic:spPr>
                </pic:pic>
              </a:graphicData>
            </a:graphic>
          </wp:inline>
        </w:drawing>
      </w:r>
    </w:p>
    <w:p w14:paraId="0C239D44" w14:textId="0946E9DB" w:rsidR="00A034F5" w:rsidRPr="00E35968" w:rsidRDefault="00A034F5" w:rsidP="0075684F">
      <w:pPr>
        <w:spacing w:after="0" w:line="276" w:lineRule="auto"/>
        <w:ind w:left="1350" w:right="1080"/>
        <w:rPr>
          <w:sz w:val="20"/>
        </w:rPr>
      </w:pPr>
      <w:r w:rsidRPr="00E35968">
        <w:rPr>
          <w:rFonts w:ascii="Times New Roman" w:hAnsi="Times New Roman" w:cs="Times New Roman"/>
          <w:sz w:val="16"/>
          <w:szCs w:val="18"/>
        </w:rPr>
        <w:t>Kaynak: TCMB, TBB Risk Merkezi</w:t>
      </w:r>
    </w:p>
    <w:p w14:paraId="04539C11" w14:textId="266F7309" w:rsidR="00A70EAB" w:rsidRDefault="00644996" w:rsidP="0075684F">
      <w:pPr>
        <w:spacing w:line="276" w:lineRule="auto"/>
        <w:ind w:left="1350" w:right="1080"/>
        <w:jc w:val="both"/>
        <w:rPr>
          <w:rFonts w:ascii="Times New Roman" w:eastAsiaTheme="minorEastAsia" w:hAnsi="Times New Roman" w:cs="Times New Roman"/>
          <w:sz w:val="16"/>
          <w:szCs w:val="18"/>
        </w:rPr>
      </w:pPr>
      <w:r w:rsidRPr="00E35968">
        <w:rPr>
          <w:rFonts w:ascii="Times New Roman" w:hAnsi="Times New Roman" w:cs="Times New Roman"/>
          <w:sz w:val="16"/>
          <w:szCs w:val="18"/>
        </w:rPr>
        <w:t xml:space="preserve">Not: </w:t>
      </w:r>
      <w:r w:rsidR="00FB7651" w:rsidRPr="00E35968">
        <w:rPr>
          <w:rFonts w:ascii="Times New Roman" w:eastAsiaTheme="minorEastAsia" w:hAnsi="Times New Roman" w:cs="Times New Roman"/>
          <w:sz w:val="16"/>
          <w:szCs w:val="18"/>
        </w:rPr>
        <w:t>Düz yatay çizgi NKK/GSYH oranının 2000-2021 dönemindeki yıllık ortalamasını, altındaki ve üzerindeki noktalı çizgi ise 1.5 standart sapma sınırlarını göstermekted</w:t>
      </w:r>
      <w:r w:rsidR="00EB1FD8" w:rsidRPr="00E35968">
        <w:rPr>
          <w:rFonts w:ascii="Times New Roman" w:eastAsiaTheme="minorEastAsia" w:hAnsi="Times New Roman" w:cs="Times New Roman"/>
          <w:sz w:val="16"/>
          <w:szCs w:val="18"/>
        </w:rPr>
        <w:t>i</w:t>
      </w:r>
      <w:r w:rsidR="00FB7651" w:rsidRPr="00E35968">
        <w:rPr>
          <w:rFonts w:ascii="Times New Roman" w:eastAsiaTheme="minorEastAsia" w:hAnsi="Times New Roman" w:cs="Times New Roman"/>
          <w:sz w:val="16"/>
          <w:szCs w:val="18"/>
        </w:rPr>
        <w:t>r.</w:t>
      </w:r>
    </w:p>
    <w:p w14:paraId="15CAA0C1" w14:textId="5058FC34" w:rsidR="00AF795A" w:rsidRDefault="00081791" w:rsidP="00A70EAB">
      <w:pPr>
        <w:spacing w:after="0" w:line="276" w:lineRule="auto"/>
        <w:ind w:firstLine="360"/>
        <w:jc w:val="both"/>
        <w:rPr>
          <w:rFonts w:ascii="Times New Roman" w:hAnsi="Times New Roman" w:cs="Times New Roman"/>
          <w:sz w:val="24"/>
          <w:szCs w:val="24"/>
        </w:rPr>
      </w:pPr>
      <w:r>
        <w:rPr>
          <w:rFonts w:ascii="Times New Roman" w:hAnsi="Times New Roman" w:cs="Times New Roman"/>
          <w:sz w:val="24"/>
          <w:szCs w:val="24"/>
        </w:rPr>
        <w:t>Şekil 5’te</w:t>
      </w:r>
      <w:r w:rsidR="00EB1FD8" w:rsidRPr="00B03142">
        <w:rPr>
          <w:rFonts w:ascii="Times New Roman" w:hAnsi="Times New Roman" w:cs="Times New Roman"/>
          <w:sz w:val="24"/>
          <w:szCs w:val="24"/>
        </w:rPr>
        <w:t xml:space="preserve"> </w:t>
      </w:r>
      <w:r w:rsidR="004F1887" w:rsidRPr="00B03142">
        <w:rPr>
          <w:rFonts w:ascii="Times New Roman" w:hAnsi="Times New Roman" w:cs="Times New Roman"/>
          <w:sz w:val="24"/>
          <w:szCs w:val="24"/>
        </w:rPr>
        <w:t>bu iki seri, NKK/GSYH’nin ilgili dönemdeki</w:t>
      </w:r>
      <w:r w:rsidR="00EB1FD8" w:rsidRPr="00B03142">
        <w:rPr>
          <w:rFonts w:ascii="Times New Roman" w:hAnsi="Times New Roman" w:cs="Times New Roman"/>
          <w:sz w:val="24"/>
          <w:szCs w:val="24"/>
        </w:rPr>
        <w:t xml:space="preserve"> ortalama değeri (yatay düz çizgi) ve +/- 1.5 standart sapma aralığıyla (yatay kesikli çizgi</w:t>
      </w:r>
      <w:r w:rsidR="001F5C91" w:rsidRPr="00B03142">
        <w:rPr>
          <w:rFonts w:ascii="Times New Roman" w:hAnsi="Times New Roman" w:cs="Times New Roman"/>
          <w:sz w:val="24"/>
          <w:szCs w:val="24"/>
        </w:rPr>
        <w:t>ler</w:t>
      </w:r>
      <w:r w:rsidR="00EB1FD8" w:rsidRPr="00B03142">
        <w:rPr>
          <w:rFonts w:ascii="Times New Roman" w:hAnsi="Times New Roman" w:cs="Times New Roman"/>
          <w:sz w:val="24"/>
          <w:szCs w:val="24"/>
        </w:rPr>
        <w:t xml:space="preserve">) birlikte, sunulmuştur. </w:t>
      </w:r>
      <w:r w:rsidR="00C53053" w:rsidRPr="00B03142">
        <w:rPr>
          <w:rFonts w:ascii="Times New Roman" w:hAnsi="Times New Roman" w:cs="Times New Roman"/>
          <w:sz w:val="24"/>
          <w:szCs w:val="24"/>
        </w:rPr>
        <w:t>Her iki serinin 2000’lerin başından itibaren gelişme trendi 2021 yılı dışında benzerdir.</w:t>
      </w:r>
      <w:r w:rsidR="008E4EA2" w:rsidRPr="00B03142">
        <w:rPr>
          <w:rFonts w:ascii="Times New Roman" w:hAnsi="Times New Roman" w:cs="Times New Roman"/>
          <w:sz w:val="24"/>
          <w:szCs w:val="24"/>
        </w:rPr>
        <w:t xml:space="preserve"> NKK/GSYH oranının </w:t>
      </w:r>
      <w:r w:rsidR="00215DD6" w:rsidRPr="00B03142">
        <w:rPr>
          <w:rFonts w:ascii="Times New Roman" w:hAnsi="Times New Roman" w:cs="Times New Roman"/>
          <w:sz w:val="24"/>
          <w:szCs w:val="24"/>
        </w:rPr>
        <w:t>pozitif ama sıfıra yaklaştığı ancak</w:t>
      </w:r>
      <w:r w:rsidR="008E4EA2" w:rsidRPr="00B03142">
        <w:rPr>
          <w:rFonts w:ascii="Times New Roman" w:hAnsi="Times New Roman" w:cs="Times New Roman"/>
          <w:sz w:val="24"/>
          <w:szCs w:val="24"/>
        </w:rPr>
        <w:t xml:space="preserve"> reel kredi değişiminin negatife döndüğü </w:t>
      </w:r>
      <w:r w:rsidR="008E4EA2" w:rsidRPr="00221F2F">
        <w:rPr>
          <w:rFonts w:ascii="Times New Roman" w:hAnsi="Times New Roman" w:cs="Times New Roman"/>
          <w:color w:val="000000" w:themeColor="text1"/>
          <w:sz w:val="24"/>
          <w:szCs w:val="24"/>
        </w:rPr>
        <w:t>dönemler fiyat artışının</w:t>
      </w:r>
      <w:r w:rsidR="00AF795A" w:rsidRPr="00221F2F">
        <w:rPr>
          <w:rFonts w:ascii="Times New Roman" w:hAnsi="Times New Roman" w:cs="Times New Roman"/>
          <w:color w:val="000000" w:themeColor="text1"/>
          <w:sz w:val="24"/>
          <w:szCs w:val="24"/>
        </w:rPr>
        <w:t xml:space="preserve"> </w:t>
      </w:r>
      <w:r w:rsidR="008E4EA2" w:rsidRPr="00B03142">
        <w:rPr>
          <w:rFonts w:ascii="Times New Roman" w:hAnsi="Times New Roman" w:cs="Times New Roman"/>
          <w:sz w:val="24"/>
          <w:szCs w:val="24"/>
        </w:rPr>
        <w:t xml:space="preserve">kredi </w:t>
      </w:r>
      <w:r w:rsidR="001A2A81" w:rsidRPr="00B03142">
        <w:rPr>
          <w:rFonts w:ascii="Times New Roman" w:hAnsi="Times New Roman" w:cs="Times New Roman"/>
          <w:sz w:val="24"/>
          <w:szCs w:val="24"/>
        </w:rPr>
        <w:t>artışından</w:t>
      </w:r>
      <w:r w:rsidR="008E4EA2" w:rsidRPr="00B03142">
        <w:rPr>
          <w:rFonts w:ascii="Times New Roman" w:hAnsi="Times New Roman" w:cs="Times New Roman"/>
          <w:sz w:val="24"/>
          <w:szCs w:val="24"/>
        </w:rPr>
        <w:t xml:space="preserve"> daha fazla olduğunu göstermektedir. Diğer taraftan reel kredi artışının çok yüksek olduğu dönemlerde NKK/GSYH oranının daha düşük seviyede seyretmesi bu dönemlerde milli gelir</w:t>
      </w:r>
      <w:r w:rsidR="000F2273" w:rsidRPr="00B03142">
        <w:rPr>
          <w:rFonts w:ascii="Times New Roman" w:hAnsi="Times New Roman" w:cs="Times New Roman"/>
          <w:sz w:val="24"/>
          <w:szCs w:val="24"/>
        </w:rPr>
        <w:t>in kredi</w:t>
      </w:r>
      <w:r w:rsidR="00384F67" w:rsidRPr="00B03142">
        <w:rPr>
          <w:rFonts w:ascii="Times New Roman" w:hAnsi="Times New Roman" w:cs="Times New Roman"/>
          <w:sz w:val="24"/>
          <w:szCs w:val="24"/>
        </w:rPr>
        <w:t>-</w:t>
      </w:r>
      <w:r w:rsidR="000F2273" w:rsidRPr="00B03142">
        <w:rPr>
          <w:rFonts w:ascii="Times New Roman" w:hAnsi="Times New Roman" w:cs="Times New Roman"/>
          <w:sz w:val="24"/>
          <w:szCs w:val="24"/>
        </w:rPr>
        <w:t xml:space="preserve">milli gelir oranını düşük tutacak seviyede </w:t>
      </w:r>
      <w:r w:rsidR="008E4EA2" w:rsidRPr="00B03142">
        <w:rPr>
          <w:rFonts w:ascii="Times New Roman" w:hAnsi="Times New Roman" w:cs="Times New Roman"/>
          <w:sz w:val="24"/>
          <w:szCs w:val="24"/>
        </w:rPr>
        <w:t>yüksek olmasından kaynaklanmaktadır.</w:t>
      </w:r>
      <w:r w:rsidR="000F2273" w:rsidRPr="00B03142">
        <w:rPr>
          <w:rFonts w:ascii="Times New Roman" w:hAnsi="Times New Roman" w:cs="Times New Roman"/>
          <w:sz w:val="24"/>
          <w:szCs w:val="24"/>
        </w:rPr>
        <w:t xml:space="preserve"> </w:t>
      </w:r>
    </w:p>
    <w:p w14:paraId="5EBEF9B7" w14:textId="463FFE39" w:rsidR="00882162" w:rsidRPr="00AF795A" w:rsidRDefault="00E67627" w:rsidP="00A70EAB">
      <w:pPr>
        <w:spacing w:after="0" w:line="276" w:lineRule="auto"/>
        <w:ind w:firstLine="360"/>
        <w:jc w:val="both"/>
        <w:rPr>
          <w:rFonts w:ascii="Times New Roman" w:hAnsi="Times New Roman" w:cs="Times New Roman"/>
          <w:strike/>
          <w:sz w:val="24"/>
          <w:szCs w:val="24"/>
        </w:rPr>
      </w:pPr>
      <w:r w:rsidRPr="00B03142">
        <w:rPr>
          <w:rFonts w:ascii="Times New Roman" w:hAnsi="Times New Roman" w:cs="Times New Roman"/>
          <w:sz w:val="24"/>
          <w:szCs w:val="24"/>
        </w:rPr>
        <w:t xml:space="preserve">Bu </w:t>
      </w:r>
      <w:r w:rsidR="00766EB2" w:rsidRPr="00B03142">
        <w:rPr>
          <w:rFonts w:ascii="Times New Roman" w:hAnsi="Times New Roman" w:cs="Times New Roman"/>
          <w:sz w:val="24"/>
          <w:szCs w:val="24"/>
        </w:rPr>
        <w:t xml:space="preserve">doğrultuda, söz konusu </w:t>
      </w:r>
      <w:r w:rsidRPr="00B03142">
        <w:rPr>
          <w:rFonts w:ascii="Times New Roman" w:hAnsi="Times New Roman" w:cs="Times New Roman"/>
          <w:sz w:val="24"/>
          <w:szCs w:val="24"/>
        </w:rPr>
        <w:t xml:space="preserve">iki seriyi birlikte takip etmek kredi gelişmelerini hem milli gelir hem de fiyatlar genel seviyesindeki gelişmelerle birlikte takip etme fırsatını vermektedir. </w:t>
      </w:r>
      <w:r w:rsidR="00EB1FD8" w:rsidRPr="00B03142">
        <w:rPr>
          <w:rFonts w:ascii="Times New Roman" w:hAnsi="Times New Roman" w:cs="Times New Roman"/>
          <w:sz w:val="24"/>
          <w:szCs w:val="24"/>
        </w:rPr>
        <w:t xml:space="preserve">Reel kredi büyümesinin 21 yıllık dönemde ortalama değeri yüzde 11,3 iken, NKK/GSYH oranının aynı </w:t>
      </w:r>
      <w:r w:rsidR="00EB1FD8" w:rsidRPr="00B03142">
        <w:rPr>
          <w:rFonts w:ascii="Times New Roman" w:hAnsi="Times New Roman" w:cs="Times New Roman"/>
          <w:sz w:val="24"/>
          <w:szCs w:val="24"/>
        </w:rPr>
        <w:lastRenderedPageBreak/>
        <w:t>dönemde ortalaması yüzde 8,8’dir. 2</w:t>
      </w:r>
      <w:r w:rsidR="003D3C1B" w:rsidRPr="00B03142">
        <w:rPr>
          <w:rFonts w:ascii="Times New Roman" w:hAnsi="Times New Roman" w:cs="Times New Roman"/>
          <w:sz w:val="24"/>
          <w:szCs w:val="24"/>
        </w:rPr>
        <w:t>021 yılı hariç NKK/GSYH oranı 1,</w:t>
      </w:r>
      <w:r w:rsidR="00EB1FD8" w:rsidRPr="00B03142">
        <w:rPr>
          <w:rFonts w:ascii="Times New Roman" w:hAnsi="Times New Roman" w:cs="Times New Roman"/>
          <w:sz w:val="24"/>
          <w:szCs w:val="24"/>
        </w:rPr>
        <w:t xml:space="preserve">5 standart sapma aralığını aşmamıştır. Reel kredi büyümesi ve NKK/GSYH oranı bu yıl haricinde benzer artma ve azalma eğilimlerine sahiptir. </w:t>
      </w:r>
      <w:r w:rsidR="006817CE" w:rsidRPr="00B03142">
        <w:rPr>
          <w:rFonts w:ascii="Times New Roman" w:hAnsi="Times New Roman" w:cs="Times New Roman"/>
          <w:sz w:val="24"/>
          <w:szCs w:val="24"/>
        </w:rPr>
        <w:t>2021’de eğilimlerdeki</w:t>
      </w:r>
      <w:r w:rsidR="00EB1FD8" w:rsidRPr="00B03142">
        <w:rPr>
          <w:rFonts w:ascii="Times New Roman" w:hAnsi="Times New Roman" w:cs="Times New Roman"/>
          <w:sz w:val="24"/>
          <w:szCs w:val="24"/>
        </w:rPr>
        <w:t xml:space="preserve"> bu ayrışmanın enflasyonun kredi artış hızından çok daha hızlı art</w:t>
      </w:r>
      <w:r w:rsidR="00C809AB" w:rsidRPr="00B03142">
        <w:rPr>
          <w:rFonts w:ascii="Times New Roman" w:hAnsi="Times New Roman" w:cs="Times New Roman"/>
          <w:sz w:val="24"/>
          <w:szCs w:val="24"/>
        </w:rPr>
        <w:t>ıp reel kredi büyümesini aşağı çekmesinden</w:t>
      </w:r>
      <w:r w:rsidR="00EB1FD8" w:rsidRPr="00B03142">
        <w:rPr>
          <w:rFonts w:ascii="Times New Roman" w:hAnsi="Times New Roman" w:cs="Times New Roman"/>
          <w:sz w:val="24"/>
          <w:szCs w:val="24"/>
        </w:rPr>
        <w:t xml:space="preserve"> ve düşük milli gelir seviyesin</w:t>
      </w:r>
      <w:r w:rsidR="00C809AB" w:rsidRPr="00B03142">
        <w:rPr>
          <w:rFonts w:ascii="Times New Roman" w:hAnsi="Times New Roman" w:cs="Times New Roman"/>
          <w:sz w:val="24"/>
          <w:szCs w:val="24"/>
        </w:rPr>
        <w:t>in NKK/GSYH oranını yükseltmiş olmasından</w:t>
      </w:r>
      <w:r w:rsidR="00EB1FD8" w:rsidRPr="00B03142">
        <w:rPr>
          <w:rFonts w:ascii="Times New Roman" w:hAnsi="Times New Roman" w:cs="Times New Roman"/>
          <w:sz w:val="24"/>
          <w:szCs w:val="24"/>
        </w:rPr>
        <w:t xml:space="preserve"> kaynaklı olduğu düşünü</w:t>
      </w:r>
      <w:r w:rsidR="00EB1FD8" w:rsidRPr="00251976">
        <w:rPr>
          <w:rFonts w:ascii="Times New Roman" w:hAnsi="Times New Roman" w:cs="Times New Roman"/>
          <w:sz w:val="24"/>
          <w:szCs w:val="24"/>
        </w:rPr>
        <w:t>l</w:t>
      </w:r>
      <w:r w:rsidR="00AF795A" w:rsidRPr="00251976">
        <w:rPr>
          <w:rFonts w:ascii="Times New Roman" w:hAnsi="Times New Roman" w:cs="Times New Roman"/>
          <w:sz w:val="24"/>
          <w:szCs w:val="24"/>
        </w:rPr>
        <w:t>ebilir</w:t>
      </w:r>
      <w:r w:rsidR="0055138B" w:rsidRPr="00D6787F">
        <w:rPr>
          <w:rFonts w:ascii="Times New Roman" w:hAnsi="Times New Roman" w:cs="Times New Roman"/>
          <w:sz w:val="24"/>
          <w:szCs w:val="24"/>
        </w:rPr>
        <w:t>.</w:t>
      </w:r>
    </w:p>
    <w:p w14:paraId="31E498F9" w14:textId="5FDAD2BE" w:rsidR="00970C70" w:rsidRDefault="00794EEF" w:rsidP="00A70EAB">
      <w:pPr>
        <w:spacing w:after="0" w:line="276" w:lineRule="auto"/>
        <w:ind w:firstLine="360"/>
        <w:jc w:val="both"/>
        <w:rPr>
          <w:rFonts w:ascii="Times New Roman" w:hAnsi="Times New Roman" w:cs="Times New Roman"/>
          <w:sz w:val="24"/>
          <w:szCs w:val="24"/>
        </w:rPr>
      </w:pPr>
      <w:r w:rsidRPr="00B03142">
        <w:rPr>
          <w:rFonts w:ascii="Times New Roman" w:hAnsi="Times New Roman" w:cs="Times New Roman"/>
          <w:sz w:val="24"/>
          <w:szCs w:val="24"/>
        </w:rPr>
        <w:t xml:space="preserve">Seriler </w:t>
      </w:r>
      <w:r w:rsidR="00AF795A" w:rsidRPr="00251976">
        <w:rPr>
          <w:rFonts w:ascii="Times New Roman" w:hAnsi="Times New Roman" w:cs="Times New Roman"/>
          <w:sz w:val="24"/>
          <w:szCs w:val="24"/>
        </w:rPr>
        <w:t>incelenen</w:t>
      </w:r>
      <w:r w:rsidR="00AF795A">
        <w:rPr>
          <w:rFonts w:ascii="Times New Roman" w:hAnsi="Times New Roman" w:cs="Times New Roman"/>
          <w:sz w:val="24"/>
          <w:szCs w:val="24"/>
        </w:rPr>
        <w:t xml:space="preserve"> </w:t>
      </w:r>
      <w:r w:rsidRPr="00B03142">
        <w:rPr>
          <w:rFonts w:ascii="Times New Roman" w:hAnsi="Times New Roman" w:cs="Times New Roman"/>
          <w:sz w:val="24"/>
          <w:szCs w:val="24"/>
        </w:rPr>
        <w:t>döneminin neredeyse tamamında benzer artma ve azalma eğilimine sahipken ve y</w:t>
      </w:r>
      <w:r w:rsidR="00AB2D79" w:rsidRPr="00B03142">
        <w:rPr>
          <w:rFonts w:ascii="Times New Roman" w:hAnsi="Times New Roman" w:cs="Times New Roman"/>
          <w:sz w:val="24"/>
          <w:szCs w:val="24"/>
        </w:rPr>
        <w:t xml:space="preserve">ıllık ortalamada reel kredi büyümesi NKK/GSYH oranın üzerindeyken </w:t>
      </w:r>
      <w:r w:rsidR="00882162" w:rsidRPr="00B03142">
        <w:rPr>
          <w:rFonts w:ascii="Times New Roman" w:hAnsi="Times New Roman" w:cs="Times New Roman"/>
          <w:sz w:val="24"/>
          <w:szCs w:val="24"/>
        </w:rPr>
        <w:t>serilerin</w:t>
      </w:r>
      <w:r w:rsidR="00AB2D79" w:rsidRPr="00B03142">
        <w:rPr>
          <w:rFonts w:ascii="Times New Roman" w:hAnsi="Times New Roman" w:cs="Times New Roman"/>
          <w:sz w:val="24"/>
          <w:szCs w:val="24"/>
        </w:rPr>
        <w:t xml:space="preserve"> sıralama</w:t>
      </w:r>
      <w:r w:rsidR="00882162" w:rsidRPr="00B03142">
        <w:rPr>
          <w:rFonts w:ascii="Times New Roman" w:hAnsi="Times New Roman" w:cs="Times New Roman"/>
          <w:sz w:val="24"/>
          <w:szCs w:val="24"/>
        </w:rPr>
        <w:t>sı</w:t>
      </w:r>
      <w:r w:rsidR="00AB2D79" w:rsidRPr="00B03142">
        <w:rPr>
          <w:rFonts w:ascii="Times New Roman" w:hAnsi="Times New Roman" w:cs="Times New Roman"/>
          <w:sz w:val="24"/>
          <w:szCs w:val="24"/>
        </w:rPr>
        <w:t xml:space="preserve"> belli dönemlerde tersi yönde değişmektedir. </w:t>
      </w:r>
      <w:r w:rsidR="00620CEA" w:rsidRPr="00B03142">
        <w:rPr>
          <w:rFonts w:ascii="Times New Roman" w:hAnsi="Times New Roman" w:cs="Times New Roman"/>
          <w:sz w:val="24"/>
          <w:szCs w:val="24"/>
        </w:rPr>
        <w:t>İki serinin sıralamasındaki bu</w:t>
      </w:r>
      <w:r w:rsidR="00AB2D79" w:rsidRPr="00B03142">
        <w:rPr>
          <w:rFonts w:ascii="Times New Roman" w:hAnsi="Times New Roman" w:cs="Times New Roman"/>
          <w:sz w:val="24"/>
          <w:szCs w:val="24"/>
        </w:rPr>
        <w:t xml:space="preserve"> değişikliklerin </w:t>
      </w:r>
      <w:r w:rsidR="00882162" w:rsidRPr="00B03142">
        <w:rPr>
          <w:rFonts w:ascii="Times New Roman" w:hAnsi="Times New Roman" w:cs="Times New Roman"/>
          <w:sz w:val="24"/>
          <w:szCs w:val="24"/>
        </w:rPr>
        <w:t>taki</w:t>
      </w:r>
      <w:r w:rsidR="00790D5A" w:rsidRPr="00B03142">
        <w:rPr>
          <w:rFonts w:ascii="Times New Roman" w:hAnsi="Times New Roman" w:cs="Times New Roman"/>
          <w:sz w:val="24"/>
          <w:szCs w:val="24"/>
        </w:rPr>
        <w:t>p edilmesinin</w:t>
      </w:r>
      <w:r w:rsidR="00882162" w:rsidRPr="00B03142">
        <w:rPr>
          <w:rFonts w:ascii="Times New Roman" w:hAnsi="Times New Roman" w:cs="Times New Roman"/>
          <w:sz w:val="24"/>
          <w:szCs w:val="24"/>
        </w:rPr>
        <w:t xml:space="preserve">, </w:t>
      </w:r>
      <w:r w:rsidR="00AB2D79" w:rsidRPr="00B03142">
        <w:rPr>
          <w:rFonts w:ascii="Times New Roman" w:hAnsi="Times New Roman" w:cs="Times New Roman"/>
          <w:sz w:val="24"/>
          <w:szCs w:val="24"/>
        </w:rPr>
        <w:t>ilgili dönemlerdeki makroekonomik koşullar</w:t>
      </w:r>
      <w:r w:rsidR="00EE3FF0" w:rsidRPr="00B03142">
        <w:rPr>
          <w:rFonts w:ascii="Times New Roman" w:hAnsi="Times New Roman" w:cs="Times New Roman"/>
          <w:sz w:val="24"/>
          <w:szCs w:val="24"/>
        </w:rPr>
        <w:t xml:space="preserve"> ile</w:t>
      </w:r>
      <w:r w:rsidR="00AB2D79" w:rsidRPr="00B03142">
        <w:rPr>
          <w:rFonts w:ascii="Times New Roman" w:hAnsi="Times New Roman" w:cs="Times New Roman"/>
          <w:sz w:val="24"/>
          <w:szCs w:val="24"/>
        </w:rPr>
        <w:t xml:space="preserve"> kredi piyasasını etkileyen politika uygulamaları</w:t>
      </w:r>
      <w:r w:rsidR="00620CEA" w:rsidRPr="00B03142">
        <w:rPr>
          <w:rFonts w:ascii="Times New Roman" w:hAnsi="Times New Roman" w:cs="Times New Roman"/>
          <w:sz w:val="24"/>
          <w:szCs w:val="24"/>
        </w:rPr>
        <w:t xml:space="preserve">nın </w:t>
      </w:r>
      <w:r w:rsidR="00882162" w:rsidRPr="00B03142">
        <w:rPr>
          <w:rFonts w:ascii="Times New Roman" w:hAnsi="Times New Roman" w:cs="Times New Roman"/>
          <w:sz w:val="24"/>
          <w:szCs w:val="24"/>
        </w:rPr>
        <w:t>kredilere etkilerini tartışırken yardımcı olacağı düşünülmektedir</w:t>
      </w:r>
      <w:r w:rsidR="00AB2D79" w:rsidRPr="00B03142">
        <w:rPr>
          <w:rFonts w:ascii="Times New Roman" w:hAnsi="Times New Roman" w:cs="Times New Roman"/>
          <w:sz w:val="24"/>
          <w:szCs w:val="24"/>
        </w:rPr>
        <w:t>.</w:t>
      </w:r>
      <w:r w:rsidR="00BB3341" w:rsidRPr="00B03142">
        <w:rPr>
          <w:rFonts w:ascii="Times New Roman" w:hAnsi="Times New Roman" w:cs="Times New Roman"/>
          <w:sz w:val="24"/>
          <w:szCs w:val="24"/>
        </w:rPr>
        <w:t xml:space="preserve"> Bu nedenle kredi analizini detaylandırırken 2000-2021 dönemi bu iki serinin sıralamalarınd</w:t>
      </w:r>
      <w:r w:rsidR="00EE3FF0" w:rsidRPr="00B03142">
        <w:rPr>
          <w:rFonts w:ascii="Times New Roman" w:hAnsi="Times New Roman" w:cs="Times New Roman"/>
          <w:sz w:val="24"/>
          <w:szCs w:val="24"/>
        </w:rPr>
        <w:t>a</w:t>
      </w:r>
      <w:r w:rsidR="00BB3341" w:rsidRPr="00B03142">
        <w:rPr>
          <w:rFonts w:ascii="Times New Roman" w:hAnsi="Times New Roman" w:cs="Times New Roman"/>
          <w:sz w:val="24"/>
          <w:szCs w:val="24"/>
        </w:rPr>
        <w:t>ki değişime göre beş alt döneme ayrıştırılmıştır</w:t>
      </w:r>
      <w:r w:rsidR="00790D5A" w:rsidRPr="00B03142">
        <w:rPr>
          <w:rFonts w:ascii="Times New Roman" w:hAnsi="Times New Roman" w:cs="Times New Roman"/>
          <w:sz w:val="24"/>
          <w:szCs w:val="24"/>
        </w:rPr>
        <w:t>: 2000-2003, 2004-2008, 2009, 2010-2015, 2016 ve sonrası. Bu dönemlerden</w:t>
      </w:r>
      <w:r w:rsidR="007F6880" w:rsidRPr="00B03142">
        <w:rPr>
          <w:rFonts w:ascii="Times New Roman" w:hAnsi="Times New Roman" w:cs="Times New Roman"/>
          <w:sz w:val="24"/>
          <w:szCs w:val="24"/>
        </w:rPr>
        <w:t xml:space="preserve"> 2004-2008</w:t>
      </w:r>
      <w:r w:rsidR="00790D5A" w:rsidRPr="00B03142">
        <w:rPr>
          <w:rFonts w:ascii="Times New Roman" w:hAnsi="Times New Roman" w:cs="Times New Roman"/>
          <w:sz w:val="24"/>
          <w:szCs w:val="24"/>
        </w:rPr>
        <w:t xml:space="preserve">’de </w:t>
      </w:r>
      <w:r w:rsidR="007F6880" w:rsidRPr="00B03142">
        <w:rPr>
          <w:rFonts w:ascii="Times New Roman" w:hAnsi="Times New Roman" w:cs="Times New Roman"/>
          <w:sz w:val="24"/>
          <w:szCs w:val="24"/>
        </w:rPr>
        <w:t>ve 2010-2015</w:t>
      </w:r>
      <w:r w:rsidR="00790D5A" w:rsidRPr="00B03142">
        <w:rPr>
          <w:rFonts w:ascii="Times New Roman" w:hAnsi="Times New Roman" w:cs="Times New Roman"/>
          <w:sz w:val="24"/>
          <w:szCs w:val="24"/>
        </w:rPr>
        <w:t xml:space="preserve">’te </w:t>
      </w:r>
      <w:r w:rsidR="007F6880" w:rsidRPr="00B03142">
        <w:rPr>
          <w:rFonts w:ascii="Times New Roman" w:hAnsi="Times New Roman" w:cs="Times New Roman"/>
          <w:sz w:val="24"/>
          <w:szCs w:val="24"/>
        </w:rPr>
        <w:t xml:space="preserve">reel kredi artışı NKK/GSYH oranının üzerindeyken 2000-2003, 2009 ve 2016 </w:t>
      </w:r>
      <w:r w:rsidR="00790D5A" w:rsidRPr="00B03142">
        <w:rPr>
          <w:rFonts w:ascii="Times New Roman" w:hAnsi="Times New Roman" w:cs="Times New Roman"/>
          <w:sz w:val="24"/>
          <w:szCs w:val="24"/>
        </w:rPr>
        <w:t xml:space="preserve">ve </w:t>
      </w:r>
      <w:r w:rsidR="007F6880" w:rsidRPr="00B03142">
        <w:rPr>
          <w:rFonts w:ascii="Times New Roman" w:hAnsi="Times New Roman" w:cs="Times New Roman"/>
          <w:sz w:val="24"/>
          <w:szCs w:val="24"/>
        </w:rPr>
        <w:t xml:space="preserve">sonrasındaki dönemlerde NKK/GSYH reel kredi artışından yüksektir. </w:t>
      </w:r>
    </w:p>
    <w:p w14:paraId="482C84AD" w14:textId="77777777" w:rsidR="00970C70" w:rsidRDefault="007F6880" w:rsidP="00A70EAB">
      <w:pPr>
        <w:spacing w:after="0" w:line="276" w:lineRule="auto"/>
        <w:ind w:firstLine="360"/>
        <w:jc w:val="both"/>
        <w:rPr>
          <w:rFonts w:ascii="Times New Roman" w:hAnsi="Times New Roman" w:cs="Times New Roman"/>
          <w:sz w:val="24"/>
          <w:szCs w:val="24"/>
        </w:rPr>
      </w:pPr>
      <w:r w:rsidRPr="00B03142">
        <w:rPr>
          <w:rFonts w:ascii="Times New Roman" w:hAnsi="Times New Roman" w:cs="Times New Roman"/>
          <w:sz w:val="24"/>
          <w:szCs w:val="24"/>
        </w:rPr>
        <w:t xml:space="preserve">2000-2003 dönemi, </w:t>
      </w:r>
      <w:r w:rsidR="00BB3341" w:rsidRPr="00B03142">
        <w:rPr>
          <w:rFonts w:ascii="Times New Roman" w:hAnsi="Times New Roman" w:cs="Times New Roman"/>
          <w:sz w:val="24"/>
          <w:szCs w:val="24"/>
        </w:rPr>
        <w:t xml:space="preserve">2000-2001 kriz dönemi ile krizi takip eden, yapısal reformların tasarlandığı ve uygulanmaya başlandığı ancak hala yüksek seyreden enflasyonun </w:t>
      </w:r>
      <w:r w:rsidRPr="00B03142">
        <w:rPr>
          <w:rFonts w:ascii="Times New Roman" w:hAnsi="Times New Roman" w:cs="Times New Roman"/>
          <w:sz w:val="24"/>
          <w:szCs w:val="24"/>
        </w:rPr>
        <w:t xml:space="preserve">da etkisiyle </w:t>
      </w:r>
      <w:r w:rsidR="00BB3341" w:rsidRPr="00B03142">
        <w:rPr>
          <w:rFonts w:ascii="Times New Roman" w:hAnsi="Times New Roman" w:cs="Times New Roman"/>
          <w:sz w:val="24"/>
          <w:szCs w:val="24"/>
        </w:rPr>
        <w:t>reel kredi değişiminin negatif olduğu 2002-2003 yılları</w:t>
      </w:r>
      <w:r w:rsidRPr="00B03142">
        <w:rPr>
          <w:rFonts w:ascii="Times New Roman" w:hAnsi="Times New Roman" w:cs="Times New Roman"/>
          <w:sz w:val="24"/>
          <w:szCs w:val="24"/>
        </w:rPr>
        <w:t xml:space="preserve">nı kapsamaktadır. </w:t>
      </w:r>
      <w:r w:rsidR="00EE3FF0" w:rsidRPr="00B03142">
        <w:rPr>
          <w:rFonts w:ascii="Times New Roman" w:hAnsi="Times New Roman" w:cs="Times New Roman"/>
          <w:sz w:val="24"/>
          <w:szCs w:val="24"/>
        </w:rPr>
        <w:t xml:space="preserve">2004-2008 dönemi Türkiye’de yapısal reformlarla sermaye girişlerinin hızlandığı ve büyümenin oldukça ivmelendiği ancak 2007-2008 uluslararası finansal krizle yavaşladığı yılları kapsamaktadır. Bu dönemde sermaye girişleriyle ve </w:t>
      </w:r>
      <w:r w:rsidR="00BF60A9" w:rsidRPr="00B03142">
        <w:rPr>
          <w:rFonts w:ascii="Times New Roman" w:hAnsi="Times New Roman" w:cs="Times New Roman"/>
          <w:sz w:val="24"/>
          <w:szCs w:val="24"/>
        </w:rPr>
        <w:t>önceki döneme kıyasla</w:t>
      </w:r>
      <w:r w:rsidR="00EE3FF0" w:rsidRPr="00B03142">
        <w:rPr>
          <w:rFonts w:ascii="Times New Roman" w:hAnsi="Times New Roman" w:cs="Times New Roman"/>
          <w:sz w:val="24"/>
          <w:szCs w:val="24"/>
        </w:rPr>
        <w:t xml:space="preserve"> düşük enflasyon oranlarıyla reel kredi artışı en yüksek seviyelere ulaşmış ve yıllık ortalamada yüzde 27 olmuştur. Bu dönemde yaşanan yüksek büyüme performansıyla NKK/GSYH oranı reel kredi artışına rağmen çok daha sınırlı seyretmiştir ve yıllık ortalamada yüzde 7’dir. </w:t>
      </w:r>
      <w:r w:rsidR="004A008C" w:rsidRPr="00B03142">
        <w:rPr>
          <w:rFonts w:ascii="Times New Roman" w:hAnsi="Times New Roman" w:cs="Times New Roman"/>
          <w:sz w:val="24"/>
          <w:szCs w:val="24"/>
        </w:rPr>
        <w:t>Üçüncü alt dönem ise u</w:t>
      </w:r>
      <w:r w:rsidR="00EE3FF0" w:rsidRPr="00B03142">
        <w:rPr>
          <w:rFonts w:ascii="Times New Roman" w:hAnsi="Times New Roman" w:cs="Times New Roman"/>
          <w:sz w:val="24"/>
          <w:szCs w:val="24"/>
        </w:rPr>
        <w:t xml:space="preserve">luslararası finansal krizin etkisinin </w:t>
      </w:r>
      <w:r w:rsidR="00190899" w:rsidRPr="00B03142">
        <w:rPr>
          <w:rFonts w:ascii="Times New Roman" w:hAnsi="Times New Roman" w:cs="Times New Roman"/>
          <w:sz w:val="24"/>
          <w:szCs w:val="24"/>
        </w:rPr>
        <w:t xml:space="preserve">Türkiye ekonomisinde </w:t>
      </w:r>
      <w:r w:rsidR="00EE3FF0" w:rsidRPr="00B03142">
        <w:rPr>
          <w:rFonts w:ascii="Times New Roman" w:hAnsi="Times New Roman" w:cs="Times New Roman"/>
          <w:sz w:val="24"/>
          <w:szCs w:val="24"/>
        </w:rPr>
        <w:t>en derin hissedildiği 2009 yılı</w:t>
      </w:r>
      <w:r w:rsidR="004A008C" w:rsidRPr="00B03142">
        <w:rPr>
          <w:rFonts w:ascii="Times New Roman" w:hAnsi="Times New Roman" w:cs="Times New Roman"/>
          <w:sz w:val="24"/>
          <w:szCs w:val="24"/>
        </w:rPr>
        <w:t>dır. Bu yılda</w:t>
      </w:r>
      <w:r w:rsidR="00EE3FF0" w:rsidRPr="00B03142">
        <w:rPr>
          <w:rFonts w:ascii="Times New Roman" w:hAnsi="Times New Roman" w:cs="Times New Roman"/>
          <w:sz w:val="24"/>
          <w:szCs w:val="24"/>
        </w:rPr>
        <w:t xml:space="preserve"> NKK/GSYH oranı çok küçük bir farkla da olsa reel kredi artışından yüksektir.</w:t>
      </w:r>
      <w:r w:rsidR="0000407B" w:rsidRPr="00B03142">
        <w:rPr>
          <w:rFonts w:ascii="Times New Roman" w:hAnsi="Times New Roman" w:cs="Times New Roman"/>
          <w:sz w:val="24"/>
          <w:szCs w:val="24"/>
        </w:rPr>
        <w:t xml:space="preserve"> 2010-2015 dönemi uluslararası finansal krize karşı gelişmiş ülkelerce uygulanan parasal genişleme politikalarıyla sermaye girişlerinin arttığı ve 2014 itibariyle parasal genişleme politikalarının sona ermeye başladığı yılları kapsamaktadır. Bu dönemde reel kredi artışı ile NKK/GSYH arasındaki fark 2004-2008 dönemine göre daha düşüktür. Yıllık ortalama reel kredi artışı yüzde 18 iken NKK/GSYH oranı yüzde 11’dir. </w:t>
      </w:r>
    </w:p>
    <w:p w14:paraId="3F1137B6" w14:textId="77777777" w:rsidR="00970C70" w:rsidRDefault="00500F3B" w:rsidP="00A70EAB">
      <w:pPr>
        <w:spacing w:after="0" w:line="276" w:lineRule="auto"/>
        <w:ind w:firstLine="360"/>
        <w:jc w:val="both"/>
        <w:rPr>
          <w:rFonts w:ascii="Times New Roman" w:hAnsi="Times New Roman" w:cs="Times New Roman"/>
          <w:sz w:val="24"/>
          <w:szCs w:val="24"/>
        </w:rPr>
      </w:pPr>
      <w:r w:rsidRPr="00B03142">
        <w:rPr>
          <w:rFonts w:ascii="Times New Roman" w:hAnsi="Times New Roman" w:cs="Times New Roman"/>
          <w:sz w:val="24"/>
          <w:szCs w:val="24"/>
        </w:rPr>
        <w:t xml:space="preserve">2010 yılı itibariyle yaşanan parasal genişleme Türkiye’ye giren sermaye kredi hacmini artırırken, dış finansman kalitesini kısa dönemli ve portföy yatırımı ağırlıklı olması nedeniyle bozmuştur (Kara, 2016). Bu sebeple BDDK’nin 2011’de aldığı makro ihtiyati tedbirler sonucu 2012 yılında reel kredi artış hızı 2011 yılı artış hızının yaklaşık beşte birine düşmüştür. </w:t>
      </w:r>
      <w:r w:rsidR="004C74B9" w:rsidRPr="00B03142">
        <w:rPr>
          <w:rFonts w:ascii="Times New Roman" w:hAnsi="Times New Roman" w:cs="Times New Roman"/>
          <w:sz w:val="24"/>
          <w:szCs w:val="24"/>
        </w:rPr>
        <w:t>Reel kredi artış oranıyl</w:t>
      </w:r>
      <w:r w:rsidR="000A27F9" w:rsidRPr="00B03142">
        <w:rPr>
          <w:rFonts w:ascii="Times New Roman" w:hAnsi="Times New Roman" w:cs="Times New Roman"/>
          <w:sz w:val="24"/>
          <w:szCs w:val="24"/>
        </w:rPr>
        <w:t>a</w:t>
      </w:r>
      <w:r w:rsidR="004C74B9" w:rsidRPr="00B03142">
        <w:rPr>
          <w:rFonts w:ascii="Times New Roman" w:hAnsi="Times New Roman" w:cs="Times New Roman"/>
          <w:sz w:val="24"/>
          <w:szCs w:val="24"/>
        </w:rPr>
        <w:t xml:space="preserve"> NKK/GSYH oranı birbirine oldukça yaklaşmıştır. </w:t>
      </w:r>
      <w:r w:rsidRPr="00B03142">
        <w:rPr>
          <w:rFonts w:ascii="Times New Roman" w:hAnsi="Times New Roman" w:cs="Times New Roman"/>
          <w:sz w:val="24"/>
          <w:szCs w:val="24"/>
        </w:rPr>
        <w:t xml:space="preserve">2014 itibariyle </w:t>
      </w:r>
      <w:r w:rsidR="0088760C" w:rsidRPr="00B03142">
        <w:rPr>
          <w:rFonts w:ascii="Times New Roman" w:hAnsi="Times New Roman" w:cs="Times New Roman"/>
          <w:sz w:val="24"/>
          <w:szCs w:val="24"/>
        </w:rPr>
        <w:t xml:space="preserve">ise </w:t>
      </w:r>
      <w:r w:rsidRPr="00B03142">
        <w:rPr>
          <w:rFonts w:ascii="Times New Roman" w:hAnsi="Times New Roman" w:cs="Times New Roman"/>
          <w:sz w:val="24"/>
          <w:szCs w:val="24"/>
        </w:rPr>
        <w:t xml:space="preserve">başta ABD ekonomisi olmak üzere </w:t>
      </w:r>
      <w:r w:rsidR="00AC30B8">
        <w:rPr>
          <w:rFonts w:ascii="Times New Roman" w:hAnsi="Times New Roman" w:cs="Times New Roman"/>
          <w:sz w:val="24"/>
          <w:szCs w:val="24"/>
        </w:rPr>
        <w:t>gelişmiş ekonomilerin parasal genişleme politikasını sonlandırmasıyla</w:t>
      </w:r>
      <w:r w:rsidRPr="00B03142">
        <w:rPr>
          <w:rFonts w:ascii="Times New Roman" w:hAnsi="Times New Roman" w:cs="Times New Roman"/>
          <w:sz w:val="24"/>
          <w:szCs w:val="24"/>
        </w:rPr>
        <w:t xml:space="preserve"> sermaye girişi kaynaklı kredi artışında yavaşlama gerçekleşmiştir. </w:t>
      </w:r>
      <w:r w:rsidR="00BF60A9" w:rsidRPr="00B03142">
        <w:rPr>
          <w:rFonts w:ascii="Times New Roman" w:hAnsi="Times New Roman" w:cs="Times New Roman"/>
          <w:sz w:val="24"/>
          <w:szCs w:val="24"/>
        </w:rPr>
        <w:t xml:space="preserve">Bu yıllarda yine iki oran birbirine yaklaşmıştır ancak sıralamaları değişmemiştir. </w:t>
      </w:r>
    </w:p>
    <w:p w14:paraId="311EF36F" w14:textId="2D75D1E9" w:rsidR="00970C70" w:rsidRDefault="000E5FC0" w:rsidP="00A70EAB">
      <w:pPr>
        <w:spacing w:after="0" w:line="276" w:lineRule="auto"/>
        <w:ind w:firstLine="360"/>
        <w:jc w:val="both"/>
        <w:rPr>
          <w:rFonts w:ascii="Times New Roman" w:hAnsi="Times New Roman" w:cs="Times New Roman"/>
          <w:sz w:val="24"/>
          <w:szCs w:val="24"/>
        </w:rPr>
      </w:pPr>
      <w:r w:rsidRPr="00B03142">
        <w:rPr>
          <w:rFonts w:ascii="Times New Roman" w:hAnsi="Times New Roman" w:cs="Times New Roman"/>
          <w:sz w:val="24"/>
          <w:szCs w:val="24"/>
        </w:rPr>
        <w:t>2016 ve sonr</w:t>
      </w:r>
      <w:r w:rsidR="000D75A2" w:rsidRPr="00B03142">
        <w:rPr>
          <w:rFonts w:ascii="Times New Roman" w:hAnsi="Times New Roman" w:cs="Times New Roman"/>
          <w:sz w:val="24"/>
          <w:szCs w:val="24"/>
        </w:rPr>
        <w:t>ası</w:t>
      </w:r>
      <w:r w:rsidRPr="00B03142">
        <w:rPr>
          <w:rFonts w:ascii="Times New Roman" w:hAnsi="Times New Roman" w:cs="Times New Roman"/>
          <w:sz w:val="24"/>
          <w:szCs w:val="24"/>
        </w:rPr>
        <w:t xml:space="preserve"> </w:t>
      </w:r>
      <w:r w:rsidR="000A27F9" w:rsidRPr="00B03142">
        <w:rPr>
          <w:rFonts w:ascii="Times New Roman" w:hAnsi="Times New Roman" w:cs="Times New Roman"/>
          <w:sz w:val="24"/>
          <w:szCs w:val="24"/>
        </w:rPr>
        <w:t xml:space="preserve">dönemde ise </w:t>
      </w:r>
      <w:r w:rsidRPr="00B03142">
        <w:rPr>
          <w:rFonts w:ascii="Times New Roman" w:hAnsi="Times New Roman" w:cs="Times New Roman"/>
          <w:sz w:val="24"/>
          <w:szCs w:val="24"/>
        </w:rPr>
        <w:t xml:space="preserve">NKK/GSYH </w:t>
      </w:r>
      <w:r w:rsidR="000A27F9" w:rsidRPr="00B03142">
        <w:rPr>
          <w:rFonts w:ascii="Times New Roman" w:hAnsi="Times New Roman" w:cs="Times New Roman"/>
          <w:sz w:val="24"/>
          <w:szCs w:val="24"/>
        </w:rPr>
        <w:t>oranı</w:t>
      </w:r>
      <w:r w:rsidR="00043609" w:rsidRPr="00B03142">
        <w:rPr>
          <w:rFonts w:ascii="Times New Roman" w:hAnsi="Times New Roman" w:cs="Times New Roman"/>
          <w:sz w:val="24"/>
          <w:szCs w:val="24"/>
        </w:rPr>
        <w:t>, kriz yıllarını kapsayan dönemlerde olduğu gibi,</w:t>
      </w:r>
      <w:r w:rsidR="000A27F9" w:rsidRPr="00B03142">
        <w:rPr>
          <w:rFonts w:ascii="Times New Roman" w:hAnsi="Times New Roman" w:cs="Times New Roman"/>
          <w:sz w:val="24"/>
          <w:szCs w:val="24"/>
        </w:rPr>
        <w:t xml:space="preserve"> reel kredi artışına göre daha yüksektir.</w:t>
      </w:r>
      <w:r w:rsidRPr="00B03142">
        <w:rPr>
          <w:rFonts w:ascii="Times New Roman" w:hAnsi="Times New Roman" w:cs="Times New Roman"/>
          <w:sz w:val="24"/>
          <w:szCs w:val="24"/>
        </w:rPr>
        <w:t xml:space="preserve"> </w:t>
      </w:r>
      <w:r w:rsidR="006D60E0" w:rsidRPr="00B03142">
        <w:rPr>
          <w:rFonts w:ascii="Times New Roman" w:hAnsi="Times New Roman" w:cs="Times New Roman"/>
          <w:sz w:val="24"/>
          <w:szCs w:val="24"/>
        </w:rPr>
        <w:t xml:space="preserve">Reel kredi değişimi yıllık ortalamada 4,8 iken NKK/GSYH oranın yıllık ortalaması yüzde </w:t>
      </w:r>
      <w:r w:rsidR="0086279E" w:rsidRPr="00B03142">
        <w:rPr>
          <w:rFonts w:ascii="Times New Roman" w:hAnsi="Times New Roman" w:cs="Times New Roman"/>
          <w:sz w:val="24"/>
          <w:szCs w:val="24"/>
        </w:rPr>
        <w:t>11,6’dır</w:t>
      </w:r>
      <w:r w:rsidR="006D60E0" w:rsidRPr="00B03142">
        <w:rPr>
          <w:rFonts w:ascii="Times New Roman" w:hAnsi="Times New Roman" w:cs="Times New Roman"/>
          <w:sz w:val="24"/>
          <w:szCs w:val="24"/>
        </w:rPr>
        <w:t xml:space="preserve">. </w:t>
      </w:r>
      <w:r w:rsidR="000A27F9" w:rsidRPr="00B03142">
        <w:rPr>
          <w:rFonts w:ascii="Times New Roman" w:hAnsi="Times New Roman" w:cs="Times New Roman"/>
          <w:sz w:val="24"/>
          <w:szCs w:val="24"/>
        </w:rPr>
        <w:t>Bu dönemde</w:t>
      </w:r>
      <w:r w:rsidR="005C330C" w:rsidRPr="00B03142">
        <w:rPr>
          <w:rFonts w:ascii="Times New Roman" w:hAnsi="Times New Roman" w:cs="Times New Roman"/>
          <w:sz w:val="24"/>
          <w:szCs w:val="24"/>
        </w:rPr>
        <w:t>ki</w:t>
      </w:r>
      <w:r w:rsidR="000A27F9" w:rsidRPr="00B03142">
        <w:rPr>
          <w:rFonts w:ascii="Times New Roman" w:hAnsi="Times New Roman" w:cs="Times New Roman"/>
          <w:sz w:val="24"/>
          <w:szCs w:val="24"/>
        </w:rPr>
        <w:t>,</w:t>
      </w:r>
      <w:r w:rsidR="000D75A2" w:rsidRPr="00B03142">
        <w:rPr>
          <w:rFonts w:ascii="Times New Roman" w:hAnsi="Times New Roman" w:cs="Times New Roman"/>
          <w:sz w:val="24"/>
          <w:szCs w:val="24"/>
        </w:rPr>
        <w:t xml:space="preserve"> </w:t>
      </w:r>
      <w:r w:rsidR="005C330C" w:rsidRPr="00B03142">
        <w:rPr>
          <w:rFonts w:ascii="Times New Roman" w:hAnsi="Times New Roman" w:cs="Times New Roman"/>
          <w:sz w:val="24"/>
          <w:szCs w:val="24"/>
        </w:rPr>
        <w:t>en keskin</w:t>
      </w:r>
      <w:r w:rsidR="000A5532" w:rsidRPr="00B03142">
        <w:rPr>
          <w:rFonts w:ascii="Times New Roman" w:hAnsi="Times New Roman" w:cs="Times New Roman"/>
          <w:sz w:val="24"/>
          <w:szCs w:val="24"/>
        </w:rPr>
        <w:t xml:space="preserve"> </w:t>
      </w:r>
      <w:r w:rsidR="006D60E0" w:rsidRPr="00B03142">
        <w:rPr>
          <w:rFonts w:ascii="Times New Roman" w:hAnsi="Times New Roman" w:cs="Times New Roman"/>
          <w:sz w:val="24"/>
          <w:szCs w:val="24"/>
        </w:rPr>
        <w:t xml:space="preserve">reel </w:t>
      </w:r>
      <w:r w:rsidR="000A5532" w:rsidRPr="00B03142">
        <w:rPr>
          <w:rFonts w:ascii="Times New Roman" w:hAnsi="Times New Roman" w:cs="Times New Roman"/>
          <w:sz w:val="24"/>
          <w:szCs w:val="24"/>
        </w:rPr>
        <w:t xml:space="preserve">kredi daralması </w:t>
      </w:r>
      <w:r w:rsidR="000D75A2" w:rsidRPr="00B03142">
        <w:rPr>
          <w:rFonts w:ascii="Times New Roman" w:hAnsi="Times New Roman" w:cs="Times New Roman"/>
          <w:sz w:val="24"/>
          <w:szCs w:val="24"/>
        </w:rPr>
        <w:lastRenderedPageBreak/>
        <w:t xml:space="preserve">darbe </w:t>
      </w:r>
      <w:r w:rsidR="005C330C" w:rsidRPr="00B03142">
        <w:rPr>
          <w:rFonts w:ascii="Times New Roman" w:hAnsi="Times New Roman" w:cs="Times New Roman"/>
          <w:sz w:val="24"/>
          <w:szCs w:val="24"/>
        </w:rPr>
        <w:t>girişiminin yaşandığı 2016 yılıdır.</w:t>
      </w:r>
      <w:r w:rsidR="000A5532" w:rsidRPr="00B03142">
        <w:rPr>
          <w:rFonts w:ascii="Times New Roman" w:hAnsi="Times New Roman" w:cs="Times New Roman"/>
          <w:sz w:val="24"/>
          <w:szCs w:val="24"/>
        </w:rPr>
        <w:t xml:space="preserve"> </w:t>
      </w:r>
      <w:r w:rsidR="005C330C" w:rsidRPr="00B03142">
        <w:rPr>
          <w:rFonts w:ascii="Times New Roman" w:hAnsi="Times New Roman" w:cs="Times New Roman"/>
          <w:sz w:val="24"/>
          <w:szCs w:val="24"/>
        </w:rPr>
        <w:t xml:space="preserve">Bu daralmayı takiben, </w:t>
      </w:r>
      <w:r w:rsidR="000A5532" w:rsidRPr="00B03142">
        <w:rPr>
          <w:rFonts w:ascii="Times New Roman" w:hAnsi="Times New Roman" w:cs="Times New Roman"/>
          <w:sz w:val="24"/>
          <w:szCs w:val="24"/>
        </w:rPr>
        <w:t xml:space="preserve">2017 ve 2018 yıllarında KGF aracılığıyla tahsis edilen krediler sayesinde </w:t>
      </w:r>
      <w:r w:rsidR="005C330C" w:rsidRPr="00B03142">
        <w:rPr>
          <w:rFonts w:ascii="Times New Roman" w:hAnsi="Times New Roman" w:cs="Times New Roman"/>
          <w:sz w:val="24"/>
          <w:szCs w:val="24"/>
        </w:rPr>
        <w:t xml:space="preserve">yerel bankalarca tahsis edilen krediler </w:t>
      </w:r>
      <w:r w:rsidR="000A5532" w:rsidRPr="00B03142">
        <w:rPr>
          <w:rFonts w:ascii="Times New Roman" w:hAnsi="Times New Roman" w:cs="Times New Roman"/>
          <w:sz w:val="24"/>
          <w:szCs w:val="24"/>
        </w:rPr>
        <w:t xml:space="preserve">reel olarak </w:t>
      </w:r>
      <w:r w:rsidR="00853748" w:rsidRPr="00B03142">
        <w:rPr>
          <w:rFonts w:ascii="Times New Roman" w:hAnsi="Times New Roman" w:cs="Times New Roman"/>
          <w:sz w:val="24"/>
          <w:szCs w:val="24"/>
        </w:rPr>
        <w:t xml:space="preserve">2017 yılında </w:t>
      </w:r>
      <w:r w:rsidR="000A5532" w:rsidRPr="00B03142">
        <w:rPr>
          <w:rFonts w:ascii="Times New Roman" w:hAnsi="Times New Roman" w:cs="Times New Roman"/>
          <w:sz w:val="24"/>
          <w:szCs w:val="24"/>
        </w:rPr>
        <w:t xml:space="preserve">yüzde 10,2 ve 2018 yılında yüzde 2,3 oranında artmıştır. 2018 yılındaki </w:t>
      </w:r>
      <w:r w:rsidR="00D15A3B" w:rsidRPr="00B03142">
        <w:rPr>
          <w:rFonts w:ascii="Times New Roman" w:hAnsi="Times New Roman" w:cs="Times New Roman"/>
          <w:sz w:val="24"/>
          <w:szCs w:val="24"/>
        </w:rPr>
        <w:t>kredi artışının</w:t>
      </w:r>
      <w:r w:rsidR="000A5532" w:rsidRPr="00B03142">
        <w:rPr>
          <w:rFonts w:ascii="Times New Roman" w:hAnsi="Times New Roman" w:cs="Times New Roman"/>
          <w:sz w:val="24"/>
          <w:szCs w:val="24"/>
        </w:rPr>
        <w:t xml:space="preserve"> 2017’ye göre çok düşük kalmasının bir nedeni 2018 yılında KGF aracılığıyla tahsis edilen </w:t>
      </w:r>
      <w:r w:rsidR="00D15A3B" w:rsidRPr="00B03142">
        <w:rPr>
          <w:rFonts w:ascii="Times New Roman" w:hAnsi="Times New Roman" w:cs="Times New Roman"/>
          <w:sz w:val="24"/>
          <w:szCs w:val="24"/>
        </w:rPr>
        <w:t>miktarı</w:t>
      </w:r>
      <w:r w:rsidR="009A06E1" w:rsidRPr="00B03142">
        <w:rPr>
          <w:rFonts w:ascii="Times New Roman" w:hAnsi="Times New Roman" w:cs="Times New Roman"/>
          <w:sz w:val="24"/>
          <w:szCs w:val="24"/>
        </w:rPr>
        <w:t>n</w:t>
      </w:r>
      <w:r w:rsidR="000A5532" w:rsidRPr="00B03142">
        <w:rPr>
          <w:rFonts w:ascii="Times New Roman" w:hAnsi="Times New Roman" w:cs="Times New Roman"/>
          <w:sz w:val="24"/>
          <w:szCs w:val="24"/>
        </w:rPr>
        <w:t xml:space="preserve"> 2017 yılında tahsis edilen</w:t>
      </w:r>
      <w:r w:rsidR="009A06E1" w:rsidRPr="00B03142">
        <w:rPr>
          <w:rFonts w:ascii="Times New Roman" w:hAnsi="Times New Roman" w:cs="Times New Roman"/>
          <w:sz w:val="24"/>
          <w:szCs w:val="24"/>
        </w:rPr>
        <w:t xml:space="preserve"> kredi miktarının</w:t>
      </w:r>
      <w:r w:rsidR="000A5532" w:rsidRPr="00B03142">
        <w:rPr>
          <w:rFonts w:ascii="Times New Roman" w:hAnsi="Times New Roman" w:cs="Times New Roman"/>
          <w:sz w:val="24"/>
          <w:szCs w:val="24"/>
        </w:rPr>
        <w:t xml:space="preserve"> yüzde 38’i oranında olmasıdır.</w:t>
      </w:r>
      <w:r w:rsidR="000A5532" w:rsidRPr="00B03142">
        <w:rPr>
          <w:rStyle w:val="FootnoteReference"/>
          <w:rFonts w:ascii="Times New Roman" w:hAnsi="Times New Roman" w:cs="Times New Roman"/>
          <w:sz w:val="24"/>
          <w:szCs w:val="24"/>
        </w:rPr>
        <w:footnoteReference w:id="15"/>
      </w:r>
      <w:r w:rsidR="000A5532" w:rsidRPr="00B03142">
        <w:rPr>
          <w:rFonts w:ascii="Times New Roman" w:hAnsi="Times New Roman" w:cs="Times New Roman"/>
          <w:sz w:val="24"/>
          <w:szCs w:val="24"/>
        </w:rPr>
        <w:t xml:space="preserve"> Bir diğer nedeni ise 2018 ikinci yarısında başlayan kur şoklarının makroekonomik belirsizlikleri artırmasıdır.</w:t>
      </w:r>
      <w:r w:rsidR="009A06E1" w:rsidRPr="00B03142">
        <w:rPr>
          <w:rFonts w:ascii="Times New Roman" w:hAnsi="Times New Roman" w:cs="Times New Roman"/>
          <w:sz w:val="24"/>
          <w:szCs w:val="24"/>
        </w:rPr>
        <w:t xml:space="preserve"> 2017 yılında yıllık yüzde 7,5 büyüyen Türkiye ekonomisi, 2018’in son çeyreği itibariyle daralmaya başlamış ve bu daralma 2019’un ilk iki çeyreğinde de devam etmiştir.</w:t>
      </w:r>
      <w:r w:rsidR="00500F3B" w:rsidRPr="00B03142">
        <w:rPr>
          <w:rFonts w:ascii="Times New Roman" w:hAnsi="Times New Roman" w:cs="Times New Roman"/>
          <w:color w:val="FF0000"/>
          <w:sz w:val="24"/>
          <w:szCs w:val="24"/>
        </w:rPr>
        <w:t xml:space="preserve"> </w:t>
      </w:r>
      <w:r w:rsidR="00500F3B" w:rsidRPr="00B03142">
        <w:rPr>
          <w:rFonts w:ascii="Times New Roman" w:hAnsi="Times New Roman" w:cs="Times New Roman"/>
          <w:sz w:val="24"/>
          <w:szCs w:val="24"/>
        </w:rPr>
        <w:t xml:space="preserve">Makro belirsizliklerin </w:t>
      </w:r>
      <w:r w:rsidR="009A06E1" w:rsidRPr="00B03142">
        <w:rPr>
          <w:rFonts w:ascii="Times New Roman" w:hAnsi="Times New Roman" w:cs="Times New Roman"/>
          <w:sz w:val="24"/>
          <w:szCs w:val="24"/>
        </w:rPr>
        <w:t xml:space="preserve">ve düşük büyüme performansının </w:t>
      </w:r>
      <w:r w:rsidR="00500F3B" w:rsidRPr="00B03142">
        <w:rPr>
          <w:rFonts w:ascii="Times New Roman" w:hAnsi="Times New Roman" w:cs="Times New Roman"/>
          <w:sz w:val="24"/>
          <w:szCs w:val="24"/>
        </w:rPr>
        <w:t xml:space="preserve">2019 yılında </w:t>
      </w:r>
      <w:r w:rsidR="009A06E1" w:rsidRPr="00B03142">
        <w:rPr>
          <w:rFonts w:ascii="Times New Roman" w:hAnsi="Times New Roman" w:cs="Times New Roman"/>
          <w:sz w:val="24"/>
          <w:szCs w:val="24"/>
        </w:rPr>
        <w:t xml:space="preserve">da devam </w:t>
      </w:r>
      <w:r w:rsidR="00500F3B" w:rsidRPr="00B03142">
        <w:rPr>
          <w:rFonts w:ascii="Times New Roman" w:hAnsi="Times New Roman" w:cs="Times New Roman"/>
          <w:sz w:val="24"/>
          <w:szCs w:val="24"/>
        </w:rPr>
        <w:t xml:space="preserve">etmesi bu dönemdeki reel kredi değişimini sıfır seviyesine düşürmüştür. </w:t>
      </w:r>
      <w:r w:rsidR="00500F3B" w:rsidRPr="00083D7C">
        <w:rPr>
          <w:rFonts w:ascii="Times New Roman" w:hAnsi="Times New Roman" w:cs="Times New Roman"/>
          <w:sz w:val="24"/>
          <w:szCs w:val="24"/>
        </w:rPr>
        <w:t>2019 Mayıs ayında açıklanan, istihdama yüksek katkı sağlayan ve ihracat potansiyeli yüksek sektörlerin desteklenmesini sağlayan İVME Finansman Paketi ve zorunlu karşılıklarda yapılan değişikliklerle TL borçlanmanın desteklenmesiyle bu dönemdeki kredi artış hızındaki azalmayı sınırlamıştır (TCMB, 2019).</w:t>
      </w:r>
      <w:r w:rsidR="00500F3B" w:rsidRPr="00B03142">
        <w:rPr>
          <w:rFonts w:ascii="Times New Roman" w:hAnsi="Times New Roman" w:cs="Times New Roman"/>
          <w:sz w:val="24"/>
          <w:szCs w:val="24"/>
        </w:rPr>
        <w:t xml:space="preserve"> Ayrıca, 2019’un ikinci yarısında işletmelerin finansman maliyetini azaltmak için Ekonomi Değer Kredisi Paketi devreye sokulmuştur (TCMB, 2019). </w:t>
      </w:r>
    </w:p>
    <w:p w14:paraId="741E0F8B" w14:textId="27DB5669" w:rsidR="00F544AB" w:rsidRDefault="00500F3B" w:rsidP="00F544AB">
      <w:pPr>
        <w:spacing w:after="0" w:line="276" w:lineRule="auto"/>
        <w:ind w:firstLine="360"/>
        <w:jc w:val="both"/>
        <w:rPr>
          <w:rFonts w:ascii="Times New Roman" w:hAnsi="Times New Roman" w:cs="Times New Roman"/>
          <w:strike/>
          <w:sz w:val="24"/>
          <w:szCs w:val="24"/>
        </w:rPr>
      </w:pPr>
      <w:r w:rsidRPr="00B03142">
        <w:rPr>
          <w:rFonts w:ascii="Times New Roman" w:hAnsi="Times New Roman" w:cs="Times New Roman"/>
          <w:sz w:val="24"/>
          <w:szCs w:val="24"/>
        </w:rPr>
        <w:t>2020 yılındaki kredi artışının yükselmesinde ise pandemiden etkilenen firmaların desteklenmesini amaçlayan politikalar rol oynamaktadır (örneğin, KGF aracılığıyla kamu bankalarınca tahsis edilen krediler, özel bankaların kredi verme motivasyonunu artırmak amacıyla uygulanan Aktif Rasyosu düzenlemesi (Kara, 2021)</w:t>
      </w:r>
      <w:r w:rsidR="00200E53" w:rsidRPr="00B03142">
        <w:rPr>
          <w:rFonts w:ascii="Times New Roman" w:hAnsi="Times New Roman" w:cs="Times New Roman"/>
          <w:sz w:val="24"/>
          <w:szCs w:val="24"/>
        </w:rPr>
        <w:t>)</w:t>
      </w:r>
      <w:r w:rsidRPr="00B03142">
        <w:rPr>
          <w:rFonts w:ascii="Times New Roman" w:hAnsi="Times New Roman" w:cs="Times New Roman"/>
          <w:sz w:val="24"/>
          <w:szCs w:val="24"/>
        </w:rPr>
        <w:t>.</w:t>
      </w:r>
      <w:r w:rsidR="003C422C" w:rsidRPr="00B03142">
        <w:rPr>
          <w:rFonts w:ascii="Times New Roman" w:hAnsi="Times New Roman" w:cs="Times New Roman"/>
          <w:sz w:val="24"/>
          <w:szCs w:val="24"/>
        </w:rPr>
        <w:t xml:space="preserve"> Kabaca yapılmış dönemlendirme analizinden elde edilen en belirgin gözlem </w:t>
      </w:r>
      <w:r w:rsidR="00325534" w:rsidRPr="00B03142">
        <w:rPr>
          <w:rFonts w:ascii="Times New Roman" w:hAnsi="Times New Roman" w:cs="Times New Roman"/>
          <w:sz w:val="24"/>
          <w:szCs w:val="24"/>
        </w:rPr>
        <w:t xml:space="preserve">kriz yıllarını kapsayan </w:t>
      </w:r>
      <w:r w:rsidR="006D60E0" w:rsidRPr="00B03142">
        <w:rPr>
          <w:rFonts w:ascii="Times New Roman" w:hAnsi="Times New Roman" w:cs="Times New Roman"/>
          <w:sz w:val="24"/>
          <w:szCs w:val="24"/>
        </w:rPr>
        <w:t>ve</w:t>
      </w:r>
      <w:r w:rsidR="00325534" w:rsidRPr="00B03142">
        <w:rPr>
          <w:rFonts w:ascii="Times New Roman" w:hAnsi="Times New Roman" w:cs="Times New Roman"/>
          <w:sz w:val="24"/>
          <w:szCs w:val="24"/>
        </w:rPr>
        <w:t xml:space="preserve"> </w:t>
      </w:r>
      <w:r w:rsidR="003C422C" w:rsidRPr="00B03142">
        <w:rPr>
          <w:rFonts w:ascii="Times New Roman" w:hAnsi="Times New Roman" w:cs="Times New Roman"/>
          <w:sz w:val="24"/>
          <w:szCs w:val="24"/>
        </w:rPr>
        <w:t>jeop</w:t>
      </w:r>
      <w:r w:rsidR="006D60E0" w:rsidRPr="00B03142">
        <w:rPr>
          <w:rFonts w:ascii="Times New Roman" w:hAnsi="Times New Roman" w:cs="Times New Roman"/>
          <w:sz w:val="24"/>
          <w:szCs w:val="24"/>
        </w:rPr>
        <w:t>o</w:t>
      </w:r>
      <w:r w:rsidR="003C422C" w:rsidRPr="00B03142">
        <w:rPr>
          <w:rFonts w:ascii="Times New Roman" w:hAnsi="Times New Roman" w:cs="Times New Roman"/>
          <w:sz w:val="24"/>
          <w:szCs w:val="24"/>
        </w:rPr>
        <w:t xml:space="preserve">litik veya </w:t>
      </w:r>
      <w:r w:rsidR="00325534" w:rsidRPr="00B03142">
        <w:rPr>
          <w:rFonts w:ascii="Times New Roman" w:hAnsi="Times New Roman" w:cs="Times New Roman"/>
          <w:sz w:val="24"/>
          <w:szCs w:val="24"/>
        </w:rPr>
        <w:t>makro</w:t>
      </w:r>
      <w:r w:rsidR="003C422C" w:rsidRPr="00B03142">
        <w:rPr>
          <w:rFonts w:ascii="Times New Roman" w:hAnsi="Times New Roman" w:cs="Times New Roman"/>
          <w:sz w:val="24"/>
          <w:szCs w:val="24"/>
        </w:rPr>
        <w:t>ekonomik</w:t>
      </w:r>
      <w:r w:rsidR="00325534" w:rsidRPr="00B03142">
        <w:rPr>
          <w:rFonts w:ascii="Times New Roman" w:hAnsi="Times New Roman" w:cs="Times New Roman"/>
          <w:sz w:val="24"/>
          <w:szCs w:val="24"/>
        </w:rPr>
        <w:t xml:space="preserve"> belirsizliklerin</w:t>
      </w:r>
      <w:r w:rsidR="003C422C" w:rsidRPr="00B03142">
        <w:rPr>
          <w:rFonts w:ascii="Times New Roman" w:hAnsi="Times New Roman" w:cs="Times New Roman"/>
          <w:sz w:val="24"/>
          <w:szCs w:val="24"/>
        </w:rPr>
        <w:t xml:space="preserve"> </w:t>
      </w:r>
      <w:r w:rsidR="00325534" w:rsidRPr="00B03142">
        <w:rPr>
          <w:rFonts w:ascii="Times New Roman" w:hAnsi="Times New Roman" w:cs="Times New Roman"/>
          <w:sz w:val="24"/>
          <w:szCs w:val="24"/>
        </w:rPr>
        <w:t xml:space="preserve">arttığı dönemlerde NKK/GSYH </w:t>
      </w:r>
      <w:r w:rsidR="003C422C" w:rsidRPr="00B03142">
        <w:rPr>
          <w:rFonts w:ascii="Times New Roman" w:hAnsi="Times New Roman" w:cs="Times New Roman"/>
          <w:sz w:val="24"/>
          <w:szCs w:val="24"/>
        </w:rPr>
        <w:t xml:space="preserve">oranının </w:t>
      </w:r>
      <w:r w:rsidR="00325534" w:rsidRPr="00B03142">
        <w:rPr>
          <w:rFonts w:ascii="Times New Roman" w:hAnsi="Times New Roman" w:cs="Times New Roman"/>
          <w:sz w:val="24"/>
          <w:szCs w:val="24"/>
        </w:rPr>
        <w:t>reel kredi artış</w:t>
      </w:r>
      <w:r w:rsidR="003C422C" w:rsidRPr="00B03142">
        <w:rPr>
          <w:rFonts w:ascii="Times New Roman" w:hAnsi="Times New Roman" w:cs="Times New Roman"/>
          <w:sz w:val="24"/>
          <w:szCs w:val="24"/>
        </w:rPr>
        <w:t xml:space="preserve"> oranından</w:t>
      </w:r>
      <w:r w:rsidR="00325534" w:rsidRPr="00B03142">
        <w:rPr>
          <w:rFonts w:ascii="Times New Roman" w:hAnsi="Times New Roman" w:cs="Times New Roman"/>
          <w:sz w:val="24"/>
          <w:szCs w:val="24"/>
        </w:rPr>
        <w:t xml:space="preserve"> yüksek</w:t>
      </w:r>
      <w:r w:rsidR="003C422C" w:rsidRPr="00B03142">
        <w:rPr>
          <w:rFonts w:ascii="Times New Roman" w:hAnsi="Times New Roman" w:cs="Times New Roman"/>
          <w:sz w:val="24"/>
          <w:szCs w:val="24"/>
        </w:rPr>
        <w:t xml:space="preserve"> olduğudur</w:t>
      </w:r>
      <w:r w:rsidR="00325534" w:rsidRPr="00B03142">
        <w:rPr>
          <w:rFonts w:ascii="Times New Roman" w:hAnsi="Times New Roman" w:cs="Times New Roman"/>
          <w:sz w:val="24"/>
          <w:szCs w:val="24"/>
        </w:rPr>
        <w:t xml:space="preserve">. </w:t>
      </w:r>
      <w:r w:rsidR="003C422C" w:rsidRPr="00B03142">
        <w:rPr>
          <w:rFonts w:ascii="Times New Roman" w:hAnsi="Times New Roman" w:cs="Times New Roman"/>
          <w:sz w:val="24"/>
          <w:szCs w:val="24"/>
        </w:rPr>
        <w:t xml:space="preserve">Bu nedenle NKK/GSYH oranının reel kredi genişlemesinden yüksek </w:t>
      </w:r>
      <w:r w:rsidR="006D60E0" w:rsidRPr="00B03142">
        <w:rPr>
          <w:rFonts w:ascii="Times New Roman" w:hAnsi="Times New Roman" w:cs="Times New Roman"/>
          <w:sz w:val="24"/>
          <w:szCs w:val="24"/>
        </w:rPr>
        <w:t>olması</w:t>
      </w:r>
      <w:r w:rsidR="003C422C" w:rsidRPr="00B03142">
        <w:rPr>
          <w:rFonts w:ascii="Times New Roman" w:hAnsi="Times New Roman" w:cs="Times New Roman"/>
          <w:sz w:val="24"/>
          <w:szCs w:val="24"/>
        </w:rPr>
        <w:t xml:space="preserve"> kredi genişlemelerine rağmen fiyat ve milli gelir göstergelerinde </w:t>
      </w:r>
      <w:r w:rsidR="006D60E0" w:rsidRPr="00B03142">
        <w:rPr>
          <w:rFonts w:ascii="Times New Roman" w:hAnsi="Times New Roman" w:cs="Times New Roman"/>
          <w:sz w:val="24"/>
          <w:szCs w:val="24"/>
        </w:rPr>
        <w:t>bozulmalara işaret etmektedir.</w:t>
      </w:r>
      <w:r w:rsidR="00F544AB">
        <w:rPr>
          <w:rFonts w:ascii="Times New Roman" w:hAnsi="Times New Roman" w:cs="Times New Roman"/>
          <w:sz w:val="24"/>
          <w:szCs w:val="24"/>
        </w:rPr>
        <w:t xml:space="preserve"> </w:t>
      </w:r>
    </w:p>
    <w:p w14:paraId="466699F4" w14:textId="78BC8655" w:rsidR="00677277" w:rsidRPr="00A70EAB" w:rsidRDefault="00313573" w:rsidP="00EF3B35">
      <w:pPr>
        <w:autoSpaceDE w:val="0"/>
        <w:autoSpaceDN w:val="0"/>
        <w:adjustRightInd w:val="0"/>
        <w:spacing w:after="0" w:line="276"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Söz konusu konjonktürel gelişmeler </w:t>
      </w:r>
      <w:r w:rsidRPr="00083D7C">
        <w:rPr>
          <w:rFonts w:ascii="Times New Roman" w:hAnsi="Times New Roman" w:cs="Times New Roman"/>
          <w:sz w:val="24"/>
          <w:szCs w:val="24"/>
        </w:rPr>
        <w:t>ışı</w:t>
      </w:r>
      <w:r w:rsidR="00083D7C">
        <w:rPr>
          <w:rFonts w:ascii="Times New Roman" w:hAnsi="Times New Roman" w:cs="Times New Roman"/>
          <w:sz w:val="24"/>
          <w:szCs w:val="24"/>
        </w:rPr>
        <w:t>ğı</w:t>
      </w:r>
      <w:r w:rsidRPr="00083D7C">
        <w:rPr>
          <w:rFonts w:ascii="Times New Roman" w:hAnsi="Times New Roman" w:cs="Times New Roman"/>
          <w:sz w:val="24"/>
          <w:szCs w:val="24"/>
        </w:rPr>
        <w:t>nda</w:t>
      </w:r>
      <w:r>
        <w:rPr>
          <w:rFonts w:ascii="Times New Roman" w:hAnsi="Times New Roman" w:cs="Times New Roman"/>
          <w:sz w:val="24"/>
          <w:szCs w:val="24"/>
        </w:rPr>
        <w:t xml:space="preserve"> gerçekleşen reel kredi değişimlerine sektörlerin </w:t>
      </w:r>
      <w:r w:rsidR="00083D7C">
        <w:rPr>
          <w:rFonts w:ascii="Times New Roman" w:hAnsi="Times New Roman" w:cs="Times New Roman"/>
          <w:sz w:val="24"/>
          <w:szCs w:val="24"/>
        </w:rPr>
        <w:t>katkısına</w:t>
      </w:r>
      <w:r w:rsidR="00EF3B35">
        <w:rPr>
          <w:rFonts w:ascii="Times New Roman" w:hAnsi="Times New Roman" w:cs="Times New Roman"/>
          <w:sz w:val="24"/>
          <w:szCs w:val="24"/>
        </w:rPr>
        <w:t>,</w:t>
      </w:r>
      <w:r>
        <w:rPr>
          <w:rFonts w:ascii="Times New Roman" w:hAnsi="Times New Roman" w:cs="Times New Roman"/>
          <w:sz w:val="24"/>
          <w:szCs w:val="24"/>
        </w:rPr>
        <w:t xml:space="preserve"> ticarete konu olan ve olmayan </w:t>
      </w:r>
      <w:r w:rsidR="00EF3B35">
        <w:rPr>
          <w:rFonts w:ascii="Times New Roman" w:hAnsi="Times New Roman" w:cs="Times New Roman"/>
          <w:sz w:val="24"/>
          <w:szCs w:val="24"/>
        </w:rPr>
        <w:t xml:space="preserve">sektör </w:t>
      </w:r>
      <w:r>
        <w:rPr>
          <w:rFonts w:ascii="Times New Roman" w:hAnsi="Times New Roman" w:cs="Times New Roman"/>
          <w:sz w:val="24"/>
          <w:szCs w:val="24"/>
        </w:rPr>
        <w:t>ayrımı gözeterek</w:t>
      </w:r>
      <w:r w:rsidR="00EF3B35">
        <w:rPr>
          <w:rFonts w:ascii="Times New Roman" w:hAnsi="Times New Roman" w:cs="Times New Roman"/>
          <w:sz w:val="24"/>
          <w:szCs w:val="24"/>
        </w:rPr>
        <w:t>,</w:t>
      </w:r>
      <w:r>
        <w:rPr>
          <w:rFonts w:ascii="Times New Roman" w:hAnsi="Times New Roman" w:cs="Times New Roman"/>
          <w:sz w:val="24"/>
          <w:szCs w:val="24"/>
        </w:rPr>
        <w:t xml:space="preserve"> </w:t>
      </w:r>
      <w:r w:rsidR="00F544AB">
        <w:rPr>
          <w:rFonts w:ascii="Times New Roman" w:hAnsi="Times New Roman" w:cs="Times New Roman"/>
          <w:sz w:val="24"/>
          <w:szCs w:val="24"/>
        </w:rPr>
        <w:t xml:space="preserve">Şekil </w:t>
      </w:r>
      <w:r w:rsidR="003A7E83">
        <w:rPr>
          <w:rFonts w:ascii="Times New Roman" w:hAnsi="Times New Roman" w:cs="Times New Roman"/>
          <w:sz w:val="24"/>
          <w:szCs w:val="24"/>
        </w:rPr>
        <w:t>6</w:t>
      </w:r>
      <w:r w:rsidR="00F544AB">
        <w:rPr>
          <w:rFonts w:ascii="Times New Roman" w:hAnsi="Times New Roman" w:cs="Times New Roman"/>
          <w:sz w:val="24"/>
          <w:szCs w:val="24"/>
        </w:rPr>
        <w:t xml:space="preserve"> aracılığıyla </w:t>
      </w:r>
      <w:r>
        <w:rPr>
          <w:rFonts w:ascii="Times New Roman" w:hAnsi="Times New Roman" w:cs="Times New Roman"/>
          <w:sz w:val="24"/>
          <w:szCs w:val="24"/>
        </w:rPr>
        <w:t>b</w:t>
      </w:r>
      <w:r w:rsidR="00083D7C">
        <w:rPr>
          <w:rFonts w:ascii="Times New Roman" w:hAnsi="Times New Roman" w:cs="Times New Roman"/>
          <w:sz w:val="24"/>
          <w:szCs w:val="24"/>
        </w:rPr>
        <w:t>akıldığında</w:t>
      </w:r>
      <w:r w:rsidR="00F544AB">
        <w:rPr>
          <w:rFonts w:ascii="Times New Roman" w:hAnsi="Times New Roman" w:cs="Times New Roman"/>
          <w:sz w:val="24"/>
          <w:szCs w:val="24"/>
        </w:rPr>
        <w:t xml:space="preserve"> </w:t>
      </w:r>
      <w:r w:rsidR="00F544AB" w:rsidRPr="00B03142">
        <w:rPr>
          <w:rFonts w:ascii="Times New Roman" w:hAnsi="Times New Roman" w:cs="Times New Roman"/>
          <w:sz w:val="24"/>
          <w:szCs w:val="24"/>
        </w:rPr>
        <w:t xml:space="preserve">ticarete konu olmayan sektörlerin reel </w:t>
      </w:r>
      <w:r w:rsidR="00F544AB">
        <w:rPr>
          <w:rFonts w:ascii="Times New Roman" w:hAnsi="Times New Roman" w:cs="Times New Roman"/>
          <w:sz w:val="24"/>
          <w:szCs w:val="24"/>
        </w:rPr>
        <w:t xml:space="preserve">kredi </w:t>
      </w:r>
      <w:r w:rsidR="00F544AB" w:rsidRPr="00B03142">
        <w:rPr>
          <w:rFonts w:ascii="Times New Roman" w:hAnsi="Times New Roman" w:cs="Times New Roman"/>
          <w:sz w:val="24"/>
          <w:szCs w:val="24"/>
        </w:rPr>
        <w:t>artış</w:t>
      </w:r>
      <w:r w:rsidR="00F544AB">
        <w:rPr>
          <w:rFonts w:ascii="Times New Roman" w:hAnsi="Times New Roman" w:cs="Times New Roman"/>
          <w:sz w:val="24"/>
          <w:szCs w:val="24"/>
        </w:rPr>
        <w:t>ındaki</w:t>
      </w:r>
      <w:r w:rsidR="00F544AB" w:rsidRPr="00B03142">
        <w:rPr>
          <w:rFonts w:ascii="Times New Roman" w:hAnsi="Times New Roman" w:cs="Times New Roman"/>
          <w:sz w:val="24"/>
          <w:szCs w:val="24"/>
        </w:rPr>
        <w:t xml:space="preserve"> payı</w:t>
      </w:r>
      <w:r w:rsidR="00F544AB">
        <w:rPr>
          <w:rFonts w:ascii="Times New Roman" w:hAnsi="Times New Roman" w:cs="Times New Roman"/>
          <w:sz w:val="24"/>
          <w:szCs w:val="24"/>
        </w:rPr>
        <w:t>nın</w:t>
      </w:r>
      <w:r w:rsidR="00F544AB" w:rsidRPr="00B03142">
        <w:rPr>
          <w:rFonts w:ascii="Times New Roman" w:hAnsi="Times New Roman" w:cs="Times New Roman"/>
          <w:sz w:val="24"/>
          <w:szCs w:val="24"/>
        </w:rPr>
        <w:t xml:space="preserve"> </w:t>
      </w:r>
      <w:r w:rsidR="00F544AB" w:rsidRPr="00EF3B35">
        <w:rPr>
          <w:rFonts w:ascii="Times New Roman" w:hAnsi="Times New Roman" w:cs="Times New Roman"/>
          <w:sz w:val="24"/>
          <w:szCs w:val="24"/>
        </w:rPr>
        <w:t>incelenen</w:t>
      </w:r>
      <w:r w:rsidR="00F544AB">
        <w:rPr>
          <w:rFonts w:ascii="Times New Roman" w:hAnsi="Times New Roman" w:cs="Times New Roman"/>
          <w:sz w:val="24"/>
          <w:szCs w:val="24"/>
        </w:rPr>
        <w:t xml:space="preserve"> </w:t>
      </w:r>
      <w:r w:rsidR="00066AC0">
        <w:rPr>
          <w:rFonts w:ascii="Times New Roman" w:hAnsi="Times New Roman" w:cs="Times New Roman"/>
          <w:sz w:val="24"/>
          <w:szCs w:val="24"/>
        </w:rPr>
        <w:t>dönemin</w:t>
      </w:r>
      <w:r w:rsidR="00F544AB" w:rsidRPr="00B03142">
        <w:rPr>
          <w:rFonts w:ascii="Times New Roman" w:hAnsi="Times New Roman" w:cs="Times New Roman"/>
          <w:sz w:val="24"/>
          <w:szCs w:val="24"/>
        </w:rPr>
        <w:t xml:space="preserve"> çoğunda daha fazla</w:t>
      </w:r>
      <w:r w:rsidR="00F544AB">
        <w:rPr>
          <w:rFonts w:ascii="Times New Roman" w:hAnsi="Times New Roman" w:cs="Times New Roman"/>
          <w:sz w:val="24"/>
          <w:szCs w:val="24"/>
        </w:rPr>
        <w:t xml:space="preserve"> olduğu gözlenmektedir.</w:t>
      </w:r>
      <w:r w:rsidR="00066AC0" w:rsidRPr="00B03142">
        <w:rPr>
          <w:rStyle w:val="FootnoteReference"/>
          <w:rFonts w:ascii="Times New Roman" w:hAnsi="Times New Roman" w:cs="Times New Roman"/>
          <w:sz w:val="24"/>
          <w:szCs w:val="24"/>
        </w:rPr>
        <w:footnoteReference w:id="16"/>
      </w:r>
      <w:r w:rsidR="00EF3B35">
        <w:rPr>
          <w:rFonts w:ascii="Times New Roman" w:hAnsi="Times New Roman" w:cs="Times New Roman"/>
          <w:sz w:val="24"/>
          <w:szCs w:val="24"/>
        </w:rPr>
        <w:t xml:space="preserve"> </w:t>
      </w:r>
      <w:r w:rsidR="00A94EB4" w:rsidRPr="00B03142">
        <w:rPr>
          <w:rFonts w:ascii="Times New Roman" w:hAnsi="Times New Roman" w:cs="Times New Roman"/>
          <w:sz w:val="24"/>
          <w:szCs w:val="24"/>
        </w:rPr>
        <w:t>Kredi kullanan sektörün</w:t>
      </w:r>
      <w:r w:rsidR="00DE579C" w:rsidRPr="00B03142">
        <w:rPr>
          <w:rFonts w:ascii="Times New Roman" w:hAnsi="Times New Roman" w:cs="Times New Roman"/>
          <w:sz w:val="24"/>
          <w:szCs w:val="24"/>
        </w:rPr>
        <w:t xml:space="preserve"> ticarete konu olması ve olmaması </w:t>
      </w:r>
      <w:r w:rsidR="00FA15FA" w:rsidRPr="00B03142">
        <w:rPr>
          <w:rFonts w:ascii="Times New Roman" w:hAnsi="Times New Roman" w:cs="Times New Roman"/>
          <w:sz w:val="24"/>
          <w:szCs w:val="24"/>
        </w:rPr>
        <w:t xml:space="preserve">çalışmanın başında da belirtildiği gibi </w:t>
      </w:r>
      <w:r w:rsidR="00870DF4" w:rsidRPr="00B03142">
        <w:rPr>
          <w:rFonts w:ascii="Times New Roman" w:hAnsi="Times New Roman" w:cs="Times New Roman"/>
          <w:sz w:val="24"/>
          <w:szCs w:val="24"/>
        </w:rPr>
        <w:t xml:space="preserve">kredi tahsisinin </w:t>
      </w:r>
      <w:r w:rsidR="00DE579C" w:rsidRPr="00B03142">
        <w:rPr>
          <w:rFonts w:ascii="Times New Roman" w:hAnsi="Times New Roman" w:cs="Times New Roman"/>
          <w:sz w:val="24"/>
          <w:szCs w:val="24"/>
        </w:rPr>
        <w:t>finansal istikrar</w:t>
      </w:r>
      <w:r w:rsidR="00FA15FA" w:rsidRPr="00B03142">
        <w:rPr>
          <w:rFonts w:ascii="Times New Roman" w:hAnsi="Times New Roman" w:cs="Times New Roman"/>
          <w:sz w:val="24"/>
          <w:szCs w:val="24"/>
        </w:rPr>
        <w:t>ı tehdit edici risk barındırıp barındırmaması</w:t>
      </w:r>
      <w:r w:rsidR="00870DF4" w:rsidRPr="00B03142">
        <w:rPr>
          <w:rFonts w:ascii="Times New Roman" w:hAnsi="Times New Roman" w:cs="Times New Roman"/>
          <w:sz w:val="24"/>
          <w:szCs w:val="24"/>
        </w:rPr>
        <w:t xml:space="preserve"> açısından önemlidir. </w:t>
      </w:r>
      <w:r w:rsidR="00FA15FA" w:rsidRPr="00B03142">
        <w:rPr>
          <w:rFonts w:ascii="Times New Roman" w:hAnsi="Times New Roman" w:cs="Times New Roman"/>
          <w:sz w:val="24"/>
          <w:szCs w:val="24"/>
        </w:rPr>
        <w:t>Ticarete konu olmayan sektörlerdeki yüksek kredi artışları ticarete konu olan sektörlerdeki artışlara göre daha fazla risk barındırmaktadır</w:t>
      </w:r>
      <w:r w:rsidR="00387BD0">
        <w:rPr>
          <w:rFonts w:ascii="Times New Roman" w:hAnsi="Times New Roman" w:cs="Times New Roman"/>
          <w:sz w:val="24"/>
          <w:szCs w:val="24"/>
        </w:rPr>
        <w:t xml:space="preserve"> </w:t>
      </w:r>
      <w:r w:rsidR="00387BD0" w:rsidRPr="00B03142">
        <w:rPr>
          <w:rFonts w:ascii="Times New Roman" w:hAnsi="Times New Roman" w:cs="Times New Roman"/>
          <w:sz w:val="24"/>
          <w:szCs w:val="24"/>
        </w:rPr>
        <w:t>(Dell’Ariccia vd. (</w:t>
      </w:r>
      <w:r w:rsidR="00387BD0">
        <w:rPr>
          <w:rFonts w:ascii="Times New Roman" w:hAnsi="Times New Roman" w:cs="Times New Roman"/>
          <w:sz w:val="24"/>
          <w:szCs w:val="24"/>
        </w:rPr>
        <w:t>2020</w:t>
      </w:r>
      <w:r w:rsidR="00387BD0" w:rsidRPr="00B03142">
        <w:rPr>
          <w:rFonts w:ascii="Times New Roman" w:hAnsi="Times New Roman" w:cs="Times New Roman"/>
          <w:sz w:val="24"/>
          <w:szCs w:val="24"/>
        </w:rPr>
        <w:t>); Gorton ve Ordonez (2020); Müller ve Verner (2023))</w:t>
      </w:r>
      <w:r w:rsidR="00FA15FA" w:rsidRPr="00B03142">
        <w:rPr>
          <w:rFonts w:ascii="Times New Roman" w:hAnsi="Times New Roman" w:cs="Times New Roman"/>
          <w:sz w:val="24"/>
          <w:szCs w:val="24"/>
        </w:rPr>
        <w:t>.</w:t>
      </w:r>
      <w:r w:rsidR="00677277" w:rsidRPr="00B03142">
        <w:rPr>
          <w:rFonts w:ascii="Times New Roman" w:hAnsi="Times New Roman" w:cs="Times New Roman"/>
          <w:sz w:val="24"/>
          <w:szCs w:val="24"/>
        </w:rPr>
        <w:t xml:space="preserve"> </w:t>
      </w:r>
      <w:r w:rsidR="006E7C01" w:rsidRPr="00B03142">
        <w:rPr>
          <w:rFonts w:ascii="Times New Roman" w:hAnsi="Times New Roman" w:cs="Times New Roman"/>
          <w:sz w:val="24"/>
          <w:szCs w:val="24"/>
        </w:rPr>
        <w:t xml:space="preserve">2000-2021 döneminde </w:t>
      </w:r>
      <w:r w:rsidR="00A94EB4" w:rsidRPr="00B03142">
        <w:rPr>
          <w:rFonts w:ascii="Times New Roman" w:hAnsi="Times New Roman" w:cs="Times New Roman"/>
          <w:sz w:val="24"/>
          <w:szCs w:val="24"/>
        </w:rPr>
        <w:t>yıllık yüzde 11</w:t>
      </w:r>
      <w:r w:rsidR="005A20CF" w:rsidRPr="00B03142">
        <w:rPr>
          <w:rFonts w:ascii="Times New Roman" w:hAnsi="Times New Roman" w:cs="Times New Roman"/>
          <w:sz w:val="24"/>
          <w:szCs w:val="24"/>
        </w:rPr>
        <w:t>,</w:t>
      </w:r>
      <w:r w:rsidR="00A94EB4" w:rsidRPr="00B03142">
        <w:rPr>
          <w:rFonts w:ascii="Times New Roman" w:hAnsi="Times New Roman" w:cs="Times New Roman"/>
          <w:sz w:val="24"/>
          <w:szCs w:val="24"/>
        </w:rPr>
        <w:t xml:space="preserve">3 olan reel kredi artışının yüzde 71,5’i ticarete konu olmayan sektörlerden </w:t>
      </w:r>
      <w:r w:rsidR="007822AA">
        <w:rPr>
          <w:rFonts w:ascii="Times New Roman" w:hAnsi="Times New Roman" w:cs="Times New Roman"/>
          <w:sz w:val="24"/>
          <w:szCs w:val="24"/>
        </w:rPr>
        <w:t>kaynaklanmaktadır</w:t>
      </w:r>
      <w:r w:rsidR="00A94EB4" w:rsidRPr="00B03142">
        <w:rPr>
          <w:rFonts w:ascii="Times New Roman" w:hAnsi="Times New Roman" w:cs="Times New Roman"/>
          <w:sz w:val="24"/>
          <w:szCs w:val="24"/>
        </w:rPr>
        <w:t xml:space="preserve">. </w:t>
      </w:r>
      <w:r w:rsidR="00B36E5B" w:rsidRPr="00B03142">
        <w:rPr>
          <w:rFonts w:ascii="Times New Roman" w:hAnsi="Times New Roman" w:cs="Times New Roman"/>
          <w:sz w:val="24"/>
          <w:szCs w:val="24"/>
        </w:rPr>
        <w:t xml:space="preserve">2004-2008 döneminde bu oran yüzde 64’e düşerken, 2010-2015 ve 2016 sonrası dönemde tekrar artarak sırasıyla yüzde 69 ve yüzde 67 olmuştur. </w:t>
      </w:r>
      <w:r w:rsidR="00A94EB4" w:rsidRPr="00B03142">
        <w:rPr>
          <w:rFonts w:ascii="Times New Roman" w:hAnsi="Times New Roman" w:cs="Times New Roman"/>
          <w:sz w:val="24"/>
          <w:szCs w:val="24"/>
        </w:rPr>
        <w:t>Ayrıca 2001 ve 20</w:t>
      </w:r>
      <w:r w:rsidR="00B36E5B" w:rsidRPr="00B03142">
        <w:rPr>
          <w:rFonts w:ascii="Times New Roman" w:hAnsi="Times New Roman" w:cs="Times New Roman"/>
          <w:sz w:val="24"/>
          <w:szCs w:val="24"/>
        </w:rPr>
        <w:t>09 kriz yıllarında</w:t>
      </w:r>
      <w:r w:rsidR="00A94EB4" w:rsidRPr="00B03142">
        <w:rPr>
          <w:rFonts w:ascii="Times New Roman" w:hAnsi="Times New Roman" w:cs="Times New Roman"/>
          <w:sz w:val="24"/>
          <w:szCs w:val="24"/>
        </w:rPr>
        <w:t xml:space="preserve"> ticarete konu olan </w:t>
      </w:r>
      <w:r w:rsidR="00B36E5B" w:rsidRPr="00B03142">
        <w:rPr>
          <w:rFonts w:ascii="Times New Roman" w:hAnsi="Times New Roman" w:cs="Times New Roman"/>
          <w:sz w:val="24"/>
          <w:szCs w:val="24"/>
        </w:rPr>
        <w:t xml:space="preserve">sektörlere tahsis edilen krediler reel olarak azalırken ticarete konu olmayan sektörlere tahsis </w:t>
      </w:r>
      <w:r w:rsidR="00B36E5B" w:rsidRPr="00B03142">
        <w:rPr>
          <w:rFonts w:ascii="Times New Roman" w:hAnsi="Times New Roman" w:cs="Times New Roman"/>
          <w:sz w:val="24"/>
          <w:szCs w:val="24"/>
        </w:rPr>
        <w:lastRenderedPageBreak/>
        <w:t xml:space="preserve">edilen krediler </w:t>
      </w:r>
      <w:r w:rsidR="0004567F">
        <w:rPr>
          <w:rFonts w:ascii="Times New Roman" w:hAnsi="Times New Roman" w:cs="Times New Roman"/>
          <w:sz w:val="24"/>
          <w:szCs w:val="24"/>
        </w:rPr>
        <w:t xml:space="preserve">reel olarak </w:t>
      </w:r>
      <w:r w:rsidR="00B36E5B" w:rsidRPr="00B03142">
        <w:rPr>
          <w:rFonts w:ascii="Times New Roman" w:hAnsi="Times New Roman" w:cs="Times New Roman"/>
          <w:sz w:val="24"/>
          <w:szCs w:val="24"/>
        </w:rPr>
        <w:t xml:space="preserve">artmıştır. </w:t>
      </w:r>
      <w:r w:rsidR="009E573C">
        <w:rPr>
          <w:rFonts w:ascii="Times New Roman" w:hAnsi="Times New Roman" w:cs="Times New Roman"/>
          <w:sz w:val="24"/>
          <w:szCs w:val="24"/>
        </w:rPr>
        <w:t>S</w:t>
      </w:r>
      <w:r w:rsidR="009E573C" w:rsidRPr="00B03142">
        <w:rPr>
          <w:rFonts w:ascii="Times New Roman" w:hAnsi="Times New Roman" w:cs="Times New Roman"/>
          <w:sz w:val="24"/>
          <w:szCs w:val="24"/>
        </w:rPr>
        <w:t>on</w:t>
      </w:r>
      <w:r w:rsidR="00302684">
        <w:rPr>
          <w:rFonts w:ascii="Times New Roman" w:hAnsi="Times New Roman" w:cs="Times New Roman"/>
          <w:sz w:val="24"/>
          <w:szCs w:val="24"/>
        </w:rPr>
        <w:t>uç olarak, son</w:t>
      </w:r>
      <w:r w:rsidR="009E573C" w:rsidRPr="00B03142">
        <w:rPr>
          <w:rFonts w:ascii="Times New Roman" w:hAnsi="Times New Roman" w:cs="Times New Roman"/>
          <w:sz w:val="24"/>
          <w:szCs w:val="24"/>
        </w:rPr>
        <w:t xml:space="preserve"> 20 yıllık dönem</w:t>
      </w:r>
      <w:r w:rsidR="009E573C">
        <w:rPr>
          <w:rFonts w:ascii="Times New Roman" w:hAnsi="Times New Roman" w:cs="Times New Roman"/>
          <w:sz w:val="24"/>
          <w:szCs w:val="24"/>
        </w:rPr>
        <w:t>in genelinde</w:t>
      </w:r>
      <w:r w:rsidR="009E573C" w:rsidRPr="00B03142">
        <w:rPr>
          <w:rFonts w:ascii="Times New Roman" w:hAnsi="Times New Roman" w:cs="Times New Roman"/>
          <w:sz w:val="24"/>
          <w:szCs w:val="24"/>
        </w:rPr>
        <w:t xml:space="preserve"> yerel bankalarca tahsis edilen kredilerin yıllık reel artışında ticarete konu olmayan sektörlerin toplam payının ticarete konu olan sektörlerin toplam payının yaklaşık iki katı</w:t>
      </w:r>
      <w:r w:rsidR="009E573C">
        <w:rPr>
          <w:rFonts w:ascii="Times New Roman" w:hAnsi="Times New Roman" w:cs="Times New Roman"/>
          <w:sz w:val="24"/>
          <w:szCs w:val="24"/>
        </w:rPr>
        <w:t>dır.</w:t>
      </w:r>
      <w:r w:rsidR="00302684">
        <w:rPr>
          <w:rFonts w:ascii="Times New Roman" w:hAnsi="Times New Roman" w:cs="Times New Roman"/>
          <w:sz w:val="24"/>
          <w:szCs w:val="24"/>
        </w:rPr>
        <w:t xml:space="preserve"> </w:t>
      </w:r>
    </w:p>
    <w:p w14:paraId="2E05B6E2" w14:textId="636B1499" w:rsidR="00AC2A16" w:rsidRPr="00A70EAB" w:rsidRDefault="00AC2A16" w:rsidP="00A70EAB">
      <w:pPr>
        <w:pStyle w:val="Caption"/>
        <w:keepNext/>
        <w:spacing w:before="240"/>
        <w:jc w:val="center"/>
        <w:rPr>
          <w:rFonts w:ascii="Times New Roman" w:hAnsi="Times New Roman" w:cs="Times New Roman"/>
          <w:b/>
          <w:i w:val="0"/>
          <w:color w:val="auto"/>
          <w:sz w:val="22"/>
          <w:szCs w:val="22"/>
        </w:rPr>
      </w:pPr>
      <w:r w:rsidRPr="00A70EAB">
        <w:rPr>
          <w:rFonts w:ascii="Times New Roman" w:hAnsi="Times New Roman" w:cs="Times New Roman"/>
          <w:b/>
          <w:i w:val="0"/>
          <w:color w:val="auto"/>
          <w:sz w:val="22"/>
          <w:szCs w:val="22"/>
        </w:rPr>
        <w:t xml:space="preserve">Şekil </w:t>
      </w:r>
      <w:r w:rsidRPr="00A70EAB">
        <w:rPr>
          <w:rFonts w:ascii="Times New Roman" w:hAnsi="Times New Roman" w:cs="Times New Roman"/>
          <w:b/>
          <w:i w:val="0"/>
          <w:color w:val="auto"/>
          <w:sz w:val="22"/>
          <w:szCs w:val="22"/>
        </w:rPr>
        <w:fldChar w:fldCharType="begin"/>
      </w:r>
      <w:r w:rsidRPr="00A70EAB">
        <w:rPr>
          <w:rFonts w:ascii="Times New Roman" w:hAnsi="Times New Roman" w:cs="Times New Roman"/>
          <w:b/>
          <w:i w:val="0"/>
          <w:color w:val="auto"/>
          <w:sz w:val="22"/>
          <w:szCs w:val="22"/>
        </w:rPr>
        <w:instrText xml:space="preserve"> SEQ Şekil \* ARABIC </w:instrText>
      </w:r>
      <w:r w:rsidRPr="00A70EAB">
        <w:rPr>
          <w:rFonts w:ascii="Times New Roman" w:hAnsi="Times New Roman" w:cs="Times New Roman"/>
          <w:b/>
          <w:i w:val="0"/>
          <w:color w:val="auto"/>
          <w:sz w:val="22"/>
          <w:szCs w:val="22"/>
        </w:rPr>
        <w:fldChar w:fldCharType="separate"/>
      </w:r>
      <w:r w:rsidR="0057441E">
        <w:rPr>
          <w:rFonts w:ascii="Times New Roman" w:hAnsi="Times New Roman" w:cs="Times New Roman"/>
          <w:b/>
          <w:i w:val="0"/>
          <w:noProof/>
          <w:color w:val="auto"/>
          <w:sz w:val="22"/>
          <w:szCs w:val="22"/>
        </w:rPr>
        <w:t>6</w:t>
      </w:r>
      <w:r w:rsidRPr="00A70EAB">
        <w:rPr>
          <w:rFonts w:ascii="Times New Roman" w:hAnsi="Times New Roman" w:cs="Times New Roman"/>
          <w:b/>
          <w:i w:val="0"/>
          <w:color w:val="auto"/>
          <w:sz w:val="22"/>
          <w:szCs w:val="22"/>
        </w:rPr>
        <w:fldChar w:fldCharType="end"/>
      </w:r>
      <w:r w:rsidRPr="00A70EAB">
        <w:rPr>
          <w:rFonts w:ascii="Times New Roman" w:hAnsi="Times New Roman" w:cs="Times New Roman"/>
          <w:b/>
          <w:i w:val="0"/>
          <w:color w:val="auto"/>
          <w:sz w:val="22"/>
          <w:szCs w:val="22"/>
        </w:rPr>
        <w:t>. Ticare</w:t>
      </w:r>
      <w:r w:rsidR="00B36E5B" w:rsidRPr="00A70EAB">
        <w:rPr>
          <w:rFonts w:ascii="Times New Roman" w:hAnsi="Times New Roman" w:cs="Times New Roman"/>
          <w:b/>
          <w:i w:val="0"/>
          <w:color w:val="auto"/>
          <w:sz w:val="22"/>
          <w:szCs w:val="22"/>
        </w:rPr>
        <w:t>te</w:t>
      </w:r>
      <w:r w:rsidRPr="00A70EAB">
        <w:rPr>
          <w:rFonts w:ascii="Times New Roman" w:hAnsi="Times New Roman" w:cs="Times New Roman"/>
          <w:b/>
          <w:i w:val="0"/>
          <w:color w:val="auto"/>
          <w:sz w:val="22"/>
          <w:szCs w:val="22"/>
        </w:rPr>
        <w:t xml:space="preserve"> Konu Olan ve Olmayan Sektörlerin </w:t>
      </w:r>
      <w:r w:rsidR="00B36E5B" w:rsidRPr="00A70EAB">
        <w:rPr>
          <w:rFonts w:ascii="Times New Roman" w:hAnsi="Times New Roman" w:cs="Times New Roman"/>
          <w:b/>
          <w:i w:val="0"/>
          <w:color w:val="auto"/>
          <w:sz w:val="22"/>
          <w:szCs w:val="22"/>
        </w:rPr>
        <w:t xml:space="preserve">Reel Kredilerin Yıllık Değişimine </w:t>
      </w:r>
      <w:r w:rsidRPr="00A70EAB">
        <w:rPr>
          <w:rFonts w:ascii="Times New Roman" w:hAnsi="Times New Roman" w:cs="Times New Roman"/>
          <w:b/>
          <w:i w:val="0"/>
          <w:color w:val="auto"/>
          <w:sz w:val="22"/>
          <w:szCs w:val="22"/>
        </w:rPr>
        <w:t>Katkıları (%)</w:t>
      </w:r>
    </w:p>
    <w:p w14:paraId="52ED32C9" w14:textId="6FDCCD94" w:rsidR="002F2EA2" w:rsidRDefault="00415E26" w:rsidP="00945964">
      <w:pPr>
        <w:autoSpaceDE w:val="0"/>
        <w:autoSpaceDN w:val="0"/>
        <w:adjustRightInd w:val="0"/>
        <w:spacing w:after="0" w:line="276" w:lineRule="auto"/>
        <w:jc w:val="center"/>
        <w:rPr>
          <w:rFonts w:ascii="Calibri-Light" w:hAnsi="Calibri-Light" w:cs="Calibri-Light"/>
          <w:sz w:val="23"/>
          <w:szCs w:val="23"/>
        </w:rPr>
      </w:pPr>
      <w:r w:rsidRPr="00B03142">
        <w:rPr>
          <w:noProof/>
          <w:lang w:eastAsia="tr-TR"/>
        </w:rPr>
        <w:drawing>
          <wp:inline distT="0" distB="0" distL="0" distR="0" wp14:anchorId="7FBDCA4A" wp14:editId="06C13B65">
            <wp:extent cx="4259110" cy="2252869"/>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312753" cy="2281244"/>
                    </a:xfrm>
                    <a:prstGeom prst="rect">
                      <a:avLst/>
                    </a:prstGeom>
                  </pic:spPr>
                </pic:pic>
              </a:graphicData>
            </a:graphic>
          </wp:inline>
        </w:drawing>
      </w:r>
    </w:p>
    <w:p w14:paraId="04C7882D" w14:textId="075E6B07" w:rsidR="00EF1EE1" w:rsidRPr="00546237" w:rsidRDefault="00EF1EE1" w:rsidP="0082678E">
      <w:pPr>
        <w:autoSpaceDE w:val="0"/>
        <w:autoSpaceDN w:val="0"/>
        <w:adjustRightInd w:val="0"/>
        <w:spacing w:after="0" w:line="276" w:lineRule="auto"/>
        <w:ind w:left="1260" w:firstLine="180"/>
        <w:rPr>
          <w:rFonts w:ascii="Calibri-Light" w:hAnsi="Calibri-Light" w:cs="Calibri-Light"/>
          <w:sz w:val="23"/>
          <w:szCs w:val="23"/>
        </w:rPr>
      </w:pPr>
      <w:r w:rsidRPr="00E35968">
        <w:rPr>
          <w:rFonts w:ascii="Times New Roman" w:hAnsi="Times New Roman" w:cs="Times New Roman"/>
          <w:sz w:val="16"/>
          <w:szCs w:val="18"/>
        </w:rPr>
        <w:t>Kaynak: TCMB, TBB Risk Merkezi</w:t>
      </w:r>
    </w:p>
    <w:p w14:paraId="38900A63" w14:textId="0FC32F8C" w:rsidR="00711E6D" w:rsidRDefault="00711E6D" w:rsidP="00711E6D">
      <w:pPr>
        <w:pStyle w:val="Heading1"/>
        <w:spacing w:after="240" w:line="276" w:lineRule="auto"/>
      </w:pPr>
      <w:r>
        <w:t>Sektör</w:t>
      </w:r>
      <w:r w:rsidR="002B7BAF">
        <w:t xml:space="preserve"> Bazında</w:t>
      </w:r>
      <w:r w:rsidR="00DF7674" w:rsidRPr="00B03142">
        <w:t xml:space="preserve"> </w:t>
      </w:r>
      <w:r>
        <w:t>Kredi Kullanımları ve</w:t>
      </w:r>
      <w:r w:rsidR="00DF7674" w:rsidRPr="00B03142">
        <w:t xml:space="preserve"> Reel Göstergeler</w:t>
      </w:r>
    </w:p>
    <w:p w14:paraId="21313C0B" w14:textId="5B255141" w:rsidR="00302A5B" w:rsidRPr="008079A7" w:rsidRDefault="00711E6D" w:rsidP="008079A7">
      <w:pPr>
        <w:autoSpaceDE w:val="0"/>
        <w:autoSpaceDN w:val="0"/>
        <w:adjustRightInd w:val="0"/>
        <w:spacing w:after="0" w:line="276"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Yüksek kredi artış dönemlerinde kredi kullanan sektörün üretim ve istihdam gibi reel göstergelerinde ekonominin genelinin ve diğer sektörlerin reel perfomansından belirgin bir şekilde ayrışan bir performans sergilemesi, sektörün ticare konu olup olmaması gibi, kredi tahsisinin potansiyel bir kriz riski taşıyıp taşımadığı konusunda işaretler barındırmaktadır </w:t>
      </w:r>
      <w:r w:rsidRPr="00B03142">
        <w:rPr>
          <w:rFonts w:ascii="Times New Roman" w:hAnsi="Times New Roman" w:cs="Times New Roman"/>
          <w:sz w:val="24"/>
          <w:szCs w:val="24"/>
        </w:rPr>
        <w:t>(</w:t>
      </w:r>
      <w:r w:rsidRPr="00B03142">
        <w:rPr>
          <w:rFonts w:ascii="Times New Roman" w:hAnsi="Times New Roman" w:cs="Times New Roman"/>
          <w:sz w:val="24"/>
          <w:szCs w:val="24"/>
          <w:shd w:val="clear" w:color="auto" w:fill="FFFFFF"/>
        </w:rPr>
        <w:t>Dell’Ariccia vd. (20</w:t>
      </w:r>
      <w:r>
        <w:rPr>
          <w:rFonts w:ascii="Times New Roman" w:hAnsi="Times New Roman" w:cs="Times New Roman"/>
          <w:sz w:val="24"/>
          <w:szCs w:val="24"/>
          <w:shd w:val="clear" w:color="auto" w:fill="FFFFFF"/>
        </w:rPr>
        <w:t>20</w:t>
      </w:r>
      <w:r w:rsidRPr="00B03142">
        <w:rPr>
          <w:rFonts w:ascii="Times New Roman" w:hAnsi="Times New Roman" w:cs="Times New Roman"/>
          <w:sz w:val="24"/>
          <w:szCs w:val="24"/>
          <w:shd w:val="clear" w:color="auto" w:fill="FFFFFF"/>
        </w:rPr>
        <w:t>)</w:t>
      </w:r>
      <w:r w:rsidRPr="00B03142">
        <w:rPr>
          <w:rFonts w:ascii="Times New Roman" w:hAnsi="Times New Roman" w:cs="Times New Roman"/>
          <w:sz w:val="24"/>
          <w:szCs w:val="24"/>
        </w:rPr>
        <w:t>)</w:t>
      </w:r>
      <w:r>
        <w:rPr>
          <w:rFonts w:ascii="Times New Roman" w:hAnsi="Times New Roman" w:cs="Times New Roman"/>
          <w:sz w:val="24"/>
          <w:szCs w:val="24"/>
        </w:rPr>
        <w:t>.</w:t>
      </w:r>
      <w:r w:rsidRPr="00B03142">
        <w:rPr>
          <w:rFonts w:ascii="Times New Roman" w:hAnsi="Times New Roman" w:cs="Times New Roman"/>
          <w:sz w:val="24"/>
          <w:szCs w:val="24"/>
        </w:rPr>
        <w:t xml:space="preserve"> Bu bağlamda bu bölümde sektörlerin reel kredi değişimleri ile üretim ve istihdam değişimleri de incelenecektir. Özellikle yüksek reel kredi artışının gözlemlendiği 2004-2008 ve 2010-2015 dönemlerinde hem kredi artışında hem de reel göstergelerde ekonominin genelinden ayrışan sektörlerin varlığı sorgulanacak, ayrışan sektörler varsa bunların reel göstergelerinin takip eden dönemlerde nasıl bir</w:t>
      </w:r>
      <w:r>
        <w:rPr>
          <w:rFonts w:ascii="Times New Roman" w:hAnsi="Times New Roman" w:cs="Times New Roman"/>
          <w:sz w:val="24"/>
          <w:szCs w:val="24"/>
        </w:rPr>
        <w:t xml:space="preserve"> seyir izlediğine bakılacaktır. </w:t>
      </w:r>
    </w:p>
    <w:p w14:paraId="25A63A21" w14:textId="7C397E59" w:rsidR="00BA5742" w:rsidRDefault="00555B0A" w:rsidP="005F3F29">
      <w:pPr>
        <w:autoSpaceDE w:val="0"/>
        <w:autoSpaceDN w:val="0"/>
        <w:adjustRightInd w:val="0"/>
        <w:spacing w:after="0" w:line="276" w:lineRule="auto"/>
        <w:ind w:firstLine="360"/>
        <w:jc w:val="both"/>
        <w:rPr>
          <w:rFonts w:ascii="Times New Roman" w:hAnsi="Times New Roman" w:cs="Times New Roman"/>
          <w:sz w:val="24"/>
          <w:szCs w:val="24"/>
          <w:shd w:val="clear" w:color="auto" w:fill="FFFFFF"/>
        </w:rPr>
      </w:pPr>
      <w:r>
        <w:rPr>
          <w:rFonts w:ascii="Times New Roman" w:hAnsi="Times New Roman" w:cs="Times New Roman"/>
          <w:sz w:val="24"/>
          <w:szCs w:val="24"/>
        </w:rPr>
        <w:t>Tablo 2 s</w:t>
      </w:r>
      <w:r w:rsidR="00BA5742" w:rsidRPr="00B03142">
        <w:rPr>
          <w:rFonts w:ascii="Times New Roman" w:hAnsi="Times New Roman" w:cs="Times New Roman"/>
          <w:sz w:val="24"/>
          <w:szCs w:val="24"/>
        </w:rPr>
        <w:t>ektörlerin reel kredi</w:t>
      </w:r>
      <w:r w:rsidR="00BA5742">
        <w:rPr>
          <w:rFonts w:ascii="Times New Roman" w:hAnsi="Times New Roman" w:cs="Times New Roman"/>
          <w:sz w:val="24"/>
          <w:szCs w:val="24"/>
        </w:rPr>
        <w:t xml:space="preserve">, </w:t>
      </w:r>
      <w:r w:rsidR="00BA5742" w:rsidRPr="00B03142">
        <w:rPr>
          <w:rFonts w:ascii="Times New Roman" w:hAnsi="Times New Roman" w:cs="Times New Roman"/>
          <w:sz w:val="24"/>
          <w:szCs w:val="24"/>
        </w:rPr>
        <w:t>üretim ve istihdam değişimleri</w:t>
      </w:r>
      <w:r>
        <w:rPr>
          <w:rFonts w:ascii="Times New Roman" w:hAnsi="Times New Roman" w:cs="Times New Roman"/>
          <w:sz w:val="24"/>
          <w:szCs w:val="24"/>
        </w:rPr>
        <w:t>ni</w:t>
      </w:r>
      <w:r w:rsidR="00BA5742" w:rsidRPr="00B03142">
        <w:rPr>
          <w:rFonts w:ascii="Times New Roman" w:hAnsi="Times New Roman" w:cs="Times New Roman"/>
          <w:sz w:val="24"/>
          <w:szCs w:val="24"/>
        </w:rPr>
        <w:t xml:space="preserve"> </w:t>
      </w:r>
      <w:r w:rsidR="00257244">
        <w:rPr>
          <w:rFonts w:ascii="Times New Roman" w:hAnsi="Times New Roman" w:cs="Times New Roman"/>
          <w:sz w:val="24"/>
          <w:szCs w:val="24"/>
        </w:rPr>
        <w:t>dönemler itibariyle yıllık ortalamalar olarak gösterilmektedir</w:t>
      </w:r>
      <w:r w:rsidR="00BA5742" w:rsidRPr="00B03142">
        <w:rPr>
          <w:rFonts w:ascii="Times New Roman" w:hAnsi="Times New Roman" w:cs="Times New Roman"/>
          <w:sz w:val="24"/>
          <w:szCs w:val="24"/>
        </w:rPr>
        <w:t xml:space="preserve">. </w:t>
      </w:r>
      <w:r w:rsidR="00BA5742">
        <w:rPr>
          <w:rFonts w:ascii="Times New Roman" w:hAnsi="Times New Roman" w:cs="Times New Roman"/>
          <w:sz w:val="24"/>
          <w:szCs w:val="24"/>
        </w:rPr>
        <w:t>S</w:t>
      </w:r>
      <w:r w:rsidR="00BA5742" w:rsidRPr="00B03142">
        <w:rPr>
          <w:rFonts w:ascii="Times New Roman" w:hAnsi="Times New Roman" w:cs="Times New Roman"/>
          <w:sz w:val="24"/>
          <w:szCs w:val="24"/>
        </w:rPr>
        <w:t>adece yıllık ortalama reel kredi artışının pozitif olduğu 2004-2008 (kredi artışlarının yapısal reformlar kaynaklı gerçekleştiği), 2010-2015 (kredi artışlarının küresel parasal genişleme kaynaklı olduğu) ve 2016 ve sonrası (kredi artışlarının yerel polit</w:t>
      </w:r>
      <w:r w:rsidR="00BA5742">
        <w:rPr>
          <w:rFonts w:ascii="Times New Roman" w:hAnsi="Times New Roman" w:cs="Times New Roman"/>
          <w:sz w:val="24"/>
          <w:szCs w:val="24"/>
        </w:rPr>
        <w:t>i</w:t>
      </w:r>
      <w:r w:rsidR="00BA5742" w:rsidRPr="00B03142">
        <w:rPr>
          <w:rFonts w:ascii="Times New Roman" w:hAnsi="Times New Roman" w:cs="Times New Roman"/>
          <w:sz w:val="24"/>
          <w:szCs w:val="24"/>
        </w:rPr>
        <w:t>kalar aracılığıyla old</w:t>
      </w:r>
      <w:r w:rsidR="00BA5742">
        <w:rPr>
          <w:rFonts w:ascii="Times New Roman" w:hAnsi="Times New Roman" w:cs="Times New Roman"/>
          <w:sz w:val="24"/>
          <w:szCs w:val="24"/>
        </w:rPr>
        <w:t>uğu) dönemlere odakla</w:t>
      </w:r>
      <w:r w:rsidR="000E5587">
        <w:rPr>
          <w:rFonts w:ascii="Times New Roman" w:hAnsi="Times New Roman" w:cs="Times New Roman"/>
          <w:sz w:val="24"/>
          <w:szCs w:val="24"/>
        </w:rPr>
        <w:t>ndığımız</w:t>
      </w:r>
      <w:r w:rsidR="00BA5742">
        <w:rPr>
          <w:rFonts w:ascii="Times New Roman" w:hAnsi="Times New Roman" w:cs="Times New Roman"/>
          <w:sz w:val="24"/>
          <w:szCs w:val="24"/>
        </w:rPr>
        <w:t xml:space="preserve"> analizin başlıca amacı yüksek kredi artışı yaşanan dönemlerde sektör bazında kredi değişimlerinin birbirine ve toplam değişime benzer olup olmadığını </w:t>
      </w:r>
      <w:r w:rsidR="00932860">
        <w:rPr>
          <w:rFonts w:ascii="Times New Roman" w:hAnsi="Times New Roman" w:cs="Times New Roman"/>
          <w:sz w:val="24"/>
          <w:szCs w:val="24"/>
        </w:rPr>
        <w:t>araştırmak</w:t>
      </w:r>
      <w:r w:rsidR="00BA5742">
        <w:rPr>
          <w:rFonts w:ascii="Times New Roman" w:hAnsi="Times New Roman" w:cs="Times New Roman"/>
          <w:sz w:val="24"/>
          <w:szCs w:val="24"/>
        </w:rPr>
        <w:t xml:space="preserve">, ve bu değişimlere paralel bir şekilde herhangi bir sektörün üretim ve istihdam göstergelerinin ekonominin genelinden ve diğer sektörlerden ayrışıp ayrışmadığını sorgulamaktır. Bu sorgulamada temel motivasyonumuz Müller ve Verner (2023)’te ileri sürülen kredi genişlemelerinin sektör bazında homojen olmadığı ve sektör bazında farklılaşan bu kredi genişlemelerinin farklı makro etkilerinin olduğunu gösteren bulguları ile </w:t>
      </w:r>
      <w:r w:rsidR="00BA5742" w:rsidRPr="008D0002">
        <w:rPr>
          <w:rFonts w:ascii="Times New Roman" w:hAnsi="Times New Roman" w:cs="Times New Roman"/>
          <w:sz w:val="24"/>
          <w:szCs w:val="24"/>
          <w:shd w:val="clear" w:color="auto" w:fill="FFFFFF"/>
        </w:rPr>
        <w:t>Dell'Ariccia</w:t>
      </w:r>
      <w:r w:rsidR="00BA5742">
        <w:rPr>
          <w:rFonts w:ascii="Times New Roman" w:hAnsi="Times New Roman" w:cs="Times New Roman"/>
          <w:sz w:val="24"/>
          <w:szCs w:val="24"/>
          <w:shd w:val="clear" w:color="auto" w:fill="FFFFFF"/>
        </w:rPr>
        <w:t xml:space="preserve"> vd. </w:t>
      </w:r>
      <w:r w:rsidR="00BA5742">
        <w:rPr>
          <w:rFonts w:ascii="Times New Roman" w:hAnsi="Times New Roman" w:cs="Times New Roman"/>
          <w:sz w:val="24"/>
          <w:szCs w:val="24"/>
          <w:shd w:val="clear" w:color="auto" w:fill="FFFFFF"/>
        </w:rPr>
        <w:lastRenderedPageBreak/>
        <w:t>(2020)’nin kredi genişleme dönemlerinde sektörlerin istihdam ve üretimlerinin ayrıştığını gösteren bulgularıdır.</w:t>
      </w:r>
    </w:p>
    <w:p w14:paraId="14AFD11D" w14:textId="40276F88" w:rsidR="005A6898" w:rsidRPr="00B03142" w:rsidRDefault="005A6898" w:rsidP="005A6898">
      <w:pPr>
        <w:pStyle w:val="Caption"/>
        <w:keepNext/>
        <w:spacing w:before="240"/>
        <w:jc w:val="center"/>
        <w:rPr>
          <w:rFonts w:ascii="Times New Roman" w:hAnsi="Times New Roman" w:cs="Times New Roman"/>
          <w:b/>
          <w:bCs/>
          <w:i w:val="0"/>
          <w:iCs w:val="0"/>
          <w:color w:val="auto"/>
          <w:sz w:val="22"/>
          <w:szCs w:val="22"/>
        </w:rPr>
      </w:pPr>
      <w:r w:rsidRPr="00B03142">
        <w:rPr>
          <w:rFonts w:ascii="Times New Roman" w:hAnsi="Times New Roman" w:cs="Times New Roman"/>
          <w:b/>
          <w:bCs/>
          <w:i w:val="0"/>
          <w:iCs w:val="0"/>
          <w:color w:val="auto"/>
          <w:sz w:val="22"/>
          <w:szCs w:val="22"/>
        </w:rPr>
        <w:t xml:space="preserve">Tablo </w:t>
      </w:r>
      <w:r w:rsidRPr="00B03142">
        <w:rPr>
          <w:rFonts w:ascii="Times New Roman" w:hAnsi="Times New Roman" w:cs="Times New Roman"/>
          <w:b/>
          <w:bCs/>
          <w:i w:val="0"/>
          <w:iCs w:val="0"/>
          <w:color w:val="auto"/>
          <w:sz w:val="22"/>
          <w:szCs w:val="22"/>
        </w:rPr>
        <w:fldChar w:fldCharType="begin"/>
      </w:r>
      <w:r w:rsidRPr="00B03142">
        <w:rPr>
          <w:rFonts w:ascii="Times New Roman" w:hAnsi="Times New Roman" w:cs="Times New Roman"/>
          <w:b/>
          <w:bCs/>
          <w:i w:val="0"/>
          <w:iCs w:val="0"/>
          <w:color w:val="auto"/>
          <w:sz w:val="22"/>
          <w:szCs w:val="22"/>
        </w:rPr>
        <w:instrText xml:space="preserve"> SEQ Tablo \* ARABIC </w:instrText>
      </w:r>
      <w:r w:rsidRPr="00B03142">
        <w:rPr>
          <w:rFonts w:ascii="Times New Roman" w:hAnsi="Times New Roman" w:cs="Times New Roman"/>
          <w:b/>
          <w:bCs/>
          <w:i w:val="0"/>
          <w:iCs w:val="0"/>
          <w:color w:val="auto"/>
          <w:sz w:val="22"/>
          <w:szCs w:val="22"/>
        </w:rPr>
        <w:fldChar w:fldCharType="separate"/>
      </w:r>
      <w:r w:rsidR="0057441E">
        <w:rPr>
          <w:rFonts w:ascii="Times New Roman" w:hAnsi="Times New Roman" w:cs="Times New Roman"/>
          <w:b/>
          <w:bCs/>
          <w:i w:val="0"/>
          <w:iCs w:val="0"/>
          <w:noProof/>
          <w:color w:val="auto"/>
          <w:sz w:val="22"/>
          <w:szCs w:val="22"/>
        </w:rPr>
        <w:t>2</w:t>
      </w:r>
      <w:r w:rsidRPr="00B03142">
        <w:rPr>
          <w:rFonts w:ascii="Times New Roman" w:hAnsi="Times New Roman" w:cs="Times New Roman"/>
          <w:b/>
          <w:bCs/>
          <w:i w:val="0"/>
          <w:iCs w:val="0"/>
          <w:color w:val="auto"/>
          <w:sz w:val="22"/>
          <w:szCs w:val="22"/>
        </w:rPr>
        <w:fldChar w:fldCharType="end"/>
      </w:r>
      <w:r w:rsidRPr="00B03142">
        <w:rPr>
          <w:rFonts w:ascii="Times New Roman" w:hAnsi="Times New Roman" w:cs="Times New Roman"/>
          <w:b/>
          <w:bCs/>
          <w:i w:val="0"/>
          <w:iCs w:val="0"/>
          <w:color w:val="auto"/>
          <w:sz w:val="22"/>
          <w:szCs w:val="22"/>
        </w:rPr>
        <w:t xml:space="preserve">. Sektörlerin </w:t>
      </w:r>
      <w:r>
        <w:rPr>
          <w:rFonts w:ascii="Times New Roman" w:hAnsi="Times New Roman" w:cs="Times New Roman"/>
          <w:b/>
          <w:bCs/>
          <w:i w:val="0"/>
          <w:iCs w:val="0"/>
          <w:color w:val="auto"/>
          <w:sz w:val="22"/>
          <w:szCs w:val="22"/>
        </w:rPr>
        <w:t>Reel Kredi, Üretim</w:t>
      </w:r>
      <w:r w:rsidRPr="00B03142">
        <w:rPr>
          <w:rFonts w:ascii="Times New Roman" w:hAnsi="Times New Roman" w:cs="Times New Roman"/>
          <w:b/>
          <w:bCs/>
          <w:i w:val="0"/>
          <w:iCs w:val="0"/>
          <w:color w:val="auto"/>
          <w:sz w:val="22"/>
          <w:szCs w:val="22"/>
        </w:rPr>
        <w:t xml:space="preserve"> ve İstihdam Değişimleri</w:t>
      </w:r>
    </w:p>
    <w:tbl>
      <w:tblPr>
        <w:tblStyle w:val="TableGrid"/>
        <w:tblW w:w="0" w:type="auto"/>
        <w:jc w:val="center"/>
        <w:tblLook w:val="04A0" w:firstRow="1" w:lastRow="0" w:firstColumn="1" w:lastColumn="0" w:noHBand="0" w:noVBand="1"/>
      </w:tblPr>
      <w:tblGrid>
        <w:gridCol w:w="1861"/>
        <w:gridCol w:w="639"/>
        <w:gridCol w:w="633"/>
        <w:gridCol w:w="828"/>
        <w:gridCol w:w="761"/>
        <w:gridCol w:w="628"/>
        <w:gridCol w:w="694"/>
        <w:gridCol w:w="617"/>
        <w:gridCol w:w="661"/>
        <w:gridCol w:w="572"/>
        <w:gridCol w:w="883"/>
      </w:tblGrid>
      <w:tr w:rsidR="005A6898" w:rsidRPr="00B03142" w14:paraId="77BD32BB" w14:textId="77777777" w:rsidTr="005A6898">
        <w:trPr>
          <w:trHeight w:val="355"/>
          <w:jc w:val="center"/>
        </w:trPr>
        <w:tc>
          <w:tcPr>
            <w:tcW w:w="0" w:type="auto"/>
            <w:vAlign w:val="center"/>
          </w:tcPr>
          <w:p w14:paraId="37F61542" w14:textId="77777777" w:rsidR="005A6898" w:rsidRPr="00B03142" w:rsidRDefault="005A6898" w:rsidP="00E84180">
            <w:pPr>
              <w:spacing w:line="276" w:lineRule="auto"/>
              <w:rPr>
                <w:rFonts w:ascii="Times New Roman" w:hAnsi="Times New Roman" w:cs="Times New Roman"/>
                <w:b/>
                <w:bCs/>
                <w:color w:val="000000"/>
                <w:sz w:val="20"/>
                <w:szCs w:val="20"/>
              </w:rPr>
            </w:pPr>
          </w:p>
        </w:tc>
        <w:tc>
          <w:tcPr>
            <w:tcW w:w="0" w:type="auto"/>
            <w:vAlign w:val="center"/>
          </w:tcPr>
          <w:p w14:paraId="769A6901" w14:textId="77777777" w:rsidR="005A6898" w:rsidRPr="00B03142" w:rsidRDefault="005A6898" w:rsidP="00E84180">
            <w:pPr>
              <w:spacing w:line="276" w:lineRule="auto"/>
              <w:jc w:val="center"/>
              <w:rPr>
                <w:rFonts w:ascii="Times New Roman" w:hAnsi="Times New Roman" w:cs="Times New Roman"/>
                <w:color w:val="000000"/>
                <w:sz w:val="20"/>
                <w:szCs w:val="20"/>
              </w:rPr>
            </w:pPr>
            <w:r w:rsidRPr="00B03142">
              <w:rPr>
                <w:rFonts w:ascii="Times New Roman" w:hAnsi="Times New Roman" w:cs="Times New Roman"/>
                <w:b/>
                <w:bCs/>
                <w:color w:val="000000"/>
                <w:sz w:val="20"/>
                <w:szCs w:val="20"/>
              </w:rPr>
              <w:t>TAR</w:t>
            </w:r>
          </w:p>
        </w:tc>
        <w:tc>
          <w:tcPr>
            <w:tcW w:w="0" w:type="auto"/>
            <w:vAlign w:val="center"/>
          </w:tcPr>
          <w:p w14:paraId="1CBB3803" w14:textId="77777777" w:rsidR="005A6898" w:rsidRPr="00B03142" w:rsidRDefault="005A6898" w:rsidP="00E84180">
            <w:pPr>
              <w:spacing w:line="276" w:lineRule="auto"/>
              <w:jc w:val="center"/>
              <w:rPr>
                <w:rFonts w:ascii="Times New Roman" w:hAnsi="Times New Roman" w:cs="Times New Roman"/>
                <w:color w:val="000000"/>
                <w:sz w:val="20"/>
                <w:szCs w:val="20"/>
              </w:rPr>
            </w:pPr>
            <w:r w:rsidRPr="00B03142">
              <w:rPr>
                <w:rFonts w:ascii="Times New Roman" w:hAnsi="Times New Roman" w:cs="Times New Roman"/>
                <w:b/>
                <w:bCs/>
                <w:color w:val="000000"/>
                <w:sz w:val="20"/>
                <w:szCs w:val="20"/>
              </w:rPr>
              <w:t>İNŞ</w:t>
            </w:r>
          </w:p>
        </w:tc>
        <w:tc>
          <w:tcPr>
            <w:tcW w:w="0" w:type="auto"/>
            <w:vAlign w:val="center"/>
          </w:tcPr>
          <w:p w14:paraId="55608D40" w14:textId="77777777" w:rsidR="005A6898" w:rsidRPr="00B03142" w:rsidRDefault="005A6898" w:rsidP="00E84180">
            <w:pPr>
              <w:spacing w:line="276" w:lineRule="auto"/>
              <w:jc w:val="center"/>
              <w:rPr>
                <w:rFonts w:ascii="Times New Roman" w:hAnsi="Times New Roman" w:cs="Times New Roman"/>
                <w:color w:val="000000"/>
                <w:sz w:val="20"/>
                <w:szCs w:val="20"/>
              </w:rPr>
            </w:pPr>
            <w:r w:rsidRPr="00B03142">
              <w:rPr>
                <w:rFonts w:ascii="Times New Roman" w:hAnsi="Times New Roman" w:cs="Times New Roman"/>
                <w:b/>
                <w:bCs/>
                <w:color w:val="000000"/>
                <w:sz w:val="20"/>
                <w:szCs w:val="20"/>
              </w:rPr>
              <w:t>DKÖH</w:t>
            </w:r>
          </w:p>
        </w:tc>
        <w:tc>
          <w:tcPr>
            <w:tcW w:w="0" w:type="auto"/>
            <w:vAlign w:val="center"/>
          </w:tcPr>
          <w:p w14:paraId="7417B8FF" w14:textId="77777777" w:rsidR="005A6898" w:rsidRPr="00B03142" w:rsidRDefault="005A6898" w:rsidP="00E84180">
            <w:pPr>
              <w:spacing w:line="276" w:lineRule="auto"/>
              <w:jc w:val="center"/>
              <w:rPr>
                <w:rFonts w:ascii="Times New Roman" w:hAnsi="Times New Roman" w:cs="Times New Roman"/>
                <w:color w:val="000000"/>
                <w:sz w:val="20"/>
                <w:szCs w:val="20"/>
              </w:rPr>
            </w:pPr>
            <w:r w:rsidRPr="00B03142">
              <w:rPr>
                <w:rFonts w:ascii="Times New Roman" w:hAnsi="Times New Roman" w:cs="Times New Roman"/>
                <w:b/>
                <w:bCs/>
                <w:color w:val="000000"/>
                <w:sz w:val="20"/>
                <w:szCs w:val="20"/>
              </w:rPr>
              <w:t>FİGM</w:t>
            </w:r>
          </w:p>
        </w:tc>
        <w:tc>
          <w:tcPr>
            <w:tcW w:w="0" w:type="auto"/>
            <w:vAlign w:val="center"/>
          </w:tcPr>
          <w:p w14:paraId="4D210C4A" w14:textId="77777777" w:rsidR="005A6898" w:rsidRPr="00B03142" w:rsidRDefault="005A6898" w:rsidP="00E84180">
            <w:pPr>
              <w:spacing w:line="276" w:lineRule="auto"/>
              <w:jc w:val="center"/>
              <w:rPr>
                <w:rFonts w:ascii="Times New Roman" w:hAnsi="Times New Roman" w:cs="Times New Roman"/>
                <w:color w:val="000000"/>
                <w:sz w:val="20"/>
                <w:szCs w:val="20"/>
              </w:rPr>
            </w:pPr>
            <w:r w:rsidRPr="00B03142">
              <w:rPr>
                <w:rFonts w:ascii="Times New Roman" w:hAnsi="Times New Roman" w:cs="Times New Roman"/>
                <w:b/>
                <w:bCs/>
                <w:color w:val="000000"/>
                <w:sz w:val="20"/>
                <w:szCs w:val="20"/>
              </w:rPr>
              <w:t>İMA</w:t>
            </w:r>
          </w:p>
        </w:tc>
        <w:tc>
          <w:tcPr>
            <w:tcW w:w="0" w:type="auto"/>
            <w:vAlign w:val="center"/>
          </w:tcPr>
          <w:p w14:paraId="07E16441" w14:textId="77777777" w:rsidR="005A6898" w:rsidRPr="00B03142" w:rsidRDefault="005A6898" w:rsidP="00E84180">
            <w:pPr>
              <w:spacing w:line="276" w:lineRule="auto"/>
              <w:jc w:val="center"/>
              <w:rPr>
                <w:rFonts w:ascii="Times New Roman" w:hAnsi="Times New Roman" w:cs="Times New Roman"/>
                <w:color w:val="000000"/>
                <w:sz w:val="20"/>
                <w:szCs w:val="20"/>
              </w:rPr>
            </w:pPr>
            <w:r w:rsidRPr="00B03142">
              <w:rPr>
                <w:rFonts w:ascii="Times New Roman" w:hAnsi="Times New Roman" w:cs="Times New Roman"/>
                <w:b/>
                <w:bCs/>
                <w:color w:val="000000"/>
                <w:sz w:val="20"/>
                <w:szCs w:val="20"/>
              </w:rPr>
              <w:t>MAD</w:t>
            </w:r>
          </w:p>
        </w:tc>
        <w:tc>
          <w:tcPr>
            <w:tcW w:w="0" w:type="auto"/>
            <w:vAlign w:val="center"/>
          </w:tcPr>
          <w:p w14:paraId="6CCFBE45" w14:textId="77777777" w:rsidR="005A6898" w:rsidRPr="00B03142" w:rsidRDefault="005A6898" w:rsidP="00E84180">
            <w:pPr>
              <w:spacing w:line="276" w:lineRule="auto"/>
              <w:jc w:val="center"/>
              <w:rPr>
                <w:rFonts w:ascii="Times New Roman" w:hAnsi="Times New Roman" w:cs="Times New Roman"/>
                <w:color w:val="000000"/>
                <w:sz w:val="20"/>
                <w:szCs w:val="20"/>
              </w:rPr>
            </w:pPr>
            <w:r w:rsidRPr="00B03142">
              <w:rPr>
                <w:rFonts w:ascii="Times New Roman" w:hAnsi="Times New Roman" w:cs="Times New Roman"/>
                <w:b/>
                <w:bCs/>
                <w:color w:val="000000"/>
                <w:sz w:val="20"/>
                <w:szCs w:val="20"/>
              </w:rPr>
              <w:t>EGS</w:t>
            </w:r>
          </w:p>
        </w:tc>
        <w:tc>
          <w:tcPr>
            <w:tcW w:w="0" w:type="auto"/>
            <w:vAlign w:val="center"/>
          </w:tcPr>
          <w:p w14:paraId="78C340CB" w14:textId="77777777" w:rsidR="005A6898" w:rsidRPr="00B03142" w:rsidRDefault="005A6898" w:rsidP="00E84180">
            <w:pPr>
              <w:spacing w:line="276" w:lineRule="auto"/>
              <w:jc w:val="center"/>
              <w:rPr>
                <w:rFonts w:ascii="Times New Roman" w:hAnsi="Times New Roman" w:cs="Times New Roman"/>
                <w:color w:val="000000"/>
                <w:sz w:val="20"/>
                <w:szCs w:val="20"/>
              </w:rPr>
            </w:pPr>
            <w:r w:rsidRPr="00B03142">
              <w:rPr>
                <w:rFonts w:ascii="Times New Roman" w:hAnsi="Times New Roman" w:cs="Times New Roman"/>
                <w:b/>
                <w:bCs/>
                <w:color w:val="000000"/>
                <w:sz w:val="20"/>
                <w:szCs w:val="20"/>
              </w:rPr>
              <w:t>UHD</w:t>
            </w:r>
          </w:p>
        </w:tc>
        <w:tc>
          <w:tcPr>
            <w:tcW w:w="0" w:type="auto"/>
            <w:vAlign w:val="center"/>
          </w:tcPr>
          <w:p w14:paraId="7599A2F4" w14:textId="77777777" w:rsidR="005A6898" w:rsidRPr="00B03142" w:rsidRDefault="005A6898" w:rsidP="00E84180">
            <w:pPr>
              <w:spacing w:line="276" w:lineRule="auto"/>
              <w:jc w:val="center"/>
              <w:rPr>
                <w:rFonts w:ascii="Times New Roman" w:hAnsi="Times New Roman" w:cs="Times New Roman"/>
                <w:color w:val="000000"/>
                <w:sz w:val="20"/>
                <w:szCs w:val="20"/>
              </w:rPr>
            </w:pPr>
            <w:r w:rsidRPr="00B03142">
              <w:rPr>
                <w:rFonts w:ascii="Times New Roman" w:hAnsi="Times New Roman" w:cs="Times New Roman"/>
                <w:b/>
                <w:bCs/>
                <w:color w:val="000000"/>
                <w:sz w:val="20"/>
                <w:szCs w:val="20"/>
              </w:rPr>
              <w:t>TİC</w:t>
            </w:r>
          </w:p>
        </w:tc>
        <w:tc>
          <w:tcPr>
            <w:tcW w:w="0" w:type="auto"/>
            <w:vAlign w:val="center"/>
          </w:tcPr>
          <w:p w14:paraId="220D6A8C" w14:textId="77777777" w:rsidR="005A6898" w:rsidRPr="00B03142" w:rsidRDefault="005A6898" w:rsidP="00E84180">
            <w:pPr>
              <w:spacing w:line="276" w:lineRule="auto"/>
              <w:jc w:val="center"/>
              <w:rPr>
                <w:rFonts w:ascii="Times New Roman" w:hAnsi="Times New Roman" w:cs="Times New Roman"/>
                <w:b/>
                <w:bCs/>
                <w:color w:val="000000"/>
                <w:sz w:val="20"/>
                <w:szCs w:val="20"/>
              </w:rPr>
            </w:pPr>
            <w:r w:rsidRPr="00B03142">
              <w:rPr>
                <w:rFonts w:ascii="Times New Roman" w:hAnsi="Times New Roman" w:cs="Times New Roman"/>
                <w:b/>
                <w:bCs/>
                <w:color w:val="000000"/>
                <w:sz w:val="20"/>
                <w:szCs w:val="20"/>
              </w:rPr>
              <w:t>Toplam</w:t>
            </w:r>
          </w:p>
        </w:tc>
      </w:tr>
      <w:tr w:rsidR="005A6898" w:rsidRPr="00B03142" w14:paraId="0D063B0D" w14:textId="77777777" w:rsidTr="005A6898">
        <w:trPr>
          <w:trHeight w:val="355"/>
          <w:jc w:val="center"/>
        </w:trPr>
        <w:tc>
          <w:tcPr>
            <w:tcW w:w="0" w:type="auto"/>
            <w:gridSpan w:val="11"/>
            <w:vAlign w:val="center"/>
          </w:tcPr>
          <w:p w14:paraId="305020C7" w14:textId="77777777" w:rsidR="005A6898" w:rsidRPr="00B03142" w:rsidRDefault="005A6898" w:rsidP="00E84180">
            <w:pPr>
              <w:spacing w:line="276" w:lineRule="auto"/>
              <w:jc w:val="center"/>
              <w:rPr>
                <w:rFonts w:ascii="Times New Roman" w:hAnsi="Times New Roman" w:cs="Times New Roman"/>
                <w:color w:val="000000"/>
                <w:sz w:val="20"/>
                <w:szCs w:val="20"/>
              </w:rPr>
            </w:pPr>
            <w:r w:rsidRPr="00B03142">
              <w:rPr>
                <w:rFonts w:ascii="Times New Roman" w:hAnsi="Times New Roman" w:cs="Times New Roman"/>
                <w:b/>
                <w:bCs/>
                <w:color w:val="000000"/>
                <w:sz w:val="20"/>
                <w:szCs w:val="20"/>
              </w:rPr>
              <w:t>2000-2003</w:t>
            </w:r>
          </w:p>
        </w:tc>
      </w:tr>
      <w:tr w:rsidR="005A6898" w:rsidRPr="00B03142" w14:paraId="28DBBB77" w14:textId="77777777" w:rsidTr="005A6898">
        <w:trPr>
          <w:trHeight w:val="355"/>
          <w:jc w:val="center"/>
        </w:trPr>
        <w:tc>
          <w:tcPr>
            <w:tcW w:w="0" w:type="auto"/>
            <w:vAlign w:val="center"/>
          </w:tcPr>
          <w:p w14:paraId="43142383" w14:textId="77777777" w:rsidR="005A6898" w:rsidRPr="00B03142" w:rsidRDefault="005A6898" w:rsidP="00E84180">
            <w:pPr>
              <w:spacing w:line="276" w:lineRule="auto"/>
              <w:jc w:val="right"/>
              <w:rPr>
                <w:rFonts w:ascii="Times New Roman" w:hAnsi="Times New Roman" w:cs="Times New Roman"/>
                <w:b/>
                <w:bCs/>
                <w:color w:val="000000"/>
                <w:sz w:val="20"/>
                <w:szCs w:val="20"/>
              </w:rPr>
            </w:pPr>
            <w:r w:rsidRPr="00B03142">
              <w:rPr>
                <w:rFonts w:ascii="Times New Roman" w:hAnsi="Times New Roman" w:cs="Times New Roman"/>
                <w:b/>
                <w:bCs/>
                <w:color w:val="000000"/>
                <w:sz w:val="20"/>
                <w:szCs w:val="20"/>
              </w:rPr>
              <w:t>Reel kredi değişimi</w:t>
            </w:r>
          </w:p>
        </w:tc>
        <w:tc>
          <w:tcPr>
            <w:tcW w:w="0" w:type="auto"/>
            <w:vAlign w:val="center"/>
          </w:tcPr>
          <w:p w14:paraId="76A31E7F" w14:textId="77777777" w:rsidR="005A6898" w:rsidRPr="00B03142" w:rsidRDefault="005A6898" w:rsidP="00E84180">
            <w:pPr>
              <w:spacing w:line="276" w:lineRule="auto"/>
              <w:jc w:val="center"/>
              <w:rPr>
                <w:rFonts w:ascii="Times New Roman" w:hAnsi="Times New Roman" w:cs="Times New Roman"/>
                <w:color w:val="000000"/>
                <w:sz w:val="20"/>
                <w:szCs w:val="20"/>
              </w:rPr>
            </w:pPr>
            <w:r w:rsidRPr="00B03142">
              <w:rPr>
                <w:rFonts w:ascii="Times New Roman" w:hAnsi="Times New Roman" w:cs="Times New Roman"/>
                <w:color w:val="000000"/>
                <w:sz w:val="20"/>
                <w:szCs w:val="20"/>
              </w:rPr>
              <w:t>10.4</w:t>
            </w:r>
          </w:p>
        </w:tc>
        <w:tc>
          <w:tcPr>
            <w:tcW w:w="0" w:type="auto"/>
            <w:vAlign w:val="center"/>
          </w:tcPr>
          <w:p w14:paraId="6AD5DA08" w14:textId="77777777" w:rsidR="005A6898" w:rsidRPr="00B03142" w:rsidRDefault="005A6898" w:rsidP="00E84180">
            <w:pPr>
              <w:spacing w:line="276" w:lineRule="auto"/>
              <w:jc w:val="center"/>
              <w:rPr>
                <w:rFonts w:ascii="Times New Roman" w:hAnsi="Times New Roman" w:cs="Times New Roman"/>
                <w:color w:val="000000"/>
                <w:sz w:val="20"/>
                <w:szCs w:val="20"/>
              </w:rPr>
            </w:pPr>
            <w:r w:rsidRPr="00B03142">
              <w:rPr>
                <w:rFonts w:ascii="Times New Roman" w:hAnsi="Times New Roman" w:cs="Times New Roman"/>
                <w:color w:val="000000"/>
                <w:sz w:val="20"/>
                <w:szCs w:val="20"/>
              </w:rPr>
              <w:t>-14.6</w:t>
            </w:r>
          </w:p>
        </w:tc>
        <w:tc>
          <w:tcPr>
            <w:tcW w:w="0" w:type="auto"/>
            <w:vAlign w:val="center"/>
          </w:tcPr>
          <w:p w14:paraId="291A5454" w14:textId="77777777" w:rsidR="005A6898" w:rsidRPr="00B03142" w:rsidRDefault="005A6898" w:rsidP="00E84180">
            <w:pPr>
              <w:spacing w:line="276" w:lineRule="auto"/>
              <w:jc w:val="center"/>
              <w:rPr>
                <w:rFonts w:ascii="Times New Roman" w:hAnsi="Times New Roman" w:cs="Times New Roman"/>
                <w:color w:val="000000"/>
                <w:sz w:val="20"/>
                <w:szCs w:val="20"/>
              </w:rPr>
            </w:pPr>
            <w:r w:rsidRPr="00B03142">
              <w:rPr>
                <w:rFonts w:ascii="Times New Roman" w:hAnsi="Times New Roman" w:cs="Times New Roman"/>
                <w:color w:val="000000"/>
                <w:sz w:val="20"/>
                <w:szCs w:val="20"/>
              </w:rPr>
              <w:t>6.8</w:t>
            </w:r>
          </w:p>
        </w:tc>
        <w:tc>
          <w:tcPr>
            <w:tcW w:w="0" w:type="auto"/>
            <w:vAlign w:val="center"/>
          </w:tcPr>
          <w:p w14:paraId="7221D1E3" w14:textId="77777777" w:rsidR="005A6898" w:rsidRPr="00B03142" w:rsidRDefault="005A6898" w:rsidP="00E84180">
            <w:pPr>
              <w:spacing w:line="276" w:lineRule="auto"/>
              <w:jc w:val="center"/>
              <w:rPr>
                <w:rFonts w:ascii="Times New Roman" w:hAnsi="Times New Roman" w:cs="Times New Roman"/>
                <w:color w:val="000000"/>
                <w:sz w:val="20"/>
                <w:szCs w:val="20"/>
              </w:rPr>
            </w:pPr>
            <w:r w:rsidRPr="00B03142">
              <w:rPr>
                <w:rFonts w:ascii="Times New Roman" w:hAnsi="Times New Roman" w:cs="Times New Roman"/>
                <w:color w:val="000000"/>
                <w:sz w:val="20"/>
                <w:szCs w:val="20"/>
              </w:rPr>
              <w:t>8.8</w:t>
            </w:r>
          </w:p>
        </w:tc>
        <w:tc>
          <w:tcPr>
            <w:tcW w:w="0" w:type="auto"/>
            <w:vAlign w:val="center"/>
          </w:tcPr>
          <w:p w14:paraId="167DD439" w14:textId="77777777" w:rsidR="005A6898" w:rsidRPr="00B03142" w:rsidRDefault="005A6898" w:rsidP="00E84180">
            <w:pPr>
              <w:spacing w:line="276" w:lineRule="auto"/>
              <w:jc w:val="center"/>
              <w:rPr>
                <w:rFonts w:ascii="Times New Roman" w:hAnsi="Times New Roman" w:cs="Times New Roman"/>
                <w:color w:val="000000"/>
                <w:sz w:val="20"/>
                <w:szCs w:val="20"/>
              </w:rPr>
            </w:pPr>
            <w:r w:rsidRPr="00B03142">
              <w:rPr>
                <w:rFonts w:ascii="Times New Roman" w:hAnsi="Times New Roman" w:cs="Times New Roman"/>
                <w:color w:val="000000"/>
                <w:sz w:val="20"/>
                <w:szCs w:val="20"/>
              </w:rPr>
              <w:t>-8.2</w:t>
            </w:r>
          </w:p>
        </w:tc>
        <w:tc>
          <w:tcPr>
            <w:tcW w:w="0" w:type="auto"/>
            <w:vAlign w:val="center"/>
          </w:tcPr>
          <w:p w14:paraId="744351C4" w14:textId="77777777" w:rsidR="005A6898" w:rsidRPr="00B03142" w:rsidRDefault="005A6898" w:rsidP="00E84180">
            <w:pPr>
              <w:spacing w:line="276" w:lineRule="auto"/>
              <w:jc w:val="center"/>
              <w:rPr>
                <w:rFonts w:ascii="Times New Roman" w:hAnsi="Times New Roman" w:cs="Times New Roman"/>
                <w:color w:val="000000"/>
                <w:sz w:val="20"/>
                <w:szCs w:val="20"/>
              </w:rPr>
            </w:pPr>
            <w:r w:rsidRPr="00B03142">
              <w:rPr>
                <w:rFonts w:ascii="Times New Roman" w:hAnsi="Times New Roman" w:cs="Times New Roman"/>
                <w:color w:val="000000"/>
                <w:sz w:val="20"/>
                <w:szCs w:val="20"/>
              </w:rPr>
              <w:t>-1.1</w:t>
            </w:r>
          </w:p>
        </w:tc>
        <w:tc>
          <w:tcPr>
            <w:tcW w:w="0" w:type="auto"/>
            <w:vAlign w:val="center"/>
          </w:tcPr>
          <w:p w14:paraId="55A4BBD8" w14:textId="77777777" w:rsidR="005A6898" w:rsidRPr="00B03142" w:rsidRDefault="005A6898" w:rsidP="00E84180">
            <w:pPr>
              <w:spacing w:line="276" w:lineRule="auto"/>
              <w:jc w:val="center"/>
              <w:rPr>
                <w:rFonts w:ascii="Times New Roman" w:hAnsi="Times New Roman" w:cs="Times New Roman"/>
                <w:color w:val="000000"/>
                <w:sz w:val="20"/>
                <w:szCs w:val="20"/>
              </w:rPr>
            </w:pPr>
            <w:r w:rsidRPr="00B03142">
              <w:rPr>
                <w:rFonts w:ascii="Times New Roman" w:hAnsi="Times New Roman" w:cs="Times New Roman"/>
                <w:color w:val="000000"/>
                <w:sz w:val="20"/>
                <w:szCs w:val="20"/>
              </w:rPr>
              <w:t>80.4</w:t>
            </w:r>
          </w:p>
        </w:tc>
        <w:tc>
          <w:tcPr>
            <w:tcW w:w="0" w:type="auto"/>
            <w:vAlign w:val="center"/>
          </w:tcPr>
          <w:p w14:paraId="2BC7402F" w14:textId="77777777" w:rsidR="005A6898" w:rsidRPr="00B03142" w:rsidRDefault="005A6898" w:rsidP="00E84180">
            <w:pPr>
              <w:spacing w:line="276" w:lineRule="auto"/>
              <w:jc w:val="center"/>
              <w:rPr>
                <w:rFonts w:ascii="Times New Roman" w:hAnsi="Times New Roman" w:cs="Times New Roman"/>
                <w:color w:val="000000"/>
                <w:sz w:val="20"/>
                <w:szCs w:val="20"/>
              </w:rPr>
            </w:pPr>
            <w:r w:rsidRPr="00B03142">
              <w:rPr>
                <w:rFonts w:ascii="Times New Roman" w:hAnsi="Times New Roman" w:cs="Times New Roman"/>
                <w:color w:val="000000"/>
                <w:sz w:val="20"/>
                <w:szCs w:val="20"/>
              </w:rPr>
              <w:t>19.4</w:t>
            </w:r>
          </w:p>
        </w:tc>
        <w:tc>
          <w:tcPr>
            <w:tcW w:w="0" w:type="auto"/>
            <w:vAlign w:val="center"/>
          </w:tcPr>
          <w:p w14:paraId="15F62870" w14:textId="77777777" w:rsidR="005A6898" w:rsidRPr="00B03142" w:rsidRDefault="005A6898" w:rsidP="00E84180">
            <w:pPr>
              <w:spacing w:line="276" w:lineRule="auto"/>
              <w:jc w:val="center"/>
              <w:rPr>
                <w:rFonts w:ascii="Times New Roman" w:hAnsi="Times New Roman" w:cs="Times New Roman"/>
                <w:color w:val="000000"/>
                <w:sz w:val="20"/>
                <w:szCs w:val="20"/>
              </w:rPr>
            </w:pPr>
            <w:r w:rsidRPr="00B03142">
              <w:rPr>
                <w:rFonts w:ascii="Times New Roman" w:hAnsi="Times New Roman" w:cs="Times New Roman"/>
                <w:color w:val="000000"/>
                <w:sz w:val="20"/>
                <w:szCs w:val="20"/>
              </w:rPr>
              <w:t>-7.7</w:t>
            </w:r>
          </w:p>
        </w:tc>
        <w:tc>
          <w:tcPr>
            <w:tcW w:w="0" w:type="auto"/>
            <w:vAlign w:val="center"/>
          </w:tcPr>
          <w:p w14:paraId="1F7A109B" w14:textId="77777777" w:rsidR="005A6898" w:rsidRPr="00B03142" w:rsidRDefault="005A6898" w:rsidP="00E84180">
            <w:pPr>
              <w:spacing w:line="276" w:lineRule="auto"/>
              <w:jc w:val="center"/>
              <w:rPr>
                <w:rFonts w:ascii="Times New Roman" w:hAnsi="Times New Roman" w:cs="Times New Roman"/>
                <w:color w:val="000000"/>
                <w:sz w:val="20"/>
                <w:szCs w:val="20"/>
              </w:rPr>
            </w:pPr>
            <w:r w:rsidRPr="00B03142">
              <w:rPr>
                <w:rFonts w:ascii="Times New Roman" w:hAnsi="Times New Roman" w:cs="Times New Roman"/>
                <w:color w:val="000000"/>
                <w:sz w:val="20"/>
                <w:szCs w:val="20"/>
              </w:rPr>
              <w:t>-4.7</w:t>
            </w:r>
          </w:p>
        </w:tc>
      </w:tr>
      <w:tr w:rsidR="005A6898" w:rsidRPr="00B03142" w14:paraId="215ABC55" w14:textId="77777777" w:rsidTr="005A6898">
        <w:trPr>
          <w:trHeight w:val="355"/>
          <w:jc w:val="center"/>
        </w:trPr>
        <w:tc>
          <w:tcPr>
            <w:tcW w:w="0" w:type="auto"/>
            <w:vAlign w:val="center"/>
          </w:tcPr>
          <w:p w14:paraId="10B37DB4" w14:textId="77777777" w:rsidR="005A6898" w:rsidRPr="00B03142" w:rsidRDefault="005A6898" w:rsidP="00E84180">
            <w:pPr>
              <w:spacing w:line="276" w:lineRule="auto"/>
              <w:jc w:val="right"/>
              <w:rPr>
                <w:rFonts w:ascii="Times New Roman" w:hAnsi="Times New Roman" w:cs="Times New Roman"/>
                <w:sz w:val="20"/>
                <w:szCs w:val="20"/>
              </w:rPr>
            </w:pPr>
            <w:r w:rsidRPr="00B03142">
              <w:rPr>
                <w:rFonts w:ascii="Times New Roman" w:hAnsi="Times New Roman" w:cs="Times New Roman"/>
                <w:b/>
                <w:bCs/>
                <w:color w:val="000000"/>
                <w:sz w:val="20"/>
                <w:szCs w:val="20"/>
              </w:rPr>
              <w:t>Büyüme</w:t>
            </w:r>
          </w:p>
        </w:tc>
        <w:tc>
          <w:tcPr>
            <w:tcW w:w="0" w:type="auto"/>
            <w:vAlign w:val="center"/>
          </w:tcPr>
          <w:p w14:paraId="50EA2214" w14:textId="77777777" w:rsidR="005A6898" w:rsidRPr="00B03142" w:rsidRDefault="005A6898" w:rsidP="00E84180">
            <w:pPr>
              <w:spacing w:line="276" w:lineRule="auto"/>
              <w:jc w:val="center"/>
              <w:rPr>
                <w:rFonts w:ascii="Times New Roman" w:hAnsi="Times New Roman" w:cs="Times New Roman"/>
                <w:b/>
                <w:bCs/>
                <w:color w:val="000000"/>
                <w:sz w:val="20"/>
                <w:szCs w:val="20"/>
              </w:rPr>
            </w:pPr>
            <w:r w:rsidRPr="00B03142">
              <w:rPr>
                <w:rFonts w:ascii="Times New Roman" w:hAnsi="Times New Roman" w:cs="Times New Roman"/>
                <w:color w:val="000000"/>
                <w:sz w:val="20"/>
                <w:szCs w:val="20"/>
              </w:rPr>
              <w:t>1.2</w:t>
            </w:r>
          </w:p>
        </w:tc>
        <w:tc>
          <w:tcPr>
            <w:tcW w:w="0" w:type="auto"/>
            <w:vAlign w:val="center"/>
          </w:tcPr>
          <w:p w14:paraId="412A423E" w14:textId="77777777" w:rsidR="005A6898" w:rsidRPr="00B03142" w:rsidRDefault="005A6898" w:rsidP="00E84180">
            <w:pPr>
              <w:spacing w:line="276" w:lineRule="auto"/>
              <w:jc w:val="center"/>
              <w:rPr>
                <w:rFonts w:ascii="Times New Roman" w:hAnsi="Times New Roman" w:cs="Times New Roman"/>
                <w:b/>
                <w:bCs/>
                <w:color w:val="000000"/>
                <w:sz w:val="20"/>
                <w:szCs w:val="20"/>
              </w:rPr>
            </w:pPr>
            <w:r w:rsidRPr="00B03142">
              <w:rPr>
                <w:rFonts w:ascii="Times New Roman" w:hAnsi="Times New Roman" w:cs="Times New Roman"/>
                <w:color w:val="000000"/>
                <w:sz w:val="20"/>
                <w:szCs w:val="20"/>
              </w:rPr>
              <w:t>4.6</w:t>
            </w:r>
          </w:p>
        </w:tc>
        <w:tc>
          <w:tcPr>
            <w:tcW w:w="0" w:type="auto"/>
            <w:vAlign w:val="center"/>
          </w:tcPr>
          <w:p w14:paraId="0D3C0A5C" w14:textId="77777777" w:rsidR="005A6898" w:rsidRPr="00B03142" w:rsidRDefault="005A6898" w:rsidP="00E84180">
            <w:pPr>
              <w:spacing w:line="276" w:lineRule="auto"/>
              <w:jc w:val="center"/>
              <w:rPr>
                <w:rFonts w:ascii="Times New Roman" w:hAnsi="Times New Roman" w:cs="Times New Roman"/>
                <w:b/>
                <w:bCs/>
                <w:color w:val="000000"/>
                <w:sz w:val="20"/>
                <w:szCs w:val="20"/>
              </w:rPr>
            </w:pPr>
            <w:r w:rsidRPr="00B03142">
              <w:rPr>
                <w:rFonts w:ascii="Times New Roman" w:hAnsi="Times New Roman" w:cs="Times New Roman"/>
                <w:color w:val="000000"/>
                <w:sz w:val="20"/>
                <w:szCs w:val="20"/>
              </w:rPr>
              <w:t>2.1</w:t>
            </w:r>
          </w:p>
        </w:tc>
        <w:tc>
          <w:tcPr>
            <w:tcW w:w="0" w:type="auto"/>
            <w:vAlign w:val="center"/>
          </w:tcPr>
          <w:p w14:paraId="536629FC" w14:textId="77777777" w:rsidR="005A6898" w:rsidRPr="00B03142" w:rsidRDefault="005A6898" w:rsidP="00E84180">
            <w:pPr>
              <w:spacing w:line="276" w:lineRule="auto"/>
              <w:jc w:val="center"/>
              <w:rPr>
                <w:rFonts w:ascii="Times New Roman" w:hAnsi="Times New Roman" w:cs="Times New Roman"/>
                <w:b/>
                <w:bCs/>
                <w:color w:val="000000"/>
                <w:sz w:val="20"/>
                <w:szCs w:val="20"/>
              </w:rPr>
            </w:pPr>
            <w:r w:rsidRPr="00B03142">
              <w:rPr>
                <w:rFonts w:ascii="Times New Roman" w:hAnsi="Times New Roman" w:cs="Times New Roman"/>
                <w:color w:val="000000"/>
                <w:sz w:val="20"/>
                <w:szCs w:val="20"/>
              </w:rPr>
              <w:t>3.6</w:t>
            </w:r>
          </w:p>
        </w:tc>
        <w:tc>
          <w:tcPr>
            <w:tcW w:w="0" w:type="auto"/>
            <w:vAlign w:val="center"/>
          </w:tcPr>
          <w:p w14:paraId="11659C17" w14:textId="77777777" w:rsidR="005A6898" w:rsidRPr="00B03142" w:rsidRDefault="005A6898" w:rsidP="00E84180">
            <w:pPr>
              <w:spacing w:line="276" w:lineRule="auto"/>
              <w:jc w:val="center"/>
              <w:rPr>
                <w:rFonts w:ascii="Times New Roman" w:hAnsi="Times New Roman" w:cs="Times New Roman"/>
                <w:b/>
                <w:bCs/>
                <w:color w:val="000000"/>
                <w:sz w:val="20"/>
                <w:szCs w:val="20"/>
              </w:rPr>
            </w:pPr>
            <w:r w:rsidRPr="00B03142">
              <w:rPr>
                <w:rFonts w:ascii="Times New Roman" w:hAnsi="Times New Roman" w:cs="Times New Roman"/>
                <w:color w:val="000000"/>
                <w:sz w:val="20"/>
                <w:szCs w:val="20"/>
              </w:rPr>
              <w:t>3.3</w:t>
            </w:r>
          </w:p>
        </w:tc>
        <w:tc>
          <w:tcPr>
            <w:tcW w:w="0" w:type="auto"/>
            <w:vAlign w:val="center"/>
          </w:tcPr>
          <w:p w14:paraId="0221D548" w14:textId="77777777" w:rsidR="005A6898" w:rsidRPr="00B03142" w:rsidRDefault="005A6898" w:rsidP="00E84180">
            <w:pPr>
              <w:spacing w:line="276" w:lineRule="auto"/>
              <w:jc w:val="center"/>
              <w:rPr>
                <w:rFonts w:ascii="Times New Roman" w:hAnsi="Times New Roman" w:cs="Times New Roman"/>
                <w:b/>
                <w:bCs/>
                <w:color w:val="000000"/>
                <w:sz w:val="20"/>
                <w:szCs w:val="20"/>
              </w:rPr>
            </w:pPr>
            <w:r w:rsidRPr="00B03142">
              <w:rPr>
                <w:rFonts w:ascii="Times New Roman" w:hAnsi="Times New Roman" w:cs="Times New Roman"/>
                <w:color w:val="000000"/>
                <w:sz w:val="20"/>
                <w:szCs w:val="20"/>
              </w:rPr>
              <w:t>-4.1</w:t>
            </w:r>
          </w:p>
        </w:tc>
        <w:tc>
          <w:tcPr>
            <w:tcW w:w="0" w:type="auto"/>
            <w:vAlign w:val="center"/>
          </w:tcPr>
          <w:p w14:paraId="66FFE41A" w14:textId="77777777" w:rsidR="005A6898" w:rsidRPr="00B03142" w:rsidRDefault="005A6898" w:rsidP="00E84180">
            <w:pPr>
              <w:spacing w:line="276" w:lineRule="auto"/>
              <w:jc w:val="center"/>
              <w:rPr>
                <w:rFonts w:ascii="Times New Roman" w:hAnsi="Times New Roman" w:cs="Times New Roman"/>
                <w:b/>
                <w:bCs/>
                <w:color w:val="000000"/>
                <w:sz w:val="20"/>
                <w:szCs w:val="20"/>
              </w:rPr>
            </w:pPr>
            <w:r w:rsidRPr="00B03142">
              <w:rPr>
                <w:rFonts w:ascii="Times New Roman" w:hAnsi="Times New Roman" w:cs="Times New Roman"/>
                <w:color w:val="000000"/>
                <w:sz w:val="20"/>
                <w:szCs w:val="20"/>
              </w:rPr>
              <w:t>3.0</w:t>
            </w:r>
          </w:p>
        </w:tc>
        <w:tc>
          <w:tcPr>
            <w:tcW w:w="0" w:type="auto"/>
            <w:vAlign w:val="center"/>
          </w:tcPr>
          <w:p w14:paraId="01DE9517" w14:textId="77777777" w:rsidR="005A6898" w:rsidRPr="00B03142" w:rsidRDefault="005A6898" w:rsidP="00E84180">
            <w:pPr>
              <w:spacing w:line="276" w:lineRule="auto"/>
              <w:jc w:val="center"/>
              <w:rPr>
                <w:rFonts w:ascii="Times New Roman" w:hAnsi="Times New Roman" w:cs="Times New Roman"/>
                <w:b/>
                <w:bCs/>
                <w:color w:val="000000"/>
                <w:sz w:val="20"/>
                <w:szCs w:val="20"/>
              </w:rPr>
            </w:pPr>
            <w:r w:rsidRPr="00B03142">
              <w:rPr>
                <w:rFonts w:ascii="Times New Roman" w:hAnsi="Times New Roman" w:cs="Times New Roman"/>
                <w:color w:val="000000"/>
                <w:sz w:val="20"/>
                <w:szCs w:val="20"/>
              </w:rPr>
              <w:t>6.4</w:t>
            </w:r>
          </w:p>
        </w:tc>
        <w:tc>
          <w:tcPr>
            <w:tcW w:w="0" w:type="auto"/>
            <w:vAlign w:val="center"/>
          </w:tcPr>
          <w:p w14:paraId="530A3D17" w14:textId="77777777" w:rsidR="005A6898" w:rsidRPr="00B03142" w:rsidRDefault="005A6898" w:rsidP="00E84180">
            <w:pPr>
              <w:spacing w:line="276" w:lineRule="auto"/>
              <w:jc w:val="center"/>
              <w:rPr>
                <w:rFonts w:ascii="Times New Roman" w:hAnsi="Times New Roman" w:cs="Times New Roman"/>
                <w:color w:val="000000"/>
                <w:sz w:val="20"/>
                <w:szCs w:val="20"/>
              </w:rPr>
            </w:pPr>
            <w:r w:rsidRPr="00B03142">
              <w:rPr>
                <w:rFonts w:ascii="Times New Roman" w:hAnsi="Times New Roman" w:cs="Times New Roman"/>
                <w:color w:val="000000"/>
                <w:sz w:val="20"/>
                <w:szCs w:val="20"/>
              </w:rPr>
              <w:t>3.2</w:t>
            </w:r>
          </w:p>
        </w:tc>
        <w:tc>
          <w:tcPr>
            <w:tcW w:w="0" w:type="auto"/>
            <w:vAlign w:val="center"/>
          </w:tcPr>
          <w:p w14:paraId="4AD67BDD" w14:textId="77777777" w:rsidR="005A6898" w:rsidRPr="00B03142" w:rsidRDefault="005A6898" w:rsidP="00E84180">
            <w:pPr>
              <w:spacing w:line="276" w:lineRule="auto"/>
              <w:jc w:val="center"/>
              <w:rPr>
                <w:rFonts w:ascii="Times New Roman" w:hAnsi="Times New Roman" w:cs="Times New Roman"/>
                <w:color w:val="000000"/>
                <w:sz w:val="20"/>
                <w:szCs w:val="20"/>
              </w:rPr>
            </w:pPr>
            <w:r w:rsidRPr="00B03142">
              <w:rPr>
                <w:rFonts w:ascii="Times New Roman" w:hAnsi="Times New Roman" w:cs="Times New Roman"/>
                <w:color w:val="000000"/>
                <w:sz w:val="20"/>
                <w:szCs w:val="20"/>
              </w:rPr>
              <w:t>3.2</w:t>
            </w:r>
          </w:p>
        </w:tc>
      </w:tr>
      <w:tr w:rsidR="005A6898" w:rsidRPr="00B03142" w14:paraId="473695F7" w14:textId="77777777" w:rsidTr="005A6898">
        <w:trPr>
          <w:trHeight w:val="355"/>
          <w:jc w:val="center"/>
        </w:trPr>
        <w:tc>
          <w:tcPr>
            <w:tcW w:w="0" w:type="auto"/>
            <w:vAlign w:val="center"/>
          </w:tcPr>
          <w:p w14:paraId="30F7C3B3" w14:textId="77777777" w:rsidR="005A6898" w:rsidRPr="00B03142" w:rsidRDefault="005A6898" w:rsidP="00E84180">
            <w:pPr>
              <w:spacing w:line="276" w:lineRule="auto"/>
              <w:jc w:val="right"/>
              <w:rPr>
                <w:rFonts w:ascii="Times New Roman" w:hAnsi="Times New Roman" w:cs="Times New Roman"/>
                <w:sz w:val="20"/>
                <w:szCs w:val="20"/>
              </w:rPr>
            </w:pPr>
            <w:r w:rsidRPr="00B03142">
              <w:rPr>
                <w:rFonts w:ascii="Times New Roman" w:hAnsi="Times New Roman" w:cs="Times New Roman"/>
                <w:b/>
                <w:bCs/>
                <w:color w:val="000000"/>
                <w:sz w:val="20"/>
                <w:szCs w:val="20"/>
              </w:rPr>
              <w:t>İstihdam değişimi</w:t>
            </w:r>
          </w:p>
        </w:tc>
        <w:tc>
          <w:tcPr>
            <w:tcW w:w="0" w:type="auto"/>
            <w:vAlign w:val="center"/>
          </w:tcPr>
          <w:p w14:paraId="2C1B740F" w14:textId="77777777" w:rsidR="005A6898" w:rsidRPr="00B03142" w:rsidRDefault="005A6898" w:rsidP="00E84180">
            <w:pPr>
              <w:spacing w:line="276" w:lineRule="auto"/>
              <w:jc w:val="center"/>
              <w:rPr>
                <w:rFonts w:ascii="Times New Roman" w:hAnsi="Times New Roman" w:cs="Times New Roman"/>
                <w:b/>
                <w:bCs/>
                <w:color w:val="000000"/>
                <w:sz w:val="20"/>
                <w:szCs w:val="20"/>
              </w:rPr>
            </w:pPr>
            <w:r w:rsidRPr="00B03142">
              <w:rPr>
                <w:rFonts w:ascii="Times New Roman" w:hAnsi="Times New Roman" w:cs="Times New Roman"/>
                <w:color w:val="000000"/>
                <w:sz w:val="20"/>
                <w:szCs w:val="20"/>
              </w:rPr>
              <w:t>-5.0</w:t>
            </w:r>
          </w:p>
        </w:tc>
        <w:tc>
          <w:tcPr>
            <w:tcW w:w="0" w:type="auto"/>
            <w:vAlign w:val="center"/>
          </w:tcPr>
          <w:p w14:paraId="3440289C" w14:textId="77777777" w:rsidR="005A6898" w:rsidRPr="00B03142" w:rsidRDefault="005A6898" w:rsidP="00E84180">
            <w:pPr>
              <w:spacing w:line="276" w:lineRule="auto"/>
              <w:jc w:val="center"/>
              <w:rPr>
                <w:rFonts w:ascii="Times New Roman" w:hAnsi="Times New Roman" w:cs="Times New Roman"/>
                <w:b/>
                <w:bCs/>
                <w:color w:val="000000"/>
                <w:sz w:val="20"/>
                <w:szCs w:val="20"/>
              </w:rPr>
            </w:pPr>
            <w:r w:rsidRPr="00B03142">
              <w:rPr>
                <w:rFonts w:ascii="Times New Roman" w:hAnsi="Times New Roman" w:cs="Times New Roman"/>
                <w:color w:val="000000"/>
                <w:sz w:val="20"/>
                <w:szCs w:val="20"/>
              </w:rPr>
              <w:t>-7.9</w:t>
            </w:r>
          </w:p>
        </w:tc>
        <w:tc>
          <w:tcPr>
            <w:tcW w:w="0" w:type="auto"/>
            <w:vAlign w:val="center"/>
          </w:tcPr>
          <w:p w14:paraId="1C62B540" w14:textId="77777777" w:rsidR="005A6898" w:rsidRPr="00B03142" w:rsidRDefault="005A6898" w:rsidP="00E84180">
            <w:pPr>
              <w:spacing w:line="276" w:lineRule="auto"/>
              <w:jc w:val="center"/>
              <w:rPr>
                <w:rFonts w:ascii="Times New Roman" w:hAnsi="Times New Roman" w:cs="Times New Roman"/>
                <w:b/>
                <w:bCs/>
                <w:color w:val="000000"/>
                <w:sz w:val="20"/>
                <w:szCs w:val="20"/>
              </w:rPr>
            </w:pPr>
            <w:r w:rsidRPr="00B03142">
              <w:rPr>
                <w:rFonts w:ascii="Times New Roman" w:hAnsi="Times New Roman" w:cs="Times New Roman"/>
                <w:color w:val="000000"/>
                <w:sz w:val="20"/>
                <w:szCs w:val="20"/>
              </w:rPr>
              <w:t>0.5</w:t>
            </w:r>
          </w:p>
        </w:tc>
        <w:tc>
          <w:tcPr>
            <w:tcW w:w="0" w:type="auto"/>
            <w:vAlign w:val="center"/>
          </w:tcPr>
          <w:p w14:paraId="11D02428" w14:textId="77777777" w:rsidR="005A6898" w:rsidRPr="00B03142" w:rsidRDefault="005A6898" w:rsidP="00E84180">
            <w:pPr>
              <w:spacing w:line="276" w:lineRule="auto"/>
              <w:jc w:val="center"/>
              <w:rPr>
                <w:rFonts w:ascii="Times New Roman" w:hAnsi="Times New Roman" w:cs="Times New Roman"/>
                <w:b/>
                <w:bCs/>
                <w:color w:val="000000"/>
                <w:sz w:val="20"/>
                <w:szCs w:val="20"/>
              </w:rPr>
            </w:pPr>
            <w:r w:rsidRPr="00B03142">
              <w:rPr>
                <w:rFonts w:ascii="Times New Roman" w:hAnsi="Times New Roman" w:cs="Times New Roman"/>
                <w:color w:val="000000"/>
                <w:sz w:val="20"/>
                <w:szCs w:val="20"/>
              </w:rPr>
              <w:t>6.6</w:t>
            </w:r>
          </w:p>
        </w:tc>
        <w:tc>
          <w:tcPr>
            <w:tcW w:w="0" w:type="auto"/>
            <w:vAlign w:val="center"/>
          </w:tcPr>
          <w:p w14:paraId="7907C614" w14:textId="77777777" w:rsidR="005A6898" w:rsidRPr="00B03142" w:rsidRDefault="005A6898" w:rsidP="00E84180">
            <w:pPr>
              <w:spacing w:line="276" w:lineRule="auto"/>
              <w:jc w:val="center"/>
              <w:rPr>
                <w:rFonts w:ascii="Times New Roman" w:hAnsi="Times New Roman" w:cs="Times New Roman"/>
                <w:b/>
                <w:bCs/>
                <w:color w:val="000000"/>
                <w:sz w:val="20"/>
                <w:szCs w:val="20"/>
              </w:rPr>
            </w:pPr>
            <w:r w:rsidRPr="00B03142">
              <w:rPr>
                <w:rFonts w:ascii="Times New Roman" w:hAnsi="Times New Roman" w:cs="Times New Roman"/>
                <w:color w:val="000000"/>
                <w:sz w:val="20"/>
                <w:szCs w:val="20"/>
              </w:rPr>
              <w:t>0.8</w:t>
            </w:r>
          </w:p>
        </w:tc>
        <w:tc>
          <w:tcPr>
            <w:tcW w:w="0" w:type="auto"/>
            <w:vAlign w:val="center"/>
          </w:tcPr>
          <w:p w14:paraId="3A46EC45" w14:textId="77777777" w:rsidR="005A6898" w:rsidRPr="00B03142" w:rsidRDefault="005A6898" w:rsidP="00E84180">
            <w:pPr>
              <w:spacing w:line="276" w:lineRule="auto"/>
              <w:jc w:val="center"/>
              <w:rPr>
                <w:rFonts w:ascii="Times New Roman" w:hAnsi="Times New Roman" w:cs="Times New Roman"/>
                <w:b/>
                <w:bCs/>
                <w:color w:val="000000"/>
                <w:sz w:val="20"/>
                <w:szCs w:val="20"/>
              </w:rPr>
            </w:pPr>
            <w:r w:rsidRPr="00B03142">
              <w:rPr>
                <w:rFonts w:ascii="Times New Roman" w:hAnsi="Times New Roman" w:cs="Times New Roman"/>
                <w:color w:val="000000"/>
                <w:sz w:val="20"/>
                <w:szCs w:val="20"/>
              </w:rPr>
              <w:t>-6.9</w:t>
            </w:r>
          </w:p>
        </w:tc>
        <w:tc>
          <w:tcPr>
            <w:tcW w:w="0" w:type="auto"/>
            <w:vAlign w:val="center"/>
          </w:tcPr>
          <w:p w14:paraId="4DE2E869" w14:textId="77777777" w:rsidR="005A6898" w:rsidRPr="00B03142" w:rsidRDefault="005A6898" w:rsidP="00E84180">
            <w:pPr>
              <w:spacing w:line="276" w:lineRule="auto"/>
              <w:jc w:val="center"/>
              <w:rPr>
                <w:rFonts w:ascii="Times New Roman" w:hAnsi="Times New Roman" w:cs="Times New Roman"/>
                <w:b/>
                <w:bCs/>
                <w:color w:val="000000"/>
                <w:sz w:val="20"/>
                <w:szCs w:val="20"/>
              </w:rPr>
            </w:pPr>
            <w:r w:rsidRPr="00B03142">
              <w:rPr>
                <w:rFonts w:ascii="Times New Roman" w:hAnsi="Times New Roman" w:cs="Times New Roman"/>
                <w:color w:val="000000"/>
                <w:sz w:val="20"/>
                <w:szCs w:val="20"/>
              </w:rPr>
              <w:t>1.7</w:t>
            </w:r>
          </w:p>
        </w:tc>
        <w:tc>
          <w:tcPr>
            <w:tcW w:w="0" w:type="auto"/>
            <w:vAlign w:val="center"/>
          </w:tcPr>
          <w:p w14:paraId="14FAD9B7" w14:textId="77777777" w:rsidR="005A6898" w:rsidRPr="00B03142" w:rsidRDefault="005A6898" w:rsidP="00E84180">
            <w:pPr>
              <w:spacing w:line="276" w:lineRule="auto"/>
              <w:jc w:val="center"/>
              <w:rPr>
                <w:rFonts w:ascii="Times New Roman" w:hAnsi="Times New Roman" w:cs="Times New Roman"/>
                <w:b/>
                <w:bCs/>
                <w:color w:val="000000"/>
                <w:sz w:val="20"/>
                <w:szCs w:val="20"/>
              </w:rPr>
            </w:pPr>
            <w:r w:rsidRPr="00B03142">
              <w:rPr>
                <w:rFonts w:ascii="Times New Roman" w:hAnsi="Times New Roman" w:cs="Times New Roman"/>
                <w:color w:val="000000"/>
                <w:sz w:val="20"/>
                <w:szCs w:val="20"/>
              </w:rPr>
              <w:t>2.0</w:t>
            </w:r>
          </w:p>
        </w:tc>
        <w:tc>
          <w:tcPr>
            <w:tcW w:w="0" w:type="auto"/>
            <w:vAlign w:val="center"/>
          </w:tcPr>
          <w:p w14:paraId="767F0596" w14:textId="77777777" w:rsidR="005A6898" w:rsidRPr="00B03142" w:rsidRDefault="005A6898" w:rsidP="00E84180">
            <w:pPr>
              <w:spacing w:line="276" w:lineRule="auto"/>
              <w:jc w:val="center"/>
              <w:rPr>
                <w:rFonts w:ascii="Times New Roman" w:hAnsi="Times New Roman" w:cs="Times New Roman"/>
                <w:color w:val="000000"/>
                <w:sz w:val="20"/>
                <w:szCs w:val="20"/>
              </w:rPr>
            </w:pPr>
            <w:r w:rsidRPr="00B03142">
              <w:rPr>
                <w:rFonts w:ascii="Times New Roman" w:hAnsi="Times New Roman" w:cs="Times New Roman"/>
                <w:color w:val="000000"/>
                <w:sz w:val="20"/>
                <w:szCs w:val="20"/>
              </w:rPr>
              <w:t>6.3</w:t>
            </w:r>
          </w:p>
        </w:tc>
        <w:tc>
          <w:tcPr>
            <w:tcW w:w="0" w:type="auto"/>
            <w:vAlign w:val="center"/>
          </w:tcPr>
          <w:p w14:paraId="02064FF8" w14:textId="77777777" w:rsidR="005A6898" w:rsidRPr="00B03142" w:rsidRDefault="005A6898" w:rsidP="00E84180">
            <w:pPr>
              <w:spacing w:line="276" w:lineRule="auto"/>
              <w:jc w:val="center"/>
              <w:rPr>
                <w:rFonts w:ascii="Times New Roman" w:hAnsi="Times New Roman" w:cs="Times New Roman"/>
                <w:color w:val="000000"/>
                <w:sz w:val="20"/>
                <w:szCs w:val="20"/>
              </w:rPr>
            </w:pPr>
            <w:r w:rsidRPr="00B03142">
              <w:rPr>
                <w:rFonts w:ascii="Times New Roman" w:hAnsi="Times New Roman" w:cs="Times New Roman"/>
                <w:color w:val="000000"/>
                <w:sz w:val="20"/>
                <w:szCs w:val="20"/>
              </w:rPr>
              <w:t>-1.0</w:t>
            </w:r>
          </w:p>
        </w:tc>
      </w:tr>
      <w:tr w:rsidR="005A6898" w:rsidRPr="00B03142" w14:paraId="4323B8A3" w14:textId="77777777" w:rsidTr="005A6898">
        <w:trPr>
          <w:trHeight w:val="355"/>
          <w:jc w:val="center"/>
        </w:trPr>
        <w:tc>
          <w:tcPr>
            <w:tcW w:w="0" w:type="auto"/>
            <w:gridSpan w:val="11"/>
            <w:vAlign w:val="center"/>
          </w:tcPr>
          <w:p w14:paraId="1423F968" w14:textId="77777777" w:rsidR="005A6898" w:rsidRPr="00B03142" w:rsidRDefault="005A6898" w:rsidP="00E84180">
            <w:pPr>
              <w:spacing w:line="276" w:lineRule="auto"/>
              <w:jc w:val="center"/>
              <w:rPr>
                <w:rFonts w:ascii="Times New Roman" w:hAnsi="Times New Roman" w:cs="Times New Roman"/>
                <w:b/>
                <w:bCs/>
                <w:sz w:val="20"/>
                <w:szCs w:val="20"/>
              </w:rPr>
            </w:pPr>
            <w:r w:rsidRPr="00B03142">
              <w:rPr>
                <w:rFonts w:ascii="Times New Roman" w:hAnsi="Times New Roman" w:cs="Times New Roman"/>
                <w:b/>
                <w:bCs/>
                <w:sz w:val="20"/>
                <w:szCs w:val="20"/>
              </w:rPr>
              <w:t>2004-2008</w:t>
            </w:r>
          </w:p>
        </w:tc>
      </w:tr>
      <w:tr w:rsidR="005A6898" w:rsidRPr="00B03142" w14:paraId="786BE92D" w14:textId="77777777" w:rsidTr="005A6898">
        <w:trPr>
          <w:trHeight w:val="355"/>
          <w:jc w:val="center"/>
        </w:trPr>
        <w:tc>
          <w:tcPr>
            <w:tcW w:w="0" w:type="auto"/>
            <w:vAlign w:val="center"/>
          </w:tcPr>
          <w:p w14:paraId="4C6F2559" w14:textId="77777777" w:rsidR="005A6898" w:rsidRPr="00B03142" w:rsidRDefault="005A6898" w:rsidP="00E84180">
            <w:pPr>
              <w:spacing w:line="276" w:lineRule="auto"/>
              <w:jc w:val="right"/>
              <w:rPr>
                <w:rFonts w:ascii="Times New Roman" w:hAnsi="Times New Roman" w:cs="Times New Roman"/>
                <w:b/>
                <w:bCs/>
                <w:color w:val="000000"/>
                <w:sz w:val="20"/>
                <w:szCs w:val="20"/>
              </w:rPr>
            </w:pPr>
            <w:r w:rsidRPr="00B03142">
              <w:rPr>
                <w:rFonts w:ascii="Times New Roman" w:hAnsi="Times New Roman" w:cs="Times New Roman"/>
                <w:b/>
                <w:bCs/>
                <w:color w:val="000000"/>
                <w:sz w:val="20"/>
                <w:szCs w:val="20"/>
              </w:rPr>
              <w:t>Reel kredi değişimi</w:t>
            </w:r>
          </w:p>
        </w:tc>
        <w:tc>
          <w:tcPr>
            <w:tcW w:w="0" w:type="auto"/>
            <w:vAlign w:val="center"/>
          </w:tcPr>
          <w:p w14:paraId="5EF8A2E5" w14:textId="77777777" w:rsidR="005A6898" w:rsidRPr="00B03142" w:rsidRDefault="005A6898" w:rsidP="00E84180">
            <w:pPr>
              <w:spacing w:line="276" w:lineRule="auto"/>
              <w:jc w:val="center"/>
              <w:rPr>
                <w:rFonts w:ascii="Times New Roman" w:hAnsi="Times New Roman" w:cs="Times New Roman"/>
                <w:color w:val="000000"/>
                <w:sz w:val="20"/>
                <w:szCs w:val="20"/>
              </w:rPr>
            </w:pPr>
            <w:r w:rsidRPr="00B03142">
              <w:rPr>
                <w:rFonts w:ascii="Times New Roman" w:hAnsi="Times New Roman" w:cs="Times New Roman"/>
                <w:color w:val="000000"/>
                <w:sz w:val="20"/>
                <w:szCs w:val="20"/>
              </w:rPr>
              <w:t>25.8</w:t>
            </w:r>
          </w:p>
        </w:tc>
        <w:tc>
          <w:tcPr>
            <w:tcW w:w="0" w:type="auto"/>
            <w:vAlign w:val="center"/>
          </w:tcPr>
          <w:p w14:paraId="038E03B0" w14:textId="77777777" w:rsidR="005A6898" w:rsidRPr="00B03142" w:rsidRDefault="005A6898" w:rsidP="00E84180">
            <w:pPr>
              <w:spacing w:line="276" w:lineRule="auto"/>
              <w:jc w:val="center"/>
              <w:rPr>
                <w:rFonts w:ascii="Times New Roman" w:hAnsi="Times New Roman" w:cs="Times New Roman"/>
                <w:color w:val="000000"/>
                <w:sz w:val="20"/>
                <w:szCs w:val="20"/>
              </w:rPr>
            </w:pPr>
            <w:r w:rsidRPr="00B03142">
              <w:rPr>
                <w:rFonts w:ascii="Times New Roman" w:hAnsi="Times New Roman" w:cs="Times New Roman"/>
                <w:color w:val="000000"/>
                <w:sz w:val="20"/>
                <w:szCs w:val="20"/>
              </w:rPr>
              <w:t>36.2</w:t>
            </w:r>
          </w:p>
        </w:tc>
        <w:tc>
          <w:tcPr>
            <w:tcW w:w="0" w:type="auto"/>
            <w:vAlign w:val="center"/>
          </w:tcPr>
          <w:p w14:paraId="7A3017E7" w14:textId="77777777" w:rsidR="005A6898" w:rsidRPr="00B03142" w:rsidRDefault="005A6898" w:rsidP="00E84180">
            <w:pPr>
              <w:spacing w:line="276" w:lineRule="auto"/>
              <w:jc w:val="center"/>
              <w:rPr>
                <w:rFonts w:ascii="Times New Roman" w:hAnsi="Times New Roman" w:cs="Times New Roman"/>
                <w:color w:val="000000"/>
                <w:sz w:val="20"/>
                <w:szCs w:val="20"/>
              </w:rPr>
            </w:pPr>
            <w:r w:rsidRPr="00B03142">
              <w:rPr>
                <w:rFonts w:ascii="Times New Roman" w:hAnsi="Times New Roman" w:cs="Times New Roman"/>
                <w:color w:val="000000"/>
                <w:sz w:val="20"/>
                <w:szCs w:val="20"/>
              </w:rPr>
              <w:t>39.7</w:t>
            </w:r>
          </w:p>
        </w:tc>
        <w:tc>
          <w:tcPr>
            <w:tcW w:w="0" w:type="auto"/>
            <w:vAlign w:val="center"/>
          </w:tcPr>
          <w:p w14:paraId="2211F620" w14:textId="77777777" w:rsidR="005A6898" w:rsidRPr="00B03142" w:rsidRDefault="005A6898" w:rsidP="00E84180">
            <w:pPr>
              <w:spacing w:line="276" w:lineRule="auto"/>
              <w:jc w:val="center"/>
              <w:rPr>
                <w:rFonts w:ascii="Times New Roman" w:hAnsi="Times New Roman" w:cs="Times New Roman"/>
                <w:color w:val="000000"/>
                <w:sz w:val="20"/>
                <w:szCs w:val="20"/>
              </w:rPr>
            </w:pPr>
            <w:r w:rsidRPr="00B03142">
              <w:rPr>
                <w:rFonts w:ascii="Times New Roman" w:hAnsi="Times New Roman" w:cs="Times New Roman"/>
                <w:color w:val="000000"/>
                <w:sz w:val="20"/>
                <w:szCs w:val="20"/>
              </w:rPr>
              <w:t>27.9</w:t>
            </w:r>
          </w:p>
        </w:tc>
        <w:tc>
          <w:tcPr>
            <w:tcW w:w="0" w:type="auto"/>
            <w:vAlign w:val="center"/>
          </w:tcPr>
          <w:p w14:paraId="261BF12F" w14:textId="77777777" w:rsidR="005A6898" w:rsidRPr="00B03142" w:rsidRDefault="005A6898" w:rsidP="00E84180">
            <w:pPr>
              <w:spacing w:line="276" w:lineRule="auto"/>
              <w:jc w:val="center"/>
              <w:rPr>
                <w:rFonts w:ascii="Times New Roman" w:hAnsi="Times New Roman" w:cs="Times New Roman"/>
                <w:color w:val="000000"/>
                <w:sz w:val="20"/>
                <w:szCs w:val="20"/>
              </w:rPr>
            </w:pPr>
            <w:r w:rsidRPr="00B03142">
              <w:rPr>
                <w:rFonts w:ascii="Times New Roman" w:hAnsi="Times New Roman" w:cs="Times New Roman"/>
                <w:color w:val="000000"/>
                <w:sz w:val="20"/>
                <w:szCs w:val="20"/>
              </w:rPr>
              <w:t>18.3</w:t>
            </w:r>
          </w:p>
        </w:tc>
        <w:tc>
          <w:tcPr>
            <w:tcW w:w="0" w:type="auto"/>
            <w:vAlign w:val="center"/>
          </w:tcPr>
          <w:p w14:paraId="19005D76" w14:textId="77777777" w:rsidR="005A6898" w:rsidRPr="00B03142" w:rsidRDefault="005A6898" w:rsidP="00E84180">
            <w:pPr>
              <w:spacing w:line="276" w:lineRule="auto"/>
              <w:jc w:val="center"/>
              <w:rPr>
                <w:rFonts w:ascii="Times New Roman" w:hAnsi="Times New Roman" w:cs="Times New Roman"/>
                <w:color w:val="000000"/>
                <w:sz w:val="20"/>
                <w:szCs w:val="20"/>
              </w:rPr>
            </w:pPr>
            <w:r w:rsidRPr="00B03142">
              <w:rPr>
                <w:rFonts w:ascii="Times New Roman" w:hAnsi="Times New Roman" w:cs="Times New Roman"/>
                <w:color w:val="000000"/>
                <w:sz w:val="20"/>
                <w:szCs w:val="20"/>
              </w:rPr>
              <w:t>31.0</w:t>
            </w:r>
          </w:p>
        </w:tc>
        <w:tc>
          <w:tcPr>
            <w:tcW w:w="0" w:type="auto"/>
            <w:vAlign w:val="center"/>
          </w:tcPr>
          <w:p w14:paraId="3E0E32FC" w14:textId="77777777" w:rsidR="005A6898" w:rsidRPr="00B03142" w:rsidRDefault="005A6898" w:rsidP="00E84180">
            <w:pPr>
              <w:spacing w:line="276" w:lineRule="auto"/>
              <w:jc w:val="center"/>
              <w:rPr>
                <w:rFonts w:ascii="Times New Roman" w:hAnsi="Times New Roman" w:cs="Times New Roman"/>
                <w:color w:val="000000"/>
                <w:sz w:val="20"/>
                <w:szCs w:val="20"/>
              </w:rPr>
            </w:pPr>
            <w:r w:rsidRPr="00B03142">
              <w:rPr>
                <w:rFonts w:ascii="Times New Roman" w:hAnsi="Times New Roman" w:cs="Times New Roman"/>
                <w:color w:val="000000"/>
                <w:sz w:val="20"/>
                <w:szCs w:val="20"/>
              </w:rPr>
              <w:t>24.7</w:t>
            </w:r>
          </w:p>
        </w:tc>
        <w:tc>
          <w:tcPr>
            <w:tcW w:w="0" w:type="auto"/>
            <w:vAlign w:val="center"/>
          </w:tcPr>
          <w:p w14:paraId="41C6D373" w14:textId="77777777" w:rsidR="005A6898" w:rsidRPr="00B03142" w:rsidRDefault="005A6898" w:rsidP="00E84180">
            <w:pPr>
              <w:spacing w:line="276" w:lineRule="auto"/>
              <w:jc w:val="center"/>
              <w:rPr>
                <w:rFonts w:ascii="Times New Roman" w:hAnsi="Times New Roman" w:cs="Times New Roman"/>
                <w:color w:val="000000"/>
                <w:sz w:val="20"/>
                <w:szCs w:val="20"/>
              </w:rPr>
            </w:pPr>
            <w:r w:rsidRPr="00B03142">
              <w:rPr>
                <w:rFonts w:ascii="Times New Roman" w:hAnsi="Times New Roman" w:cs="Times New Roman"/>
                <w:color w:val="000000"/>
                <w:sz w:val="20"/>
                <w:szCs w:val="20"/>
              </w:rPr>
              <w:t>32.2</w:t>
            </w:r>
          </w:p>
        </w:tc>
        <w:tc>
          <w:tcPr>
            <w:tcW w:w="0" w:type="auto"/>
            <w:vAlign w:val="center"/>
          </w:tcPr>
          <w:p w14:paraId="03AABDD2" w14:textId="77777777" w:rsidR="005A6898" w:rsidRPr="00B03142" w:rsidRDefault="005A6898" w:rsidP="00E84180">
            <w:pPr>
              <w:spacing w:line="276" w:lineRule="auto"/>
              <w:jc w:val="center"/>
              <w:rPr>
                <w:rFonts w:ascii="Times New Roman" w:hAnsi="Times New Roman" w:cs="Times New Roman"/>
                <w:color w:val="000000"/>
                <w:sz w:val="20"/>
                <w:szCs w:val="20"/>
              </w:rPr>
            </w:pPr>
            <w:r w:rsidRPr="00B03142">
              <w:rPr>
                <w:rFonts w:ascii="Times New Roman" w:hAnsi="Times New Roman" w:cs="Times New Roman"/>
                <w:color w:val="000000"/>
                <w:sz w:val="20"/>
                <w:szCs w:val="20"/>
              </w:rPr>
              <w:t>37.9</w:t>
            </w:r>
          </w:p>
        </w:tc>
        <w:tc>
          <w:tcPr>
            <w:tcW w:w="0" w:type="auto"/>
            <w:vAlign w:val="center"/>
          </w:tcPr>
          <w:p w14:paraId="4840C900" w14:textId="77777777" w:rsidR="005A6898" w:rsidRPr="00B03142" w:rsidRDefault="005A6898" w:rsidP="00E84180">
            <w:pPr>
              <w:spacing w:line="276" w:lineRule="auto"/>
              <w:jc w:val="center"/>
              <w:rPr>
                <w:rFonts w:ascii="Times New Roman" w:hAnsi="Times New Roman" w:cs="Times New Roman"/>
                <w:color w:val="000000"/>
                <w:sz w:val="20"/>
                <w:szCs w:val="20"/>
              </w:rPr>
            </w:pPr>
            <w:r w:rsidRPr="00B03142">
              <w:rPr>
                <w:rFonts w:ascii="Times New Roman" w:hAnsi="Times New Roman" w:cs="Times New Roman"/>
                <w:color w:val="000000"/>
                <w:sz w:val="20"/>
                <w:szCs w:val="20"/>
              </w:rPr>
              <w:t>25.9</w:t>
            </w:r>
          </w:p>
        </w:tc>
      </w:tr>
      <w:tr w:rsidR="005A6898" w:rsidRPr="00B03142" w14:paraId="7A8EC373" w14:textId="77777777" w:rsidTr="005A6898">
        <w:trPr>
          <w:trHeight w:val="355"/>
          <w:jc w:val="center"/>
        </w:trPr>
        <w:tc>
          <w:tcPr>
            <w:tcW w:w="0" w:type="auto"/>
            <w:vAlign w:val="center"/>
          </w:tcPr>
          <w:p w14:paraId="5EDD5DEE" w14:textId="77777777" w:rsidR="005A6898" w:rsidRPr="00B03142" w:rsidRDefault="005A6898" w:rsidP="00E84180">
            <w:pPr>
              <w:spacing w:line="276" w:lineRule="auto"/>
              <w:jc w:val="right"/>
              <w:rPr>
                <w:rFonts w:ascii="Times New Roman" w:hAnsi="Times New Roman" w:cs="Times New Roman"/>
                <w:b/>
                <w:bCs/>
                <w:color w:val="000000"/>
                <w:sz w:val="20"/>
                <w:szCs w:val="20"/>
              </w:rPr>
            </w:pPr>
            <w:r w:rsidRPr="00B03142">
              <w:rPr>
                <w:rFonts w:ascii="Times New Roman" w:hAnsi="Times New Roman" w:cs="Times New Roman"/>
                <w:b/>
                <w:bCs/>
                <w:color w:val="000000"/>
                <w:sz w:val="20"/>
                <w:szCs w:val="20"/>
              </w:rPr>
              <w:t>Büyüme</w:t>
            </w:r>
          </w:p>
        </w:tc>
        <w:tc>
          <w:tcPr>
            <w:tcW w:w="0" w:type="auto"/>
            <w:vAlign w:val="center"/>
          </w:tcPr>
          <w:p w14:paraId="6D695397" w14:textId="77777777" w:rsidR="005A6898" w:rsidRPr="00B03142" w:rsidRDefault="005A6898" w:rsidP="00E84180">
            <w:pPr>
              <w:spacing w:line="276" w:lineRule="auto"/>
              <w:jc w:val="center"/>
              <w:rPr>
                <w:rFonts w:ascii="Times New Roman" w:hAnsi="Times New Roman" w:cs="Times New Roman"/>
                <w:sz w:val="20"/>
                <w:szCs w:val="20"/>
              </w:rPr>
            </w:pPr>
            <w:r w:rsidRPr="00B03142">
              <w:rPr>
                <w:rFonts w:ascii="Times New Roman" w:hAnsi="Times New Roman" w:cs="Times New Roman"/>
                <w:color w:val="000000"/>
                <w:sz w:val="20"/>
                <w:szCs w:val="20"/>
              </w:rPr>
              <w:t>2.3</w:t>
            </w:r>
          </w:p>
        </w:tc>
        <w:tc>
          <w:tcPr>
            <w:tcW w:w="0" w:type="auto"/>
            <w:vAlign w:val="center"/>
          </w:tcPr>
          <w:p w14:paraId="7CB8C9C7" w14:textId="77777777" w:rsidR="005A6898" w:rsidRPr="00B03142" w:rsidRDefault="005A6898" w:rsidP="00E84180">
            <w:pPr>
              <w:spacing w:line="276" w:lineRule="auto"/>
              <w:jc w:val="center"/>
              <w:rPr>
                <w:rFonts w:ascii="Times New Roman" w:hAnsi="Times New Roman" w:cs="Times New Roman"/>
                <w:sz w:val="20"/>
                <w:szCs w:val="20"/>
              </w:rPr>
            </w:pPr>
            <w:r w:rsidRPr="00B03142">
              <w:rPr>
                <w:rFonts w:ascii="Times New Roman" w:hAnsi="Times New Roman" w:cs="Times New Roman"/>
                <w:color w:val="000000"/>
                <w:sz w:val="20"/>
                <w:szCs w:val="20"/>
              </w:rPr>
              <w:t>13.5</w:t>
            </w:r>
          </w:p>
        </w:tc>
        <w:tc>
          <w:tcPr>
            <w:tcW w:w="0" w:type="auto"/>
            <w:vAlign w:val="center"/>
          </w:tcPr>
          <w:p w14:paraId="5821D64C" w14:textId="77777777" w:rsidR="005A6898" w:rsidRPr="00B03142" w:rsidRDefault="005A6898" w:rsidP="00E84180">
            <w:pPr>
              <w:spacing w:line="276" w:lineRule="auto"/>
              <w:jc w:val="center"/>
              <w:rPr>
                <w:rFonts w:ascii="Times New Roman" w:hAnsi="Times New Roman" w:cs="Times New Roman"/>
                <w:sz w:val="20"/>
                <w:szCs w:val="20"/>
              </w:rPr>
            </w:pPr>
            <w:r w:rsidRPr="00B03142">
              <w:rPr>
                <w:rFonts w:ascii="Times New Roman" w:hAnsi="Times New Roman" w:cs="Times New Roman"/>
                <w:color w:val="000000"/>
                <w:sz w:val="20"/>
                <w:szCs w:val="20"/>
              </w:rPr>
              <w:t>4.0</w:t>
            </w:r>
          </w:p>
        </w:tc>
        <w:tc>
          <w:tcPr>
            <w:tcW w:w="0" w:type="auto"/>
            <w:vAlign w:val="center"/>
          </w:tcPr>
          <w:p w14:paraId="2526F6F4" w14:textId="77777777" w:rsidR="005A6898" w:rsidRPr="00B03142" w:rsidRDefault="005A6898" w:rsidP="00E84180">
            <w:pPr>
              <w:spacing w:line="276" w:lineRule="auto"/>
              <w:jc w:val="center"/>
              <w:rPr>
                <w:rFonts w:ascii="Times New Roman" w:hAnsi="Times New Roman" w:cs="Times New Roman"/>
                <w:sz w:val="20"/>
                <w:szCs w:val="20"/>
              </w:rPr>
            </w:pPr>
            <w:r w:rsidRPr="00B03142">
              <w:rPr>
                <w:rFonts w:ascii="Times New Roman" w:hAnsi="Times New Roman" w:cs="Times New Roman"/>
                <w:color w:val="000000"/>
                <w:sz w:val="20"/>
                <w:szCs w:val="20"/>
              </w:rPr>
              <w:t>5.0</w:t>
            </w:r>
          </w:p>
        </w:tc>
        <w:tc>
          <w:tcPr>
            <w:tcW w:w="0" w:type="auto"/>
            <w:vAlign w:val="center"/>
          </w:tcPr>
          <w:p w14:paraId="62DCC435" w14:textId="77777777" w:rsidR="005A6898" w:rsidRPr="00B03142" w:rsidRDefault="005A6898" w:rsidP="00E84180">
            <w:pPr>
              <w:spacing w:line="276" w:lineRule="auto"/>
              <w:jc w:val="center"/>
              <w:rPr>
                <w:rFonts w:ascii="Times New Roman" w:hAnsi="Times New Roman" w:cs="Times New Roman"/>
                <w:sz w:val="20"/>
                <w:szCs w:val="20"/>
              </w:rPr>
            </w:pPr>
            <w:r w:rsidRPr="00B03142">
              <w:rPr>
                <w:rFonts w:ascii="Times New Roman" w:hAnsi="Times New Roman" w:cs="Times New Roman"/>
                <w:color w:val="000000"/>
                <w:sz w:val="20"/>
                <w:szCs w:val="20"/>
              </w:rPr>
              <w:t>8.0</w:t>
            </w:r>
          </w:p>
        </w:tc>
        <w:tc>
          <w:tcPr>
            <w:tcW w:w="0" w:type="auto"/>
            <w:vAlign w:val="center"/>
          </w:tcPr>
          <w:p w14:paraId="4A600FBA" w14:textId="77777777" w:rsidR="005A6898" w:rsidRPr="00B03142" w:rsidRDefault="005A6898" w:rsidP="00E84180">
            <w:pPr>
              <w:spacing w:line="276" w:lineRule="auto"/>
              <w:jc w:val="center"/>
              <w:rPr>
                <w:rFonts w:ascii="Times New Roman" w:hAnsi="Times New Roman" w:cs="Times New Roman"/>
                <w:sz w:val="20"/>
                <w:szCs w:val="20"/>
              </w:rPr>
            </w:pPr>
            <w:r w:rsidRPr="00B03142">
              <w:rPr>
                <w:rFonts w:ascii="Times New Roman" w:hAnsi="Times New Roman" w:cs="Times New Roman"/>
                <w:color w:val="000000"/>
                <w:sz w:val="20"/>
                <w:szCs w:val="20"/>
              </w:rPr>
              <w:t>4.2</w:t>
            </w:r>
          </w:p>
        </w:tc>
        <w:tc>
          <w:tcPr>
            <w:tcW w:w="0" w:type="auto"/>
            <w:vAlign w:val="center"/>
          </w:tcPr>
          <w:p w14:paraId="624830AE" w14:textId="77777777" w:rsidR="005A6898" w:rsidRPr="00B03142" w:rsidRDefault="005A6898" w:rsidP="00E84180">
            <w:pPr>
              <w:spacing w:line="276" w:lineRule="auto"/>
              <w:jc w:val="center"/>
              <w:rPr>
                <w:rFonts w:ascii="Times New Roman" w:hAnsi="Times New Roman" w:cs="Times New Roman"/>
                <w:sz w:val="20"/>
                <w:szCs w:val="20"/>
              </w:rPr>
            </w:pPr>
            <w:r w:rsidRPr="00B03142">
              <w:rPr>
                <w:rFonts w:ascii="Times New Roman" w:hAnsi="Times New Roman" w:cs="Times New Roman"/>
                <w:color w:val="000000"/>
                <w:sz w:val="20"/>
                <w:szCs w:val="20"/>
              </w:rPr>
              <w:t>5.9</w:t>
            </w:r>
          </w:p>
        </w:tc>
        <w:tc>
          <w:tcPr>
            <w:tcW w:w="0" w:type="auto"/>
            <w:vAlign w:val="center"/>
          </w:tcPr>
          <w:p w14:paraId="06806273" w14:textId="77777777" w:rsidR="005A6898" w:rsidRPr="00B03142" w:rsidRDefault="005A6898" w:rsidP="00E84180">
            <w:pPr>
              <w:spacing w:line="276" w:lineRule="auto"/>
              <w:jc w:val="center"/>
              <w:rPr>
                <w:rFonts w:ascii="Times New Roman" w:hAnsi="Times New Roman" w:cs="Times New Roman"/>
                <w:sz w:val="20"/>
                <w:szCs w:val="20"/>
              </w:rPr>
            </w:pPr>
            <w:r w:rsidRPr="00B03142">
              <w:rPr>
                <w:rFonts w:ascii="Times New Roman" w:hAnsi="Times New Roman" w:cs="Times New Roman"/>
                <w:color w:val="000000"/>
                <w:sz w:val="20"/>
                <w:szCs w:val="20"/>
              </w:rPr>
              <w:t>7.3</w:t>
            </w:r>
          </w:p>
        </w:tc>
        <w:tc>
          <w:tcPr>
            <w:tcW w:w="0" w:type="auto"/>
            <w:vAlign w:val="center"/>
          </w:tcPr>
          <w:p w14:paraId="064D8416" w14:textId="77777777" w:rsidR="005A6898" w:rsidRPr="00B03142" w:rsidRDefault="005A6898" w:rsidP="00E84180">
            <w:pPr>
              <w:spacing w:line="276" w:lineRule="auto"/>
              <w:jc w:val="center"/>
              <w:rPr>
                <w:rFonts w:ascii="Times New Roman" w:hAnsi="Times New Roman" w:cs="Times New Roman"/>
                <w:sz w:val="20"/>
                <w:szCs w:val="20"/>
              </w:rPr>
            </w:pPr>
            <w:r w:rsidRPr="00B03142">
              <w:rPr>
                <w:rFonts w:ascii="Times New Roman" w:hAnsi="Times New Roman" w:cs="Times New Roman"/>
                <w:color w:val="000000"/>
                <w:sz w:val="20"/>
                <w:szCs w:val="20"/>
              </w:rPr>
              <w:t>6.4</w:t>
            </w:r>
          </w:p>
        </w:tc>
        <w:tc>
          <w:tcPr>
            <w:tcW w:w="0" w:type="auto"/>
            <w:vAlign w:val="center"/>
          </w:tcPr>
          <w:p w14:paraId="66D0FD35" w14:textId="77777777" w:rsidR="005A6898" w:rsidRPr="00B03142" w:rsidRDefault="005A6898" w:rsidP="00E84180">
            <w:pPr>
              <w:spacing w:line="276" w:lineRule="auto"/>
              <w:jc w:val="center"/>
              <w:rPr>
                <w:rFonts w:ascii="Times New Roman" w:hAnsi="Times New Roman" w:cs="Times New Roman"/>
                <w:color w:val="000000"/>
                <w:sz w:val="20"/>
                <w:szCs w:val="20"/>
              </w:rPr>
            </w:pPr>
            <w:r w:rsidRPr="00B03142">
              <w:rPr>
                <w:rFonts w:ascii="Times New Roman" w:hAnsi="Times New Roman" w:cs="Times New Roman"/>
                <w:color w:val="000000"/>
                <w:sz w:val="20"/>
                <w:szCs w:val="20"/>
              </w:rPr>
              <w:t>6.2</w:t>
            </w:r>
          </w:p>
        </w:tc>
      </w:tr>
      <w:tr w:rsidR="005A6898" w:rsidRPr="00B03142" w14:paraId="0D6CA234" w14:textId="77777777" w:rsidTr="005A6898">
        <w:trPr>
          <w:trHeight w:val="355"/>
          <w:jc w:val="center"/>
        </w:trPr>
        <w:tc>
          <w:tcPr>
            <w:tcW w:w="0" w:type="auto"/>
            <w:vAlign w:val="center"/>
          </w:tcPr>
          <w:p w14:paraId="51ED13E1" w14:textId="77777777" w:rsidR="005A6898" w:rsidRPr="00B03142" w:rsidRDefault="005A6898" w:rsidP="00E84180">
            <w:pPr>
              <w:spacing w:line="276" w:lineRule="auto"/>
              <w:jc w:val="right"/>
              <w:rPr>
                <w:rFonts w:ascii="Times New Roman" w:hAnsi="Times New Roman" w:cs="Times New Roman"/>
                <w:b/>
                <w:bCs/>
                <w:color w:val="000000"/>
                <w:sz w:val="20"/>
                <w:szCs w:val="20"/>
              </w:rPr>
            </w:pPr>
            <w:r w:rsidRPr="00B03142">
              <w:rPr>
                <w:rFonts w:ascii="Times New Roman" w:hAnsi="Times New Roman" w:cs="Times New Roman"/>
                <w:b/>
                <w:bCs/>
                <w:color w:val="000000"/>
                <w:sz w:val="20"/>
                <w:szCs w:val="20"/>
              </w:rPr>
              <w:t>İstihdam değişimi</w:t>
            </w:r>
          </w:p>
        </w:tc>
        <w:tc>
          <w:tcPr>
            <w:tcW w:w="0" w:type="auto"/>
            <w:vAlign w:val="center"/>
          </w:tcPr>
          <w:p w14:paraId="0F207762" w14:textId="77777777" w:rsidR="005A6898" w:rsidRPr="00B03142" w:rsidRDefault="005A6898" w:rsidP="00E84180">
            <w:pPr>
              <w:spacing w:line="276" w:lineRule="auto"/>
              <w:jc w:val="center"/>
              <w:rPr>
                <w:rFonts w:ascii="Times New Roman" w:hAnsi="Times New Roman" w:cs="Times New Roman"/>
                <w:sz w:val="20"/>
                <w:szCs w:val="20"/>
              </w:rPr>
            </w:pPr>
            <w:r w:rsidRPr="00B03142">
              <w:rPr>
                <w:rFonts w:ascii="Times New Roman" w:hAnsi="Times New Roman" w:cs="Times New Roman"/>
                <w:color w:val="000000"/>
                <w:sz w:val="20"/>
                <w:szCs w:val="20"/>
              </w:rPr>
              <w:t>-6.1</w:t>
            </w:r>
          </w:p>
        </w:tc>
        <w:tc>
          <w:tcPr>
            <w:tcW w:w="0" w:type="auto"/>
            <w:vAlign w:val="center"/>
          </w:tcPr>
          <w:p w14:paraId="6B909981" w14:textId="77777777" w:rsidR="005A6898" w:rsidRPr="00B03142" w:rsidRDefault="005A6898" w:rsidP="00E84180">
            <w:pPr>
              <w:spacing w:line="276" w:lineRule="auto"/>
              <w:jc w:val="center"/>
              <w:rPr>
                <w:rFonts w:ascii="Times New Roman" w:hAnsi="Times New Roman" w:cs="Times New Roman"/>
                <w:sz w:val="20"/>
                <w:szCs w:val="20"/>
              </w:rPr>
            </w:pPr>
            <w:r w:rsidRPr="00B03142">
              <w:rPr>
                <w:rFonts w:ascii="Times New Roman" w:hAnsi="Times New Roman" w:cs="Times New Roman"/>
                <w:color w:val="000000"/>
                <w:sz w:val="20"/>
                <w:szCs w:val="20"/>
              </w:rPr>
              <w:t>7.7</w:t>
            </w:r>
          </w:p>
        </w:tc>
        <w:tc>
          <w:tcPr>
            <w:tcW w:w="0" w:type="auto"/>
            <w:vAlign w:val="center"/>
          </w:tcPr>
          <w:p w14:paraId="255DDED4" w14:textId="77777777" w:rsidR="005A6898" w:rsidRPr="00B03142" w:rsidRDefault="005A6898" w:rsidP="00E84180">
            <w:pPr>
              <w:spacing w:line="276" w:lineRule="auto"/>
              <w:jc w:val="center"/>
              <w:rPr>
                <w:rFonts w:ascii="Times New Roman" w:hAnsi="Times New Roman" w:cs="Times New Roman"/>
                <w:sz w:val="20"/>
                <w:szCs w:val="20"/>
              </w:rPr>
            </w:pPr>
            <w:r w:rsidRPr="00B03142">
              <w:rPr>
                <w:rFonts w:ascii="Times New Roman" w:hAnsi="Times New Roman" w:cs="Times New Roman"/>
                <w:color w:val="000000"/>
                <w:sz w:val="20"/>
                <w:szCs w:val="20"/>
              </w:rPr>
              <w:t>3.6</w:t>
            </w:r>
          </w:p>
        </w:tc>
        <w:tc>
          <w:tcPr>
            <w:tcW w:w="0" w:type="auto"/>
            <w:vAlign w:val="center"/>
          </w:tcPr>
          <w:p w14:paraId="1D3A3353" w14:textId="77777777" w:rsidR="005A6898" w:rsidRPr="00B03142" w:rsidRDefault="005A6898" w:rsidP="00E84180">
            <w:pPr>
              <w:spacing w:line="276" w:lineRule="auto"/>
              <w:jc w:val="center"/>
              <w:rPr>
                <w:rFonts w:ascii="Times New Roman" w:hAnsi="Times New Roman" w:cs="Times New Roman"/>
                <w:sz w:val="20"/>
                <w:szCs w:val="20"/>
              </w:rPr>
            </w:pPr>
            <w:r w:rsidRPr="00B03142">
              <w:rPr>
                <w:rFonts w:ascii="Times New Roman" w:hAnsi="Times New Roman" w:cs="Times New Roman"/>
                <w:color w:val="000000"/>
                <w:sz w:val="20"/>
                <w:szCs w:val="20"/>
              </w:rPr>
              <w:t>11.7</w:t>
            </w:r>
          </w:p>
        </w:tc>
        <w:tc>
          <w:tcPr>
            <w:tcW w:w="0" w:type="auto"/>
            <w:vAlign w:val="center"/>
          </w:tcPr>
          <w:p w14:paraId="5CCFB57E" w14:textId="77777777" w:rsidR="005A6898" w:rsidRPr="00B03142" w:rsidRDefault="005A6898" w:rsidP="00E84180">
            <w:pPr>
              <w:spacing w:line="276" w:lineRule="auto"/>
              <w:jc w:val="center"/>
              <w:rPr>
                <w:rFonts w:ascii="Times New Roman" w:hAnsi="Times New Roman" w:cs="Times New Roman"/>
                <w:sz w:val="20"/>
                <w:szCs w:val="20"/>
              </w:rPr>
            </w:pPr>
            <w:r w:rsidRPr="00B03142">
              <w:rPr>
                <w:rFonts w:ascii="Times New Roman" w:hAnsi="Times New Roman" w:cs="Times New Roman"/>
                <w:color w:val="000000"/>
                <w:sz w:val="20"/>
                <w:szCs w:val="20"/>
              </w:rPr>
              <w:t>5.9</w:t>
            </w:r>
          </w:p>
        </w:tc>
        <w:tc>
          <w:tcPr>
            <w:tcW w:w="0" w:type="auto"/>
            <w:vAlign w:val="center"/>
          </w:tcPr>
          <w:p w14:paraId="27728169" w14:textId="77777777" w:rsidR="005A6898" w:rsidRPr="00B03142" w:rsidRDefault="005A6898" w:rsidP="00E84180">
            <w:pPr>
              <w:spacing w:line="276" w:lineRule="auto"/>
              <w:jc w:val="center"/>
              <w:rPr>
                <w:rFonts w:ascii="Times New Roman" w:hAnsi="Times New Roman" w:cs="Times New Roman"/>
                <w:sz w:val="20"/>
                <w:szCs w:val="20"/>
              </w:rPr>
            </w:pPr>
            <w:r w:rsidRPr="00B03142">
              <w:rPr>
                <w:rFonts w:ascii="Times New Roman" w:hAnsi="Times New Roman" w:cs="Times New Roman"/>
                <w:color w:val="000000"/>
                <w:sz w:val="20"/>
                <w:szCs w:val="20"/>
              </w:rPr>
              <w:t>10.5</w:t>
            </w:r>
          </w:p>
        </w:tc>
        <w:tc>
          <w:tcPr>
            <w:tcW w:w="0" w:type="auto"/>
            <w:vAlign w:val="center"/>
          </w:tcPr>
          <w:p w14:paraId="6EDB5C6D" w14:textId="77777777" w:rsidR="005A6898" w:rsidRPr="00B03142" w:rsidRDefault="005A6898" w:rsidP="00E84180">
            <w:pPr>
              <w:spacing w:line="276" w:lineRule="auto"/>
              <w:jc w:val="center"/>
              <w:rPr>
                <w:rFonts w:ascii="Times New Roman" w:hAnsi="Times New Roman" w:cs="Times New Roman"/>
                <w:sz w:val="20"/>
                <w:szCs w:val="20"/>
              </w:rPr>
            </w:pPr>
            <w:r w:rsidRPr="00B03142">
              <w:rPr>
                <w:rFonts w:ascii="Times New Roman" w:hAnsi="Times New Roman" w:cs="Times New Roman"/>
                <w:color w:val="000000"/>
                <w:sz w:val="20"/>
                <w:szCs w:val="20"/>
              </w:rPr>
              <w:t>1.5</w:t>
            </w:r>
          </w:p>
        </w:tc>
        <w:tc>
          <w:tcPr>
            <w:tcW w:w="0" w:type="auto"/>
            <w:vAlign w:val="center"/>
          </w:tcPr>
          <w:p w14:paraId="7075C625" w14:textId="77777777" w:rsidR="005A6898" w:rsidRPr="00B03142" w:rsidRDefault="005A6898" w:rsidP="00E84180">
            <w:pPr>
              <w:spacing w:line="276" w:lineRule="auto"/>
              <w:jc w:val="center"/>
              <w:rPr>
                <w:rFonts w:ascii="Times New Roman" w:hAnsi="Times New Roman" w:cs="Times New Roman"/>
                <w:sz w:val="20"/>
                <w:szCs w:val="20"/>
              </w:rPr>
            </w:pPr>
            <w:r w:rsidRPr="00B03142">
              <w:rPr>
                <w:rFonts w:ascii="Times New Roman" w:hAnsi="Times New Roman" w:cs="Times New Roman"/>
                <w:color w:val="000000"/>
                <w:sz w:val="20"/>
                <w:szCs w:val="20"/>
              </w:rPr>
              <w:t>3.2</w:t>
            </w:r>
          </w:p>
        </w:tc>
        <w:tc>
          <w:tcPr>
            <w:tcW w:w="0" w:type="auto"/>
            <w:vAlign w:val="center"/>
          </w:tcPr>
          <w:p w14:paraId="713F5FB7" w14:textId="77777777" w:rsidR="005A6898" w:rsidRPr="00B03142" w:rsidRDefault="005A6898" w:rsidP="00E84180">
            <w:pPr>
              <w:spacing w:line="276" w:lineRule="auto"/>
              <w:jc w:val="center"/>
              <w:rPr>
                <w:rFonts w:ascii="Times New Roman" w:hAnsi="Times New Roman" w:cs="Times New Roman"/>
                <w:sz w:val="20"/>
                <w:szCs w:val="20"/>
              </w:rPr>
            </w:pPr>
            <w:r w:rsidRPr="00B03142">
              <w:rPr>
                <w:rFonts w:ascii="Times New Roman" w:hAnsi="Times New Roman" w:cs="Times New Roman"/>
                <w:color w:val="000000"/>
                <w:sz w:val="20"/>
                <w:szCs w:val="20"/>
              </w:rPr>
              <w:t>4.3</w:t>
            </w:r>
          </w:p>
        </w:tc>
        <w:tc>
          <w:tcPr>
            <w:tcW w:w="0" w:type="auto"/>
            <w:vAlign w:val="center"/>
          </w:tcPr>
          <w:p w14:paraId="2747ED70" w14:textId="77777777" w:rsidR="005A6898" w:rsidRPr="00B03142" w:rsidRDefault="005A6898" w:rsidP="00E84180">
            <w:pPr>
              <w:spacing w:line="276" w:lineRule="auto"/>
              <w:jc w:val="center"/>
              <w:rPr>
                <w:rFonts w:ascii="Times New Roman" w:hAnsi="Times New Roman" w:cs="Times New Roman"/>
                <w:color w:val="000000"/>
                <w:sz w:val="20"/>
                <w:szCs w:val="20"/>
              </w:rPr>
            </w:pPr>
            <w:r w:rsidRPr="00B03142">
              <w:rPr>
                <w:rFonts w:ascii="Times New Roman" w:hAnsi="Times New Roman" w:cs="Times New Roman"/>
                <w:color w:val="000000"/>
                <w:sz w:val="20"/>
                <w:szCs w:val="20"/>
              </w:rPr>
              <w:t>1.8</w:t>
            </w:r>
          </w:p>
        </w:tc>
      </w:tr>
      <w:tr w:rsidR="005A6898" w:rsidRPr="00B03142" w14:paraId="1A67A5D4" w14:textId="77777777" w:rsidTr="005A6898">
        <w:trPr>
          <w:trHeight w:val="355"/>
          <w:jc w:val="center"/>
        </w:trPr>
        <w:tc>
          <w:tcPr>
            <w:tcW w:w="0" w:type="auto"/>
            <w:gridSpan w:val="11"/>
            <w:vAlign w:val="center"/>
          </w:tcPr>
          <w:p w14:paraId="1B97676E" w14:textId="77777777" w:rsidR="005A6898" w:rsidRPr="00B03142" w:rsidRDefault="005A6898" w:rsidP="00E84180">
            <w:pPr>
              <w:spacing w:line="276" w:lineRule="auto"/>
              <w:jc w:val="center"/>
              <w:rPr>
                <w:rFonts w:ascii="Times New Roman" w:hAnsi="Times New Roman" w:cs="Times New Roman"/>
                <w:b/>
                <w:iCs/>
                <w:color w:val="000000"/>
                <w:sz w:val="20"/>
                <w:szCs w:val="20"/>
              </w:rPr>
            </w:pPr>
            <w:r w:rsidRPr="00B03142">
              <w:rPr>
                <w:rFonts w:ascii="Times New Roman" w:hAnsi="Times New Roman" w:cs="Times New Roman"/>
                <w:b/>
                <w:iCs/>
                <w:color w:val="000000"/>
                <w:sz w:val="20"/>
                <w:szCs w:val="20"/>
              </w:rPr>
              <w:t>2009</w:t>
            </w:r>
          </w:p>
        </w:tc>
      </w:tr>
      <w:tr w:rsidR="005A6898" w:rsidRPr="00B03142" w14:paraId="39C9C7F8" w14:textId="77777777" w:rsidTr="005A6898">
        <w:trPr>
          <w:trHeight w:val="355"/>
          <w:jc w:val="center"/>
        </w:trPr>
        <w:tc>
          <w:tcPr>
            <w:tcW w:w="0" w:type="auto"/>
            <w:vAlign w:val="center"/>
          </w:tcPr>
          <w:p w14:paraId="155178B4" w14:textId="77777777" w:rsidR="005A6898" w:rsidRPr="00B03142" w:rsidRDefault="005A6898" w:rsidP="00E84180">
            <w:pPr>
              <w:spacing w:line="276" w:lineRule="auto"/>
              <w:jc w:val="right"/>
              <w:rPr>
                <w:rFonts w:ascii="Times New Roman" w:hAnsi="Times New Roman" w:cs="Times New Roman"/>
                <w:b/>
                <w:bCs/>
                <w:color w:val="000000"/>
                <w:sz w:val="20"/>
                <w:szCs w:val="20"/>
              </w:rPr>
            </w:pPr>
            <w:r w:rsidRPr="00B03142">
              <w:rPr>
                <w:rFonts w:ascii="Times New Roman" w:hAnsi="Times New Roman" w:cs="Times New Roman"/>
                <w:b/>
                <w:bCs/>
                <w:color w:val="000000"/>
                <w:sz w:val="20"/>
                <w:szCs w:val="20"/>
              </w:rPr>
              <w:t>Reel kredi değişimi</w:t>
            </w:r>
          </w:p>
        </w:tc>
        <w:tc>
          <w:tcPr>
            <w:tcW w:w="0" w:type="auto"/>
            <w:vAlign w:val="center"/>
          </w:tcPr>
          <w:p w14:paraId="71905E30" w14:textId="77777777" w:rsidR="005A6898" w:rsidRPr="00B03142" w:rsidRDefault="005A6898" w:rsidP="00E84180">
            <w:pPr>
              <w:spacing w:line="276" w:lineRule="auto"/>
              <w:jc w:val="center"/>
              <w:rPr>
                <w:rFonts w:ascii="Times New Roman" w:hAnsi="Times New Roman" w:cs="Times New Roman"/>
                <w:color w:val="000000"/>
                <w:sz w:val="20"/>
                <w:szCs w:val="20"/>
              </w:rPr>
            </w:pPr>
            <w:r w:rsidRPr="00B03142">
              <w:rPr>
                <w:rFonts w:ascii="Times New Roman" w:hAnsi="Times New Roman" w:cs="Times New Roman"/>
                <w:color w:val="000000"/>
                <w:sz w:val="20"/>
                <w:szCs w:val="20"/>
              </w:rPr>
              <w:t>0.1</w:t>
            </w:r>
          </w:p>
        </w:tc>
        <w:tc>
          <w:tcPr>
            <w:tcW w:w="0" w:type="auto"/>
            <w:vAlign w:val="center"/>
          </w:tcPr>
          <w:p w14:paraId="4A7A5E9C" w14:textId="77777777" w:rsidR="005A6898" w:rsidRPr="00B03142" w:rsidRDefault="005A6898" w:rsidP="00E84180">
            <w:pPr>
              <w:spacing w:line="276" w:lineRule="auto"/>
              <w:jc w:val="center"/>
              <w:rPr>
                <w:rFonts w:ascii="Times New Roman" w:hAnsi="Times New Roman" w:cs="Times New Roman"/>
                <w:color w:val="000000"/>
                <w:sz w:val="20"/>
                <w:szCs w:val="20"/>
              </w:rPr>
            </w:pPr>
            <w:r w:rsidRPr="00B03142">
              <w:rPr>
                <w:rFonts w:ascii="Times New Roman" w:hAnsi="Times New Roman" w:cs="Times New Roman"/>
                <w:color w:val="000000"/>
                <w:sz w:val="20"/>
                <w:szCs w:val="20"/>
              </w:rPr>
              <w:t>4.9</w:t>
            </w:r>
          </w:p>
        </w:tc>
        <w:tc>
          <w:tcPr>
            <w:tcW w:w="0" w:type="auto"/>
            <w:vAlign w:val="center"/>
          </w:tcPr>
          <w:p w14:paraId="538C5439" w14:textId="77777777" w:rsidR="005A6898" w:rsidRPr="00B03142" w:rsidRDefault="005A6898" w:rsidP="00E84180">
            <w:pPr>
              <w:spacing w:line="276" w:lineRule="auto"/>
              <w:jc w:val="center"/>
              <w:rPr>
                <w:rFonts w:ascii="Times New Roman" w:hAnsi="Times New Roman" w:cs="Times New Roman"/>
                <w:color w:val="000000"/>
                <w:sz w:val="20"/>
                <w:szCs w:val="20"/>
              </w:rPr>
            </w:pPr>
            <w:r w:rsidRPr="00B03142">
              <w:rPr>
                <w:rFonts w:ascii="Times New Roman" w:hAnsi="Times New Roman" w:cs="Times New Roman"/>
                <w:color w:val="000000"/>
                <w:sz w:val="20"/>
                <w:szCs w:val="20"/>
              </w:rPr>
              <w:t>7.6</w:t>
            </w:r>
          </w:p>
        </w:tc>
        <w:tc>
          <w:tcPr>
            <w:tcW w:w="0" w:type="auto"/>
            <w:vAlign w:val="center"/>
          </w:tcPr>
          <w:p w14:paraId="4987E879" w14:textId="77777777" w:rsidR="005A6898" w:rsidRPr="00B03142" w:rsidRDefault="005A6898" w:rsidP="00E84180">
            <w:pPr>
              <w:spacing w:line="276" w:lineRule="auto"/>
              <w:jc w:val="center"/>
              <w:rPr>
                <w:rFonts w:ascii="Times New Roman" w:hAnsi="Times New Roman" w:cs="Times New Roman"/>
                <w:color w:val="000000"/>
                <w:sz w:val="20"/>
                <w:szCs w:val="20"/>
              </w:rPr>
            </w:pPr>
            <w:r w:rsidRPr="00B03142">
              <w:rPr>
                <w:rFonts w:ascii="Times New Roman" w:hAnsi="Times New Roman" w:cs="Times New Roman"/>
                <w:color w:val="000000"/>
                <w:sz w:val="20"/>
                <w:szCs w:val="20"/>
              </w:rPr>
              <w:t>5.0</w:t>
            </w:r>
          </w:p>
        </w:tc>
        <w:tc>
          <w:tcPr>
            <w:tcW w:w="0" w:type="auto"/>
            <w:vAlign w:val="center"/>
          </w:tcPr>
          <w:p w14:paraId="7DEE34A8" w14:textId="77777777" w:rsidR="005A6898" w:rsidRPr="00B03142" w:rsidRDefault="005A6898" w:rsidP="00E84180">
            <w:pPr>
              <w:spacing w:line="276" w:lineRule="auto"/>
              <w:jc w:val="center"/>
              <w:rPr>
                <w:rFonts w:ascii="Times New Roman" w:hAnsi="Times New Roman" w:cs="Times New Roman"/>
                <w:color w:val="000000"/>
                <w:sz w:val="20"/>
                <w:szCs w:val="20"/>
              </w:rPr>
            </w:pPr>
            <w:r w:rsidRPr="00B03142">
              <w:rPr>
                <w:rFonts w:ascii="Times New Roman" w:hAnsi="Times New Roman" w:cs="Times New Roman"/>
                <w:color w:val="000000"/>
                <w:sz w:val="20"/>
                <w:szCs w:val="20"/>
              </w:rPr>
              <w:t>-6.7</w:t>
            </w:r>
          </w:p>
        </w:tc>
        <w:tc>
          <w:tcPr>
            <w:tcW w:w="0" w:type="auto"/>
            <w:vAlign w:val="center"/>
          </w:tcPr>
          <w:p w14:paraId="366714E8" w14:textId="77777777" w:rsidR="005A6898" w:rsidRPr="00B03142" w:rsidRDefault="005A6898" w:rsidP="00E84180">
            <w:pPr>
              <w:spacing w:line="276" w:lineRule="auto"/>
              <w:jc w:val="center"/>
              <w:rPr>
                <w:rFonts w:ascii="Times New Roman" w:hAnsi="Times New Roman" w:cs="Times New Roman"/>
                <w:color w:val="000000"/>
                <w:sz w:val="20"/>
                <w:szCs w:val="20"/>
              </w:rPr>
            </w:pPr>
            <w:r w:rsidRPr="00B03142">
              <w:rPr>
                <w:rFonts w:ascii="Times New Roman" w:hAnsi="Times New Roman" w:cs="Times New Roman"/>
                <w:color w:val="000000"/>
                <w:sz w:val="20"/>
                <w:szCs w:val="20"/>
              </w:rPr>
              <w:t>-10.4</w:t>
            </w:r>
          </w:p>
        </w:tc>
        <w:tc>
          <w:tcPr>
            <w:tcW w:w="0" w:type="auto"/>
            <w:vAlign w:val="center"/>
          </w:tcPr>
          <w:p w14:paraId="2B99D622" w14:textId="77777777" w:rsidR="005A6898" w:rsidRPr="00B03142" w:rsidRDefault="005A6898" w:rsidP="00E84180">
            <w:pPr>
              <w:spacing w:line="276" w:lineRule="auto"/>
              <w:jc w:val="center"/>
              <w:rPr>
                <w:rFonts w:ascii="Times New Roman" w:hAnsi="Times New Roman" w:cs="Times New Roman"/>
                <w:color w:val="000000"/>
                <w:sz w:val="20"/>
                <w:szCs w:val="20"/>
              </w:rPr>
            </w:pPr>
            <w:r w:rsidRPr="00B03142">
              <w:rPr>
                <w:rFonts w:ascii="Times New Roman" w:hAnsi="Times New Roman" w:cs="Times New Roman"/>
                <w:color w:val="000000"/>
                <w:sz w:val="20"/>
                <w:szCs w:val="20"/>
              </w:rPr>
              <w:t>16.1</w:t>
            </w:r>
          </w:p>
        </w:tc>
        <w:tc>
          <w:tcPr>
            <w:tcW w:w="0" w:type="auto"/>
            <w:vAlign w:val="center"/>
          </w:tcPr>
          <w:p w14:paraId="47B8A5A0" w14:textId="77777777" w:rsidR="005A6898" w:rsidRPr="00B03142" w:rsidRDefault="005A6898" w:rsidP="00E84180">
            <w:pPr>
              <w:spacing w:line="276" w:lineRule="auto"/>
              <w:jc w:val="center"/>
              <w:rPr>
                <w:rFonts w:ascii="Times New Roman" w:hAnsi="Times New Roman" w:cs="Times New Roman"/>
                <w:color w:val="000000"/>
                <w:sz w:val="20"/>
                <w:szCs w:val="20"/>
              </w:rPr>
            </w:pPr>
            <w:r w:rsidRPr="00B03142">
              <w:rPr>
                <w:rFonts w:ascii="Times New Roman" w:hAnsi="Times New Roman" w:cs="Times New Roman"/>
                <w:color w:val="000000"/>
                <w:sz w:val="20"/>
                <w:szCs w:val="20"/>
              </w:rPr>
              <w:t>1.4</w:t>
            </w:r>
          </w:p>
        </w:tc>
        <w:tc>
          <w:tcPr>
            <w:tcW w:w="0" w:type="auto"/>
            <w:vAlign w:val="center"/>
          </w:tcPr>
          <w:p w14:paraId="11B6CBB6" w14:textId="77777777" w:rsidR="005A6898" w:rsidRPr="00B03142" w:rsidRDefault="005A6898" w:rsidP="00E84180">
            <w:pPr>
              <w:spacing w:line="276" w:lineRule="auto"/>
              <w:jc w:val="center"/>
              <w:rPr>
                <w:rFonts w:ascii="Times New Roman" w:hAnsi="Times New Roman" w:cs="Times New Roman"/>
                <w:color w:val="000000"/>
                <w:sz w:val="20"/>
                <w:szCs w:val="20"/>
              </w:rPr>
            </w:pPr>
            <w:r w:rsidRPr="00B03142">
              <w:rPr>
                <w:rFonts w:ascii="Times New Roman" w:hAnsi="Times New Roman" w:cs="Times New Roman"/>
                <w:color w:val="000000"/>
                <w:sz w:val="20"/>
                <w:szCs w:val="20"/>
              </w:rPr>
              <w:t>-1.1</w:t>
            </w:r>
          </w:p>
        </w:tc>
        <w:tc>
          <w:tcPr>
            <w:tcW w:w="0" w:type="auto"/>
            <w:vAlign w:val="center"/>
          </w:tcPr>
          <w:p w14:paraId="2CB1BDC4" w14:textId="77777777" w:rsidR="005A6898" w:rsidRPr="00B03142" w:rsidRDefault="005A6898" w:rsidP="00E84180">
            <w:pPr>
              <w:spacing w:line="276" w:lineRule="auto"/>
              <w:jc w:val="center"/>
              <w:rPr>
                <w:rFonts w:ascii="Times New Roman" w:hAnsi="Times New Roman" w:cs="Times New Roman"/>
                <w:color w:val="000000"/>
                <w:sz w:val="20"/>
                <w:szCs w:val="20"/>
              </w:rPr>
            </w:pPr>
            <w:r w:rsidRPr="00B03142">
              <w:rPr>
                <w:rFonts w:ascii="Times New Roman" w:hAnsi="Times New Roman" w:cs="Times New Roman"/>
                <w:color w:val="000000"/>
                <w:sz w:val="20"/>
                <w:szCs w:val="20"/>
              </w:rPr>
              <w:t>-0.4</w:t>
            </w:r>
          </w:p>
        </w:tc>
      </w:tr>
      <w:tr w:rsidR="005A6898" w:rsidRPr="00B03142" w14:paraId="621DDB0B" w14:textId="77777777" w:rsidTr="005A6898">
        <w:trPr>
          <w:trHeight w:val="355"/>
          <w:jc w:val="center"/>
        </w:trPr>
        <w:tc>
          <w:tcPr>
            <w:tcW w:w="0" w:type="auto"/>
            <w:vAlign w:val="center"/>
          </w:tcPr>
          <w:p w14:paraId="0D093EAD" w14:textId="77777777" w:rsidR="005A6898" w:rsidRPr="00B03142" w:rsidRDefault="005A6898" w:rsidP="00E84180">
            <w:pPr>
              <w:spacing w:line="276" w:lineRule="auto"/>
              <w:jc w:val="right"/>
              <w:rPr>
                <w:rFonts w:ascii="Times New Roman" w:hAnsi="Times New Roman" w:cs="Times New Roman"/>
                <w:b/>
                <w:bCs/>
                <w:i/>
                <w:iCs/>
                <w:color w:val="000000"/>
                <w:sz w:val="20"/>
                <w:szCs w:val="20"/>
              </w:rPr>
            </w:pPr>
            <w:r w:rsidRPr="00B03142">
              <w:rPr>
                <w:rFonts w:ascii="Times New Roman" w:hAnsi="Times New Roman" w:cs="Times New Roman"/>
                <w:b/>
                <w:bCs/>
                <w:color w:val="000000"/>
                <w:sz w:val="20"/>
                <w:szCs w:val="20"/>
              </w:rPr>
              <w:t>Büyüme</w:t>
            </w:r>
          </w:p>
        </w:tc>
        <w:tc>
          <w:tcPr>
            <w:tcW w:w="0" w:type="auto"/>
            <w:vAlign w:val="center"/>
          </w:tcPr>
          <w:p w14:paraId="36B63490" w14:textId="77777777" w:rsidR="005A6898" w:rsidRPr="00B03142" w:rsidRDefault="005A6898" w:rsidP="00E84180">
            <w:pPr>
              <w:spacing w:line="276" w:lineRule="auto"/>
              <w:jc w:val="center"/>
              <w:rPr>
                <w:rFonts w:ascii="Times New Roman" w:hAnsi="Times New Roman" w:cs="Times New Roman"/>
                <w:i/>
                <w:iCs/>
                <w:color w:val="000000"/>
                <w:sz w:val="20"/>
                <w:szCs w:val="20"/>
              </w:rPr>
            </w:pPr>
            <w:r w:rsidRPr="00B03142">
              <w:rPr>
                <w:rFonts w:ascii="Times New Roman" w:hAnsi="Times New Roman" w:cs="Times New Roman"/>
                <w:color w:val="000000"/>
                <w:sz w:val="20"/>
                <w:szCs w:val="20"/>
              </w:rPr>
              <w:t>4.1</w:t>
            </w:r>
          </w:p>
        </w:tc>
        <w:tc>
          <w:tcPr>
            <w:tcW w:w="0" w:type="auto"/>
            <w:vAlign w:val="center"/>
          </w:tcPr>
          <w:p w14:paraId="070B3742" w14:textId="77777777" w:rsidR="005A6898" w:rsidRPr="00B03142" w:rsidRDefault="005A6898" w:rsidP="00E84180">
            <w:pPr>
              <w:spacing w:line="276" w:lineRule="auto"/>
              <w:jc w:val="center"/>
              <w:rPr>
                <w:rFonts w:ascii="Times New Roman" w:hAnsi="Times New Roman" w:cs="Times New Roman"/>
                <w:i/>
                <w:iCs/>
                <w:color w:val="000000"/>
                <w:sz w:val="20"/>
                <w:szCs w:val="20"/>
              </w:rPr>
            </w:pPr>
            <w:r w:rsidRPr="00B03142">
              <w:rPr>
                <w:rFonts w:ascii="Times New Roman" w:hAnsi="Times New Roman" w:cs="Times New Roman"/>
                <w:color w:val="000000"/>
                <w:sz w:val="20"/>
                <w:szCs w:val="20"/>
              </w:rPr>
              <w:t>-15.9</w:t>
            </w:r>
          </w:p>
        </w:tc>
        <w:tc>
          <w:tcPr>
            <w:tcW w:w="0" w:type="auto"/>
            <w:vAlign w:val="center"/>
          </w:tcPr>
          <w:p w14:paraId="54538244" w14:textId="77777777" w:rsidR="005A6898" w:rsidRPr="00B03142" w:rsidRDefault="005A6898" w:rsidP="00E84180">
            <w:pPr>
              <w:spacing w:line="276" w:lineRule="auto"/>
              <w:jc w:val="center"/>
              <w:rPr>
                <w:rFonts w:ascii="Times New Roman" w:hAnsi="Times New Roman" w:cs="Times New Roman"/>
                <w:i/>
                <w:iCs/>
                <w:color w:val="000000"/>
                <w:sz w:val="20"/>
                <w:szCs w:val="20"/>
              </w:rPr>
            </w:pPr>
            <w:r w:rsidRPr="00B03142">
              <w:rPr>
                <w:rFonts w:ascii="Times New Roman" w:hAnsi="Times New Roman" w:cs="Times New Roman"/>
                <w:color w:val="000000"/>
                <w:sz w:val="20"/>
                <w:szCs w:val="20"/>
              </w:rPr>
              <w:t>2.4</w:t>
            </w:r>
          </w:p>
        </w:tc>
        <w:tc>
          <w:tcPr>
            <w:tcW w:w="0" w:type="auto"/>
            <w:vAlign w:val="center"/>
          </w:tcPr>
          <w:p w14:paraId="22B959C0" w14:textId="77777777" w:rsidR="005A6898" w:rsidRPr="00B03142" w:rsidRDefault="005A6898" w:rsidP="00E84180">
            <w:pPr>
              <w:spacing w:line="276" w:lineRule="auto"/>
              <w:jc w:val="center"/>
              <w:rPr>
                <w:rFonts w:ascii="Times New Roman" w:hAnsi="Times New Roman" w:cs="Times New Roman"/>
                <w:i/>
                <w:iCs/>
                <w:color w:val="000000"/>
                <w:sz w:val="20"/>
                <w:szCs w:val="20"/>
              </w:rPr>
            </w:pPr>
            <w:r w:rsidRPr="00B03142">
              <w:rPr>
                <w:rFonts w:ascii="Times New Roman" w:hAnsi="Times New Roman" w:cs="Times New Roman"/>
                <w:color w:val="000000"/>
                <w:sz w:val="20"/>
                <w:szCs w:val="20"/>
              </w:rPr>
              <w:t>4.3</w:t>
            </w:r>
          </w:p>
        </w:tc>
        <w:tc>
          <w:tcPr>
            <w:tcW w:w="0" w:type="auto"/>
            <w:vAlign w:val="center"/>
          </w:tcPr>
          <w:p w14:paraId="3BB4D592" w14:textId="77777777" w:rsidR="005A6898" w:rsidRPr="00B03142" w:rsidRDefault="005A6898" w:rsidP="00E84180">
            <w:pPr>
              <w:spacing w:line="276" w:lineRule="auto"/>
              <w:jc w:val="center"/>
              <w:rPr>
                <w:rFonts w:ascii="Times New Roman" w:hAnsi="Times New Roman" w:cs="Times New Roman"/>
                <w:i/>
                <w:iCs/>
                <w:color w:val="000000"/>
                <w:sz w:val="20"/>
                <w:szCs w:val="20"/>
              </w:rPr>
            </w:pPr>
            <w:r w:rsidRPr="00B03142">
              <w:rPr>
                <w:rFonts w:ascii="Times New Roman" w:hAnsi="Times New Roman" w:cs="Times New Roman"/>
                <w:color w:val="000000"/>
                <w:sz w:val="20"/>
                <w:szCs w:val="20"/>
              </w:rPr>
              <w:t>-9.0</w:t>
            </w:r>
          </w:p>
        </w:tc>
        <w:tc>
          <w:tcPr>
            <w:tcW w:w="0" w:type="auto"/>
            <w:vAlign w:val="center"/>
          </w:tcPr>
          <w:p w14:paraId="23720C12" w14:textId="77777777" w:rsidR="005A6898" w:rsidRPr="00B03142" w:rsidRDefault="005A6898" w:rsidP="00E84180">
            <w:pPr>
              <w:spacing w:line="276" w:lineRule="auto"/>
              <w:jc w:val="center"/>
              <w:rPr>
                <w:rFonts w:ascii="Times New Roman" w:hAnsi="Times New Roman" w:cs="Times New Roman"/>
                <w:i/>
                <w:iCs/>
                <w:color w:val="000000"/>
                <w:sz w:val="20"/>
                <w:szCs w:val="20"/>
              </w:rPr>
            </w:pPr>
            <w:r w:rsidRPr="00B03142">
              <w:rPr>
                <w:rFonts w:ascii="Times New Roman" w:hAnsi="Times New Roman" w:cs="Times New Roman"/>
                <w:color w:val="000000"/>
                <w:sz w:val="20"/>
                <w:szCs w:val="20"/>
              </w:rPr>
              <w:t>-9.4</w:t>
            </w:r>
          </w:p>
        </w:tc>
        <w:tc>
          <w:tcPr>
            <w:tcW w:w="0" w:type="auto"/>
            <w:vAlign w:val="center"/>
          </w:tcPr>
          <w:p w14:paraId="6945D3B2" w14:textId="77777777" w:rsidR="005A6898" w:rsidRPr="00B03142" w:rsidRDefault="005A6898" w:rsidP="00E84180">
            <w:pPr>
              <w:spacing w:line="276" w:lineRule="auto"/>
              <w:jc w:val="center"/>
              <w:rPr>
                <w:rFonts w:ascii="Times New Roman" w:hAnsi="Times New Roman" w:cs="Times New Roman"/>
                <w:i/>
                <w:iCs/>
                <w:color w:val="000000"/>
                <w:sz w:val="20"/>
                <w:szCs w:val="20"/>
              </w:rPr>
            </w:pPr>
            <w:r w:rsidRPr="00B03142">
              <w:rPr>
                <w:rFonts w:ascii="Times New Roman" w:hAnsi="Times New Roman" w:cs="Times New Roman"/>
                <w:color w:val="000000"/>
                <w:sz w:val="20"/>
                <w:szCs w:val="20"/>
              </w:rPr>
              <w:t>-6.4</w:t>
            </w:r>
          </w:p>
        </w:tc>
        <w:tc>
          <w:tcPr>
            <w:tcW w:w="0" w:type="auto"/>
            <w:vAlign w:val="center"/>
          </w:tcPr>
          <w:p w14:paraId="36D7469B" w14:textId="77777777" w:rsidR="005A6898" w:rsidRPr="00B03142" w:rsidRDefault="005A6898" w:rsidP="00E84180">
            <w:pPr>
              <w:spacing w:line="276" w:lineRule="auto"/>
              <w:jc w:val="center"/>
              <w:rPr>
                <w:rFonts w:ascii="Times New Roman" w:hAnsi="Times New Roman" w:cs="Times New Roman"/>
                <w:i/>
                <w:iCs/>
                <w:color w:val="000000"/>
                <w:sz w:val="20"/>
                <w:szCs w:val="20"/>
              </w:rPr>
            </w:pPr>
            <w:r w:rsidRPr="00B03142">
              <w:rPr>
                <w:rFonts w:ascii="Times New Roman" w:hAnsi="Times New Roman" w:cs="Times New Roman"/>
                <w:color w:val="000000"/>
                <w:sz w:val="20"/>
                <w:szCs w:val="20"/>
              </w:rPr>
              <w:t>-9.7</w:t>
            </w:r>
          </w:p>
        </w:tc>
        <w:tc>
          <w:tcPr>
            <w:tcW w:w="0" w:type="auto"/>
            <w:vAlign w:val="center"/>
          </w:tcPr>
          <w:p w14:paraId="7BBC7435" w14:textId="77777777" w:rsidR="005A6898" w:rsidRPr="00B03142" w:rsidRDefault="005A6898" w:rsidP="00E84180">
            <w:pPr>
              <w:spacing w:line="276" w:lineRule="auto"/>
              <w:jc w:val="center"/>
              <w:rPr>
                <w:rFonts w:ascii="Times New Roman" w:hAnsi="Times New Roman" w:cs="Times New Roman"/>
                <w:i/>
                <w:iCs/>
                <w:color w:val="000000"/>
                <w:sz w:val="20"/>
                <w:szCs w:val="20"/>
              </w:rPr>
            </w:pPr>
            <w:r w:rsidRPr="00B03142">
              <w:rPr>
                <w:rFonts w:ascii="Times New Roman" w:hAnsi="Times New Roman" w:cs="Times New Roman"/>
                <w:color w:val="000000"/>
                <w:sz w:val="20"/>
                <w:szCs w:val="20"/>
              </w:rPr>
              <w:t>-9.1</w:t>
            </w:r>
          </w:p>
        </w:tc>
        <w:tc>
          <w:tcPr>
            <w:tcW w:w="0" w:type="auto"/>
            <w:vAlign w:val="center"/>
          </w:tcPr>
          <w:p w14:paraId="07C31589" w14:textId="77777777" w:rsidR="005A6898" w:rsidRPr="00B03142" w:rsidRDefault="005A6898" w:rsidP="00E84180">
            <w:pPr>
              <w:spacing w:line="276" w:lineRule="auto"/>
              <w:jc w:val="center"/>
              <w:rPr>
                <w:rFonts w:ascii="Times New Roman" w:hAnsi="Times New Roman" w:cs="Times New Roman"/>
                <w:i/>
                <w:iCs/>
                <w:color w:val="000000"/>
                <w:sz w:val="20"/>
                <w:szCs w:val="20"/>
              </w:rPr>
            </w:pPr>
            <w:r w:rsidRPr="00B03142">
              <w:rPr>
                <w:rFonts w:ascii="Times New Roman" w:hAnsi="Times New Roman" w:cs="Times New Roman"/>
                <w:color w:val="000000"/>
                <w:sz w:val="20"/>
                <w:szCs w:val="20"/>
              </w:rPr>
              <w:t>-4.4</w:t>
            </w:r>
          </w:p>
        </w:tc>
      </w:tr>
      <w:tr w:rsidR="005A6898" w:rsidRPr="00B03142" w14:paraId="226BF4AB" w14:textId="77777777" w:rsidTr="005A6898">
        <w:trPr>
          <w:trHeight w:val="355"/>
          <w:jc w:val="center"/>
        </w:trPr>
        <w:tc>
          <w:tcPr>
            <w:tcW w:w="0" w:type="auto"/>
            <w:vAlign w:val="center"/>
          </w:tcPr>
          <w:p w14:paraId="2E6930A1" w14:textId="77777777" w:rsidR="005A6898" w:rsidRPr="00B03142" w:rsidRDefault="005A6898" w:rsidP="00E84180">
            <w:pPr>
              <w:spacing w:line="276" w:lineRule="auto"/>
              <w:jc w:val="right"/>
              <w:rPr>
                <w:rFonts w:ascii="Times New Roman" w:hAnsi="Times New Roman" w:cs="Times New Roman"/>
                <w:b/>
                <w:bCs/>
                <w:i/>
                <w:iCs/>
                <w:color w:val="000000"/>
                <w:sz w:val="20"/>
                <w:szCs w:val="20"/>
              </w:rPr>
            </w:pPr>
            <w:r w:rsidRPr="00B03142">
              <w:rPr>
                <w:rFonts w:ascii="Times New Roman" w:hAnsi="Times New Roman" w:cs="Times New Roman"/>
                <w:b/>
                <w:bCs/>
                <w:color w:val="000000"/>
                <w:sz w:val="20"/>
                <w:szCs w:val="20"/>
              </w:rPr>
              <w:t>İstihdam değişimi</w:t>
            </w:r>
          </w:p>
        </w:tc>
        <w:tc>
          <w:tcPr>
            <w:tcW w:w="0" w:type="auto"/>
            <w:vAlign w:val="center"/>
          </w:tcPr>
          <w:p w14:paraId="147B5F17" w14:textId="77777777" w:rsidR="005A6898" w:rsidRPr="00B03142" w:rsidRDefault="005A6898" w:rsidP="00E84180">
            <w:pPr>
              <w:spacing w:line="276" w:lineRule="auto"/>
              <w:jc w:val="center"/>
              <w:rPr>
                <w:rFonts w:ascii="Times New Roman" w:hAnsi="Times New Roman" w:cs="Times New Roman"/>
                <w:i/>
                <w:iCs/>
                <w:color w:val="000000"/>
                <w:sz w:val="20"/>
                <w:szCs w:val="20"/>
              </w:rPr>
            </w:pPr>
            <w:r w:rsidRPr="00B03142">
              <w:rPr>
                <w:rFonts w:ascii="Times New Roman" w:hAnsi="Times New Roman" w:cs="Times New Roman"/>
                <w:color w:val="000000"/>
                <w:sz w:val="20"/>
                <w:szCs w:val="20"/>
              </w:rPr>
              <w:t>2.8</w:t>
            </w:r>
          </w:p>
        </w:tc>
        <w:tc>
          <w:tcPr>
            <w:tcW w:w="0" w:type="auto"/>
            <w:vAlign w:val="center"/>
          </w:tcPr>
          <w:p w14:paraId="5BFBBD96" w14:textId="77777777" w:rsidR="005A6898" w:rsidRPr="00B03142" w:rsidRDefault="005A6898" w:rsidP="00E84180">
            <w:pPr>
              <w:spacing w:line="276" w:lineRule="auto"/>
              <w:jc w:val="center"/>
              <w:rPr>
                <w:rFonts w:ascii="Times New Roman" w:hAnsi="Times New Roman" w:cs="Times New Roman"/>
                <w:i/>
                <w:iCs/>
                <w:color w:val="000000"/>
                <w:sz w:val="20"/>
                <w:szCs w:val="20"/>
              </w:rPr>
            </w:pPr>
            <w:r w:rsidRPr="00B03142">
              <w:rPr>
                <w:rFonts w:ascii="Times New Roman" w:hAnsi="Times New Roman" w:cs="Times New Roman"/>
                <w:color w:val="000000"/>
                <w:sz w:val="20"/>
                <w:szCs w:val="20"/>
              </w:rPr>
              <w:t>5.3</w:t>
            </w:r>
          </w:p>
        </w:tc>
        <w:tc>
          <w:tcPr>
            <w:tcW w:w="0" w:type="auto"/>
            <w:vAlign w:val="center"/>
          </w:tcPr>
          <w:p w14:paraId="63A5013A" w14:textId="77777777" w:rsidR="005A6898" w:rsidRPr="00B03142" w:rsidRDefault="005A6898" w:rsidP="00E84180">
            <w:pPr>
              <w:spacing w:line="276" w:lineRule="auto"/>
              <w:jc w:val="center"/>
              <w:rPr>
                <w:rFonts w:ascii="Times New Roman" w:hAnsi="Times New Roman" w:cs="Times New Roman"/>
                <w:i/>
                <w:iCs/>
                <w:color w:val="000000"/>
                <w:sz w:val="20"/>
                <w:szCs w:val="20"/>
              </w:rPr>
            </w:pPr>
            <w:r w:rsidRPr="00B03142">
              <w:rPr>
                <w:rFonts w:ascii="Times New Roman" w:hAnsi="Times New Roman" w:cs="Times New Roman"/>
                <w:color w:val="000000"/>
                <w:sz w:val="20"/>
                <w:szCs w:val="20"/>
              </w:rPr>
              <w:t>2.4</w:t>
            </w:r>
          </w:p>
        </w:tc>
        <w:tc>
          <w:tcPr>
            <w:tcW w:w="0" w:type="auto"/>
            <w:vAlign w:val="center"/>
          </w:tcPr>
          <w:p w14:paraId="4C2CF0D3" w14:textId="77777777" w:rsidR="005A6898" w:rsidRPr="00B03142" w:rsidRDefault="005A6898" w:rsidP="00E84180">
            <w:pPr>
              <w:spacing w:line="276" w:lineRule="auto"/>
              <w:jc w:val="center"/>
              <w:rPr>
                <w:rFonts w:ascii="Times New Roman" w:hAnsi="Times New Roman" w:cs="Times New Roman"/>
                <w:i/>
                <w:iCs/>
                <w:color w:val="000000"/>
                <w:sz w:val="20"/>
                <w:szCs w:val="20"/>
              </w:rPr>
            </w:pPr>
            <w:r w:rsidRPr="00B03142">
              <w:rPr>
                <w:rFonts w:ascii="Times New Roman" w:hAnsi="Times New Roman" w:cs="Times New Roman"/>
                <w:color w:val="000000"/>
                <w:sz w:val="20"/>
                <w:szCs w:val="20"/>
              </w:rPr>
              <w:t>14.3</w:t>
            </w:r>
          </w:p>
        </w:tc>
        <w:tc>
          <w:tcPr>
            <w:tcW w:w="0" w:type="auto"/>
            <w:vAlign w:val="center"/>
          </w:tcPr>
          <w:p w14:paraId="731FB7EC" w14:textId="77777777" w:rsidR="005A6898" w:rsidRPr="00B03142" w:rsidRDefault="005A6898" w:rsidP="00E84180">
            <w:pPr>
              <w:spacing w:line="276" w:lineRule="auto"/>
              <w:jc w:val="center"/>
              <w:rPr>
                <w:rFonts w:ascii="Times New Roman" w:hAnsi="Times New Roman" w:cs="Times New Roman"/>
                <w:i/>
                <w:iCs/>
                <w:color w:val="000000"/>
                <w:sz w:val="20"/>
                <w:szCs w:val="20"/>
              </w:rPr>
            </w:pPr>
            <w:r w:rsidRPr="00B03142">
              <w:rPr>
                <w:rFonts w:ascii="Times New Roman" w:hAnsi="Times New Roman" w:cs="Times New Roman"/>
                <w:color w:val="000000"/>
                <w:sz w:val="20"/>
                <w:szCs w:val="20"/>
              </w:rPr>
              <w:t>-8.4</w:t>
            </w:r>
          </w:p>
        </w:tc>
        <w:tc>
          <w:tcPr>
            <w:tcW w:w="0" w:type="auto"/>
            <w:vAlign w:val="center"/>
          </w:tcPr>
          <w:p w14:paraId="22DFE0CE" w14:textId="77777777" w:rsidR="005A6898" w:rsidRPr="00B03142" w:rsidRDefault="005A6898" w:rsidP="00E84180">
            <w:pPr>
              <w:spacing w:line="276" w:lineRule="auto"/>
              <w:jc w:val="center"/>
              <w:rPr>
                <w:rFonts w:ascii="Times New Roman" w:hAnsi="Times New Roman" w:cs="Times New Roman"/>
                <w:i/>
                <w:iCs/>
                <w:color w:val="000000"/>
                <w:sz w:val="20"/>
                <w:szCs w:val="20"/>
              </w:rPr>
            </w:pPr>
            <w:r w:rsidRPr="00B03142">
              <w:rPr>
                <w:rFonts w:ascii="Times New Roman" w:hAnsi="Times New Roman" w:cs="Times New Roman"/>
                <w:color w:val="000000"/>
                <w:sz w:val="20"/>
                <w:szCs w:val="20"/>
              </w:rPr>
              <w:t>-15.4</w:t>
            </w:r>
          </w:p>
        </w:tc>
        <w:tc>
          <w:tcPr>
            <w:tcW w:w="0" w:type="auto"/>
            <w:vAlign w:val="center"/>
          </w:tcPr>
          <w:p w14:paraId="01C01349" w14:textId="77777777" w:rsidR="005A6898" w:rsidRPr="00B03142" w:rsidRDefault="005A6898" w:rsidP="00E84180">
            <w:pPr>
              <w:spacing w:line="276" w:lineRule="auto"/>
              <w:jc w:val="center"/>
              <w:rPr>
                <w:rFonts w:ascii="Times New Roman" w:hAnsi="Times New Roman" w:cs="Times New Roman"/>
                <w:i/>
                <w:iCs/>
                <w:color w:val="000000"/>
                <w:sz w:val="20"/>
                <w:szCs w:val="20"/>
              </w:rPr>
            </w:pPr>
            <w:r w:rsidRPr="00B03142">
              <w:rPr>
                <w:rFonts w:ascii="Times New Roman" w:hAnsi="Times New Roman" w:cs="Times New Roman"/>
                <w:color w:val="000000"/>
                <w:sz w:val="20"/>
                <w:szCs w:val="20"/>
              </w:rPr>
              <w:t>24.5</w:t>
            </w:r>
          </w:p>
        </w:tc>
        <w:tc>
          <w:tcPr>
            <w:tcW w:w="0" w:type="auto"/>
            <w:vAlign w:val="center"/>
          </w:tcPr>
          <w:p w14:paraId="40B07FD5" w14:textId="77777777" w:rsidR="005A6898" w:rsidRPr="00B03142" w:rsidRDefault="005A6898" w:rsidP="00E84180">
            <w:pPr>
              <w:spacing w:line="276" w:lineRule="auto"/>
              <w:jc w:val="center"/>
              <w:rPr>
                <w:rFonts w:ascii="Times New Roman" w:hAnsi="Times New Roman" w:cs="Times New Roman"/>
                <w:i/>
                <w:iCs/>
                <w:color w:val="000000"/>
                <w:sz w:val="20"/>
                <w:szCs w:val="20"/>
              </w:rPr>
            </w:pPr>
            <w:r w:rsidRPr="00B03142">
              <w:rPr>
                <w:rFonts w:ascii="Times New Roman" w:hAnsi="Times New Roman" w:cs="Times New Roman"/>
                <w:color w:val="000000"/>
                <w:sz w:val="20"/>
                <w:szCs w:val="20"/>
              </w:rPr>
              <w:t>5.2</w:t>
            </w:r>
          </w:p>
        </w:tc>
        <w:tc>
          <w:tcPr>
            <w:tcW w:w="0" w:type="auto"/>
            <w:vAlign w:val="center"/>
          </w:tcPr>
          <w:p w14:paraId="4E24DD94" w14:textId="77777777" w:rsidR="005A6898" w:rsidRPr="00B03142" w:rsidRDefault="005A6898" w:rsidP="00E84180">
            <w:pPr>
              <w:spacing w:line="276" w:lineRule="auto"/>
              <w:jc w:val="center"/>
              <w:rPr>
                <w:rFonts w:ascii="Times New Roman" w:hAnsi="Times New Roman" w:cs="Times New Roman"/>
                <w:i/>
                <w:iCs/>
                <w:color w:val="000000"/>
                <w:sz w:val="20"/>
                <w:szCs w:val="20"/>
              </w:rPr>
            </w:pPr>
            <w:r w:rsidRPr="00B03142">
              <w:rPr>
                <w:rFonts w:ascii="Times New Roman" w:hAnsi="Times New Roman" w:cs="Times New Roman"/>
                <w:color w:val="000000"/>
                <w:sz w:val="20"/>
                <w:szCs w:val="20"/>
              </w:rPr>
              <w:t>-2.9</w:t>
            </w:r>
          </w:p>
        </w:tc>
        <w:tc>
          <w:tcPr>
            <w:tcW w:w="0" w:type="auto"/>
            <w:vAlign w:val="center"/>
          </w:tcPr>
          <w:p w14:paraId="77556761" w14:textId="77777777" w:rsidR="005A6898" w:rsidRPr="00B03142" w:rsidRDefault="005A6898" w:rsidP="00E84180">
            <w:pPr>
              <w:spacing w:line="276" w:lineRule="auto"/>
              <w:jc w:val="center"/>
              <w:rPr>
                <w:rFonts w:ascii="Times New Roman" w:hAnsi="Times New Roman" w:cs="Times New Roman"/>
                <w:i/>
                <w:iCs/>
                <w:color w:val="000000"/>
                <w:sz w:val="20"/>
                <w:szCs w:val="20"/>
              </w:rPr>
            </w:pPr>
            <w:r w:rsidRPr="00B03142">
              <w:rPr>
                <w:rFonts w:ascii="Times New Roman" w:hAnsi="Times New Roman" w:cs="Times New Roman"/>
                <w:color w:val="000000"/>
                <w:sz w:val="20"/>
                <w:szCs w:val="20"/>
              </w:rPr>
              <w:t>0.1</w:t>
            </w:r>
          </w:p>
        </w:tc>
      </w:tr>
      <w:tr w:rsidR="005A6898" w:rsidRPr="00B03142" w14:paraId="7036E402" w14:textId="77777777" w:rsidTr="005A6898">
        <w:trPr>
          <w:trHeight w:val="355"/>
          <w:jc w:val="center"/>
        </w:trPr>
        <w:tc>
          <w:tcPr>
            <w:tcW w:w="0" w:type="auto"/>
            <w:gridSpan w:val="11"/>
            <w:vAlign w:val="center"/>
          </w:tcPr>
          <w:p w14:paraId="2296047D" w14:textId="77777777" w:rsidR="005A6898" w:rsidRPr="00B03142" w:rsidRDefault="005A6898" w:rsidP="00E84180">
            <w:pPr>
              <w:spacing w:line="276" w:lineRule="auto"/>
              <w:jc w:val="center"/>
              <w:rPr>
                <w:rFonts w:ascii="Times New Roman" w:hAnsi="Times New Roman" w:cs="Times New Roman"/>
                <w:b/>
                <w:bCs/>
                <w:sz w:val="20"/>
                <w:szCs w:val="20"/>
              </w:rPr>
            </w:pPr>
            <w:r w:rsidRPr="00B03142">
              <w:rPr>
                <w:rFonts w:ascii="Times New Roman" w:hAnsi="Times New Roman" w:cs="Times New Roman"/>
                <w:b/>
                <w:bCs/>
                <w:sz w:val="20"/>
                <w:szCs w:val="20"/>
              </w:rPr>
              <w:t>2010-2015</w:t>
            </w:r>
          </w:p>
        </w:tc>
      </w:tr>
      <w:tr w:rsidR="005A6898" w:rsidRPr="00B03142" w14:paraId="686C1FA4" w14:textId="77777777" w:rsidTr="005A6898">
        <w:trPr>
          <w:trHeight w:val="355"/>
          <w:jc w:val="center"/>
        </w:trPr>
        <w:tc>
          <w:tcPr>
            <w:tcW w:w="0" w:type="auto"/>
            <w:vAlign w:val="center"/>
          </w:tcPr>
          <w:p w14:paraId="04D60E33" w14:textId="77777777" w:rsidR="005A6898" w:rsidRPr="00B03142" w:rsidRDefault="005A6898" w:rsidP="00E84180">
            <w:pPr>
              <w:spacing w:line="276" w:lineRule="auto"/>
              <w:jc w:val="right"/>
              <w:rPr>
                <w:rFonts w:ascii="Times New Roman" w:hAnsi="Times New Roman" w:cs="Times New Roman"/>
                <w:b/>
                <w:bCs/>
                <w:color w:val="000000"/>
                <w:sz w:val="20"/>
                <w:szCs w:val="20"/>
              </w:rPr>
            </w:pPr>
            <w:r w:rsidRPr="00B03142">
              <w:rPr>
                <w:rFonts w:ascii="Times New Roman" w:hAnsi="Times New Roman" w:cs="Times New Roman"/>
                <w:b/>
                <w:bCs/>
                <w:color w:val="000000"/>
                <w:sz w:val="20"/>
                <w:szCs w:val="20"/>
              </w:rPr>
              <w:t>Reel kredi değişimi</w:t>
            </w:r>
          </w:p>
        </w:tc>
        <w:tc>
          <w:tcPr>
            <w:tcW w:w="0" w:type="auto"/>
            <w:vAlign w:val="center"/>
          </w:tcPr>
          <w:p w14:paraId="22EB7C8B" w14:textId="77777777" w:rsidR="005A6898" w:rsidRPr="00B03142" w:rsidRDefault="005A6898" w:rsidP="00E84180">
            <w:pPr>
              <w:spacing w:line="276" w:lineRule="auto"/>
              <w:jc w:val="center"/>
              <w:rPr>
                <w:rFonts w:ascii="Times New Roman" w:hAnsi="Times New Roman" w:cs="Times New Roman"/>
                <w:color w:val="000000"/>
                <w:sz w:val="20"/>
                <w:szCs w:val="20"/>
              </w:rPr>
            </w:pPr>
            <w:r w:rsidRPr="00B03142">
              <w:rPr>
                <w:rFonts w:ascii="Times New Roman" w:hAnsi="Times New Roman" w:cs="Times New Roman"/>
                <w:color w:val="000000"/>
                <w:sz w:val="20"/>
                <w:szCs w:val="20"/>
              </w:rPr>
              <w:t>17.3</w:t>
            </w:r>
          </w:p>
        </w:tc>
        <w:tc>
          <w:tcPr>
            <w:tcW w:w="0" w:type="auto"/>
            <w:vAlign w:val="center"/>
          </w:tcPr>
          <w:p w14:paraId="3F1594F2" w14:textId="77777777" w:rsidR="005A6898" w:rsidRPr="00B03142" w:rsidRDefault="005A6898" w:rsidP="00E84180">
            <w:pPr>
              <w:spacing w:line="276" w:lineRule="auto"/>
              <w:jc w:val="center"/>
              <w:rPr>
                <w:rFonts w:ascii="Times New Roman" w:hAnsi="Times New Roman" w:cs="Times New Roman"/>
                <w:color w:val="000000"/>
                <w:sz w:val="20"/>
                <w:szCs w:val="20"/>
              </w:rPr>
            </w:pPr>
            <w:r w:rsidRPr="00B03142">
              <w:rPr>
                <w:rFonts w:ascii="Times New Roman" w:hAnsi="Times New Roman" w:cs="Times New Roman"/>
                <w:color w:val="000000"/>
                <w:sz w:val="20"/>
                <w:szCs w:val="20"/>
              </w:rPr>
              <w:t>20.6</w:t>
            </w:r>
          </w:p>
        </w:tc>
        <w:tc>
          <w:tcPr>
            <w:tcW w:w="0" w:type="auto"/>
            <w:vAlign w:val="center"/>
          </w:tcPr>
          <w:p w14:paraId="39FFE773" w14:textId="77777777" w:rsidR="005A6898" w:rsidRPr="00B03142" w:rsidRDefault="005A6898" w:rsidP="00E84180">
            <w:pPr>
              <w:spacing w:line="276" w:lineRule="auto"/>
              <w:jc w:val="center"/>
              <w:rPr>
                <w:rFonts w:ascii="Times New Roman" w:hAnsi="Times New Roman" w:cs="Times New Roman"/>
                <w:color w:val="000000"/>
                <w:sz w:val="20"/>
                <w:szCs w:val="20"/>
              </w:rPr>
            </w:pPr>
            <w:r w:rsidRPr="00B03142">
              <w:rPr>
                <w:rFonts w:ascii="Times New Roman" w:hAnsi="Times New Roman" w:cs="Times New Roman"/>
                <w:color w:val="000000"/>
                <w:sz w:val="20"/>
                <w:szCs w:val="20"/>
              </w:rPr>
              <w:t>13.2</w:t>
            </w:r>
          </w:p>
        </w:tc>
        <w:tc>
          <w:tcPr>
            <w:tcW w:w="0" w:type="auto"/>
            <w:vAlign w:val="center"/>
          </w:tcPr>
          <w:p w14:paraId="295EF0F5" w14:textId="77777777" w:rsidR="005A6898" w:rsidRPr="00B03142" w:rsidRDefault="005A6898" w:rsidP="00E84180">
            <w:pPr>
              <w:spacing w:line="276" w:lineRule="auto"/>
              <w:jc w:val="center"/>
              <w:rPr>
                <w:rFonts w:ascii="Times New Roman" w:hAnsi="Times New Roman" w:cs="Times New Roman"/>
                <w:color w:val="000000"/>
                <w:sz w:val="20"/>
                <w:szCs w:val="20"/>
              </w:rPr>
            </w:pPr>
            <w:r w:rsidRPr="00B03142">
              <w:rPr>
                <w:rFonts w:ascii="Times New Roman" w:hAnsi="Times New Roman" w:cs="Times New Roman"/>
                <w:color w:val="000000"/>
                <w:sz w:val="20"/>
                <w:szCs w:val="20"/>
              </w:rPr>
              <w:t>22.8</w:t>
            </w:r>
          </w:p>
        </w:tc>
        <w:tc>
          <w:tcPr>
            <w:tcW w:w="0" w:type="auto"/>
            <w:vAlign w:val="center"/>
          </w:tcPr>
          <w:p w14:paraId="3A4EBA1A" w14:textId="77777777" w:rsidR="005A6898" w:rsidRPr="00B03142" w:rsidRDefault="005A6898" w:rsidP="00E84180">
            <w:pPr>
              <w:spacing w:line="276" w:lineRule="auto"/>
              <w:jc w:val="center"/>
              <w:rPr>
                <w:rFonts w:ascii="Times New Roman" w:hAnsi="Times New Roman" w:cs="Times New Roman"/>
                <w:color w:val="000000"/>
                <w:sz w:val="20"/>
                <w:szCs w:val="20"/>
              </w:rPr>
            </w:pPr>
            <w:r w:rsidRPr="00B03142">
              <w:rPr>
                <w:rFonts w:ascii="Times New Roman" w:hAnsi="Times New Roman" w:cs="Times New Roman"/>
                <w:color w:val="000000"/>
                <w:sz w:val="20"/>
                <w:szCs w:val="20"/>
              </w:rPr>
              <w:t>14.3</w:t>
            </w:r>
          </w:p>
        </w:tc>
        <w:tc>
          <w:tcPr>
            <w:tcW w:w="0" w:type="auto"/>
            <w:vAlign w:val="center"/>
          </w:tcPr>
          <w:p w14:paraId="79463BC7" w14:textId="77777777" w:rsidR="005A6898" w:rsidRPr="00B03142" w:rsidRDefault="005A6898" w:rsidP="00E84180">
            <w:pPr>
              <w:spacing w:line="276" w:lineRule="auto"/>
              <w:jc w:val="center"/>
              <w:rPr>
                <w:rFonts w:ascii="Times New Roman" w:hAnsi="Times New Roman" w:cs="Times New Roman"/>
                <w:color w:val="000000"/>
                <w:sz w:val="20"/>
                <w:szCs w:val="20"/>
              </w:rPr>
            </w:pPr>
            <w:r w:rsidRPr="00B03142">
              <w:rPr>
                <w:rFonts w:ascii="Times New Roman" w:hAnsi="Times New Roman" w:cs="Times New Roman"/>
                <w:color w:val="000000"/>
                <w:sz w:val="20"/>
                <w:szCs w:val="20"/>
              </w:rPr>
              <w:t>21.7</w:t>
            </w:r>
          </w:p>
        </w:tc>
        <w:tc>
          <w:tcPr>
            <w:tcW w:w="0" w:type="auto"/>
            <w:vAlign w:val="center"/>
          </w:tcPr>
          <w:p w14:paraId="16703450" w14:textId="77777777" w:rsidR="005A6898" w:rsidRPr="00B03142" w:rsidRDefault="005A6898" w:rsidP="00E84180">
            <w:pPr>
              <w:spacing w:line="276" w:lineRule="auto"/>
              <w:jc w:val="center"/>
              <w:rPr>
                <w:rFonts w:ascii="Times New Roman" w:hAnsi="Times New Roman" w:cs="Times New Roman"/>
                <w:color w:val="000000"/>
                <w:sz w:val="20"/>
                <w:szCs w:val="20"/>
              </w:rPr>
            </w:pPr>
            <w:r w:rsidRPr="00B03142">
              <w:rPr>
                <w:rFonts w:ascii="Times New Roman" w:hAnsi="Times New Roman" w:cs="Times New Roman"/>
                <w:color w:val="000000"/>
                <w:sz w:val="20"/>
                <w:szCs w:val="20"/>
              </w:rPr>
              <w:t>26.4</w:t>
            </w:r>
          </w:p>
        </w:tc>
        <w:tc>
          <w:tcPr>
            <w:tcW w:w="0" w:type="auto"/>
            <w:vAlign w:val="center"/>
          </w:tcPr>
          <w:p w14:paraId="69938DA5" w14:textId="77777777" w:rsidR="005A6898" w:rsidRPr="00B03142" w:rsidRDefault="005A6898" w:rsidP="00E84180">
            <w:pPr>
              <w:spacing w:line="276" w:lineRule="auto"/>
              <w:jc w:val="center"/>
              <w:rPr>
                <w:rFonts w:ascii="Times New Roman" w:hAnsi="Times New Roman" w:cs="Times New Roman"/>
                <w:color w:val="000000"/>
                <w:sz w:val="20"/>
                <w:szCs w:val="20"/>
              </w:rPr>
            </w:pPr>
            <w:r w:rsidRPr="00B03142">
              <w:rPr>
                <w:rFonts w:ascii="Times New Roman" w:hAnsi="Times New Roman" w:cs="Times New Roman"/>
                <w:color w:val="000000"/>
                <w:sz w:val="20"/>
                <w:szCs w:val="20"/>
              </w:rPr>
              <w:t>19.4</w:t>
            </w:r>
          </w:p>
        </w:tc>
        <w:tc>
          <w:tcPr>
            <w:tcW w:w="0" w:type="auto"/>
            <w:vAlign w:val="center"/>
          </w:tcPr>
          <w:p w14:paraId="5CADCFB4" w14:textId="77777777" w:rsidR="005A6898" w:rsidRPr="00B03142" w:rsidRDefault="005A6898" w:rsidP="00E84180">
            <w:pPr>
              <w:spacing w:line="276" w:lineRule="auto"/>
              <w:jc w:val="center"/>
              <w:rPr>
                <w:rFonts w:ascii="Times New Roman" w:hAnsi="Times New Roman" w:cs="Times New Roman"/>
                <w:color w:val="000000"/>
                <w:sz w:val="20"/>
                <w:szCs w:val="20"/>
              </w:rPr>
            </w:pPr>
            <w:r w:rsidRPr="00B03142">
              <w:rPr>
                <w:rFonts w:ascii="Times New Roman" w:hAnsi="Times New Roman" w:cs="Times New Roman"/>
                <w:color w:val="000000"/>
                <w:sz w:val="20"/>
                <w:szCs w:val="20"/>
              </w:rPr>
              <w:t>20.1</w:t>
            </w:r>
          </w:p>
        </w:tc>
        <w:tc>
          <w:tcPr>
            <w:tcW w:w="0" w:type="auto"/>
            <w:vAlign w:val="center"/>
          </w:tcPr>
          <w:p w14:paraId="1306014A" w14:textId="77777777" w:rsidR="005A6898" w:rsidRPr="00B03142" w:rsidRDefault="005A6898" w:rsidP="00E84180">
            <w:pPr>
              <w:spacing w:line="276" w:lineRule="auto"/>
              <w:jc w:val="center"/>
              <w:rPr>
                <w:rFonts w:ascii="Times New Roman" w:hAnsi="Times New Roman" w:cs="Times New Roman"/>
                <w:color w:val="000000"/>
                <w:sz w:val="20"/>
                <w:szCs w:val="20"/>
              </w:rPr>
            </w:pPr>
            <w:r w:rsidRPr="00B03142">
              <w:rPr>
                <w:rFonts w:ascii="Times New Roman" w:hAnsi="Times New Roman" w:cs="Times New Roman"/>
                <w:color w:val="000000"/>
                <w:sz w:val="20"/>
                <w:szCs w:val="20"/>
              </w:rPr>
              <w:t>18.3</w:t>
            </w:r>
          </w:p>
        </w:tc>
      </w:tr>
      <w:tr w:rsidR="005A6898" w:rsidRPr="00B03142" w14:paraId="174B7137" w14:textId="77777777" w:rsidTr="005A6898">
        <w:trPr>
          <w:trHeight w:val="355"/>
          <w:jc w:val="center"/>
        </w:trPr>
        <w:tc>
          <w:tcPr>
            <w:tcW w:w="0" w:type="auto"/>
            <w:vAlign w:val="center"/>
          </w:tcPr>
          <w:p w14:paraId="1706B36B" w14:textId="77777777" w:rsidR="005A6898" w:rsidRPr="00B03142" w:rsidRDefault="005A6898" w:rsidP="00E84180">
            <w:pPr>
              <w:spacing w:line="276" w:lineRule="auto"/>
              <w:jc w:val="right"/>
              <w:rPr>
                <w:rFonts w:ascii="Times New Roman" w:hAnsi="Times New Roman" w:cs="Times New Roman"/>
                <w:b/>
                <w:bCs/>
                <w:color w:val="000000"/>
                <w:sz w:val="20"/>
                <w:szCs w:val="20"/>
              </w:rPr>
            </w:pPr>
            <w:r w:rsidRPr="00B03142">
              <w:rPr>
                <w:rFonts w:ascii="Times New Roman" w:hAnsi="Times New Roman" w:cs="Times New Roman"/>
                <w:b/>
                <w:bCs/>
                <w:color w:val="000000"/>
                <w:sz w:val="20"/>
                <w:szCs w:val="20"/>
              </w:rPr>
              <w:t>Büyüme</w:t>
            </w:r>
          </w:p>
        </w:tc>
        <w:tc>
          <w:tcPr>
            <w:tcW w:w="0" w:type="auto"/>
            <w:vAlign w:val="center"/>
          </w:tcPr>
          <w:p w14:paraId="771DC55E" w14:textId="77777777" w:rsidR="005A6898" w:rsidRPr="00B03142" w:rsidRDefault="005A6898" w:rsidP="00E84180">
            <w:pPr>
              <w:spacing w:line="276" w:lineRule="auto"/>
              <w:jc w:val="center"/>
              <w:rPr>
                <w:rFonts w:ascii="Times New Roman" w:hAnsi="Times New Roman" w:cs="Times New Roman"/>
                <w:sz w:val="20"/>
                <w:szCs w:val="20"/>
              </w:rPr>
            </w:pPr>
            <w:r w:rsidRPr="00B03142">
              <w:rPr>
                <w:rFonts w:ascii="Times New Roman" w:hAnsi="Times New Roman" w:cs="Times New Roman"/>
                <w:color w:val="000000"/>
                <w:sz w:val="20"/>
                <w:szCs w:val="20"/>
              </w:rPr>
              <w:t>4.2</w:t>
            </w:r>
          </w:p>
        </w:tc>
        <w:tc>
          <w:tcPr>
            <w:tcW w:w="0" w:type="auto"/>
            <w:vAlign w:val="center"/>
          </w:tcPr>
          <w:p w14:paraId="4C299B83" w14:textId="77777777" w:rsidR="005A6898" w:rsidRPr="00B03142" w:rsidRDefault="005A6898" w:rsidP="00E84180">
            <w:pPr>
              <w:spacing w:line="276" w:lineRule="auto"/>
              <w:jc w:val="center"/>
              <w:rPr>
                <w:rFonts w:ascii="Times New Roman" w:hAnsi="Times New Roman" w:cs="Times New Roman"/>
                <w:sz w:val="20"/>
                <w:szCs w:val="20"/>
              </w:rPr>
            </w:pPr>
            <w:r w:rsidRPr="00B03142">
              <w:rPr>
                <w:rFonts w:ascii="Times New Roman" w:hAnsi="Times New Roman" w:cs="Times New Roman"/>
                <w:color w:val="000000"/>
                <w:sz w:val="20"/>
                <w:szCs w:val="20"/>
              </w:rPr>
              <w:t>12.3</w:t>
            </w:r>
          </w:p>
        </w:tc>
        <w:tc>
          <w:tcPr>
            <w:tcW w:w="0" w:type="auto"/>
            <w:vAlign w:val="center"/>
          </w:tcPr>
          <w:p w14:paraId="733FCDDF" w14:textId="77777777" w:rsidR="005A6898" w:rsidRPr="00B03142" w:rsidRDefault="005A6898" w:rsidP="00E84180">
            <w:pPr>
              <w:spacing w:line="276" w:lineRule="auto"/>
              <w:jc w:val="center"/>
              <w:rPr>
                <w:rFonts w:ascii="Times New Roman" w:hAnsi="Times New Roman" w:cs="Times New Roman"/>
                <w:sz w:val="20"/>
                <w:szCs w:val="20"/>
              </w:rPr>
            </w:pPr>
            <w:r w:rsidRPr="00B03142">
              <w:rPr>
                <w:rFonts w:ascii="Times New Roman" w:hAnsi="Times New Roman" w:cs="Times New Roman"/>
                <w:color w:val="000000"/>
                <w:sz w:val="20"/>
                <w:szCs w:val="20"/>
              </w:rPr>
              <w:t>4.2</w:t>
            </w:r>
          </w:p>
        </w:tc>
        <w:tc>
          <w:tcPr>
            <w:tcW w:w="0" w:type="auto"/>
            <w:vAlign w:val="center"/>
          </w:tcPr>
          <w:p w14:paraId="71C9E9AE" w14:textId="77777777" w:rsidR="005A6898" w:rsidRPr="00B03142" w:rsidRDefault="005A6898" w:rsidP="00E84180">
            <w:pPr>
              <w:spacing w:line="276" w:lineRule="auto"/>
              <w:jc w:val="center"/>
              <w:rPr>
                <w:rFonts w:ascii="Times New Roman" w:hAnsi="Times New Roman" w:cs="Times New Roman"/>
                <w:sz w:val="20"/>
                <w:szCs w:val="20"/>
              </w:rPr>
            </w:pPr>
            <w:r w:rsidRPr="00B03142">
              <w:rPr>
                <w:rFonts w:ascii="Times New Roman" w:hAnsi="Times New Roman" w:cs="Times New Roman"/>
                <w:color w:val="000000"/>
                <w:sz w:val="20"/>
                <w:szCs w:val="20"/>
              </w:rPr>
              <w:t>6.7</w:t>
            </w:r>
          </w:p>
        </w:tc>
        <w:tc>
          <w:tcPr>
            <w:tcW w:w="0" w:type="auto"/>
            <w:vAlign w:val="center"/>
          </w:tcPr>
          <w:p w14:paraId="6A16BA36" w14:textId="77777777" w:rsidR="005A6898" w:rsidRPr="00B03142" w:rsidRDefault="005A6898" w:rsidP="00E84180">
            <w:pPr>
              <w:spacing w:line="276" w:lineRule="auto"/>
              <w:jc w:val="center"/>
              <w:rPr>
                <w:rFonts w:ascii="Times New Roman" w:hAnsi="Times New Roman" w:cs="Times New Roman"/>
                <w:sz w:val="20"/>
                <w:szCs w:val="20"/>
              </w:rPr>
            </w:pPr>
            <w:r w:rsidRPr="00B03142">
              <w:rPr>
                <w:rFonts w:ascii="Times New Roman" w:hAnsi="Times New Roman" w:cs="Times New Roman"/>
                <w:color w:val="000000"/>
                <w:sz w:val="20"/>
                <w:szCs w:val="20"/>
              </w:rPr>
              <w:t>8.8</w:t>
            </w:r>
          </w:p>
        </w:tc>
        <w:tc>
          <w:tcPr>
            <w:tcW w:w="0" w:type="auto"/>
            <w:vAlign w:val="center"/>
          </w:tcPr>
          <w:p w14:paraId="04F28928" w14:textId="77777777" w:rsidR="005A6898" w:rsidRPr="00B03142" w:rsidRDefault="005A6898" w:rsidP="00E84180">
            <w:pPr>
              <w:spacing w:line="276" w:lineRule="auto"/>
              <w:jc w:val="center"/>
              <w:rPr>
                <w:rFonts w:ascii="Times New Roman" w:hAnsi="Times New Roman" w:cs="Times New Roman"/>
                <w:sz w:val="20"/>
                <w:szCs w:val="20"/>
              </w:rPr>
            </w:pPr>
            <w:r w:rsidRPr="00B03142">
              <w:rPr>
                <w:rFonts w:ascii="Times New Roman" w:hAnsi="Times New Roman" w:cs="Times New Roman"/>
                <w:color w:val="000000"/>
                <w:sz w:val="20"/>
                <w:szCs w:val="20"/>
              </w:rPr>
              <w:t>2.1</w:t>
            </w:r>
          </w:p>
        </w:tc>
        <w:tc>
          <w:tcPr>
            <w:tcW w:w="0" w:type="auto"/>
            <w:vAlign w:val="center"/>
          </w:tcPr>
          <w:p w14:paraId="67846758" w14:textId="77777777" w:rsidR="005A6898" w:rsidRPr="00B03142" w:rsidRDefault="005A6898" w:rsidP="00E84180">
            <w:pPr>
              <w:spacing w:line="276" w:lineRule="auto"/>
              <w:jc w:val="center"/>
              <w:rPr>
                <w:rFonts w:ascii="Times New Roman" w:hAnsi="Times New Roman" w:cs="Times New Roman"/>
                <w:sz w:val="20"/>
                <w:szCs w:val="20"/>
              </w:rPr>
            </w:pPr>
            <w:r w:rsidRPr="00B03142">
              <w:rPr>
                <w:rFonts w:ascii="Times New Roman" w:hAnsi="Times New Roman" w:cs="Times New Roman"/>
                <w:color w:val="000000"/>
                <w:sz w:val="20"/>
                <w:szCs w:val="20"/>
              </w:rPr>
              <w:t>8.9</w:t>
            </w:r>
          </w:p>
        </w:tc>
        <w:tc>
          <w:tcPr>
            <w:tcW w:w="0" w:type="auto"/>
            <w:vAlign w:val="center"/>
          </w:tcPr>
          <w:p w14:paraId="5D7D946D" w14:textId="77777777" w:rsidR="005A6898" w:rsidRPr="00B03142" w:rsidRDefault="005A6898" w:rsidP="00E84180">
            <w:pPr>
              <w:spacing w:line="276" w:lineRule="auto"/>
              <w:jc w:val="center"/>
              <w:rPr>
                <w:rFonts w:ascii="Times New Roman" w:hAnsi="Times New Roman" w:cs="Times New Roman"/>
                <w:sz w:val="20"/>
                <w:szCs w:val="20"/>
              </w:rPr>
            </w:pPr>
            <w:r w:rsidRPr="00B03142">
              <w:rPr>
                <w:rFonts w:ascii="Times New Roman" w:hAnsi="Times New Roman" w:cs="Times New Roman"/>
                <w:color w:val="000000"/>
                <w:sz w:val="20"/>
                <w:szCs w:val="20"/>
              </w:rPr>
              <w:t>6.1</w:t>
            </w:r>
          </w:p>
        </w:tc>
        <w:tc>
          <w:tcPr>
            <w:tcW w:w="0" w:type="auto"/>
            <w:vAlign w:val="center"/>
          </w:tcPr>
          <w:p w14:paraId="35B4044C" w14:textId="77777777" w:rsidR="005A6898" w:rsidRPr="00B03142" w:rsidRDefault="005A6898" w:rsidP="00E84180">
            <w:pPr>
              <w:spacing w:line="276" w:lineRule="auto"/>
              <w:jc w:val="center"/>
              <w:rPr>
                <w:rFonts w:ascii="Times New Roman" w:hAnsi="Times New Roman" w:cs="Times New Roman"/>
                <w:sz w:val="20"/>
                <w:szCs w:val="20"/>
              </w:rPr>
            </w:pPr>
            <w:r w:rsidRPr="00B03142">
              <w:rPr>
                <w:rFonts w:ascii="Times New Roman" w:hAnsi="Times New Roman" w:cs="Times New Roman"/>
                <w:color w:val="000000"/>
                <w:sz w:val="20"/>
                <w:szCs w:val="20"/>
              </w:rPr>
              <w:t>9.2</w:t>
            </w:r>
          </w:p>
        </w:tc>
        <w:tc>
          <w:tcPr>
            <w:tcW w:w="0" w:type="auto"/>
            <w:vAlign w:val="center"/>
          </w:tcPr>
          <w:p w14:paraId="5615A443" w14:textId="77777777" w:rsidR="005A6898" w:rsidRPr="00B03142" w:rsidRDefault="005A6898" w:rsidP="00E84180">
            <w:pPr>
              <w:spacing w:line="276" w:lineRule="auto"/>
              <w:jc w:val="center"/>
              <w:rPr>
                <w:rFonts w:ascii="Times New Roman" w:hAnsi="Times New Roman" w:cs="Times New Roman"/>
                <w:color w:val="000000"/>
                <w:sz w:val="20"/>
                <w:szCs w:val="20"/>
              </w:rPr>
            </w:pPr>
            <w:r w:rsidRPr="00B03142">
              <w:rPr>
                <w:rFonts w:ascii="Times New Roman" w:hAnsi="Times New Roman" w:cs="Times New Roman"/>
                <w:color w:val="000000"/>
                <w:sz w:val="20"/>
                <w:szCs w:val="20"/>
              </w:rPr>
              <w:t>7.1</w:t>
            </w:r>
          </w:p>
        </w:tc>
      </w:tr>
      <w:tr w:rsidR="005A6898" w:rsidRPr="00B03142" w14:paraId="1AC25222" w14:textId="77777777" w:rsidTr="005A6898">
        <w:trPr>
          <w:trHeight w:val="355"/>
          <w:jc w:val="center"/>
        </w:trPr>
        <w:tc>
          <w:tcPr>
            <w:tcW w:w="0" w:type="auto"/>
            <w:vAlign w:val="center"/>
          </w:tcPr>
          <w:p w14:paraId="4442FA69" w14:textId="77777777" w:rsidR="005A6898" w:rsidRPr="00B03142" w:rsidRDefault="005A6898" w:rsidP="00E84180">
            <w:pPr>
              <w:spacing w:line="276" w:lineRule="auto"/>
              <w:jc w:val="right"/>
              <w:rPr>
                <w:rFonts w:ascii="Times New Roman" w:hAnsi="Times New Roman" w:cs="Times New Roman"/>
                <w:b/>
                <w:bCs/>
                <w:color w:val="000000"/>
                <w:sz w:val="20"/>
                <w:szCs w:val="20"/>
              </w:rPr>
            </w:pPr>
            <w:r w:rsidRPr="00B03142">
              <w:rPr>
                <w:rFonts w:ascii="Times New Roman" w:hAnsi="Times New Roman" w:cs="Times New Roman"/>
                <w:b/>
                <w:bCs/>
                <w:color w:val="000000"/>
                <w:sz w:val="20"/>
                <w:szCs w:val="20"/>
              </w:rPr>
              <w:t>İstihdam değişimi</w:t>
            </w:r>
          </w:p>
        </w:tc>
        <w:tc>
          <w:tcPr>
            <w:tcW w:w="0" w:type="auto"/>
            <w:vAlign w:val="center"/>
          </w:tcPr>
          <w:p w14:paraId="588D6728" w14:textId="77777777" w:rsidR="005A6898" w:rsidRPr="00B03142" w:rsidRDefault="005A6898" w:rsidP="00E84180">
            <w:pPr>
              <w:spacing w:line="276" w:lineRule="auto"/>
              <w:jc w:val="center"/>
              <w:rPr>
                <w:rFonts w:ascii="Times New Roman" w:hAnsi="Times New Roman" w:cs="Times New Roman"/>
                <w:sz w:val="20"/>
                <w:szCs w:val="20"/>
              </w:rPr>
            </w:pPr>
            <w:r w:rsidRPr="00B03142">
              <w:rPr>
                <w:rFonts w:ascii="Times New Roman" w:hAnsi="Times New Roman" w:cs="Times New Roman"/>
                <w:color w:val="000000"/>
                <w:sz w:val="20"/>
                <w:szCs w:val="20"/>
              </w:rPr>
              <w:t>2.5</w:t>
            </w:r>
          </w:p>
        </w:tc>
        <w:tc>
          <w:tcPr>
            <w:tcW w:w="0" w:type="auto"/>
            <w:vAlign w:val="center"/>
          </w:tcPr>
          <w:p w14:paraId="43BB61A4" w14:textId="77777777" w:rsidR="005A6898" w:rsidRPr="00B03142" w:rsidRDefault="005A6898" w:rsidP="00E84180">
            <w:pPr>
              <w:spacing w:line="276" w:lineRule="auto"/>
              <w:jc w:val="center"/>
              <w:rPr>
                <w:rFonts w:ascii="Times New Roman" w:hAnsi="Times New Roman" w:cs="Times New Roman"/>
                <w:sz w:val="20"/>
                <w:szCs w:val="20"/>
              </w:rPr>
            </w:pPr>
            <w:r w:rsidRPr="00B03142">
              <w:rPr>
                <w:rFonts w:ascii="Times New Roman" w:hAnsi="Times New Roman" w:cs="Times New Roman"/>
                <w:color w:val="000000"/>
                <w:sz w:val="20"/>
                <w:szCs w:val="20"/>
              </w:rPr>
              <w:t>6.7</w:t>
            </w:r>
          </w:p>
        </w:tc>
        <w:tc>
          <w:tcPr>
            <w:tcW w:w="0" w:type="auto"/>
            <w:vAlign w:val="center"/>
          </w:tcPr>
          <w:p w14:paraId="069DB0F1" w14:textId="77777777" w:rsidR="005A6898" w:rsidRPr="00B03142" w:rsidRDefault="005A6898" w:rsidP="00E84180">
            <w:pPr>
              <w:spacing w:line="276" w:lineRule="auto"/>
              <w:jc w:val="center"/>
              <w:rPr>
                <w:rFonts w:ascii="Times New Roman" w:hAnsi="Times New Roman" w:cs="Times New Roman"/>
                <w:sz w:val="20"/>
                <w:szCs w:val="20"/>
              </w:rPr>
            </w:pPr>
            <w:r w:rsidRPr="00B03142">
              <w:rPr>
                <w:rFonts w:ascii="Times New Roman" w:hAnsi="Times New Roman" w:cs="Times New Roman"/>
                <w:color w:val="000000"/>
                <w:sz w:val="20"/>
                <w:szCs w:val="20"/>
              </w:rPr>
              <w:t>4.8</w:t>
            </w:r>
          </w:p>
        </w:tc>
        <w:tc>
          <w:tcPr>
            <w:tcW w:w="0" w:type="auto"/>
            <w:vAlign w:val="center"/>
          </w:tcPr>
          <w:p w14:paraId="6A99B14A" w14:textId="77777777" w:rsidR="005A6898" w:rsidRPr="00B03142" w:rsidRDefault="005A6898" w:rsidP="00E84180">
            <w:pPr>
              <w:spacing w:line="276" w:lineRule="auto"/>
              <w:jc w:val="center"/>
              <w:rPr>
                <w:rFonts w:ascii="Times New Roman" w:hAnsi="Times New Roman" w:cs="Times New Roman"/>
                <w:sz w:val="20"/>
                <w:szCs w:val="20"/>
              </w:rPr>
            </w:pPr>
            <w:r w:rsidRPr="00B03142">
              <w:rPr>
                <w:rFonts w:ascii="Times New Roman" w:hAnsi="Times New Roman" w:cs="Times New Roman"/>
                <w:color w:val="000000"/>
                <w:sz w:val="20"/>
                <w:szCs w:val="20"/>
              </w:rPr>
              <w:t>11.9</w:t>
            </w:r>
          </w:p>
        </w:tc>
        <w:tc>
          <w:tcPr>
            <w:tcW w:w="0" w:type="auto"/>
            <w:vAlign w:val="center"/>
          </w:tcPr>
          <w:p w14:paraId="25335660" w14:textId="77777777" w:rsidR="005A6898" w:rsidRPr="00B03142" w:rsidRDefault="005A6898" w:rsidP="00E84180">
            <w:pPr>
              <w:spacing w:line="276" w:lineRule="auto"/>
              <w:jc w:val="center"/>
              <w:rPr>
                <w:rFonts w:ascii="Times New Roman" w:hAnsi="Times New Roman" w:cs="Times New Roman"/>
                <w:sz w:val="20"/>
                <w:szCs w:val="20"/>
              </w:rPr>
            </w:pPr>
            <w:r w:rsidRPr="00B03142">
              <w:rPr>
                <w:rFonts w:ascii="Times New Roman" w:hAnsi="Times New Roman" w:cs="Times New Roman"/>
                <w:color w:val="000000"/>
                <w:sz w:val="20"/>
                <w:szCs w:val="20"/>
              </w:rPr>
              <w:t>3.8</w:t>
            </w:r>
          </w:p>
        </w:tc>
        <w:tc>
          <w:tcPr>
            <w:tcW w:w="0" w:type="auto"/>
            <w:vAlign w:val="center"/>
          </w:tcPr>
          <w:p w14:paraId="3D856955" w14:textId="77777777" w:rsidR="005A6898" w:rsidRPr="00B03142" w:rsidRDefault="005A6898" w:rsidP="00E84180">
            <w:pPr>
              <w:spacing w:line="276" w:lineRule="auto"/>
              <w:jc w:val="center"/>
              <w:rPr>
                <w:rFonts w:ascii="Times New Roman" w:hAnsi="Times New Roman" w:cs="Times New Roman"/>
                <w:sz w:val="20"/>
                <w:szCs w:val="20"/>
              </w:rPr>
            </w:pPr>
            <w:r w:rsidRPr="00B03142">
              <w:rPr>
                <w:rFonts w:ascii="Times New Roman" w:hAnsi="Times New Roman" w:cs="Times New Roman"/>
                <w:color w:val="000000"/>
                <w:sz w:val="20"/>
                <w:szCs w:val="20"/>
              </w:rPr>
              <w:t>3.9</w:t>
            </w:r>
          </w:p>
        </w:tc>
        <w:tc>
          <w:tcPr>
            <w:tcW w:w="0" w:type="auto"/>
            <w:vAlign w:val="center"/>
          </w:tcPr>
          <w:p w14:paraId="4226AE28" w14:textId="77777777" w:rsidR="005A6898" w:rsidRPr="00B03142" w:rsidRDefault="005A6898" w:rsidP="00E84180">
            <w:pPr>
              <w:spacing w:line="276" w:lineRule="auto"/>
              <w:jc w:val="center"/>
              <w:rPr>
                <w:rFonts w:ascii="Times New Roman" w:hAnsi="Times New Roman" w:cs="Times New Roman"/>
                <w:sz w:val="20"/>
                <w:szCs w:val="20"/>
              </w:rPr>
            </w:pPr>
            <w:r w:rsidRPr="00B03142">
              <w:rPr>
                <w:rFonts w:ascii="Times New Roman" w:hAnsi="Times New Roman" w:cs="Times New Roman"/>
                <w:color w:val="000000"/>
                <w:sz w:val="20"/>
                <w:szCs w:val="20"/>
              </w:rPr>
              <w:t>15.4</w:t>
            </w:r>
          </w:p>
        </w:tc>
        <w:tc>
          <w:tcPr>
            <w:tcW w:w="0" w:type="auto"/>
            <w:vAlign w:val="center"/>
          </w:tcPr>
          <w:p w14:paraId="60F40AEC" w14:textId="77777777" w:rsidR="005A6898" w:rsidRPr="00B03142" w:rsidRDefault="005A6898" w:rsidP="00E84180">
            <w:pPr>
              <w:spacing w:line="276" w:lineRule="auto"/>
              <w:jc w:val="center"/>
              <w:rPr>
                <w:rFonts w:ascii="Times New Roman" w:hAnsi="Times New Roman" w:cs="Times New Roman"/>
                <w:sz w:val="20"/>
                <w:szCs w:val="20"/>
              </w:rPr>
            </w:pPr>
            <w:r w:rsidRPr="00B03142">
              <w:rPr>
                <w:rFonts w:ascii="Times New Roman" w:hAnsi="Times New Roman" w:cs="Times New Roman"/>
                <w:color w:val="000000"/>
                <w:sz w:val="20"/>
                <w:szCs w:val="20"/>
              </w:rPr>
              <w:t>3.4</w:t>
            </w:r>
          </w:p>
        </w:tc>
        <w:tc>
          <w:tcPr>
            <w:tcW w:w="0" w:type="auto"/>
            <w:vAlign w:val="center"/>
          </w:tcPr>
          <w:p w14:paraId="0D53EA23" w14:textId="77777777" w:rsidR="005A6898" w:rsidRPr="00B03142" w:rsidRDefault="005A6898" w:rsidP="00E84180">
            <w:pPr>
              <w:spacing w:line="276" w:lineRule="auto"/>
              <w:jc w:val="center"/>
              <w:rPr>
                <w:rFonts w:ascii="Times New Roman" w:hAnsi="Times New Roman" w:cs="Times New Roman"/>
                <w:sz w:val="20"/>
                <w:szCs w:val="20"/>
              </w:rPr>
            </w:pPr>
            <w:r w:rsidRPr="00B03142">
              <w:rPr>
                <w:rFonts w:ascii="Times New Roman" w:hAnsi="Times New Roman" w:cs="Times New Roman"/>
                <w:color w:val="000000"/>
                <w:sz w:val="20"/>
                <w:szCs w:val="20"/>
              </w:rPr>
              <w:t>3.0</w:t>
            </w:r>
          </w:p>
        </w:tc>
        <w:tc>
          <w:tcPr>
            <w:tcW w:w="0" w:type="auto"/>
            <w:vAlign w:val="center"/>
          </w:tcPr>
          <w:p w14:paraId="6749F17E" w14:textId="77777777" w:rsidR="005A6898" w:rsidRPr="00B03142" w:rsidRDefault="005A6898" w:rsidP="00E84180">
            <w:pPr>
              <w:spacing w:line="276" w:lineRule="auto"/>
              <w:jc w:val="center"/>
              <w:rPr>
                <w:rFonts w:ascii="Times New Roman" w:hAnsi="Times New Roman" w:cs="Times New Roman"/>
                <w:color w:val="000000"/>
                <w:sz w:val="20"/>
                <w:szCs w:val="20"/>
              </w:rPr>
            </w:pPr>
            <w:r w:rsidRPr="00B03142">
              <w:rPr>
                <w:rFonts w:ascii="Times New Roman" w:hAnsi="Times New Roman" w:cs="Times New Roman"/>
                <w:color w:val="000000"/>
                <w:sz w:val="20"/>
                <w:szCs w:val="20"/>
              </w:rPr>
              <w:t>4.4</w:t>
            </w:r>
          </w:p>
        </w:tc>
      </w:tr>
      <w:tr w:rsidR="005A6898" w:rsidRPr="00B03142" w14:paraId="3B0D0142" w14:textId="77777777" w:rsidTr="005A6898">
        <w:trPr>
          <w:trHeight w:val="355"/>
          <w:jc w:val="center"/>
        </w:trPr>
        <w:tc>
          <w:tcPr>
            <w:tcW w:w="0" w:type="auto"/>
            <w:gridSpan w:val="11"/>
            <w:vAlign w:val="center"/>
          </w:tcPr>
          <w:p w14:paraId="2BD59049" w14:textId="77777777" w:rsidR="005A6898" w:rsidRPr="00B03142" w:rsidRDefault="005A6898" w:rsidP="00E84180">
            <w:pPr>
              <w:spacing w:line="276" w:lineRule="auto"/>
              <w:jc w:val="center"/>
              <w:rPr>
                <w:rFonts w:ascii="Times New Roman" w:hAnsi="Times New Roman" w:cs="Times New Roman"/>
                <w:b/>
                <w:iCs/>
                <w:color w:val="000000"/>
                <w:sz w:val="20"/>
                <w:szCs w:val="20"/>
              </w:rPr>
            </w:pPr>
            <w:r w:rsidRPr="00B03142">
              <w:rPr>
                <w:rFonts w:ascii="Times New Roman" w:hAnsi="Times New Roman" w:cs="Times New Roman"/>
                <w:b/>
                <w:iCs/>
                <w:color w:val="000000"/>
                <w:sz w:val="20"/>
                <w:szCs w:val="20"/>
              </w:rPr>
              <w:t>2016-2021</w:t>
            </w:r>
          </w:p>
        </w:tc>
      </w:tr>
      <w:tr w:rsidR="005A6898" w:rsidRPr="00B03142" w14:paraId="1ED3EF34" w14:textId="77777777" w:rsidTr="005A6898">
        <w:trPr>
          <w:trHeight w:val="355"/>
          <w:jc w:val="center"/>
        </w:trPr>
        <w:tc>
          <w:tcPr>
            <w:tcW w:w="0" w:type="auto"/>
            <w:vAlign w:val="center"/>
          </w:tcPr>
          <w:p w14:paraId="7CF6186A" w14:textId="77777777" w:rsidR="005A6898" w:rsidRPr="00B03142" w:rsidRDefault="005A6898" w:rsidP="00E84180">
            <w:pPr>
              <w:spacing w:line="276" w:lineRule="auto"/>
              <w:jc w:val="right"/>
              <w:rPr>
                <w:rFonts w:ascii="Times New Roman" w:hAnsi="Times New Roman" w:cs="Times New Roman"/>
                <w:b/>
                <w:bCs/>
                <w:color w:val="000000"/>
                <w:sz w:val="20"/>
                <w:szCs w:val="20"/>
              </w:rPr>
            </w:pPr>
            <w:r w:rsidRPr="00B03142">
              <w:rPr>
                <w:rFonts w:ascii="Times New Roman" w:hAnsi="Times New Roman" w:cs="Times New Roman"/>
                <w:b/>
                <w:bCs/>
                <w:color w:val="000000"/>
                <w:sz w:val="20"/>
                <w:szCs w:val="20"/>
              </w:rPr>
              <w:t>Reel kredi değişimi</w:t>
            </w:r>
          </w:p>
        </w:tc>
        <w:tc>
          <w:tcPr>
            <w:tcW w:w="0" w:type="auto"/>
            <w:vAlign w:val="center"/>
          </w:tcPr>
          <w:p w14:paraId="081399BD" w14:textId="77777777" w:rsidR="005A6898" w:rsidRPr="00B03142" w:rsidRDefault="005A6898" w:rsidP="00E84180">
            <w:pPr>
              <w:spacing w:line="276" w:lineRule="auto"/>
              <w:jc w:val="center"/>
              <w:rPr>
                <w:rFonts w:ascii="Times New Roman" w:hAnsi="Times New Roman" w:cs="Times New Roman"/>
                <w:color w:val="000000"/>
                <w:sz w:val="20"/>
                <w:szCs w:val="20"/>
              </w:rPr>
            </w:pPr>
            <w:r w:rsidRPr="00B03142">
              <w:rPr>
                <w:rFonts w:ascii="Times New Roman" w:hAnsi="Times New Roman" w:cs="Times New Roman"/>
                <w:color w:val="000000"/>
                <w:sz w:val="20"/>
                <w:szCs w:val="20"/>
              </w:rPr>
              <w:t>2.6</w:t>
            </w:r>
          </w:p>
        </w:tc>
        <w:tc>
          <w:tcPr>
            <w:tcW w:w="0" w:type="auto"/>
            <w:vAlign w:val="center"/>
          </w:tcPr>
          <w:p w14:paraId="72FDAB9E" w14:textId="77777777" w:rsidR="005A6898" w:rsidRPr="00B03142" w:rsidRDefault="005A6898" w:rsidP="00E84180">
            <w:pPr>
              <w:spacing w:line="276" w:lineRule="auto"/>
              <w:jc w:val="center"/>
              <w:rPr>
                <w:rFonts w:ascii="Times New Roman" w:hAnsi="Times New Roman" w:cs="Times New Roman"/>
                <w:color w:val="000000"/>
                <w:sz w:val="20"/>
                <w:szCs w:val="20"/>
              </w:rPr>
            </w:pPr>
            <w:r w:rsidRPr="00B03142">
              <w:rPr>
                <w:rFonts w:ascii="Times New Roman" w:hAnsi="Times New Roman" w:cs="Times New Roman"/>
                <w:color w:val="000000"/>
                <w:sz w:val="20"/>
                <w:szCs w:val="20"/>
              </w:rPr>
              <w:t>5.7</w:t>
            </w:r>
          </w:p>
        </w:tc>
        <w:tc>
          <w:tcPr>
            <w:tcW w:w="0" w:type="auto"/>
            <w:vAlign w:val="center"/>
          </w:tcPr>
          <w:p w14:paraId="08ADC2F0" w14:textId="77777777" w:rsidR="005A6898" w:rsidRPr="00B03142" w:rsidRDefault="005A6898" w:rsidP="00E84180">
            <w:pPr>
              <w:spacing w:line="276" w:lineRule="auto"/>
              <w:jc w:val="center"/>
              <w:rPr>
                <w:rFonts w:ascii="Times New Roman" w:hAnsi="Times New Roman" w:cs="Times New Roman"/>
                <w:color w:val="000000"/>
                <w:sz w:val="20"/>
                <w:szCs w:val="20"/>
              </w:rPr>
            </w:pPr>
            <w:r w:rsidRPr="00B03142">
              <w:rPr>
                <w:rFonts w:ascii="Times New Roman" w:hAnsi="Times New Roman" w:cs="Times New Roman"/>
                <w:color w:val="000000"/>
                <w:sz w:val="20"/>
                <w:szCs w:val="20"/>
              </w:rPr>
              <w:t>1.6</w:t>
            </w:r>
          </w:p>
        </w:tc>
        <w:tc>
          <w:tcPr>
            <w:tcW w:w="0" w:type="auto"/>
            <w:vAlign w:val="center"/>
          </w:tcPr>
          <w:p w14:paraId="0D1C3274" w14:textId="77777777" w:rsidR="005A6898" w:rsidRPr="00B03142" w:rsidRDefault="005A6898" w:rsidP="00E84180">
            <w:pPr>
              <w:spacing w:line="276" w:lineRule="auto"/>
              <w:jc w:val="center"/>
              <w:rPr>
                <w:rFonts w:ascii="Times New Roman" w:hAnsi="Times New Roman" w:cs="Times New Roman"/>
                <w:color w:val="000000"/>
                <w:sz w:val="20"/>
                <w:szCs w:val="20"/>
              </w:rPr>
            </w:pPr>
            <w:r w:rsidRPr="00B03142">
              <w:rPr>
                <w:rFonts w:ascii="Times New Roman" w:hAnsi="Times New Roman" w:cs="Times New Roman"/>
                <w:color w:val="000000"/>
                <w:sz w:val="20"/>
                <w:szCs w:val="20"/>
              </w:rPr>
              <w:t>2.8</w:t>
            </w:r>
          </w:p>
        </w:tc>
        <w:tc>
          <w:tcPr>
            <w:tcW w:w="0" w:type="auto"/>
            <w:vAlign w:val="center"/>
          </w:tcPr>
          <w:p w14:paraId="0DC847A3" w14:textId="77777777" w:rsidR="005A6898" w:rsidRPr="00B03142" w:rsidRDefault="005A6898" w:rsidP="00E84180">
            <w:pPr>
              <w:spacing w:line="276" w:lineRule="auto"/>
              <w:jc w:val="center"/>
              <w:rPr>
                <w:rFonts w:ascii="Times New Roman" w:hAnsi="Times New Roman" w:cs="Times New Roman"/>
                <w:color w:val="000000"/>
                <w:sz w:val="20"/>
                <w:szCs w:val="20"/>
              </w:rPr>
            </w:pPr>
            <w:r w:rsidRPr="00B03142">
              <w:rPr>
                <w:rFonts w:ascii="Times New Roman" w:hAnsi="Times New Roman" w:cs="Times New Roman"/>
                <w:color w:val="000000"/>
                <w:sz w:val="20"/>
                <w:szCs w:val="20"/>
              </w:rPr>
              <w:t>5.4</w:t>
            </w:r>
          </w:p>
        </w:tc>
        <w:tc>
          <w:tcPr>
            <w:tcW w:w="0" w:type="auto"/>
            <w:vAlign w:val="center"/>
          </w:tcPr>
          <w:p w14:paraId="5770F43B" w14:textId="77777777" w:rsidR="005A6898" w:rsidRPr="00B03142" w:rsidRDefault="005A6898" w:rsidP="00E84180">
            <w:pPr>
              <w:spacing w:line="276" w:lineRule="auto"/>
              <w:jc w:val="center"/>
              <w:rPr>
                <w:rFonts w:ascii="Times New Roman" w:hAnsi="Times New Roman" w:cs="Times New Roman"/>
                <w:color w:val="000000"/>
                <w:sz w:val="20"/>
                <w:szCs w:val="20"/>
              </w:rPr>
            </w:pPr>
            <w:r w:rsidRPr="00B03142">
              <w:rPr>
                <w:rFonts w:ascii="Times New Roman" w:hAnsi="Times New Roman" w:cs="Times New Roman"/>
                <w:color w:val="000000"/>
                <w:sz w:val="20"/>
                <w:szCs w:val="20"/>
              </w:rPr>
              <w:t>5.2</w:t>
            </w:r>
          </w:p>
        </w:tc>
        <w:tc>
          <w:tcPr>
            <w:tcW w:w="0" w:type="auto"/>
            <w:vAlign w:val="center"/>
          </w:tcPr>
          <w:p w14:paraId="2356683B" w14:textId="77777777" w:rsidR="005A6898" w:rsidRPr="00B03142" w:rsidRDefault="005A6898" w:rsidP="00E84180">
            <w:pPr>
              <w:spacing w:line="276" w:lineRule="auto"/>
              <w:jc w:val="center"/>
              <w:rPr>
                <w:rFonts w:ascii="Times New Roman" w:hAnsi="Times New Roman" w:cs="Times New Roman"/>
                <w:color w:val="000000"/>
                <w:sz w:val="20"/>
                <w:szCs w:val="20"/>
              </w:rPr>
            </w:pPr>
            <w:r w:rsidRPr="00B03142">
              <w:rPr>
                <w:rFonts w:ascii="Times New Roman" w:hAnsi="Times New Roman" w:cs="Times New Roman"/>
                <w:color w:val="000000"/>
                <w:sz w:val="20"/>
                <w:szCs w:val="20"/>
              </w:rPr>
              <w:t>9.3</w:t>
            </w:r>
          </w:p>
        </w:tc>
        <w:tc>
          <w:tcPr>
            <w:tcW w:w="0" w:type="auto"/>
            <w:vAlign w:val="center"/>
          </w:tcPr>
          <w:p w14:paraId="44E96F62" w14:textId="77777777" w:rsidR="005A6898" w:rsidRPr="00B03142" w:rsidRDefault="005A6898" w:rsidP="00E84180">
            <w:pPr>
              <w:spacing w:line="276" w:lineRule="auto"/>
              <w:jc w:val="center"/>
              <w:rPr>
                <w:rFonts w:ascii="Times New Roman" w:hAnsi="Times New Roman" w:cs="Times New Roman"/>
                <w:color w:val="000000"/>
                <w:sz w:val="20"/>
                <w:szCs w:val="20"/>
              </w:rPr>
            </w:pPr>
            <w:r w:rsidRPr="00B03142">
              <w:rPr>
                <w:rFonts w:ascii="Times New Roman" w:hAnsi="Times New Roman" w:cs="Times New Roman"/>
                <w:color w:val="000000"/>
                <w:sz w:val="20"/>
                <w:szCs w:val="20"/>
              </w:rPr>
              <w:t>6.7</w:t>
            </w:r>
          </w:p>
        </w:tc>
        <w:tc>
          <w:tcPr>
            <w:tcW w:w="0" w:type="auto"/>
            <w:vAlign w:val="center"/>
          </w:tcPr>
          <w:p w14:paraId="4A62D52C" w14:textId="77777777" w:rsidR="005A6898" w:rsidRPr="00B03142" w:rsidRDefault="005A6898" w:rsidP="00E84180">
            <w:pPr>
              <w:spacing w:line="276" w:lineRule="auto"/>
              <w:jc w:val="center"/>
              <w:rPr>
                <w:rFonts w:ascii="Times New Roman" w:hAnsi="Times New Roman" w:cs="Times New Roman"/>
                <w:color w:val="000000"/>
                <w:sz w:val="20"/>
                <w:szCs w:val="20"/>
              </w:rPr>
            </w:pPr>
            <w:r w:rsidRPr="00B03142">
              <w:rPr>
                <w:rFonts w:ascii="Times New Roman" w:hAnsi="Times New Roman" w:cs="Times New Roman"/>
                <w:color w:val="000000"/>
                <w:sz w:val="20"/>
                <w:szCs w:val="20"/>
              </w:rPr>
              <w:t>4.7</w:t>
            </w:r>
          </w:p>
        </w:tc>
        <w:tc>
          <w:tcPr>
            <w:tcW w:w="0" w:type="auto"/>
            <w:vAlign w:val="center"/>
          </w:tcPr>
          <w:p w14:paraId="4C98D944" w14:textId="77777777" w:rsidR="005A6898" w:rsidRPr="00B03142" w:rsidRDefault="005A6898" w:rsidP="00E84180">
            <w:pPr>
              <w:spacing w:line="276" w:lineRule="auto"/>
              <w:jc w:val="center"/>
              <w:rPr>
                <w:rFonts w:ascii="Times New Roman" w:hAnsi="Times New Roman" w:cs="Times New Roman"/>
                <w:color w:val="000000"/>
                <w:sz w:val="20"/>
                <w:szCs w:val="20"/>
              </w:rPr>
            </w:pPr>
            <w:r w:rsidRPr="00B03142">
              <w:rPr>
                <w:rFonts w:ascii="Times New Roman" w:hAnsi="Times New Roman" w:cs="Times New Roman"/>
                <w:color w:val="000000"/>
                <w:sz w:val="20"/>
                <w:szCs w:val="20"/>
              </w:rPr>
              <w:t>4.8</w:t>
            </w:r>
          </w:p>
        </w:tc>
      </w:tr>
      <w:tr w:rsidR="005A6898" w:rsidRPr="00B03142" w14:paraId="1ED93C91" w14:textId="77777777" w:rsidTr="005A6898">
        <w:trPr>
          <w:trHeight w:val="355"/>
          <w:jc w:val="center"/>
        </w:trPr>
        <w:tc>
          <w:tcPr>
            <w:tcW w:w="0" w:type="auto"/>
            <w:vAlign w:val="center"/>
          </w:tcPr>
          <w:p w14:paraId="438C6E24" w14:textId="77777777" w:rsidR="005A6898" w:rsidRPr="00B03142" w:rsidRDefault="005A6898" w:rsidP="00E84180">
            <w:pPr>
              <w:spacing w:line="276" w:lineRule="auto"/>
              <w:jc w:val="right"/>
              <w:rPr>
                <w:rFonts w:ascii="Times New Roman" w:hAnsi="Times New Roman" w:cs="Times New Roman"/>
                <w:b/>
                <w:bCs/>
                <w:i/>
                <w:iCs/>
                <w:color w:val="000000"/>
                <w:sz w:val="20"/>
                <w:szCs w:val="20"/>
              </w:rPr>
            </w:pPr>
            <w:r w:rsidRPr="00B03142">
              <w:rPr>
                <w:rFonts w:ascii="Times New Roman" w:hAnsi="Times New Roman" w:cs="Times New Roman"/>
                <w:b/>
                <w:bCs/>
                <w:color w:val="000000"/>
                <w:sz w:val="20"/>
                <w:szCs w:val="20"/>
              </w:rPr>
              <w:t>Büyüme</w:t>
            </w:r>
          </w:p>
        </w:tc>
        <w:tc>
          <w:tcPr>
            <w:tcW w:w="0" w:type="auto"/>
            <w:vAlign w:val="center"/>
          </w:tcPr>
          <w:p w14:paraId="7D6A2328" w14:textId="77777777" w:rsidR="005A6898" w:rsidRPr="00B03142" w:rsidRDefault="005A6898" w:rsidP="00E84180">
            <w:pPr>
              <w:spacing w:line="276" w:lineRule="auto"/>
              <w:jc w:val="center"/>
              <w:rPr>
                <w:rFonts w:ascii="Times New Roman" w:hAnsi="Times New Roman" w:cs="Times New Roman"/>
                <w:i/>
                <w:iCs/>
                <w:color w:val="000000"/>
                <w:sz w:val="20"/>
                <w:szCs w:val="20"/>
              </w:rPr>
            </w:pPr>
            <w:r w:rsidRPr="00B03142">
              <w:rPr>
                <w:rFonts w:ascii="Times New Roman" w:hAnsi="Times New Roman" w:cs="Times New Roman"/>
                <w:color w:val="000000"/>
                <w:sz w:val="20"/>
                <w:szCs w:val="20"/>
              </w:rPr>
              <w:t>1.8</w:t>
            </w:r>
          </w:p>
        </w:tc>
        <w:tc>
          <w:tcPr>
            <w:tcW w:w="0" w:type="auto"/>
            <w:vAlign w:val="center"/>
          </w:tcPr>
          <w:p w14:paraId="6BD3ABB1" w14:textId="77777777" w:rsidR="005A6898" w:rsidRPr="00B03142" w:rsidRDefault="005A6898" w:rsidP="00E84180">
            <w:pPr>
              <w:spacing w:line="276" w:lineRule="auto"/>
              <w:jc w:val="center"/>
              <w:rPr>
                <w:rFonts w:ascii="Times New Roman" w:hAnsi="Times New Roman" w:cs="Times New Roman"/>
                <w:i/>
                <w:iCs/>
                <w:color w:val="000000"/>
                <w:sz w:val="20"/>
                <w:szCs w:val="20"/>
              </w:rPr>
            </w:pPr>
            <w:r w:rsidRPr="00B03142">
              <w:rPr>
                <w:rFonts w:ascii="Times New Roman" w:hAnsi="Times New Roman" w:cs="Times New Roman"/>
                <w:color w:val="000000"/>
                <w:sz w:val="20"/>
                <w:szCs w:val="20"/>
              </w:rPr>
              <w:t>-0.4</w:t>
            </w:r>
          </w:p>
        </w:tc>
        <w:tc>
          <w:tcPr>
            <w:tcW w:w="0" w:type="auto"/>
            <w:vAlign w:val="center"/>
          </w:tcPr>
          <w:p w14:paraId="326E9060" w14:textId="77777777" w:rsidR="005A6898" w:rsidRPr="00B03142" w:rsidRDefault="005A6898" w:rsidP="00E84180">
            <w:pPr>
              <w:spacing w:line="276" w:lineRule="auto"/>
              <w:jc w:val="center"/>
              <w:rPr>
                <w:rFonts w:ascii="Times New Roman" w:hAnsi="Times New Roman" w:cs="Times New Roman"/>
                <w:i/>
                <w:iCs/>
                <w:color w:val="000000"/>
                <w:sz w:val="20"/>
                <w:szCs w:val="20"/>
              </w:rPr>
            </w:pPr>
            <w:r w:rsidRPr="00B03142">
              <w:rPr>
                <w:rFonts w:ascii="Times New Roman" w:hAnsi="Times New Roman" w:cs="Times New Roman"/>
                <w:color w:val="000000"/>
                <w:sz w:val="20"/>
                <w:szCs w:val="20"/>
              </w:rPr>
              <w:t>6.1</w:t>
            </w:r>
          </w:p>
        </w:tc>
        <w:tc>
          <w:tcPr>
            <w:tcW w:w="0" w:type="auto"/>
            <w:vAlign w:val="center"/>
          </w:tcPr>
          <w:p w14:paraId="56A57C14" w14:textId="77777777" w:rsidR="005A6898" w:rsidRPr="00B03142" w:rsidRDefault="005A6898" w:rsidP="00E84180">
            <w:pPr>
              <w:spacing w:line="276" w:lineRule="auto"/>
              <w:jc w:val="center"/>
              <w:rPr>
                <w:rFonts w:ascii="Times New Roman" w:hAnsi="Times New Roman" w:cs="Times New Roman"/>
                <w:i/>
                <w:iCs/>
                <w:color w:val="000000"/>
                <w:sz w:val="20"/>
                <w:szCs w:val="20"/>
              </w:rPr>
            </w:pPr>
            <w:r w:rsidRPr="00B03142">
              <w:rPr>
                <w:rFonts w:ascii="Times New Roman" w:hAnsi="Times New Roman" w:cs="Times New Roman"/>
                <w:color w:val="000000"/>
                <w:sz w:val="20"/>
                <w:szCs w:val="20"/>
              </w:rPr>
              <w:t>3.7</w:t>
            </w:r>
          </w:p>
        </w:tc>
        <w:tc>
          <w:tcPr>
            <w:tcW w:w="0" w:type="auto"/>
            <w:vAlign w:val="center"/>
          </w:tcPr>
          <w:p w14:paraId="2595F6DD" w14:textId="77777777" w:rsidR="005A6898" w:rsidRPr="00B03142" w:rsidRDefault="005A6898" w:rsidP="00E84180">
            <w:pPr>
              <w:spacing w:line="276" w:lineRule="auto"/>
              <w:jc w:val="center"/>
              <w:rPr>
                <w:rFonts w:ascii="Times New Roman" w:hAnsi="Times New Roman" w:cs="Times New Roman"/>
                <w:i/>
                <w:iCs/>
                <w:color w:val="000000"/>
                <w:sz w:val="20"/>
                <w:szCs w:val="20"/>
              </w:rPr>
            </w:pPr>
            <w:r w:rsidRPr="00B03142">
              <w:rPr>
                <w:rFonts w:ascii="Times New Roman" w:hAnsi="Times New Roman" w:cs="Times New Roman"/>
                <w:color w:val="000000"/>
                <w:sz w:val="20"/>
                <w:szCs w:val="20"/>
              </w:rPr>
              <w:t>5.6</w:t>
            </w:r>
          </w:p>
        </w:tc>
        <w:tc>
          <w:tcPr>
            <w:tcW w:w="0" w:type="auto"/>
            <w:vAlign w:val="center"/>
          </w:tcPr>
          <w:p w14:paraId="052C4FD6" w14:textId="77777777" w:rsidR="005A6898" w:rsidRPr="00B03142" w:rsidRDefault="005A6898" w:rsidP="00E84180">
            <w:pPr>
              <w:spacing w:line="276" w:lineRule="auto"/>
              <w:jc w:val="center"/>
              <w:rPr>
                <w:rFonts w:ascii="Times New Roman" w:hAnsi="Times New Roman" w:cs="Times New Roman"/>
                <w:i/>
                <w:iCs/>
                <w:color w:val="000000"/>
                <w:sz w:val="20"/>
                <w:szCs w:val="20"/>
              </w:rPr>
            </w:pPr>
            <w:r w:rsidRPr="00B03142">
              <w:rPr>
                <w:rFonts w:ascii="Times New Roman" w:hAnsi="Times New Roman" w:cs="Times New Roman"/>
                <w:color w:val="000000"/>
                <w:sz w:val="20"/>
                <w:szCs w:val="20"/>
              </w:rPr>
              <w:t>7.9</w:t>
            </w:r>
          </w:p>
        </w:tc>
        <w:tc>
          <w:tcPr>
            <w:tcW w:w="0" w:type="auto"/>
            <w:vAlign w:val="center"/>
          </w:tcPr>
          <w:p w14:paraId="0FFF662A" w14:textId="77777777" w:rsidR="005A6898" w:rsidRPr="00B03142" w:rsidRDefault="005A6898" w:rsidP="00E84180">
            <w:pPr>
              <w:spacing w:line="276" w:lineRule="auto"/>
              <w:jc w:val="center"/>
              <w:rPr>
                <w:rFonts w:ascii="Times New Roman" w:hAnsi="Times New Roman" w:cs="Times New Roman"/>
                <w:i/>
                <w:iCs/>
                <w:color w:val="000000"/>
                <w:sz w:val="20"/>
                <w:szCs w:val="20"/>
              </w:rPr>
            </w:pPr>
            <w:r w:rsidRPr="00B03142">
              <w:rPr>
                <w:rFonts w:ascii="Times New Roman" w:hAnsi="Times New Roman" w:cs="Times New Roman"/>
                <w:color w:val="000000"/>
                <w:sz w:val="20"/>
                <w:szCs w:val="20"/>
              </w:rPr>
              <w:t>6.0</w:t>
            </w:r>
          </w:p>
        </w:tc>
        <w:tc>
          <w:tcPr>
            <w:tcW w:w="0" w:type="auto"/>
            <w:vAlign w:val="center"/>
          </w:tcPr>
          <w:p w14:paraId="53FF0D2F" w14:textId="77777777" w:rsidR="005A6898" w:rsidRPr="00B03142" w:rsidRDefault="005A6898" w:rsidP="00E84180">
            <w:pPr>
              <w:spacing w:line="276" w:lineRule="auto"/>
              <w:jc w:val="center"/>
              <w:rPr>
                <w:rFonts w:ascii="Times New Roman" w:hAnsi="Times New Roman" w:cs="Times New Roman"/>
                <w:i/>
                <w:iCs/>
                <w:color w:val="000000"/>
                <w:sz w:val="20"/>
                <w:szCs w:val="20"/>
              </w:rPr>
            </w:pPr>
            <w:r w:rsidRPr="00B03142">
              <w:rPr>
                <w:rFonts w:ascii="Times New Roman" w:hAnsi="Times New Roman" w:cs="Times New Roman"/>
                <w:color w:val="000000"/>
                <w:sz w:val="20"/>
                <w:szCs w:val="20"/>
              </w:rPr>
              <w:t>5.4</w:t>
            </w:r>
          </w:p>
        </w:tc>
        <w:tc>
          <w:tcPr>
            <w:tcW w:w="0" w:type="auto"/>
            <w:vAlign w:val="center"/>
          </w:tcPr>
          <w:p w14:paraId="7AA99931" w14:textId="77777777" w:rsidR="005A6898" w:rsidRPr="00B03142" w:rsidRDefault="005A6898" w:rsidP="00E84180">
            <w:pPr>
              <w:spacing w:line="276" w:lineRule="auto"/>
              <w:jc w:val="center"/>
              <w:rPr>
                <w:rFonts w:ascii="Times New Roman" w:hAnsi="Times New Roman" w:cs="Times New Roman"/>
                <w:i/>
                <w:iCs/>
                <w:color w:val="000000"/>
                <w:sz w:val="20"/>
                <w:szCs w:val="20"/>
              </w:rPr>
            </w:pPr>
            <w:r w:rsidRPr="00B03142">
              <w:rPr>
                <w:rFonts w:ascii="Times New Roman" w:hAnsi="Times New Roman" w:cs="Times New Roman"/>
                <w:color w:val="000000"/>
                <w:sz w:val="20"/>
                <w:szCs w:val="20"/>
              </w:rPr>
              <w:t>6.7</w:t>
            </w:r>
          </w:p>
        </w:tc>
        <w:tc>
          <w:tcPr>
            <w:tcW w:w="0" w:type="auto"/>
            <w:vAlign w:val="center"/>
          </w:tcPr>
          <w:p w14:paraId="5766D3D3" w14:textId="77777777" w:rsidR="005A6898" w:rsidRPr="00B03142" w:rsidRDefault="005A6898" w:rsidP="00E84180">
            <w:pPr>
              <w:spacing w:line="276" w:lineRule="auto"/>
              <w:jc w:val="center"/>
              <w:rPr>
                <w:rFonts w:ascii="Times New Roman" w:hAnsi="Times New Roman" w:cs="Times New Roman"/>
                <w:i/>
                <w:iCs/>
                <w:color w:val="000000"/>
                <w:sz w:val="20"/>
                <w:szCs w:val="20"/>
              </w:rPr>
            </w:pPr>
            <w:r w:rsidRPr="00B03142">
              <w:rPr>
                <w:rFonts w:ascii="Times New Roman" w:hAnsi="Times New Roman" w:cs="Times New Roman"/>
                <w:color w:val="000000"/>
                <w:sz w:val="20"/>
                <w:szCs w:val="20"/>
              </w:rPr>
              <w:t>4.8</w:t>
            </w:r>
          </w:p>
        </w:tc>
      </w:tr>
      <w:tr w:rsidR="005A6898" w:rsidRPr="00B03142" w14:paraId="5D7A03D7" w14:textId="77777777" w:rsidTr="005A6898">
        <w:trPr>
          <w:trHeight w:val="355"/>
          <w:jc w:val="center"/>
        </w:trPr>
        <w:tc>
          <w:tcPr>
            <w:tcW w:w="0" w:type="auto"/>
            <w:vAlign w:val="center"/>
          </w:tcPr>
          <w:p w14:paraId="0EF54445" w14:textId="77777777" w:rsidR="005A6898" w:rsidRPr="00B03142" w:rsidRDefault="005A6898" w:rsidP="00E84180">
            <w:pPr>
              <w:spacing w:line="276" w:lineRule="auto"/>
              <w:jc w:val="right"/>
              <w:rPr>
                <w:rFonts w:ascii="Times New Roman" w:hAnsi="Times New Roman" w:cs="Times New Roman"/>
                <w:b/>
                <w:bCs/>
                <w:i/>
                <w:iCs/>
                <w:color w:val="000000"/>
                <w:sz w:val="20"/>
                <w:szCs w:val="20"/>
              </w:rPr>
            </w:pPr>
            <w:r w:rsidRPr="00B03142">
              <w:rPr>
                <w:rFonts w:ascii="Times New Roman" w:hAnsi="Times New Roman" w:cs="Times New Roman"/>
                <w:b/>
                <w:bCs/>
                <w:color w:val="000000"/>
                <w:sz w:val="20"/>
                <w:szCs w:val="20"/>
              </w:rPr>
              <w:t>İstihdam değişimi</w:t>
            </w:r>
          </w:p>
        </w:tc>
        <w:tc>
          <w:tcPr>
            <w:tcW w:w="0" w:type="auto"/>
            <w:vAlign w:val="center"/>
          </w:tcPr>
          <w:p w14:paraId="7248CA61" w14:textId="77777777" w:rsidR="005A6898" w:rsidRPr="00B03142" w:rsidRDefault="005A6898" w:rsidP="00E84180">
            <w:pPr>
              <w:spacing w:line="276" w:lineRule="auto"/>
              <w:jc w:val="center"/>
              <w:rPr>
                <w:rFonts w:ascii="Times New Roman" w:hAnsi="Times New Roman" w:cs="Times New Roman"/>
                <w:i/>
                <w:iCs/>
                <w:color w:val="000000"/>
                <w:sz w:val="20"/>
                <w:szCs w:val="20"/>
              </w:rPr>
            </w:pPr>
            <w:r w:rsidRPr="00B03142">
              <w:rPr>
                <w:rFonts w:ascii="Times New Roman" w:hAnsi="Times New Roman" w:cs="Times New Roman"/>
                <w:color w:val="000000"/>
                <w:sz w:val="20"/>
                <w:szCs w:val="20"/>
              </w:rPr>
              <w:t>-1.6</w:t>
            </w:r>
          </w:p>
        </w:tc>
        <w:tc>
          <w:tcPr>
            <w:tcW w:w="0" w:type="auto"/>
            <w:vAlign w:val="center"/>
          </w:tcPr>
          <w:p w14:paraId="6D88D7BB" w14:textId="77777777" w:rsidR="005A6898" w:rsidRPr="00B03142" w:rsidRDefault="005A6898" w:rsidP="00E84180">
            <w:pPr>
              <w:spacing w:line="276" w:lineRule="auto"/>
              <w:jc w:val="center"/>
              <w:rPr>
                <w:rFonts w:ascii="Times New Roman" w:hAnsi="Times New Roman" w:cs="Times New Roman"/>
                <w:i/>
                <w:iCs/>
                <w:color w:val="000000"/>
                <w:sz w:val="20"/>
                <w:szCs w:val="20"/>
              </w:rPr>
            </w:pPr>
            <w:r w:rsidRPr="00B03142">
              <w:rPr>
                <w:rFonts w:ascii="Times New Roman" w:hAnsi="Times New Roman" w:cs="Times New Roman"/>
                <w:color w:val="000000"/>
                <w:sz w:val="20"/>
                <w:szCs w:val="20"/>
              </w:rPr>
              <w:t>-0.5</w:t>
            </w:r>
          </w:p>
        </w:tc>
        <w:tc>
          <w:tcPr>
            <w:tcW w:w="0" w:type="auto"/>
            <w:vAlign w:val="center"/>
          </w:tcPr>
          <w:p w14:paraId="35C921BC" w14:textId="77777777" w:rsidR="005A6898" w:rsidRPr="00B03142" w:rsidRDefault="005A6898" w:rsidP="00E84180">
            <w:pPr>
              <w:spacing w:line="276" w:lineRule="auto"/>
              <w:jc w:val="center"/>
              <w:rPr>
                <w:rFonts w:ascii="Times New Roman" w:hAnsi="Times New Roman" w:cs="Times New Roman"/>
                <w:i/>
                <w:iCs/>
                <w:color w:val="000000"/>
                <w:sz w:val="20"/>
                <w:szCs w:val="20"/>
              </w:rPr>
            </w:pPr>
            <w:r w:rsidRPr="00B03142">
              <w:rPr>
                <w:rFonts w:ascii="Times New Roman" w:hAnsi="Times New Roman" w:cs="Times New Roman"/>
                <w:color w:val="000000"/>
                <w:sz w:val="20"/>
                <w:szCs w:val="20"/>
              </w:rPr>
              <w:t>4.8</w:t>
            </w:r>
          </w:p>
        </w:tc>
        <w:tc>
          <w:tcPr>
            <w:tcW w:w="0" w:type="auto"/>
            <w:vAlign w:val="center"/>
          </w:tcPr>
          <w:p w14:paraId="00200C6E" w14:textId="77777777" w:rsidR="005A6898" w:rsidRPr="00B03142" w:rsidRDefault="005A6898" w:rsidP="00E84180">
            <w:pPr>
              <w:spacing w:line="276" w:lineRule="auto"/>
              <w:jc w:val="center"/>
              <w:rPr>
                <w:rFonts w:ascii="Times New Roman" w:hAnsi="Times New Roman" w:cs="Times New Roman"/>
                <w:i/>
                <w:iCs/>
                <w:color w:val="000000"/>
                <w:sz w:val="20"/>
                <w:szCs w:val="20"/>
              </w:rPr>
            </w:pPr>
            <w:r w:rsidRPr="00B03142">
              <w:rPr>
                <w:rFonts w:ascii="Times New Roman" w:hAnsi="Times New Roman" w:cs="Times New Roman"/>
                <w:color w:val="000000"/>
                <w:sz w:val="20"/>
                <w:szCs w:val="20"/>
              </w:rPr>
              <w:t>0.1</w:t>
            </w:r>
          </w:p>
        </w:tc>
        <w:tc>
          <w:tcPr>
            <w:tcW w:w="0" w:type="auto"/>
            <w:vAlign w:val="center"/>
          </w:tcPr>
          <w:p w14:paraId="68899759" w14:textId="77777777" w:rsidR="005A6898" w:rsidRPr="00B03142" w:rsidRDefault="005A6898" w:rsidP="00E84180">
            <w:pPr>
              <w:spacing w:line="276" w:lineRule="auto"/>
              <w:jc w:val="center"/>
              <w:rPr>
                <w:rFonts w:ascii="Times New Roman" w:hAnsi="Times New Roman" w:cs="Times New Roman"/>
                <w:i/>
                <w:iCs/>
                <w:color w:val="000000"/>
                <w:sz w:val="20"/>
                <w:szCs w:val="20"/>
              </w:rPr>
            </w:pPr>
            <w:r w:rsidRPr="00B03142">
              <w:rPr>
                <w:rFonts w:ascii="Times New Roman" w:hAnsi="Times New Roman" w:cs="Times New Roman"/>
                <w:color w:val="000000"/>
                <w:sz w:val="20"/>
                <w:szCs w:val="20"/>
              </w:rPr>
              <w:t>2.4</w:t>
            </w:r>
          </w:p>
        </w:tc>
        <w:tc>
          <w:tcPr>
            <w:tcW w:w="0" w:type="auto"/>
            <w:vAlign w:val="center"/>
          </w:tcPr>
          <w:p w14:paraId="018024CD" w14:textId="77777777" w:rsidR="005A6898" w:rsidRPr="00B03142" w:rsidRDefault="005A6898" w:rsidP="00E84180">
            <w:pPr>
              <w:spacing w:line="276" w:lineRule="auto"/>
              <w:jc w:val="center"/>
              <w:rPr>
                <w:rFonts w:ascii="Times New Roman" w:hAnsi="Times New Roman" w:cs="Times New Roman"/>
                <w:i/>
                <w:iCs/>
                <w:color w:val="000000"/>
                <w:sz w:val="20"/>
                <w:szCs w:val="20"/>
              </w:rPr>
            </w:pPr>
            <w:r w:rsidRPr="00B03142">
              <w:rPr>
                <w:rFonts w:ascii="Times New Roman" w:hAnsi="Times New Roman" w:cs="Times New Roman"/>
                <w:color w:val="000000"/>
                <w:sz w:val="20"/>
                <w:szCs w:val="20"/>
              </w:rPr>
              <w:t>4.3</w:t>
            </w:r>
          </w:p>
        </w:tc>
        <w:tc>
          <w:tcPr>
            <w:tcW w:w="0" w:type="auto"/>
            <w:vAlign w:val="center"/>
          </w:tcPr>
          <w:p w14:paraId="2C108AD1" w14:textId="77777777" w:rsidR="005A6898" w:rsidRPr="00B03142" w:rsidRDefault="005A6898" w:rsidP="00E84180">
            <w:pPr>
              <w:spacing w:line="276" w:lineRule="auto"/>
              <w:jc w:val="center"/>
              <w:rPr>
                <w:rFonts w:ascii="Times New Roman" w:hAnsi="Times New Roman" w:cs="Times New Roman"/>
                <w:i/>
                <w:iCs/>
                <w:color w:val="000000"/>
                <w:sz w:val="20"/>
                <w:szCs w:val="20"/>
              </w:rPr>
            </w:pPr>
            <w:r w:rsidRPr="00B03142">
              <w:rPr>
                <w:rFonts w:ascii="Times New Roman" w:hAnsi="Times New Roman" w:cs="Times New Roman"/>
                <w:color w:val="000000"/>
                <w:sz w:val="20"/>
                <w:szCs w:val="20"/>
              </w:rPr>
              <w:t>4.6</w:t>
            </w:r>
          </w:p>
        </w:tc>
        <w:tc>
          <w:tcPr>
            <w:tcW w:w="0" w:type="auto"/>
            <w:vAlign w:val="center"/>
          </w:tcPr>
          <w:p w14:paraId="11AA2C34" w14:textId="77777777" w:rsidR="005A6898" w:rsidRPr="00B03142" w:rsidRDefault="005A6898" w:rsidP="00E84180">
            <w:pPr>
              <w:spacing w:line="276" w:lineRule="auto"/>
              <w:jc w:val="center"/>
              <w:rPr>
                <w:rFonts w:ascii="Times New Roman" w:hAnsi="Times New Roman" w:cs="Times New Roman"/>
                <w:i/>
                <w:iCs/>
                <w:color w:val="000000"/>
                <w:sz w:val="20"/>
                <w:szCs w:val="20"/>
              </w:rPr>
            </w:pPr>
            <w:r w:rsidRPr="00B03142">
              <w:rPr>
                <w:rFonts w:ascii="Times New Roman" w:hAnsi="Times New Roman" w:cs="Times New Roman"/>
                <w:color w:val="000000"/>
                <w:sz w:val="20"/>
                <w:szCs w:val="20"/>
              </w:rPr>
              <w:t>2.7</w:t>
            </w:r>
          </w:p>
        </w:tc>
        <w:tc>
          <w:tcPr>
            <w:tcW w:w="0" w:type="auto"/>
            <w:vAlign w:val="center"/>
          </w:tcPr>
          <w:p w14:paraId="486E6F50" w14:textId="77777777" w:rsidR="005A6898" w:rsidRPr="00B03142" w:rsidRDefault="005A6898" w:rsidP="00E84180">
            <w:pPr>
              <w:spacing w:line="276" w:lineRule="auto"/>
              <w:jc w:val="center"/>
              <w:rPr>
                <w:rFonts w:ascii="Times New Roman" w:hAnsi="Times New Roman" w:cs="Times New Roman"/>
                <w:i/>
                <w:iCs/>
                <w:color w:val="000000"/>
                <w:sz w:val="20"/>
                <w:szCs w:val="20"/>
              </w:rPr>
            </w:pPr>
            <w:r w:rsidRPr="00B03142">
              <w:rPr>
                <w:rFonts w:ascii="Times New Roman" w:hAnsi="Times New Roman" w:cs="Times New Roman"/>
                <w:color w:val="000000"/>
                <w:sz w:val="20"/>
                <w:szCs w:val="20"/>
              </w:rPr>
              <w:t>1.2</w:t>
            </w:r>
          </w:p>
        </w:tc>
        <w:tc>
          <w:tcPr>
            <w:tcW w:w="0" w:type="auto"/>
            <w:vAlign w:val="center"/>
          </w:tcPr>
          <w:p w14:paraId="4FB13CE5" w14:textId="77777777" w:rsidR="005A6898" w:rsidRPr="00B03142" w:rsidRDefault="005A6898" w:rsidP="00E84180">
            <w:pPr>
              <w:spacing w:line="276" w:lineRule="auto"/>
              <w:jc w:val="center"/>
              <w:rPr>
                <w:rFonts w:ascii="Times New Roman" w:hAnsi="Times New Roman" w:cs="Times New Roman"/>
                <w:i/>
                <w:iCs/>
                <w:color w:val="000000"/>
                <w:sz w:val="20"/>
                <w:szCs w:val="20"/>
              </w:rPr>
            </w:pPr>
            <w:r w:rsidRPr="00B03142">
              <w:rPr>
                <w:rFonts w:ascii="Times New Roman" w:hAnsi="Times New Roman" w:cs="Times New Roman"/>
                <w:color w:val="000000"/>
                <w:sz w:val="20"/>
                <w:szCs w:val="20"/>
              </w:rPr>
              <w:t>1.4</w:t>
            </w:r>
          </w:p>
        </w:tc>
      </w:tr>
    </w:tbl>
    <w:p w14:paraId="3040FFF5" w14:textId="7016A1D5" w:rsidR="00B06A66" w:rsidRDefault="005A6898" w:rsidP="00323F3E">
      <w:pPr>
        <w:autoSpaceDE w:val="0"/>
        <w:autoSpaceDN w:val="0"/>
        <w:adjustRightInd w:val="0"/>
        <w:spacing w:after="0" w:line="276" w:lineRule="auto"/>
        <w:ind w:firstLine="360"/>
        <w:jc w:val="both"/>
        <w:rPr>
          <w:rFonts w:ascii="Times New Roman" w:hAnsi="Times New Roman" w:cs="Times New Roman"/>
          <w:sz w:val="16"/>
          <w:szCs w:val="18"/>
        </w:rPr>
      </w:pPr>
      <w:r w:rsidRPr="00E35968">
        <w:rPr>
          <w:rFonts w:ascii="Times New Roman" w:hAnsi="Times New Roman" w:cs="Times New Roman"/>
          <w:sz w:val="16"/>
          <w:szCs w:val="18"/>
        </w:rPr>
        <w:t>Kaynak: TCMB, TBB Risk Merkezi</w:t>
      </w:r>
    </w:p>
    <w:p w14:paraId="69CEB3A5" w14:textId="77777777" w:rsidR="000E5587" w:rsidRDefault="000E5587" w:rsidP="00323F3E">
      <w:pPr>
        <w:autoSpaceDE w:val="0"/>
        <w:autoSpaceDN w:val="0"/>
        <w:adjustRightInd w:val="0"/>
        <w:spacing w:after="0" w:line="276" w:lineRule="auto"/>
        <w:ind w:firstLine="360"/>
        <w:jc w:val="both"/>
        <w:rPr>
          <w:rFonts w:ascii="Times New Roman" w:hAnsi="Times New Roman" w:cs="Times New Roman"/>
          <w:sz w:val="16"/>
          <w:szCs w:val="18"/>
        </w:rPr>
      </w:pPr>
    </w:p>
    <w:p w14:paraId="06E15677" w14:textId="7C940685" w:rsidR="004455F1" w:rsidRPr="008301C6" w:rsidRDefault="00190899" w:rsidP="00ED698B">
      <w:pPr>
        <w:autoSpaceDE w:val="0"/>
        <w:autoSpaceDN w:val="0"/>
        <w:adjustRightInd w:val="0"/>
        <w:spacing w:after="0" w:line="276" w:lineRule="auto"/>
        <w:ind w:firstLine="360"/>
        <w:jc w:val="both"/>
        <w:rPr>
          <w:rFonts w:ascii="Times New Roman" w:hAnsi="Times New Roman" w:cs="Times New Roman"/>
          <w:sz w:val="24"/>
          <w:szCs w:val="24"/>
        </w:rPr>
      </w:pPr>
      <w:r w:rsidRPr="00B03142">
        <w:rPr>
          <w:rFonts w:ascii="Times New Roman" w:hAnsi="Times New Roman" w:cs="Times New Roman"/>
          <w:sz w:val="24"/>
          <w:szCs w:val="24"/>
        </w:rPr>
        <w:t>Toplam y</w:t>
      </w:r>
      <w:r w:rsidR="008F3957" w:rsidRPr="00B03142">
        <w:rPr>
          <w:rFonts w:ascii="Times New Roman" w:hAnsi="Times New Roman" w:cs="Times New Roman"/>
          <w:sz w:val="24"/>
          <w:szCs w:val="24"/>
        </w:rPr>
        <w:t xml:space="preserve">ıllık ortalama reel kredi artışının yüzde 25,9 olduğu </w:t>
      </w:r>
      <w:r w:rsidR="008517B7" w:rsidRPr="00B03142">
        <w:rPr>
          <w:rFonts w:ascii="Times New Roman" w:hAnsi="Times New Roman" w:cs="Times New Roman"/>
          <w:sz w:val="24"/>
          <w:szCs w:val="24"/>
        </w:rPr>
        <w:t xml:space="preserve">2004-2008 </w:t>
      </w:r>
      <w:r w:rsidR="008F3957" w:rsidRPr="00B03142">
        <w:rPr>
          <w:rFonts w:ascii="Times New Roman" w:hAnsi="Times New Roman" w:cs="Times New Roman"/>
          <w:sz w:val="24"/>
          <w:szCs w:val="24"/>
        </w:rPr>
        <w:t>dönem</w:t>
      </w:r>
      <w:r w:rsidR="008517B7" w:rsidRPr="00B03142">
        <w:rPr>
          <w:rFonts w:ascii="Times New Roman" w:hAnsi="Times New Roman" w:cs="Times New Roman"/>
          <w:sz w:val="24"/>
          <w:szCs w:val="24"/>
        </w:rPr>
        <w:t>in</w:t>
      </w:r>
      <w:r w:rsidR="008F3957" w:rsidRPr="00B03142">
        <w:rPr>
          <w:rFonts w:ascii="Times New Roman" w:hAnsi="Times New Roman" w:cs="Times New Roman"/>
          <w:sz w:val="24"/>
          <w:szCs w:val="24"/>
        </w:rPr>
        <w:t xml:space="preserve">de, İNŞ sektöründe </w:t>
      </w:r>
      <w:r w:rsidR="007F3D59">
        <w:rPr>
          <w:rFonts w:ascii="Times New Roman" w:hAnsi="Times New Roman" w:cs="Times New Roman"/>
          <w:sz w:val="24"/>
          <w:szCs w:val="24"/>
        </w:rPr>
        <w:t xml:space="preserve">reel kredi </w:t>
      </w:r>
      <w:r w:rsidR="007F3D59" w:rsidRPr="008301C6">
        <w:rPr>
          <w:rFonts w:ascii="Times New Roman" w:hAnsi="Times New Roman" w:cs="Times New Roman"/>
          <w:sz w:val="24"/>
          <w:szCs w:val="24"/>
        </w:rPr>
        <w:t>artışı</w:t>
      </w:r>
      <w:r w:rsidR="008F3957" w:rsidRPr="008301C6">
        <w:rPr>
          <w:rFonts w:ascii="Times New Roman" w:hAnsi="Times New Roman" w:cs="Times New Roman"/>
          <w:sz w:val="24"/>
          <w:szCs w:val="24"/>
        </w:rPr>
        <w:t xml:space="preserve"> yüzde 36,2 olmuştur. </w:t>
      </w:r>
      <w:r w:rsidR="00D87CC8" w:rsidRPr="008301C6">
        <w:rPr>
          <w:rFonts w:ascii="Times New Roman" w:hAnsi="Times New Roman" w:cs="Times New Roman"/>
          <w:sz w:val="24"/>
          <w:szCs w:val="24"/>
        </w:rPr>
        <w:t xml:space="preserve">Bu </w:t>
      </w:r>
      <w:r w:rsidR="008F3957" w:rsidRPr="008301C6">
        <w:rPr>
          <w:rFonts w:ascii="Times New Roman" w:hAnsi="Times New Roman" w:cs="Times New Roman"/>
          <w:sz w:val="24"/>
          <w:szCs w:val="24"/>
        </w:rPr>
        <w:t>dönemde Türkiye ekonomisi</w:t>
      </w:r>
      <w:r w:rsidR="003150BA" w:rsidRPr="008301C6">
        <w:rPr>
          <w:rFonts w:ascii="Times New Roman" w:hAnsi="Times New Roman" w:cs="Times New Roman"/>
          <w:sz w:val="24"/>
          <w:szCs w:val="24"/>
        </w:rPr>
        <w:t xml:space="preserve"> </w:t>
      </w:r>
      <w:r w:rsidR="008F3957" w:rsidRPr="008301C6">
        <w:rPr>
          <w:rFonts w:ascii="Times New Roman" w:hAnsi="Times New Roman" w:cs="Times New Roman"/>
          <w:sz w:val="24"/>
          <w:szCs w:val="24"/>
        </w:rPr>
        <w:t xml:space="preserve">yıllık ortalama yüzde 6 büyürken, İNŞ sektöründeki </w:t>
      </w:r>
      <w:r w:rsidR="008F3957" w:rsidRPr="00B03142">
        <w:rPr>
          <w:rFonts w:ascii="Times New Roman" w:hAnsi="Times New Roman" w:cs="Times New Roman"/>
          <w:sz w:val="24"/>
          <w:szCs w:val="24"/>
        </w:rPr>
        <w:t>yıllık ortalama büyüme</w:t>
      </w:r>
      <w:r w:rsidR="003150BA" w:rsidRPr="00B03142">
        <w:rPr>
          <w:rFonts w:ascii="Times New Roman" w:hAnsi="Times New Roman" w:cs="Times New Roman"/>
          <w:sz w:val="24"/>
          <w:szCs w:val="24"/>
        </w:rPr>
        <w:t xml:space="preserve"> yüzde 13</w:t>
      </w:r>
      <w:r w:rsidR="008517B7" w:rsidRPr="00B03142">
        <w:rPr>
          <w:rFonts w:ascii="Times New Roman" w:hAnsi="Times New Roman" w:cs="Times New Roman"/>
          <w:sz w:val="24"/>
          <w:szCs w:val="24"/>
        </w:rPr>
        <w:t>,</w:t>
      </w:r>
      <w:r w:rsidR="003150BA" w:rsidRPr="00B03142">
        <w:rPr>
          <w:rFonts w:ascii="Times New Roman" w:hAnsi="Times New Roman" w:cs="Times New Roman"/>
          <w:sz w:val="24"/>
          <w:szCs w:val="24"/>
        </w:rPr>
        <w:t xml:space="preserve">5 olmuştur. </w:t>
      </w:r>
      <w:r w:rsidR="008517B7" w:rsidRPr="00B03142">
        <w:rPr>
          <w:rFonts w:ascii="Times New Roman" w:hAnsi="Times New Roman" w:cs="Times New Roman"/>
          <w:sz w:val="24"/>
          <w:szCs w:val="24"/>
        </w:rPr>
        <w:t xml:space="preserve">Benzer şekilde bu dönemde yıllık ortalama istihdam artışı </w:t>
      </w:r>
      <w:r w:rsidR="00847254" w:rsidRPr="00B03142">
        <w:rPr>
          <w:rFonts w:ascii="Times New Roman" w:hAnsi="Times New Roman" w:cs="Times New Roman"/>
          <w:sz w:val="24"/>
          <w:szCs w:val="24"/>
        </w:rPr>
        <w:t xml:space="preserve">tüm ekonomide </w:t>
      </w:r>
      <w:r w:rsidR="008517B7" w:rsidRPr="00B03142">
        <w:rPr>
          <w:rFonts w:ascii="Times New Roman" w:hAnsi="Times New Roman" w:cs="Times New Roman"/>
          <w:sz w:val="24"/>
          <w:szCs w:val="24"/>
        </w:rPr>
        <w:t xml:space="preserve">yüzde 1,8 </w:t>
      </w:r>
      <w:r w:rsidR="00847254" w:rsidRPr="00B03142">
        <w:rPr>
          <w:rFonts w:ascii="Times New Roman" w:hAnsi="Times New Roman" w:cs="Times New Roman"/>
          <w:sz w:val="24"/>
          <w:szCs w:val="24"/>
        </w:rPr>
        <w:t>iken İNŞ sektöründeki istihdam artışı yüzde 7,7 olmuştur</w:t>
      </w:r>
      <w:r w:rsidR="00847254" w:rsidRPr="008301C6">
        <w:rPr>
          <w:rFonts w:ascii="Times New Roman" w:hAnsi="Times New Roman" w:cs="Times New Roman"/>
          <w:sz w:val="24"/>
          <w:szCs w:val="24"/>
        </w:rPr>
        <w:t>.</w:t>
      </w:r>
      <w:r w:rsidR="00711E6D" w:rsidRPr="008301C6">
        <w:rPr>
          <w:rFonts w:ascii="Times New Roman" w:hAnsi="Times New Roman" w:cs="Times New Roman"/>
          <w:sz w:val="24"/>
          <w:szCs w:val="24"/>
        </w:rPr>
        <w:t xml:space="preserve"> </w:t>
      </w:r>
      <w:r w:rsidR="00E224AB" w:rsidRPr="008301C6">
        <w:rPr>
          <w:rFonts w:ascii="Times New Roman" w:hAnsi="Times New Roman" w:cs="Times New Roman"/>
          <w:sz w:val="24"/>
          <w:szCs w:val="24"/>
        </w:rPr>
        <w:t>Bununla birlikte DKÖH ve TİC sektörlerinde</w:t>
      </w:r>
      <w:r w:rsidR="001C5A2E" w:rsidRPr="008301C6">
        <w:rPr>
          <w:rFonts w:ascii="Times New Roman" w:hAnsi="Times New Roman" w:cs="Times New Roman"/>
          <w:sz w:val="24"/>
          <w:szCs w:val="24"/>
        </w:rPr>
        <w:t xml:space="preserve"> de </w:t>
      </w:r>
      <w:r w:rsidR="00930F45">
        <w:rPr>
          <w:rFonts w:ascii="Times New Roman" w:hAnsi="Times New Roman" w:cs="Times New Roman"/>
          <w:sz w:val="24"/>
          <w:szCs w:val="24"/>
        </w:rPr>
        <w:t>toplam kredi artışının</w:t>
      </w:r>
      <w:r w:rsidR="00E224AB" w:rsidRPr="008301C6">
        <w:rPr>
          <w:rFonts w:ascii="Times New Roman" w:hAnsi="Times New Roman" w:cs="Times New Roman"/>
          <w:sz w:val="24"/>
          <w:szCs w:val="24"/>
        </w:rPr>
        <w:t xml:space="preserve"> çok üzerinde bir artış olmasına rağmen reel göstergelerinde İNŞ’dekine benzer bir ayrışma gözlenmemektedir.</w:t>
      </w:r>
      <w:r w:rsidR="00255720">
        <w:rPr>
          <w:rFonts w:ascii="Times New Roman" w:hAnsi="Times New Roman" w:cs="Times New Roman"/>
          <w:sz w:val="24"/>
          <w:szCs w:val="24"/>
        </w:rPr>
        <w:t xml:space="preserve"> Diğer taraftan İMA sektöründeki reel kredi artışı ortalamanın oldukça altında kalmasına rağmen büyüme performansı İNŞ sektöründen sonra ikinci sıradadır.</w:t>
      </w:r>
    </w:p>
    <w:p w14:paraId="5FF5DC9B" w14:textId="593B16A3" w:rsidR="00783F7F" w:rsidRPr="00B03142" w:rsidRDefault="00783F7F" w:rsidP="00ED698B">
      <w:pPr>
        <w:autoSpaceDE w:val="0"/>
        <w:autoSpaceDN w:val="0"/>
        <w:adjustRightInd w:val="0"/>
        <w:spacing w:after="0" w:line="276" w:lineRule="auto"/>
        <w:ind w:firstLine="360"/>
        <w:jc w:val="both"/>
        <w:rPr>
          <w:rFonts w:ascii="Times New Roman" w:hAnsi="Times New Roman" w:cs="Times New Roman"/>
          <w:sz w:val="24"/>
          <w:szCs w:val="24"/>
        </w:rPr>
      </w:pPr>
      <w:r w:rsidRPr="00B03142">
        <w:rPr>
          <w:rFonts w:ascii="Times New Roman" w:hAnsi="Times New Roman" w:cs="Times New Roman"/>
          <w:sz w:val="24"/>
          <w:szCs w:val="24"/>
        </w:rPr>
        <w:t>Kredi artışlarının küresel parasal genişleme kaynaklı olduğu 2010-2015 döneminde</w:t>
      </w:r>
      <w:r w:rsidR="00395450" w:rsidRPr="00B03142">
        <w:rPr>
          <w:rFonts w:ascii="Times New Roman" w:hAnsi="Times New Roman" w:cs="Times New Roman"/>
          <w:sz w:val="24"/>
          <w:szCs w:val="24"/>
        </w:rPr>
        <w:t xml:space="preserve"> yıllık ortalama kredi artışı yüzde 20,6 ile toplam artışın üzerinde olan İNŞ </w:t>
      </w:r>
      <w:r w:rsidR="004D4B64" w:rsidRPr="00B03142">
        <w:rPr>
          <w:rFonts w:ascii="Times New Roman" w:hAnsi="Times New Roman" w:cs="Times New Roman"/>
          <w:sz w:val="24"/>
          <w:szCs w:val="24"/>
        </w:rPr>
        <w:t>bir önceki dönemde olduğu</w:t>
      </w:r>
      <w:r w:rsidR="00930F45">
        <w:rPr>
          <w:rFonts w:ascii="Times New Roman" w:hAnsi="Times New Roman" w:cs="Times New Roman"/>
          <w:sz w:val="24"/>
          <w:szCs w:val="24"/>
        </w:rPr>
        <w:t xml:space="preserve"> </w:t>
      </w:r>
      <w:r w:rsidR="004D4B64" w:rsidRPr="00B03142">
        <w:rPr>
          <w:rFonts w:ascii="Times New Roman" w:hAnsi="Times New Roman" w:cs="Times New Roman"/>
          <w:sz w:val="24"/>
          <w:szCs w:val="24"/>
        </w:rPr>
        <w:t xml:space="preserve">gibi </w:t>
      </w:r>
      <w:r w:rsidR="00395450" w:rsidRPr="00B03142">
        <w:rPr>
          <w:rFonts w:ascii="Times New Roman" w:hAnsi="Times New Roman" w:cs="Times New Roman"/>
          <w:sz w:val="24"/>
          <w:szCs w:val="24"/>
        </w:rPr>
        <w:t xml:space="preserve">dönemin en yüksek büyüme performansını sergileyen sektör olmuştur. Bu dönemde ekonomi </w:t>
      </w:r>
      <w:r w:rsidR="00395450" w:rsidRPr="00B03142">
        <w:rPr>
          <w:rFonts w:ascii="Times New Roman" w:hAnsi="Times New Roman" w:cs="Times New Roman"/>
          <w:sz w:val="24"/>
          <w:szCs w:val="24"/>
        </w:rPr>
        <w:lastRenderedPageBreak/>
        <w:t>ortalama yüzde 7,1 büyürken İNŞ</w:t>
      </w:r>
      <w:r w:rsidR="00A17DFA" w:rsidRPr="00B03142">
        <w:rPr>
          <w:rFonts w:ascii="Times New Roman" w:hAnsi="Times New Roman" w:cs="Times New Roman"/>
          <w:sz w:val="24"/>
          <w:szCs w:val="24"/>
        </w:rPr>
        <w:t xml:space="preserve"> yüzde 12,3 büyümüştür.</w:t>
      </w:r>
      <w:r w:rsidR="00175BE1" w:rsidRPr="00B03142">
        <w:rPr>
          <w:rFonts w:ascii="Times New Roman" w:hAnsi="Times New Roman" w:cs="Times New Roman"/>
          <w:sz w:val="24"/>
          <w:szCs w:val="24"/>
        </w:rPr>
        <w:t xml:space="preserve"> Yıllık ortalama istihdam artışı yüzde 6,7 ile toplam istihdam artışının üzerindedir. Bu dönem en yüksek kredi artışı yüzde 26,4 ile EGS sektöründe gözlenmiştir. EGS yüksek kredi büyümesine sahip olduğu bu dönemde yıllık ortalama yüzde 8,9 büyüyürek İNŞ</w:t>
      </w:r>
      <w:r w:rsidR="004A22E4" w:rsidRPr="00B03142">
        <w:rPr>
          <w:rFonts w:ascii="Times New Roman" w:hAnsi="Times New Roman" w:cs="Times New Roman"/>
          <w:sz w:val="24"/>
          <w:szCs w:val="24"/>
        </w:rPr>
        <w:t xml:space="preserve"> ve TİC’den</w:t>
      </w:r>
      <w:r w:rsidR="003C1732">
        <w:rPr>
          <w:rFonts w:ascii="Times New Roman" w:hAnsi="Times New Roman" w:cs="Times New Roman"/>
          <w:sz w:val="24"/>
          <w:szCs w:val="24"/>
        </w:rPr>
        <w:t xml:space="preserve"> sonra dönemin en fazla büyüy</w:t>
      </w:r>
      <w:r w:rsidR="00175BE1" w:rsidRPr="00B03142">
        <w:rPr>
          <w:rFonts w:ascii="Times New Roman" w:hAnsi="Times New Roman" w:cs="Times New Roman"/>
          <w:sz w:val="24"/>
          <w:szCs w:val="24"/>
        </w:rPr>
        <w:t xml:space="preserve">en </w:t>
      </w:r>
      <w:r w:rsidR="004A22E4" w:rsidRPr="00B03142">
        <w:rPr>
          <w:rFonts w:ascii="Times New Roman" w:hAnsi="Times New Roman" w:cs="Times New Roman"/>
          <w:sz w:val="24"/>
          <w:szCs w:val="24"/>
        </w:rPr>
        <w:t>üçüncü</w:t>
      </w:r>
      <w:r w:rsidR="00175BE1" w:rsidRPr="00B03142">
        <w:rPr>
          <w:rFonts w:ascii="Times New Roman" w:hAnsi="Times New Roman" w:cs="Times New Roman"/>
          <w:sz w:val="24"/>
          <w:szCs w:val="24"/>
        </w:rPr>
        <w:t xml:space="preserve"> sektörü olmuştur. Yıllık ortalama yüzde 15,4’lük ist</w:t>
      </w:r>
      <w:r w:rsidR="007B262C" w:rsidRPr="00B03142">
        <w:rPr>
          <w:rFonts w:ascii="Times New Roman" w:hAnsi="Times New Roman" w:cs="Times New Roman"/>
          <w:sz w:val="24"/>
          <w:szCs w:val="24"/>
        </w:rPr>
        <w:t>ih</w:t>
      </w:r>
      <w:r w:rsidR="00175BE1" w:rsidRPr="00B03142">
        <w:rPr>
          <w:rFonts w:ascii="Times New Roman" w:hAnsi="Times New Roman" w:cs="Times New Roman"/>
          <w:sz w:val="24"/>
          <w:szCs w:val="24"/>
        </w:rPr>
        <w:t xml:space="preserve">dam artışıyla </w:t>
      </w:r>
      <w:r w:rsidR="004A22E4" w:rsidRPr="00B03142">
        <w:rPr>
          <w:rFonts w:ascii="Times New Roman" w:hAnsi="Times New Roman" w:cs="Times New Roman"/>
          <w:sz w:val="24"/>
          <w:szCs w:val="24"/>
        </w:rPr>
        <w:t xml:space="preserve">ise </w:t>
      </w:r>
      <w:r w:rsidR="00175BE1" w:rsidRPr="00B03142">
        <w:rPr>
          <w:rFonts w:ascii="Times New Roman" w:hAnsi="Times New Roman" w:cs="Times New Roman"/>
          <w:sz w:val="24"/>
          <w:szCs w:val="24"/>
        </w:rPr>
        <w:t>dönemin en fazla istihdam yaratan ilk sektörü olmuştur.</w:t>
      </w:r>
      <w:r w:rsidR="004A22E4" w:rsidRPr="00B03142">
        <w:rPr>
          <w:rFonts w:ascii="Times New Roman" w:hAnsi="Times New Roman" w:cs="Times New Roman"/>
          <w:sz w:val="24"/>
          <w:szCs w:val="24"/>
        </w:rPr>
        <w:t xml:space="preserve"> TİC de İNŞ’</w:t>
      </w:r>
      <w:r w:rsidR="004B6A00" w:rsidRPr="00B03142">
        <w:rPr>
          <w:rFonts w:ascii="Times New Roman" w:hAnsi="Times New Roman" w:cs="Times New Roman"/>
          <w:sz w:val="24"/>
          <w:szCs w:val="24"/>
        </w:rPr>
        <w:t>d</w:t>
      </w:r>
      <w:r w:rsidR="004A22E4" w:rsidRPr="00B03142">
        <w:rPr>
          <w:rFonts w:ascii="Times New Roman" w:hAnsi="Times New Roman" w:cs="Times New Roman"/>
          <w:sz w:val="24"/>
          <w:szCs w:val="24"/>
        </w:rPr>
        <w:t>eki</w:t>
      </w:r>
      <w:r w:rsidR="004B6A00" w:rsidRPr="00B03142">
        <w:rPr>
          <w:rFonts w:ascii="Times New Roman" w:hAnsi="Times New Roman" w:cs="Times New Roman"/>
          <w:sz w:val="24"/>
          <w:szCs w:val="24"/>
        </w:rPr>
        <w:t>ne</w:t>
      </w:r>
      <w:r w:rsidR="004A22E4" w:rsidRPr="00B03142">
        <w:rPr>
          <w:rFonts w:ascii="Times New Roman" w:hAnsi="Times New Roman" w:cs="Times New Roman"/>
          <w:sz w:val="24"/>
          <w:szCs w:val="24"/>
        </w:rPr>
        <w:t xml:space="preserve"> benzer bir reel kredi artışı yaşamıştır </w:t>
      </w:r>
      <w:r w:rsidR="00930F45">
        <w:rPr>
          <w:rFonts w:ascii="Times New Roman" w:hAnsi="Times New Roman" w:cs="Times New Roman"/>
          <w:sz w:val="24"/>
          <w:szCs w:val="24"/>
        </w:rPr>
        <w:t>ancak reel göstergelerinde</w:t>
      </w:r>
      <w:r w:rsidR="007F6F7A">
        <w:rPr>
          <w:rFonts w:ascii="Times New Roman" w:hAnsi="Times New Roman" w:cs="Times New Roman"/>
          <w:sz w:val="24"/>
          <w:szCs w:val="24"/>
        </w:rPr>
        <w:t>ki değişimlerde</w:t>
      </w:r>
      <w:r w:rsidR="00930F45">
        <w:rPr>
          <w:rFonts w:ascii="Times New Roman" w:hAnsi="Times New Roman" w:cs="Times New Roman"/>
          <w:sz w:val="24"/>
          <w:szCs w:val="24"/>
        </w:rPr>
        <w:t xml:space="preserve"> İNŞ’de gözledi</w:t>
      </w:r>
      <w:r w:rsidR="00932860">
        <w:rPr>
          <w:rFonts w:ascii="Times New Roman" w:hAnsi="Times New Roman" w:cs="Times New Roman"/>
          <w:sz w:val="24"/>
          <w:szCs w:val="24"/>
        </w:rPr>
        <w:t>ğimiz gibi ekonominin genelinde gözlenen büyüme ve istihdam değişiminden</w:t>
      </w:r>
      <w:r w:rsidR="00930F45">
        <w:rPr>
          <w:rFonts w:ascii="Times New Roman" w:hAnsi="Times New Roman" w:cs="Times New Roman"/>
          <w:sz w:val="24"/>
          <w:szCs w:val="24"/>
        </w:rPr>
        <w:t xml:space="preserve"> keskin bir</w:t>
      </w:r>
      <w:r w:rsidR="007F6F7A">
        <w:rPr>
          <w:rFonts w:ascii="Times New Roman" w:hAnsi="Times New Roman" w:cs="Times New Roman"/>
          <w:sz w:val="24"/>
          <w:szCs w:val="24"/>
        </w:rPr>
        <w:t xml:space="preserve"> şekilde</w:t>
      </w:r>
      <w:r w:rsidR="00930F45">
        <w:rPr>
          <w:rFonts w:ascii="Times New Roman" w:hAnsi="Times New Roman" w:cs="Times New Roman"/>
          <w:sz w:val="24"/>
          <w:szCs w:val="24"/>
        </w:rPr>
        <w:t xml:space="preserve"> </w:t>
      </w:r>
      <w:r w:rsidR="007F6F7A">
        <w:rPr>
          <w:rFonts w:ascii="Times New Roman" w:hAnsi="Times New Roman" w:cs="Times New Roman"/>
          <w:sz w:val="24"/>
          <w:szCs w:val="24"/>
        </w:rPr>
        <w:t>ayrışmamıştır</w:t>
      </w:r>
      <w:r w:rsidR="00930F45">
        <w:rPr>
          <w:rFonts w:ascii="Times New Roman" w:hAnsi="Times New Roman" w:cs="Times New Roman"/>
          <w:sz w:val="24"/>
          <w:szCs w:val="24"/>
        </w:rPr>
        <w:t xml:space="preserve">. </w:t>
      </w:r>
      <w:r w:rsidR="007F6F7A">
        <w:rPr>
          <w:rFonts w:ascii="Times New Roman" w:hAnsi="Times New Roman" w:cs="Times New Roman"/>
          <w:sz w:val="24"/>
          <w:szCs w:val="24"/>
        </w:rPr>
        <w:t>Bu dönemde TİC y</w:t>
      </w:r>
      <w:r w:rsidR="004A22E4" w:rsidRPr="00B03142">
        <w:rPr>
          <w:rFonts w:ascii="Times New Roman" w:hAnsi="Times New Roman" w:cs="Times New Roman"/>
          <w:sz w:val="24"/>
          <w:szCs w:val="24"/>
        </w:rPr>
        <w:t xml:space="preserve">ıllık ortalma yüzde 9,2 oranında büyümüştür ancak yüzde 3’lük istihdam artışıyla toplam istihdam artışının altında kalmıştır. </w:t>
      </w:r>
      <w:r w:rsidR="00930F45">
        <w:rPr>
          <w:rFonts w:ascii="Times New Roman" w:hAnsi="Times New Roman" w:cs="Times New Roman"/>
          <w:sz w:val="24"/>
          <w:szCs w:val="24"/>
        </w:rPr>
        <w:t xml:space="preserve">FİGM de bu dönemde en yüksek kredi artışı yaşayan ikinci sektör olmasına rağmen ekonominin genelinden daha az büyümüştür ama yüzde 12’lik istihdam artışıyla ekonominin genelinden ayrışmıştır. </w:t>
      </w:r>
    </w:p>
    <w:p w14:paraId="526AA5ED" w14:textId="77777777" w:rsidR="00094AC0" w:rsidRDefault="00595FEB" w:rsidP="00094AC0">
      <w:pPr>
        <w:spacing w:after="0" w:line="276" w:lineRule="auto"/>
        <w:ind w:firstLine="360"/>
        <w:jc w:val="both"/>
        <w:rPr>
          <w:rFonts w:ascii="Times New Roman" w:hAnsi="Times New Roman" w:cs="Times New Roman"/>
          <w:sz w:val="24"/>
          <w:szCs w:val="24"/>
        </w:rPr>
      </w:pPr>
      <w:r w:rsidRPr="00B03142">
        <w:rPr>
          <w:rFonts w:ascii="Times New Roman" w:hAnsi="Times New Roman" w:cs="Times New Roman"/>
          <w:sz w:val="24"/>
          <w:szCs w:val="24"/>
        </w:rPr>
        <w:t>Kredi artışlarının yerel polit</w:t>
      </w:r>
      <w:r w:rsidR="006416FC">
        <w:rPr>
          <w:rFonts w:ascii="Times New Roman" w:hAnsi="Times New Roman" w:cs="Times New Roman"/>
          <w:sz w:val="24"/>
          <w:szCs w:val="24"/>
        </w:rPr>
        <w:t>i</w:t>
      </w:r>
      <w:r w:rsidRPr="00B03142">
        <w:rPr>
          <w:rFonts w:ascii="Times New Roman" w:hAnsi="Times New Roman" w:cs="Times New Roman"/>
          <w:sz w:val="24"/>
          <w:szCs w:val="24"/>
        </w:rPr>
        <w:t xml:space="preserve">kalar aracılığıyla olduğu 2016 ve sonrası dönemde daha önceki iki kredi artış döneminde İNŞ sektöründe gözlenen yüksek kredi artışı, yüksek büyüme ve yüksek istihdam artışı bulguları bu dönemde gözlenmemektedir. Yıllık ortalama reel kredi artışının toplamda yüzde 4,8 olduğu bu dönemde İNŞ’de gözlenen yıllık ortalama reel kredi büyümesi yüzde 5,7 ile yine toplamın üzerinde gerçekleşmiştir ancak bu dönemde hem büyüme hem istihdam artışı negatiftir. Bunda </w:t>
      </w:r>
      <w:r w:rsidR="00B91EF6" w:rsidRPr="00B03142">
        <w:rPr>
          <w:rFonts w:ascii="Times New Roman" w:hAnsi="Times New Roman" w:cs="Times New Roman"/>
          <w:sz w:val="24"/>
          <w:szCs w:val="24"/>
        </w:rPr>
        <w:t>2018’in ikinci yarısında başlayan İNŞ sektörü krizi etkilidir.</w:t>
      </w:r>
      <w:r w:rsidR="00AE69F5" w:rsidRPr="00B03142">
        <w:rPr>
          <w:rFonts w:ascii="Times New Roman" w:hAnsi="Times New Roman" w:cs="Times New Roman"/>
          <w:sz w:val="24"/>
          <w:szCs w:val="24"/>
        </w:rPr>
        <w:t xml:space="preserve"> </w:t>
      </w:r>
      <w:r w:rsidR="00AE69F5" w:rsidRPr="00B03142">
        <w:rPr>
          <w:rFonts w:ascii="Times New Roman" w:hAnsi="Times New Roman" w:cs="Times New Roman"/>
          <w:sz w:val="24"/>
          <w:szCs w:val="24"/>
          <w:shd w:val="clear" w:color="auto" w:fill="FFFFFF"/>
        </w:rPr>
        <w:t>Dell’Ariccia vd. (20</w:t>
      </w:r>
      <w:r w:rsidR="00930F45">
        <w:rPr>
          <w:rFonts w:ascii="Times New Roman" w:hAnsi="Times New Roman" w:cs="Times New Roman"/>
          <w:sz w:val="24"/>
          <w:szCs w:val="24"/>
          <w:shd w:val="clear" w:color="auto" w:fill="FFFFFF"/>
        </w:rPr>
        <w:t>20</w:t>
      </w:r>
      <w:r w:rsidR="00AE69F5" w:rsidRPr="00B03142">
        <w:rPr>
          <w:rFonts w:ascii="Times New Roman" w:hAnsi="Times New Roman" w:cs="Times New Roman"/>
          <w:sz w:val="24"/>
          <w:szCs w:val="24"/>
          <w:shd w:val="clear" w:color="auto" w:fill="FFFFFF"/>
        </w:rPr>
        <w:t xml:space="preserve">) ile Müller ve Verner (2022) çalışmalarındaki bulgularla tutarlı bir şekilde </w:t>
      </w:r>
      <w:r w:rsidR="00AE69F5" w:rsidRPr="00B03142">
        <w:rPr>
          <w:rFonts w:ascii="Times New Roman" w:hAnsi="Times New Roman" w:cs="Times New Roman"/>
          <w:sz w:val="24"/>
          <w:szCs w:val="24"/>
        </w:rPr>
        <w:t>İNŞ</w:t>
      </w:r>
      <w:r w:rsidR="0043528E" w:rsidRPr="00B03142">
        <w:rPr>
          <w:rFonts w:ascii="Times New Roman" w:hAnsi="Times New Roman" w:cs="Times New Roman"/>
          <w:sz w:val="24"/>
          <w:szCs w:val="24"/>
        </w:rPr>
        <w:t xml:space="preserve"> </w:t>
      </w:r>
      <w:r w:rsidR="00AE69F5" w:rsidRPr="00B03142">
        <w:rPr>
          <w:rFonts w:ascii="Times New Roman" w:hAnsi="Times New Roman" w:cs="Times New Roman"/>
          <w:sz w:val="24"/>
          <w:szCs w:val="24"/>
        </w:rPr>
        <w:t>sektörü yüksek kredi artışlarının yaşandığı 2004-2008 ve 2010-2015 dönemlerinde ekonominin genelinde gerçekleşen üretim ve istihdam artışın</w:t>
      </w:r>
      <w:r w:rsidR="0043528E" w:rsidRPr="00B03142">
        <w:rPr>
          <w:rFonts w:ascii="Times New Roman" w:hAnsi="Times New Roman" w:cs="Times New Roman"/>
          <w:sz w:val="24"/>
          <w:szCs w:val="24"/>
        </w:rPr>
        <w:t>ın çok üzerinde</w:t>
      </w:r>
      <w:r w:rsidR="00AE69F5" w:rsidRPr="00B03142">
        <w:rPr>
          <w:rFonts w:ascii="Times New Roman" w:hAnsi="Times New Roman" w:cs="Times New Roman"/>
          <w:sz w:val="24"/>
          <w:szCs w:val="24"/>
        </w:rPr>
        <w:t xml:space="preserve"> büyüme ve istihdam artışı yaşamış</w:t>
      </w:r>
      <w:r w:rsidR="00A35471" w:rsidRPr="00B03142">
        <w:rPr>
          <w:rFonts w:ascii="Times New Roman" w:hAnsi="Times New Roman" w:cs="Times New Roman"/>
          <w:sz w:val="24"/>
          <w:szCs w:val="24"/>
        </w:rPr>
        <w:t xml:space="preserve">, ancak </w:t>
      </w:r>
      <w:r w:rsidR="00AE69F5" w:rsidRPr="00B03142">
        <w:rPr>
          <w:rFonts w:ascii="Times New Roman" w:hAnsi="Times New Roman" w:cs="Times New Roman"/>
          <w:sz w:val="24"/>
          <w:szCs w:val="24"/>
        </w:rPr>
        <w:t xml:space="preserve">kredi artışının çok daha düşük bir patikada seyrettiği </w:t>
      </w:r>
      <w:r w:rsidR="00AF0ED3">
        <w:rPr>
          <w:rFonts w:ascii="Times New Roman" w:hAnsi="Times New Roman" w:cs="Times New Roman"/>
          <w:sz w:val="24"/>
          <w:szCs w:val="24"/>
        </w:rPr>
        <w:t>2016 ve sonrasındaki</w:t>
      </w:r>
      <w:r w:rsidR="00AE69F5" w:rsidRPr="00B03142">
        <w:rPr>
          <w:rFonts w:ascii="Times New Roman" w:hAnsi="Times New Roman" w:cs="Times New Roman"/>
          <w:sz w:val="24"/>
          <w:szCs w:val="24"/>
        </w:rPr>
        <w:t xml:space="preserve"> dönemde</w:t>
      </w:r>
      <w:r w:rsidR="0043528E" w:rsidRPr="00B03142">
        <w:rPr>
          <w:rFonts w:ascii="Times New Roman" w:hAnsi="Times New Roman" w:cs="Times New Roman"/>
          <w:sz w:val="24"/>
          <w:szCs w:val="24"/>
        </w:rPr>
        <w:t xml:space="preserve"> reel göstergelerinde daralmalar yaşamıştır.</w:t>
      </w:r>
      <w:r w:rsidR="00AE69F5" w:rsidRPr="00B03142">
        <w:rPr>
          <w:rFonts w:ascii="Times New Roman" w:hAnsi="Times New Roman" w:cs="Times New Roman"/>
          <w:sz w:val="24"/>
          <w:szCs w:val="24"/>
        </w:rPr>
        <w:t xml:space="preserve"> </w:t>
      </w:r>
      <w:r w:rsidR="0043528E" w:rsidRPr="00B03142">
        <w:rPr>
          <w:rFonts w:ascii="Times New Roman" w:hAnsi="Times New Roman" w:cs="Times New Roman"/>
          <w:sz w:val="24"/>
          <w:szCs w:val="24"/>
        </w:rPr>
        <w:t xml:space="preserve">İNŞ sektörünün deneyimlediği yüksek kredi artışı </w:t>
      </w:r>
      <w:r w:rsidR="007944E9" w:rsidRPr="00B03142">
        <w:rPr>
          <w:rFonts w:ascii="Times New Roman" w:hAnsi="Times New Roman" w:cs="Times New Roman"/>
          <w:sz w:val="24"/>
          <w:szCs w:val="24"/>
        </w:rPr>
        <w:t>yü</w:t>
      </w:r>
      <w:r w:rsidR="00A35471" w:rsidRPr="00B03142">
        <w:rPr>
          <w:rFonts w:ascii="Times New Roman" w:hAnsi="Times New Roman" w:cs="Times New Roman"/>
          <w:sz w:val="24"/>
          <w:szCs w:val="24"/>
        </w:rPr>
        <w:t xml:space="preserve">ksek </w:t>
      </w:r>
      <w:r w:rsidR="007944E9" w:rsidRPr="00B03142">
        <w:rPr>
          <w:rFonts w:ascii="Times New Roman" w:hAnsi="Times New Roman" w:cs="Times New Roman"/>
          <w:sz w:val="24"/>
          <w:szCs w:val="24"/>
        </w:rPr>
        <w:t xml:space="preserve">büyüme ve istihdam artışı </w:t>
      </w:r>
      <w:r w:rsidR="0043528E" w:rsidRPr="00B03142">
        <w:rPr>
          <w:rFonts w:ascii="Times New Roman" w:hAnsi="Times New Roman" w:cs="Times New Roman"/>
          <w:sz w:val="24"/>
          <w:szCs w:val="24"/>
        </w:rPr>
        <w:t xml:space="preserve">dönemi her ne kadar </w:t>
      </w:r>
      <w:r w:rsidR="00AF0ED3">
        <w:rPr>
          <w:rFonts w:ascii="Times New Roman" w:hAnsi="Times New Roman" w:cs="Times New Roman"/>
          <w:sz w:val="24"/>
          <w:szCs w:val="24"/>
        </w:rPr>
        <w:t xml:space="preserve">tüm ekonomiye yayılan </w:t>
      </w:r>
      <w:r w:rsidR="0043528E" w:rsidRPr="00B03142">
        <w:rPr>
          <w:rFonts w:ascii="Times New Roman" w:hAnsi="Times New Roman" w:cs="Times New Roman"/>
          <w:sz w:val="24"/>
          <w:szCs w:val="24"/>
        </w:rPr>
        <w:t xml:space="preserve">finansal krizle olmasa da İNŞ sektörü kriziyle sonuçlanmıştır. </w:t>
      </w:r>
      <w:r w:rsidR="00051075" w:rsidRPr="00B03142">
        <w:rPr>
          <w:rFonts w:ascii="Times New Roman" w:hAnsi="Times New Roman" w:cs="Times New Roman"/>
          <w:sz w:val="24"/>
          <w:szCs w:val="24"/>
        </w:rPr>
        <w:t xml:space="preserve">2018 üçüncü çeyreği itibariyle küçülmeye başlayan sektör devam eden </w:t>
      </w:r>
      <w:r w:rsidR="00163FF9" w:rsidRPr="00B03142">
        <w:rPr>
          <w:rFonts w:ascii="Times New Roman" w:hAnsi="Times New Roman" w:cs="Times New Roman"/>
          <w:sz w:val="24"/>
          <w:szCs w:val="24"/>
        </w:rPr>
        <w:t>yedi</w:t>
      </w:r>
      <w:r w:rsidR="00051075" w:rsidRPr="00B03142">
        <w:rPr>
          <w:rFonts w:ascii="Times New Roman" w:hAnsi="Times New Roman" w:cs="Times New Roman"/>
          <w:sz w:val="24"/>
          <w:szCs w:val="24"/>
        </w:rPr>
        <w:t xml:space="preserve"> çeyrek boyunca küçülmüştür. 2020’nin son çeyreği ve 2021’in son iki çeyreğinde de küçülme gerçekleşmiştir</w:t>
      </w:r>
      <w:r w:rsidR="0043528E" w:rsidRPr="00B03142">
        <w:rPr>
          <w:rFonts w:ascii="Times New Roman" w:hAnsi="Times New Roman" w:cs="Times New Roman"/>
          <w:sz w:val="24"/>
          <w:szCs w:val="24"/>
        </w:rPr>
        <w:t xml:space="preserve">. Bu dönem makroekonomik belirsizliklerin arttığı, büyüme ve istihdam değişimlerinin oynak bir seyir izlemeye </w:t>
      </w:r>
      <w:r w:rsidR="004B6A00" w:rsidRPr="00B03142">
        <w:rPr>
          <w:rFonts w:ascii="Times New Roman" w:hAnsi="Times New Roman" w:cs="Times New Roman"/>
          <w:sz w:val="24"/>
          <w:szCs w:val="24"/>
        </w:rPr>
        <w:t xml:space="preserve">başladığı </w:t>
      </w:r>
      <w:r w:rsidR="0043528E" w:rsidRPr="00B03142">
        <w:rPr>
          <w:rFonts w:ascii="Times New Roman" w:hAnsi="Times New Roman" w:cs="Times New Roman"/>
          <w:sz w:val="24"/>
          <w:szCs w:val="24"/>
        </w:rPr>
        <w:t xml:space="preserve">döneme denk düşmektedir. </w:t>
      </w:r>
      <w:r w:rsidR="006307DD" w:rsidRPr="00B03142">
        <w:rPr>
          <w:rFonts w:ascii="Times New Roman" w:hAnsi="Times New Roman" w:cs="Times New Roman"/>
          <w:sz w:val="24"/>
          <w:szCs w:val="24"/>
        </w:rPr>
        <w:t>Bu dönemde yıllık ortalama kredi artışı</w:t>
      </w:r>
      <w:r w:rsidR="003B36AA" w:rsidRPr="00B03142">
        <w:rPr>
          <w:rFonts w:ascii="Times New Roman" w:hAnsi="Times New Roman" w:cs="Times New Roman"/>
          <w:sz w:val="24"/>
          <w:szCs w:val="24"/>
        </w:rPr>
        <w:t>nın</w:t>
      </w:r>
      <w:r w:rsidR="006307DD" w:rsidRPr="00B03142">
        <w:rPr>
          <w:rFonts w:ascii="Times New Roman" w:hAnsi="Times New Roman" w:cs="Times New Roman"/>
          <w:sz w:val="24"/>
          <w:szCs w:val="24"/>
        </w:rPr>
        <w:t xml:space="preserve"> toplamdan daha yüksek olu</w:t>
      </w:r>
      <w:r w:rsidR="003B36AA" w:rsidRPr="00B03142">
        <w:rPr>
          <w:rFonts w:ascii="Times New Roman" w:hAnsi="Times New Roman" w:cs="Times New Roman"/>
          <w:sz w:val="24"/>
          <w:szCs w:val="24"/>
        </w:rPr>
        <w:t>p</w:t>
      </w:r>
      <w:r w:rsidR="006307DD" w:rsidRPr="00B03142">
        <w:rPr>
          <w:rFonts w:ascii="Times New Roman" w:hAnsi="Times New Roman" w:cs="Times New Roman"/>
          <w:sz w:val="24"/>
          <w:szCs w:val="24"/>
        </w:rPr>
        <w:t xml:space="preserve"> da ekonominin genelinden daha fazla büyüyen sektörler sırasıyla MAD (</w:t>
      </w:r>
      <w:r w:rsidR="003B36AA" w:rsidRPr="00B03142">
        <w:rPr>
          <w:rFonts w:ascii="Times New Roman" w:hAnsi="Times New Roman" w:cs="Times New Roman"/>
          <w:sz w:val="24"/>
          <w:szCs w:val="24"/>
        </w:rPr>
        <w:t xml:space="preserve">yüzde 7,9 büyüme), EGS (yüzde 6 büyüme), İMA (yüzde 5,6 büyüme) ve UHD (yüzde 5,4 büyüme)’dir. Bu sektrölerdeki istihdam artışları da toplam istihdam artışının üzerindedir. </w:t>
      </w:r>
    </w:p>
    <w:p w14:paraId="3E515020" w14:textId="5904A683" w:rsidR="000E5587" w:rsidRPr="00294546" w:rsidRDefault="0082275D" w:rsidP="00094AC0">
      <w:pPr>
        <w:spacing w:after="0" w:line="276" w:lineRule="auto"/>
        <w:ind w:firstLine="360"/>
        <w:jc w:val="both"/>
        <w:rPr>
          <w:rFonts w:ascii="Times New Roman" w:hAnsi="Times New Roman" w:cs="Times New Roman"/>
          <w:sz w:val="24"/>
          <w:szCs w:val="24"/>
        </w:rPr>
      </w:pPr>
      <w:r w:rsidRPr="00B03142">
        <w:rPr>
          <w:rFonts w:ascii="Times New Roman" w:hAnsi="Times New Roman" w:cs="Times New Roman"/>
          <w:sz w:val="24"/>
          <w:szCs w:val="24"/>
        </w:rPr>
        <w:t xml:space="preserve">2010-2015 ve 2016 ve sonrasındaki dönemlerde EGS sektöründe gözlenen </w:t>
      </w:r>
      <w:r w:rsidR="0026498C">
        <w:rPr>
          <w:rFonts w:ascii="Times New Roman" w:hAnsi="Times New Roman" w:cs="Times New Roman"/>
          <w:sz w:val="24"/>
          <w:szCs w:val="24"/>
        </w:rPr>
        <w:t>toplamın üzerinde</w:t>
      </w:r>
      <w:r w:rsidRPr="00B03142">
        <w:rPr>
          <w:rFonts w:ascii="Times New Roman" w:hAnsi="Times New Roman" w:cs="Times New Roman"/>
          <w:sz w:val="24"/>
          <w:szCs w:val="24"/>
        </w:rPr>
        <w:t xml:space="preserve"> kredi artışı</w:t>
      </w:r>
      <w:r w:rsidR="0026498C">
        <w:rPr>
          <w:rFonts w:ascii="Times New Roman" w:hAnsi="Times New Roman" w:cs="Times New Roman"/>
          <w:sz w:val="24"/>
          <w:szCs w:val="24"/>
        </w:rPr>
        <w:t>yla birlikte</w:t>
      </w:r>
      <w:r w:rsidR="00E84180">
        <w:rPr>
          <w:rFonts w:ascii="Times New Roman" w:hAnsi="Times New Roman" w:cs="Times New Roman"/>
          <w:sz w:val="24"/>
          <w:szCs w:val="24"/>
        </w:rPr>
        <w:t xml:space="preserve"> ekonominin genelin</w:t>
      </w:r>
      <w:r w:rsidRPr="00B03142">
        <w:rPr>
          <w:rFonts w:ascii="Times New Roman" w:hAnsi="Times New Roman" w:cs="Times New Roman"/>
          <w:sz w:val="24"/>
          <w:szCs w:val="24"/>
        </w:rPr>
        <w:t xml:space="preserve">den ayrışan yüksek büyüme ve istihdam artışı İNŞ sektörünün 2004-2008 ve 2010-2015 deneyimine paralellik göstermektedir. </w:t>
      </w:r>
      <w:r w:rsidR="00140CCB">
        <w:rPr>
          <w:rFonts w:ascii="Times New Roman" w:hAnsi="Times New Roman" w:cs="Times New Roman"/>
          <w:sz w:val="24"/>
          <w:szCs w:val="24"/>
        </w:rPr>
        <w:t xml:space="preserve">İNŞ sektörünün bu iki dönemden sonra yaşadığı kriz göz önüne alınınca, </w:t>
      </w:r>
      <w:r w:rsidRPr="00B03142">
        <w:rPr>
          <w:rFonts w:ascii="Times New Roman" w:hAnsi="Times New Roman" w:cs="Times New Roman"/>
          <w:sz w:val="24"/>
          <w:szCs w:val="24"/>
        </w:rPr>
        <w:t>takip eden dönemlerde</w:t>
      </w:r>
      <w:r w:rsidR="007944E9" w:rsidRPr="00B03142">
        <w:rPr>
          <w:rFonts w:ascii="Times New Roman" w:hAnsi="Times New Roman" w:cs="Times New Roman"/>
          <w:sz w:val="24"/>
          <w:szCs w:val="24"/>
        </w:rPr>
        <w:t xml:space="preserve"> </w:t>
      </w:r>
      <w:r w:rsidR="00140CCB">
        <w:rPr>
          <w:rFonts w:ascii="Times New Roman" w:hAnsi="Times New Roman" w:cs="Times New Roman"/>
          <w:sz w:val="24"/>
          <w:szCs w:val="24"/>
        </w:rPr>
        <w:t>EGS’de</w:t>
      </w:r>
      <w:r w:rsidR="00780BDE" w:rsidRPr="00B03142">
        <w:rPr>
          <w:rFonts w:ascii="Times New Roman" w:hAnsi="Times New Roman" w:cs="Times New Roman"/>
          <w:sz w:val="24"/>
          <w:szCs w:val="24"/>
        </w:rPr>
        <w:t xml:space="preserve"> reel gelişmelerin hassasiyetle izlenmesi</w:t>
      </w:r>
      <w:r w:rsidR="00163FF9" w:rsidRPr="00B03142">
        <w:rPr>
          <w:rFonts w:ascii="Times New Roman" w:hAnsi="Times New Roman" w:cs="Times New Roman"/>
          <w:sz w:val="24"/>
          <w:szCs w:val="24"/>
        </w:rPr>
        <w:t xml:space="preserve">nin </w:t>
      </w:r>
      <w:r w:rsidR="004B6A00" w:rsidRPr="00B03142">
        <w:rPr>
          <w:rFonts w:ascii="Times New Roman" w:hAnsi="Times New Roman" w:cs="Times New Roman"/>
          <w:sz w:val="24"/>
          <w:szCs w:val="24"/>
        </w:rPr>
        <w:t xml:space="preserve">makro istikrar açısından </w:t>
      </w:r>
      <w:r w:rsidR="00163FF9" w:rsidRPr="00B03142">
        <w:rPr>
          <w:rFonts w:ascii="Times New Roman" w:hAnsi="Times New Roman" w:cs="Times New Roman"/>
          <w:sz w:val="24"/>
          <w:szCs w:val="24"/>
        </w:rPr>
        <w:t>önemli olduğu düşünülmektedir</w:t>
      </w:r>
      <w:r w:rsidR="00780BDE" w:rsidRPr="00B03142">
        <w:rPr>
          <w:rFonts w:ascii="Times New Roman" w:hAnsi="Times New Roman" w:cs="Times New Roman"/>
          <w:sz w:val="24"/>
          <w:szCs w:val="24"/>
        </w:rPr>
        <w:t>.</w:t>
      </w:r>
      <w:r w:rsidR="004D3464">
        <w:rPr>
          <w:rFonts w:ascii="Times New Roman" w:hAnsi="Times New Roman" w:cs="Times New Roman"/>
          <w:sz w:val="24"/>
          <w:szCs w:val="24"/>
        </w:rPr>
        <w:t xml:space="preserve"> </w:t>
      </w:r>
      <w:r w:rsidR="0026498C">
        <w:rPr>
          <w:rFonts w:ascii="Times New Roman" w:hAnsi="Times New Roman" w:cs="Times New Roman"/>
          <w:sz w:val="24"/>
          <w:szCs w:val="24"/>
        </w:rPr>
        <w:t xml:space="preserve">Ayrıca kredi artış dönemlerinde İNŞ ve EGS’de gözlenen yüksek kredi artışı, bu artışa eşlik eden ve ekonominin genelinden ayrışan büyüme ve istihdam artışları </w:t>
      </w:r>
      <w:r w:rsidR="0026498C" w:rsidRPr="00B03142">
        <w:rPr>
          <w:rFonts w:ascii="Times New Roman" w:hAnsi="Times New Roman" w:cs="Times New Roman"/>
          <w:sz w:val="24"/>
          <w:szCs w:val="24"/>
        </w:rPr>
        <w:t xml:space="preserve">Acemoğlu ve Üçer (2023)’de ileri sürülen Türkiye ekonomisinin 2009 yılından sonra gösterdiği yüksek büyüme performanslarının kredi kaynaklı </w:t>
      </w:r>
      <w:r w:rsidR="0026498C" w:rsidRPr="00B03142">
        <w:rPr>
          <w:rFonts w:ascii="Times New Roman" w:hAnsi="Times New Roman" w:cs="Times New Roman"/>
          <w:sz w:val="24"/>
          <w:szCs w:val="24"/>
        </w:rPr>
        <w:lastRenderedPageBreak/>
        <w:t>olduğu savıyla örtüşmektedir.</w:t>
      </w:r>
      <w:r w:rsidR="0026498C">
        <w:rPr>
          <w:rFonts w:ascii="Times New Roman" w:hAnsi="Times New Roman" w:cs="Times New Roman"/>
          <w:color w:val="FF0000"/>
          <w:sz w:val="24"/>
          <w:szCs w:val="24"/>
        </w:rPr>
        <w:t xml:space="preserve"> </w:t>
      </w:r>
      <w:r w:rsidR="0026498C" w:rsidRPr="00294546">
        <w:rPr>
          <w:rFonts w:ascii="Times New Roman" w:hAnsi="Times New Roman" w:cs="Times New Roman"/>
          <w:sz w:val="24"/>
          <w:szCs w:val="24"/>
        </w:rPr>
        <w:t>Ancak her yüksek sektörel kredi artış</w:t>
      </w:r>
      <w:r w:rsidR="007F6F7A">
        <w:rPr>
          <w:rFonts w:ascii="Times New Roman" w:hAnsi="Times New Roman" w:cs="Times New Roman"/>
          <w:sz w:val="24"/>
          <w:szCs w:val="24"/>
        </w:rPr>
        <w:t xml:space="preserve">ının sektör bazında </w:t>
      </w:r>
      <w:r w:rsidR="0026498C" w:rsidRPr="00294546">
        <w:rPr>
          <w:rFonts w:ascii="Times New Roman" w:hAnsi="Times New Roman" w:cs="Times New Roman"/>
          <w:sz w:val="24"/>
          <w:szCs w:val="24"/>
        </w:rPr>
        <w:t>reel etkilerinin benzer olmadığı da görülmektedir</w:t>
      </w:r>
      <w:r w:rsidR="00140CCB" w:rsidRPr="00294546">
        <w:rPr>
          <w:rFonts w:ascii="Times New Roman" w:hAnsi="Times New Roman" w:cs="Times New Roman"/>
          <w:sz w:val="24"/>
          <w:szCs w:val="24"/>
        </w:rPr>
        <w:t xml:space="preserve"> (örneğin, 2004-2008 döneminde TİC, DKÖH sektörleri)</w:t>
      </w:r>
      <w:r w:rsidR="0026498C" w:rsidRPr="00294546">
        <w:rPr>
          <w:rFonts w:ascii="Times New Roman" w:hAnsi="Times New Roman" w:cs="Times New Roman"/>
          <w:sz w:val="24"/>
          <w:szCs w:val="24"/>
        </w:rPr>
        <w:t>. B</w:t>
      </w:r>
      <w:r w:rsidR="00140CCB" w:rsidRPr="00294546">
        <w:rPr>
          <w:rFonts w:ascii="Times New Roman" w:hAnsi="Times New Roman" w:cs="Times New Roman"/>
          <w:sz w:val="24"/>
          <w:szCs w:val="24"/>
        </w:rPr>
        <w:t xml:space="preserve">u </w:t>
      </w:r>
      <w:r w:rsidR="007F6F7A">
        <w:rPr>
          <w:rFonts w:ascii="Times New Roman" w:hAnsi="Times New Roman" w:cs="Times New Roman"/>
          <w:sz w:val="24"/>
          <w:szCs w:val="24"/>
        </w:rPr>
        <w:t xml:space="preserve">durum </w:t>
      </w:r>
      <w:r w:rsidR="00140CCB" w:rsidRPr="00294546">
        <w:rPr>
          <w:rFonts w:ascii="Times New Roman" w:hAnsi="Times New Roman" w:cs="Times New Roman"/>
          <w:sz w:val="24"/>
          <w:szCs w:val="24"/>
        </w:rPr>
        <w:t>etkin sektörel kredi tahsisinin sağlanması için detaylı analiz edilip anlaşılması gereken bir gözlemdir.</w:t>
      </w:r>
    </w:p>
    <w:p w14:paraId="51C9838D" w14:textId="286DF6FE" w:rsidR="00151ABF" w:rsidRPr="00B03142" w:rsidRDefault="00AA4F27" w:rsidP="002206B2">
      <w:pPr>
        <w:pStyle w:val="Heading1"/>
        <w:spacing w:after="240"/>
      </w:pPr>
      <w:r w:rsidRPr="00B03142">
        <w:t>Kredi</w:t>
      </w:r>
      <w:r w:rsidR="00783F7F" w:rsidRPr="00B03142">
        <w:t>ler ve Reel Göstergeler</w:t>
      </w:r>
      <w:r w:rsidRPr="00B03142">
        <w:t xml:space="preserve">: </w:t>
      </w:r>
      <w:r w:rsidR="00235447" w:rsidRPr="00B03142">
        <w:t>Nasıl Bir İlişki</w:t>
      </w:r>
      <w:r w:rsidRPr="00B03142">
        <w:t>?</w:t>
      </w:r>
      <w:r w:rsidR="00235447" w:rsidRPr="00B03142">
        <w:t xml:space="preserve"> </w:t>
      </w:r>
    </w:p>
    <w:p w14:paraId="784168A8" w14:textId="122A18C4" w:rsidR="00A71533" w:rsidRPr="00541AC3" w:rsidRDefault="007F6F7A" w:rsidP="00A71533">
      <w:pPr>
        <w:pStyle w:val="Caption"/>
        <w:keepNext/>
        <w:spacing w:after="0" w:line="276" w:lineRule="auto"/>
        <w:ind w:firstLine="360"/>
        <w:jc w:val="both"/>
        <w:rPr>
          <w:rFonts w:ascii="Times New Roman" w:hAnsi="Times New Roman" w:cs="Times New Roman"/>
          <w:i w:val="0"/>
          <w:iCs w:val="0"/>
          <w:color w:val="auto"/>
          <w:sz w:val="24"/>
          <w:szCs w:val="24"/>
        </w:rPr>
      </w:pPr>
      <w:r w:rsidRPr="00541AC3">
        <w:rPr>
          <w:rFonts w:ascii="Times New Roman" w:hAnsi="Times New Roman" w:cs="Times New Roman"/>
          <w:i w:val="0"/>
          <w:iCs w:val="0"/>
          <w:color w:val="auto"/>
          <w:sz w:val="24"/>
          <w:szCs w:val="24"/>
        </w:rPr>
        <w:t>Bir önceki</w:t>
      </w:r>
      <w:r w:rsidR="00533BC7" w:rsidRPr="00541AC3">
        <w:rPr>
          <w:rFonts w:ascii="Times New Roman" w:hAnsi="Times New Roman" w:cs="Times New Roman"/>
          <w:i w:val="0"/>
          <w:iCs w:val="0"/>
          <w:color w:val="auto"/>
          <w:sz w:val="24"/>
          <w:szCs w:val="24"/>
        </w:rPr>
        <w:t xml:space="preserve"> bölümde</w:t>
      </w:r>
      <w:r w:rsidR="00E51A25" w:rsidRPr="00541AC3">
        <w:rPr>
          <w:rFonts w:ascii="Times New Roman" w:hAnsi="Times New Roman" w:cs="Times New Roman"/>
          <w:i w:val="0"/>
          <w:iCs w:val="0"/>
          <w:color w:val="auto"/>
          <w:sz w:val="24"/>
          <w:szCs w:val="24"/>
        </w:rPr>
        <w:t xml:space="preserve"> dönem bazında yaptığımız analiz sonucunda</w:t>
      </w:r>
      <w:r w:rsidR="00795F62" w:rsidRPr="00541AC3">
        <w:rPr>
          <w:rFonts w:ascii="Times New Roman" w:hAnsi="Times New Roman" w:cs="Times New Roman"/>
          <w:i w:val="0"/>
          <w:iCs w:val="0"/>
          <w:color w:val="auto"/>
          <w:sz w:val="24"/>
          <w:szCs w:val="24"/>
        </w:rPr>
        <w:t>,</w:t>
      </w:r>
      <w:r w:rsidR="00E51A25" w:rsidRPr="00541AC3">
        <w:rPr>
          <w:rFonts w:ascii="Times New Roman" w:hAnsi="Times New Roman" w:cs="Times New Roman"/>
          <w:i w:val="0"/>
          <w:iCs w:val="0"/>
          <w:color w:val="auto"/>
          <w:sz w:val="24"/>
          <w:szCs w:val="24"/>
        </w:rPr>
        <w:t xml:space="preserve"> özellikle İNŞ ve EGS sektörlerinde</w:t>
      </w:r>
      <w:r w:rsidR="00795F62" w:rsidRPr="00541AC3">
        <w:rPr>
          <w:rFonts w:ascii="Times New Roman" w:hAnsi="Times New Roman" w:cs="Times New Roman"/>
          <w:i w:val="0"/>
          <w:iCs w:val="0"/>
          <w:color w:val="auto"/>
          <w:sz w:val="24"/>
          <w:szCs w:val="24"/>
        </w:rPr>
        <w:t>,</w:t>
      </w:r>
      <w:r w:rsidR="00E51A25" w:rsidRPr="00541AC3">
        <w:rPr>
          <w:rFonts w:ascii="Times New Roman" w:hAnsi="Times New Roman" w:cs="Times New Roman"/>
          <w:i w:val="0"/>
          <w:iCs w:val="0"/>
          <w:color w:val="auto"/>
          <w:sz w:val="24"/>
          <w:szCs w:val="24"/>
        </w:rPr>
        <w:t xml:space="preserve"> </w:t>
      </w:r>
      <w:r w:rsidR="00795F62" w:rsidRPr="00541AC3">
        <w:rPr>
          <w:rFonts w:ascii="Times New Roman" w:hAnsi="Times New Roman" w:cs="Times New Roman"/>
          <w:i w:val="0"/>
          <w:iCs w:val="0"/>
          <w:color w:val="auto"/>
          <w:sz w:val="24"/>
          <w:szCs w:val="24"/>
        </w:rPr>
        <w:t xml:space="preserve">belli dönemlerde </w:t>
      </w:r>
      <w:r w:rsidR="00E51A25" w:rsidRPr="00541AC3">
        <w:rPr>
          <w:rFonts w:ascii="Times New Roman" w:hAnsi="Times New Roman" w:cs="Times New Roman"/>
          <w:i w:val="0"/>
          <w:iCs w:val="0"/>
          <w:color w:val="auto"/>
          <w:sz w:val="24"/>
          <w:szCs w:val="24"/>
        </w:rPr>
        <w:t>gözlenen yüksek reel kredi artışı</w:t>
      </w:r>
      <w:r w:rsidR="00795F62" w:rsidRPr="00541AC3">
        <w:rPr>
          <w:rFonts w:ascii="Times New Roman" w:hAnsi="Times New Roman" w:cs="Times New Roman"/>
          <w:i w:val="0"/>
          <w:iCs w:val="0"/>
          <w:color w:val="auto"/>
          <w:sz w:val="24"/>
          <w:szCs w:val="24"/>
        </w:rPr>
        <w:t xml:space="preserve">na eşlik eden </w:t>
      </w:r>
      <w:r w:rsidR="00E51A25" w:rsidRPr="00541AC3">
        <w:rPr>
          <w:rFonts w:ascii="Times New Roman" w:hAnsi="Times New Roman" w:cs="Times New Roman"/>
          <w:i w:val="0"/>
          <w:iCs w:val="0"/>
          <w:color w:val="auto"/>
          <w:sz w:val="24"/>
          <w:szCs w:val="24"/>
        </w:rPr>
        <w:t>yüksek büyüme ve istihdam artışı</w:t>
      </w:r>
      <w:r w:rsidR="00795F62" w:rsidRPr="00541AC3">
        <w:rPr>
          <w:rFonts w:ascii="Times New Roman" w:hAnsi="Times New Roman" w:cs="Times New Roman"/>
          <w:i w:val="0"/>
          <w:iCs w:val="0"/>
          <w:color w:val="auto"/>
          <w:sz w:val="24"/>
          <w:szCs w:val="24"/>
        </w:rPr>
        <w:t>,</w:t>
      </w:r>
      <w:r w:rsidR="00E51A25" w:rsidRPr="00541AC3">
        <w:rPr>
          <w:rFonts w:ascii="Times New Roman" w:hAnsi="Times New Roman" w:cs="Times New Roman"/>
          <w:i w:val="0"/>
          <w:iCs w:val="0"/>
          <w:color w:val="auto"/>
          <w:sz w:val="24"/>
          <w:szCs w:val="24"/>
        </w:rPr>
        <w:t xml:space="preserve"> İNŞ sektöründe bu ilişkinin 2016 ve sonrasında tersine dönmesi</w:t>
      </w:r>
      <w:r w:rsidR="00795F62" w:rsidRPr="00541AC3">
        <w:rPr>
          <w:rFonts w:ascii="Times New Roman" w:hAnsi="Times New Roman" w:cs="Times New Roman"/>
          <w:i w:val="0"/>
          <w:iCs w:val="0"/>
          <w:color w:val="auto"/>
          <w:sz w:val="24"/>
          <w:szCs w:val="24"/>
        </w:rPr>
        <w:t xml:space="preserve">, İMA sektöründeki kredi artışının </w:t>
      </w:r>
      <w:r w:rsidR="00E75C90" w:rsidRPr="00541AC3">
        <w:rPr>
          <w:rFonts w:ascii="Times New Roman" w:hAnsi="Times New Roman" w:cs="Times New Roman"/>
          <w:i w:val="0"/>
          <w:iCs w:val="0"/>
          <w:color w:val="auto"/>
          <w:sz w:val="24"/>
          <w:szCs w:val="24"/>
        </w:rPr>
        <w:t>toplam</w:t>
      </w:r>
      <w:r w:rsidR="00795F62" w:rsidRPr="00541AC3">
        <w:rPr>
          <w:rFonts w:ascii="Times New Roman" w:hAnsi="Times New Roman" w:cs="Times New Roman"/>
          <w:i w:val="0"/>
          <w:iCs w:val="0"/>
          <w:color w:val="auto"/>
          <w:sz w:val="24"/>
          <w:szCs w:val="24"/>
        </w:rPr>
        <w:t xml:space="preserve"> kredi artışından düşük olmasına rağmen gösterdiği </w:t>
      </w:r>
      <w:r w:rsidR="00E75C90" w:rsidRPr="00541AC3">
        <w:rPr>
          <w:rFonts w:ascii="Times New Roman" w:hAnsi="Times New Roman" w:cs="Times New Roman"/>
          <w:i w:val="0"/>
          <w:iCs w:val="0"/>
          <w:color w:val="auto"/>
          <w:sz w:val="24"/>
          <w:szCs w:val="24"/>
        </w:rPr>
        <w:t>toplamın</w:t>
      </w:r>
      <w:r w:rsidR="00795F62" w:rsidRPr="00541AC3">
        <w:rPr>
          <w:rFonts w:ascii="Times New Roman" w:hAnsi="Times New Roman" w:cs="Times New Roman"/>
          <w:i w:val="0"/>
          <w:iCs w:val="0"/>
          <w:color w:val="auto"/>
          <w:sz w:val="24"/>
          <w:szCs w:val="24"/>
        </w:rPr>
        <w:t xml:space="preserve"> üzerinde büyüme ve istihdam artışı </w:t>
      </w:r>
      <w:r w:rsidR="004D2034" w:rsidRPr="00541AC3">
        <w:rPr>
          <w:rFonts w:ascii="Times New Roman" w:hAnsi="Times New Roman" w:cs="Times New Roman"/>
          <w:i w:val="0"/>
          <w:iCs w:val="0"/>
          <w:color w:val="auto"/>
          <w:sz w:val="24"/>
          <w:szCs w:val="24"/>
        </w:rPr>
        <w:t>ve benzeri</w:t>
      </w:r>
      <w:r w:rsidR="00795F62" w:rsidRPr="00541AC3">
        <w:rPr>
          <w:rFonts w:ascii="Times New Roman" w:hAnsi="Times New Roman" w:cs="Times New Roman"/>
          <w:i w:val="0"/>
          <w:iCs w:val="0"/>
          <w:color w:val="auto"/>
          <w:sz w:val="24"/>
          <w:szCs w:val="24"/>
        </w:rPr>
        <w:t xml:space="preserve"> bulgular bize </w:t>
      </w:r>
      <w:r w:rsidR="00437D74" w:rsidRPr="00541AC3">
        <w:rPr>
          <w:rFonts w:ascii="Times New Roman" w:hAnsi="Times New Roman" w:cs="Times New Roman"/>
          <w:i w:val="0"/>
          <w:iCs w:val="0"/>
          <w:color w:val="auto"/>
          <w:sz w:val="24"/>
          <w:szCs w:val="24"/>
        </w:rPr>
        <w:t>sektörlere yerel bankalarca tahsis edilen kredilerdeki değişimle sektörlerin büyüme ve istihdam değişimleri arasında nasıl bir ilişki</w:t>
      </w:r>
      <w:r w:rsidR="00795F62" w:rsidRPr="00541AC3">
        <w:rPr>
          <w:rFonts w:ascii="Times New Roman" w:hAnsi="Times New Roman" w:cs="Times New Roman"/>
          <w:i w:val="0"/>
          <w:iCs w:val="0"/>
          <w:color w:val="auto"/>
          <w:sz w:val="24"/>
          <w:szCs w:val="24"/>
        </w:rPr>
        <w:t>nin</w:t>
      </w:r>
      <w:r w:rsidR="00437D74" w:rsidRPr="00541AC3">
        <w:rPr>
          <w:rFonts w:ascii="Times New Roman" w:hAnsi="Times New Roman" w:cs="Times New Roman"/>
          <w:i w:val="0"/>
          <w:iCs w:val="0"/>
          <w:color w:val="auto"/>
          <w:sz w:val="24"/>
          <w:szCs w:val="24"/>
        </w:rPr>
        <w:t xml:space="preserve"> </w:t>
      </w:r>
      <w:r w:rsidR="00795F62" w:rsidRPr="00541AC3">
        <w:rPr>
          <w:rFonts w:ascii="Times New Roman" w:hAnsi="Times New Roman" w:cs="Times New Roman"/>
          <w:i w:val="0"/>
          <w:iCs w:val="0"/>
          <w:color w:val="auto"/>
          <w:sz w:val="24"/>
          <w:szCs w:val="24"/>
        </w:rPr>
        <w:t xml:space="preserve">mevcut </w:t>
      </w:r>
      <w:r w:rsidR="00533BC7" w:rsidRPr="00541AC3">
        <w:rPr>
          <w:rFonts w:ascii="Times New Roman" w:hAnsi="Times New Roman" w:cs="Times New Roman"/>
          <w:i w:val="0"/>
          <w:iCs w:val="0"/>
          <w:color w:val="auto"/>
          <w:sz w:val="24"/>
          <w:szCs w:val="24"/>
        </w:rPr>
        <w:t>olabileceğini sorgulatmıştır</w:t>
      </w:r>
      <w:r w:rsidR="00795F62" w:rsidRPr="00541AC3">
        <w:rPr>
          <w:rFonts w:ascii="Times New Roman" w:hAnsi="Times New Roman" w:cs="Times New Roman"/>
          <w:i w:val="0"/>
          <w:iCs w:val="0"/>
          <w:color w:val="auto"/>
          <w:sz w:val="24"/>
          <w:szCs w:val="24"/>
        </w:rPr>
        <w:t xml:space="preserve">. </w:t>
      </w:r>
      <w:r w:rsidR="004D2034" w:rsidRPr="00541AC3">
        <w:rPr>
          <w:rFonts w:ascii="Times New Roman" w:hAnsi="Times New Roman" w:cs="Times New Roman"/>
          <w:i w:val="0"/>
          <w:iCs w:val="0"/>
          <w:color w:val="auto"/>
          <w:sz w:val="24"/>
          <w:szCs w:val="24"/>
        </w:rPr>
        <w:t xml:space="preserve">Bu amaçla reel kredilerin uzun süreli artış eğilimine başladığı 2004 yılı itibariyle yıllık reel kredi artışı ile büyüme ve istihdam </w:t>
      </w:r>
      <w:r w:rsidR="00997E96" w:rsidRPr="00541AC3">
        <w:rPr>
          <w:rFonts w:ascii="Times New Roman" w:hAnsi="Times New Roman" w:cs="Times New Roman"/>
          <w:i w:val="0"/>
          <w:iCs w:val="0"/>
          <w:color w:val="auto"/>
          <w:sz w:val="24"/>
          <w:szCs w:val="24"/>
        </w:rPr>
        <w:t xml:space="preserve">değişimi </w:t>
      </w:r>
      <w:r w:rsidR="004D2034" w:rsidRPr="00541AC3">
        <w:rPr>
          <w:rFonts w:ascii="Times New Roman" w:hAnsi="Times New Roman" w:cs="Times New Roman"/>
          <w:i w:val="0"/>
          <w:iCs w:val="0"/>
          <w:color w:val="auto"/>
          <w:sz w:val="24"/>
          <w:szCs w:val="24"/>
        </w:rPr>
        <w:t xml:space="preserve">arasındaki </w:t>
      </w:r>
      <w:r w:rsidR="00533BC7" w:rsidRPr="00541AC3">
        <w:rPr>
          <w:rFonts w:ascii="Times New Roman" w:hAnsi="Times New Roman" w:cs="Times New Roman"/>
          <w:i w:val="0"/>
          <w:iCs w:val="0"/>
          <w:color w:val="auto"/>
          <w:sz w:val="24"/>
          <w:szCs w:val="24"/>
        </w:rPr>
        <w:t xml:space="preserve">ilişki </w:t>
      </w:r>
      <w:r w:rsidR="004D2034" w:rsidRPr="00541AC3">
        <w:rPr>
          <w:rFonts w:ascii="Times New Roman" w:hAnsi="Times New Roman" w:cs="Times New Roman"/>
          <w:i w:val="0"/>
          <w:iCs w:val="0"/>
          <w:color w:val="auto"/>
          <w:sz w:val="24"/>
          <w:szCs w:val="24"/>
        </w:rPr>
        <w:t>hem toplam veri hem de sektörel veriler kullanılarak</w:t>
      </w:r>
      <w:r w:rsidR="00533BC7" w:rsidRPr="00541AC3">
        <w:rPr>
          <w:rFonts w:ascii="Times New Roman" w:hAnsi="Times New Roman" w:cs="Times New Roman"/>
          <w:i w:val="0"/>
          <w:iCs w:val="0"/>
          <w:color w:val="auto"/>
          <w:sz w:val="24"/>
          <w:szCs w:val="24"/>
        </w:rPr>
        <w:t xml:space="preserve"> </w:t>
      </w:r>
      <w:r w:rsidR="004D2034" w:rsidRPr="00541AC3">
        <w:rPr>
          <w:rFonts w:ascii="Times New Roman" w:hAnsi="Times New Roman" w:cs="Times New Roman"/>
          <w:i w:val="0"/>
          <w:iCs w:val="0"/>
          <w:color w:val="auto"/>
          <w:sz w:val="24"/>
          <w:szCs w:val="24"/>
        </w:rPr>
        <w:t>çalışılmıştır. Reel kredi değişimi</w:t>
      </w:r>
      <w:r w:rsidR="00030423" w:rsidRPr="00541AC3">
        <w:rPr>
          <w:rFonts w:ascii="Times New Roman" w:hAnsi="Times New Roman" w:cs="Times New Roman"/>
          <w:i w:val="0"/>
          <w:iCs w:val="0"/>
          <w:color w:val="auto"/>
          <w:sz w:val="24"/>
          <w:szCs w:val="24"/>
        </w:rPr>
        <w:t>nin</w:t>
      </w:r>
      <w:r w:rsidR="004D2034" w:rsidRPr="00541AC3">
        <w:rPr>
          <w:rFonts w:ascii="Times New Roman" w:hAnsi="Times New Roman" w:cs="Times New Roman"/>
          <w:i w:val="0"/>
          <w:iCs w:val="0"/>
          <w:color w:val="auto"/>
          <w:sz w:val="24"/>
          <w:szCs w:val="24"/>
        </w:rPr>
        <w:t xml:space="preserve"> </w:t>
      </w:r>
      <w:r w:rsidR="00030423" w:rsidRPr="00541AC3">
        <w:rPr>
          <w:rFonts w:ascii="Times New Roman" w:hAnsi="Times New Roman" w:cs="Times New Roman"/>
          <w:i w:val="0"/>
          <w:iCs w:val="0"/>
          <w:color w:val="auto"/>
          <w:sz w:val="24"/>
          <w:szCs w:val="24"/>
        </w:rPr>
        <w:t>cari yıldaki (</w:t>
      </w:r>
      <m:oMath>
        <m:r>
          <w:rPr>
            <w:rFonts w:ascii="Cambria Math" w:hAnsi="Cambria Math" w:cs="Times New Roman"/>
            <w:color w:val="auto"/>
            <w:sz w:val="24"/>
            <w:szCs w:val="24"/>
          </w:rPr>
          <m:t>t</m:t>
        </m:r>
      </m:oMath>
      <w:r w:rsidR="00030423" w:rsidRPr="00541AC3">
        <w:rPr>
          <w:rFonts w:ascii="Times New Roman" w:hAnsi="Times New Roman" w:cs="Times New Roman"/>
          <w:i w:val="0"/>
          <w:iCs w:val="0"/>
          <w:color w:val="auto"/>
          <w:sz w:val="24"/>
          <w:szCs w:val="24"/>
        </w:rPr>
        <w:t xml:space="preserve">), sonrasındaki üç yıldaki </w:t>
      </w:r>
      <w:r w:rsidR="00FC668A" w:rsidRPr="00541AC3">
        <w:rPr>
          <w:rFonts w:ascii="Times New Roman" w:hAnsi="Times New Roman" w:cs="Times New Roman"/>
          <w:i w:val="0"/>
          <w:iCs w:val="0"/>
          <w:color w:val="auto"/>
          <w:sz w:val="24"/>
          <w:szCs w:val="24"/>
        </w:rPr>
        <w:t>(</w:t>
      </w:r>
      <m:oMath>
        <m:r>
          <w:rPr>
            <w:rFonts w:ascii="Cambria Math" w:hAnsi="Cambria Math" w:cs="Times New Roman"/>
            <w:color w:val="auto"/>
            <w:sz w:val="24"/>
            <w:szCs w:val="24"/>
          </w:rPr>
          <m:t>t+1</m:t>
        </m:r>
      </m:oMath>
      <w:r w:rsidR="00FC668A" w:rsidRPr="00541AC3">
        <w:rPr>
          <w:rFonts w:ascii="Times New Roman" w:hAnsi="Times New Roman" w:cs="Times New Roman"/>
          <w:i w:val="0"/>
          <w:iCs w:val="0"/>
          <w:color w:val="auto"/>
          <w:sz w:val="24"/>
          <w:szCs w:val="24"/>
        </w:rPr>
        <w:t xml:space="preserve">, </w:t>
      </w:r>
      <m:oMath>
        <m:r>
          <w:rPr>
            <w:rFonts w:ascii="Cambria Math" w:hAnsi="Cambria Math" w:cs="Times New Roman"/>
            <w:color w:val="auto"/>
            <w:sz w:val="24"/>
            <w:szCs w:val="24"/>
          </w:rPr>
          <m:t>t+2</m:t>
        </m:r>
      </m:oMath>
      <w:r w:rsidR="00FC668A" w:rsidRPr="00541AC3">
        <w:rPr>
          <w:rFonts w:ascii="Times New Roman" w:hAnsi="Times New Roman" w:cs="Times New Roman"/>
          <w:i w:val="0"/>
          <w:iCs w:val="0"/>
          <w:color w:val="auto"/>
          <w:sz w:val="24"/>
          <w:szCs w:val="24"/>
        </w:rPr>
        <w:t xml:space="preserve">, </w:t>
      </w:r>
      <m:oMath>
        <m:r>
          <w:rPr>
            <w:rFonts w:ascii="Cambria Math" w:hAnsi="Cambria Math" w:cs="Times New Roman"/>
            <w:color w:val="auto"/>
            <w:sz w:val="24"/>
            <w:szCs w:val="24"/>
          </w:rPr>
          <m:t>t+3</m:t>
        </m:r>
      </m:oMath>
      <w:r w:rsidR="00FC668A" w:rsidRPr="00541AC3">
        <w:rPr>
          <w:rFonts w:ascii="Times New Roman" w:hAnsi="Times New Roman" w:cs="Times New Roman"/>
          <w:i w:val="0"/>
          <w:iCs w:val="0"/>
          <w:color w:val="auto"/>
          <w:sz w:val="24"/>
          <w:szCs w:val="24"/>
        </w:rPr>
        <w:t xml:space="preserve">) </w:t>
      </w:r>
      <w:r w:rsidR="00030423" w:rsidRPr="00541AC3">
        <w:rPr>
          <w:rFonts w:ascii="Times New Roman" w:hAnsi="Times New Roman" w:cs="Times New Roman"/>
          <w:i w:val="0"/>
          <w:iCs w:val="0"/>
          <w:color w:val="auto"/>
          <w:sz w:val="24"/>
          <w:szCs w:val="24"/>
        </w:rPr>
        <w:t xml:space="preserve">ve öncesindeki üç yıldaki </w:t>
      </w:r>
      <w:r w:rsidR="00FC668A" w:rsidRPr="00541AC3">
        <w:rPr>
          <w:rFonts w:ascii="Times New Roman" w:hAnsi="Times New Roman" w:cs="Times New Roman"/>
          <w:i w:val="0"/>
          <w:iCs w:val="0"/>
          <w:color w:val="auto"/>
          <w:sz w:val="24"/>
          <w:szCs w:val="24"/>
        </w:rPr>
        <w:t>(</w:t>
      </w:r>
      <m:oMath>
        <m:r>
          <w:rPr>
            <w:rFonts w:ascii="Cambria Math" w:hAnsi="Cambria Math" w:cs="Times New Roman"/>
            <w:color w:val="auto"/>
            <w:sz w:val="24"/>
            <w:szCs w:val="24"/>
          </w:rPr>
          <m:t>t-1</m:t>
        </m:r>
      </m:oMath>
      <w:r w:rsidR="00FC668A" w:rsidRPr="00541AC3">
        <w:rPr>
          <w:rFonts w:ascii="Times New Roman" w:hAnsi="Times New Roman" w:cs="Times New Roman"/>
          <w:i w:val="0"/>
          <w:iCs w:val="0"/>
          <w:color w:val="auto"/>
          <w:sz w:val="24"/>
          <w:szCs w:val="24"/>
        </w:rPr>
        <w:t xml:space="preserve">, </w:t>
      </w:r>
      <m:oMath>
        <m:r>
          <w:rPr>
            <w:rFonts w:ascii="Cambria Math" w:hAnsi="Cambria Math" w:cs="Times New Roman"/>
            <w:color w:val="auto"/>
            <w:sz w:val="24"/>
            <w:szCs w:val="24"/>
          </w:rPr>
          <m:t>t-2</m:t>
        </m:r>
      </m:oMath>
      <w:r w:rsidR="00FC668A" w:rsidRPr="00541AC3">
        <w:rPr>
          <w:rFonts w:ascii="Times New Roman" w:hAnsi="Times New Roman" w:cs="Times New Roman"/>
          <w:i w:val="0"/>
          <w:iCs w:val="0"/>
          <w:color w:val="auto"/>
          <w:sz w:val="24"/>
          <w:szCs w:val="24"/>
        </w:rPr>
        <w:t xml:space="preserve">, </w:t>
      </w:r>
      <m:oMath>
        <m:r>
          <w:rPr>
            <w:rFonts w:ascii="Cambria Math" w:hAnsi="Cambria Math" w:cs="Times New Roman"/>
            <w:color w:val="auto"/>
            <w:sz w:val="24"/>
            <w:szCs w:val="24"/>
          </w:rPr>
          <m:t>t-3</m:t>
        </m:r>
      </m:oMath>
      <w:r w:rsidR="00FC668A" w:rsidRPr="00541AC3">
        <w:rPr>
          <w:rFonts w:ascii="Times New Roman" w:hAnsi="Times New Roman" w:cs="Times New Roman"/>
          <w:i w:val="0"/>
          <w:iCs w:val="0"/>
          <w:color w:val="auto"/>
          <w:sz w:val="24"/>
          <w:szCs w:val="24"/>
        </w:rPr>
        <w:t>)</w:t>
      </w:r>
      <w:r w:rsidR="00030423" w:rsidRPr="00541AC3">
        <w:rPr>
          <w:rFonts w:ascii="Times New Roman" w:hAnsi="Times New Roman" w:cs="Times New Roman"/>
          <w:i w:val="0"/>
          <w:iCs w:val="0"/>
          <w:color w:val="auto"/>
          <w:sz w:val="24"/>
          <w:szCs w:val="24"/>
        </w:rPr>
        <w:t xml:space="preserve"> büyüme oranları</w:t>
      </w:r>
      <w:r w:rsidR="00FC668A" w:rsidRPr="00541AC3">
        <w:rPr>
          <w:rFonts w:ascii="Times New Roman" w:hAnsi="Times New Roman" w:cs="Times New Roman"/>
          <w:i w:val="0"/>
          <w:iCs w:val="0"/>
          <w:color w:val="auto"/>
          <w:sz w:val="24"/>
          <w:szCs w:val="24"/>
        </w:rPr>
        <w:t>yla</w:t>
      </w:r>
      <w:r w:rsidR="00030423" w:rsidRPr="00541AC3">
        <w:rPr>
          <w:rFonts w:ascii="Times New Roman" w:hAnsi="Times New Roman" w:cs="Times New Roman"/>
          <w:i w:val="0"/>
          <w:iCs w:val="0"/>
          <w:color w:val="auto"/>
          <w:sz w:val="24"/>
          <w:szCs w:val="24"/>
        </w:rPr>
        <w:t xml:space="preserve"> korelasyonları </w:t>
      </w:r>
      <w:r w:rsidR="004D2034" w:rsidRPr="00541AC3">
        <w:rPr>
          <w:rFonts w:ascii="Times New Roman" w:hAnsi="Times New Roman" w:cs="Times New Roman"/>
          <w:i w:val="0"/>
          <w:iCs w:val="0"/>
          <w:color w:val="auto"/>
          <w:sz w:val="24"/>
          <w:szCs w:val="24"/>
        </w:rPr>
        <w:t xml:space="preserve">Tablo </w:t>
      </w:r>
      <w:r w:rsidR="006D356C">
        <w:rPr>
          <w:rFonts w:ascii="Times New Roman" w:hAnsi="Times New Roman" w:cs="Times New Roman"/>
          <w:i w:val="0"/>
          <w:iCs w:val="0"/>
          <w:color w:val="auto"/>
          <w:sz w:val="24"/>
          <w:szCs w:val="24"/>
        </w:rPr>
        <w:t>3</w:t>
      </w:r>
      <w:r w:rsidR="004D2034" w:rsidRPr="00541AC3">
        <w:rPr>
          <w:rFonts w:ascii="Times New Roman" w:hAnsi="Times New Roman" w:cs="Times New Roman"/>
          <w:i w:val="0"/>
          <w:iCs w:val="0"/>
          <w:color w:val="auto"/>
          <w:sz w:val="24"/>
          <w:szCs w:val="24"/>
        </w:rPr>
        <w:t>’te</w:t>
      </w:r>
      <w:r w:rsidR="00FC668A" w:rsidRPr="00541AC3">
        <w:rPr>
          <w:rFonts w:ascii="Times New Roman" w:hAnsi="Times New Roman" w:cs="Times New Roman"/>
          <w:i w:val="0"/>
          <w:iCs w:val="0"/>
          <w:color w:val="auto"/>
          <w:sz w:val="24"/>
          <w:szCs w:val="24"/>
        </w:rPr>
        <w:t xml:space="preserve"> raporlanmıştır. Aynı analizin istihdam </w:t>
      </w:r>
      <w:r w:rsidR="008E19EB" w:rsidRPr="00541AC3">
        <w:rPr>
          <w:rFonts w:ascii="Times New Roman" w:hAnsi="Times New Roman" w:cs="Times New Roman"/>
          <w:i w:val="0"/>
          <w:iCs w:val="0"/>
          <w:color w:val="auto"/>
          <w:sz w:val="24"/>
          <w:szCs w:val="24"/>
        </w:rPr>
        <w:t xml:space="preserve">değişimi </w:t>
      </w:r>
      <w:r w:rsidR="00FC668A" w:rsidRPr="00541AC3">
        <w:rPr>
          <w:rFonts w:ascii="Times New Roman" w:hAnsi="Times New Roman" w:cs="Times New Roman"/>
          <w:i w:val="0"/>
          <w:iCs w:val="0"/>
          <w:color w:val="auto"/>
          <w:sz w:val="24"/>
          <w:szCs w:val="24"/>
        </w:rPr>
        <w:t>için sonuçları</w:t>
      </w:r>
      <w:r w:rsidR="006D356C">
        <w:rPr>
          <w:rFonts w:ascii="Times New Roman" w:hAnsi="Times New Roman" w:cs="Times New Roman"/>
          <w:i w:val="0"/>
          <w:iCs w:val="0"/>
          <w:color w:val="auto"/>
          <w:sz w:val="24"/>
          <w:szCs w:val="24"/>
        </w:rPr>
        <w:t xml:space="preserve"> ise Tablo 4</w:t>
      </w:r>
      <w:r w:rsidR="00FC668A" w:rsidRPr="00541AC3">
        <w:rPr>
          <w:rFonts w:ascii="Times New Roman" w:hAnsi="Times New Roman" w:cs="Times New Roman"/>
          <w:i w:val="0"/>
          <w:iCs w:val="0"/>
          <w:color w:val="auto"/>
          <w:sz w:val="24"/>
          <w:szCs w:val="24"/>
        </w:rPr>
        <w:t>’te gösterilmektedir.</w:t>
      </w:r>
      <w:r w:rsidR="004D2034" w:rsidRPr="00541AC3">
        <w:rPr>
          <w:rFonts w:ascii="Times New Roman" w:hAnsi="Times New Roman" w:cs="Times New Roman"/>
          <w:i w:val="0"/>
          <w:iCs w:val="0"/>
          <w:color w:val="auto"/>
          <w:sz w:val="24"/>
          <w:szCs w:val="24"/>
        </w:rPr>
        <w:t xml:space="preserve"> Her iki tabloda da ilk satırda toplam özel sektör kredileri ve büyüme/istihdam değişimi verisi kullanılırken ikinci satırda toplam analizi panel veri kullanılarak yapılmıştır. </w:t>
      </w:r>
    </w:p>
    <w:p w14:paraId="5078805F" w14:textId="1A7EF431" w:rsidR="00726C1C" w:rsidRDefault="00D85FCC" w:rsidP="00A71533">
      <w:pPr>
        <w:pStyle w:val="Caption"/>
        <w:keepNext/>
        <w:spacing w:after="0" w:line="276" w:lineRule="auto"/>
        <w:ind w:firstLine="360"/>
        <w:jc w:val="both"/>
        <w:rPr>
          <w:color w:val="auto"/>
        </w:rPr>
      </w:pPr>
      <w:r w:rsidRPr="00541AC3">
        <w:rPr>
          <w:rFonts w:ascii="Times New Roman" w:hAnsi="Times New Roman" w:cs="Times New Roman"/>
          <w:i w:val="0"/>
          <w:iCs w:val="0"/>
          <w:color w:val="auto"/>
          <w:sz w:val="24"/>
          <w:szCs w:val="24"/>
        </w:rPr>
        <w:t>Top</w:t>
      </w:r>
      <w:r w:rsidR="00AD06FE" w:rsidRPr="00541AC3">
        <w:rPr>
          <w:rFonts w:ascii="Times New Roman" w:hAnsi="Times New Roman" w:cs="Times New Roman"/>
          <w:i w:val="0"/>
          <w:iCs w:val="0"/>
          <w:color w:val="auto"/>
          <w:sz w:val="24"/>
          <w:szCs w:val="24"/>
        </w:rPr>
        <w:t>lam</w:t>
      </w:r>
      <w:r w:rsidRPr="00541AC3">
        <w:rPr>
          <w:rFonts w:ascii="Times New Roman" w:hAnsi="Times New Roman" w:cs="Times New Roman"/>
          <w:i w:val="0"/>
          <w:iCs w:val="0"/>
          <w:color w:val="auto"/>
          <w:sz w:val="24"/>
          <w:szCs w:val="24"/>
        </w:rPr>
        <w:t xml:space="preserve"> veriyle yapılan analizde cari dönemde reel kredi değişimiyle büyüme arasınd</w:t>
      </w:r>
      <w:r w:rsidR="00B21F78" w:rsidRPr="00541AC3">
        <w:rPr>
          <w:rFonts w:ascii="Times New Roman" w:hAnsi="Times New Roman" w:cs="Times New Roman"/>
          <w:i w:val="0"/>
          <w:iCs w:val="0"/>
          <w:color w:val="auto"/>
          <w:sz w:val="24"/>
          <w:szCs w:val="24"/>
        </w:rPr>
        <w:t>a</w:t>
      </w:r>
      <w:r w:rsidRPr="00541AC3">
        <w:rPr>
          <w:rFonts w:ascii="Times New Roman" w:hAnsi="Times New Roman" w:cs="Times New Roman"/>
          <w:i w:val="0"/>
          <w:iCs w:val="0"/>
          <w:color w:val="auto"/>
          <w:sz w:val="24"/>
          <w:szCs w:val="24"/>
        </w:rPr>
        <w:t>ki korelasyon 0</w:t>
      </w:r>
      <w:r w:rsidR="00533BC7" w:rsidRPr="00541AC3">
        <w:rPr>
          <w:rFonts w:ascii="Times New Roman" w:hAnsi="Times New Roman" w:cs="Times New Roman"/>
          <w:i w:val="0"/>
          <w:iCs w:val="0"/>
          <w:color w:val="auto"/>
          <w:sz w:val="24"/>
          <w:szCs w:val="24"/>
        </w:rPr>
        <w:t>,</w:t>
      </w:r>
      <w:r w:rsidRPr="00541AC3">
        <w:rPr>
          <w:rFonts w:ascii="Times New Roman" w:hAnsi="Times New Roman" w:cs="Times New Roman"/>
          <w:i w:val="0"/>
          <w:iCs w:val="0"/>
          <w:color w:val="auto"/>
          <w:sz w:val="24"/>
          <w:szCs w:val="24"/>
        </w:rPr>
        <w:t>55 iken panel veriyle bu istatistik çok daha düşüktür (</w:t>
      </w:r>
      <m:oMath>
        <m:r>
          <w:rPr>
            <w:rFonts w:ascii="Cambria Math" w:hAnsi="Cambria Math" w:cs="Times New Roman"/>
            <w:color w:val="auto"/>
            <w:sz w:val="24"/>
            <w:szCs w:val="24"/>
          </w:rPr>
          <m:t>R=</m:t>
        </m:r>
        <m:sSup>
          <m:sSupPr>
            <m:ctrlPr>
              <w:rPr>
                <w:rFonts w:ascii="Cambria Math" w:eastAsiaTheme="minorEastAsia" w:hAnsi="Cambria Math" w:cs="Times New Roman"/>
                <w:iCs w:val="0"/>
                <w:color w:val="auto"/>
                <w:sz w:val="24"/>
                <w:szCs w:val="24"/>
              </w:rPr>
            </m:ctrlPr>
          </m:sSupPr>
          <m:e>
            <m:r>
              <w:rPr>
                <w:rFonts w:ascii="Cambria Math" w:eastAsiaTheme="minorEastAsia" w:hAnsi="Cambria Math" w:cs="Times New Roman"/>
                <w:color w:val="auto"/>
                <w:sz w:val="24"/>
                <w:szCs w:val="24"/>
              </w:rPr>
              <m:t>0,18</m:t>
            </m:r>
          </m:e>
          <m:sup>
            <m:r>
              <w:rPr>
                <w:rFonts w:ascii="Cambria Math" w:eastAsiaTheme="minorEastAsia" w:hAnsi="Cambria Math" w:cs="Times New Roman"/>
                <w:color w:val="auto"/>
                <w:sz w:val="24"/>
                <w:szCs w:val="24"/>
              </w:rPr>
              <m:t>*</m:t>
            </m:r>
          </m:sup>
        </m:sSup>
      </m:oMath>
      <w:r w:rsidRPr="00541AC3">
        <w:rPr>
          <w:rFonts w:ascii="Times New Roman" w:hAnsi="Times New Roman" w:cs="Times New Roman"/>
          <w:i w:val="0"/>
          <w:iCs w:val="0"/>
          <w:color w:val="auto"/>
          <w:sz w:val="24"/>
          <w:szCs w:val="24"/>
        </w:rPr>
        <w:t>).</w:t>
      </w:r>
      <w:r w:rsidR="005D37AC" w:rsidRPr="00541AC3">
        <w:rPr>
          <w:rFonts w:ascii="Times New Roman" w:hAnsi="Times New Roman" w:cs="Times New Roman"/>
          <w:i w:val="0"/>
          <w:iCs w:val="0"/>
          <w:color w:val="auto"/>
          <w:sz w:val="24"/>
          <w:szCs w:val="24"/>
        </w:rPr>
        <w:t xml:space="preserve"> </w:t>
      </w:r>
      <w:r w:rsidRPr="00541AC3">
        <w:rPr>
          <w:rFonts w:ascii="Times New Roman" w:hAnsi="Times New Roman" w:cs="Times New Roman"/>
          <w:i w:val="0"/>
          <w:iCs w:val="0"/>
          <w:color w:val="auto"/>
          <w:sz w:val="24"/>
          <w:szCs w:val="24"/>
        </w:rPr>
        <w:t xml:space="preserve">Bunun sebebi bu </w:t>
      </w:r>
      <w:r w:rsidR="008E19EB" w:rsidRPr="00541AC3">
        <w:rPr>
          <w:rFonts w:ascii="Times New Roman" w:hAnsi="Times New Roman" w:cs="Times New Roman"/>
          <w:i w:val="0"/>
          <w:iCs w:val="0"/>
          <w:color w:val="auto"/>
          <w:sz w:val="24"/>
          <w:szCs w:val="24"/>
        </w:rPr>
        <w:t>kredi-büyüme ilişkisinin</w:t>
      </w:r>
      <w:r w:rsidRPr="00541AC3">
        <w:rPr>
          <w:rFonts w:ascii="Times New Roman" w:hAnsi="Times New Roman" w:cs="Times New Roman"/>
          <w:i w:val="0"/>
          <w:iCs w:val="0"/>
          <w:color w:val="auto"/>
          <w:sz w:val="24"/>
          <w:szCs w:val="24"/>
        </w:rPr>
        <w:t xml:space="preserve"> sektör bazında heterojen olmasıdır. </w:t>
      </w:r>
      <w:r w:rsidR="00037B35" w:rsidRPr="00541AC3">
        <w:rPr>
          <w:rFonts w:ascii="Times New Roman" w:hAnsi="Times New Roman" w:cs="Times New Roman"/>
          <w:i w:val="0"/>
          <w:iCs w:val="0"/>
          <w:color w:val="auto"/>
          <w:sz w:val="24"/>
          <w:szCs w:val="24"/>
        </w:rPr>
        <w:t>Reel kredi değişimi ile büyüme arasında cari dönemde sadece İNŞ</w:t>
      </w:r>
      <w:r w:rsidR="008E19EB" w:rsidRPr="00541AC3">
        <w:rPr>
          <w:rFonts w:ascii="Times New Roman" w:hAnsi="Times New Roman" w:cs="Times New Roman"/>
          <w:i w:val="0"/>
          <w:iCs w:val="0"/>
          <w:color w:val="auto"/>
          <w:sz w:val="24"/>
          <w:szCs w:val="24"/>
        </w:rPr>
        <w:t xml:space="preserve"> (</w:t>
      </w:r>
      <m:oMath>
        <m:r>
          <w:rPr>
            <w:rFonts w:ascii="Cambria Math" w:hAnsi="Cambria Math" w:cs="Times New Roman"/>
            <w:color w:val="auto"/>
            <w:sz w:val="24"/>
            <w:szCs w:val="24"/>
          </w:rPr>
          <m:t>R=</m:t>
        </m:r>
        <m:sSup>
          <m:sSupPr>
            <m:ctrlPr>
              <w:rPr>
                <w:rFonts w:ascii="Cambria Math" w:eastAsiaTheme="minorEastAsia" w:hAnsi="Cambria Math" w:cs="Times New Roman"/>
                <w:iCs w:val="0"/>
                <w:color w:val="auto"/>
                <w:sz w:val="24"/>
                <w:szCs w:val="24"/>
              </w:rPr>
            </m:ctrlPr>
          </m:sSupPr>
          <m:e>
            <m:r>
              <w:rPr>
                <w:rFonts w:ascii="Cambria Math" w:eastAsiaTheme="minorEastAsia" w:hAnsi="Cambria Math" w:cs="Times New Roman"/>
                <w:color w:val="auto"/>
                <w:sz w:val="24"/>
                <w:szCs w:val="24"/>
              </w:rPr>
              <m:t>0,47</m:t>
            </m:r>
          </m:e>
          <m:sup>
            <m:r>
              <w:rPr>
                <w:rFonts w:ascii="Cambria Math" w:eastAsiaTheme="minorEastAsia" w:hAnsi="Cambria Math" w:cs="Times New Roman"/>
                <w:color w:val="auto"/>
                <w:sz w:val="24"/>
                <w:szCs w:val="24"/>
              </w:rPr>
              <m:t>*</m:t>
            </m:r>
          </m:sup>
        </m:sSup>
      </m:oMath>
      <w:r w:rsidR="008E19EB" w:rsidRPr="00541AC3">
        <w:rPr>
          <w:rFonts w:ascii="Times New Roman" w:hAnsi="Times New Roman" w:cs="Times New Roman"/>
          <w:i w:val="0"/>
          <w:iCs w:val="0"/>
          <w:color w:val="auto"/>
          <w:sz w:val="24"/>
          <w:szCs w:val="24"/>
        </w:rPr>
        <w:t>)</w:t>
      </w:r>
      <w:r w:rsidR="00037B35" w:rsidRPr="00541AC3">
        <w:rPr>
          <w:rFonts w:ascii="Times New Roman" w:hAnsi="Times New Roman" w:cs="Times New Roman"/>
          <w:i w:val="0"/>
          <w:iCs w:val="0"/>
          <w:color w:val="auto"/>
          <w:sz w:val="24"/>
          <w:szCs w:val="24"/>
        </w:rPr>
        <w:t>, FİGM</w:t>
      </w:r>
      <w:r w:rsidR="008E19EB" w:rsidRPr="00541AC3">
        <w:rPr>
          <w:rFonts w:ascii="Times New Roman" w:hAnsi="Times New Roman" w:cs="Times New Roman"/>
          <w:i w:val="0"/>
          <w:iCs w:val="0"/>
          <w:color w:val="auto"/>
          <w:sz w:val="24"/>
          <w:szCs w:val="24"/>
        </w:rPr>
        <w:t xml:space="preserve"> (</w:t>
      </w:r>
      <m:oMath>
        <m:r>
          <w:rPr>
            <w:rFonts w:ascii="Cambria Math" w:hAnsi="Cambria Math" w:cs="Times New Roman"/>
            <w:color w:val="auto"/>
            <w:sz w:val="24"/>
            <w:szCs w:val="24"/>
          </w:rPr>
          <m:t>R=</m:t>
        </m:r>
        <m:sSup>
          <m:sSupPr>
            <m:ctrlPr>
              <w:rPr>
                <w:rFonts w:ascii="Cambria Math" w:eastAsiaTheme="minorEastAsia" w:hAnsi="Cambria Math" w:cs="Times New Roman"/>
                <w:iCs w:val="0"/>
                <w:color w:val="auto"/>
                <w:sz w:val="24"/>
                <w:szCs w:val="24"/>
              </w:rPr>
            </m:ctrlPr>
          </m:sSupPr>
          <m:e>
            <m:r>
              <w:rPr>
                <w:rFonts w:ascii="Cambria Math" w:eastAsiaTheme="minorEastAsia" w:hAnsi="Cambria Math" w:cs="Times New Roman"/>
                <w:color w:val="auto"/>
                <w:sz w:val="24"/>
                <w:szCs w:val="24"/>
              </w:rPr>
              <m:t>0,49</m:t>
            </m:r>
          </m:e>
          <m:sup>
            <m:r>
              <w:rPr>
                <w:rFonts w:ascii="Cambria Math" w:eastAsiaTheme="minorEastAsia" w:hAnsi="Cambria Math" w:cs="Times New Roman"/>
                <w:color w:val="auto"/>
                <w:sz w:val="24"/>
                <w:szCs w:val="24"/>
              </w:rPr>
              <m:t>*</m:t>
            </m:r>
          </m:sup>
        </m:sSup>
      </m:oMath>
      <w:r w:rsidR="008E19EB" w:rsidRPr="00541AC3">
        <w:rPr>
          <w:rFonts w:ascii="Times New Roman" w:hAnsi="Times New Roman" w:cs="Times New Roman"/>
          <w:i w:val="0"/>
          <w:iCs w:val="0"/>
          <w:color w:val="auto"/>
          <w:sz w:val="24"/>
          <w:szCs w:val="24"/>
        </w:rPr>
        <w:t>)</w:t>
      </w:r>
      <w:r w:rsidR="00037B35" w:rsidRPr="00541AC3">
        <w:rPr>
          <w:rFonts w:ascii="Times New Roman" w:hAnsi="Times New Roman" w:cs="Times New Roman"/>
          <w:i w:val="0"/>
          <w:iCs w:val="0"/>
          <w:color w:val="auto"/>
          <w:sz w:val="24"/>
          <w:szCs w:val="24"/>
        </w:rPr>
        <w:t xml:space="preserve"> ve İMA </w:t>
      </w:r>
      <w:r w:rsidR="008E19EB" w:rsidRPr="00541AC3">
        <w:rPr>
          <w:rFonts w:ascii="Times New Roman" w:hAnsi="Times New Roman" w:cs="Times New Roman"/>
          <w:i w:val="0"/>
          <w:iCs w:val="0"/>
          <w:color w:val="auto"/>
          <w:sz w:val="24"/>
          <w:szCs w:val="24"/>
        </w:rPr>
        <w:t>(</w:t>
      </w:r>
      <m:oMath>
        <m:r>
          <w:rPr>
            <w:rFonts w:ascii="Cambria Math" w:hAnsi="Cambria Math" w:cs="Times New Roman"/>
            <w:color w:val="auto"/>
            <w:sz w:val="24"/>
            <w:szCs w:val="24"/>
          </w:rPr>
          <m:t>R=</m:t>
        </m:r>
        <m:sSup>
          <m:sSupPr>
            <m:ctrlPr>
              <w:rPr>
                <w:rFonts w:ascii="Cambria Math" w:eastAsiaTheme="minorEastAsia" w:hAnsi="Cambria Math" w:cs="Times New Roman"/>
                <w:iCs w:val="0"/>
                <w:color w:val="auto"/>
                <w:sz w:val="24"/>
                <w:szCs w:val="24"/>
              </w:rPr>
            </m:ctrlPr>
          </m:sSupPr>
          <m:e>
            <m:r>
              <w:rPr>
                <w:rFonts w:ascii="Cambria Math" w:eastAsiaTheme="minorEastAsia" w:hAnsi="Cambria Math" w:cs="Times New Roman"/>
                <w:color w:val="auto"/>
                <w:sz w:val="24"/>
                <w:szCs w:val="24"/>
              </w:rPr>
              <m:t>0,57</m:t>
            </m:r>
          </m:e>
          <m:sup>
            <m:r>
              <w:rPr>
                <w:rFonts w:ascii="Cambria Math" w:eastAsiaTheme="minorEastAsia" w:hAnsi="Cambria Math" w:cs="Times New Roman"/>
                <w:color w:val="auto"/>
                <w:sz w:val="24"/>
                <w:szCs w:val="24"/>
              </w:rPr>
              <m:t>*</m:t>
            </m:r>
          </m:sup>
        </m:sSup>
      </m:oMath>
      <w:r w:rsidR="008E19EB" w:rsidRPr="00541AC3">
        <w:rPr>
          <w:rFonts w:ascii="Times New Roman" w:hAnsi="Times New Roman" w:cs="Times New Roman"/>
          <w:i w:val="0"/>
          <w:iCs w:val="0"/>
          <w:color w:val="auto"/>
          <w:sz w:val="24"/>
          <w:szCs w:val="24"/>
        </w:rPr>
        <w:t xml:space="preserve">) </w:t>
      </w:r>
      <w:r w:rsidR="00037B35" w:rsidRPr="00541AC3">
        <w:rPr>
          <w:rFonts w:ascii="Times New Roman" w:hAnsi="Times New Roman" w:cs="Times New Roman"/>
          <w:i w:val="0"/>
          <w:iCs w:val="0"/>
          <w:color w:val="auto"/>
          <w:sz w:val="24"/>
          <w:szCs w:val="24"/>
        </w:rPr>
        <w:t>sektörlerinde istatiksel olarak anlamlı bir korelasyon mevcuttur. Kredi değişimi ile sonraki üç yıldaki büyüme oranları arasındaki ilişkiye baktığımızda cari dönemde kullanılan kredi ile üç yıl sonraki büyüme arasında nega</w:t>
      </w:r>
      <w:r w:rsidR="00357636" w:rsidRPr="00541AC3">
        <w:rPr>
          <w:rFonts w:ascii="Times New Roman" w:hAnsi="Times New Roman" w:cs="Times New Roman"/>
          <w:i w:val="0"/>
          <w:iCs w:val="0"/>
          <w:color w:val="auto"/>
          <w:sz w:val="24"/>
          <w:szCs w:val="24"/>
        </w:rPr>
        <w:t>tif ancak düşük bir korelasyon (</w:t>
      </w:r>
      <m:oMath>
        <m:r>
          <w:rPr>
            <w:rFonts w:ascii="Cambria Math" w:hAnsi="Cambria Math" w:cs="Times New Roman"/>
            <w:color w:val="auto"/>
            <w:sz w:val="24"/>
            <w:szCs w:val="24"/>
          </w:rPr>
          <m:t>R=</m:t>
        </m:r>
        <m:sSup>
          <m:sSupPr>
            <m:ctrlPr>
              <w:rPr>
                <w:rFonts w:ascii="Cambria Math" w:eastAsiaTheme="minorEastAsia" w:hAnsi="Cambria Math" w:cs="Times New Roman"/>
                <w:iCs w:val="0"/>
                <w:color w:val="auto"/>
                <w:sz w:val="24"/>
                <w:szCs w:val="24"/>
              </w:rPr>
            </m:ctrlPr>
          </m:sSupPr>
          <m:e>
            <m:r>
              <w:rPr>
                <w:rFonts w:ascii="Cambria Math" w:eastAsiaTheme="minorEastAsia" w:hAnsi="Cambria Math" w:cs="Times New Roman"/>
                <w:color w:val="auto"/>
                <w:sz w:val="24"/>
                <w:szCs w:val="24"/>
              </w:rPr>
              <m:t>-0,24</m:t>
            </m:r>
          </m:e>
          <m:sup>
            <m:r>
              <w:rPr>
                <w:rFonts w:ascii="Cambria Math" w:eastAsiaTheme="minorEastAsia" w:hAnsi="Cambria Math" w:cs="Times New Roman"/>
                <w:color w:val="auto"/>
                <w:sz w:val="24"/>
                <w:szCs w:val="24"/>
              </w:rPr>
              <m:t>**</m:t>
            </m:r>
          </m:sup>
        </m:sSup>
      </m:oMath>
      <w:r w:rsidR="00357636" w:rsidRPr="00541AC3">
        <w:rPr>
          <w:rFonts w:ascii="Times New Roman" w:hAnsi="Times New Roman" w:cs="Times New Roman"/>
          <w:i w:val="0"/>
          <w:iCs w:val="0"/>
          <w:color w:val="auto"/>
          <w:sz w:val="24"/>
          <w:szCs w:val="24"/>
        </w:rPr>
        <w:t>)</w:t>
      </w:r>
      <w:r w:rsidR="00037B35" w:rsidRPr="00541AC3">
        <w:rPr>
          <w:rFonts w:ascii="Times New Roman" w:hAnsi="Times New Roman" w:cs="Times New Roman"/>
          <w:i w:val="0"/>
          <w:iCs w:val="0"/>
          <w:color w:val="auto"/>
          <w:sz w:val="24"/>
          <w:szCs w:val="24"/>
        </w:rPr>
        <w:t xml:space="preserve"> gözlenmektedir. Sektör bazında bu negatif ilişki EGS</w:t>
      </w:r>
      <w:r w:rsidR="00357636" w:rsidRPr="00541AC3">
        <w:rPr>
          <w:rFonts w:ascii="Times New Roman" w:hAnsi="Times New Roman" w:cs="Times New Roman"/>
          <w:i w:val="0"/>
          <w:iCs w:val="0"/>
          <w:color w:val="auto"/>
          <w:sz w:val="24"/>
          <w:szCs w:val="24"/>
        </w:rPr>
        <w:t xml:space="preserve"> (</w:t>
      </w:r>
      <m:oMath>
        <m:r>
          <w:rPr>
            <w:rFonts w:ascii="Cambria Math" w:hAnsi="Cambria Math" w:cs="Times New Roman"/>
            <w:color w:val="auto"/>
            <w:sz w:val="24"/>
            <w:szCs w:val="24"/>
          </w:rPr>
          <m:t>R=</m:t>
        </m:r>
        <m:sSup>
          <m:sSupPr>
            <m:ctrlPr>
              <w:rPr>
                <w:rFonts w:ascii="Cambria Math" w:eastAsiaTheme="minorEastAsia" w:hAnsi="Cambria Math" w:cs="Times New Roman"/>
                <w:iCs w:val="0"/>
                <w:color w:val="auto"/>
                <w:sz w:val="24"/>
                <w:szCs w:val="24"/>
              </w:rPr>
            </m:ctrlPr>
          </m:sSupPr>
          <m:e>
            <m:r>
              <w:rPr>
                <w:rFonts w:ascii="Cambria Math" w:eastAsiaTheme="minorEastAsia" w:hAnsi="Cambria Math" w:cs="Times New Roman"/>
                <w:color w:val="auto"/>
                <w:sz w:val="24"/>
                <w:szCs w:val="24"/>
              </w:rPr>
              <m:t>-0,51</m:t>
            </m:r>
          </m:e>
          <m:sup>
            <m:r>
              <w:rPr>
                <w:rFonts w:ascii="Cambria Math" w:eastAsia="Times New Roman" w:hAnsi="Cambria Math" w:cs="Dreaming Outloud Pro"/>
                <w:color w:val="auto"/>
                <w:szCs w:val="24"/>
                <w:vertAlign w:val="superscript"/>
              </w:rPr>
              <m:t>‡</m:t>
            </m:r>
          </m:sup>
        </m:sSup>
      </m:oMath>
      <w:r w:rsidR="00357636" w:rsidRPr="00541AC3">
        <w:rPr>
          <w:rFonts w:ascii="Times New Roman" w:hAnsi="Times New Roman" w:cs="Times New Roman"/>
          <w:i w:val="0"/>
          <w:iCs w:val="0"/>
          <w:color w:val="auto"/>
          <w:sz w:val="24"/>
          <w:szCs w:val="24"/>
        </w:rPr>
        <w:t>)</w:t>
      </w:r>
      <w:r w:rsidR="00037B35" w:rsidRPr="00541AC3">
        <w:rPr>
          <w:rFonts w:ascii="Times New Roman" w:hAnsi="Times New Roman" w:cs="Times New Roman"/>
          <w:i w:val="0"/>
          <w:iCs w:val="0"/>
          <w:color w:val="auto"/>
          <w:sz w:val="24"/>
          <w:szCs w:val="24"/>
        </w:rPr>
        <w:t xml:space="preserve">, UHD </w:t>
      </w:r>
      <w:r w:rsidR="00357636" w:rsidRPr="00541AC3">
        <w:rPr>
          <w:rFonts w:ascii="Times New Roman" w:hAnsi="Times New Roman" w:cs="Times New Roman"/>
          <w:i w:val="0"/>
          <w:iCs w:val="0"/>
          <w:color w:val="auto"/>
          <w:sz w:val="24"/>
          <w:szCs w:val="24"/>
        </w:rPr>
        <w:t>(</w:t>
      </w:r>
      <m:oMath>
        <m:r>
          <w:rPr>
            <w:rFonts w:ascii="Cambria Math" w:hAnsi="Cambria Math" w:cs="Times New Roman"/>
            <w:color w:val="auto"/>
            <w:sz w:val="24"/>
            <w:szCs w:val="24"/>
          </w:rPr>
          <m:t>R=</m:t>
        </m:r>
        <m:sSup>
          <m:sSupPr>
            <m:ctrlPr>
              <w:rPr>
                <w:rFonts w:ascii="Cambria Math" w:eastAsiaTheme="minorEastAsia" w:hAnsi="Cambria Math" w:cs="Times New Roman"/>
                <w:iCs w:val="0"/>
                <w:color w:val="auto"/>
                <w:sz w:val="24"/>
                <w:szCs w:val="24"/>
              </w:rPr>
            </m:ctrlPr>
          </m:sSupPr>
          <m:e>
            <m:r>
              <w:rPr>
                <w:rFonts w:ascii="Cambria Math" w:eastAsiaTheme="minorEastAsia" w:hAnsi="Cambria Math" w:cs="Times New Roman"/>
                <w:color w:val="auto"/>
                <w:sz w:val="24"/>
                <w:szCs w:val="24"/>
              </w:rPr>
              <m:t>-0,59</m:t>
            </m:r>
          </m:e>
          <m:sup>
            <m:r>
              <w:rPr>
                <w:rFonts w:ascii="Cambria Math" w:eastAsiaTheme="minorEastAsia" w:hAnsi="Cambria Math" w:cs="Times New Roman"/>
                <w:color w:val="auto"/>
                <w:sz w:val="24"/>
                <w:szCs w:val="24"/>
              </w:rPr>
              <m:t>*</m:t>
            </m:r>
          </m:sup>
        </m:sSup>
      </m:oMath>
      <w:r w:rsidR="00357636" w:rsidRPr="00541AC3">
        <w:rPr>
          <w:rFonts w:ascii="Times New Roman" w:hAnsi="Times New Roman" w:cs="Times New Roman"/>
          <w:i w:val="0"/>
          <w:iCs w:val="0"/>
          <w:color w:val="auto"/>
          <w:sz w:val="24"/>
          <w:szCs w:val="24"/>
        </w:rPr>
        <w:t xml:space="preserve">) </w:t>
      </w:r>
      <w:r w:rsidR="00037B35" w:rsidRPr="00541AC3">
        <w:rPr>
          <w:rFonts w:ascii="Times New Roman" w:hAnsi="Times New Roman" w:cs="Times New Roman"/>
          <w:i w:val="0"/>
          <w:iCs w:val="0"/>
          <w:color w:val="auto"/>
          <w:sz w:val="24"/>
          <w:szCs w:val="24"/>
        </w:rPr>
        <w:t xml:space="preserve">ve TİC </w:t>
      </w:r>
      <w:r w:rsidR="00B25B83" w:rsidRPr="00541AC3">
        <w:rPr>
          <w:rFonts w:ascii="Times New Roman" w:hAnsi="Times New Roman" w:cs="Times New Roman"/>
          <w:i w:val="0"/>
          <w:iCs w:val="0"/>
          <w:color w:val="auto"/>
          <w:sz w:val="24"/>
          <w:szCs w:val="24"/>
        </w:rPr>
        <w:t>(</w:t>
      </w:r>
      <m:oMath>
        <m:r>
          <w:rPr>
            <w:rFonts w:ascii="Cambria Math" w:hAnsi="Cambria Math" w:cs="Times New Roman"/>
            <w:color w:val="auto"/>
            <w:sz w:val="24"/>
            <w:szCs w:val="24"/>
          </w:rPr>
          <m:t>R=</m:t>
        </m:r>
        <m:sSup>
          <m:sSupPr>
            <m:ctrlPr>
              <w:rPr>
                <w:rFonts w:ascii="Cambria Math" w:eastAsiaTheme="minorEastAsia" w:hAnsi="Cambria Math" w:cs="Times New Roman"/>
                <w:iCs w:val="0"/>
                <w:color w:val="auto"/>
                <w:sz w:val="24"/>
                <w:szCs w:val="24"/>
              </w:rPr>
            </m:ctrlPr>
          </m:sSupPr>
          <m:e>
            <m:r>
              <w:rPr>
                <w:rFonts w:ascii="Cambria Math" w:eastAsiaTheme="minorEastAsia" w:hAnsi="Cambria Math" w:cs="Times New Roman"/>
                <w:color w:val="auto"/>
                <w:sz w:val="24"/>
                <w:szCs w:val="24"/>
              </w:rPr>
              <m:t>-0,59</m:t>
            </m:r>
          </m:e>
          <m:sup>
            <m:r>
              <w:rPr>
                <w:rFonts w:ascii="Cambria Math" w:eastAsiaTheme="minorEastAsia" w:hAnsi="Cambria Math" w:cs="Times New Roman"/>
                <w:color w:val="auto"/>
                <w:sz w:val="24"/>
                <w:szCs w:val="24"/>
              </w:rPr>
              <m:t>*</m:t>
            </m:r>
          </m:sup>
        </m:sSup>
      </m:oMath>
      <w:r w:rsidR="00B25B83" w:rsidRPr="00541AC3">
        <w:rPr>
          <w:rFonts w:ascii="Times New Roman" w:hAnsi="Times New Roman" w:cs="Times New Roman"/>
          <w:i w:val="0"/>
          <w:iCs w:val="0"/>
          <w:color w:val="auto"/>
          <w:sz w:val="24"/>
          <w:szCs w:val="24"/>
        </w:rPr>
        <w:t xml:space="preserve">) </w:t>
      </w:r>
      <w:r w:rsidR="00037B35" w:rsidRPr="00541AC3">
        <w:rPr>
          <w:rFonts w:ascii="Times New Roman" w:hAnsi="Times New Roman" w:cs="Times New Roman"/>
          <w:i w:val="0"/>
          <w:iCs w:val="0"/>
          <w:color w:val="auto"/>
          <w:sz w:val="24"/>
          <w:szCs w:val="24"/>
        </w:rPr>
        <w:t>sektör</w:t>
      </w:r>
      <w:r w:rsidR="00AD06FE" w:rsidRPr="00541AC3">
        <w:rPr>
          <w:rFonts w:ascii="Times New Roman" w:hAnsi="Times New Roman" w:cs="Times New Roman"/>
          <w:i w:val="0"/>
          <w:iCs w:val="0"/>
          <w:color w:val="auto"/>
          <w:sz w:val="24"/>
          <w:szCs w:val="24"/>
        </w:rPr>
        <w:t>lerin</w:t>
      </w:r>
      <w:r w:rsidR="00037B35" w:rsidRPr="00541AC3">
        <w:rPr>
          <w:rFonts w:ascii="Times New Roman" w:hAnsi="Times New Roman" w:cs="Times New Roman"/>
          <w:i w:val="0"/>
          <w:iCs w:val="0"/>
          <w:color w:val="auto"/>
          <w:sz w:val="24"/>
          <w:szCs w:val="24"/>
        </w:rPr>
        <w:t>de mevcuttur.</w:t>
      </w:r>
      <w:r w:rsidR="00AD06FE" w:rsidRPr="00541AC3">
        <w:rPr>
          <w:rFonts w:ascii="Times New Roman" w:hAnsi="Times New Roman" w:cs="Times New Roman"/>
          <w:i w:val="0"/>
          <w:iCs w:val="0"/>
          <w:color w:val="auto"/>
          <w:sz w:val="24"/>
          <w:szCs w:val="24"/>
        </w:rPr>
        <w:t xml:space="preserve"> Bunun potansiyel sebepleriyle ilgili ek analizler kredilerin etkin tahsisi için önemlidir. </w:t>
      </w:r>
      <w:r w:rsidR="0075267F" w:rsidRPr="00541AC3">
        <w:rPr>
          <w:rFonts w:ascii="Times New Roman" w:hAnsi="Times New Roman" w:cs="Times New Roman"/>
          <w:i w:val="0"/>
          <w:iCs w:val="0"/>
          <w:color w:val="auto"/>
          <w:sz w:val="24"/>
          <w:szCs w:val="24"/>
        </w:rPr>
        <w:t>Cari yıldaki reel kredi artışının önceki üç yıldaki büyüme</w:t>
      </w:r>
      <w:r w:rsidR="00B22557" w:rsidRPr="00541AC3">
        <w:rPr>
          <w:rFonts w:ascii="Times New Roman" w:hAnsi="Times New Roman" w:cs="Times New Roman"/>
          <w:i w:val="0"/>
          <w:iCs w:val="0"/>
          <w:color w:val="auto"/>
          <w:sz w:val="24"/>
          <w:szCs w:val="24"/>
        </w:rPr>
        <w:t xml:space="preserve"> oranlarıyla</w:t>
      </w:r>
      <w:r w:rsidR="0075267F" w:rsidRPr="00541AC3">
        <w:rPr>
          <w:rFonts w:ascii="Times New Roman" w:hAnsi="Times New Roman" w:cs="Times New Roman"/>
          <w:i w:val="0"/>
          <w:iCs w:val="0"/>
          <w:color w:val="auto"/>
          <w:sz w:val="24"/>
          <w:szCs w:val="24"/>
        </w:rPr>
        <w:t xml:space="preserve"> ilişkisine bakıldığında toplam</w:t>
      </w:r>
      <w:r w:rsidR="00B22557" w:rsidRPr="00541AC3">
        <w:rPr>
          <w:rFonts w:ascii="Times New Roman" w:hAnsi="Times New Roman" w:cs="Times New Roman"/>
          <w:i w:val="0"/>
          <w:iCs w:val="0"/>
          <w:color w:val="auto"/>
          <w:sz w:val="24"/>
          <w:szCs w:val="24"/>
        </w:rPr>
        <w:t>da</w:t>
      </w:r>
      <w:r w:rsidR="0075267F" w:rsidRPr="00541AC3">
        <w:rPr>
          <w:rFonts w:ascii="Times New Roman" w:hAnsi="Times New Roman" w:cs="Times New Roman"/>
          <w:i w:val="0"/>
          <w:iCs w:val="0"/>
          <w:color w:val="auto"/>
          <w:sz w:val="24"/>
          <w:szCs w:val="24"/>
        </w:rPr>
        <w:t xml:space="preserve"> </w:t>
      </w:r>
      <w:r w:rsidR="00B22557" w:rsidRPr="00541AC3">
        <w:rPr>
          <w:rFonts w:ascii="Times New Roman" w:hAnsi="Times New Roman" w:cs="Times New Roman"/>
          <w:i w:val="0"/>
          <w:iCs w:val="0"/>
          <w:color w:val="auto"/>
          <w:sz w:val="24"/>
          <w:szCs w:val="24"/>
        </w:rPr>
        <w:t xml:space="preserve">sadece </w:t>
      </w:r>
      <w:r w:rsidR="0075267F" w:rsidRPr="00541AC3">
        <w:rPr>
          <w:rFonts w:ascii="Times New Roman" w:hAnsi="Times New Roman" w:cs="Times New Roman"/>
          <w:i w:val="0"/>
          <w:iCs w:val="0"/>
          <w:color w:val="auto"/>
          <w:sz w:val="24"/>
          <w:szCs w:val="24"/>
        </w:rPr>
        <w:t xml:space="preserve">bir önceki yıl büyümesi ile pozitif ancak düşük bir korelasyon </w:t>
      </w:r>
      <w:r w:rsidR="00B25B83" w:rsidRPr="00541AC3">
        <w:rPr>
          <w:rFonts w:ascii="Times New Roman" w:hAnsi="Times New Roman" w:cs="Times New Roman"/>
          <w:i w:val="0"/>
          <w:iCs w:val="0"/>
          <w:color w:val="auto"/>
          <w:sz w:val="24"/>
          <w:szCs w:val="24"/>
        </w:rPr>
        <w:t>(</w:t>
      </w:r>
      <m:oMath>
        <m:r>
          <w:rPr>
            <w:rFonts w:ascii="Cambria Math" w:hAnsi="Cambria Math" w:cs="Times New Roman"/>
            <w:color w:val="auto"/>
            <w:sz w:val="24"/>
            <w:szCs w:val="24"/>
          </w:rPr>
          <m:t>R=</m:t>
        </m:r>
        <m:sSup>
          <m:sSupPr>
            <m:ctrlPr>
              <w:rPr>
                <w:rFonts w:ascii="Cambria Math" w:eastAsiaTheme="minorEastAsia" w:hAnsi="Cambria Math" w:cs="Times New Roman"/>
                <w:iCs w:val="0"/>
                <w:color w:val="auto"/>
                <w:sz w:val="24"/>
                <w:szCs w:val="24"/>
              </w:rPr>
            </m:ctrlPr>
          </m:sSupPr>
          <m:e>
            <m:r>
              <w:rPr>
                <w:rFonts w:ascii="Cambria Math" w:eastAsiaTheme="minorEastAsia" w:hAnsi="Cambria Math" w:cs="Times New Roman"/>
                <w:color w:val="auto"/>
                <w:sz w:val="24"/>
                <w:szCs w:val="24"/>
              </w:rPr>
              <m:t>0,21</m:t>
            </m:r>
          </m:e>
          <m:sup>
            <m:r>
              <w:rPr>
                <w:rFonts w:ascii="Cambria Math" w:eastAsiaTheme="minorEastAsia" w:hAnsi="Cambria Math" w:cs="Times New Roman"/>
                <w:color w:val="auto"/>
                <w:sz w:val="24"/>
                <w:szCs w:val="24"/>
              </w:rPr>
              <m:t>**</m:t>
            </m:r>
          </m:sup>
        </m:sSup>
      </m:oMath>
      <w:r w:rsidR="00B25B83" w:rsidRPr="00541AC3">
        <w:rPr>
          <w:rFonts w:ascii="Times New Roman" w:hAnsi="Times New Roman" w:cs="Times New Roman"/>
          <w:i w:val="0"/>
          <w:iCs w:val="0"/>
          <w:color w:val="auto"/>
          <w:sz w:val="24"/>
          <w:szCs w:val="24"/>
        </w:rPr>
        <w:t>)</w:t>
      </w:r>
      <w:r w:rsidR="0075267F" w:rsidRPr="00541AC3">
        <w:rPr>
          <w:rFonts w:ascii="Times New Roman" w:hAnsi="Times New Roman" w:cs="Times New Roman"/>
          <w:i w:val="0"/>
          <w:iCs w:val="0"/>
          <w:color w:val="auto"/>
          <w:sz w:val="24"/>
          <w:szCs w:val="24"/>
        </w:rPr>
        <w:t xml:space="preserve"> mevcuttur. Bu ilişki </w:t>
      </w:r>
      <w:r w:rsidR="00E84180">
        <w:rPr>
          <w:rFonts w:ascii="Times New Roman" w:hAnsi="Times New Roman" w:cs="Times New Roman"/>
          <w:i w:val="0"/>
          <w:iCs w:val="0"/>
          <w:color w:val="auto"/>
          <w:sz w:val="24"/>
          <w:szCs w:val="24"/>
        </w:rPr>
        <w:t xml:space="preserve">de </w:t>
      </w:r>
      <w:r w:rsidR="0075267F" w:rsidRPr="00541AC3">
        <w:rPr>
          <w:rFonts w:ascii="Times New Roman" w:hAnsi="Times New Roman" w:cs="Times New Roman"/>
          <w:i w:val="0"/>
          <w:iCs w:val="0"/>
          <w:color w:val="auto"/>
          <w:sz w:val="24"/>
          <w:szCs w:val="24"/>
        </w:rPr>
        <w:t xml:space="preserve">sektörlere göre farklılık göstermektedir. </w:t>
      </w:r>
      <w:r w:rsidR="00B22557" w:rsidRPr="00541AC3">
        <w:rPr>
          <w:rFonts w:ascii="Times New Roman" w:hAnsi="Times New Roman" w:cs="Times New Roman"/>
          <w:i w:val="0"/>
          <w:iCs w:val="0"/>
          <w:color w:val="auto"/>
          <w:sz w:val="24"/>
          <w:szCs w:val="24"/>
        </w:rPr>
        <w:t>Yalnızca</w:t>
      </w:r>
      <w:r w:rsidR="0075267F" w:rsidRPr="00541AC3">
        <w:rPr>
          <w:rFonts w:ascii="Times New Roman" w:hAnsi="Times New Roman" w:cs="Times New Roman"/>
          <w:i w:val="0"/>
          <w:iCs w:val="0"/>
          <w:color w:val="auto"/>
          <w:sz w:val="24"/>
          <w:szCs w:val="24"/>
        </w:rPr>
        <w:t xml:space="preserve"> İNŞ </w:t>
      </w:r>
      <w:r w:rsidR="009338F7" w:rsidRPr="00541AC3">
        <w:rPr>
          <w:rFonts w:ascii="Times New Roman" w:hAnsi="Times New Roman" w:cs="Times New Roman"/>
          <w:i w:val="0"/>
          <w:iCs w:val="0"/>
          <w:color w:val="auto"/>
          <w:sz w:val="24"/>
          <w:szCs w:val="24"/>
        </w:rPr>
        <w:t>(</w:t>
      </w:r>
      <m:oMath>
        <m:r>
          <w:rPr>
            <w:rFonts w:ascii="Cambria Math" w:hAnsi="Cambria Math" w:cs="Times New Roman"/>
            <w:color w:val="auto"/>
            <w:sz w:val="24"/>
            <w:szCs w:val="24"/>
          </w:rPr>
          <m:t>R=</m:t>
        </m:r>
        <m:sSup>
          <m:sSupPr>
            <m:ctrlPr>
              <w:rPr>
                <w:rFonts w:ascii="Cambria Math" w:eastAsiaTheme="minorEastAsia" w:hAnsi="Cambria Math" w:cs="Times New Roman"/>
                <w:iCs w:val="0"/>
                <w:color w:val="auto"/>
                <w:sz w:val="24"/>
                <w:szCs w:val="24"/>
              </w:rPr>
            </m:ctrlPr>
          </m:sSupPr>
          <m:e>
            <m:r>
              <w:rPr>
                <w:rFonts w:ascii="Cambria Math" w:eastAsiaTheme="minorEastAsia" w:hAnsi="Cambria Math" w:cs="Times New Roman"/>
                <w:color w:val="auto"/>
                <w:sz w:val="24"/>
                <w:szCs w:val="24"/>
              </w:rPr>
              <m:t>0,56</m:t>
            </m:r>
          </m:e>
          <m:sup>
            <m:r>
              <w:rPr>
                <w:rFonts w:ascii="Cambria Math" w:eastAsiaTheme="minorEastAsia" w:hAnsi="Cambria Math" w:cs="Times New Roman"/>
                <w:color w:val="auto"/>
                <w:sz w:val="24"/>
                <w:szCs w:val="24"/>
              </w:rPr>
              <m:t>*</m:t>
            </m:r>
          </m:sup>
        </m:sSup>
      </m:oMath>
      <w:r w:rsidR="009338F7" w:rsidRPr="00541AC3">
        <w:rPr>
          <w:rFonts w:ascii="Times New Roman" w:hAnsi="Times New Roman" w:cs="Times New Roman"/>
          <w:i w:val="0"/>
          <w:iCs w:val="0"/>
          <w:color w:val="auto"/>
          <w:sz w:val="24"/>
          <w:szCs w:val="24"/>
        </w:rPr>
        <w:t xml:space="preserve">) </w:t>
      </w:r>
      <w:r w:rsidR="0075267F" w:rsidRPr="00541AC3">
        <w:rPr>
          <w:rFonts w:ascii="Times New Roman" w:hAnsi="Times New Roman" w:cs="Times New Roman"/>
          <w:i w:val="0"/>
          <w:iCs w:val="0"/>
          <w:color w:val="auto"/>
          <w:sz w:val="24"/>
          <w:szCs w:val="24"/>
        </w:rPr>
        <w:t>ve EGS</w:t>
      </w:r>
      <w:r w:rsidR="009338F7" w:rsidRPr="00541AC3">
        <w:rPr>
          <w:rFonts w:ascii="Times New Roman" w:hAnsi="Times New Roman" w:cs="Times New Roman"/>
          <w:i w:val="0"/>
          <w:iCs w:val="0"/>
          <w:color w:val="auto"/>
          <w:sz w:val="24"/>
          <w:szCs w:val="24"/>
        </w:rPr>
        <w:t xml:space="preserve"> (</w:t>
      </w:r>
      <m:oMath>
        <m:r>
          <w:rPr>
            <w:rFonts w:ascii="Cambria Math" w:hAnsi="Cambria Math" w:cs="Times New Roman"/>
            <w:color w:val="auto"/>
            <w:sz w:val="24"/>
            <w:szCs w:val="24"/>
          </w:rPr>
          <m:t>R=</m:t>
        </m:r>
        <m:sSup>
          <m:sSupPr>
            <m:ctrlPr>
              <w:rPr>
                <w:rFonts w:ascii="Cambria Math" w:eastAsiaTheme="minorEastAsia" w:hAnsi="Cambria Math" w:cs="Times New Roman"/>
                <w:iCs w:val="0"/>
                <w:color w:val="auto"/>
                <w:sz w:val="24"/>
                <w:szCs w:val="24"/>
              </w:rPr>
            </m:ctrlPr>
          </m:sSupPr>
          <m:e>
            <m:r>
              <w:rPr>
                <w:rFonts w:ascii="Cambria Math" w:eastAsiaTheme="minorEastAsia" w:hAnsi="Cambria Math" w:cs="Times New Roman"/>
                <w:color w:val="auto"/>
                <w:sz w:val="24"/>
                <w:szCs w:val="24"/>
              </w:rPr>
              <m:t>0,41</m:t>
            </m:r>
          </m:e>
          <m:sup>
            <m:r>
              <w:rPr>
                <w:rFonts w:ascii="Cambria Math" w:eastAsia="Times New Roman" w:hAnsi="Cambria Math" w:cs="Dreaming Outloud Pro"/>
                <w:color w:val="auto"/>
                <w:szCs w:val="24"/>
                <w:vertAlign w:val="superscript"/>
              </w:rPr>
              <m:t>‡</m:t>
            </m:r>
          </m:sup>
        </m:sSup>
      </m:oMath>
      <w:r w:rsidR="009338F7" w:rsidRPr="00541AC3">
        <w:rPr>
          <w:rFonts w:ascii="Times New Roman" w:hAnsi="Times New Roman" w:cs="Times New Roman"/>
          <w:i w:val="0"/>
          <w:iCs w:val="0"/>
          <w:color w:val="auto"/>
          <w:sz w:val="24"/>
          <w:szCs w:val="24"/>
        </w:rPr>
        <w:t>)</w:t>
      </w:r>
      <w:r w:rsidR="0075267F" w:rsidRPr="00541AC3">
        <w:rPr>
          <w:rFonts w:ascii="Times New Roman" w:hAnsi="Times New Roman" w:cs="Times New Roman"/>
          <w:i w:val="0"/>
          <w:iCs w:val="0"/>
          <w:color w:val="auto"/>
          <w:sz w:val="24"/>
          <w:szCs w:val="24"/>
        </w:rPr>
        <w:t xml:space="preserve"> sektörlerinde bir önceki dönem büyüme ile cari dönem kredi artışı arasında istatiksel olarak anlamlı, pozitif ve to</w:t>
      </w:r>
      <w:r w:rsidR="009338F7" w:rsidRPr="00541AC3">
        <w:rPr>
          <w:rFonts w:ascii="Times New Roman" w:hAnsi="Times New Roman" w:cs="Times New Roman"/>
          <w:i w:val="0"/>
          <w:iCs w:val="0"/>
          <w:color w:val="auto"/>
          <w:sz w:val="24"/>
          <w:szCs w:val="24"/>
        </w:rPr>
        <w:t>plama göre daha yüksek</w:t>
      </w:r>
      <w:r w:rsidR="0075267F" w:rsidRPr="00541AC3">
        <w:rPr>
          <w:rFonts w:ascii="Times New Roman" w:hAnsi="Times New Roman" w:cs="Times New Roman"/>
          <w:i w:val="0"/>
          <w:iCs w:val="0"/>
          <w:color w:val="auto"/>
          <w:sz w:val="24"/>
          <w:szCs w:val="24"/>
        </w:rPr>
        <w:t xml:space="preserve"> bir ilişki mevcuttur. Bunun olası </w:t>
      </w:r>
      <w:r w:rsidR="006603FE" w:rsidRPr="00541AC3">
        <w:rPr>
          <w:rFonts w:ascii="Times New Roman" w:hAnsi="Times New Roman" w:cs="Times New Roman"/>
          <w:i w:val="0"/>
          <w:iCs w:val="0"/>
          <w:color w:val="auto"/>
          <w:sz w:val="24"/>
          <w:szCs w:val="24"/>
        </w:rPr>
        <w:t xml:space="preserve">bir </w:t>
      </w:r>
      <w:r w:rsidR="0075267F" w:rsidRPr="00541AC3">
        <w:rPr>
          <w:rFonts w:ascii="Times New Roman" w:hAnsi="Times New Roman" w:cs="Times New Roman"/>
          <w:i w:val="0"/>
          <w:iCs w:val="0"/>
          <w:color w:val="auto"/>
          <w:sz w:val="24"/>
          <w:szCs w:val="24"/>
        </w:rPr>
        <w:t xml:space="preserve">sebebi bu sektörlerin kredi alımlarında teminat gösterme olanaklarının olmasıdır. İNŞ’de bu pozitif ilişki iki dönem önceki büyüme oranıyla </w:t>
      </w:r>
      <w:r w:rsidR="006603FE" w:rsidRPr="00541AC3">
        <w:rPr>
          <w:rFonts w:ascii="Times New Roman" w:hAnsi="Times New Roman" w:cs="Times New Roman"/>
          <w:i w:val="0"/>
          <w:iCs w:val="0"/>
          <w:color w:val="auto"/>
          <w:sz w:val="24"/>
          <w:szCs w:val="24"/>
        </w:rPr>
        <w:t xml:space="preserve">da </w:t>
      </w:r>
      <w:r w:rsidR="0075267F" w:rsidRPr="00541AC3">
        <w:rPr>
          <w:rFonts w:ascii="Times New Roman" w:hAnsi="Times New Roman" w:cs="Times New Roman"/>
          <w:i w:val="0"/>
          <w:iCs w:val="0"/>
          <w:color w:val="auto"/>
          <w:sz w:val="24"/>
          <w:szCs w:val="24"/>
        </w:rPr>
        <w:t>mevcuttur</w:t>
      </w:r>
      <w:r w:rsidR="00A543AA" w:rsidRPr="00541AC3">
        <w:rPr>
          <w:rFonts w:ascii="Times New Roman" w:hAnsi="Times New Roman" w:cs="Times New Roman"/>
          <w:i w:val="0"/>
          <w:iCs w:val="0"/>
          <w:color w:val="auto"/>
          <w:sz w:val="24"/>
          <w:szCs w:val="24"/>
        </w:rPr>
        <w:t xml:space="preserve"> </w:t>
      </w:r>
      <w:r w:rsidR="006A1E18" w:rsidRPr="00541AC3">
        <w:rPr>
          <w:rFonts w:ascii="Times New Roman" w:hAnsi="Times New Roman" w:cs="Times New Roman"/>
          <w:i w:val="0"/>
          <w:iCs w:val="0"/>
          <w:color w:val="auto"/>
          <w:sz w:val="24"/>
          <w:szCs w:val="24"/>
        </w:rPr>
        <w:t>(</w:t>
      </w:r>
      <m:oMath>
        <m:r>
          <w:rPr>
            <w:rFonts w:ascii="Cambria Math" w:hAnsi="Cambria Math" w:cs="Times New Roman"/>
            <w:color w:val="auto"/>
            <w:sz w:val="24"/>
            <w:szCs w:val="24"/>
          </w:rPr>
          <m:t>R=</m:t>
        </m:r>
        <m:sSup>
          <m:sSupPr>
            <m:ctrlPr>
              <w:rPr>
                <w:rFonts w:ascii="Cambria Math" w:eastAsiaTheme="minorEastAsia" w:hAnsi="Cambria Math" w:cs="Times New Roman"/>
                <w:iCs w:val="0"/>
                <w:color w:val="auto"/>
                <w:sz w:val="24"/>
                <w:szCs w:val="24"/>
              </w:rPr>
            </m:ctrlPr>
          </m:sSupPr>
          <m:e>
            <m:r>
              <w:rPr>
                <w:rFonts w:ascii="Cambria Math" w:eastAsiaTheme="minorEastAsia" w:hAnsi="Cambria Math" w:cs="Times New Roman"/>
                <w:color w:val="auto"/>
                <w:sz w:val="24"/>
                <w:szCs w:val="24"/>
              </w:rPr>
              <m:t>0,4</m:t>
            </m:r>
          </m:e>
          <m:sup>
            <m:r>
              <w:rPr>
                <w:rFonts w:ascii="Cambria Math" w:eastAsia="Times New Roman" w:hAnsi="Cambria Math" w:cs="Dreaming Outloud Pro"/>
                <w:color w:val="auto"/>
                <w:szCs w:val="24"/>
                <w:vertAlign w:val="superscript"/>
              </w:rPr>
              <m:t>‡</m:t>
            </m:r>
          </m:sup>
        </m:sSup>
      </m:oMath>
      <w:r w:rsidR="006A1E18" w:rsidRPr="00541AC3">
        <w:rPr>
          <w:rFonts w:ascii="Times New Roman" w:hAnsi="Times New Roman" w:cs="Times New Roman"/>
          <w:i w:val="0"/>
          <w:iCs w:val="0"/>
          <w:color w:val="auto"/>
          <w:sz w:val="24"/>
          <w:szCs w:val="24"/>
        </w:rPr>
        <w:t>)</w:t>
      </w:r>
      <w:r w:rsidR="0075267F" w:rsidRPr="00541AC3">
        <w:rPr>
          <w:rFonts w:ascii="Times New Roman" w:hAnsi="Times New Roman" w:cs="Times New Roman"/>
          <w:i w:val="0"/>
          <w:iCs w:val="0"/>
          <w:color w:val="auto"/>
          <w:sz w:val="24"/>
          <w:szCs w:val="24"/>
        </w:rPr>
        <w:t>.</w:t>
      </w:r>
      <w:r w:rsidR="0075267F" w:rsidRPr="00541AC3">
        <w:rPr>
          <w:color w:val="auto"/>
        </w:rPr>
        <w:tab/>
      </w:r>
    </w:p>
    <w:p w14:paraId="136AB7AC" w14:textId="7F820DDD" w:rsidR="0002415B" w:rsidRDefault="0002415B" w:rsidP="0002415B"/>
    <w:p w14:paraId="3B5ADC0F" w14:textId="7E78520F" w:rsidR="0002415B" w:rsidRDefault="0002415B" w:rsidP="0002415B"/>
    <w:p w14:paraId="68F0FCE9" w14:textId="77777777" w:rsidR="005E560D" w:rsidRPr="0002415B" w:rsidRDefault="005E560D" w:rsidP="0002415B"/>
    <w:p w14:paraId="05CBDEC5" w14:textId="28860218" w:rsidR="00CD52F5" w:rsidRPr="00541AC3" w:rsidRDefault="00CD52F5" w:rsidP="00A70EAB">
      <w:pPr>
        <w:pStyle w:val="Caption"/>
        <w:keepNext/>
        <w:spacing w:before="240"/>
        <w:jc w:val="center"/>
        <w:rPr>
          <w:rFonts w:ascii="Times New Roman" w:hAnsi="Times New Roman" w:cs="Times New Roman"/>
          <w:b/>
          <w:bCs/>
          <w:i w:val="0"/>
          <w:iCs w:val="0"/>
          <w:color w:val="auto"/>
          <w:sz w:val="22"/>
          <w:szCs w:val="22"/>
        </w:rPr>
      </w:pPr>
      <w:r w:rsidRPr="00541AC3">
        <w:rPr>
          <w:rFonts w:ascii="Times New Roman" w:hAnsi="Times New Roman" w:cs="Times New Roman"/>
          <w:b/>
          <w:bCs/>
          <w:i w:val="0"/>
          <w:iCs w:val="0"/>
          <w:color w:val="auto"/>
          <w:sz w:val="22"/>
          <w:szCs w:val="22"/>
        </w:rPr>
        <w:lastRenderedPageBreak/>
        <w:t xml:space="preserve">Tablo </w:t>
      </w:r>
      <w:r w:rsidRPr="00541AC3">
        <w:rPr>
          <w:rFonts w:ascii="Times New Roman" w:hAnsi="Times New Roman" w:cs="Times New Roman"/>
          <w:b/>
          <w:bCs/>
          <w:i w:val="0"/>
          <w:iCs w:val="0"/>
          <w:color w:val="auto"/>
          <w:sz w:val="22"/>
          <w:szCs w:val="22"/>
        </w:rPr>
        <w:fldChar w:fldCharType="begin"/>
      </w:r>
      <w:r w:rsidRPr="00541AC3">
        <w:rPr>
          <w:rFonts w:ascii="Times New Roman" w:hAnsi="Times New Roman" w:cs="Times New Roman"/>
          <w:b/>
          <w:bCs/>
          <w:i w:val="0"/>
          <w:iCs w:val="0"/>
          <w:color w:val="auto"/>
          <w:sz w:val="22"/>
          <w:szCs w:val="22"/>
        </w:rPr>
        <w:instrText xml:space="preserve"> SEQ Tablo \* ARABIC </w:instrText>
      </w:r>
      <w:r w:rsidRPr="00541AC3">
        <w:rPr>
          <w:rFonts w:ascii="Times New Roman" w:hAnsi="Times New Roman" w:cs="Times New Roman"/>
          <w:b/>
          <w:bCs/>
          <w:i w:val="0"/>
          <w:iCs w:val="0"/>
          <w:color w:val="auto"/>
          <w:sz w:val="22"/>
          <w:szCs w:val="22"/>
        </w:rPr>
        <w:fldChar w:fldCharType="separate"/>
      </w:r>
      <w:r w:rsidR="0057441E">
        <w:rPr>
          <w:rFonts w:ascii="Times New Roman" w:hAnsi="Times New Roman" w:cs="Times New Roman"/>
          <w:b/>
          <w:bCs/>
          <w:i w:val="0"/>
          <w:iCs w:val="0"/>
          <w:noProof/>
          <w:color w:val="auto"/>
          <w:sz w:val="22"/>
          <w:szCs w:val="22"/>
        </w:rPr>
        <w:t>3</w:t>
      </w:r>
      <w:r w:rsidRPr="00541AC3">
        <w:rPr>
          <w:rFonts w:ascii="Times New Roman" w:hAnsi="Times New Roman" w:cs="Times New Roman"/>
          <w:b/>
          <w:bCs/>
          <w:i w:val="0"/>
          <w:iCs w:val="0"/>
          <w:color w:val="auto"/>
          <w:sz w:val="22"/>
          <w:szCs w:val="22"/>
        </w:rPr>
        <w:fldChar w:fldCharType="end"/>
      </w:r>
      <w:r w:rsidRPr="00541AC3">
        <w:rPr>
          <w:rFonts w:ascii="Times New Roman" w:hAnsi="Times New Roman" w:cs="Times New Roman"/>
          <w:b/>
          <w:bCs/>
          <w:i w:val="0"/>
          <w:iCs w:val="0"/>
          <w:color w:val="auto"/>
          <w:sz w:val="22"/>
          <w:szCs w:val="22"/>
        </w:rPr>
        <w:t>. Reel Kredi Değişimi ve Büyüme Korelasyonu</w:t>
      </w:r>
      <w:r w:rsidR="00CA0864" w:rsidRPr="00541AC3">
        <w:rPr>
          <w:rFonts w:ascii="Times New Roman" w:hAnsi="Times New Roman" w:cs="Times New Roman"/>
          <w:b/>
          <w:bCs/>
          <w:i w:val="0"/>
          <w:iCs w:val="0"/>
          <w:color w:val="auto"/>
          <w:sz w:val="22"/>
          <w:szCs w:val="22"/>
        </w:rPr>
        <w:t xml:space="preserve"> (2004-2021)</w:t>
      </w:r>
    </w:p>
    <w:tbl>
      <w:tblPr>
        <w:tblStyle w:val="TableGrid"/>
        <w:tblW w:w="0" w:type="auto"/>
        <w:jc w:val="center"/>
        <w:tblLook w:val="04A0" w:firstRow="1" w:lastRow="0" w:firstColumn="1" w:lastColumn="0" w:noHBand="0" w:noVBand="1"/>
      </w:tblPr>
      <w:tblGrid>
        <w:gridCol w:w="1450"/>
        <w:gridCol w:w="695"/>
        <w:gridCol w:w="658"/>
        <w:gridCol w:w="696"/>
        <w:gridCol w:w="1218"/>
        <w:gridCol w:w="658"/>
        <w:gridCol w:w="695"/>
        <w:gridCol w:w="763"/>
      </w:tblGrid>
      <w:tr w:rsidR="00541AC3" w:rsidRPr="00541AC3" w14:paraId="278ABA1E" w14:textId="77777777" w:rsidTr="00052C72">
        <w:trPr>
          <w:trHeight w:val="288"/>
          <w:jc w:val="center"/>
        </w:trPr>
        <w:tc>
          <w:tcPr>
            <w:tcW w:w="0" w:type="auto"/>
            <w:vAlign w:val="center"/>
          </w:tcPr>
          <w:p w14:paraId="78605468" w14:textId="77777777" w:rsidR="00FD30C7" w:rsidRPr="00541AC3" w:rsidRDefault="00FD30C7" w:rsidP="002E68D4">
            <w:pPr>
              <w:rPr>
                <w:rFonts w:ascii="Times New Roman" w:eastAsia="Times New Roman" w:hAnsi="Times New Roman" w:cs="Times New Roman"/>
                <w:b/>
                <w:bCs/>
                <w:sz w:val="20"/>
                <w:szCs w:val="20"/>
              </w:rPr>
            </w:pPr>
          </w:p>
        </w:tc>
        <w:tc>
          <w:tcPr>
            <w:tcW w:w="0" w:type="auto"/>
            <w:vAlign w:val="center"/>
          </w:tcPr>
          <w:p w14:paraId="229301A2" w14:textId="38140B80" w:rsidR="00FD30C7" w:rsidRPr="00541AC3" w:rsidRDefault="00382797" w:rsidP="00382797">
            <w:pPr>
              <w:jc w:val="center"/>
              <w:rPr>
                <w:rFonts w:ascii="Times New Roman" w:eastAsia="Times New Roman" w:hAnsi="Times New Roman" w:cs="Times New Roman"/>
                <w:b/>
                <w:bCs/>
                <w:sz w:val="20"/>
                <w:szCs w:val="20"/>
              </w:rPr>
            </w:pPr>
            <m:oMathPara>
              <m:oMath>
                <m:r>
                  <m:rPr>
                    <m:sty m:val="bi"/>
                  </m:rPr>
                  <w:rPr>
                    <w:rFonts w:ascii="Cambria Math" w:eastAsia="Times New Roman" w:hAnsi="Cambria Math" w:cs="Times New Roman"/>
                    <w:sz w:val="20"/>
                    <w:szCs w:val="20"/>
                  </w:rPr>
                  <m:t>t-3</m:t>
                </m:r>
              </m:oMath>
            </m:oMathPara>
          </w:p>
        </w:tc>
        <w:tc>
          <w:tcPr>
            <w:tcW w:w="0" w:type="auto"/>
            <w:vAlign w:val="center"/>
          </w:tcPr>
          <w:p w14:paraId="7CB27465" w14:textId="67469974" w:rsidR="00FD30C7" w:rsidRPr="00541AC3" w:rsidRDefault="00382797" w:rsidP="00382797">
            <w:pPr>
              <w:jc w:val="center"/>
              <w:rPr>
                <w:rFonts w:ascii="Times New Roman" w:eastAsia="Times New Roman" w:hAnsi="Times New Roman" w:cs="Times New Roman"/>
                <w:b/>
                <w:bCs/>
                <w:sz w:val="20"/>
                <w:szCs w:val="20"/>
              </w:rPr>
            </w:pPr>
            <m:oMathPara>
              <m:oMath>
                <m:r>
                  <m:rPr>
                    <m:sty m:val="bi"/>
                  </m:rPr>
                  <w:rPr>
                    <w:rFonts w:ascii="Cambria Math" w:eastAsia="Times New Roman" w:hAnsi="Cambria Math" w:cs="Times New Roman"/>
                    <w:sz w:val="20"/>
                    <w:szCs w:val="20"/>
                  </w:rPr>
                  <m:t>t-2</m:t>
                </m:r>
              </m:oMath>
            </m:oMathPara>
          </w:p>
        </w:tc>
        <w:tc>
          <w:tcPr>
            <w:tcW w:w="0" w:type="auto"/>
            <w:vAlign w:val="center"/>
          </w:tcPr>
          <w:p w14:paraId="65285102" w14:textId="505587B5" w:rsidR="00FD30C7" w:rsidRPr="00541AC3" w:rsidRDefault="00382797" w:rsidP="00382797">
            <w:pPr>
              <w:jc w:val="center"/>
              <w:rPr>
                <w:rFonts w:ascii="Times New Roman" w:eastAsia="Times New Roman" w:hAnsi="Times New Roman" w:cs="Times New Roman"/>
                <w:b/>
                <w:bCs/>
                <w:sz w:val="20"/>
                <w:szCs w:val="20"/>
              </w:rPr>
            </w:pPr>
            <m:oMathPara>
              <m:oMath>
                <m:r>
                  <m:rPr>
                    <m:sty m:val="bi"/>
                  </m:rPr>
                  <w:rPr>
                    <w:rFonts w:ascii="Cambria Math" w:eastAsia="Times New Roman" w:hAnsi="Cambria Math" w:cs="Times New Roman"/>
                    <w:sz w:val="20"/>
                    <w:szCs w:val="20"/>
                  </w:rPr>
                  <m:t>t-1</m:t>
                </m:r>
              </m:oMath>
            </m:oMathPara>
          </w:p>
        </w:tc>
        <w:tc>
          <w:tcPr>
            <w:tcW w:w="0" w:type="auto"/>
            <w:vAlign w:val="center"/>
          </w:tcPr>
          <w:p w14:paraId="56B89F8E" w14:textId="21941C73" w:rsidR="00FD30C7" w:rsidRPr="00541AC3" w:rsidRDefault="00382797" w:rsidP="00382797">
            <w:pPr>
              <w:jc w:val="center"/>
              <w:rPr>
                <w:rFonts w:ascii="Times New Roman" w:eastAsia="Times New Roman" w:hAnsi="Times New Roman" w:cs="Times New Roman"/>
                <w:b/>
                <w:bCs/>
                <w:sz w:val="20"/>
                <w:szCs w:val="20"/>
              </w:rPr>
            </w:pPr>
            <m:oMathPara>
              <m:oMath>
                <m:r>
                  <m:rPr>
                    <m:sty m:val="bi"/>
                  </m:rPr>
                  <w:rPr>
                    <w:rFonts w:ascii="Cambria Math" w:eastAsia="Times New Roman" w:hAnsi="Cambria Math" w:cs="Times New Roman"/>
                    <w:sz w:val="20"/>
                    <w:szCs w:val="20"/>
                  </w:rPr>
                  <m:t>t (cari y</m:t>
                </m:r>
                <m:r>
                  <m:rPr>
                    <m:sty m:val="bi"/>
                  </m:rPr>
                  <w:rPr>
                    <w:rFonts w:ascii="Cambria Math" w:eastAsia="Times New Roman" w:hAnsi="Cambria Math" w:cs="Times New Roman"/>
                    <w:sz w:val="20"/>
                    <w:szCs w:val="20"/>
                  </w:rPr>
                  <m:t>ı</m:t>
                </m:r>
                <m:r>
                  <m:rPr>
                    <m:sty m:val="bi"/>
                  </m:rPr>
                  <w:rPr>
                    <w:rFonts w:ascii="Cambria Math" w:eastAsia="Times New Roman" w:hAnsi="Cambria Math" w:cs="Times New Roman"/>
                    <w:sz w:val="20"/>
                    <w:szCs w:val="20"/>
                  </w:rPr>
                  <m:t>l)</m:t>
                </m:r>
              </m:oMath>
            </m:oMathPara>
          </w:p>
        </w:tc>
        <w:tc>
          <w:tcPr>
            <w:tcW w:w="0" w:type="auto"/>
            <w:vAlign w:val="center"/>
          </w:tcPr>
          <w:p w14:paraId="03CDDEA9" w14:textId="41071D56" w:rsidR="00FD30C7" w:rsidRPr="00541AC3" w:rsidRDefault="00382797" w:rsidP="00382797">
            <w:pPr>
              <w:jc w:val="center"/>
              <w:rPr>
                <w:rFonts w:ascii="Times New Roman" w:eastAsia="Times New Roman" w:hAnsi="Times New Roman" w:cs="Times New Roman"/>
                <w:b/>
                <w:bCs/>
                <w:sz w:val="20"/>
                <w:szCs w:val="20"/>
              </w:rPr>
            </w:pPr>
            <m:oMathPara>
              <m:oMath>
                <m:r>
                  <m:rPr>
                    <m:sty m:val="bi"/>
                  </m:rPr>
                  <w:rPr>
                    <w:rFonts w:ascii="Cambria Math" w:eastAsia="Times New Roman" w:hAnsi="Cambria Math" w:cs="Times New Roman"/>
                    <w:sz w:val="20"/>
                    <w:szCs w:val="20"/>
                  </w:rPr>
                  <m:t>t+1</m:t>
                </m:r>
              </m:oMath>
            </m:oMathPara>
          </w:p>
        </w:tc>
        <w:tc>
          <w:tcPr>
            <w:tcW w:w="0" w:type="auto"/>
            <w:vAlign w:val="center"/>
          </w:tcPr>
          <w:p w14:paraId="0BE3A53B" w14:textId="378A8465" w:rsidR="00FD30C7" w:rsidRPr="00541AC3" w:rsidRDefault="00382797" w:rsidP="00382797">
            <w:pPr>
              <w:jc w:val="center"/>
              <w:rPr>
                <w:rFonts w:ascii="Times New Roman" w:eastAsia="Times New Roman" w:hAnsi="Times New Roman" w:cs="Times New Roman"/>
                <w:b/>
                <w:bCs/>
                <w:sz w:val="20"/>
                <w:szCs w:val="20"/>
              </w:rPr>
            </w:pPr>
            <m:oMathPara>
              <m:oMath>
                <m:r>
                  <m:rPr>
                    <m:sty m:val="bi"/>
                  </m:rPr>
                  <w:rPr>
                    <w:rFonts w:ascii="Cambria Math" w:eastAsia="Times New Roman" w:hAnsi="Cambria Math" w:cs="Times New Roman"/>
                    <w:sz w:val="20"/>
                    <w:szCs w:val="20"/>
                  </w:rPr>
                  <m:t>t+2</m:t>
                </m:r>
              </m:oMath>
            </m:oMathPara>
          </w:p>
        </w:tc>
        <w:tc>
          <w:tcPr>
            <w:tcW w:w="0" w:type="auto"/>
            <w:vAlign w:val="center"/>
          </w:tcPr>
          <w:p w14:paraId="374685E0" w14:textId="7A9B4E39" w:rsidR="00FD30C7" w:rsidRPr="00541AC3" w:rsidRDefault="00382797" w:rsidP="00382797">
            <w:pPr>
              <w:jc w:val="center"/>
              <w:rPr>
                <w:rFonts w:ascii="Times New Roman" w:eastAsia="Times New Roman" w:hAnsi="Times New Roman" w:cs="Times New Roman"/>
                <w:b/>
                <w:bCs/>
                <w:sz w:val="20"/>
                <w:szCs w:val="20"/>
              </w:rPr>
            </w:pPr>
            <m:oMathPara>
              <m:oMath>
                <m:r>
                  <m:rPr>
                    <m:sty m:val="bi"/>
                  </m:rPr>
                  <w:rPr>
                    <w:rFonts w:ascii="Cambria Math" w:eastAsia="Times New Roman" w:hAnsi="Cambria Math" w:cs="Times New Roman"/>
                    <w:sz w:val="20"/>
                    <w:szCs w:val="20"/>
                  </w:rPr>
                  <m:t>t+3</m:t>
                </m:r>
              </m:oMath>
            </m:oMathPara>
          </w:p>
        </w:tc>
      </w:tr>
      <w:tr w:rsidR="00541AC3" w:rsidRPr="00541AC3" w14:paraId="6F2F8638" w14:textId="77777777" w:rsidTr="00052C72">
        <w:trPr>
          <w:trHeight w:val="288"/>
          <w:jc w:val="center"/>
        </w:trPr>
        <w:tc>
          <w:tcPr>
            <w:tcW w:w="0" w:type="auto"/>
            <w:vAlign w:val="center"/>
          </w:tcPr>
          <w:p w14:paraId="1012DF47" w14:textId="4C64FCD6" w:rsidR="00FD30C7" w:rsidRPr="00541AC3" w:rsidRDefault="00130EAF" w:rsidP="002E68D4">
            <w:pPr>
              <w:rPr>
                <w:rFonts w:ascii="Times New Roman" w:eastAsia="Times New Roman" w:hAnsi="Times New Roman" w:cs="Times New Roman"/>
                <w:b/>
                <w:bCs/>
                <w:sz w:val="20"/>
                <w:szCs w:val="20"/>
              </w:rPr>
            </w:pPr>
            <w:r w:rsidRPr="00541AC3">
              <w:rPr>
                <w:rFonts w:ascii="Times New Roman" w:eastAsia="Times New Roman" w:hAnsi="Times New Roman" w:cs="Times New Roman"/>
                <w:b/>
                <w:bCs/>
                <w:sz w:val="20"/>
                <w:szCs w:val="20"/>
              </w:rPr>
              <w:t>Toplam</w:t>
            </w:r>
          </w:p>
        </w:tc>
        <w:tc>
          <w:tcPr>
            <w:tcW w:w="0" w:type="auto"/>
            <w:vAlign w:val="center"/>
          </w:tcPr>
          <w:p w14:paraId="3F0C5A1F" w14:textId="3F161CFB" w:rsidR="00FD30C7" w:rsidRPr="00541AC3" w:rsidRDefault="003C606C" w:rsidP="00382797">
            <w:pPr>
              <w:jc w:val="center"/>
              <w:rPr>
                <w:rFonts w:ascii="Times New Roman" w:eastAsia="Times New Roman" w:hAnsi="Times New Roman" w:cs="Times New Roman"/>
                <w:sz w:val="20"/>
                <w:szCs w:val="20"/>
              </w:rPr>
            </w:pPr>
            <w:r w:rsidRPr="00541AC3">
              <w:rPr>
                <w:rFonts w:ascii="Times New Roman" w:eastAsia="Times New Roman" w:hAnsi="Times New Roman" w:cs="Times New Roman"/>
                <w:sz w:val="20"/>
                <w:szCs w:val="20"/>
              </w:rPr>
              <w:t>0.03</w:t>
            </w:r>
          </w:p>
        </w:tc>
        <w:tc>
          <w:tcPr>
            <w:tcW w:w="0" w:type="auto"/>
            <w:vAlign w:val="center"/>
          </w:tcPr>
          <w:p w14:paraId="57EA1AFF" w14:textId="56A48813" w:rsidR="00FD30C7" w:rsidRPr="00541AC3" w:rsidRDefault="00C6353A" w:rsidP="00382797">
            <w:pPr>
              <w:jc w:val="center"/>
              <w:rPr>
                <w:rFonts w:ascii="Times New Roman" w:eastAsia="Times New Roman" w:hAnsi="Times New Roman" w:cs="Times New Roman"/>
                <w:sz w:val="20"/>
                <w:szCs w:val="20"/>
              </w:rPr>
            </w:pPr>
            <w:r w:rsidRPr="00541AC3">
              <w:rPr>
                <w:rFonts w:ascii="Times New Roman" w:eastAsia="Times New Roman" w:hAnsi="Times New Roman" w:cs="Times New Roman"/>
                <w:sz w:val="20"/>
                <w:szCs w:val="20"/>
              </w:rPr>
              <w:t>0.12</w:t>
            </w:r>
          </w:p>
        </w:tc>
        <w:tc>
          <w:tcPr>
            <w:tcW w:w="0" w:type="auto"/>
            <w:vAlign w:val="center"/>
          </w:tcPr>
          <w:p w14:paraId="4B1A8A45" w14:textId="2D390CAA" w:rsidR="00FD30C7" w:rsidRPr="00541AC3" w:rsidRDefault="002B3A1F" w:rsidP="00382797">
            <w:pPr>
              <w:jc w:val="center"/>
              <w:rPr>
                <w:rFonts w:ascii="Times New Roman" w:eastAsia="Times New Roman" w:hAnsi="Times New Roman" w:cs="Times New Roman"/>
                <w:sz w:val="20"/>
                <w:szCs w:val="20"/>
              </w:rPr>
            </w:pPr>
            <w:r w:rsidRPr="00541AC3">
              <w:rPr>
                <w:rFonts w:ascii="Times New Roman" w:eastAsia="Times New Roman" w:hAnsi="Times New Roman" w:cs="Times New Roman"/>
                <w:sz w:val="20"/>
                <w:szCs w:val="20"/>
              </w:rPr>
              <w:t>0.22</w:t>
            </w:r>
          </w:p>
        </w:tc>
        <w:tc>
          <w:tcPr>
            <w:tcW w:w="0" w:type="auto"/>
            <w:vAlign w:val="center"/>
          </w:tcPr>
          <w:p w14:paraId="5437468B" w14:textId="48C8D7D5" w:rsidR="00FD30C7" w:rsidRPr="00541AC3" w:rsidRDefault="00A92BAA" w:rsidP="00382797">
            <w:pPr>
              <w:jc w:val="center"/>
              <w:rPr>
                <w:rFonts w:ascii="Times New Roman" w:eastAsia="Times New Roman" w:hAnsi="Times New Roman" w:cs="Times New Roman"/>
                <w:b/>
                <w:bCs/>
                <w:sz w:val="20"/>
                <w:szCs w:val="20"/>
              </w:rPr>
            </w:pPr>
            <w:r w:rsidRPr="00541AC3">
              <w:rPr>
                <w:rFonts w:ascii="Times New Roman" w:eastAsia="Times New Roman" w:hAnsi="Times New Roman" w:cs="Times New Roman"/>
                <w:b/>
                <w:bCs/>
                <w:sz w:val="20"/>
                <w:szCs w:val="20"/>
              </w:rPr>
              <w:t>0.55</w:t>
            </w:r>
            <w:r w:rsidR="00461573" w:rsidRPr="00541AC3">
              <w:rPr>
                <w:rFonts w:ascii="Times New Roman" w:eastAsia="Times New Roman" w:hAnsi="Times New Roman" w:cs="Times New Roman"/>
                <w:b/>
                <w:bCs/>
                <w:sz w:val="20"/>
                <w:szCs w:val="20"/>
                <w:vertAlign w:val="superscript"/>
              </w:rPr>
              <w:t>*</w:t>
            </w:r>
          </w:p>
        </w:tc>
        <w:tc>
          <w:tcPr>
            <w:tcW w:w="0" w:type="auto"/>
            <w:vAlign w:val="center"/>
          </w:tcPr>
          <w:p w14:paraId="679A154A" w14:textId="76E5A930" w:rsidR="00FD30C7" w:rsidRPr="00541AC3" w:rsidRDefault="00C55A32" w:rsidP="00382797">
            <w:pPr>
              <w:jc w:val="center"/>
              <w:rPr>
                <w:rFonts w:ascii="Times New Roman" w:eastAsia="Times New Roman" w:hAnsi="Times New Roman" w:cs="Times New Roman"/>
                <w:sz w:val="20"/>
                <w:szCs w:val="20"/>
              </w:rPr>
            </w:pPr>
            <w:r w:rsidRPr="00541AC3">
              <w:rPr>
                <w:rFonts w:ascii="Times New Roman" w:eastAsia="Times New Roman" w:hAnsi="Times New Roman" w:cs="Times New Roman"/>
                <w:sz w:val="20"/>
                <w:szCs w:val="20"/>
              </w:rPr>
              <w:t>-0.06</w:t>
            </w:r>
          </w:p>
        </w:tc>
        <w:tc>
          <w:tcPr>
            <w:tcW w:w="0" w:type="auto"/>
            <w:vAlign w:val="center"/>
          </w:tcPr>
          <w:p w14:paraId="1D2FAD13" w14:textId="5B9E467D" w:rsidR="00FD30C7" w:rsidRPr="00541AC3" w:rsidRDefault="00C55A32" w:rsidP="00382797">
            <w:pPr>
              <w:jc w:val="center"/>
              <w:rPr>
                <w:rFonts w:ascii="Times New Roman" w:eastAsia="Times New Roman" w:hAnsi="Times New Roman" w:cs="Times New Roman"/>
                <w:sz w:val="20"/>
                <w:szCs w:val="20"/>
              </w:rPr>
            </w:pPr>
            <w:r w:rsidRPr="00541AC3">
              <w:rPr>
                <w:rFonts w:ascii="Times New Roman" w:eastAsia="Times New Roman" w:hAnsi="Times New Roman" w:cs="Times New Roman"/>
                <w:sz w:val="20"/>
                <w:szCs w:val="20"/>
              </w:rPr>
              <w:t>-0.14</w:t>
            </w:r>
          </w:p>
        </w:tc>
        <w:tc>
          <w:tcPr>
            <w:tcW w:w="0" w:type="auto"/>
            <w:vAlign w:val="center"/>
          </w:tcPr>
          <w:p w14:paraId="490F68AD" w14:textId="307CAE1C" w:rsidR="00FD30C7" w:rsidRPr="00541AC3" w:rsidRDefault="002B3A1F" w:rsidP="00382797">
            <w:pPr>
              <w:jc w:val="center"/>
              <w:rPr>
                <w:rFonts w:ascii="Times New Roman" w:eastAsia="Times New Roman" w:hAnsi="Times New Roman" w:cs="Times New Roman"/>
                <w:sz w:val="20"/>
                <w:szCs w:val="20"/>
              </w:rPr>
            </w:pPr>
            <w:r w:rsidRPr="00541AC3">
              <w:rPr>
                <w:rFonts w:ascii="Times New Roman" w:eastAsia="Times New Roman" w:hAnsi="Times New Roman" w:cs="Times New Roman"/>
                <w:sz w:val="20"/>
                <w:szCs w:val="20"/>
              </w:rPr>
              <w:t>-0.34</w:t>
            </w:r>
          </w:p>
        </w:tc>
      </w:tr>
      <w:tr w:rsidR="00541AC3" w:rsidRPr="00541AC3" w14:paraId="6FF055B4" w14:textId="77777777" w:rsidTr="00052C72">
        <w:trPr>
          <w:trHeight w:val="288"/>
          <w:jc w:val="center"/>
        </w:trPr>
        <w:tc>
          <w:tcPr>
            <w:tcW w:w="0" w:type="auto"/>
            <w:vAlign w:val="center"/>
          </w:tcPr>
          <w:p w14:paraId="0D3CF63A" w14:textId="6BE49A02" w:rsidR="00FD30C7" w:rsidRPr="00541AC3" w:rsidRDefault="00130EAF" w:rsidP="002E68D4">
            <w:pPr>
              <w:rPr>
                <w:rFonts w:ascii="Times New Roman" w:eastAsia="Times New Roman" w:hAnsi="Times New Roman" w:cs="Times New Roman"/>
                <w:b/>
                <w:bCs/>
                <w:sz w:val="20"/>
                <w:szCs w:val="20"/>
              </w:rPr>
            </w:pPr>
            <w:r w:rsidRPr="00541AC3">
              <w:rPr>
                <w:rFonts w:ascii="Times New Roman" w:eastAsia="Times New Roman" w:hAnsi="Times New Roman" w:cs="Times New Roman"/>
                <w:b/>
                <w:bCs/>
                <w:sz w:val="20"/>
                <w:szCs w:val="20"/>
              </w:rPr>
              <w:t>Toplam</w:t>
            </w:r>
            <w:r w:rsidR="00FD30C7" w:rsidRPr="00541AC3">
              <w:rPr>
                <w:rFonts w:ascii="Times New Roman" w:eastAsia="Times New Roman" w:hAnsi="Times New Roman" w:cs="Times New Roman"/>
                <w:b/>
                <w:bCs/>
                <w:sz w:val="20"/>
                <w:szCs w:val="20"/>
              </w:rPr>
              <w:t>_panel</w:t>
            </w:r>
          </w:p>
        </w:tc>
        <w:tc>
          <w:tcPr>
            <w:tcW w:w="0" w:type="auto"/>
            <w:vAlign w:val="center"/>
          </w:tcPr>
          <w:p w14:paraId="76BEC77D" w14:textId="7D88CABB" w:rsidR="00FD30C7" w:rsidRPr="00541AC3" w:rsidRDefault="00F26BB4" w:rsidP="00382797">
            <w:pPr>
              <w:jc w:val="center"/>
              <w:rPr>
                <w:rFonts w:ascii="Times New Roman" w:eastAsia="Times New Roman" w:hAnsi="Times New Roman" w:cs="Times New Roman"/>
                <w:sz w:val="20"/>
                <w:szCs w:val="20"/>
              </w:rPr>
            </w:pPr>
            <w:r w:rsidRPr="00541AC3">
              <w:rPr>
                <w:rFonts w:ascii="Times New Roman" w:eastAsia="Times New Roman" w:hAnsi="Times New Roman" w:cs="Times New Roman"/>
                <w:sz w:val="20"/>
                <w:szCs w:val="20"/>
              </w:rPr>
              <w:t>0.07</w:t>
            </w:r>
          </w:p>
        </w:tc>
        <w:tc>
          <w:tcPr>
            <w:tcW w:w="0" w:type="auto"/>
            <w:vAlign w:val="center"/>
          </w:tcPr>
          <w:p w14:paraId="0FF7FE00" w14:textId="74F46A70" w:rsidR="00FD30C7" w:rsidRPr="00541AC3" w:rsidRDefault="00F26BB4" w:rsidP="00382797">
            <w:pPr>
              <w:jc w:val="center"/>
              <w:rPr>
                <w:rFonts w:ascii="Times New Roman" w:eastAsia="Times New Roman" w:hAnsi="Times New Roman" w:cs="Times New Roman"/>
                <w:sz w:val="20"/>
                <w:szCs w:val="20"/>
              </w:rPr>
            </w:pPr>
            <w:r w:rsidRPr="00541AC3">
              <w:rPr>
                <w:rFonts w:ascii="Times New Roman" w:eastAsia="Times New Roman" w:hAnsi="Times New Roman" w:cs="Times New Roman"/>
                <w:sz w:val="20"/>
                <w:szCs w:val="20"/>
              </w:rPr>
              <w:t>0.08</w:t>
            </w:r>
          </w:p>
        </w:tc>
        <w:tc>
          <w:tcPr>
            <w:tcW w:w="0" w:type="auto"/>
            <w:vAlign w:val="center"/>
          </w:tcPr>
          <w:p w14:paraId="37D7F595" w14:textId="749FF088" w:rsidR="00FD30C7" w:rsidRPr="00541AC3" w:rsidRDefault="00F26BB4" w:rsidP="00382797">
            <w:pPr>
              <w:jc w:val="center"/>
              <w:rPr>
                <w:rFonts w:ascii="Times New Roman" w:eastAsia="Times New Roman" w:hAnsi="Times New Roman" w:cs="Times New Roman"/>
                <w:b/>
                <w:bCs/>
                <w:sz w:val="20"/>
                <w:szCs w:val="20"/>
              </w:rPr>
            </w:pPr>
            <w:r w:rsidRPr="00541AC3">
              <w:rPr>
                <w:rFonts w:ascii="Times New Roman" w:eastAsia="Times New Roman" w:hAnsi="Times New Roman" w:cs="Times New Roman"/>
                <w:b/>
                <w:bCs/>
                <w:sz w:val="20"/>
                <w:szCs w:val="20"/>
              </w:rPr>
              <w:t>0.21</w:t>
            </w:r>
            <w:r w:rsidRPr="00541AC3">
              <w:rPr>
                <w:rFonts w:ascii="Times New Roman" w:eastAsia="Times New Roman" w:hAnsi="Times New Roman" w:cs="Times New Roman"/>
                <w:b/>
                <w:bCs/>
                <w:sz w:val="20"/>
                <w:szCs w:val="20"/>
                <w:vertAlign w:val="superscript"/>
              </w:rPr>
              <w:t>**</w:t>
            </w:r>
          </w:p>
        </w:tc>
        <w:tc>
          <w:tcPr>
            <w:tcW w:w="0" w:type="auto"/>
            <w:vAlign w:val="center"/>
          </w:tcPr>
          <w:p w14:paraId="72F515B7" w14:textId="178D5114" w:rsidR="00FD30C7" w:rsidRPr="00541AC3" w:rsidRDefault="00006FA1" w:rsidP="00382797">
            <w:pPr>
              <w:jc w:val="center"/>
              <w:rPr>
                <w:rFonts w:ascii="Times New Roman" w:eastAsia="Times New Roman" w:hAnsi="Times New Roman" w:cs="Times New Roman"/>
                <w:b/>
                <w:bCs/>
                <w:sz w:val="20"/>
                <w:szCs w:val="20"/>
              </w:rPr>
            </w:pPr>
            <w:r w:rsidRPr="00541AC3">
              <w:rPr>
                <w:rFonts w:ascii="Times New Roman" w:eastAsia="Times New Roman" w:hAnsi="Times New Roman" w:cs="Times New Roman"/>
                <w:b/>
                <w:bCs/>
                <w:sz w:val="20"/>
                <w:szCs w:val="20"/>
              </w:rPr>
              <w:t>0.18</w:t>
            </w:r>
            <w:r w:rsidRPr="00541AC3">
              <w:rPr>
                <w:rFonts w:ascii="Times New Roman" w:eastAsia="Times New Roman" w:hAnsi="Times New Roman" w:cs="Times New Roman"/>
                <w:b/>
                <w:bCs/>
                <w:sz w:val="20"/>
                <w:szCs w:val="20"/>
                <w:vertAlign w:val="superscript"/>
              </w:rPr>
              <w:t>*</w:t>
            </w:r>
          </w:p>
        </w:tc>
        <w:tc>
          <w:tcPr>
            <w:tcW w:w="0" w:type="auto"/>
            <w:vAlign w:val="center"/>
          </w:tcPr>
          <w:p w14:paraId="3F4EFD59" w14:textId="5BF741F4" w:rsidR="00FD30C7" w:rsidRPr="00541AC3" w:rsidRDefault="00006FA1" w:rsidP="00382797">
            <w:pPr>
              <w:jc w:val="center"/>
              <w:rPr>
                <w:rFonts w:ascii="Times New Roman" w:eastAsia="Times New Roman" w:hAnsi="Times New Roman" w:cs="Times New Roman"/>
                <w:sz w:val="20"/>
                <w:szCs w:val="20"/>
              </w:rPr>
            </w:pPr>
            <w:r w:rsidRPr="00541AC3">
              <w:rPr>
                <w:rFonts w:ascii="Times New Roman" w:eastAsia="Times New Roman" w:hAnsi="Times New Roman" w:cs="Times New Roman"/>
                <w:sz w:val="20"/>
                <w:szCs w:val="20"/>
              </w:rPr>
              <w:t>-0.03</w:t>
            </w:r>
          </w:p>
        </w:tc>
        <w:tc>
          <w:tcPr>
            <w:tcW w:w="0" w:type="auto"/>
            <w:vAlign w:val="center"/>
          </w:tcPr>
          <w:p w14:paraId="545A2083" w14:textId="384A8903" w:rsidR="00FD30C7" w:rsidRPr="00541AC3" w:rsidRDefault="00F26BB4" w:rsidP="00382797">
            <w:pPr>
              <w:jc w:val="center"/>
              <w:rPr>
                <w:rFonts w:ascii="Times New Roman" w:eastAsia="Times New Roman" w:hAnsi="Times New Roman" w:cs="Times New Roman"/>
                <w:sz w:val="20"/>
                <w:szCs w:val="20"/>
              </w:rPr>
            </w:pPr>
            <w:r w:rsidRPr="00541AC3">
              <w:rPr>
                <w:rFonts w:ascii="Times New Roman" w:eastAsia="Times New Roman" w:hAnsi="Times New Roman" w:cs="Times New Roman"/>
                <w:sz w:val="20"/>
                <w:szCs w:val="20"/>
              </w:rPr>
              <w:t>-0.08</w:t>
            </w:r>
          </w:p>
        </w:tc>
        <w:tc>
          <w:tcPr>
            <w:tcW w:w="0" w:type="auto"/>
            <w:vAlign w:val="center"/>
          </w:tcPr>
          <w:p w14:paraId="209E31FC" w14:textId="2BE8BA19" w:rsidR="00FD30C7" w:rsidRPr="00541AC3" w:rsidRDefault="00F26BB4" w:rsidP="00382797">
            <w:pPr>
              <w:jc w:val="center"/>
              <w:rPr>
                <w:rFonts w:ascii="Times New Roman" w:eastAsia="Times New Roman" w:hAnsi="Times New Roman" w:cs="Times New Roman"/>
                <w:b/>
                <w:bCs/>
                <w:sz w:val="20"/>
                <w:szCs w:val="20"/>
              </w:rPr>
            </w:pPr>
            <w:r w:rsidRPr="00541AC3">
              <w:rPr>
                <w:rFonts w:ascii="Times New Roman" w:eastAsia="Times New Roman" w:hAnsi="Times New Roman" w:cs="Times New Roman"/>
                <w:b/>
                <w:bCs/>
                <w:sz w:val="20"/>
                <w:szCs w:val="20"/>
              </w:rPr>
              <w:t>-0.24</w:t>
            </w:r>
            <w:r w:rsidRPr="00541AC3">
              <w:rPr>
                <w:rFonts w:ascii="Times New Roman" w:eastAsia="Times New Roman" w:hAnsi="Times New Roman" w:cs="Times New Roman"/>
                <w:b/>
                <w:bCs/>
                <w:sz w:val="20"/>
                <w:szCs w:val="20"/>
                <w:vertAlign w:val="superscript"/>
              </w:rPr>
              <w:t>**</w:t>
            </w:r>
          </w:p>
        </w:tc>
      </w:tr>
      <w:tr w:rsidR="00541AC3" w:rsidRPr="00541AC3" w14:paraId="656C95BF" w14:textId="77777777" w:rsidTr="00052C72">
        <w:trPr>
          <w:trHeight w:val="288"/>
          <w:jc w:val="center"/>
        </w:trPr>
        <w:tc>
          <w:tcPr>
            <w:tcW w:w="0" w:type="auto"/>
            <w:vAlign w:val="center"/>
          </w:tcPr>
          <w:p w14:paraId="7214CD54" w14:textId="009FEEF4" w:rsidR="00706884" w:rsidRPr="00541AC3" w:rsidRDefault="00706884" w:rsidP="00706884">
            <w:pPr>
              <w:rPr>
                <w:sz w:val="20"/>
                <w:szCs w:val="20"/>
              </w:rPr>
            </w:pPr>
            <w:r w:rsidRPr="00541AC3">
              <w:rPr>
                <w:rFonts w:ascii="Times New Roman" w:eastAsia="Times New Roman" w:hAnsi="Times New Roman" w:cs="Times New Roman"/>
                <w:b/>
                <w:bCs/>
                <w:sz w:val="20"/>
                <w:szCs w:val="20"/>
              </w:rPr>
              <w:t>TAR</w:t>
            </w:r>
          </w:p>
        </w:tc>
        <w:tc>
          <w:tcPr>
            <w:tcW w:w="0" w:type="auto"/>
            <w:vAlign w:val="center"/>
          </w:tcPr>
          <w:p w14:paraId="231601EF" w14:textId="189ABB14" w:rsidR="00706884" w:rsidRPr="00541AC3" w:rsidRDefault="00706884" w:rsidP="00706884">
            <w:pPr>
              <w:jc w:val="center"/>
              <w:rPr>
                <w:rFonts w:ascii="Times New Roman" w:hAnsi="Times New Roman" w:cs="Times New Roman"/>
                <w:sz w:val="20"/>
                <w:szCs w:val="20"/>
              </w:rPr>
            </w:pPr>
            <w:r w:rsidRPr="00541AC3">
              <w:rPr>
                <w:rFonts w:ascii="Times New Roman" w:hAnsi="Times New Roman" w:cs="Times New Roman"/>
                <w:sz w:val="20"/>
                <w:szCs w:val="20"/>
              </w:rPr>
              <w:t>-0.08</w:t>
            </w:r>
          </w:p>
        </w:tc>
        <w:tc>
          <w:tcPr>
            <w:tcW w:w="0" w:type="auto"/>
            <w:vAlign w:val="center"/>
          </w:tcPr>
          <w:p w14:paraId="1E54EF64" w14:textId="135CB316" w:rsidR="00706884" w:rsidRPr="00541AC3" w:rsidRDefault="00706884" w:rsidP="00706884">
            <w:pPr>
              <w:jc w:val="center"/>
              <w:rPr>
                <w:rFonts w:ascii="Times New Roman" w:hAnsi="Times New Roman" w:cs="Times New Roman"/>
                <w:sz w:val="20"/>
                <w:szCs w:val="20"/>
              </w:rPr>
            </w:pPr>
            <w:r w:rsidRPr="00541AC3">
              <w:rPr>
                <w:rFonts w:ascii="Times New Roman" w:hAnsi="Times New Roman" w:cs="Times New Roman"/>
                <w:sz w:val="20"/>
                <w:szCs w:val="20"/>
              </w:rPr>
              <w:t>0.21</w:t>
            </w:r>
          </w:p>
        </w:tc>
        <w:tc>
          <w:tcPr>
            <w:tcW w:w="0" w:type="auto"/>
            <w:vAlign w:val="center"/>
          </w:tcPr>
          <w:p w14:paraId="3B708055" w14:textId="5B09DBEE" w:rsidR="00706884" w:rsidRPr="00541AC3" w:rsidRDefault="00706884" w:rsidP="00706884">
            <w:pPr>
              <w:jc w:val="center"/>
              <w:rPr>
                <w:rFonts w:ascii="Times New Roman" w:hAnsi="Times New Roman" w:cs="Times New Roman"/>
                <w:sz w:val="20"/>
                <w:szCs w:val="20"/>
              </w:rPr>
            </w:pPr>
            <w:r w:rsidRPr="00541AC3">
              <w:rPr>
                <w:rFonts w:ascii="Times New Roman" w:hAnsi="Times New Roman" w:cs="Times New Roman"/>
                <w:sz w:val="20"/>
                <w:szCs w:val="20"/>
              </w:rPr>
              <w:t>0.17</w:t>
            </w:r>
          </w:p>
        </w:tc>
        <w:tc>
          <w:tcPr>
            <w:tcW w:w="0" w:type="auto"/>
            <w:vAlign w:val="center"/>
          </w:tcPr>
          <w:p w14:paraId="65F80EC6" w14:textId="13C98725" w:rsidR="00706884" w:rsidRPr="00541AC3" w:rsidRDefault="00706884" w:rsidP="00706884">
            <w:pPr>
              <w:jc w:val="center"/>
              <w:rPr>
                <w:rFonts w:ascii="Times New Roman" w:hAnsi="Times New Roman" w:cs="Times New Roman"/>
                <w:sz w:val="20"/>
                <w:szCs w:val="20"/>
              </w:rPr>
            </w:pPr>
            <w:r w:rsidRPr="00541AC3">
              <w:rPr>
                <w:rFonts w:ascii="Times New Roman" w:eastAsia="Times New Roman" w:hAnsi="Times New Roman" w:cs="Times New Roman"/>
                <w:sz w:val="20"/>
                <w:szCs w:val="20"/>
              </w:rPr>
              <w:t>-0.07</w:t>
            </w:r>
          </w:p>
        </w:tc>
        <w:tc>
          <w:tcPr>
            <w:tcW w:w="0" w:type="auto"/>
            <w:vAlign w:val="center"/>
          </w:tcPr>
          <w:p w14:paraId="785BB039" w14:textId="63A4BAB5" w:rsidR="00706884" w:rsidRPr="00541AC3" w:rsidRDefault="00706884" w:rsidP="00706884">
            <w:pPr>
              <w:jc w:val="center"/>
              <w:rPr>
                <w:rFonts w:ascii="Times New Roman" w:hAnsi="Times New Roman" w:cs="Times New Roman"/>
                <w:sz w:val="20"/>
                <w:szCs w:val="20"/>
              </w:rPr>
            </w:pPr>
            <w:r w:rsidRPr="00541AC3">
              <w:rPr>
                <w:rFonts w:ascii="Times New Roman" w:hAnsi="Times New Roman" w:cs="Times New Roman"/>
                <w:sz w:val="20"/>
                <w:szCs w:val="20"/>
              </w:rPr>
              <w:t>-0.34</w:t>
            </w:r>
          </w:p>
        </w:tc>
        <w:tc>
          <w:tcPr>
            <w:tcW w:w="0" w:type="auto"/>
            <w:vAlign w:val="center"/>
          </w:tcPr>
          <w:p w14:paraId="708462EE" w14:textId="1B93CEFE" w:rsidR="00706884" w:rsidRPr="00541AC3" w:rsidRDefault="00706884" w:rsidP="00706884">
            <w:pPr>
              <w:jc w:val="center"/>
              <w:rPr>
                <w:rFonts w:ascii="Times New Roman" w:hAnsi="Times New Roman" w:cs="Times New Roman"/>
                <w:sz w:val="20"/>
                <w:szCs w:val="20"/>
              </w:rPr>
            </w:pPr>
            <w:r w:rsidRPr="00541AC3">
              <w:rPr>
                <w:rFonts w:ascii="Times New Roman" w:hAnsi="Times New Roman" w:cs="Times New Roman"/>
                <w:sz w:val="20"/>
                <w:szCs w:val="20"/>
              </w:rPr>
              <w:t>0.15</w:t>
            </w:r>
          </w:p>
        </w:tc>
        <w:tc>
          <w:tcPr>
            <w:tcW w:w="0" w:type="auto"/>
            <w:vAlign w:val="center"/>
          </w:tcPr>
          <w:p w14:paraId="21D437C7" w14:textId="66FBDA2B" w:rsidR="00706884" w:rsidRPr="00541AC3" w:rsidRDefault="00706884" w:rsidP="00706884">
            <w:pPr>
              <w:jc w:val="center"/>
              <w:rPr>
                <w:rFonts w:ascii="Times New Roman" w:hAnsi="Times New Roman" w:cs="Times New Roman"/>
                <w:sz w:val="20"/>
                <w:szCs w:val="20"/>
              </w:rPr>
            </w:pPr>
            <w:r w:rsidRPr="00541AC3">
              <w:rPr>
                <w:rFonts w:ascii="Times New Roman" w:hAnsi="Times New Roman" w:cs="Times New Roman"/>
                <w:sz w:val="20"/>
                <w:szCs w:val="20"/>
              </w:rPr>
              <w:t>0.08</w:t>
            </w:r>
          </w:p>
        </w:tc>
      </w:tr>
      <w:tr w:rsidR="00541AC3" w:rsidRPr="00541AC3" w14:paraId="522CD1FB" w14:textId="77777777" w:rsidTr="00052C72">
        <w:trPr>
          <w:trHeight w:val="288"/>
          <w:jc w:val="center"/>
        </w:trPr>
        <w:tc>
          <w:tcPr>
            <w:tcW w:w="0" w:type="auto"/>
            <w:vAlign w:val="center"/>
          </w:tcPr>
          <w:p w14:paraId="11B9B308" w14:textId="129EAB6F" w:rsidR="00706884" w:rsidRPr="00541AC3" w:rsidRDefault="00706884" w:rsidP="00706884">
            <w:pPr>
              <w:rPr>
                <w:sz w:val="20"/>
                <w:szCs w:val="20"/>
              </w:rPr>
            </w:pPr>
            <w:r w:rsidRPr="00541AC3">
              <w:rPr>
                <w:rFonts w:ascii="Times New Roman" w:eastAsia="Times New Roman" w:hAnsi="Times New Roman" w:cs="Times New Roman"/>
                <w:b/>
                <w:bCs/>
                <w:sz w:val="20"/>
                <w:szCs w:val="20"/>
              </w:rPr>
              <w:t>İNŞ</w:t>
            </w:r>
          </w:p>
        </w:tc>
        <w:tc>
          <w:tcPr>
            <w:tcW w:w="0" w:type="auto"/>
            <w:vAlign w:val="center"/>
          </w:tcPr>
          <w:p w14:paraId="1C15E9F0" w14:textId="0307B873" w:rsidR="00706884" w:rsidRPr="00541AC3" w:rsidRDefault="00706884" w:rsidP="00706884">
            <w:pPr>
              <w:jc w:val="center"/>
              <w:rPr>
                <w:rFonts w:ascii="Times New Roman" w:hAnsi="Times New Roman" w:cs="Times New Roman"/>
                <w:sz w:val="20"/>
                <w:szCs w:val="20"/>
              </w:rPr>
            </w:pPr>
            <w:r w:rsidRPr="00541AC3">
              <w:rPr>
                <w:rFonts w:ascii="Times New Roman" w:hAnsi="Times New Roman" w:cs="Times New Roman"/>
                <w:sz w:val="20"/>
                <w:szCs w:val="20"/>
              </w:rPr>
              <w:t>0.36</w:t>
            </w:r>
          </w:p>
        </w:tc>
        <w:tc>
          <w:tcPr>
            <w:tcW w:w="0" w:type="auto"/>
            <w:vAlign w:val="center"/>
          </w:tcPr>
          <w:p w14:paraId="0FBC603A" w14:textId="6333ED94" w:rsidR="00706884" w:rsidRPr="00541AC3" w:rsidRDefault="00706884" w:rsidP="00706884">
            <w:pPr>
              <w:jc w:val="center"/>
              <w:rPr>
                <w:rFonts w:ascii="Times New Roman" w:hAnsi="Times New Roman" w:cs="Times New Roman"/>
                <w:b/>
                <w:bCs/>
                <w:sz w:val="20"/>
                <w:szCs w:val="20"/>
              </w:rPr>
            </w:pPr>
            <w:r w:rsidRPr="00541AC3">
              <w:rPr>
                <w:rFonts w:ascii="Times New Roman" w:hAnsi="Times New Roman" w:cs="Times New Roman"/>
                <w:b/>
                <w:bCs/>
                <w:sz w:val="20"/>
                <w:szCs w:val="20"/>
              </w:rPr>
              <w:t>0.4</w:t>
            </w:r>
            <w:r w:rsidRPr="00541AC3">
              <w:rPr>
                <w:rFonts w:ascii="Dreaming Outloud Pro" w:eastAsia="Times New Roman" w:hAnsi="Dreaming Outloud Pro" w:cs="Dreaming Outloud Pro"/>
                <w:b/>
                <w:bCs/>
                <w:sz w:val="20"/>
                <w:szCs w:val="20"/>
                <w:vertAlign w:val="superscript"/>
              </w:rPr>
              <w:t>‡</w:t>
            </w:r>
          </w:p>
        </w:tc>
        <w:tc>
          <w:tcPr>
            <w:tcW w:w="0" w:type="auto"/>
            <w:vAlign w:val="center"/>
          </w:tcPr>
          <w:p w14:paraId="48C441D9" w14:textId="272AF2E4" w:rsidR="00706884" w:rsidRPr="00541AC3" w:rsidRDefault="00706884" w:rsidP="00706884">
            <w:pPr>
              <w:jc w:val="center"/>
              <w:rPr>
                <w:rFonts w:ascii="Times New Roman" w:hAnsi="Times New Roman" w:cs="Times New Roman"/>
                <w:b/>
                <w:bCs/>
                <w:sz w:val="20"/>
                <w:szCs w:val="20"/>
              </w:rPr>
            </w:pPr>
            <w:r w:rsidRPr="00541AC3">
              <w:rPr>
                <w:rFonts w:ascii="Times New Roman" w:hAnsi="Times New Roman" w:cs="Times New Roman"/>
                <w:b/>
                <w:bCs/>
                <w:sz w:val="20"/>
                <w:szCs w:val="20"/>
              </w:rPr>
              <w:t>0.56</w:t>
            </w:r>
            <w:r w:rsidRPr="00541AC3">
              <w:rPr>
                <w:rFonts w:ascii="Times New Roman" w:hAnsi="Times New Roman" w:cs="Times New Roman"/>
                <w:b/>
                <w:bCs/>
                <w:sz w:val="20"/>
                <w:szCs w:val="20"/>
                <w:vertAlign w:val="superscript"/>
              </w:rPr>
              <w:t>*</w:t>
            </w:r>
          </w:p>
        </w:tc>
        <w:tc>
          <w:tcPr>
            <w:tcW w:w="0" w:type="auto"/>
            <w:vAlign w:val="center"/>
          </w:tcPr>
          <w:p w14:paraId="2C1F0530" w14:textId="0DBA5DE3" w:rsidR="00706884" w:rsidRPr="00541AC3" w:rsidRDefault="00706884" w:rsidP="00706884">
            <w:pPr>
              <w:jc w:val="center"/>
              <w:rPr>
                <w:rFonts w:ascii="Times New Roman" w:hAnsi="Times New Roman" w:cs="Times New Roman"/>
                <w:b/>
                <w:bCs/>
                <w:sz w:val="20"/>
                <w:szCs w:val="20"/>
              </w:rPr>
            </w:pPr>
            <w:r w:rsidRPr="00541AC3">
              <w:rPr>
                <w:rFonts w:ascii="Times New Roman" w:hAnsi="Times New Roman" w:cs="Times New Roman"/>
                <w:b/>
                <w:bCs/>
                <w:sz w:val="20"/>
                <w:szCs w:val="20"/>
              </w:rPr>
              <w:t>0.47</w:t>
            </w:r>
            <w:r w:rsidRPr="00541AC3">
              <w:rPr>
                <w:rFonts w:ascii="Times New Roman" w:hAnsi="Times New Roman" w:cs="Times New Roman"/>
                <w:b/>
                <w:bCs/>
                <w:sz w:val="20"/>
                <w:szCs w:val="20"/>
                <w:vertAlign w:val="superscript"/>
              </w:rPr>
              <w:t>*</w:t>
            </w:r>
          </w:p>
        </w:tc>
        <w:tc>
          <w:tcPr>
            <w:tcW w:w="0" w:type="auto"/>
            <w:vAlign w:val="center"/>
          </w:tcPr>
          <w:p w14:paraId="3D16D6BB" w14:textId="01C10F2B" w:rsidR="00706884" w:rsidRPr="00541AC3" w:rsidRDefault="00706884" w:rsidP="00706884">
            <w:pPr>
              <w:jc w:val="center"/>
              <w:rPr>
                <w:rFonts w:ascii="Times New Roman" w:hAnsi="Times New Roman" w:cs="Times New Roman"/>
                <w:sz w:val="20"/>
                <w:szCs w:val="20"/>
              </w:rPr>
            </w:pPr>
            <w:r w:rsidRPr="00541AC3">
              <w:rPr>
                <w:rFonts w:ascii="Times New Roman" w:hAnsi="Times New Roman" w:cs="Times New Roman"/>
                <w:sz w:val="20"/>
                <w:szCs w:val="20"/>
              </w:rPr>
              <w:t>0.01</w:t>
            </w:r>
          </w:p>
        </w:tc>
        <w:tc>
          <w:tcPr>
            <w:tcW w:w="0" w:type="auto"/>
            <w:vAlign w:val="center"/>
          </w:tcPr>
          <w:p w14:paraId="3038AB09" w14:textId="1078A178" w:rsidR="00706884" w:rsidRPr="00541AC3" w:rsidRDefault="00706884" w:rsidP="00706884">
            <w:pPr>
              <w:jc w:val="center"/>
              <w:rPr>
                <w:rFonts w:ascii="Times New Roman" w:hAnsi="Times New Roman" w:cs="Times New Roman"/>
                <w:sz w:val="20"/>
                <w:szCs w:val="20"/>
              </w:rPr>
            </w:pPr>
            <w:r w:rsidRPr="00541AC3">
              <w:rPr>
                <w:rFonts w:ascii="Times New Roman" w:hAnsi="Times New Roman" w:cs="Times New Roman"/>
                <w:sz w:val="20"/>
                <w:szCs w:val="20"/>
              </w:rPr>
              <w:t>-0.17</w:t>
            </w:r>
          </w:p>
        </w:tc>
        <w:tc>
          <w:tcPr>
            <w:tcW w:w="0" w:type="auto"/>
            <w:vAlign w:val="center"/>
          </w:tcPr>
          <w:p w14:paraId="09064FB7" w14:textId="66ED84F3" w:rsidR="00706884" w:rsidRPr="00541AC3" w:rsidRDefault="00706884" w:rsidP="00706884">
            <w:pPr>
              <w:jc w:val="center"/>
              <w:rPr>
                <w:rFonts w:ascii="Times New Roman" w:hAnsi="Times New Roman" w:cs="Times New Roman"/>
                <w:sz w:val="20"/>
                <w:szCs w:val="20"/>
              </w:rPr>
            </w:pPr>
            <w:r w:rsidRPr="00541AC3">
              <w:rPr>
                <w:rFonts w:ascii="Times New Roman" w:hAnsi="Times New Roman" w:cs="Times New Roman"/>
                <w:sz w:val="20"/>
                <w:szCs w:val="20"/>
              </w:rPr>
              <w:t>0.1</w:t>
            </w:r>
          </w:p>
        </w:tc>
      </w:tr>
      <w:tr w:rsidR="00541AC3" w:rsidRPr="00541AC3" w14:paraId="6E606C1F" w14:textId="77777777" w:rsidTr="00052C72">
        <w:trPr>
          <w:trHeight w:val="288"/>
          <w:jc w:val="center"/>
        </w:trPr>
        <w:tc>
          <w:tcPr>
            <w:tcW w:w="0" w:type="auto"/>
            <w:vAlign w:val="center"/>
          </w:tcPr>
          <w:p w14:paraId="1C80745C" w14:textId="6C237BEB" w:rsidR="00706884" w:rsidRPr="00541AC3" w:rsidRDefault="00706884" w:rsidP="00706884">
            <w:pPr>
              <w:rPr>
                <w:sz w:val="20"/>
                <w:szCs w:val="20"/>
              </w:rPr>
            </w:pPr>
            <w:r w:rsidRPr="00541AC3">
              <w:rPr>
                <w:rFonts w:ascii="Times New Roman" w:eastAsia="Times New Roman" w:hAnsi="Times New Roman" w:cs="Times New Roman"/>
                <w:b/>
                <w:bCs/>
                <w:sz w:val="20"/>
                <w:szCs w:val="20"/>
              </w:rPr>
              <w:t>DKÖH</w:t>
            </w:r>
          </w:p>
        </w:tc>
        <w:tc>
          <w:tcPr>
            <w:tcW w:w="0" w:type="auto"/>
            <w:vAlign w:val="center"/>
          </w:tcPr>
          <w:p w14:paraId="06FCAFAA" w14:textId="011F85FC" w:rsidR="00706884" w:rsidRPr="00541AC3" w:rsidRDefault="00706884" w:rsidP="00706884">
            <w:pPr>
              <w:jc w:val="center"/>
              <w:rPr>
                <w:rFonts w:ascii="Times New Roman" w:hAnsi="Times New Roman" w:cs="Times New Roman"/>
                <w:b/>
                <w:bCs/>
                <w:sz w:val="20"/>
                <w:szCs w:val="20"/>
              </w:rPr>
            </w:pPr>
            <w:r w:rsidRPr="00541AC3">
              <w:rPr>
                <w:rFonts w:ascii="Times New Roman" w:hAnsi="Times New Roman" w:cs="Times New Roman"/>
                <w:b/>
                <w:bCs/>
                <w:sz w:val="20"/>
                <w:szCs w:val="20"/>
              </w:rPr>
              <w:t>-0.41</w:t>
            </w:r>
            <w:r w:rsidRPr="00541AC3">
              <w:rPr>
                <w:rFonts w:ascii="Dreaming Outloud Pro" w:eastAsia="Times New Roman" w:hAnsi="Dreaming Outloud Pro" w:cs="Dreaming Outloud Pro"/>
                <w:b/>
                <w:bCs/>
                <w:sz w:val="20"/>
                <w:szCs w:val="20"/>
                <w:vertAlign w:val="superscript"/>
              </w:rPr>
              <w:t>‡</w:t>
            </w:r>
          </w:p>
        </w:tc>
        <w:tc>
          <w:tcPr>
            <w:tcW w:w="0" w:type="auto"/>
            <w:vAlign w:val="center"/>
          </w:tcPr>
          <w:p w14:paraId="26EBAFC0" w14:textId="00CC1A5D" w:rsidR="00706884" w:rsidRPr="00541AC3" w:rsidRDefault="00706884" w:rsidP="00706884">
            <w:pPr>
              <w:jc w:val="center"/>
              <w:rPr>
                <w:rFonts w:ascii="Times New Roman" w:hAnsi="Times New Roman" w:cs="Times New Roman"/>
                <w:sz w:val="20"/>
                <w:szCs w:val="20"/>
              </w:rPr>
            </w:pPr>
            <w:r w:rsidRPr="00541AC3">
              <w:rPr>
                <w:rFonts w:ascii="Times New Roman" w:hAnsi="Times New Roman" w:cs="Times New Roman"/>
                <w:sz w:val="20"/>
                <w:szCs w:val="20"/>
              </w:rPr>
              <w:t>-0.29</w:t>
            </w:r>
          </w:p>
        </w:tc>
        <w:tc>
          <w:tcPr>
            <w:tcW w:w="0" w:type="auto"/>
            <w:vAlign w:val="center"/>
          </w:tcPr>
          <w:p w14:paraId="3AC22BEC" w14:textId="59AD3540" w:rsidR="00706884" w:rsidRPr="00541AC3" w:rsidRDefault="00706884" w:rsidP="00706884">
            <w:pPr>
              <w:jc w:val="center"/>
              <w:rPr>
                <w:rFonts w:ascii="Times New Roman" w:hAnsi="Times New Roman" w:cs="Times New Roman"/>
                <w:sz w:val="20"/>
                <w:szCs w:val="20"/>
              </w:rPr>
            </w:pPr>
            <w:r w:rsidRPr="00541AC3">
              <w:rPr>
                <w:rFonts w:ascii="Times New Roman" w:hAnsi="Times New Roman" w:cs="Times New Roman"/>
                <w:sz w:val="20"/>
                <w:szCs w:val="20"/>
              </w:rPr>
              <w:t>-0.21</w:t>
            </w:r>
          </w:p>
        </w:tc>
        <w:tc>
          <w:tcPr>
            <w:tcW w:w="0" w:type="auto"/>
            <w:vAlign w:val="center"/>
          </w:tcPr>
          <w:p w14:paraId="461BC80A" w14:textId="6A055ADC" w:rsidR="00706884" w:rsidRPr="00541AC3" w:rsidRDefault="00706884" w:rsidP="00706884">
            <w:pPr>
              <w:jc w:val="center"/>
              <w:rPr>
                <w:rFonts w:ascii="Times New Roman" w:hAnsi="Times New Roman" w:cs="Times New Roman"/>
                <w:sz w:val="20"/>
                <w:szCs w:val="20"/>
              </w:rPr>
            </w:pPr>
            <w:r w:rsidRPr="00541AC3">
              <w:rPr>
                <w:rFonts w:ascii="Times New Roman" w:hAnsi="Times New Roman" w:cs="Times New Roman"/>
                <w:sz w:val="20"/>
                <w:szCs w:val="20"/>
              </w:rPr>
              <w:t>-0.30</w:t>
            </w:r>
          </w:p>
        </w:tc>
        <w:tc>
          <w:tcPr>
            <w:tcW w:w="0" w:type="auto"/>
            <w:vAlign w:val="center"/>
          </w:tcPr>
          <w:p w14:paraId="32D5F02A" w14:textId="20FE1F64" w:rsidR="00706884" w:rsidRPr="00541AC3" w:rsidRDefault="00706884" w:rsidP="00706884">
            <w:pPr>
              <w:jc w:val="center"/>
              <w:rPr>
                <w:rFonts w:ascii="Times New Roman" w:hAnsi="Times New Roman" w:cs="Times New Roman"/>
                <w:sz w:val="20"/>
                <w:szCs w:val="20"/>
              </w:rPr>
            </w:pPr>
            <w:r w:rsidRPr="00541AC3">
              <w:rPr>
                <w:rFonts w:ascii="Times New Roman" w:hAnsi="Times New Roman" w:cs="Times New Roman"/>
                <w:sz w:val="20"/>
                <w:szCs w:val="20"/>
              </w:rPr>
              <w:t>-0.31</w:t>
            </w:r>
          </w:p>
        </w:tc>
        <w:tc>
          <w:tcPr>
            <w:tcW w:w="0" w:type="auto"/>
            <w:vAlign w:val="center"/>
          </w:tcPr>
          <w:p w14:paraId="546B4E81" w14:textId="277A85EF" w:rsidR="00706884" w:rsidRPr="00541AC3" w:rsidRDefault="00706884" w:rsidP="00706884">
            <w:pPr>
              <w:jc w:val="center"/>
              <w:rPr>
                <w:rFonts w:ascii="Times New Roman" w:hAnsi="Times New Roman" w:cs="Times New Roman"/>
                <w:sz w:val="20"/>
                <w:szCs w:val="20"/>
              </w:rPr>
            </w:pPr>
            <w:r w:rsidRPr="00541AC3">
              <w:rPr>
                <w:rFonts w:ascii="Times New Roman" w:hAnsi="Times New Roman" w:cs="Times New Roman"/>
                <w:b/>
                <w:sz w:val="20"/>
                <w:szCs w:val="20"/>
              </w:rPr>
              <w:t>-0.44</w:t>
            </w:r>
            <w:r w:rsidR="00744BE2" w:rsidRPr="00541AC3">
              <w:rPr>
                <w:rFonts w:ascii="Dreaming Outloud Pro" w:eastAsia="Times New Roman" w:hAnsi="Dreaming Outloud Pro" w:cs="Dreaming Outloud Pro"/>
                <w:b/>
                <w:bCs/>
                <w:sz w:val="20"/>
                <w:szCs w:val="20"/>
                <w:vertAlign w:val="superscript"/>
              </w:rPr>
              <w:t>‡</w:t>
            </w:r>
          </w:p>
        </w:tc>
        <w:tc>
          <w:tcPr>
            <w:tcW w:w="0" w:type="auto"/>
            <w:vAlign w:val="center"/>
          </w:tcPr>
          <w:p w14:paraId="33AF7D23" w14:textId="41125C9B" w:rsidR="00706884" w:rsidRPr="00541AC3" w:rsidRDefault="00706884" w:rsidP="00706884">
            <w:pPr>
              <w:jc w:val="center"/>
              <w:rPr>
                <w:rFonts w:ascii="Times New Roman" w:hAnsi="Times New Roman" w:cs="Times New Roman"/>
                <w:sz w:val="20"/>
                <w:szCs w:val="20"/>
              </w:rPr>
            </w:pPr>
            <w:r w:rsidRPr="00541AC3">
              <w:rPr>
                <w:rFonts w:ascii="Times New Roman" w:hAnsi="Times New Roman" w:cs="Times New Roman"/>
                <w:sz w:val="20"/>
                <w:szCs w:val="20"/>
              </w:rPr>
              <w:t>-0.35</w:t>
            </w:r>
          </w:p>
        </w:tc>
      </w:tr>
      <w:tr w:rsidR="00541AC3" w:rsidRPr="00541AC3" w14:paraId="419A9D43" w14:textId="77777777" w:rsidTr="00052C72">
        <w:trPr>
          <w:trHeight w:val="288"/>
          <w:jc w:val="center"/>
        </w:trPr>
        <w:tc>
          <w:tcPr>
            <w:tcW w:w="0" w:type="auto"/>
            <w:vAlign w:val="center"/>
          </w:tcPr>
          <w:p w14:paraId="0420DB40" w14:textId="2855CD5D" w:rsidR="00706884" w:rsidRPr="00541AC3" w:rsidRDefault="00706884" w:rsidP="00706884">
            <w:pPr>
              <w:rPr>
                <w:sz w:val="20"/>
                <w:szCs w:val="20"/>
              </w:rPr>
            </w:pPr>
            <w:r w:rsidRPr="00541AC3">
              <w:rPr>
                <w:rFonts w:ascii="Times New Roman" w:eastAsia="Times New Roman" w:hAnsi="Times New Roman" w:cs="Times New Roman"/>
                <w:b/>
                <w:bCs/>
                <w:sz w:val="20"/>
                <w:szCs w:val="20"/>
              </w:rPr>
              <w:t>FİGM</w:t>
            </w:r>
          </w:p>
        </w:tc>
        <w:tc>
          <w:tcPr>
            <w:tcW w:w="0" w:type="auto"/>
            <w:vAlign w:val="center"/>
          </w:tcPr>
          <w:p w14:paraId="7B87CEA2" w14:textId="415525ED" w:rsidR="00706884" w:rsidRPr="00541AC3" w:rsidRDefault="00706884" w:rsidP="00706884">
            <w:pPr>
              <w:jc w:val="center"/>
              <w:rPr>
                <w:rFonts w:ascii="Times New Roman" w:hAnsi="Times New Roman" w:cs="Times New Roman"/>
                <w:sz w:val="20"/>
                <w:szCs w:val="20"/>
              </w:rPr>
            </w:pPr>
            <w:r w:rsidRPr="00541AC3">
              <w:rPr>
                <w:rFonts w:ascii="Times New Roman" w:hAnsi="Times New Roman" w:cs="Times New Roman"/>
                <w:sz w:val="20"/>
                <w:szCs w:val="20"/>
              </w:rPr>
              <w:t>-0.39</w:t>
            </w:r>
          </w:p>
        </w:tc>
        <w:tc>
          <w:tcPr>
            <w:tcW w:w="0" w:type="auto"/>
            <w:vAlign w:val="center"/>
          </w:tcPr>
          <w:p w14:paraId="240F1962" w14:textId="311C1E54" w:rsidR="00706884" w:rsidRPr="00541AC3" w:rsidRDefault="00706884" w:rsidP="00706884">
            <w:pPr>
              <w:jc w:val="center"/>
              <w:rPr>
                <w:rFonts w:ascii="Times New Roman" w:hAnsi="Times New Roman" w:cs="Times New Roman"/>
                <w:sz w:val="20"/>
                <w:szCs w:val="20"/>
              </w:rPr>
            </w:pPr>
            <w:r w:rsidRPr="00541AC3">
              <w:rPr>
                <w:rFonts w:ascii="Times New Roman" w:hAnsi="Times New Roman" w:cs="Times New Roman"/>
                <w:sz w:val="20"/>
                <w:szCs w:val="20"/>
              </w:rPr>
              <w:t>-0.08</w:t>
            </w:r>
          </w:p>
        </w:tc>
        <w:tc>
          <w:tcPr>
            <w:tcW w:w="0" w:type="auto"/>
            <w:vAlign w:val="center"/>
          </w:tcPr>
          <w:p w14:paraId="724D9A3E" w14:textId="64E0BCF4" w:rsidR="00706884" w:rsidRPr="00541AC3" w:rsidRDefault="00706884" w:rsidP="00706884">
            <w:pPr>
              <w:jc w:val="center"/>
              <w:rPr>
                <w:rFonts w:ascii="Times New Roman" w:hAnsi="Times New Roman" w:cs="Times New Roman"/>
                <w:sz w:val="20"/>
                <w:szCs w:val="20"/>
              </w:rPr>
            </w:pPr>
            <w:r w:rsidRPr="00541AC3">
              <w:rPr>
                <w:rFonts w:ascii="Times New Roman" w:hAnsi="Times New Roman" w:cs="Times New Roman"/>
                <w:sz w:val="20"/>
                <w:szCs w:val="20"/>
              </w:rPr>
              <w:t>-0.09</w:t>
            </w:r>
          </w:p>
        </w:tc>
        <w:tc>
          <w:tcPr>
            <w:tcW w:w="0" w:type="auto"/>
            <w:vAlign w:val="center"/>
          </w:tcPr>
          <w:p w14:paraId="26232DF7" w14:textId="1155A3E8" w:rsidR="00706884" w:rsidRPr="00541AC3" w:rsidRDefault="00706884" w:rsidP="00706884">
            <w:pPr>
              <w:jc w:val="center"/>
              <w:rPr>
                <w:rFonts w:ascii="Times New Roman" w:hAnsi="Times New Roman" w:cs="Times New Roman"/>
                <w:b/>
                <w:bCs/>
                <w:sz w:val="20"/>
                <w:szCs w:val="20"/>
              </w:rPr>
            </w:pPr>
            <w:r w:rsidRPr="00541AC3">
              <w:rPr>
                <w:rFonts w:ascii="Times New Roman" w:hAnsi="Times New Roman" w:cs="Times New Roman"/>
                <w:b/>
                <w:bCs/>
                <w:sz w:val="20"/>
                <w:szCs w:val="20"/>
              </w:rPr>
              <w:t>0.49</w:t>
            </w:r>
            <w:r w:rsidRPr="00541AC3">
              <w:rPr>
                <w:rFonts w:ascii="Times New Roman" w:hAnsi="Times New Roman" w:cs="Times New Roman"/>
                <w:b/>
                <w:bCs/>
                <w:sz w:val="20"/>
                <w:szCs w:val="20"/>
                <w:vertAlign w:val="superscript"/>
              </w:rPr>
              <w:t>*</w:t>
            </w:r>
          </w:p>
        </w:tc>
        <w:tc>
          <w:tcPr>
            <w:tcW w:w="0" w:type="auto"/>
            <w:vAlign w:val="center"/>
          </w:tcPr>
          <w:p w14:paraId="2EA736DF" w14:textId="5B6849AA" w:rsidR="00706884" w:rsidRPr="00541AC3" w:rsidRDefault="00706884" w:rsidP="00706884">
            <w:pPr>
              <w:jc w:val="center"/>
              <w:rPr>
                <w:rFonts w:ascii="Times New Roman" w:hAnsi="Times New Roman" w:cs="Times New Roman"/>
                <w:sz w:val="20"/>
                <w:szCs w:val="20"/>
              </w:rPr>
            </w:pPr>
            <w:r w:rsidRPr="00541AC3">
              <w:rPr>
                <w:rFonts w:ascii="Times New Roman" w:hAnsi="Times New Roman" w:cs="Times New Roman"/>
                <w:sz w:val="20"/>
                <w:szCs w:val="20"/>
              </w:rPr>
              <w:t>0.09</w:t>
            </w:r>
          </w:p>
        </w:tc>
        <w:tc>
          <w:tcPr>
            <w:tcW w:w="0" w:type="auto"/>
            <w:vAlign w:val="center"/>
          </w:tcPr>
          <w:p w14:paraId="5FF0D031" w14:textId="229C9F5D" w:rsidR="00706884" w:rsidRPr="00541AC3" w:rsidRDefault="00706884" w:rsidP="00706884">
            <w:pPr>
              <w:jc w:val="center"/>
              <w:rPr>
                <w:rFonts w:ascii="Times New Roman" w:hAnsi="Times New Roman" w:cs="Times New Roman"/>
                <w:sz w:val="20"/>
                <w:szCs w:val="20"/>
              </w:rPr>
            </w:pPr>
            <w:r w:rsidRPr="00541AC3">
              <w:rPr>
                <w:rFonts w:ascii="Times New Roman" w:hAnsi="Times New Roman" w:cs="Times New Roman"/>
                <w:sz w:val="20"/>
                <w:szCs w:val="20"/>
              </w:rPr>
              <w:t>0.33</w:t>
            </w:r>
          </w:p>
        </w:tc>
        <w:tc>
          <w:tcPr>
            <w:tcW w:w="0" w:type="auto"/>
            <w:vAlign w:val="center"/>
          </w:tcPr>
          <w:p w14:paraId="346FD712" w14:textId="78778996" w:rsidR="00706884" w:rsidRPr="00541AC3" w:rsidRDefault="00706884" w:rsidP="00706884">
            <w:pPr>
              <w:jc w:val="center"/>
              <w:rPr>
                <w:rFonts w:ascii="Times New Roman" w:hAnsi="Times New Roman" w:cs="Times New Roman"/>
                <w:sz w:val="20"/>
                <w:szCs w:val="20"/>
              </w:rPr>
            </w:pPr>
            <w:r w:rsidRPr="00541AC3">
              <w:rPr>
                <w:rFonts w:ascii="Times New Roman" w:hAnsi="Times New Roman" w:cs="Times New Roman"/>
                <w:sz w:val="20"/>
                <w:szCs w:val="20"/>
              </w:rPr>
              <w:t>0.3</w:t>
            </w:r>
          </w:p>
        </w:tc>
      </w:tr>
      <w:tr w:rsidR="00541AC3" w:rsidRPr="00541AC3" w14:paraId="7405D2DB" w14:textId="77777777" w:rsidTr="00052C72">
        <w:trPr>
          <w:trHeight w:val="288"/>
          <w:jc w:val="center"/>
        </w:trPr>
        <w:tc>
          <w:tcPr>
            <w:tcW w:w="0" w:type="auto"/>
            <w:vAlign w:val="center"/>
          </w:tcPr>
          <w:p w14:paraId="638FF75E" w14:textId="7EB422B4" w:rsidR="00706884" w:rsidRPr="00541AC3" w:rsidRDefault="00706884" w:rsidP="00706884">
            <w:pPr>
              <w:rPr>
                <w:sz w:val="20"/>
                <w:szCs w:val="20"/>
              </w:rPr>
            </w:pPr>
            <w:r w:rsidRPr="00541AC3">
              <w:rPr>
                <w:rFonts w:ascii="Times New Roman" w:eastAsia="Times New Roman" w:hAnsi="Times New Roman" w:cs="Times New Roman"/>
                <w:b/>
                <w:bCs/>
                <w:sz w:val="20"/>
                <w:szCs w:val="20"/>
              </w:rPr>
              <w:t>İMA</w:t>
            </w:r>
          </w:p>
        </w:tc>
        <w:tc>
          <w:tcPr>
            <w:tcW w:w="0" w:type="auto"/>
            <w:vAlign w:val="center"/>
          </w:tcPr>
          <w:p w14:paraId="2511BDCC" w14:textId="7A9CD8C0" w:rsidR="00706884" w:rsidRPr="00541AC3" w:rsidRDefault="00706884" w:rsidP="00706884">
            <w:pPr>
              <w:jc w:val="center"/>
              <w:rPr>
                <w:rFonts w:ascii="Times New Roman" w:hAnsi="Times New Roman" w:cs="Times New Roman"/>
                <w:sz w:val="20"/>
                <w:szCs w:val="20"/>
              </w:rPr>
            </w:pPr>
            <w:r w:rsidRPr="00541AC3">
              <w:rPr>
                <w:rFonts w:ascii="Times New Roman" w:hAnsi="Times New Roman" w:cs="Times New Roman"/>
                <w:sz w:val="20"/>
                <w:szCs w:val="20"/>
              </w:rPr>
              <w:t>-0.02</w:t>
            </w:r>
          </w:p>
        </w:tc>
        <w:tc>
          <w:tcPr>
            <w:tcW w:w="0" w:type="auto"/>
            <w:vAlign w:val="center"/>
          </w:tcPr>
          <w:p w14:paraId="34AAFD1F" w14:textId="1EC44D5E" w:rsidR="00706884" w:rsidRPr="00541AC3" w:rsidRDefault="00706884" w:rsidP="00706884">
            <w:pPr>
              <w:jc w:val="center"/>
              <w:rPr>
                <w:rFonts w:ascii="Times New Roman" w:hAnsi="Times New Roman" w:cs="Times New Roman"/>
                <w:sz w:val="20"/>
                <w:szCs w:val="20"/>
              </w:rPr>
            </w:pPr>
            <w:r w:rsidRPr="00541AC3">
              <w:rPr>
                <w:rFonts w:ascii="Times New Roman" w:hAnsi="Times New Roman" w:cs="Times New Roman"/>
                <w:sz w:val="20"/>
                <w:szCs w:val="20"/>
              </w:rPr>
              <w:t>0.07</w:t>
            </w:r>
          </w:p>
        </w:tc>
        <w:tc>
          <w:tcPr>
            <w:tcW w:w="0" w:type="auto"/>
            <w:vAlign w:val="center"/>
          </w:tcPr>
          <w:p w14:paraId="1EBD6914" w14:textId="1CBDBB47" w:rsidR="00706884" w:rsidRPr="00541AC3" w:rsidRDefault="00706884" w:rsidP="00706884">
            <w:pPr>
              <w:jc w:val="center"/>
              <w:rPr>
                <w:rFonts w:ascii="Times New Roman" w:hAnsi="Times New Roman" w:cs="Times New Roman"/>
                <w:sz w:val="20"/>
                <w:szCs w:val="20"/>
              </w:rPr>
            </w:pPr>
            <w:r w:rsidRPr="00541AC3">
              <w:rPr>
                <w:rFonts w:ascii="Times New Roman" w:hAnsi="Times New Roman" w:cs="Times New Roman"/>
                <w:sz w:val="20"/>
                <w:szCs w:val="20"/>
              </w:rPr>
              <w:t>-0.08</w:t>
            </w:r>
          </w:p>
        </w:tc>
        <w:tc>
          <w:tcPr>
            <w:tcW w:w="0" w:type="auto"/>
            <w:vAlign w:val="center"/>
          </w:tcPr>
          <w:p w14:paraId="6374DD6F" w14:textId="07665CFC" w:rsidR="00706884" w:rsidRPr="00541AC3" w:rsidRDefault="00706884" w:rsidP="00706884">
            <w:pPr>
              <w:jc w:val="center"/>
              <w:rPr>
                <w:rFonts w:ascii="Times New Roman" w:hAnsi="Times New Roman" w:cs="Times New Roman"/>
                <w:b/>
                <w:bCs/>
                <w:sz w:val="20"/>
                <w:szCs w:val="20"/>
              </w:rPr>
            </w:pPr>
            <w:r w:rsidRPr="00541AC3">
              <w:rPr>
                <w:rFonts w:ascii="Times New Roman" w:hAnsi="Times New Roman" w:cs="Times New Roman"/>
                <w:b/>
                <w:bCs/>
                <w:sz w:val="20"/>
                <w:szCs w:val="20"/>
              </w:rPr>
              <w:t>0.57</w:t>
            </w:r>
            <w:r w:rsidRPr="00541AC3">
              <w:rPr>
                <w:rFonts w:ascii="Times New Roman" w:hAnsi="Times New Roman" w:cs="Times New Roman"/>
                <w:b/>
                <w:bCs/>
                <w:sz w:val="20"/>
                <w:szCs w:val="20"/>
                <w:vertAlign w:val="superscript"/>
              </w:rPr>
              <w:t>*</w:t>
            </w:r>
          </w:p>
        </w:tc>
        <w:tc>
          <w:tcPr>
            <w:tcW w:w="0" w:type="auto"/>
            <w:vAlign w:val="center"/>
          </w:tcPr>
          <w:p w14:paraId="155FDBDF" w14:textId="1583D576" w:rsidR="00706884" w:rsidRPr="00541AC3" w:rsidRDefault="00706884" w:rsidP="00706884">
            <w:pPr>
              <w:jc w:val="center"/>
              <w:rPr>
                <w:rFonts w:ascii="Times New Roman" w:hAnsi="Times New Roman" w:cs="Times New Roman"/>
                <w:sz w:val="20"/>
                <w:szCs w:val="20"/>
              </w:rPr>
            </w:pPr>
            <w:r w:rsidRPr="00541AC3">
              <w:rPr>
                <w:rFonts w:ascii="Times New Roman" w:hAnsi="Times New Roman" w:cs="Times New Roman"/>
                <w:sz w:val="20"/>
                <w:szCs w:val="20"/>
              </w:rPr>
              <w:t>-0.01</w:t>
            </w:r>
          </w:p>
        </w:tc>
        <w:tc>
          <w:tcPr>
            <w:tcW w:w="0" w:type="auto"/>
            <w:vAlign w:val="center"/>
          </w:tcPr>
          <w:p w14:paraId="1982A6BF" w14:textId="6D9A813C" w:rsidR="00706884" w:rsidRPr="00541AC3" w:rsidRDefault="00706884" w:rsidP="00706884">
            <w:pPr>
              <w:jc w:val="center"/>
              <w:rPr>
                <w:rFonts w:ascii="Times New Roman" w:hAnsi="Times New Roman" w:cs="Times New Roman"/>
                <w:sz w:val="20"/>
                <w:szCs w:val="20"/>
              </w:rPr>
            </w:pPr>
            <w:r w:rsidRPr="00541AC3">
              <w:rPr>
                <w:rFonts w:ascii="Times New Roman" w:hAnsi="Times New Roman" w:cs="Times New Roman"/>
                <w:sz w:val="20"/>
                <w:szCs w:val="20"/>
              </w:rPr>
              <w:t>-0.19</w:t>
            </w:r>
          </w:p>
        </w:tc>
        <w:tc>
          <w:tcPr>
            <w:tcW w:w="0" w:type="auto"/>
            <w:vAlign w:val="center"/>
          </w:tcPr>
          <w:p w14:paraId="4443B1B9" w14:textId="1CE6332F" w:rsidR="00706884" w:rsidRPr="00541AC3" w:rsidRDefault="00706884" w:rsidP="00706884">
            <w:pPr>
              <w:jc w:val="center"/>
              <w:rPr>
                <w:rFonts w:ascii="Times New Roman" w:hAnsi="Times New Roman" w:cs="Times New Roman"/>
                <w:sz w:val="20"/>
                <w:szCs w:val="20"/>
              </w:rPr>
            </w:pPr>
            <w:r w:rsidRPr="00541AC3">
              <w:rPr>
                <w:rFonts w:ascii="Times New Roman" w:hAnsi="Times New Roman" w:cs="Times New Roman"/>
                <w:sz w:val="20"/>
                <w:szCs w:val="20"/>
              </w:rPr>
              <w:t>0.09</w:t>
            </w:r>
          </w:p>
        </w:tc>
      </w:tr>
      <w:tr w:rsidR="00541AC3" w:rsidRPr="00541AC3" w14:paraId="168AA0B6" w14:textId="77777777" w:rsidTr="00052C72">
        <w:trPr>
          <w:trHeight w:val="288"/>
          <w:jc w:val="center"/>
        </w:trPr>
        <w:tc>
          <w:tcPr>
            <w:tcW w:w="0" w:type="auto"/>
            <w:vAlign w:val="center"/>
          </w:tcPr>
          <w:p w14:paraId="1E7714CC" w14:textId="5FA43CE3" w:rsidR="00706884" w:rsidRPr="00541AC3" w:rsidRDefault="00706884" w:rsidP="00706884">
            <w:pPr>
              <w:rPr>
                <w:sz w:val="20"/>
                <w:szCs w:val="20"/>
              </w:rPr>
            </w:pPr>
            <w:r w:rsidRPr="00541AC3">
              <w:rPr>
                <w:rFonts w:ascii="Times New Roman" w:eastAsia="Times New Roman" w:hAnsi="Times New Roman" w:cs="Times New Roman"/>
                <w:b/>
                <w:bCs/>
                <w:sz w:val="20"/>
                <w:szCs w:val="20"/>
              </w:rPr>
              <w:t>MAD</w:t>
            </w:r>
          </w:p>
        </w:tc>
        <w:tc>
          <w:tcPr>
            <w:tcW w:w="0" w:type="auto"/>
            <w:vAlign w:val="center"/>
          </w:tcPr>
          <w:p w14:paraId="596585B0" w14:textId="6E342DEA" w:rsidR="00706884" w:rsidRPr="00541AC3" w:rsidRDefault="00706884" w:rsidP="00706884">
            <w:pPr>
              <w:jc w:val="center"/>
              <w:rPr>
                <w:rFonts w:ascii="Times New Roman" w:hAnsi="Times New Roman" w:cs="Times New Roman"/>
                <w:sz w:val="20"/>
                <w:szCs w:val="20"/>
              </w:rPr>
            </w:pPr>
            <w:r w:rsidRPr="00541AC3">
              <w:rPr>
                <w:rFonts w:ascii="Times New Roman" w:hAnsi="Times New Roman" w:cs="Times New Roman"/>
                <w:sz w:val="20"/>
                <w:szCs w:val="20"/>
              </w:rPr>
              <w:t>-0.31</w:t>
            </w:r>
          </w:p>
        </w:tc>
        <w:tc>
          <w:tcPr>
            <w:tcW w:w="0" w:type="auto"/>
            <w:vAlign w:val="center"/>
          </w:tcPr>
          <w:p w14:paraId="26C697E4" w14:textId="6BD8CDC0" w:rsidR="00706884" w:rsidRPr="00541AC3" w:rsidRDefault="00706884" w:rsidP="00706884">
            <w:pPr>
              <w:jc w:val="center"/>
              <w:rPr>
                <w:rFonts w:ascii="Times New Roman" w:hAnsi="Times New Roman" w:cs="Times New Roman"/>
                <w:sz w:val="20"/>
                <w:szCs w:val="20"/>
              </w:rPr>
            </w:pPr>
            <w:r w:rsidRPr="00541AC3">
              <w:rPr>
                <w:rFonts w:ascii="Times New Roman" w:hAnsi="Times New Roman" w:cs="Times New Roman"/>
                <w:sz w:val="20"/>
                <w:szCs w:val="20"/>
              </w:rPr>
              <w:t>-0.08</w:t>
            </w:r>
          </w:p>
        </w:tc>
        <w:tc>
          <w:tcPr>
            <w:tcW w:w="0" w:type="auto"/>
            <w:vAlign w:val="center"/>
          </w:tcPr>
          <w:p w14:paraId="2BBDCF56" w14:textId="35C65614" w:rsidR="00706884" w:rsidRPr="00541AC3" w:rsidRDefault="00706884" w:rsidP="00706884">
            <w:pPr>
              <w:jc w:val="center"/>
              <w:rPr>
                <w:rFonts w:ascii="Times New Roman" w:hAnsi="Times New Roman" w:cs="Times New Roman"/>
                <w:sz w:val="20"/>
                <w:szCs w:val="20"/>
              </w:rPr>
            </w:pPr>
            <w:r w:rsidRPr="00541AC3">
              <w:rPr>
                <w:rFonts w:ascii="Times New Roman" w:hAnsi="Times New Roman" w:cs="Times New Roman"/>
                <w:sz w:val="20"/>
                <w:szCs w:val="20"/>
              </w:rPr>
              <w:t>-0.31</w:t>
            </w:r>
          </w:p>
        </w:tc>
        <w:tc>
          <w:tcPr>
            <w:tcW w:w="0" w:type="auto"/>
            <w:vAlign w:val="center"/>
          </w:tcPr>
          <w:p w14:paraId="2BC7D0FD" w14:textId="6FE3DE2F" w:rsidR="00706884" w:rsidRPr="00541AC3" w:rsidRDefault="00706884" w:rsidP="00706884">
            <w:pPr>
              <w:jc w:val="center"/>
              <w:rPr>
                <w:rFonts w:ascii="Times New Roman" w:hAnsi="Times New Roman" w:cs="Times New Roman"/>
                <w:sz w:val="20"/>
                <w:szCs w:val="20"/>
              </w:rPr>
            </w:pPr>
            <w:r w:rsidRPr="00541AC3">
              <w:rPr>
                <w:rFonts w:ascii="Times New Roman" w:hAnsi="Times New Roman" w:cs="Times New Roman"/>
                <w:sz w:val="20"/>
                <w:szCs w:val="20"/>
              </w:rPr>
              <w:t>0.13</w:t>
            </w:r>
          </w:p>
        </w:tc>
        <w:tc>
          <w:tcPr>
            <w:tcW w:w="0" w:type="auto"/>
            <w:vAlign w:val="center"/>
          </w:tcPr>
          <w:p w14:paraId="2BA93CF9" w14:textId="6A760883" w:rsidR="00706884" w:rsidRPr="00541AC3" w:rsidRDefault="00706884" w:rsidP="00706884">
            <w:pPr>
              <w:jc w:val="center"/>
              <w:rPr>
                <w:rFonts w:ascii="Times New Roman" w:hAnsi="Times New Roman" w:cs="Times New Roman"/>
                <w:sz w:val="20"/>
                <w:szCs w:val="20"/>
              </w:rPr>
            </w:pPr>
            <w:r w:rsidRPr="00541AC3">
              <w:rPr>
                <w:rFonts w:ascii="Times New Roman" w:hAnsi="Times New Roman" w:cs="Times New Roman"/>
                <w:sz w:val="20"/>
                <w:szCs w:val="20"/>
              </w:rPr>
              <w:t>-0.16</w:t>
            </w:r>
          </w:p>
        </w:tc>
        <w:tc>
          <w:tcPr>
            <w:tcW w:w="0" w:type="auto"/>
            <w:vAlign w:val="center"/>
          </w:tcPr>
          <w:p w14:paraId="1694E5BD" w14:textId="5B5CBB74" w:rsidR="00706884" w:rsidRPr="00541AC3" w:rsidRDefault="00706884" w:rsidP="00706884">
            <w:pPr>
              <w:jc w:val="center"/>
              <w:rPr>
                <w:rFonts w:ascii="Times New Roman" w:hAnsi="Times New Roman" w:cs="Times New Roman"/>
                <w:sz w:val="20"/>
                <w:szCs w:val="20"/>
              </w:rPr>
            </w:pPr>
            <w:r w:rsidRPr="00541AC3">
              <w:rPr>
                <w:rFonts w:ascii="Times New Roman" w:hAnsi="Times New Roman" w:cs="Times New Roman"/>
                <w:sz w:val="20"/>
                <w:szCs w:val="20"/>
              </w:rPr>
              <w:t>-0.26</w:t>
            </w:r>
          </w:p>
        </w:tc>
        <w:tc>
          <w:tcPr>
            <w:tcW w:w="0" w:type="auto"/>
            <w:vAlign w:val="center"/>
          </w:tcPr>
          <w:p w14:paraId="693E4FDC" w14:textId="464656EF" w:rsidR="00706884" w:rsidRPr="00541AC3" w:rsidRDefault="00706884" w:rsidP="00706884">
            <w:pPr>
              <w:jc w:val="center"/>
              <w:rPr>
                <w:rFonts w:ascii="Times New Roman" w:hAnsi="Times New Roman" w:cs="Times New Roman"/>
                <w:sz w:val="20"/>
                <w:szCs w:val="20"/>
              </w:rPr>
            </w:pPr>
            <w:r w:rsidRPr="00541AC3">
              <w:rPr>
                <w:rFonts w:ascii="Times New Roman" w:hAnsi="Times New Roman" w:cs="Times New Roman"/>
                <w:sz w:val="20"/>
                <w:szCs w:val="20"/>
              </w:rPr>
              <w:t>-0.22</w:t>
            </w:r>
          </w:p>
        </w:tc>
      </w:tr>
      <w:tr w:rsidR="00541AC3" w:rsidRPr="00541AC3" w14:paraId="5F76DD38" w14:textId="77777777" w:rsidTr="00052C72">
        <w:trPr>
          <w:trHeight w:val="288"/>
          <w:jc w:val="center"/>
        </w:trPr>
        <w:tc>
          <w:tcPr>
            <w:tcW w:w="0" w:type="auto"/>
            <w:vAlign w:val="center"/>
          </w:tcPr>
          <w:p w14:paraId="5F442E46" w14:textId="3AC0C714" w:rsidR="00706884" w:rsidRPr="00541AC3" w:rsidRDefault="00706884" w:rsidP="00706884">
            <w:pPr>
              <w:rPr>
                <w:sz w:val="20"/>
                <w:szCs w:val="20"/>
              </w:rPr>
            </w:pPr>
            <w:r w:rsidRPr="00541AC3">
              <w:rPr>
                <w:rFonts w:ascii="Times New Roman" w:eastAsia="Times New Roman" w:hAnsi="Times New Roman" w:cs="Times New Roman"/>
                <w:b/>
                <w:bCs/>
                <w:sz w:val="20"/>
                <w:szCs w:val="20"/>
              </w:rPr>
              <w:t>EGS</w:t>
            </w:r>
          </w:p>
        </w:tc>
        <w:tc>
          <w:tcPr>
            <w:tcW w:w="0" w:type="auto"/>
            <w:vAlign w:val="center"/>
          </w:tcPr>
          <w:p w14:paraId="55B00A32" w14:textId="62D26710" w:rsidR="00706884" w:rsidRPr="00541AC3" w:rsidRDefault="00706884" w:rsidP="00706884">
            <w:pPr>
              <w:jc w:val="center"/>
              <w:rPr>
                <w:rFonts w:ascii="Times New Roman" w:hAnsi="Times New Roman" w:cs="Times New Roman"/>
                <w:sz w:val="20"/>
                <w:szCs w:val="20"/>
              </w:rPr>
            </w:pPr>
            <w:r w:rsidRPr="00541AC3">
              <w:rPr>
                <w:rFonts w:ascii="Times New Roman" w:hAnsi="Times New Roman" w:cs="Times New Roman"/>
                <w:sz w:val="20"/>
                <w:szCs w:val="20"/>
              </w:rPr>
              <w:t>0.2</w:t>
            </w:r>
          </w:p>
        </w:tc>
        <w:tc>
          <w:tcPr>
            <w:tcW w:w="0" w:type="auto"/>
            <w:vAlign w:val="center"/>
          </w:tcPr>
          <w:p w14:paraId="5D84070A" w14:textId="775A2297" w:rsidR="00706884" w:rsidRPr="00541AC3" w:rsidRDefault="00706884" w:rsidP="00706884">
            <w:pPr>
              <w:jc w:val="center"/>
              <w:rPr>
                <w:rFonts w:ascii="Times New Roman" w:hAnsi="Times New Roman" w:cs="Times New Roman"/>
                <w:sz w:val="20"/>
                <w:szCs w:val="20"/>
              </w:rPr>
            </w:pPr>
            <w:r w:rsidRPr="00541AC3">
              <w:rPr>
                <w:rFonts w:ascii="Times New Roman" w:hAnsi="Times New Roman" w:cs="Times New Roman"/>
                <w:sz w:val="20"/>
                <w:szCs w:val="20"/>
              </w:rPr>
              <w:t>-0.25</w:t>
            </w:r>
          </w:p>
        </w:tc>
        <w:tc>
          <w:tcPr>
            <w:tcW w:w="0" w:type="auto"/>
            <w:vAlign w:val="center"/>
          </w:tcPr>
          <w:p w14:paraId="2D0EF389" w14:textId="48BBECD5" w:rsidR="00706884" w:rsidRPr="00541AC3" w:rsidRDefault="00706884" w:rsidP="00706884">
            <w:pPr>
              <w:jc w:val="center"/>
              <w:rPr>
                <w:rFonts w:ascii="Times New Roman" w:hAnsi="Times New Roman" w:cs="Times New Roman"/>
                <w:b/>
                <w:bCs/>
                <w:sz w:val="20"/>
                <w:szCs w:val="20"/>
              </w:rPr>
            </w:pPr>
            <w:r w:rsidRPr="00541AC3">
              <w:rPr>
                <w:rFonts w:ascii="Times New Roman" w:hAnsi="Times New Roman" w:cs="Times New Roman"/>
                <w:b/>
                <w:bCs/>
                <w:sz w:val="20"/>
                <w:szCs w:val="20"/>
              </w:rPr>
              <w:t>0.41</w:t>
            </w:r>
            <w:r w:rsidRPr="00541AC3">
              <w:rPr>
                <w:rFonts w:ascii="Dreaming Outloud Pro" w:eastAsia="Times New Roman" w:hAnsi="Dreaming Outloud Pro" w:cs="Dreaming Outloud Pro"/>
                <w:b/>
                <w:bCs/>
                <w:sz w:val="20"/>
                <w:szCs w:val="20"/>
                <w:vertAlign w:val="superscript"/>
              </w:rPr>
              <w:t>‡</w:t>
            </w:r>
          </w:p>
        </w:tc>
        <w:tc>
          <w:tcPr>
            <w:tcW w:w="0" w:type="auto"/>
            <w:vAlign w:val="center"/>
          </w:tcPr>
          <w:p w14:paraId="31A18DA3" w14:textId="1DBFBF05" w:rsidR="00706884" w:rsidRPr="00541AC3" w:rsidRDefault="00706884" w:rsidP="00706884">
            <w:pPr>
              <w:jc w:val="center"/>
              <w:rPr>
                <w:rFonts w:ascii="Times New Roman" w:hAnsi="Times New Roman" w:cs="Times New Roman"/>
                <w:sz w:val="20"/>
                <w:szCs w:val="20"/>
              </w:rPr>
            </w:pPr>
            <w:r w:rsidRPr="00541AC3">
              <w:rPr>
                <w:rFonts w:ascii="Times New Roman" w:hAnsi="Times New Roman" w:cs="Times New Roman"/>
                <w:sz w:val="20"/>
                <w:szCs w:val="20"/>
              </w:rPr>
              <w:t>-0.11</w:t>
            </w:r>
          </w:p>
        </w:tc>
        <w:tc>
          <w:tcPr>
            <w:tcW w:w="0" w:type="auto"/>
            <w:vAlign w:val="center"/>
          </w:tcPr>
          <w:p w14:paraId="1DC368E7" w14:textId="783E6604" w:rsidR="00706884" w:rsidRPr="00541AC3" w:rsidRDefault="00706884" w:rsidP="00706884">
            <w:pPr>
              <w:jc w:val="center"/>
              <w:rPr>
                <w:rFonts w:ascii="Times New Roman" w:hAnsi="Times New Roman" w:cs="Times New Roman"/>
                <w:sz w:val="20"/>
                <w:szCs w:val="20"/>
              </w:rPr>
            </w:pPr>
            <w:r w:rsidRPr="00541AC3">
              <w:rPr>
                <w:rFonts w:ascii="Times New Roman" w:hAnsi="Times New Roman" w:cs="Times New Roman"/>
                <w:sz w:val="20"/>
                <w:szCs w:val="20"/>
              </w:rPr>
              <w:t>-0.12</w:t>
            </w:r>
          </w:p>
        </w:tc>
        <w:tc>
          <w:tcPr>
            <w:tcW w:w="0" w:type="auto"/>
            <w:vAlign w:val="center"/>
          </w:tcPr>
          <w:p w14:paraId="6C9C32B8" w14:textId="0F903745" w:rsidR="00706884" w:rsidRPr="00541AC3" w:rsidRDefault="00706884" w:rsidP="00706884">
            <w:pPr>
              <w:jc w:val="center"/>
              <w:rPr>
                <w:rFonts w:ascii="Times New Roman" w:hAnsi="Times New Roman" w:cs="Times New Roman"/>
                <w:sz w:val="20"/>
                <w:szCs w:val="20"/>
              </w:rPr>
            </w:pPr>
            <w:r w:rsidRPr="00541AC3">
              <w:rPr>
                <w:rFonts w:ascii="Times New Roman" w:hAnsi="Times New Roman" w:cs="Times New Roman"/>
                <w:sz w:val="20"/>
                <w:szCs w:val="20"/>
              </w:rPr>
              <w:t>0.21</w:t>
            </w:r>
          </w:p>
        </w:tc>
        <w:tc>
          <w:tcPr>
            <w:tcW w:w="0" w:type="auto"/>
            <w:vAlign w:val="center"/>
          </w:tcPr>
          <w:p w14:paraId="3F529DA7" w14:textId="6A4C9D97" w:rsidR="00706884" w:rsidRPr="00541AC3" w:rsidRDefault="00706884" w:rsidP="00706884">
            <w:pPr>
              <w:jc w:val="center"/>
              <w:rPr>
                <w:rFonts w:ascii="Times New Roman" w:hAnsi="Times New Roman" w:cs="Times New Roman"/>
                <w:b/>
                <w:bCs/>
                <w:sz w:val="20"/>
                <w:szCs w:val="20"/>
              </w:rPr>
            </w:pPr>
            <w:r w:rsidRPr="00541AC3">
              <w:rPr>
                <w:rFonts w:ascii="Times New Roman" w:hAnsi="Times New Roman" w:cs="Times New Roman"/>
                <w:b/>
                <w:bCs/>
                <w:sz w:val="20"/>
                <w:szCs w:val="20"/>
              </w:rPr>
              <w:t>-0.51</w:t>
            </w:r>
            <w:r w:rsidRPr="00541AC3">
              <w:rPr>
                <w:rFonts w:ascii="Dreaming Outloud Pro" w:eastAsia="Times New Roman" w:hAnsi="Dreaming Outloud Pro" w:cs="Dreaming Outloud Pro"/>
                <w:b/>
                <w:bCs/>
                <w:sz w:val="20"/>
                <w:szCs w:val="20"/>
                <w:vertAlign w:val="superscript"/>
              </w:rPr>
              <w:t>‡</w:t>
            </w:r>
          </w:p>
        </w:tc>
      </w:tr>
      <w:tr w:rsidR="00541AC3" w:rsidRPr="00541AC3" w14:paraId="042F4B58" w14:textId="77777777" w:rsidTr="00052C72">
        <w:trPr>
          <w:trHeight w:val="288"/>
          <w:jc w:val="center"/>
        </w:trPr>
        <w:tc>
          <w:tcPr>
            <w:tcW w:w="0" w:type="auto"/>
            <w:vAlign w:val="center"/>
          </w:tcPr>
          <w:p w14:paraId="6E11871B" w14:textId="10A2125A" w:rsidR="00706884" w:rsidRPr="00541AC3" w:rsidRDefault="00706884" w:rsidP="00706884">
            <w:pPr>
              <w:rPr>
                <w:sz w:val="20"/>
                <w:szCs w:val="20"/>
              </w:rPr>
            </w:pPr>
            <w:r w:rsidRPr="00541AC3">
              <w:rPr>
                <w:rFonts w:ascii="Times New Roman" w:eastAsia="Times New Roman" w:hAnsi="Times New Roman" w:cs="Times New Roman"/>
                <w:b/>
                <w:bCs/>
                <w:sz w:val="20"/>
                <w:szCs w:val="20"/>
              </w:rPr>
              <w:t>UHD</w:t>
            </w:r>
          </w:p>
        </w:tc>
        <w:tc>
          <w:tcPr>
            <w:tcW w:w="0" w:type="auto"/>
            <w:vAlign w:val="center"/>
          </w:tcPr>
          <w:p w14:paraId="317907E0" w14:textId="3CC8B0CC" w:rsidR="00706884" w:rsidRPr="00541AC3" w:rsidRDefault="00706884" w:rsidP="00706884">
            <w:pPr>
              <w:jc w:val="center"/>
              <w:rPr>
                <w:rFonts w:ascii="Times New Roman" w:hAnsi="Times New Roman" w:cs="Times New Roman"/>
                <w:sz w:val="20"/>
                <w:szCs w:val="20"/>
              </w:rPr>
            </w:pPr>
            <w:r w:rsidRPr="00541AC3">
              <w:rPr>
                <w:rFonts w:ascii="Times New Roman" w:hAnsi="Times New Roman" w:cs="Times New Roman"/>
                <w:sz w:val="20"/>
                <w:szCs w:val="20"/>
              </w:rPr>
              <w:t>0.36</w:t>
            </w:r>
          </w:p>
        </w:tc>
        <w:tc>
          <w:tcPr>
            <w:tcW w:w="0" w:type="auto"/>
            <w:vAlign w:val="center"/>
          </w:tcPr>
          <w:p w14:paraId="0B2FF9F7" w14:textId="57EDE960" w:rsidR="00706884" w:rsidRPr="00541AC3" w:rsidRDefault="00706884" w:rsidP="00706884">
            <w:pPr>
              <w:jc w:val="center"/>
              <w:rPr>
                <w:rFonts w:ascii="Times New Roman" w:hAnsi="Times New Roman" w:cs="Times New Roman"/>
                <w:sz w:val="20"/>
                <w:szCs w:val="20"/>
              </w:rPr>
            </w:pPr>
            <w:r w:rsidRPr="00541AC3">
              <w:rPr>
                <w:rFonts w:ascii="Times New Roman" w:hAnsi="Times New Roman" w:cs="Times New Roman"/>
                <w:sz w:val="20"/>
                <w:szCs w:val="20"/>
              </w:rPr>
              <w:t>-0.01</w:t>
            </w:r>
          </w:p>
        </w:tc>
        <w:tc>
          <w:tcPr>
            <w:tcW w:w="0" w:type="auto"/>
            <w:vAlign w:val="center"/>
          </w:tcPr>
          <w:p w14:paraId="4A952730" w14:textId="1AE6F0FB" w:rsidR="00706884" w:rsidRPr="00541AC3" w:rsidRDefault="00706884" w:rsidP="00706884">
            <w:pPr>
              <w:jc w:val="center"/>
              <w:rPr>
                <w:rFonts w:ascii="Times New Roman" w:hAnsi="Times New Roman" w:cs="Times New Roman"/>
                <w:sz w:val="20"/>
                <w:szCs w:val="20"/>
              </w:rPr>
            </w:pPr>
            <w:r w:rsidRPr="00541AC3">
              <w:rPr>
                <w:rFonts w:ascii="Times New Roman" w:hAnsi="Times New Roman" w:cs="Times New Roman"/>
                <w:sz w:val="20"/>
                <w:szCs w:val="20"/>
              </w:rPr>
              <w:t>0.32</w:t>
            </w:r>
          </w:p>
        </w:tc>
        <w:tc>
          <w:tcPr>
            <w:tcW w:w="0" w:type="auto"/>
            <w:vAlign w:val="center"/>
          </w:tcPr>
          <w:p w14:paraId="570D2797" w14:textId="1A84CC8E" w:rsidR="00706884" w:rsidRPr="00541AC3" w:rsidRDefault="00706884" w:rsidP="00706884">
            <w:pPr>
              <w:jc w:val="center"/>
              <w:rPr>
                <w:rFonts w:ascii="Times New Roman" w:hAnsi="Times New Roman" w:cs="Times New Roman"/>
                <w:sz w:val="20"/>
                <w:szCs w:val="20"/>
              </w:rPr>
            </w:pPr>
            <w:r w:rsidRPr="00541AC3">
              <w:rPr>
                <w:rFonts w:ascii="Times New Roman" w:hAnsi="Times New Roman" w:cs="Times New Roman"/>
                <w:sz w:val="20"/>
                <w:szCs w:val="20"/>
              </w:rPr>
              <w:t>0.13</w:t>
            </w:r>
          </w:p>
        </w:tc>
        <w:tc>
          <w:tcPr>
            <w:tcW w:w="0" w:type="auto"/>
            <w:vAlign w:val="center"/>
          </w:tcPr>
          <w:p w14:paraId="2EB4ACD0" w14:textId="378377B9" w:rsidR="00706884" w:rsidRPr="00541AC3" w:rsidRDefault="00706884" w:rsidP="00706884">
            <w:pPr>
              <w:jc w:val="center"/>
              <w:rPr>
                <w:rFonts w:ascii="Times New Roman" w:hAnsi="Times New Roman" w:cs="Times New Roman"/>
                <w:sz w:val="20"/>
                <w:szCs w:val="20"/>
              </w:rPr>
            </w:pPr>
            <w:r w:rsidRPr="00541AC3">
              <w:rPr>
                <w:rFonts w:ascii="Times New Roman" w:hAnsi="Times New Roman" w:cs="Times New Roman"/>
                <w:sz w:val="20"/>
                <w:szCs w:val="20"/>
              </w:rPr>
              <w:t>0</w:t>
            </w:r>
          </w:p>
        </w:tc>
        <w:tc>
          <w:tcPr>
            <w:tcW w:w="0" w:type="auto"/>
            <w:vAlign w:val="center"/>
          </w:tcPr>
          <w:p w14:paraId="6456830C" w14:textId="2AA51BA6" w:rsidR="00706884" w:rsidRPr="00541AC3" w:rsidRDefault="00706884" w:rsidP="00706884">
            <w:pPr>
              <w:jc w:val="center"/>
              <w:rPr>
                <w:rFonts w:ascii="Times New Roman" w:hAnsi="Times New Roman" w:cs="Times New Roman"/>
                <w:sz w:val="20"/>
                <w:szCs w:val="20"/>
              </w:rPr>
            </w:pPr>
            <w:r w:rsidRPr="00541AC3">
              <w:rPr>
                <w:rFonts w:ascii="Times New Roman" w:hAnsi="Times New Roman" w:cs="Times New Roman"/>
                <w:sz w:val="20"/>
                <w:szCs w:val="20"/>
              </w:rPr>
              <w:t>-0.13</w:t>
            </w:r>
          </w:p>
        </w:tc>
        <w:tc>
          <w:tcPr>
            <w:tcW w:w="0" w:type="auto"/>
            <w:vAlign w:val="center"/>
          </w:tcPr>
          <w:p w14:paraId="65EE5B3E" w14:textId="341B5DD3" w:rsidR="00706884" w:rsidRPr="00541AC3" w:rsidRDefault="00706884" w:rsidP="00706884">
            <w:pPr>
              <w:jc w:val="center"/>
              <w:rPr>
                <w:rFonts w:ascii="Times New Roman" w:hAnsi="Times New Roman" w:cs="Times New Roman"/>
                <w:b/>
                <w:bCs/>
                <w:sz w:val="20"/>
                <w:szCs w:val="20"/>
              </w:rPr>
            </w:pPr>
            <w:r w:rsidRPr="00541AC3">
              <w:rPr>
                <w:rFonts w:ascii="Times New Roman" w:hAnsi="Times New Roman" w:cs="Times New Roman"/>
                <w:b/>
                <w:bCs/>
                <w:sz w:val="20"/>
                <w:szCs w:val="20"/>
              </w:rPr>
              <w:t>-0.59</w:t>
            </w:r>
            <w:r w:rsidRPr="00541AC3">
              <w:rPr>
                <w:rFonts w:ascii="Times New Roman" w:hAnsi="Times New Roman" w:cs="Times New Roman"/>
                <w:b/>
                <w:bCs/>
                <w:sz w:val="20"/>
                <w:szCs w:val="20"/>
                <w:vertAlign w:val="superscript"/>
              </w:rPr>
              <w:t>*</w:t>
            </w:r>
          </w:p>
        </w:tc>
      </w:tr>
      <w:tr w:rsidR="00541AC3" w:rsidRPr="00541AC3" w14:paraId="706EA31B" w14:textId="77777777" w:rsidTr="00052C72">
        <w:trPr>
          <w:trHeight w:val="288"/>
          <w:jc w:val="center"/>
        </w:trPr>
        <w:tc>
          <w:tcPr>
            <w:tcW w:w="0" w:type="auto"/>
            <w:vAlign w:val="center"/>
          </w:tcPr>
          <w:p w14:paraId="256A1F13" w14:textId="34A6B022" w:rsidR="00706884" w:rsidRPr="00541AC3" w:rsidRDefault="00706884" w:rsidP="00706884">
            <w:pPr>
              <w:rPr>
                <w:sz w:val="20"/>
                <w:szCs w:val="20"/>
              </w:rPr>
            </w:pPr>
            <w:r w:rsidRPr="00541AC3">
              <w:rPr>
                <w:rFonts w:ascii="Times New Roman" w:eastAsia="Times New Roman" w:hAnsi="Times New Roman" w:cs="Times New Roman"/>
                <w:b/>
                <w:bCs/>
                <w:sz w:val="20"/>
                <w:szCs w:val="20"/>
              </w:rPr>
              <w:t>TİC</w:t>
            </w:r>
          </w:p>
        </w:tc>
        <w:tc>
          <w:tcPr>
            <w:tcW w:w="0" w:type="auto"/>
            <w:vAlign w:val="center"/>
          </w:tcPr>
          <w:p w14:paraId="7336E6E7" w14:textId="7A334FBB" w:rsidR="00706884" w:rsidRPr="00541AC3" w:rsidRDefault="00706884" w:rsidP="00706884">
            <w:pPr>
              <w:jc w:val="center"/>
              <w:rPr>
                <w:rFonts w:ascii="Times New Roman" w:hAnsi="Times New Roman" w:cs="Times New Roman"/>
                <w:sz w:val="20"/>
                <w:szCs w:val="20"/>
              </w:rPr>
            </w:pPr>
            <w:r w:rsidRPr="00541AC3">
              <w:rPr>
                <w:rFonts w:ascii="Times New Roman" w:hAnsi="Times New Roman" w:cs="Times New Roman"/>
                <w:sz w:val="20"/>
                <w:szCs w:val="20"/>
              </w:rPr>
              <w:t>-0.14</w:t>
            </w:r>
          </w:p>
        </w:tc>
        <w:tc>
          <w:tcPr>
            <w:tcW w:w="0" w:type="auto"/>
            <w:vAlign w:val="center"/>
          </w:tcPr>
          <w:p w14:paraId="1C45254E" w14:textId="5D1EDEB7" w:rsidR="00706884" w:rsidRPr="00541AC3" w:rsidRDefault="00706884" w:rsidP="00706884">
            <w:pPr>
              <w:jc w:val="center"/>
              <w:rPr>
                <w:rFonts w:ascii="Times New Roman" w:hAnsi="Times New Roman" w:cs="Times New Roman"/>
                <w:sz w:val="20"/>
                <w:szCs w:val="20"/>
              </w:rPr>
            </w:pPr>
            <w:r w:rsidRPr="00541AC3">
              <w:rPr>
                <w:rFonts w:ascii="Times New Roman" w:hAnsi="Times New Roman" w:cs="Times New Roman"/>
                <w:sz w:val="20"/>
                <w:szCs w:val="20"/>
              </w:rPr>
              <w:t>0.21</w:t>
            </w:r>
          </w:p>
        </w:tc>
        <w:tc>
          <w:tcPr>
            <w:tcW w:w="0" w:type="auto"/>
            <w:vAlign w:val="center"/>
          </w:tcPr>
          <w:p w14:paraId="23B4DEB4" w14:textId="28B79DBC" w:rsidR="00706884" w:rsidRPr="00541AC3" w:rsidRDefault="00706884" w:rsidP="00706884">
            <w:pPr>
              <w:jc w:val="center"/>
              <w:rPr>
                <w:rFonts w:ascii="Times New Roman" w:hAnsi="Times New Roman" w:cs="Times New Roman"/>
                <w:sz w:val="20"/>
                <w:szCs w:val="20"/>
              </w:rPr>
            </w:pPr>
            <w:r w:rsidRPr="00541AC3">
              <w:rPr>
                <w:rFonts w:ascii="Times New Roman" w:hAnsi="Times New Roman" w:cs="Times New Roman"/>
                <w:sz w:val="20"/>
                <w:szCs w:val="20"/>
              </w:rPr>
              <w:t>0.31</w:t>
            </w:r>
          </w:p>
        </w:tc>
        <w:tc>
          <w:tcPr>
            <w:tcW w:w="0" w:type="auto"/>
            <w:vAlign w:val="center"/>
          </w:tcPr>
          <w:p w14:paraId="6CD07029" w14:textId="226EDFDF" w:rsidR="00706884" w:rsidRPr="00541AC3" w:rsidRDefault="00706884" w:rsidP="00706884">
            <w:pPr>
              <w:jc w:val="center"/>
              <w:rPr>
                <w:rFonts w:ascii="Times New Roman" w:hAnsi="Times New Roman" w:cs="Times New Roman"/>
                <w:sz w:val="20"/>
                <w:szCs w:val="20"/>
              </w:rPr>
            </w:pPr>
            <w:r w:rsidRPr="00541AC3">
              <w:rPr>
                <w:rFonts w:ascii="Times New Roman" w:hAnsi="Times New Roman" w:cs="Times New Roman"/>
                <w:sz w:val="20"/>
                <w:szCs w:val="20"/>
              </w:rPr>
              <w:t>0.25</w:t>
            </w:r>
          </w:p>
        </w:tc>
        <w:tc>
          <w:tcPr>
            <w:tcW w:w="0" w:type="auto"/>
            <w:vAlign w:val="center"/>
          </w:tcPr>
          <w:p w14:paraId="136BCDC2" w14:textId="34C1F630" w:rsidR="00706884" w:rsidRPr="00541AC3" w:rsidRDefault="00706884" w:rsidP="00706884">
            <w:pPr>
              <w:jc w:val="center"/>
              <w:rPr>
                <w:rFonts w:ascii="Times New Roman" w:hAnsi="Times New Roman" w:cs="Times New Roman"/>
                <w:sz w:val="20"/>
                <w:szCs w:val="20"/>
              </w:rPr>
            </w:pPr>
            <w:r w:rsidRPr="00541AC3">
              <w:rPr>
                <w:rFonts w:ascii="Times New Roman" w:hAnsi="Times New Roman" w:cs="Times New Roman"/>
                <w:sz w:val="20"/>
                <w:szCs w:val="20"/>
              </w:rPr>
              <w:t>0.12</w:t>
            </w:r>
          </w:p>
        </w:tc>
        <w:tc>
          <w:tcPr>
            <w:tcW w:w="0" w:type="auto"/>
            <w:vAlign w:val="center"/>
          </w:tcPr>
          <w:p w14:paraId="29C13E81" w14:textId="1B227105" w:rsidR="00706884" w:rsidRPr="00541AC3" w:rsidRDefault="00706884" w:rsidP="00706884">
            <w:pPr>
              <w:jc w:val="center"/>
              <w:rPr>
                <w:rFonts w:ascii="Times New Roman" w:hAnsi="Times New Roman" w:cs="Times New Roman"/>
                <w:sz w:val="20"/>
                <w:szCs w:val="20"/>
              </w:rPr>
            </w:pPr>
            <w:r w:rsidRPr="00541AC3">
              <w:rPr>
                <w:rFonts w:ascii="Times New Roman" w:hAnsi="Times New Roman" w:cs="Times New Roman"/>
                <w:sz w:val="20"/>
                <w:szCs w:val="20"/>
              </w:rPr>
              <w:t>-0.18</w:t>
            </w:r>
          </w:p>
        </w:tc>
        <w:tc>
          <w:tcPr>
            <w:tcW w:w="0" w:type="auto"/>
            <w:vAlign w:val="center"/>
          </w:tcPr>
          <w:p w14:paraId="7587A916" w14:textId="7791FF6A" w:rsidR="00706884" w:rsidRPr="00541AC3" w:rsidRDefault="00706884" w:rsidP="00706884">
            <w:pPr>
              <w:jc w:val="center"/>
              <w:rPr>
                <w:rFonts w:ascii="Times New Roman" w:hAnsi="Times New Roman" w:cs="Times New Roman"/>
                <w:b/>
                <w:bCs/>
                <w:sz w:val="20"/>
                <w:szCs w:val="20"/>
              </w:rPr>
            </w:pPr>
            <w:r w:rsidRPr="00541AC3">
              <w:rPr>
                <w:rFonts w:ascii="Times New Roman" w:hAnsi="Times New Roman" w:cs="Times New Roman"/>
                <w:b/>
                <w:bCs/>
                <w:sz w:val="20"/>
                <w:szCs w:val="20"/>
              </w:rPr>
              <w:t>-0.59</w:t>
            </w:r>
            <w:r w:rsidRPr="00541AC3">
              <w:rPr>
                <w:rFonts w:ascii="Times New Roman" w:hAnsi="Times New Roman" w:cs="Times New Roman"/>
                <w:b/>
                <w:bCs/>
                <w:sz w:val="20"/>
                <w:szCs w:val="20"/>
                <w:vertAlign w:val="superscript"/>
              </w:rPr>
              <w:t>*</w:t>
            </w:r>
          </w:p>
        </w:tc>
      </w:tr>
    </w:tbl>
    <w:p w14:paraId="2D7623DA" w14:textId="3483A659" w:rsidR="0075267F" w:rsidRPr="00541AC3" w:rsidRDefault="00052C72" w:rsidP="00052C72">
      <w:pPr>
        <w:ind w:left="720"/>
      </w:pPr>
      <w:r w:rsidRPr="00541AC3">
        <w:rPr>
          <w:rFonts w:ascii="Times New Roman" w:hAnsi="Times New Roman" w:cs="Times New Roman"/>
          <w:sz w:val="20"/>
          <w:szCs w:val="20"/>
          <w:shd w:val="clear" w:color="auto" w:fill="FFFFFF"/>
        </w:rPr>
        <w:t xml:space="preserve">           </w:t>
      </w:r>
      <w:r w:rsidR="001524A8" w:rsidRPr="00541AC3">
        <w:rPr>
          <w:rFonts w:ascii="Times New Roman" w:hAnsi="Times New Roman" w:cs="Times New Roman"/>
          <w:sz w:val="20"/>
          <w:szCs w:val="20"/>
          <w:shd w:val="clear" w:color="auto" w:fill="FFFFFF"/>
        </w:rPr>
        <w:t>Not: p &lt; ,0001 ‘****’; p &lt; ,001 ‘***’; p &lt; ,01 ‘**’; p &lt; ,05 ‘*’</w:t>
      </w:r>
      <w:r w:rsidR="004620F8" w:rsidRPr="00541AC3">
        <w:rPr>
          <w:rFonts w:ascii="Times New Roman" w:hAnsi="Times New Roman" w:cs="Times New Roman"/>
          <w:sz w:val="20"/>
          <w:szCs w:val="20"/>
          <w:shd w:val="clear" w:color="auto" w:fill="FFFFFF"/>
        </w:rPr>
        <w:t>; p &lt;0,10 ‘</w:t>
      </w:r>
      <w:r w:rsidR="004620F8" w:rsidRPr="00541AC3">
        <w:rPr>
          <w:rFonts w:ascii="Dreaming Outloud Pro" w:eastAsia="Times New Roman" w:hAnsi="Dreaming Outloud Pro" w:cs="Dreaming Outloud Pro"/>
          <w:szCs w:val="24"/>
          <w:vertAlign w:val="superscript"/>
        </w:rPr>
        <w:t>‡</w:t>
      </w:r>
      <w:r w:rsidR="004620F8" w:rsidRPr="00541AC3">
        <w:rPr>
          <w:rFonts w:ascii="Times New Roman" w:hAnsi="Times New Roman" w:cs="Times New Roman"/>
          <w:sz w:val="20"/>
          <w:szCs w:val="20"/>
          <w:shd w:val="clear" w:color="auto" w:fill="FFFFFF"/>
        </w:rPr>
        <w:t>’</w:t>
      </w:r>
    </w:p>
    <w:p w14:paraId="64EC0E43" w14:textId="5972E014" w:rsidR="00B22557" w:rsidRPr="00541AC3" w:rsidRDefault="0029431E" w:rsidP="00831B10">
      <w:pPr>
        <w:ind w:firstLine="360"/>
        <w:jc w:val="both"/>
        <w:rPr>
          <w:rFonts w:ascii="Times New Roman" w:hAnsi="Times New Roman" w:cs="Times New Roman"/>
          <w:sz w:val="24"/>
          <w:szCs w:val="24"/>
        </w:rPr>
      </w:pPr>
      <w:r w:rsidRPr="00541AC3">
        <w:rPr>
          <w:rFonts w:ascii="Times New Roman" w:hAnsi="Times New Roman" w:cs="Times New Roman"/>
          <w:sz w:val="24"/>
          <w:szCs w:val="24"/>
        </w:rPr>
        <w:t xml:space="preserve">Reel kredi değişimi ile istihdam değişimi arasındaki </w:t>
      </w:r>
      <w:r w:rsidR="006603FE" w:rsidRPr="00541AC3">
        <w:rPr>
          <w:rFonts w:ascii="Times New Roman" w:hAnsi="Times New Roman" w:cs="Times New Roman"/>
          <w:sz w:val="24"/>
          <w:szCs w:val="24"/>
        </w:rPr>
        <w:t>korelasyonlar</w:t>
      </w:r>
      <w:r w:rsidR="00456FD4" w:rsidRPr="00541AC3">
        <w:rPr>
          <w:rFonts w:ascii="Times New Roman" w:hAnsi="Times New Roman" w:cs="Times New Roman"/>
          <w:sz w:val="24"/>
          <w:szCs w:val="24"/>
        </w:rPr>
        <w:t xml:space="preserve"> yukarıda raporladığımız kredi-</w:t>
      </w:r>
      <w:r w:rsidRPr="00541AC3">
        <w:rPr>
          <w:rFonts w:ascii="Times New Roman" w:hAnsi="Times New Roman" w:cs="Times New Roman"/>
          <w:sz w:val="24"/>
          <w:szCs w:val="24"/>
        </w:rPr>
        <w:t>büyüme</w:t>
      </w:r>
      <w:r w:rsidR="006A1E18" w:rsidRPr="00541AC3">
        <w:rPr>
          <w:rFonts w:ascii="Times New Roman" w:hAnsi="Times New Roman" w:cs="Times New Roman"/>
          <w:sz w:val="24"/>
          <w:szCs w:val="24"/>
        </w:rPr>
        <w:t xml:space="preserve"> ilişkisine</w:t>
      </w:r>
      <w:r w:rsidR="00FF5FE0" w:rsidRPr="00541AC3">
        <w:rPr>
          <w:rFonts w:ascii="Times New Roman" w:hAnsi="Times New Roman" w:cs="Times New Roman"/>
          <w:sz w:val="24"/>
          <w:szCs w:val="24"/>
        </w:rPr>
        <w:t xml:space="preserve"> benzer</w:t>
      </w:r>
      <w:r w:rsidRPr="00541AC3">
        <w:rPr>
          <w:rFonts w:ascii="Times New Roman" w:hAnsi="Times New Roman" w:cs="Times New Roman"/>
          <w:sz w:val="24"/>
          <w:szCs w:val="24"/>
        </w:rPr>
        <w:t xml:space="preserve"> bir şekilde zayıf</w:t>
      </w:r>
      <w:r w:rsidR="00A543AA" w:rsidRPr="00541AC3">
        <w:rPr>
          <w:rFonts w:ascii="Times New Roman" w:hAnsi="Times New Roman" w:cs="Times New Roman"/>
          <w:sz w:val="24"/>
          <w:szCs w:val="24"/>
        </w:rPr>
        <w:t>tır. Cari dönemde toplam veriye göre</w:t>
      </w:r>
      <w:r w:rsidRPr="00541AC3">
        <w:rPr>
          <w:rFonts w:ascii="Times New Roman" w:hAnsi="Times New Roman" w:cs="Times New Roman"/>
          <w:sz w:val="24"/>
          <w:szCs w:val="24"/>
        </w:rPr>
        <w:t xml:space="preserve"> iki seri arasında anlamlı bir ilişk</w:t>
      </w:r>
      <w:r w:rsidR="00A543AA" w:rsidRPr="00541AC3">
        <w:rPr>
          <w:rFonts w:ascii="Times New Roman" w:hAnsi="Times New Roman" w:cs="Times New Roman"/>
          <w:sz w:val="24"/>
          <w:szCs w:val="24"/>
        </w:rPr>
        <w:t>i mevcut değilken, panel veriye göre</w:t>
      </w:r>
      <w:r w:rsidRPr="00541AC3">
        <w:rPr>
          <w:rFonts w:ascii="Times New Roman" w:hAnsi="Times New Roman" w:cs="Times New Roman"/>
          <w:sz w:val="24"/>
          <w:szCs w:val="24"/>
        </w:rPr>
        <w:t xml:space="preserve"> toplamda istatistiksel olarak anlamlı ancak düşük pozitif bir korelasyon </w:t>
      </w:r>
      <m:oMath>
        <m:r>
          <w:rPr>
            <w:rFonts w:ascii="Cambria Math" w:hAnsi="Cambria Math" w:cs="Times New Roman"/>
            <w:sz w:val="24"/>
            <w:szCs w:val="24"/>
          </w:rPr>
          <m:t>(</m:t>
        </m:r>
        <m:r>
          <m:rPr>
            <m:sty m:val="p"/>
          </m:rPr>
          <w:rPr>
            <w:rFonts w:ascii="Cambria Math" w:hAnsi="Cambria Math" w:cs="Times New Roman"/>
            <w:sz w:val="24"/>
            <w:szCs w:val="24"/>
          </w:rPr>
          <m:t>R=</m:t>
        </m:r>
        <m:sSup>
          <m:sSupPr>
            <m:ctrlPr>
              <w:rPr>
                <w:rFonts w:ascii="Cambria Math" w:eastAsiaTheme="minorEastAsia" w:hAnsi="Cambria Math" w:cs="Times New Roman"/>
                <w:i/>
                <w:sz w:val="24"/>
                <w:szCs w:val="24"/>
              </w:rPr>
            </m:ctrlPr>
          </m:sSupPr>
          <m:e>
            <m:r>
              <m:rPr>
                <m:sty m:val="p"/>
              </m:rPr>
              <w:rPr>
                <w:rFonts w:ascii="Cambria Math" w:eastAsiaTheme="minorEastAsia" w:hAnsi="Cambria Math" w:cs="Times New Roman"/>
                <w:sz w:val="24"/>
                <w:szCs w:val="24"/>
              </w:rPr>
              <m:t>0,19</m:t>
            </m:r>
          </m:e>
          <m:sup>
            <m:r>
              <m:rPr>
                <m:sty m:val="p"/>
              </m:rPr>
              <w:rPr>
                <w:rFonts w:ascii="Cambria Math" w:eastAsia="Times New Roman" w:hAnsi="Cambria Math" w:cs="Dreaming Outloud Pro"/>
                <w:szCs w:val="24"/>
                <w:vertAlign w:val="superscript"/>
              </w:rPr>
              <m:t>*</m:t>
            </m:r>
          </m:sup>
        </m:sSup>
        <m:r>
          <w:rPr>
            <w:rFonts w:ascii="Cambria Math" w:eastAsiaTheme="minorEastAsia" w:hAnsi="Cambria Math" w:cs="Times New Roman"/>
            <w:sz w:val="24"/>
            <w:szCs w:val="24"/>
          </w:rPr>
          <m:t>)</m:t>
        </m:r>
      </m:oMath>
      <w:r w:rsidRPr="00541AC3">
        <w:rPr>
          <w:rFonts w:ascii="Times New Roman" w:hAnsi="Times New Roman" w:cs="Times New Roman"/>
          <w:sz w:val="24"/>
          <w:szCs w:val="24"/>
        </w:rPr>
        <w:t xml:space="preserve"> vardır.</w:t>
      </w:r>
      <w:r w:rsidR="00FF5FE0" w:rsidRPr="00541AC3">
        <w:rPr>
          <w:rFonts w:ascii="Times New Roman" w:hAnsi="Times New Roman" w:cs="Times New Roman"/>
          <w:sz w:val="24"/>
          <w:szCs w:val="24"/>
        </w:rPr>
        <w:t xml:space="preserve"> </w:t>
      </w:r>
      <w:r w:rsidR="0001715F" w:rsidRPr="00541AC3">
        <w:rPr>
          <w:rFonts w:ascii="Times New Roman" w:hAnsi="Times New Roman" w:cs="Times New Roman"/>
          <w:sz w:val="24"/>
          <w:szCs w:val="24"/>
        </w:rPr>
        <w:t xml:space="preserve">Ayrıca bu ilişki </w:t>
      </w:r>
      <w:r w:rsidR="001C7384" w:rsidRPr="00541AC3">
        <w:rPr>
          <w:rFonts w:ascii="Times New Roman" w:hAnsi="Times New Roman" w:cs="Times New Roman"/>
          <w:sz w:val="24"/>
          <w:szCs w:val="24"/>
        </w:rPr>
        <w:t xml:space="preserve">sorguladığımız her dönemde </w:t>
      </w:r>
      <w:r w:rsidR="0001715F" w:rsidRPr="00541AC3">
        <w:rPr>
          <w:rFonts w:ascii="Times New Roman" w:hAnsi="Times New Roman" w:cs="Times New Roman"/>
          <w:sz w:val="24"/>
          <w:szCs w:val="24"/>
        </w:rPr>
        <w:t xml:space="preserve">kredi-büyüme ilişkisinde tartıştığımız gibi sektör bazında heterojendir. </w:t>
      </w:r>
    </w:p>
    <w:p w14:paraId="3F9652B4" w14:textId="7B6EE0F4" w:rsidR="00CD52F5" w:rsidRPr="00541AC3" w:rsidRDefault="00CD52F5" w:rsidP="00EF1EE1">
      <w:pPr>
        <w:pStyle w:val="Caption"/>
        <w:keepNext/>
        <w:spacing w:before="240"/>
        <w:jc w:val="center"/>
        <w:rPr>
          <w:rFonts w:ascii="Times New Roman" w:hAnsi="Times New Roman" w:cs="Times New Roman"/>
          <w:b/>
          <w:bCs/>
          <w:i w:val="0"/>
          <w:iCs w:val="0"/>
          <w:color w:val="auto"/>
          <w:sz w:val="22"/>
          <w:szCs w:val="22"/>
        </w:rPr>
      </w:pPr>
      <w:r w:rsidRPr="00541AC3">
        <w:rPr>
          <w:rFonts w:ascii="Times New Roman" w:hAnsi="Times New Roman" w:cs="Times New Roman"/>
          <w:b/>
          <w:bCs/>
          <w:i w:val="0"/>
          <w:iCs w:val="0"/>
          <w:color w:val="auto"/>
          <w:sz w:val="22"/>
          <w:szCs w:val="22"/>
        </w:rPr>
        <w:t xml:space="preserve">Tablo </w:t>
      </w:r>
      <w:r w:rsidRPr="00541AC3">
        <w:rPr>
          <w:rFonts w:ascii="Times New Roman" w:hAnsi="Times New Roman" w:cs="Times New Roman"/>
          <w:b/>
          <w:bCs/>
          <w:i w:val="0"/>
          <w:iCs w:val="0"/>
          <w:color w:val="auto"/>
          <w:sz w:val="22"/>
          <w:szCs w:val="22"/>
        </w:rPr>
        <w:fldChar w:fldCharType="begin"/>
      </w:r>
      <w:r w:rsidRPr="00541AC3">
        <w:rPr>
          <w:rFonts w:ascii="Times New Roman" w:hAnsi="Times New Roman" w:cs="Times New Roman"/>
          <w:b/>
          <w:bCs/>
          <w:i w:val="0"/>
          <w:iCs w:val="0"/>
          <w:color w:val="auto"/>
          <w:sz w:val="22"/>
          <w:szCs w:val="22"/>
        </w:rPr>
        <w:instrText xml:space="preserve"> SEQ Tablo \* ARABIC </w:instrText>
      </w:r>
      <w:r w:rsidRPr="00541AC3">
        <w:rPr>
          <w:rFonts w:ascii="Times New Roman" w:hAnsi="Times New Roman" w:cs="Times New Roman"/>
          <w:b/>
          <w:bCs/>
          <w:i w:val="0"/>
          <w:iCs w:val="0"/>
          <w:color w:val="auto"/>
          <w:sz w:val="22"/>
          <w:szCs w:val="22"/>
        </w:rPr>
        <w:fldChar w:fldCharType="separate"/>
      </w:r>
      <w:r w:rsidR="0057441E">
        <w:rPr>
          <w:rFonts w:ascii="Times New Roman" w:hAnsi="Times New Roman" w:cs="Times New Roman"/>
          <w:b/>
          <w:bCs/>
          <w:i w:val="0"/>
          <w:iCs w:val="0"/>
          <w:noProof/>
          <w:color w:val="auto"/>
          <w:sz w:val="22"/>
          <w:szCs w:val="22"/>
        </w:rPr>
        <w:t>4</w:t>
      </w:r>
      <w:r w:rsidRPr="00541AC3">
        <w:rPr>
          <w:rFonts w:ascii="Times New Roman" w:hAnsi="Times New Roman" w:cs="Times New Roman"/>
          <w:b/>
          <w:bCs/>
          <w:i w:val="0"/>
          <w:iCs w:val="0"/>
          <w:color w:val="auto"/>
          <w:sz w:val="22"/>
          <w:szCs w:val="22"/>
        </w:rPr>
        <w:fldChar w:fldCharType="end"/>
      </w:r>
      <w:r w:rsidRPr="00541AC3">
        <w:rPr>
          <w:rFonts w:ascii="Times New Roman" w:hAnsi="Times New Roman" w:cs="Times New Roman"/>
          <w:b/>
          <w:bCs/>
          <w:i w:val="0"/>
          <w:iCs w:val="0"/>
          <w:color w:val="auto"/>
          <w:sz w:val="22"/>
          <w:szCs w:val="22"/>
        </w:rPr>
        <w:t>. Reel Kredi Değişimi ve İstihdam Değişimi Korelasyonu</w:t>
      </w:r>
      <w:r w:rsidR="00CA0864" w:rsidRPr="00541AC3">
        <w:rPr>
          <w:rFonts w:ascii="Times New Roman" w:hAnsi="Times New Roman" w:cs="Times New Roman"/>
          <w:b/>
          <w:bCs/>
          <w:i w:val="0"/>
          <w:iCs w:val="0"/>
          <w:color w:val="auto"/>
          <w:sz w:val="22"/>
          <w:szCs w:val="22"/>
        </w:rPr>
        <w:t xml:space="preserve"> (2004-2021)</w:t>
      </w:r>
    </w:p>
    <w:tbl>
      <w:tblPr>
        <w:tblStyle w:val="TableGrid"/>
        <w:tblW w:w="0" w:type="auto"/>
        <w:jc w:val="center"/>
        <w:tblLook w:val="04A0" w:firstRow="1" w:lastRow="0" w:firstColumn="1" w:lastColumn="0" w:noHBand="0" w:noVBand="1"/>
      </w:tblPr>
      <w:tblGrid>
        <w:gridCol w:w="1450"/>
        <w:gridCol w:w="658"/>
        <w:gridCol w:w="696"/>
        <w:gridCol w:w="658"/>
        <w:gridCol w:w="1218"/>
        <w:gridCol w:w="658"/>
        <w:gridCol w:w="696"/>
        <w:gridCol w:w="658"/>
      </w:tblGrid>
      <w:tr w:rsidR="00541AC3" w:rsidRPr="00541AC3" w14:paraId="2DD376BE" w14:textId="77777777" w:rsidTr="00052C72">
        <w:trPr>
          <w:trHeight w:val="288"/>
          <w:jc w:val="center"/>
        </w:trPr>
        <w:tc>
          <w:tcPr>
            <w:tcW w:w="0" w:type="auto"/>
            <w:vAlign w:val="center"/>
          </w:tcPr>
          <w:p w14:paraId="04EF9F7B" w14:textId="77777777" w:rsidR="00CD52F5" w:rsidRPr="00541AC3" w:rsidRDefault="00CD52F5" w:rsidP="00C07C16">
            <w:pPr>
              <w:rPr>
                <w:rFonts w:ascii="Cambria Math" w:eastAsia="Times New Roman" w:hAnsi="Cambria Math" w:cs="Times New Roman"/>
                <w:b/>
                <w:bCs/>
                <w:sz w:val="20"/>
                <w:szCs w:val="20"/>
              </w:rPr>
            </w:pPr>
          </w:p>
        </w:tc>
        <w:tc>
          <w:tcPr>
            <w:tcW w:w="0" w:type="auto"/>
            <w:vAlign w:val="center"/>
          </w:tcPr>
          <w:p w14:paraId="77C5EE39" w14:textId="77777777" w:rsidR="00CD52F5" w:rsidRPr="00541AC3" w:rsidRDefault="00CD52F5" w:rsidP="00C07C16">
            <w:pPr>
              <w:jc w:val="center"/>
              <w:rPr>
                <w:rFonts w:ascii="Times New Roman" w:eastAsia="Times New Roman" w:hAnsi="Times New Roman" w:cs="Times New Roman"/>
                <w:b/>
                <w:bCs/>
                <w:sz w:val="20"/>
                <w:szCs w:val="20"/>
              </w:rPr>
            </w:pPr>
            <m:oMathPara>
              <m:oMath>
                <m:r>
                  <m:rPr>
                    <m:sty m:val="bi"/>
                  </m:rPr>
                  <w:rPr>
                    <w:rFonts w:ascii="Cambria Math" w:eastAsia="Times New Roman" w:hAnsi="Cambria Math" w:cs="Times New Roman"/>
                    <w:sz w:val="20"/>
                    <w:szCs w:val="20"/>
                  </w:rPr>
                  <m:t>t-3</m:t>
                </m:r>
              </m:oMath>
            </m:oMathPara>
          </w:p>
        </w:tc>
        <w:tc>
          <w:tcPr>
            <w:tcW w:w="0" w:type="auto"/>
            <w:vAlign w:val="center"/>
          </w:tcPr>
          <w:p w14:paraId="7F50F7EA" w14:textId="77777777" w:rsidR="00CD52F5" w:rsidRPr="00541AC3" w:rsidRDefault="00CD52F5" w:rsidP="00C07C16">
            <w:pPr>
              <w:jc w:val="center"/>
              <w:rPr>
                <w:rFonts w:ascii="Times New Roman" w:eastAsia="Times New Roman" w:hAnsi="Times New Roman" w:cs="Times New Roman"/>
                <w:b/>
                <w:bCs/>
                <w:sz w:val="20"/>
                <w:szCs w:val="20"/>
              </w:rPr>
            </w:pPr>
            <m:oMathPara>
              <m:oMath>
                <m:r>
                  <m:rPr>
                    <m:sty m:val="bi"/>
                  </m:rPr>
                  <w:rPr>
                    <w:rFonts w:ascii="Cambria Math" w:eastAsia="Times New Roman" w:hAnsi="Cambria Math" w:cs="Times New Roman"/>
                    <w:sz w:val="20"/>
                    <w:szCs w:val="20"/>
                  </w:rPr>
                  <m:t>t-2</m:t>
                </m:r>
              </m:oMath>
            </m:oMathPara>
          </w:p>
        </w:tc>
        <w:tc>
          <w:tcPr>
            <w:tcW w:w="0" w:type="auto"/>
            <w:vAlign w:val="center"/>
          </w:tcPr>
          <w:p w14:paraId="6043CBE9" w14:textId="77777777" w:rsidR="00CD52F5" w:rsidRPr="00541AC3" w:rsidRDefault="00CD52F5" w:rsidP="00C07C16">
            <w:pPr>
              <w:jc w:val="center"/>
              <w:rPr>
                <w:rFonts w:ascii="Times New Roman" w:eastAsia="Times New Roman" w:hAnsi="Times New Roman" w:cs="Times New Roman"/>
                <w:b/>
                <w:bCs/>
                <w:sz w:val="20"/>
                <w:szCs w:val="20"/>
              </w:rPr>
            </w:pPr>
            <m:oMathPara>
              <m:oMath>
                <m:r>
                  <m:rPr>
                    <m:sty m:val="bi"/>
                  </m:rPr>
                  <w:rPr>
                    <w:rFonts w:ascii="Cambria Math" w:eastAsia="Times New Roman" w:hAnsi="Cambria Math" w:cs="Times New Roman"/>
                    <w:sz w:val="20"/>
                    <w:szCs w:val="20"/>
                  </w:rPr>
                  <m:t>t-1</m:t>
                </m:r>
              </m:oMath>
            </m:oMathPara>
          </w:p>
        </w:tc>
        <w:tc>
          <w:tcPr>
            <w:tcW w:w="0" w:type="auto"/>
            <w:vAlign w:val="center"/>
          </w:tcPr>
          <w:p w14:paraId="23F285E2" w14:textId="77777777" w:rsidR="00CD52F5" w:rsidRPr="00541AC3" w:rsidRDefault="00CD52F5" w:rsidP="00C07C16">
            <w:pPr>
              <w:jc w:val="center"/>
              <w:rPr>
                <w:rFonts w:ascii="Times New Roman" w:eastAsia="Times New Roman" w:hAnsi="Times New Roman" w:cs="Times New Roman"/>
                <w:b/>
                <w:bCs/>
                <w:sz w:val="20"/>
                <w:szCs w:val="20"/>
              </w:rPr>
            </w:pPr>
            <m:oMathPara>
              <m:oMath>
                <m:r>
                  <m:rPr>
                    <m:sty m:val="bi"/>
                  </m:rPr>
                  <w:rPr>
                    <w:rFonts w:ascii="Cambria Math" w:eastAsia="Times New Roman" w:hAnsi="Cambria Math" w:cs="Times New Roman"/>
                    <w:sz w:val="20"/>
                    <w:szCs w:val="20"/>
                  </w:rPr>
                  <m:t>t (cari y</m:t>
                </m:r>
                <m:r>
                  <m:rPr>
                    <m:sty m:val="bi"/>
                  </m:rPr>
                  <w:rPr>
                    <w:rFonts w:ascii="Cambria Math" w:eastAsia="Times New Roman" w:hAnsi="Cambria Math" w:cs="Times New Roman"/>
                    <w:sz w:val="20"/>
                    <w:szCs w:val="20"/>
                  </w:rPr>
                  <m:t>ı</m:t>
                </m:r>
                <m:r>
                  <m:rPr>
                    <m:sty m:val="bi"/>
                  </m:rPr>
                  <w:rPr>
                    <w:rFonts w:ascii="Cambria Math" w:eastAsia="Times New Roman" w:hAnsi="Cambria Math" w:cs="Times New Roman"/>
                    <w:sz w:val="20"/>
                    <w:szCs w:val="20"/>
                  </w:rPr>
                  <m:t>l)</m:t>
                </m:r>
              </m:oMath>
            </m:oMathPara>
          </w:p>
        </w:tc>
        <w:tc>
          <w:tcPr>
            <w:tcW w:w="0" w:type="auto"/>
            <w:vAlign w:val="center"/>
          </w:tcPr>
          <w:p w14:paraId="2A06F995" w14:textId="77777777" w:rsidR="00CD52F5" w:rsidRPr="00541AC3" w:rsidRDefault="00CD52F5" w:rsidP="00C07C16">
            <w:pPr>
              <w:jc w:val="center"/>
              <w:rPr>
                <w:rFonts w:ascii="Times New Roman" w:eastAsia="Times New Roman" w:hAnsi="Times New Roman" w:cs="Times New Roman"/>
                <w:b/>
                <w:bCs/>
                <w:sz w:val="20"/>
                <w:szCs w:val="20"/>
              </w:rPr>
            </w:pPr>
            <m:oMathPara>
              <m:oMath>
                <m:r>
                  <m:rPr>
                    <m:sty m:val="bi"/>
                  </m:rPr>
                  <w:rPr>
                    <w:rFonts w:ascii="Cambria Math" w:eastAsia="Times New Roman" w:hAnsi="Cambria Math" w:cs="Times New Roman"/>
                    <w:sz w:val="20"/>
                    <w:szCs w:val="20"/>
                  </w:rPr>
                  <m:t>t+1</m:t>
                </m:r>
              </m:oMath>
            </m:oMathPara>
          </w:p>
        </w:tc>
        <w:tc>
          <w:tcPr>
            <w:tcW w:w="0" w:type="auto"/>
            <w:vAlign w:val="center"/>
          </w:tcPr>
          <w:p w14:paraId="68A191BB" w14:textId="77777777" w:rsidR="00CD52F5" w:rsidRPr="00541AC3" w:rsidRDefault="00CD52F5" w:rsidP="00C07C16">
            <w:pPr>
              <w:jc w:val="center"/>
              <w:rPr>
                <w:rFonts w:ascii="Times New Roman" w:eastAsia="Times New Roman" w:hAnsi="Times New Roman" w:cs="Times New Roman"/>
                <w:b/>
                <w:bCs/>
                <w:sz w:val="20"/>
                <w:szCs w:val="20"/>
              </w:rPr>
            </w:pPr>
            <m:oMathPara>
              <m:oMath>
                <m:r>
                  <m:rPr>
                    <m:sty m:val="bi"/>
                  </m:rPr>
                  <w:rPr>
                    <w:rFonts w:ascii="Cambria Math" w:eastAsia="Times New Roman" w:hAnsi="Cambria Math" w:cs="Times New Roman"/>
                    <w:sz w:val="20"/>
                    <w:szCs w:val="20"/>
                  </w:rPr>
                  <m:t>t+2</m:t>
                </m:r>
              </m:oMath>
            </m:oMathPara>
          </w:p>
        </w:tc>
        <w:tc>
          <w:tcPr>
            <w:tcW w:w="0" w:type="auto"/>
            <w:vAlign w:val="center"/>
          </w:tcPr>
          <w:p w14:paraId="1960B383" w14:textId="77777777" w:rsidR="00CD52F5" w:rsidRPr="00541AC3" w:rsidRDefault="00CD52F5" w:rsidP="00C07C16">
            <w:pPr>
              <w:jc w:val="center"/>
              <w:rPr>
                <w:rFonts w:ascii="Times New Roman" w:eastAsia="Times New Roman" w:hAnsi="Times New Roman" w:cs="Times New Roman"/>
                <w:b/>
                <w:bCs/>
                <w:sz w:val="20"/>
                <w:szCs w:val="20"/>
              </w:rPr>
            </w:pPr>
            <m:oMathPara>
              <m:oMath>
                <m:r>
                  <m:rPr>
                    <m:sty m:val="bi"/>
                  </m:rPr>
                  <w:rPr>
                    <w:rFonts w:ascii="Cambria Math" w:eastAsia="Times New Roman" w:hAnsi="Cambria Math" w:cs="Times New Roman"/>
                    <w:sz w:val="20"/>
                    <w:szCs w:val="20"/>
                  </w:rPr>
                  <m:t>t+3</m:t>
                </m:r>
              </m:oMath>
            </m:oMathPara>
          </w:p>
        </w:tc>
      </w:tr>
      <w:tr w:rsidR="00541AC3" w:rsidRPr="00541AC3" w14:paraId="3BB85AB4" w14:textId="77777777" w:rsidTr="00052C72">
        <w:trPr>
          <w:trHeight w:val="288"/>
          <w:jc w:val="center"/>
        </w:trPr>
        <w:tc>
          <w:tcPr>
            <w:tcW w:w="0" w:type="auto"/>
            <w:vAlign w:val="center"/>
          </w:tcPr>
          <w:p w14:paraId="247F1BCF" w14:textId="77777777" w:rsidR="00CD52F5" w:rsidRPr="00541AC3" w:rsidRDefault="00CD52F5" w:rsidP="00C07C16">
            <w:pPr>
              <w:rPr>
                <w:rFonts w:ascii="Times New Roman" w:eastAsia="Times New Roman" w:hAnsi="Times New Roman" w:cs="Times New Roman"/>
                <w:b/>
                <w:bCs/>
                <w:sz w:val="20"/>
                <w:szCs w:val="20"/>
              </w:rPr>
            </w:pPr>
            <w:r w:rsidRPr="00541AC3">
              <w:rPr>
                <w:rFonts w:ascii="Times New Roman" w:eastAsia="Times New Roman" w:hAnsi="Times New Roman" w:cs="Times New Roman"/>
                <w:b/>
                <w:bCs/>
                <w:sz w:val="20"/>
                <w:szCs w:val="20"/>
              </w:rPr>
              <w:t>Toplam</w:t>
            </w:r>
          </w:p>
        </w:tc>
        <w:tc>
          <w:tcPr>
            <w:tcW w:w="0" w:type="auto"/>
            <w:vAlign w:val="center"/>
          </w:tcPr>
          <w:p w14:paraId="3B5AA44C" w14:textId="18DF6BC8" w:rsidR="00CD52F5" w:rsidRPr="00541AC3" w:rsidRDefault="00006FA1" w:rsidP="00C07C16">
            <w:pPr>
              <w:jc w:val="center"/>
              <w:rPr>
                <w:rFonts w:ascii="Times New Roman" w:eastAsia="Times New Roman" w:hAnsi="Times New Roman" w:cs="Times New Roman"/>
                <w:sz w:val="20"/>
                <w:szCs w:val="20"/>
              </w:rPr>
            </w:pPr>
            <w:r w:rsidRPr="00541AC3">
              <w:rPr>
                <w:rFonts w:ascii="Times New Roman" w:eastAsia="Times New Roman" w:hAnsi="Times New Roman" w:cs="Times New Roman"/>
                <w:sz w:val="20"/>
                <w:szCs w:val="20"/>
              </w:rPr>
              <w:t>-0</w:t>
            </w:r>
            <w:r w:rsidR="0029431E" w:rsidRPr="00541AC3">
              <w:rPr>
                <w:rFonts w:ascii="Times New Roman" w:eastAsia="Times New Roman" w:hAnsi="Times New Roman" w:cs="Times New Roman"/>
                <w:sz w:val="20"/>
                <w:szCs w:val="20"/>
              </w:rPr>
              <w:t>,</w:t>
            </w:r>
            <w:r w:rsidRPr="00541AC3">
              <w:rPr>
                <w:rFonts w:ascii="Times New Roman" w:eastAsia="Times New Roman" w:hAnsi="Times New Roman" w:cs="Times New Roman"/>
                <w:sz w:val="20"/>
                <w:szCs w:val="20"/>
              </w:rPr>
              <w:t>26</w:t>
            </w:r>
          </w:p>
        </w:tc>
        <w:tc>
          <w:tcPr>
            <w:tcW w:w="0" w:type="auto"/>
            <w:vAlign w:val="center"/>
          </w:tcPr>
          <w:p w14:paraId="1F5DD81F" w14:textId="201F4B06" w:rsidR="00CD52F5" w:rsidRPr="00541AC3" w:rsidRDefault="00006FA1" w:rsidP="00C07C16">
            <w:pPr>
              <w:jc w:val="center"/>
              <w:rPr>
                <w:rFonts w:ascii="Times New Roman" w:eastAsia="Times New Roman" w:hAnsi="Times New Roman" w:cs="Times New Roman"/>
                <w:sz w:val="20"/>
                <w:szCs w:val="20"/>
              </w:rPr>
            </w:pPr>
            <w:r w:rsidRPr="00541AC3">
              <w:rPr>
                <w:rFonts w:ascii="Times New Roman" w:eastAsia="Times New Roman" w:hAnsi="Times New Roman" w:cs="Times New Roman"/>
                <w:sz w:val="20"/>
                <w:szCs w:val="20"/>
              </w:rPr>
              <w:t>-0</w:t>
            </w:r>
            <w:r w:rsidR="0029431E" w:rsidRPr="00541AC3">
              <w:rPr>
                <w:rFonts w:ascii="Times New Roman" w:eastAsia="Times New Roman" w:hAnsi="Times New Roman" w:cs="Times New Roman"/>
                <w:sz w:val="20"/>
                <w:szCs w:val="20"/>
              </w:rPr>
              <w:t>,</w:t>
            </w:r>
            <w:r w:rsidRPr="00541AC3">
              <w:rPr>
                <w:rFonts w:ascii="Times New Roman" w:eastAsia="Times New Roman" w:hAnsi="Times New Roman" w:cs="Times New Roman"/>
                <w:sz w:val="20"/>
                <w:szCs w:val="20"/>
              </w:rPr>
              <w:t>24</w:t>
            </w:r>
          </w:p>
        </w:tc>
        <w:tc>
          <w:tcPr>
            <w:tcW w:w="0" w:type="auto"/>
            <w:vAlign w:val="center"/>
          </w:tcPr>
          <w:p w14:paraId="6E38CEF0" w14:textId="3C1F324E" w:rsidR="00CD52F5" w:rsidRPr="00541AC3" w:rsidRDefault="00006FA1" w:rsidP="00C07C16">
            <w:pPr>
              <w:jc w:val="center"/>
              <w:rPr>
                <w:rFonts w:ascii="Times New Roman" w:eastAsia="Times New Roman" w:hAnsi="Times New Roman" w:cs="Times New Roman"/>
                <w:sz w:val="20"/>
                <w:szCs w:val="20"/>
              </w:rPr>
            </w:pPr>
            <w:r w:rsidRPr="00541AC3">
              <w:rPr>
                <w:rFonts w:ascii="Times New Roman" w:eastAsia="Times New Roman" w:hAnsi="Times New Roman" w:cs="Times New Roman"/>
                <w:sz w:val="20"/>
                <w:szCs w:val="20"/>
              </w:rPr>
              <w:t>0</w:t>
            </w:r>
            <w:r w:rsidR="0029431E" w:rsidRPr="00541AC3">
              <w:rPr>
                <w:rFonts w:ascii="Times New Roman" w:eastAsia="Times New Roman" w:hAnsi="Times New Roman" w:cs="Times New Roman"/>
                <w:sz w:val="20"/>
                <w:szCs w:val="20"/>
              </w:rPr>
              <w:t>,</w:t>
            </w:r>
            <w:r w:rsidRPr="00541AC3">
              <w:rPr>
                <w:rFonts w:ascii="Times New Roman" w:eastAsia="Times New Roman" w:hAnsi="Times New Roman" w:cs="Times New Roman"/>
                <w:sz w:val="20"/>
                <w:szCs w:val="20"/>
              </w:rPr>
              <w:t>03</w:t>
            </w:r>
          </w:p>
        </w:tc>
        <w:tc>
          <w:tcPr>
            <w:tcW w:w="0" w:type="auto"/>
            <w:vAlign w:val="center"/>
          </w:tcPr>
          <w:p w14:paraId="1467B770" w14:textId="23D05DC7" w:rsidR="00CD52F5" w:rsidRPr="00541AC3" w:rsidRDefault="003C606C" w:rsidP="00C07C16">
            <w:pPr>
              <w:jc w:val="center"/>
              <w:rPr>
                <w:rFonts w:ascii="Times New Roman" w:eastAsia="Times New Roman" w:hAnsi="Times New Roman" w:cs="Times New Roman"/>
                <w:sz w:val="20"/>
                <w:szCs w:val="20"/>
              </w:rPr>
            </w:pPr>
            <w:r w:rsidRPr="00541AC3">
              <w:rPr>
                <w:rFonts w:ascii="Times New Roman" w:eastAsia="Times New Roman" w:hAnsi="Times New Roman" w:cs="Times New Roman"/>
                <w:sz w:val="20"/>
                <w:szCs w:val="20"/>
              </w:rPr>
              <w:t>0</w:t>
            </w:r>
            <w:r w:rsidR="0029431E" w:rsidRPr="00541AC3">
              <w:rPr>
                <w:rFonts w:ascii="Times New Roman" w:eastAsia="Times New Roman" w:hAnsi="Times New Roman" w:cs="Times New Roman"/>
                <w:sz w:val="20"/>
                <w:szCs w:val="20"/>
              </w:rPr>
              <w:t>,</w:t>
            </w:r>
            <w:r w:rsidRPr="00541AC3">
              <w:rPr>
                <w:rFonts w:ascii="Times New Roman" w:eastAsia="Times New Roman" w:hAnsi="Times New Roman" w:cs="Times New Roman"/>
                <w:sz w:val="20"/>
                <w:szCs w:val="20"/>
              </w:rPr>
              <w:t>15</w:t>
            </w:r>
          </w:p>
        </w:tc>
        <w:tc>
          <w:tcPr>
            <w:tcW w:w="0" w:type="auto"/>
            <w:vAlign w:val="center"/>
          </w:tcPr>
          <w:p w14:paraId="69F50D0A" w14:textId="228DCB5B" w:rsidR="00CD52F5" w:rsidRPr="00541AC3" w:rsidRDefault="003C606C" w:rsidP="00C07C16">
            <w:pPr>
              <w:jc w:val="center"/>
              <w:rPr>
                <w:rFonts w:ascii="Times New Roman" w:eastAsia="Times New Roman" w:hAnsi="Times New Roman" w:cs="Times New Roman"/>
                <w:sz w:val="20"/>
                <w:szCs w:val="20"/>
              </w:rPr>
            </w:pPr>
            <w:r w:rsidRPr="00541AC3">
              <w:rPr>
                <w:rFonts w:ascii="Times New Roman" w:eastAsia="Times New Roman" w:hAnsi="Times New Roman" w:cs="Times New Roman"/>
                <w:sz w:val="20"/>
                <w:szCs w:val="20"/>
              </w:rPr>
              <w:t>0</w:t>
            </w:r>
            <w:r w:rsidR="0029431E" w:rsidRPr="00541AC3">
              <w:rPr>
                <w:rFonts w:ascii="Times New Roman" w:eastAsia="Times New Roman" w:hAnsi="Times New Roman" w:cs="Times New Roman"/>
                <w:sz w:val="20"/>
                <w:szCs w:val="20"/>
              </w:rPr>
              <w:t>,</w:t>
            </w:r>
            <w:r w:rsidRPr="00541AC3">
              <w:rPr>
                <w:rFonts w:ascii="Times New Roman" w:eastAsia="Times New Roman" w:hAnsi="Times New Roman" w:cs="Times New Roman"/>
                <w:sz w:val="20"/>
                <w:szCs w:val="20"/>
              </w:rPr>
              <w:t>14</w:t>
            </w:r>
          </w:p>
        </w:tc>
        <w:tc>
          <w:tcPr>
            <w:tcW w:w="0" w:type="auto"/>
            <w:vAlign w:val="center"/>
          </w:tcPr>
          <w:p w14:paraId="7902322A" w14:textId="2683C293" w:rsidR="00CD52F5" w:rsidRPr="00541AC3" w:rsidRDefault="003C606C" w:rsidP="00C07C16">
            <w:pPr>
              <w:jc w:val="center"/>
              <w:rPr>
                <w:rFonts w:ascii="Times New Roman" w:eastAsia="Times New Roman" w:hAnsi="Times New Roman" w:cs="Times New Roman"/>
                <w:sz w:val="20"/>
                <w:szCs w:val="20"/>
              </w:rPr>
            </w:pPr>
            <w:r w:rsidRPr="00541AC3">
              <w:rPr>
                <w:rFonts w:ascii="Times New Roman" w:eastAsia="Times New Roman" w:hAnsi="Times New Roman" w:cs="Times New Roman"/>
                <w:sz w:val="20"/>
                <w:szCs w:val="20"/>
              </w:rPr>
              <w:t>-0</w:t>
            </w:r>
            <w:r w:rsidR="0029431E" w:rsidRPr="00541AC3">
              <w:rPr>
                <w:rFonts w:ascii="Times New Roman" w:eastAsia="Times New Roman" w:hAnsi="Times New Roman" w:cs="Times New Roman"/>
                <w:sz w:val="20"/>
                <w:szCs w:val="20"/>
              </w:rPr>
              <w:t>,</w:t>
            </w:r>
            <w:r w:rsidRPr="00541AC3">
              <w:rPr>
                <w:rFonts w:ascii="Times New Roman" w:eastAsia="Times New Roman" w:hAnsi="Times New Roman" w:cs="Times New Roman"/>
                <w:sz w:val="20"/>
                <w:szCs w:val="20"/>
              </w:rPr>
              <w:t>08</w:t>
            </w:r>
          </w:p>
        </w:tc>
        <w:tc>
          <w:tcPr>
            <w:tcW w:w="0" w:type="auto"/>
            <w:vAlign w:val="center"/>
          </w:tcPr>
          <w:p w14:paraId="644B66EC" w14:textId="636E06DF" w:rsidR="00CD52F5" w:rsidRPr="00541AC3" w:rsidRDefault="003C606C" w:rsidP="00C07C16">
            <w:pPr>
              <w:jc w:val="center"/>
              <w:rPr>
                <w:rFonts w:ascii="Times New Roman" w:eastAsia="Times New Roman" w:hAnsi="Times New Roman" w:cs="Times New Roman"/>
                <w:sz w:val="20"/>
                <w:szCs w:val="20"/>
              </w:rPr>
            </w:pPr>
            <w:r w:rsidRPr="00541AC3">
              <w:rPr>
                <w:rFonts w:ascii="Times New Roman" w:eastAsia="Times New Roman" w:hAnsi="Times New Roman" w:cs="Times New Roman"/>
                <w:sz w:val="20"/>
                <w:szCs w:val="20"/>
              </w:rPr>
              <w:t>0</w:t>
            </w:r>
            <w:r w:rsidR="0029431E" w:rsidRPr="00541AC3">
              <w:rPr>
                <w:rFonts w:ascii="Times New Roman" w:eastAsia="Times New Roman" w:hAnsi="Times New Roman" w:cs="Times New Roman"/>
                <w:sz w:val="20"/>
                <w:szCs w:val="20"/>
              </w:rPr>
              <w:t>,</w:t>
            </w:r>
            <w:r w:rsidRPr="00541AC3">
              <w:rPr>
                <w:rFonts w:ascii="Times New Roman" w:eastAsia="Times New Roman" w:hAnsi="Times New Roman" w:cs="Times New Roman"/>
                <w:sz w:val="20"/>
                <w:szCs w:val="20"/>
              </w:rPr>
              <w:t>1</w:t>
            </w:r>
          </w:p>
        </w:tc>
      </w:tr>
      <w:tr w:rsidR="00541AC3" w:rsidRPr="00541AC3" w14:paraId="2717D385" w14:textId="77777777" w:rsidTr="00052C72">
        <w:trPr>
          <w:trHeight w:val="288"/>
          <w:jc w:val="center"/>
        </w:trPr>
        <w:tc>
          <w:tcPr>
            <w:tcW w:w="0" w:type="auto"/>
            <w:vAlign w:val="center"/>
          </w:tcPr>
          <w:p w14:paraId="2A7C859B" w14:textId="77777777" w:rsidR="00CD52F5" w:rsidRPr="00541AC3" w:rsidRDefault="00CD52F5" w:rsidP="00C07C16">
            <w:pPr>
              <w:rPr>
                <w:rFonts w:ascii="Times New Roman" w:eastAsia="Times New Roman" w:hAnsi="Times New Roman" w:cs="Times New Roman"/>
                <w:b/>
                <w:bCs/>
                <w:sz w:val="20"/>
                <w:szCs w:val="20"/>
              </w:rPr>
            </w:pPr>
            <w:r w:rsidRPr="00541AC3">
              <w:rPr>
                <w:rFonts w:ascii="Times New Roman" w:eastAsia="Times New Roman" w:hAnsi="Times New Roman" w:cs="Times New Roman"/>
                <w:b/>
                <w:bCs/>
                <w:sz w:val="20"/>
                <w:szCs w:val="20"/>
              </w:rPr>
              <w:t>Toplam_panel</w:t>
            </w:r>
          </w:p>
        </w:tc>
        <w:tc>
          <w:tcPr>
            <w:tcW w:w="0" w:type="auto"/>
            <w:vAlign w:val="center"/>
          </w:tcPr>
          <w:p w14:paraId="061E5976" w14:textId="1EC2686C" w:rsidR="00CD52F5" w:rsidRPr="00541AC3" w:rsidRDefault="00E6567F" w:rsidP="00C07C16">
            <w:pPr>
              <w:jc w:val="center"/>
              <w:rPr>
                <w:rFonts w:ascii="Times New Roman" w:eastAsia="Times New Roman" w:hAnsi="Times New Roman" w:cs="Times New Roman"/>
                <w:sz w:val="20"/>
                <w:szCs w:val="20"/>
              </w:rPr>
            </w:pPr>
            <w:r w:rsidRPr="00541AC3">
              <w:rPr>
                <w:rFonts w:ascii="Times New Roman" w:eastAsia="Times New Roman" w:hAnsi="Times New Roman" w:cs="Times New Roman"/>
                <w:sz w:val="20"/>
                <w:szCs w:val="20"/>
              </w:rPr>
              <w:t>0</w:t>
            </w:r>
            <w:r w:rsidR="0029431E" w:rsidRPr="00541AC3">
              <w:rPr>
                <w:rFonts w:ascii="Times New Roman" w:eastAsia="Times New Roman" w:hAnsi="Times New Roman" w:cs="Times New Roman"/>
                <w:sz w:val="20"/>
                <w:szCs w:val="20"/>
              </w:rPr>
              <w:t>,</w:t>
            </w:r>
            <w:r w:rsidRPr="00541AC3">
              <w:rPr>
                <w:rFonts w:ascii="Times New Roman" w:eastAsia="Times New Roman" w:hAnsi="Times New Roman" w:cs="Times New Roman"/>
                <w:sz w:val="20"/>
                <w:szCs w:val="20"/>
              </w:rPr>
              <w:t>03</w:t>
            </w:r>
          </w:p>
        </w:tc>
        <w:tc>
          <w:tcPr>
            <w:tcW w:w="0" w:type="auto"/>
            <w:vAlign w:val="center"/>
          </w:tcPr>
          <w:p w14:paraId="555AC8A6" w14:textId="0536076E" w:rsidR="00CD52F5" w:rsidRPr="00541AC3" w:rsidRDefault="00E6567F" w:rsidP="00C07C16">
            <w:pPr>
              <w:jc w:val="center"/>
              <w:rPr>
                <w:rFonts w:ascii="Times New Roman" w:eastAsia="Times New Roman" w:hAnsi="Times New Roman" w:cs="Times New Roman"/>
                <w:sz w:val="20"/>
                <w:szCs w:val="20"/>
              </w:rPr>
            </w:pPr>
            <w:r w:rsidRPr="00541AC3">
              <w:rPr>
                <w:rFonts w:ascii="Times New Roman" w:eastAsia="Times New Roman" w:hAnsi="Times New Roman" w:cs="Times New Roman"/>
                <w:sz w:val="20"/>
                <w:szCs w:val="20"/>
              </w:rPr>
              <w:t>0</w:t>
            </w:r>
            <w:r w:rsidR="0029431E" w:rsidRPr="00541AC3">
              <w:rPr>
                <w:rFonts w:ascii="Times New Roman" w:eastAsia="Times New Roman" w:hAnsi="Times New Roman" w:cs="Times New Roman"/>
                <w:sz w:val="20"/>
                <w:szCs w:val="20"/>
              </w:rPr>
              <w:t>,</w:t>
            </w:r>
            <w:r w:rsidRPr="00541AC3">
              <w:rPr>
                <w:rFonts w:ascii="Times New Roman" w:eastAsia="Times New Roman" w:hAnsi="Times New Roman" w:cs="Times New Roman"/>
                <w:sz w:val="20"/>
                <w:szCs w:val="20"/>
              </w:rPr>
              <w:t>08</w:t>
            </w:r>
          </w:p>
        </w:tc>
        <w:tc>
          <w:tcPr>
            <w:tcW w:w="0" w:type="auto"/>
            <w:vAlign w:val="center"/>
          </w:tcPr>
          <w:p w14:paraId="16D07EC5" w14:textId="7BC13DF2" w:rsidR="00CD52F5" w:rsidRPr="00541AC3" w:rsidRDefault="00E6567F" w:rsidP="00C07C16">
            <w:pPr>
              <w:jc w:val="center"/>
              <w:rPr>
                <w:rFonts w:ascii="Times New Roman" w:eastAsia="Times New Roman" w:hAnsi="Times New Roman" w:cs="Times New Roman"/>
                <w:b/>
                <w:bCs/>
                <w:sz w:val="20"/>
                <w:szCs w:val="20"/>
              </w:rPr>
            </w:pPr>
            <w:r w:rsidRPr="00541AC3">
              <w:rPr>
                <w:rFonts w:ascii="Times New Roman" w:eastAsia="Times New Roman" w:hAnsi="Times New Roman" w:cs="Times New Roman"/>
                <w:b/>
                <w:bCs/>
                <w:sz w:val="20"/>
                <w:szCs w:val="20"/>
              </w:rPr>
              <w:t>0</w:t>
            </w:r>
            <w:r w:rsidR="0029431E" w:rsidRPr="00541AC3">
              <w:rPr>
                <w:rFonts w:ascii="Times New Roman" w:eastAsia="Times New Roman" w:hAnsi="Times New Roman" w:cs="Times New Roman"/>
                <w:b/>
                <w:bCs/>
                <w:sz w:val="20"/>
                <w:szCs w:val="20"/>
              </w:rPr>
              <w:t>,</w:t>
            </w:r>
            <w:r w:rsidRPr="00541AC3">
              <w:rPr>
                <w:rFonts w:ascii="Times New Roman" w:eastAsia="Times New Roman" w:hAnsi="Times New Roman" w:cs="Times New Roman"/>
                <w:b/>
                <w:bCs/>
                <w:sz w:val="20"/>
                <w:szCs w:val="20"/>
              </w:rPr>
              <w:t>17</w:t>
            </w:r>
            <w:r w:rsidRPr="00541AC3">
              <w:rPr>
                <w:rFonts w:ascii="Times New Roman" w:eastAsia="Times New Roman" w:hAnsi="Times New Roman" w:cs="Times New Roman"/>
                <w:b/>
                <w:bCs/>
                <w:sz w:val="20"/>
                <w:szCs w:val="20"/>
                <w:vertAlign w:val="superscript"/>
              </w:rPr>
              <w:t>*</w:t>
            </w:r>
          </w:p>
        </w:tc>
        <w:tc>
          <w:tcPr>
            <w:tcW w:w="0" w:type="auto"/>
            <w:vAlign w:val="center"/>
          </w:tcPr>
          <w:p w14:paraId="579C05B6" w14:textId="2180C44A" w:rsidR="00CD52F5" w:rsidRPr="00541AC3" w:rsidRDefault="00324FB0" w:rsidP="00C07C16">
            <w:pPr>
              <w:jc w:val="center"/>
              <w:rPr>
                <w:rFonts w:ascii="Times New Roman" w:eastAsia="Times New Roman" w:hAnsi="Times New Roman" w:cs="Times New Roman"/>
                <w:b/>
                <w:bCs/>
                <w:sz w:val="20"/>
                <w:szCs w:val="20"/>
              </w:rPr>
            </w:pPr>
            <w:r w:rsidRPr="00541AC3">
              <w:rPr>
                <w:rFonts w:ascii="Times New Roman" w:eastAsia="Times New Roman" w:hAnsi="Times New Roman" w:cs="Times New Roman"/>
                <w:b/>
                <w:bCs/>
                <w:sz w:val="20"/>
                <w:szCs w:val="20"/>
              </w:rPr>
              <w:t>0</w:t>
            </w:r>
            <w:r w:rsidR="0029431E" w:rsidRPr="00541AC3">
              <w:rPr>
                <w:rFonts w:ascii="Times New Roman" w:eastAsia="Times New Roman" w:hAnsi="Times New Roman" w:cs="Times New Roman"/>
                <w:b/>
                <w:bCs/>
                <w:sz w:val="20"/>
                <w:szCs w:val="20"/>
              </w:rPr>
              <w:t>,</w:t>
            </w:r>
            <w:r w:rsidRPr="00541AC3">
              <w:rPr>
                <w:rFonts w:ascii="Times New Roman" w:eastAsia="Times New Roman" w:hAnsi="Times New Roman" w:cs="Times New Roman"/>
                <w:b/>
                <w:bCs/>
                <w:sz w:val="20"/>
                <w:szCs w:val="20"/>
              </w:rPr>
              <w:t>19</w:t>
            </w:r>
            <w:r w:rsidRPr="00541AC3">
              <w:rPr>
                <w:rFonts w:ascii="Times New Roman" w:eastAsia="Times New Roman" w:hAnsi="Times New Roman" w:cs="Times New Roman"/>
                <w:b/>
                <w:bCs/>
                <w:sz w:val="20"/>
                <w:szCs w:val="20"/>
                <w:vertAlign w:val="superscript"/>
              </w:rPr>
              <w:t>*</w:t>
            </w:r>
          </w:p>
        </w:tc>
        <w:tc>
          <w:tcPr>
            <w:tcW w:w="0" w:type="auto"/>
            <w:vAlign w:val="center"/>
          </w:tcPr>
          <w:p w14:paraId="1793EF29" w14:textId="1740AD4F" w:rsidR="00CD52F5" w:rsidRPr="00541AC3" w:rsidRDefault="004620F8" w:rsidP="00C07C16">
            <w:pPr>
              <w:jc w:val="center"/>
              <w:rPr>
                <w:rFonts w:ascii="Times New Roman" w:eastAsia="Times New Roman" w:hAnsi="Times New Roman" w:cs="Times New Roman"/>
                <w:b/>
                <w:bCs/>
                <w:sz w:val="20"/>
                <w:szCs w:val="20"/>
              </w:rPr>
            </w:pPr>
            <w:r w:rsidRPr="00541AC3">
              <w:rPr>
                <w:rFonts w:ascii="Times New Roman" w:eastAsia="Times New Roman" w:hAnsi="Times New Roman" w:cs="Times New Roman"/>
                <w:b/>
                <w:bCs/>
                <w:sz w:val="20"/>
                <w:szCs w:val="20"/>
              </w:rPr>
              <w:t>0</w:t>
            </w:r>
            <w:r w:rsidR="0029431E" w:rsidRPr="00541AC3">
              <w:rPr>
                <w:rFonts w:ascii="Times New Roman" w:eastAsia="Times New Roman" w:hAnsi="Times New Roman" w:cs="Times New Roman"/>
                <w:b/>
                <w:bCs/>
                <w:sz w:val="20"/>
                <w:szCs w:val="20"/>
              </w:rPr>
              <w:t>,</w:t>
            </w:r>
            <w:r w:rsidRPr="00541AC3">
              <w:rPr>
                <w:rFonts w:ascii="Times New Roman" w:eastAsia="Times New Roman" w:hAnsi="Times New Roman" w:cs="Times New Roman"/>
                <w:b/>
                <w:bCs/>
                <w:sz w:val="20"/>
                <w:szCs w:val="20"/>
              </w:rPr>
              <w:t>15</w:t>
            </w:r>
            <w:r w:rsidRPr="00541AC3">
              <w:rPr>
                <w:rFonts w:ascii="Dreaming Outloud Pro" w:eastAsia="Times New Roman" w:hAnsi="Dreaming Outloud Pro" w:cs="Dreaming Outloud Pro"/>
                <w:b/>
                <w:bCs/>
                <w:sz w:val="20"/>
                <w:szCs w:val="20"/>
                <w:vertAlign w:val="superscript"/>
              </w:rPr>
              <w:t>‡</w:t>
            </w:r>
          </w:p>
        </w:tc>
        <w:tc>
          <w:tcPr>
            <w:tcW w:w="0" w:type="auto"/>
            <w:vAlign w:val="center"/>
          </w:tcPr>
          <w:p w14:paraId="214ABBC8" w14:textId="2F28026C" w:rsidR="00CD52F5" w:rsidRPr="00541AC3" w:rsidRDefault="004620F8" w:rsidP="00C07C16">
            <w:pPr>
              <w:jc w:val="center"/>
              <w:rPr>
                <w:rFonts w:ascii="Times New Roman" w:eastAsia="Times New Roman" w:hAnsi="Times New Roman" w:cs="Times New Roman"/>
                <w:sz w:val="20"/>
                <w:szCs w:val="20"/>
              </w:rPr>
            </w:pPr>
            <w:r w:rsidRPr="00541AC3">
              <w:rPr>
                <w:rFonts w:ascii="Times New Roman" w:eastAsia="Times New Roman" w:hAnsi="Times New Roman" w:cs="Times New Roman"/>
                <w:sz w:val="20"/>
                <w:szCs w:val="20"/>
              </w:rPr>
              <w:t>-0</w:t>
            </w:r>
            <w:r w:rsidR="0029431E" w:rsidRPr="00541AC3">
              <w:rPr>
                <w:rFonts w:ascii="Times New Roman" w:eastAsia="Times New Roman" w:hAnsi="Times New Roman" w:cs="Times New Roman"/>
                <w:sz w:val="20"/>
                <w:szCs w:val="20"/>
              </w:rPr>
              <w:t>,</w:t>
            </w:r>
            <w:r w:rsidRPr="00541AC3">
              <w:rPr>
                <w:rFonts w:ascii="Times New Roman" w:eastAsia="Times New Roman" w:hAnsi="Times New Roman" w:cs="Times New Roman"/>
                <w:sz w:val="20"/>
                <w:szCs w:val="20"/>
              </w:rPr>
              <w:t>01</w:t>
            </w:r>
          </w:p>
        </w:tc>
        <w:tc>
          <w:tcPr>
            <w:tcW w:w="0" w:type="auto"/>
            <w:vAlign w:val="center"/>
          </w:tcPr>
          <w:p w14:paraId="4B12B0DC" w14:textId="4F76FCDC" w:rsidR="00CD52F5" w:rsidRPr="00541AC3" w:rsidRDefault="004620F8" w:rsidP="00C07C16">
            <w:pPr>
              <w:jc w:val="center"/>
              <w:rPr>
                <w:rFonts w:ascii="Times New Roman" w:eastAsia="Times New Roman" w:hAnsi="Times New Roman" w:cs="Times New Roman"/>
                <w:b/>
                <w:bCs/>
                <w:sz w:val="20"/>
                <w:szCs w:val="20"/>
              </w:rPr>
            </w:pPr>
            <w:r w:rsidRPr="00541AC3">
              <w:rPr>
                <w:rFonts w:ascii="Times New Roman" w:eastAsia="Times New Roman" w:hAnsi="Times New Roman" w:cs="Times New Roman"/>
                <w:b/>
                <w:bCs/>
                <w:sz w:val="20"/>
                <w:szCs w:val="20"/>
              </w:rPr>
              <w:t>0</w:t>
            </w:r>
            <w:r w:rsidR="0029431E" w:rsidRPr="00541AC3">
              <w:rPr>
                <w:rFonts w:ascii="Times New Roman" w:eastAsia="Times New Roman" w:hAnsi="Times New Roman" w:cs="Times New Roman"/>
                <w:b/>
                <w:bCs/>
                <w:sz w:val="20"/>
                <w:szCs w:val="20"/>
              </w:rPr>
              <w:t>,</w:t>
            </w:r>
            <w:r w:rsidRPr="00541AC3">
              <w:rPr>
                <w:rFonts w:ascii="Times New Roman" w:eastAsia="Times New Roman" w:hAnsi="Times New Roman" w:cs="Times New Roman"/>
                <w:b/>
                <w:bCs/>
                <w:sz w:val="20"/>
                <w:szCs w:val="20"/>
              </w:rPr>
              <w:t>1</w:t>
            </w:r>
            <w:r w:rsidR="00505A6E" w:rsidRPr="00541AC3">
              <w:rPr>
                <w:rFonts w:ascii="Times New Roman" w:eastAsia="Times New Roman" w:hAnsi="Times New Roman" w:cs="Times New Roman"/>
                <w:b/>
                <w:bCs/>
                <w:sz w:val="20"/>
                <w:szCs w:val="20"/>
              </w:rPr>
              <w:t>8</w:t>
            </w:r>
            <w:r w:rsidRPr="00541AC3">
              <w:rPr>
                <w:rFonts w:ascii="Times New Roman" w:eastAsia="Times New Roman" w:hAnsi="Times New Roman" w:cs="Times New Roman"/>
                <w:b/>
                <w:bCs/>
                <w:sz w:val="20"/>
                <w:szCs w:val="20"/>
                <w:vertAlign w:val="superscript"/>
              </w:rPr>
              <w:t>*</w:t>
            </w:r>
          </w:p>
        </w:tc>
      </w:tr>
      <w:tr w:rsidR="00541AC3" w:rsidRPr="00541AC3" w14:paraId="22E10591" w14:textId="77777777" w:rsidTr="00052C72">
        <w:trPr>
          <w:trHeight w:val="288"/>
          <w:jc w:val="center"/>
        </w:trPr>
        <w:tc>
          <w:tcPr>
            <w:tcW w:w="0" w:type="auto"/>
            <w:vAlign w:val="center"/>
          </w:tcPr>
          <w:p w14:paraId="581A68DC" w14:textId="77777777" w:rsidR="00F45F20" w:rsidRPr="00541AC3" w:rsidRDefault="00F45F20" w:rsidP="00F45F20">
            <w:pPr>
              <w:rPr>
                <w:sz w:val="20"/>
                <w:szCs w:val="20"/>
              </w:rPr>
            </w:pPr>
            <w:r w:rsidRPr="00541AC3">
              <w:rPr>
                <w:rFonts w:ascii="Times New Roman" w:eastAsia="Times New Roman" w:hAnsi="Times New Roman" w:cs="Times New Roman"/>
                <w:b/>
                <w:bCs/>
                <w:sz w:val="20"/>
                <w:szCs w:val="20"/>
              </w:rPr>
              <w:t>TAR</w:t>
            </w:r>
          </w:p>
        </w:tc>
        <w:tc>
          <w:tcPr>
            <w:tcW w:w="0" w:type="auto"/>
            <w:vAlign w:val="center"/>
          </w:tcPr>
          <w:p w14:paraId="0835AE12" w14:textId="0C0FC831" w:rsidR="00F45F20" w:rsidRPr="00541AC3" w:rsidRDefault="00F45F20" w:rsidP="00F45F20">
            <w:pPr>
              <w:jc w:val="center"/>
              <w:rPr>
                <w:rFonts w:ascii="Times New Roman" w:hAnsi="Times New Roman" w:cs="Times New Roman"/>
                <w:sz w:val="20"/>
                <w:szCs w:val="20"/>
              </w:rPr>
            </w:pPr>
            <w:r w:rsidRPr="00541AC3">
              <w:rPr>
                <w:rFonts w:ascii="Times New Roman" w:hAnsi="Times New Roman" w:cs="Times New Roman"/>
                <w:sz w:val="20"/>
                <w:szCs w:val="20"/>
              </w:rPr>
              <w:t>-0</w:t>
            </w:r>
            <w:r w:rsidR="0029431E" w:rsidRPr="00541AC3">
              <w:rPr>
                <w:rFonts w:ascii="Times New Roman" w:hAnsi="Times New Roman" w:cs="Times New Roman"/>
                <w:sz w:val="20"/>
                <w:szCs w:val="20"/>
              </w:rPr>
              <w:t>,</w:t>
            </w:r>
            <w:r w:rsidRPr="00541AC3">
              <w:rPr>
                <w:rFonts w:ascii="Times New Roman" w:hAnsi="Times New Roman" w:cs="Times New Roman"/>
                <w:sz w:val="20"/>
                <w:szCs w:val="20"/>
              </w:rPr>
              <w:t>33</w:t>
            </w:r>
          </w:p>
        </w:tc>
        <w:tc>
          <w:tcPr>
            <w:tcW w:w="0" w:type="auto"/>
            <w:vAlign w:val="center"/>
          </w:tcPr>
          <w:p w14:paraId="0E639C78" w14:textId="42105C56" w:rsidR="00F45F20" w:rsidRPr="00541AC3" w:rsidRDefault="00F45F20" w:rsidP="00F45F20">
            <w:pPr>
              <w:jc w:val="center"/>
              <w:rPr>
                <w:rFonts w:ascii="Times New Roman" w:hAnsi="Times New Roman" w:cs="Times New Roman"/>
                <w:b/>
                <w:bCs/>
                <w:sz w:val="20"/>
                <w:szCs w:val="20"/>
              </w:rPr>
            </w:pPr>
            <w:r w:rsidRPr="00541AC3">
              <w:rPr>
                <w:rFonts w:ascii="Times New Roman" w:hAnsi="Times New Roman" w:cs="Times New Roman"/>
                <w:b/>
                <w:bCs/>
                <w:sz w:val="20"/>
                <w:szCs w:val="20"/>
              </w:rPr>
              <w:t>-0</w:t>
            </w:r>
            <w:r w:rsidR="0029431E" w:rsidRPr="00541AC3">
              <w:rPr>
                <w:rFonts w:ascii="Times New Roman" w:hAnsi="Times New Roman" w:cs="Times New Roman"/>
                <w:b/>
                <w:bCs/>
                <w:sz w:val="20"/>
                <w:szCs w:val="20"/>
              </w:rPr>
              <w:t>,</w:t>
            </w:r>
            <w:r w:rsidRPr="00541AC3">
              <w:rPr>
                <w:rFonts w:ascii="Times New Roman" w:hAnsi="Times New Roman" w:cs="Times New Roman"/>
                <w:b/>
                <w:bCs/>
                <w:sz w:val="20"/>
                <w:szCs w:val="20"/>
              </w:rPr>
              <w:t>42</w:t>
            </w:r>
            <w:r w:rsidRPr="00541AC3">
              <w:rPr>
                <w:rFonts w:ascii="Dreaming Outloud Pro" w:eastAsia="Times New Roman" w:hAnsi="Dreaming Outloud Pro" w:cs="Dreaming Outloud Pro"/>
                <w:b/>
                <w:bCs/>
                <w:sz w:val="20"/>
                <w:szCs w:val="20"/>
                <w:vertAlign w:val="superscript"/>
              </w:rPr>
              <w:t>‡</w:t>
            </w:r>
          </w:p>
        </w:tc>
        <w:tc>
          <w:tcPr>
            <w:tcW w:w="0" w:type="auto"/>
            <w:vAlign w:val="center"/>
          </w:tcPr>
          <w:p w14:paraId="1E76565A" w14:textId="5B8C8430" w:rsidR="00F45F20" w:rsidRPr="00541AC3" w:rsidRDefault="00F45F20" w:rsidP="00F45F20">
            <w:pPr>
              <w:jc w:val="center"/>
              <w:rPr>
                <w:rFonts w:ascii="Times New Roman" w:hAnsi="Times New Roman" w:cs="Times New Roman"/>
                <w:sz w:val="20"/>
                <w:szCs w:val="20"/>
              </w:rPr>
            </w:pPr>
            <w:r w:rsidRPr="00541AC3">
              <w:rPr>
                <w:rFonts w:ascii="Times New Roman" w:hAnsi="Times New Roman" w:cs="Times New Roman"/>
                <w:sz w:val="20"/>
                <w:szCs w:val="20"/>
              </w:rPr>
              <w:t>-0</w:t>
            </w:r>
            <w:r w:rsidR="0029431E" w:rsidRPr="00541AC3">
              <w:rPr>
                <w:rFonts w:ascii="Times New Roman" w:hAnsi="Times New Roman" w:cs="Times New Roman"/>
                <w:sz w:val="20"/>
                <w:szCs w:val="20"/>
              </w:rPr>
              <w:t>,</w:t>
            </w:r>
            <w:r w:rsidRPr="00541AC3">
              <w:rPr>
                <w:rFonts w:ascii="Times New Roman" w:hAnsi="Times New Roman" w:cs="Times New Roman"/>
                <w:sz w:val="20"/>
                <w:szCs w:val="20"/>
              </w:rPr>
              <w:t>19</w:t>
            </w:r>
          </w:p>
        </w:tc>
        <w:tc>
          <w:tcPr>
            <w:tcW w:w="0" w:type="auto"/>
            <w:vAlign w:val="center"/>
          </w:tcPr>
          <w:p w14:paraId="3CDB7B5C" w14:textId="08E554A5" w:rsidR="00F45F20" w:rsidRPr="00541AC3" w:rsidRDefault="00F45F20" w:rsidP="00F45F20">
            <w:pPr>
              <w:jc w:val="center"/>
              <w:rPr>
                <w:rFonts w:ascii="Times New Roman" w:hAnsi="Times New Roman" w:cs="Times New Roman"/>
                <w:sz w:val="20"/>
                <w:szCs w:val="20"/>
              </w:rPr>
            </w:pPr>
            <w:r w:rsidRPr="00541AC3">
              <w:rPr>
                <w:rFonts w:ascii="Times New Roman" w:hAnsi="Times New Roman" w:cs="Times New Roman"/>
                <w:sz w:val="20"/>
                <w:szCs w:val="20"/>
              </w:rPr>
              <w:t>-0</w:t>
            </w:r>
            <w:r w:rsidR="0029431E" w:rsidRPr="00541AC3">
              <w:rPr>
                <w:rFonts w:ascii="Times New Roman" w:hAnsi="Times New Roman" w:cs="Times New Roman"/>
                <w:sz w:val="20"/>
                <w:szCs w:val="20"/>
              </w:rPr>
              <w:t>,</w:t>
            </w:r>
            <w:r w:rsidRPr="00541AC3">
              <w:rPr>
                <w:rFonts w:ascii="Times New Roman" w:hAnsi="Times New Roman" w:cs="Times New Roman"/>
                <w:sz w:val="20"/>
                <w:szCs w:val="20"/>
              </w:rPr>
              <w:t>01</w:t>
            </w:r>
          </w:p>
        </w:tc>
        <w:tc>
          <w:tcPr>
            <w:tcW w:w="0" w:type="auto"/>
            <w:vAlign w:val="center"/>
          </w:tcPr>
          <w:p w14:paraId="4B1848E5" w14:textId="7E4C7826" w:rsidR="00F45F20" w:rsidRPr="00541AC3" w:rsidRDefault="00F45F20" w:rsidP="00F45F20">
            <w:pPr>
              <w:jc w:val="center"/>
              <w:rPr>
                <w:rFonts w:ascii="Times New Roman" w:hAnsi="Times New Roman" w:cs="Times New Roman"/>
                <w:sz w:val="20"/>
                <w:szCs w:val="20"/>
              </w:rPr>
            </w:pPr>
            <w:r w:rsidRPr="00541AC3">
              <w:rPr>
                <w:rFonts w:ascii="Times New Roman" w:hAnsi="Times New Roman" w:cs="Times New Roman"/>
                <w:sz w:val="20"/>
                <w:szCs w:val="20"/>
              </w:rPr>
              <w:t>0</w:t>
            </w:r>
            <w:r w:rsidR="0029431E" w:rsidRPr="00541AC3">
              <w:rPr>
                <w:rFonts w:ascii="Times New Roman" w:hAnsi="Times New Roman" w:cs="Times New Roman"/>
                <w:sz w:val="20"/>
                <w:szCs w:val="20"/>
              </w:rPr>
              <w:t>,</w:t>
            </w:r>
            <w:r w:rsidRPr="00541AC3">
              <w:rPr>
                <w:rFonts w:ascii="Times New Roman" w:hAnsi="Times New Roman" w:cs="Times New Roman"/>
                <w:sz w:val="20"/>
                <w:szCs w:val="20"/>
              </w:rPr>
              <w:t>02</w:t>
            </w:r>
          </w:p>
        </w:tc>
        <w:tc>
          <w:tcPr>
            <w:tcW w:w="0" w:type="auto"/>
            <w:vAlign w:val="center"/>
          </w:tcPr>
          <w:p w14:paraId="7DB1562D" w14:textId="5F13D2D1" w:rsidR="00F45F20" w:rsidRPr="00541AC3" w:rsidRDefault="00F45F20" w:rsidP="00F45F20">
            <w:pPr>
              <w:jc w:val="center"/>
              <w:rPr>
                <w:rFonts w:ascii="Times New Roman" w:hAnsi="Times New Roman" w:cs="Times New Roman"/>
                <w:sz w:val="20"/>
                <w:szCs w:val="20"/>
              </w:rPr>
            </w:pPr>
            <w:r w:rsidRPr="00541AC3">
              <w:rPr>
                <w:rFonts w:ascii="Times New Roman" w:hAnsi="Times New Roman" w:cs="Times New Roman"/>
                <w:sz w:val="20"/>
                <w:szCs w:val="20"/>
              </w:rPr>
              <w:t>-0</w:t>
            </w:r>
            <w:r w:rsidR="0029431E" w:rsidRPr="00541AC3">
              <w:rPr>
                <w:rFonts w:ascii="Times New Roman" w:hAnsi="Times New Roman" w:cs="Times New Roman"/>
                <w:sz w:val="20"/>
                <w:szCs w:val="20"/>
              </w:rPr>
              <w:t>,</w:t>
            </w:r>
            <w:r w:rsidRPr="00541AC3">
              <w:rPr>
                <w:rFonts w:ascii="Times New Roman" w:hAnsi="Times New Roman" w:cs="Times New Roman"/>
                <w:sz w:val="20"/>
                <w:szCs w:val="20"/>
              </w:rPr>
              <w:t>04</w:t>
            </w:r>
          </w:p>
        </w:tc>
        <w:tc>
          <w:tcPr>
            <w:tcW w:w="0" w:type="auto"/>
            <w:vAlign w:val="center"/>
          </w:tcPr>
          <w:p w14:paraId="1743E626" w14:textId="034522EF" w:rsidR="00F45F20" w:rsidRPr="00541AC3" w:rsidRDefault="00F45F20" w:rsidP="00F45F20">
            <w:pPr>
              <w:jc w:val="center"/>
              <w:rPr>
                <w:rFonts w:ascii="Times New Roman" w:hAnsi="Times New Roman" w:cs="Times New Roman"/>
                <w:sz w:val="20"/>
                <w:szCs w:val="20"/>
              </w:rPr>
            </w:pPr>
            <w:r w:rsidRPr="00541AC3">
              <w:rPr>
                <w:rFonts w:ascii="Times New Roman" w:hAnsi="Times New Roman" w:cs="Times New Roman"/>
                <w:sz w:val="20"/>
                <w:szCs w:val="20"/>
              </w:rPr>
              <w:t>0</w:t>
            </w:r>
            <w:r w:rsidR="0029431E" w:rsidRPr="00541AC3">
              <w:rPr>
                <w:rFonts w:ascii="Times New Roman" w:hAnsi="Times New Roman" w:cs="Times New Roman"/>
                <w:sz w:val="20"/>
                <w:szCs w:val="20"/>
              </w:rPr>
              <w:t>,</w:t>
            </w:r>
            <w:r w:rsidRPr="00541AC3">
              <w:rPr>
                <w:rFonts w:ascii="Times New Roman" w:hAnsi="Times New Roman" w:cs="Times New Roman"/>
                <w:sz w:val="20"/>
                <w:szCs w:val="20"/>
              </w:rPr>
              <w:t>39</w:t>
            </w:r>
          </w:p>
        </w:tc>
      </w:tr>
      <w:tr w:rsidR="00541AC3" w:rsidRPr="00541AC3" w14:paraId="54480C98" w14:textId="77777777" w:rsidTr="00052C72">
        <w:trPr>
          <w:trHeight w:val="288"/>
          <w:jc w:val="center"/>
        </w:trPr>
        <w:tc>
          <w:tcPr>
            <w:tcW w:w="0" w:type="auto"/>
            <w:vAlign w:val="center"/>
          </w:tcPr>
          <w:p w14:paraId="2D9F4346" w14:textId="77777777" w:rsidR="00F45F20" w:rsidRPr="00541AC3" w:rsidRDefault="00F45F20" w:rsidP="00F45F20">
            <w:pPr>
              <w:rPr>
                <w:sz w:val="20"/>
                <w:szCs w:val="20"/>
              </w:rPr>
            </w:pPr>
            <w:r w:rsidRPr="00541AC3">
              <w:rPr>
                <w:rFonts w:ascii="Times New Roman" w:eastAsia="Times New Roman" w:hAnsi="Times New Roman" w:cs="Times New Roman"/>
                <w:b/>
                <w:bCs/>
                <w:sz w:val="20"/>
                <w:szCs w:val="20"/>
              </w:rPr>
              <w:t>İNŞ</w:t>
            </w:r>
          </w:p>
        </w:tc>
        <w:tc>
          <w:tcPr>
            <w:tcW w:w="0" w:type="auto"/>
            <w:vAlign w:val="center"/>
          </w:tcPr>
          <w:p w14:paraId="51E4A5BA" w14:textId="28A96209" w:rsidR="00F45F20" w:rsidRPr="00541AC3" w:rsidRDefault="00F45F20" w:rsidP="00F45F20">
            <w:pPr>
              <w:jc w:val="center"/>
              <w:rPr>
                <w:rFonts w:ascii="Times New Roman" w:hAnsi="Times New Roman" w:cs="Times New Roman"/>
                <w:sz w:val="20"/>
                <w:szCs w:val="20"/>
              </w:rPr>
            </w:pPr>
            <w:r w:rsidRPr="00541AC3">
              <w:rPr>
                <w:rFonts w:ascii="Times New Roman" w:hAnsi="Times New Roman" w:cs="Times New Roman"/>
                <w:sz w:val="20"/>
                <w:szCs w:val="20"/>
              </w:rPr>
              <w:t>0</w:t>
            </w:r>
            <w:r w:rsidR="0029431E" w:rsidRPr="00541AC3">
              <w:rPr>
                <w:rFonts w:ascii="Times New Roman" w:hAnsi="Times New Roman" w:cs="Times New Roman"/>
                <w:sz w:val="20"/>
                <w:szCs w:val="20"/>
              </w:rPr>
              <w:t>,</w:t>
            </w:r>
            <w:r w:rsidRPr="00541AC3">
              <w:rPr>
                <w:rFonts w:ascii="Times New Roman" w:hAnsi="Times New Roman" w:cs="Times New Roman"/>
                <w:sz w:val="20"/>
                <w:szCs w:val="20"/>
              </w:rPr>
              <w:t>08</w:t>
            </w:r>
          </w:p>
        </w:tc>
        <w:tc>
          <w:tcPr>
            <w:tcW w:w="0" w:type="auto"/>
            <w:vAlign w:val="center"/>
          </w:tcPr>
          <w:p w14:paraId="4BB6AD7B" w14:textId="229F42CB" w:rsidR="00F45F20" w:rsidRPr="00541AC3" w:rsidRDefault="00F45F20" w:rsidP="00F45F20">
            <w:pPr>
              <w:jc w:val="center"/>
              <w:rPr>
                <w:rFonts w:ascii="Times New Roman" w:hAnsi="Times New Roman" w:cs="Times New Roman"/>
                <w:b/>
                <w:bCs/>
                <w:sz w:val="20"/>
                <w:szCs w:val="20"/>
              </w:rPr>
            </w:pPr>
            <w:r w:rsidRPr="00541AC3">
              <w:rPr>
                <w:rFonts w:ascii="Times New Roman" w:hAnsi="Times New Roman" w:cs="Times New Roman"/>
                <w:b/>
                <w:bCs/>
                <w:sz w:val="20"/>
                <w:szCs w:val="20"/>
              </w:rPr>
              <w:t>0</w:t>
            </w:r>
            <w:r w:rsidR="0029431E" w:rsidRPr="00541AC3">
              <w:rPr>
                <w:rFonts w:ascii="Times New Roman" w:hAnsi="Times New Roman" w:cs="Times New Roman"/>
                <w:b/>
                <w:bCs/>
                <w:sz w:val="20"/>
                <w:szCs w:val="20"/>
              </w:rPr>
              <w:t>,</w:t>
            </w:r>
            <w:r w:rsidRPr="00541AC3">
              <w:rPr>
                <w:rFonts w:ascii="Times New Roman" w:hAnsi="Times New Roman" w:cs="Times New Roman"/>
                <w:b/>
                <w:bCs/>
                <w:sz w:val="20"/>
                <w:szCs w:val="20"/>
              </w:rPr>
              <w:t>44</w:t>
            </w:r>
            <w:r w:rsidRPr="00541AC3">
              <w:rPr>
                <w:rFonts w:ascii="Dreaming Outloud Pro" w:eastAsia="Times New Roman" w:hAnsi="Dreaming Outloud Pro" w:cs="Dreaming Outloud Pro"/>
                <w:b/>
                <w:bCs/>
                <w:sz w:val="20"/>
                <w:szCs w:val="20"/>
                <w:vertAlign w:val="superscript"/>
              </w:rPr>
              <w:t>‡</w:t>
            </w:r>
          </w:p>
        </w:tc>
        <w:tc>
          <w:tcPr>
            <w:tcW w:w="0" w:type="auto"/>
            <w:vAlign w:val="center"/>
          </w:tcPr>
          <w:p w14:paraId="3A2A2A84" w14:textId="6676B3D1" w:rsidR="00F45F20" w:rsidRPr="00541AC3" w:rsidRDefault="00F45F20" w:rsidP="00F45F20">
            <w:pPr>
              <w:jc w:val="center"/>
              <w:rPr>
                <w:rFonts w:ascii="Times New Roman" w:hAnsi="Times New Roman" w:cs="Times New Roman"/>
                <w:b/>
                <w:bCs/>
                <w:sz w:val="20"/>
                <w:szCs w:val="20"/>
              </w:rPr>
            </w:pPr>
            <w:r w:rsidRPr="00541AC3">
              <w:rPr>
                <w:rFonts w:ascii="Times New Roman" w:hAnsi="Times New Roman" w:cs="Times New Roman"/>
                <w:b/>
                <w:bCs/>
                <w:sz w:val="20"/>
                <w:szCs w:val="20"/>
              </w:rPr>
              <w:t>0</w:t>
            </w:r>
            <w:r w:rsidR="0029431E" w:rsidRPr="00541AC3">
              <w:rPr>
                <w:rFonts w:ascii="Times New Roman" w:hAnsi="Times New Roman" w:cs="Times New Roman"/>
                <w:b/>
                <w:bCs/>
                <w:sz w:val="20"/>
                <w:szCs w:val="20"/>
              </w:rPr>
              <w:t>,</w:t>
            </w:r>
            <w:r w:rsidRPr="00541AC3">
              <w:rPr>
                <w:rFonts w:ascii="Times New Roman" w:hAnsi="Times New Roman" w:cs="Times New Roman"/>
                <w:b/>
                <w:bCs/>
                <w:sz w:val="20"/>
                <w:szCs w:val="20"/>
              </w:rPr>
              <w:t>47</w:t>
            </w:r>
            <w:r w:rsidRPr="00541AC3">
              <w:rPr>
                <w:rFonts w:ascii="Times New Roman" w:hAnsi="Times New Roman" w:cs="Times New Roman"/>
                <w:b/>
                <w:bCs/>
                <w:sz w:val="20"/>
                <w:szCs w:val="20"/>
                <w:vertAlign w:val="superscript"/>
              </w:rPr>
              <w:t>*</w:t>
            </w:r>
          </w:p>
        </w:tc>
        <w:tc>
          <w:tcPr>
            <w:tcW w:w="0" w:type="auto"/>
            <w:vAlign w:val="center"/>
          </w:tcPr>
          <w:p w14:paraId="7EADD3D4" w14:textId="2FDC623B" w:rsidR="00F45F20" w:rsidRPr="00541AC3" w:rsidRDefault="00F45F20" w:rsidP="00F45F20">
            <w:pPr>
              <w:jc w:val="center"/>
              <w:rPr>
                <w:rFonts w:ascii="Times New Roman" w:hAnsi="Times New Roman" w:cs="Times New Roman"/>
                <w:sz w:val="20"/>
                <w:szCs w:val="20"/>
              </w:rPr>
            </w:pPr>
            <w:r w:rsidRPr="00541AC3">
              <w:rPr>
                <w:rFonts w:ascii="Times New Roman" w:hAnsi="Times New Roman" w:cs="Times New Roman"/>
                <w:sz w:val="20"/>
                <w:szCs w:val="20"/>
              </w:rPr>
              <w:t>0</w:t>
            </w:r>
            <w:r w:rsidR="0029431E" w:rsidRPr="00541AC3">
              <w:rPr>
                <w:rFonts w:ascii="Times New Roman" w:hAnsi="Times New Roman" w:cs="Times New Roman"/>
                <w:sz w:val="20"/>
                <w:szCs w:val="20"/>
              </w:rPr>
              <w:t>,</w:t>
            </w:r>
            <w:r w:rsidRPr="00541AC3">
              <w:rPr>
                <w:rFonts w:ascii="Times New Roman" w:hAnsi="Times New Roman" w:cs="Times New Roman"/>
                <w:sz w:val="20"/>
                <w:szCs w:val="20"/>
              </w:rPr>
              <w:t>38</w:t>
            </w:r>
          </w:p>
        </w:tc>
        <w:tc>
          <w:tcPr>
            <w:tcW w:w="0" w:type="auto"/>
            <w:vAlign w:val="center"/>
          </w:tcPr>
          <w:p w14:paraId="6DA46FF6" w14:textId="1045923E" w:rsidR="00F45F20" w:rsidRPr="00541AC3" w:rsidRDefault="00F45F20" w:rsidP="00F45F20">
            <w:pPr>
              <w:jc w:val="center"/>
              <w:rPr>
                <w:rFonts w:ascii="Times New Roman" w:hAnsi="Times New Roman" w:cs="Times New Roman"/>
                <w:sz w:val="20"/>
                <w:szCs w:val="20"/>
              </w:rPr>
            </w:pPr>
            <w:r w:rsidRPr="00541AC3">
              <w:rPr>
                <w:rFonts w:ascii="Times New Roman" w:hAnsi="Times New Roman" w:cs="Times New Roman"/>
                <w:sz w:val="20"/>
                <w:szCs w:val="20"/>
              </w:rPr>
              <w:t>0</w:t>
            </w:r>
            <w:r w:rsidR="0029431E" w:rsidRPr="00541AC3">
              <w:rPr>
                <w:rFonts w:ascii="Times New Roman" w:hAnsi="Times New Roman" w:cs="Times New Roman"/>
                <w:sz w:val="20"/>
                <w:szCs w:val="20"/>
              </w:rPr>
              <w:t>,</w:t>
            </w:r>
            <w:r w:rsidRPr="00541AC3">
              <w:rPr>
                <w:rFonts w:ascii="Times New Roman" w:hAnsi="Times New Roman" w:cs="Times New Roman"/>
                <w:sz w:val="20"/>
                <w:szCs w:val="20"/>
              </w:rPr>
              <w:t>11</w:t>
            </w:r>
          </w:p>
        </w:tc>
        <w:tc>
          <w:tcPr>
            <w:tcW w:w="0" w:type="auto"/>
            <w:vAlign w:val="center"/>
          </w:tcPr>
          <w:p w14:paraId="58682BA0" w14:textId="499A5D7B" w:rsidR="00F45F20" w:rsidRPr="00541AC3" w:rsidRDefault="00F45F20" w:rsidP="00F45F20">
            <w:pPr>
              <w:jc w:val="center"/>
              <w:rPr>
                <w:rFonts w:ascii="Times New Roman" w:hAnsi="Times New Roman" w:cs="Times New Roman"/>
                <w:sz w:val="20"/>
                <w:szCs w:val="20"/>
              </w:rPr>
            </w:pPr>
            <w:r w:rsidRPr="00541AC3">
              <w:rPr>
                <w:rFonts w:ascii="Times New Roman" w:hAnsi="Times New Roman" w:cs="Times New Roman"/>
                <w:sz w:val="20"/>
                <w:szCs w:val="20"/>
              </w:rPr>
              <w:t>-0</w:t>
            </w:r>
            <w:r w:rsidR="0029431E" w:rsidRPr="00541AC3">
              <w:rPr>
                <w:rFonts w:ascii="Times New Roman" w:hAnsi="Times New Roman" w:cs="Times New Roman"/>
                <w:sz w:val="20"/>
                <w:szCs w:val="20"/>
              </w:rPr>
              <w:t>,</w:t>
            </w:r>
            <w:r w:rsidRPr="00541AC3">
              <w:rPr>
                <w:rFonts w:ascii="Times New Roman" w:hAnsi="Times New Roman" w:cs="Times New Roman"/>
                <w:sz w:val="20"/>
                <w:szCs w:val="20"/>
              </w:rPr>
              <w:t>13</w:t>
            </w:r>
          </w:p>
        </w:tc>
        <w:tc>
          <w:tcPr>
            <w:tcW w:w="0" w:type="auto"/>
            <w:vAlign w:val="center"/>
          </w:tcPr>
          <w:p w14:paraId="2F5E6B53" w14:textId="3B91AFCE" w:rsidR="00F45F20" w:rsidRPr="00541AC3" w:rsidRDefault="00F45F20" w:rsidP="00F45F20">
            <w:pPr>
              <w:jc w:val="center"/>
              <w:rPr>
                <w:rFonts w:ascii="Times New Roman" w:hAnsi="Times New Roman" w:cs="Times New Roman"/>
                <w:sz w:val="20"/>
                <w:szCs w:val="20"/>
              </w:rPr>
            </w:pPr>
            <w:r w:rsidRPr="00541AC3">
              <w:rPr>
                <w:rFonts w:ascii="Times New Roman" w:hAnsi="Times New Roman" w:cs="Times New Roman"/>
                <w:sz w:val="20"/>
                <w:szCs w:val="20"/>
              </w:rPr>
              <w:t>0</w:t>
            </w:r>
            <w:r w:rsidR="0029431E" w:rsidRPr="00541AC3">
              <w:rPr>
                <w:rFonts w:ascii="Times New Roman" w:hAnsi="Times New Roman" w:cs="Times New Roman"/>
                <w:sz w:val="20"/>
                <w:szCs w:val="20"/>
              </w:rPr>
              <w:t>,</w:t>
            </w:r>
            <w:r w:rsidRPr="00541AC3">
              <w:rPr>
                <w:rFonts w:ascii="Times New Roman" w:hAnsi="Times New Roman" w:cs="Times New Roman"/>
                <w:sz w:val="20"/>
                <w:szCs w:val="20"/>
              </w:rPr>
              <w:t>3</w:t>
            </w:r>
          </w:p>
        </w:tc>
      </w:tr>
      <w:tr w:rsidR="00541AC3" w:rsidRPr="00541AC3" w14:paraId="1CDCF0D4" w14:textId="77777777" w:rsidTr="00052C72">
        <w:trPr>
          <w:trHeight w:val="288"/>
          <w:jc w:val="center"/>
        </w:trPr>
        <w:tc>
          <w:tcPr>
            <w:tcW w:w="0" w:type="auto"/>
            <w:vAlign w:val="center"/>
          </w:tcPr>
          <w:p w14:paraId="6B17FAF5" w14:textId="77777777" w:rsidR="00F45F20" w:rsidRPr="00541AC3" w:rsidRDefault="00F45F20" w:rsidP="00F45F20">
            <w:pPr>
              <w:rPr>
                <w:sz w:val="20"/>
                <w:szCs w:val="20"/>
              </w:rPr>
            </w:pPr>
            <w:r w:rsidRPr="00541AC3">
              <w:rPr>
                <w:rFonts w:ascii="Times New Roman" w:eastAsia="Times New Roman" w:hAnsi="Times New Roman" w:cs="Times New Roman"/>
                <w:b/>
                <w:bCs/>
                <w:sz w:val="20"/>
                <w:szCs w:val="20"/>
              </w:rPr>
              <w:t>DKÖH</w:t>
            </w:r>
          </w:p>
        </w:tc>
        <w:tc>
          <w:tcPr>
            <w:tcW w:w="0" w:type="auto"/>
            <w:vAlign w:val="center"/>
          </w:tcPr>
          <w:p w14:paraId="12037DBF" w14:textId="59C0569C" w:rsidR="00F45F20" w:rsidRPr="00541AC3" w:rsidRDefault="00F45F20" w:rsidP="00F45F20">
            <w:pPr>
              <w:jc w:val="center"/>
              <w:rPr>
                <w:rFonts w:ascii="Times New Roman" w:hAnsi="Times New Roman" w:cs="Times New Roman"/>
                <w:sz w:val="20"/>
                <w:szCs w:val="20"/>
              </w:rPr>
            </w:pPr>
            <w:r w:rsidRPr="00541AC3">
              <w:rPr>
                <w:rFonts w:ascii="Times New Roman" w:hAnsi="Times New Roman" w:cs="Times New Roman"/>
                <w:sz w:val="20"/>
                <w:szCs w:val="20"/>
              </w:rPr>
              <w:t>-0</w:t>
            </w:r>
            <w:r w:rsidR="0029431E" w:rsidRPr="00541AC3">
              <w:rPr>
                <w:rFonts w:ascii="Times New Roman" w:hAnsi="Times New Roman" w:cs="Times New Roman"/>
                <w:sz w:val="20"/>
                <w:szCs w:val="20"/>
              </w:rPr>
              <w:t>,</w:t>
            </w:r>
            <w:r w:rsidRPr="00541AC3">
              <w:rPr>
                <w:rFonts w:ascii="Times New Roman" w:hAnsi="Times New Roman" w:cs="Times New Roman"/>
                <w:sz w:val="20"/>
                <w:szCs w:val="20"/>
              </w:rPr>
              <w:t>21</w:t>
            </w:r>
          </w:p>
        </w:tc>
        <w:tc>
          <w:tcPr>
            <w:tcW w:w="0" w:type="auto"/>
            <w:vAlign w:val="center"/>
          </w:tcPr>
          <w:p w14:paraId="2AFBBBDD" w14:textId="786A16A4" w:rsidR="00F45F20" w:rsidRPr="00541AC3" w:rsidRDefault="00F45F20" w:rsidP="00F45F20">
            <w:pPr>
              <w:jc w:val="center"/>
              <w:rPr>
                <w:rFonts w:ascii="Times New Roman" w:hAnsi="Times New Roman" w:cs="Times New Roman"/>
                <w:sz w:val="20"/>
                <w:szCs w:val="20"/>
              </w:rPr>
            </w:pPr>
            <w:r w:rsidRPr="00541AC3">
              <w:rPr>
                <w:rFonts w:ascii="Times New Roman" w:hAnsi="Times New Roman" w:cs="Times New Roman"/>
                <w:sz w:val="20"/>
                <w:szCs w:val="20"/>
              </w:rPr>
              <w:t>-0</w:t>
            </w:r>
            <w:r w:rsidR="0029431E" w:rsidRPr="00541AC3">
              <w:rPr>
                <w:rFonts w:ascii="Times New Roman" w:hAnsi="Times New Roman" w:cs="Times New Roman"/>
                <w:sz w:val="20"/>
                <w:szCs w:val="20"/>
              </w:rPr>
              <w:t>,</w:t>
            </w:r>
            <w:r w:rsidRPr="00541AC3">
              <w:rPr>
                <w:rFonts w:ascii="Times New Roman" w:hAnsi="Times New Roman" w:cs="Times New Roman"/>
                <w:sz w:val="20"/>
                <w:szCs w:val="20"/>
              </w:rPr>
              <w:t>19</w:t>
            </w:r>
          </w:p>
        </w:tc>
        <w:tc>
          <w:tcPr>
            <w:tcW w:w="0" w:type="auto"/>
            <w:vAlign w:val="center"/>
          </w:tcPr>
          <w:p w14:paraId="1662DEF6" w14:textId="4FF65C64" w:rsidR="00F45F20" w:rsidRPr="00541AC3" w:rsidRDefault="00F45F20" w:rsidP="00F45F20">
            <w:pPr>
              <w:jc w:val="center"/>
              <w:rPr>
                <w:rFonts w:ascii="Times New Roman" w:hAnsi="Times New Roman" w:cs="Times New Roman"/>
                <w:sz w:val="20"/>
                <w:szCs w:val="20"/>
              </w:rPr>
            </w:pPr>
            <w:r w:rsidRPr="00541AC3">
              <w:rPr>
                <w:rFonts w:ascii="Times New Roman" w:hAnsi="Times New Roman" w:cs="Times New Roman"/>
                <w:sz w:val="20"/>
                <w:szCs w:val="20"/>
              </w:rPr>
              <w:t>-0</w:t>
            </w:r>
            <w:r w:rsidR="0029431E" w:rsidRPr="00541AC3">
              <w:rPr>
                <w:rFonts w:ascii="Times New Roman" w:hAnsi="Times New Roman" w:cs="Times New Roman"/>
                <w:sz w:val="20"/>
                <w:szCs w:val="20"/>
              </w:rPr>
              <w:t>,</w:t>
            </w:r>
            <w:r w:rsidRPr="00541AC3">
              <w:rPr>
                <w:rFonts w:ascii="Times New Roman" w:hAnsi="Times New Roman" w:cs="Times New Roman"/>
                <w:sz w:val="20"/>
                <w:szCs w:val="20"/>
              </w:rPr>
              <w:t>03</w:t>
            </w:r>
          </w:p>
        </w:tc>
        <w:tc>
          <w:tcPr>
            <w:tcW w:w="0" w:type="auto"/>
            <w:vAlign w:val="center"/>
          </w:tcPr>
          <w:p w14:paraId="6A103664" w14:textId="63B02467" w:rsidR="00F45F20" w:rsidRPr="00541AC3" w:rsidRDefault="00F45F20" w:rsidP="00F45F20">
            <w:pPr>
              <w:jc w:val="center"/>
              <w:rPr>
                <w:rFonts w:ascii="Times New Roman" w:hAnsi="Times New Roman" w:cs="Times New Roman"/>
                <w:sz w:val="20"/>
                <w:szCs w:val="20"/>
              </w:rPr>
            </w:pPr>
            <w:r w:rsidRPr="00541AC3">
              <w:rPr>
                <w:rFonts w:ascii="Times New Roman" w:hAnsi="Times New Roman" w:cs="Times New Roman"/>
                <w:sz w:val="20"/>
                <w:szCs w:val="20"/>
              </w:rPr>
              <w:t>-0</w:t>
            </w:r>
            <w:r w:rsidR="0029431E" w:rsidRPr="00541AC3">
              <w:rPr>
                <w:rFonts w:ascii="Times New Roman" w:hAnsi="Times New Roman" w:cs="Times New Roman"/>
                <w:sz w:val="20"/>
                <w:szCs w:val="20"/>
              </w:rPr>
              <w:t>,</w:t>
            </w:r>
            <w:r w:rsidRPr="00541AC3">
              <w:rPr>
                <w:rFonts w:ascii="Times New Roman" w:hAnsi="Times New Roman" w:cs="Times New Roman"/>
                <w:sz w:val="20"/>
                <w:szCs w:val="20"/>
              </w:rPr>
              <w:t>16</w:t>
            </w:r>
          </w:p>
        </w:tc>
        <w:tc>
          <w:tcPr>
            <w:tcW w:w="0" w:type="auto"/>
            <w:vAlign w:val="center"/>
          </w:tcPr>
          <w:p w14:paraId="0B038EEC" w14:textId="583AE349" w:rsidR="00F45F20" w:rsidRPr="00541AC3" w:rsidRDefault="00F45F20" w:rsidP="00F45F20">
            <w:pPr>
              <w:jc w:val="center"/>
              <w:rPr>
                <w:rFonts w:ascii="Times New Roman" w:hAnsi="Times New Roman" w:cs="Times New Roman"/>
                <w:sz w:val="20"/>
                <w:szCs w:val="20"/>
              </w:rPr>
            </w:pPr>
            <w:r w:rsidRPr="00541AC3">
              <w:rPr>
                <w:rFonts w:ascii="Times New Roman" w:hAnsi="Times New Roman" w:cs="Times New Roman"/>
                <w:sz w:val="20"/>
                <w:szCs w:val="20"/>
              </w:rPr>
              <w:t>-0</w:t>
            </w:r>
            <w:r w:rsidR="0029431E" w:rsidRPr="00541AC3">
              <w:rPr>
                <w:rFonts w:ascii="Times New Roman" w:hAnsi="Times New Roman" w:cs="Times New Roman"/>
                <w:sz w:val="20"/>
                <w:szCs w:val="20"/>
              </w:rPr>
              <w:t>,</w:t>
            </w:r>
            <w:r w:rsidRPr="00541AC3">
              <w:rPr>
                <w:rFonts w:ascii="Times New Roman" w:hAnsi="Times New Roman" w:cs="Times New Roman"/>
                <w:sz w:val="20"/>
                <w:szCs w:val="20"/>
              </w:rPr>
              <w:t>22</w:t>
            </w:r>
          </w:p>
        </w:tc>
        <w:tc>
          <w:tcPr>
            <w:tcW w:w="0" w:type="auto"/>
            <w:vAlign w:val="center"/>
          </w:tcPr>
          <w:p w14:paraId="228E9920" w14:textId="1B7C4AD5" w:rsidR="00F45F20" w:rsidRPr="00541AC3" w:rsidRDefault="00F45F20" w:rsidP="00F45F20">
            <w:pPr>
              <w:jc w:val="center"/>
              <w:rPr>
                <w:rFonts w:ascii="Times New Roman" w:hAnsi="Times New Roman" w:cs="Times New Roman"/>
                <w:sz w:val="20"/>
                <w:szCs w:val="20"/>
              </w:rPr>
            </w:pPr>
            <w:r w:rsidRPr="00541AC3">
              <w:rPr>
                <w:rFonts w:ascii="Times New Roman" w:hAnsi="Times New Roman" w:cs="Times New Roman"/>
                <w:sz w:val="20"/>
                <w:szCs w:val="20"/>
              </w:rPr>
              <w:t>-0</w:t>
            </w:r>
            <w:r w:rsidR="0029431E" w:rsidRPr="00541AC3">
              <w:rPr>
                <w:rFonts w:ascii="Times New Roman" w:hAnsi="Times New Roman" w:cs="Times New Roman"/>
                <w:sz w:val="20"/>
                <w:szCs w:val="20"/>
              </w:rPr>
              <w:t>,</w:t>
            </w:r>
            <w:r w:rsidRPr="00541AC3">
              <w:rPr>
                <w:rFonts w:ascii="Times New Roman" w:hAnsi="Times New Roman" w:cs="Times New Roman"/>
                <w:sz w:val="20"/>
                <w:szCs w:val="20"/>
              </w:rPr>
              <w:t>17</w:t>
            </w:r>
          </w:p>
        </w:tc>
        <w:tc>
          <w:tcPr>
            <w:tcW w:w="0" w:type="auto"/>
            <w:vAlign w:val="center"/>
          </w:tcPr>
          <w:p w14:paraId="53952C9A" w14:textId="294E095E" w:rsidR="00F45F20" w:rsidRPr="00541AC3" w:rsidRDefault="00F45F20" w:rsidP="00F45F20">
            <w:pPr>
              <w:jc w:val="center"/>
              <w:rPr>
                <w:rFonts w:ascii="Times New Roman" w:hAnsi="Times New Roman" w:cs="Times New Roman"/>
                <w:sz w:val="20"/>
                <w:szCs w:val="20"/>
              </w:rPr>
            </w:pPr>
            <w:r w:rsidRPr="00541AC3">
              <w:rPr>
                <w:rFonts w:ascii="Times New Roman" w:hAnsi="Times New Roman" w:cs="Times New Roman"/>
                <w:sz w:val="20"/>
                <w:szCs w:val="20"/>
              </w:rPr>
              <w:t>-0</w:t>
            </w:r>
            <w:r w:rsidR="0029431E" w:rsidRPr="00541AC3">
              <w:rPr>
                <w:rFonts w:ascii="Times New Roman" w:hAnsi="Times New Roman" w:cs="Times New Roman"/>
                <w:sz w:val="20"/>
                <w:szCs w:val="20"/>
              </w:rPr>
              <w:t>,</w:t>
            </w:r>
            <w:r w:rsidRPr="00541AC3">
              <w:rPr>
                <w:rFonts w:ascii="Times New Roman" w:hAnsi="Times New Roman" w:cs="Times New Roman"/>
                <w:sz w:val="20"/>
                <w:szCs w:val="20"/>
              </w:rPr>
              <w:t>07</w:t>
            </w:r>
          </w:p>
        </w:tc>
      </w:tr>
      <w:tr w:rsidR="00541AC3" w:rsidRPr="00541AC3" w14:paraId="56490EBA" w14:textId="77777777" w:rsidTr="00052C72">
        <w:trPr>
          <w:trHeight w:val="288"/>
          <w:jc w:val="center"/>
        </w:trPr>
        <w:tc>
          <w:tcPr>
            <w:tcW w:w="0" w:type="auto"/>
            <w:vAlign w:val="center"/>
          </w:tcPr>
          <w:p w14:paraId="630FC988" w14:textId="77777777" w:rsidR="00F45F20" w:rsidRPr="00541AC3" w:rsidRDefault="00F45F20" w:rsidP="00F45F20">
            <w:pPr>
              <w:rPr>
                <w:sz w:val="20"/>
                <w:szCs w:val="20"/>
              </w:rPr>
            </w:pPr>
            <w:r w:rsidRPr="00541AC3">
              <w:rPr>
                <w:rFonts w:ascii="Times New Roman" w:eastAsia="Times New Roman" w:hAnsi="Times New Roman" w:cs="Times New Roman"/>
                <w:b/>
                <w:bCs/>
                <w:sz w:val="20"/>
                <w:szCs w:val="20"/>
              </w:rPr>
              <w:t>FİGM</w:t>
            </w:r>
          </w:p>
        </w:tc>
        <w:tc>
          <w:tcPr>
            <w:tcW w:w="0" w:type="auto"/>
            <w:vAlign w:val="center"/>
          </w:tcPr>
          <w:p w14:paraId="6FB36269" w14:textId="3285806F" w:rsidR="00F45F20" w:rsidRPr="00541AC3" w:rsidRDefault="00F45F20" w:rsidP="00F45F20">
            <w:pPr>
              <w:jc w:val="center"/>
              <w:rPr>
                <w:rFonts w:ascii="Times New Roman" w:hAnsi="Times New Roman" w:cs="Times New Roman"/>
                <w:sz w:val="20"/>
                <w:szCs w:val="20"/>
              </w:rPr>
            </w:pPr>
            <w:r w:rsidRPr="00541AC3">
              <w:rPr>
                <w:rFonts w:ascii="Times New Roman" w:hAnsi="Times New Roman" w:cs="Times New Roman"/>
                <w:sz w:val="20"/>
                <w:szCs w:val="20"/>
              </w:rPr>
              <w:t>-0</w:t>
            </w:r>
            <w:r w:rsidR="0029431E" w:rsidRPr="00541AC3">
              <w:rPr>
                <w:rFonts w:ascii="Times New Roman" w:hAnsi="Times New Roman" w:cs="Times New Roman"/>
                <w:sz w:val="20"/>
                <w:szCs w:val="20"/>
              </w:rPr>
              <w:t>,</w:t>
            </w:r>
            <w:r w:rsidRPr="00541AC3">
              <w:rPr>
                <w:rFonts w:ascii="Times New Roman" w:hAnsi="Times New Roman" w:cs="Times New Roman"/>
                <w:sz w:val="20"/>
                <w:szCs w:val="20"/>
              </w:rPr>
              <w:t>01</w:t>
            </w:r>
          </w:p>
        </w:tc>
        <w:tc>
          <w:tcPr>
            <w:tcW w:w="0" w:type="auto"/>
            <w:vAlign w:val="center"/>
          </w:tcPr>
          <w:p w14:paraId="4FD34796" w14:textId="0B55590B" w:rsidR="00F45F20" w:rsidRPr="00541AC3" w:rsidRDefault="00F45F20" w:rsidP="00F45F20">
            <w:pPr>
              <w:jc w:val="center"/>
              <w:rPr>
                <w:rFonts w:ascii="Times New Roman" w:hAnsi="Times New Roman" w:cs="Times New Roman"/>
                <w:sz w:val="20"/>
                <w:szCs w:val="20"/>
              </w:rPr>
            </w:pPr>
            <w:r w:rsidRPr="00541AC3">
              <w:rPr>
                <w:rFonts w:ascii="Times New Roman" w:hAnsi="Times New Roman" w:cs="Times New Roman"/>
                <w:sz w:val="20"/>
                <w:szCs w:val="20"/>
              </w:rPr>
              <w:t>-0</w:t>
            </w:r>
            <w:r w:rsidR="0029431E" w:rsidRPr="00541AC3">
              <w:rPr>
                <w:rFonts w:ascii="Times New Roman" w:hAnsi="Times New Roman" w:cs="Times New Roman"/>
                <w:sz w:val="20"/>
                <w:szCs w:val="20"/>
              </w:rPr>
              <w:t>,</w:t>
            </w:r>
            <w:r w:rsidRPr="00541AC3">
              <w:rPr>
                <w:rFonts w:ascii="Times New Roman" w:hAnsi="Times New Roman" w:cs="Times New Roman"/>
                <w:sz w:val="20"/>
                <w:szCs w:val="20"/>
              </w:rPr>
              <w:t>12</w:t>
            </w:r>
          </w:p>
        </w:tc>
        <w:tc>
          <w:tcPr>
            <w:tcW w:w="0" w:type="auto"/>
            <w:vAlign w:val="center"/>
          </w:tcPr>
          <w:p w14:paraId="776E1FA1" w14:textId="5FF86CFD" w:rsidR="00F45F20" w:rsidRPr="00541AC3" w:rsidRDefault="00F45F20" w:rsidP="00F45F20">
            <w:pPr>
              <w:jc w:val="center"/>
              <w:rPr>
                <w:rFonts w:ascii="Times New Roman" w:hAnsi="Times New Roman" w:cs="Times New Roman"/>
                <w:b/>
                <w:bCs/>
                <w:sz w:val="20"/>
                <w:szCs w:val="20"/>
              </w:rPr>
            </w:pPr>
            <w:r w:rsidRPr="00541AC3">
              <w:rPr>
                <w:rFonts w:ascii="Times New Roman" w:hAnsi="Times New Roman" w:cs="Times New Roman"/>
                <w:b/>
                <w:bCs/>
                <w:sz w:val="20"/>
                <w:szCs w:val="20"/>
              </w:rPr>
              <w:t>0</w:t>
            </w:r>
            <w:r w:rsidR="0029431E" w:rsidRPr="00541AC3">
              <w:rPr>
                <w:rFonts w:ascii="Times New Roman" w:hAnsi="Times New Roman" w:cs="Times New Roman"/>
                <w:b/>
                <w:bCs/>
                <w:sz w:val="20"/>
                <w:szCs w:val="20"/>
              </w:rPr>
              <w:t>,</w:t>
            </w:r>
            <w:r w:rsidRPr="00541AC3">
              <w:rPr>
                <w:rFonts w:ascii="Times New Roman" w:hAnsi="Times New Roman" w:cs="Times New Roman"/>
                <w:b/>
                <w:bCs/>
                <w:sz w:val="20"/>
                <w:szCs w:val="20"/>
              </w:rPr>
              <w:t>44</w:t>
            </w:r>
            <w:r w:rsidRPr="00541AC3">
              <w:rPr>
                <w:rFonts w:ascii="Dreaming Outloud Pro" w:eastAsia="Times New Roman" w:hAnsi="Dreaming Outloud Pro" w:cs="Dreaming Outloud Pro"/>
                <w:b/>
                <w:bCs/>
                <w:sz w:val="20"/>
                <w:szCs w:val="20"/>
                <w:vertAlign w:val="superscript"/>
              </w:rPr>
              <w:t>‡</w:t>
            </w:r>
          </w:p>
        </w:tc>
        <w:tc>
          <w:tcPr>
            <w:tcW w:w="0" w:type="auto"/>
            <w:vAlign w:val="center"/>
          </w:tcPr>
          <w:p w14:paraId="56C05108" w14:textId="5FD306B1" w:rsidR="00F45F20" w:rsidRPr="00541AC3" w:rsidRDefault="00F45F20" w:rsidP="00F45F20">
            <w:pPr>
              <w:jc w:val="center"/>
              <w:rPr>
                <w:rFonts w:ascii="Times New Roman" w:hAnsi="Times New Roman" w:cs="Times New Roman"/>
                <w:sz w:val="20"/>
                <w:szCs w:val="20"/>
              </w:rPr>
            </w:pPr>
            <w:r w:rsidRPr="00541AC3">
              <w:rPr>
                <w:rFonts w:ascii="Times New Roman" w:hAnsi="Times New Roman" w:cs="Times New Roman"/>
                <w:sz w:val="20"/>
                <w:szCs w:val="20"/>
              </w:rPr>
              <w:t>0</w:t>
            </w:r>
            <w:r w:rsidR="0029431E" w:rsidRPr="00541AC3">
              <w:rPr>
                <w:rFonts w:ascii="Times New Roman" w:hAnsi="Times New Roman" w:cs="Times New Roman"/>
                <w:sz w:val="20"/>
                <w:szCs w:val="20"/>
              </w:rPr>
              <w:t>,</w:t>
            </w:r>
            <w:r w:rsidRPr="00541AC3">
              <w:rPr>
                <w:rFonts w:ascii="Times New Roman" w:hAnsi="Times New Roman" w:cs="Times New Roman"/>
                <w:sz w:val="20"/>
                <w:szCs w:val="20"/>
              </w:rPr>
              <w:t>36</w:t>
            </w:r>
          </w:p>
        </w:tc>
        <w:tc>
          <w:tcPr>
            <w:tcW w:w="0" w:type="auto"/>
            <w:vAlign w:val="center"/>
          </w:tcPr>
          <w:p w14:paraId="2AF18F54" w14:textId="52DA8B75" w:rsidR="00F45F20" w:rsidRPr="00541AC3" w:rsidRDefault="00F45F20" w:rsidP="00F45F20">
            <w:pPr>
              <w:jc w:val="center"/>
              <w:rPr>
                <w:rFonts w:ascii="Times New Roman" w:hAnsi="Times New Roman" w:cs="Times New Roman"/>
                <w:sz w:val="20"/>
                <w:szCs w:val="20"/>
              </w:rPr>
            </w:pPr>
            <w:r w:rsidRPr="00541AC3">
              <w:rPr>
                <w:rFonts w:ascii="Times New Roman" w:hAnsi="Times New Roman" w:cs="Times New Roman"/>
                <w:sz w:val="20"/>
                <w:szCs w:val="20"/>
              </w:rPr>
              <w:t>0</w:t>
            </w:r>
            <w:r w:rsidR="0029431E" w:rsidRPr="00541AC3">
              <w:rPr>
                <w:rFonts w:ascii="Times New Roman" w:hAnsi="Times New Roman" w:cs="Times New Roman"/>
                <w:sz w:val="20"/>
                <w:szCs w:val="20"/>
              </w:rPr>
              <w:t>,</w:t>
            </w:r>
            <w:r w:rsidRPr="00541AC3">
              <w:rPr>
                <w:rFonts w:ascii="Times New Roman" w:hAnsi="Times New Roman" w:cs="Times New Roman"/>
                <w:sz w:val="20"/>
                <w:szCs w:val="20"/>
              </w:rPr>
              <w:t>35</w:t>
            </w:r>
          </w:p>
        </w:tc>
        <w:tc>
          <w:tcPr>
            <w:tcW w:w="0" w:type="auto"/>
            <w:vAlign w:val="center"/>
          </w:tcPr>
          <w:p w14:paraId="101440D1" w14:textId="12674456" w:rsidR="00F45F20" w:rsidRPr="00541AC3" w:rsidRDefault="00F45F20" w:rsidP="00F45F20">
            <w:pPr>
              <w:jc w:val="center"/>
              <w:rPr>
                <w:rFonts w:ascii="Times New Roman" w:hAnsi="Times New Roman" w:cs="Times New Roman"/>
                <w:b/>
                <w:bCs/>
                <w:sz w:val="20"/>
                <w:szCs w:val="20"/>
              </w:rPr>
            </w:pPr>
            <w:r w:rsidRPr="00541AC3">
              <w:rPr>
                <w:rFonts w:ascii="Times New Roman" w:hAnsi="Times New Roman" w:cs="Times New Roman"/>
                <w:b/>
                <w:bCs/>
                <w:sz w:val="20"/>
                <w:szCs w:val="20"/>
              </w:rPr>
              <w:t>0</w:t>
            </w:r>
            <w:r w:rsidR="0029431E" w:rsidRPr="00541AC3">
              <w:rPr>
                <w:rFonts w:ascii="Times New Roman" w:hAnsi="Times New Roman" w:cs="Times New Roman"/>
                <w:b/>
                <w:bCs/>
                <w:sz w:val="20"/>
                <w:szCs w:val="20"/>
              </w:rPr>
              <w:t>,</w:t>
            </w:r>
            <w:r w:rsidRPr="00541AC3">
              <w:rPr>
                <w:rFonts w:ascii="Times New Roman" w:hAnsi="Times New Roman" w:cs="Times New Roman"/>
                <w:b/>
                <w:bCs/>
                <w:sz w:val="20"/>
                <w:szCs w:val="20"/>
              </w:rPr>
              <w:t>71</w:t>
            </w:r>
            <w:r w:rsidRPr="00541AC3">
              <w:rPr>
                <w:rFonts w:ascii="Times New Roman" w:hAnsi="Times New Roman" w:cs="Times New Roman"/>
                <w:b/>
                <w:bCs/>
                <w:sz w:val="20"/>
                <w:szCs w:val="20"/>
                <w:vertAlign w:val="superscript"/>
              </w:rPr>
              <w:t>**</w:t>
            </w:r>
          </w:p>
        </w:tc>
        <w:tc>
          <w:tcPr>
            <w:tcW w:w="0" w:type="auto"/>
            <w:vAlign w:val="center"/>
          </w:tcPr>
          <w:p w14:paraId="74074759" w14:textId="2A5C9966" w:rsidR="00F45F20" w:rsidRPr="00541AC3" w:rsidRDefault="00F45F20" w:rsidP="00F45F20">
            <w:pPr>
              <w:jc w:val="center"/>
              <w:rPr>
                <w:rFonts w:ascii="Times New Roman" w:hAnsi="Times New Roman" w:cs="Times New Roman"/>
                <w:sz w:val="20"/>
                <w:szCs w:val="20"/>
              </w:rPr>
            </w:pPr>
            <w:r w:rsidRPr="00541AC3">
              <w:rPr>
                <w:rFonts w:ascii="Times New Roman" w:hAnsi="Times New Roman" w:cs="Times New Roman"/>
                <w:sz w:val="20"/>
                <w:szCs w:val="20"/>
              </w:rPr>
              <w:t>0</w:t>
            </w:r>
            <w:r w:rsidR="0029431E" w:rsidRPr="00541AC3">
              <w:rPr>
                <w:rFonts w:ascii="Times New Roman" w:hAnsi="Times New Roman" w:cs="Times New Roman"/>
                <w:sz w:val="20"/>
                <w:szCs w:val="20"/>
              </w:rPr>
              <w:t>,</w:t>
            </w:r>
            <w:r w:rsidRPr="00541AC3">
              <w:rPr>
                <w:rFonts w:ascii="Times New Roman" w:hAnsi="Times New Roman" w:cs="Times New Roman"/>
                <w:sz w:val="20"/>
                <w:szCs w:val="20"/>
              </w:rPr>
              <w:t>35</w:t>
            </w:r>
          </w:p>
        </w:tc>
      </w:tr>
      <w:tr w:rsidR="00541AC3" w:rsidRPr="00541AC3" w14:paraId="2BE1711D" w14:textId="77777777" w:rsidTr="00052C72">
        <w:trPr>
          <w:trHeight w:val="288"/>
          <w:jc w:val="center"/>
        </w:trPr>
        <w:tc>
          <w:tcPr>
            <w:tcW w:w="0" w:type="auto"/>
            <w:vAlign w:val="center"/>
          </w:tcPr>
          <w:p w14:paraId="4BC6D6E7" w14:textId="77777777" w:rsidR="00F45F20" w:rsidRPr="00541AC3" w:rsidRDefault="00F45F20" w:rsidP="00F45F20">
            <w:pPr>
              <w:rPr>
                <w:sz w:val="20"/>
                <w:szCs w:val="20"/>
              </w:rPr>
            </w:pPr>
            <w:r w:rsidRPr="00541AC3">
              <w:rPr>
                <w:rFonts w:ascii="Times New Roman" w:eastAsia="Times New Roman" w:hAnsi="Times New Roman" w:cs="Times New Roman"/>
                <w:b/>
                <w:bCs/>
                <w:sz w:val="20"/>
                <w:szCs w:val="20"/>
              </w:rPr>
              <w:t>İMA</w:t>
            </w:r>
          </w:p>
        </w:tc>
        <w:tc>
          <w:tcPr>
            <w:tcW w:w="0" w:type="auto"/>
            <w:vAlign w:val="center"/>
          </w:tcPr>
          <w:p w14:paraId="262F33E3" w14:textId="6639B397" w:rsidR="00F45F20" w:rsidRPr="00541AC3" w:rsidRDefault="00F45F20" w:rsidP="00F45F20">
            <w:pPr>
              <w:jc w:val="center"/>
              <w:rPr>
                <w:rFonts w:ascii="Times New Roman" w:hAnsi="Times New Roman" w:cs="Times New Roman"/>
                <w:sz w:val="20"/>
                <w:szCs w:val="20"/>
              </w:rPr>
            </w:pPr>
            <w:r w:rsidRPr="00541AC3">
              <w:rPr>
                <w:rFonts w:ascii="Times New Roman" w:hAnsi="Times New Roman" w:cs="Times New Roman"/>
                <w:sz w:val="20"/>
                <w:szCs w:val="20"/>
              </w:rPr>
              <w:t>0</w:t>
            </w:r>
            <w:r w:rsidR="0029431E" w:rsidRPr="00541AC3">
              <w:rPr>
                <w:rFonts w:ascii="Times New Roman" w:hAnsi="Times New Roman" w:cs="Times New Roman"/>
                <w:sz w:val="20"/>
                <w:szCs w:val="20"/>
              </w:rPr>
              <w:t>,</w:t>
            </w:r>
            <w:r w:rsidRPr="00541AC3">
              <w:rPr>
                <w:rFonts w:ascii="Times New Roman" w:hAnsi="Times New Roman" w:cs="Times New Roman"/>
                <w:sz w:val="20"/>
                <w:szCs w:val="20"/>
              </w:rPr>
              <w:t>27</w:t>
            </w:r>
          </w:p>
        </w:tc>
        <w:tc>
          <w:tcPr>
            <w:tcW w:w="0" w:type="auto"/>
            <w:vAlign w:val="center"/>
          </w:tcPr>
          <w:p w14:paraId="7BE64861" w14:textId="24CF1903" w:rsidR="00F45F20" w:rsidRPr="00541AC3" w:rsidRDefault="00F45F20" w:rsidP="00F45F20">
            <w:pPr>
              <w:jc w:val="center"/>
              <w:rPr>
                <w:rFonts w:ascii="Times New Roman" w:hAnsi="Times New Roman" w:cs="Times New Roman"/>
                <w:sz w:val="20"/>
                <w:szCs w:val="20"/>
              </w:rPr>
            </w:pPr>
            <w:r w:rsidRPr="00541AC3">
              <w:rPr>
                <w:rFonts w:ascii="Times New Roman" w:hAnsi="Times New Roman" w:cs="Times New Roman"/>
                <w:sz w:val="20"/>
                <w:szCs w:val="20"/>
              </w:rPr>
              <w:t>-0</w:t>
            </w:r>
            <w:r w:rsidR="0029431E" w:rsidRPr="00541AC3">
              <w:rPr>
                <w:rFonts w:ascii="Times New Roman" w:hAnsi="Times New Roman" w:cs="Times New Roman"/>
                <w:sz w:val="20"/>
                <w:szCs w:val="20"/>
              </w:rPr>
              <w:t>,</w:t>
            </w:r>
            <w:r w:rsidRPr="00541AC3">
              <w:rPr>
                <w:rFonts w:ascii="Times New Roman" w:hAnsi="Times New Roman" w:cs="Times New Roman"/>
                <w:sz w:val="20"/>
                <w:szCs w:val="20"/>
              </w:rPr>
              <w:t>04</w:t>
            </w:r>
          </w:p>
        </w:tc>
        <w:tc>
          <w:tcPr>
            <w:tcW w:w="0" w:type="auto"/>
            <w:vAlign w:val="center"/>
          </w:tcPr>
          <w:p w14:paraId="4C73A4ED" w14:textId="55ED77BA" w:rsidR="00F45F20" w:rsidRPr="00541AC3" w:rsidRDefault="00F45F20" w:rsidP="00F45F20">
            <w:pPr>
              <w:jc w:val="center"/>
              <w:rPr>
                <w:rFonts w:ascii="Times New Roman" w:hAnsi="Times New Roman" w:cs="Times New Roman"/>
                <w:sz w:val="20"/>
                <w:szCs w:val="20"/>
              </w:rPr>
            </w:pPr>
            <w:r w:rsidRPr="00541AC3">
              <w:rPr>
                <w:rFonts w:ascii="Times New Roman" w:hAnsi="Times New Roman" w:cs="Times New Roman"/>
                <w:sz w:val="20"/>
                <w:szCs w:val="20"/>
              </w:rPr>
              <w:t>0</w:t>
            </w:r>
            <w:r w:rsidR="0029431E" w:rsidRPr="00541AC3">
              <w:rPr>
                <w:rFonts w:ascii="Times New Roman" w:hAnsi="Times New Roman" w:cs="Times New Roman"/>
                <w:sz w:val="20"/>
                <w:szCs w:val="20"/>
              </w:rPr>
              <w:t>,</w:t>
            </w:r>
            <w:r w:rsidRPr="00541AC3">
              <w:rPr>
                <w:rFonts w:ascii="Times New Roman" w:hAnsi="Times New Roman" w:cs="Times New Roman"/>
                <w:sz w:val="20"/>
                <w:szCs w:val="20"/>
              </w:rPr>
              <w:t>13</w:t>
            </w:r>
          </w:p>
        </w:tc>
        <w:tc>
          <w:tcPr>
            <w:tcW w:w="0" w:type="auto"/>
            <w:vAlign w:val="center"/>
          </w:tcPr>
          <w:p w14:paraId="0B8B0353" w14:textId="158E731D" w:rsidR="00F45F20" w:rsidRPr="00541AC3" w:rsidRDefault="00F45F20" w:rsidP="00F45F20">
            <w:pPr>
              <w:jc w:val="center"/>
              <w:rPr>
                <w:rFonts w:ascii="Times New Roman" w:hAnsi="Times New Roman" w:cs="Times New Roman"/>
                <w:b/>
                <w:bCs/>
                <w:sz w:val="20"/>
                <w:szCs w:val="20"/>
              </w:rPr>
            </w:pPr>
            <w:r w:rsidRPr="00541AC3">
              <w:rPr>
                <w:rFonts w:ascii="Times New Roman" w:hAnsi="Times New Roman" w:cs="Times New Roman"/>
                <w:b/>
                <w:bCs/>
                <w:sz w:val="20"/>
                <w:szCs w:val="20"/>
              </w:rPr>
              <w:t>0</w:t>
            </w:r>
            <w:r w:rsidR="0029431E" w:rsidRPr="00541AC3">
              <w:rPr>
                <w:rFonts w:ascii="Times New Roman" w:hAnsi="Times New Roman" w:cs="Times New Roman"/>
                <w:b/>
                <w:bCs/>
                <w:sz w:val="20"/>
                <w:szCs w:val="20"/>
              </w:rPr>
              <w:t>,</w:t>
            </w:r>
            <w:r w:rsidRPr="00541AC3">
              <w:rPr>
                <w:rFonts w:ascii="Times New Roman" w:hAnsi="Times New Roman" w:cs="Times New Roman"/>
                <w:b/>
                <w:bCs/>
                <w:sz w:val="20"/>
                <w:szCs w:val="20"/>
              </w:rPr>
              <w:t>53</w:t>
            </w:r>
            <w:r w:rsidRPr="00541AC3">
              <w:rPr>
                <w:rFonts w:ascii="Times New Roman" w:hAnsi="Times New Roman" w:cs="Times New Roman"/>
                <w:b/>
                <w:bCs/>
                <w:sz w:val="20"/>
                <w:szCs w:val="20"/>
                <w:vertAlign w:val="superscript"/>
              </w:rPr>
              <w:t>*</w:t>
            </w:r>
          </w:p>
        </w:tc>
        <w:tc>
          <w:tcPr>
            <w:tcW w:w="0" w:type="auto"/>
            <w:vAlign w:val="center"/>
          </w:tcPr>
          <w:p w14:paraId="6F0B37DA" w14:textId="5D21E79F" w:rsidR="00F45F20" w:rsidRPr="00541AC3" w:rsidRDefault="00F45F20" w:rsidP="00F45F20">
            <w:pPr>
              <w:jc w:val="center"/>
              <w:rPr>
                <w:rFonts w:ascii="Times New Roman" w:hAnsi="Times New Roman" w:cs="Times New Roman"/>
                <w:sz w:val="20"/>
                <w:szCs w:val="20"/>
              </w:rPr>
            </w:pPr>
            <w:r w:rsidRPr="00541AC3">
              <w:rPr>
                <w:rFonts w:ascii="Times New Roman" w:hAnsi="Times New Roman" w:cs="Times New Roman"/>
                <w:sz w:val="20"/>
                <w:szCs w:val="20"/>
              </w:rPr>
              <w:t>-0</w:t>
            </w:r>
            <w:r w:rsidR="0029431E" w:rsidRPr="00541AC3">
              <w:rPr>
                <w:rFonts w:ascii="Times New Roman" w:hAnsi="Times New Roman" w:cs="Times New Roman"/>
                <w:sz w:val="20"/>
                <w:szCs w:val="20"/>
              </w:rPr>
              <w:t>,</w:t>
            </w:r>
            <w:r w:rsidRPr="00541AC3">
              <w:rPr>
                <w:rFonts w:ascii="Times New Roman" w:hAnsi="Times New Roman" w:cs="Times New Roman"/>
                <w:sz w:val="20"/>
                <w:szCs w:val="20"/>
              </w:rPr>
              <w:t>09</w:t>
            </w:r>
          </w:p>
        </w:tc>
        <w:tc>
          <w:tcPr>
            <w:tcW w:w="0" w:type="auto"/>
            <w:vAlign w:val="center"/>
          </w:tcPr>
          <w:p w14:paraId="1C6AA8F3" w14:textId="6C78B925" w:rsidR="00F45F20" w:rsidRPr="00541AC3" w:rsidRDefault="00F45F20" w:rsidP="00F45F20">
            <w:pPr>
              <w:jc w:val="center"/>
              <w:rPr>
                <w:rFonts w:ascii="Times New Roman" w:hAnsi="Times New Roman" w:cs="Times New Roman"/>
                <w:sz w:val="20"/>
                <w:szCs w:val="20"/>
              </w:rPr>
            </w:pPr>
            <w:r w:rsidRPr="00541AC3">
              <w:rPr>
                <w:rFonts w:ascii="Times New Roman" w:hAnsi="Times New Roman" w:cs="Times New Roman"/>
                <w:sz w:val="20"/>
                <w:szCs w:val="20"/>
              </w:rPr>
              <w:t>-0</w:t>
            </w:r>
            <w:r w:rsidR="0029431E" w:rsidRPr="00541AC3">
              <w:rPr>
                <w:rFonts w:ascii="Times New Roman" w:hAnsi="Times New Roman" w:cs="Times New Roman"/>
                <w:sz w:val="20"/>
                <w:szCs w:val="20"/>
              </w:rPr>
              <w:t>,</w:t>
            </w:r>
            <w:r w:rsidRPr="00541AC3">
              <w:rPr>
                <w:rFonts w:ascii="Times New Roman" w:hAnsi="Times New Roman" w:cs="Times New Roman"/>
                <w:sz w:val="20"/>
                <w:szCs w:val="20"/>
              </w:rPr>
              <w:t>17</w:t>
            </w:r>
          </w:p>
        </w:tc>
        <w:tc>
          <w:tcPr>
            <w:tcW w:w="0" w:type="auto"/>
            <w:vAlign w:val="center"/>
          </w:tcPr>
          <w:p w14:paraId="42E02468" w14:textId="0221DFDE" w:rsidR="00F45F20" w:rsidRPr="00541AC3" w:rsidRDefault="00F45F20" w:rsidP="00F45F20">
            <w:pPr>
              <w:jc w:val="center"/>
              <w:rPr>
                <w:rFonts w:ascii="Times New Roman" w:hAnsi="Times New Roman" w:cs="Times New Roman"/>
                <w:sz w:val="20"/>
                <w:szCs w:val="20"/>
              </w:rPr>
            </w:pPr>
            <w:r w:rsidRPr="00541AC3">
              <w:rPr>
                <w:rFonts w:ascii="Times New Roman" w:hAnsi="Times New Roman" w:cs="Times New Roman"/>
                <w:sz w:val="20"/>
                <w:szCs w:val="20"/>
              </w:rPr>
              <w:t>0</w:t>
            </w:r>
            <w:r w:rsidR="0029431E" w:rsidRPr="00541AC3">
              <w:rPr>
                <w:rFonts w:ascii="Times New Roman" w:hAnsi="Times New Roman" w:cs="Times New Roman"/>
                <w:sz w:val="20"/>
                <w:szCs w:val="20"/>
              </w:rPr>
              <w:t>,</w:t>
            </w:r>
            <w:r w:rsidRPr="00541AC3">
              <w:rPr>
                <w:rFonts w:ascii="Times New Roman" w:hAnsi="Times New Roman" w:cs="Times New Roman"/>
                <w:sz w:val="20"/>
                <w:szCs w:val="20"/>
              </w:rPr>
              <w:t>04</w:t>
            </w:r>
          </w:p>
        </w:tc>
      </w:tr>
      <w:tr w:rsidR="00541AC3" w:rsidRPr="00541AC3" w14:paraId="079F9493" w14:textId="77777777" w:rsidTr="00052C72">
        <w:trPr>
          <w:trHeight w:val="288"/>
          <w:jc w:val="center"/>
        </w:trPr>
        <w:tc>
          <w:tcPr>
            <w:tcW w:w="0" w:type="auto"/>
            <w:vAlign w:val="center"/>
          </w:tcPr>
          <w:p w14:paraId="02BD3C62" w14:textId="77777777" w:rsidR="00F45F20" w:rsidRPr="00541AC3" w:rsidRDefault="00F45F20" w:rsidP="00F45F20">
            <w:pPr>
              <w:rPr>
                <w:sz w:val="20"/>
                <w:szCs w:val="20"/>
              </w:rPr>
            </w:pPr>
            <w:r w:rsidRPr="00541AC3">
              <w:rPr>
                <w:rFonts w:ascii="Times New Roman" w:eastAsia="Times New Roman" w:hAnsi="Times New Roman" w:cs="Times New Roman"/>
                <w:b/>
                <w:bCs/>
                <w:sz w:val="20"/>
                <w:szCs w:val="20"/>
              </w:rPr>
              <w:t>MAD</w:t>
            </w:r>
          </w:p>
        </w:tc>
        <w:tc>
          <w:tcPr>
            <w:tcW w:w="0" w:type="auto"/>
            <w:vAlign w:val="center"/>
          </w:tcPr>
          <w:p w14:paraId="30C21CB9" w14:textId="5C6850F4" w:rsidR="00F45F20" w:rsidRPr="00541AC3" w:rsidRDefault="00F45F20" w:rsidP="00F45F20">
            <w:pPr>
              <w:jc w:val="center"/>
              <w:rPr>
                <w:rFonts w:ascii="Times New Roman" w:hAnsi="Times New Roman" w:cs="Times New Roman"/>
                <w:sz w:val="20"/>
                <w:szCs w:val="20"/>
              </w:rPr>
            </w:pPr>
            <w:r w:rsidRPr="00541AC3">
              <w:rPr>
                <w:rFonts w:ascii="Times New Roman" w:hAnsi="Times New Roman" w:cs="Times New Roman"/>
                <w:sz w:val="20"/>
                <w:szCs w:val="20"/>
              </w:rPr>
              <w:t>0</w:t>
            </w:r>
            <w:r w:rsidR="0029431E" w:rsidRPr="00541AC3">
              <w:rPr>
                <w:rFonts w:ascii="Times New Roman" w:hAnsi="Times New Roman" w:cs="Times New Roman"/>
                <w:sz w:val="20"/>
                <w:szCs w:val="20"/>
              </w:rPr>
              <w:t>,</w:t>
            </w:r>
            <w:r w:rsidRPr="00541AC3">
              <w:rPr>
                <w:rFonts w:ascii="Times New Roman" w:hAnsi="Times New Roman" w:cs="Times New Roman"/>
                <w:sz w:val="20"/>
                <w:szCs w:val="20"/>
              </w:rPr>
              <w:t>19</w:t>
            </w:r>
          </w:p>
        </w:tc>
        <w:tc>
          <w:tcPr>
            <w:tcW w:w="0" w:type="auto"/>
            <w:vAlign w:val="center"/>
          </w:tcPr>
          <w:p w14:paraId="21D4A3A0" w14:textId="1563543A" w:rsidR="00F45F20" w:rsidRPr="00541AC3" w:rsidRDefault="00F45F20" w:rsidP="00F45F20">
            <w:pPr>
              <w:jc w:val="center"/>
              <w:rPr>
                <w:rFonts w:ascii="Times New Roman" w:hAnsi="Times New Roman" w:cs="Times New Roman"/>
                <w:sz w:val="20"/>
                <w:szCs w:val="20"/>
              </w:rPr>
            </w:pPr>
            <w:r w:rsidRPr="00541AC3">
              <w:rPr>
                <w:rFonts w:ascii="Times New Roman" w:hAnsi="Times New Roman" w:cs="Times New Roman"/>
                <w:sz w:val="20"/>
                <w:szCs w:val="20"/>
              </w:rPr>
              <w:t>-0</w:t>
            </w:r>
            <w:r w:rsidR="0029431E" w:rsidRPr="00541AC3">
              <w:rPr>
                <w:rFonts w:ascii="Times New Roman" w:hAnsi="Times New Roman" w:cs="Times New Roman"/>
                <w:sz w:val="20"/>
                <w:szCs w:val="20"/>
              </w:rPr>
              <w:t>,</w:t>
            </w:r>
            <w:r w:rsidRPr="00541AC3">
              <w:rPr>
                <w:rFonts w:ascii="Times New Roman" w:hAnsi="Times New Roman" w:cs="Times New Roman"/>
                <w:sz w:val="20"/>
                <w:szCs w:val="20"/>
              </w:rPr>
              <w:t>02</w:t>
            </w:r>
          </w:p>
        </w:tc>
        <w:tc>
          <w:tcPr>
            <w:tcW w:w="0" w:type="auto"/>
            <w:vAlign w:val="center"/>
          </w:tcPr>
          <w:p w14:paraId="7596075D" w14:textId="6A83B73F" w:rsidR="00F45F20" w:rsidRPr="00541AC3" w:rsidRDefault="00F45F20" w:rsidP="00F45F20">
            <w:pPr>
              <w:jc w:val="center"/>
              <w:rPr>
                <w:rFonts w:ascii="Times New Roman" w:hAnsi="Times New Roman" w:cs="Times New Roman"/>
                <w:sz w:val="20"/>
                <w:szCs w:val="20"/>
              </w:rPr>
            </w:pPr>
            <w:r w:rsidRPr="00541AC3">
              <w:rPr>
                <w:rFonts w:ascii="Times New Roman" w:hAnsi="Times New Roman" w:cs="Times New Roman"/>
                <w:sz w:val="20"/>
                <w:szCs w:val="20"/>
              </w:rPr>
              <w:t>0</w:t>
            </w:r>
            <w:r w:rsidR="0029431E" w:rsidRPr="00541AC3">
              <w:rPr>
                <w:rFonts w:ascii="Times New Roman" w:hAnsi="Times New Roman" w:cs="Times New Roman"/>
                <w:sz w:val="20"/>
                <w:szCs w:val="20"/>
              </w:rPr>
              <w:t>,</w:t>
            </w:r>
            <w:r w:rsidRPr="00541AC3">
              <w:rPr>
                <w:rFonts w:ascii="Times New Roman" w:hAnsi="Times New Roman" w:cs="Times New Roman"/>
                <w:sz w:val="20"/>
                <w:szCs w:val="20"/>
              </w:rPr>
              <w:t>05</w:t>
            </w:r>
          </w:p>
        </w:tc>
        <w:tc>
          <w:tcPr>
            <w:tcW w:w="0" w:type="auto"/>
            <w:vAlign w:val="center"/>
          </w:tcPr>
          <w:p w14:paraId="17A57D9D" w14:textId="2B2A9214" w:rsidR="00F45F20" w:rsidRPr="00541AC3" w:rsidRDefault="00F45F20" w:rsidP="00F45F20">
            <w:pPr>
              <w:jc w:val="center"/>
              <w:rPr>
                <w:rFonts w:ascii="Times New Roman" w:hAnsi="Times New Roman" w:cs="Times New Roman"/>
                <w:sz w:val="20"/>
                <w:szCs w:val="20"/>
              </w:rPr>
            </w:pPr>
            <w:r w:rsidRPr="00541AC3">
              <w:rPr>
                <w:rFonts w:ascii="Times New Roman" w:hAnsi="Times New Roman" w:cs="Times New Roman"/>
                <w:sz w:val="20"/>
                <w:szCs w:val="20"/>
              </w:rPr>
              <w:t>0</w:t>
            </w:r>
            <w:r w:rsidR="0029431E" w:rsidRPr="00541AC3">
              <w:rPr>
                <w:rFonts w:ascii="Times New Roman" w:hAnsi="Times New Roman" w:cs="Times New Roman"/>
                <w:sz w:val="20"/>
                <w:szCs w:val="20"/>
              </w:rPr>
              <w:t>,</w:t>
            </w:r>
            <w:r w:rsidRPr="00541AC3">
              <w:rPr>
                <w:rFonts w:ascii="Times New Roman" w:hAnsi="Times New Roman" w:cs="Times New Roman"/>
                <w:sz w:val="20"/>
                <w:szCs w:val="20"/>
              </w:rPr>
              <w:t>2</w:t>
            </w:r>
          </w:p>
        </w:tc>
        <w:tc>
          <w:tcPr>
            <w:tcW w:w="0" w:type="auto"/>
            <w:vAlign w:val="center"/>
          </w:tcPr>
          <w:p w14:paraId="42D0A935" w14:textId="07B89195" w:rsidR="00F45F20" w:rsidRPr="00541AC3" w:rsidRDefault="00F45F20" w:rsidP="00F45F20">
            <w:pPr>
              <w:jc w:val="center"/>
              <w:rPr>
                <w:rFonts w:ascii="Times New Roman" w:hAnsi="Times New Roman" w:cs="Times New Roman"/>
                <w:sz w:val="20"/>
                <w:szCs w:val="20"/>
              </w:rPr>
            </w:pPr>
            <w:r w:rsidRPr="00541AC3">
              <w:rPr>
                <w:rFonts w:ascii="Times New Roman" w:hAnsi="Times New Roman" w:cs="Times New Roman"/>
                <w:sz w:val="20"/>
                <w:szCs w:val="20"/>
              </w:rPr>
              <w:t>0</w:t>
            </w:r>
            <w:r w:rsidR="0029431E" w:rsidRPr="00541AC3">
              <w:rPr>
                <w:rFonts w:ascii="Times New Roman" w:hAnsi="Times New Roman" w:cs="Times New Roman"/>
                <w:sz w:val="20"/>
                <w:szCs w:val="20"/>
              </w:rPr>
              <w:t>,</w:t>
            </w:r>
            <w:r w:rsidRPr="00541AC3">
              <w:rPr>
                <w:rFonts w:ascii="Times New Roman" w:hAnsi="Times New Roman" w:cs="Times New Roman"/>
                <w:sz w:val="20"/>
                <w:szCs w:val="20"/>
              </w:rPr>
              <w:t>03</w:t>
            </w:r>
          </w:p>
        </w:tc>
        <w:tc>
          <w:tcPr>
            <w:tcW w:w="0" w:type="auto"/>
            <w:vAlign w:val="center"/>
          </w:tcPr>
          <w:p w14:paraId="59F8206F" w14:textId="2CC74582" w:rsidR="00F45F20" w:rsidRPr="00541AC3" w:rsidRDefault="00F45F20" w:rsidP="00F45F20">
            <w:pPr>
              <w:jc w:val="center"/>
              <w:rPr>
                <w:rFonts w:ascii="Times New Roman" w:hAnsi="Times New Roman" w:cs="Times New Roman"/>
                <w:sz w:val="20"/>
                <w:szCs w:val="20"/>
              </w:rPr>
            </w:pPr>
            <w:r w:rsidRPr="00541AC3">
              <w:rPr>
                <w:rFonts w:ascii="Times New Roman" w:hAnsi="Times New Roman" w:cs="Times New Roman"/>
                <w:sz w:val="20"/>
                <w:szCs w:val="20"/>
              </w:rPr>
              <w:t>-0</w:t>
            </w:r>
            <w:r w:rsidR="0029431E" w:rsidRPr="00541AC3">
              <w:rPr>
                <w:rFonts w:ascii="Times New Roman" w:hAnsi="Times New Roman" w:cs="Times New Roman"/>
                <w:sz w:val="20"/>
                <w:szCs w:val="20"/>
              </w:rPr>
              <w:t>,</w:t>
            </w:r>
            <w:r w:rsidRPr="00541AC3">
              <w:rPr>
                <w:rFonts w:ascii="Times New Roman" w:hAnsi="Times New Roman" w:cs="Times New Roman"/>
                <w:sz w:val="20"/>
                <w:szCs w:val="20"/>
              </w:rPr>
              <w:t>16</w:t>
            </w:r>
          </w:p>
        </w:tc>
        <w:tc>
          <w:tcPr>
            <w:tcW w:w="0" w:type="auto"/>
            <w:vAlign w:val="center"/>
          </w:tcPr>
          <w:p w14:paraId="1F01156C" w14:textId="7FB93B0C" w:rsidR="00F45F20" w:rsidRPr="00541AC3" w:rsidRDefault="00F45F20" w:rsidP="00F45F20">
            <w:pPr>
              <w:jc w:val="center"/>
              <w:rPr>
                <w:rFonts w:ascii="Times New Roman" w:hAnsi="Times New Roman" w:cs="Times New Roman"/>
                <w:b/>
                <w:bCs/>
                <w:sz w:val="20"/>
                <w:szCs w:val="20"/>
              </w:rPr>
            </w:pPr>
            <w:r w:rsidRPr="00541AC3">
              <w:rPr>
                <w:rFonts w:ascii="Times New Roman" w:hAnsi="Times New Roman" w:cs="Times New Roman"/>
                <w:b/>
                <w:bCs/>
                <w:sz w:val="20"/>
                <w:szCs w:val="20"/>
              </w:rPr>
              <w:t>0</w:t>
            </w:r>
            <w:r w:rsidR="0029431E" w:rsidRPr="00541AC3">
              <w:rPr>
                <w:rFonts w:ascii="Times New Roman" w:hAnsi="Times New Roman" w:cs="Times New Roman"/>
                <w:b/>
                <w:bCs/>
                <w:sz w:val="20"/>
                <w:szCs w:val="20"/>
              </w:rPr>
              <w:t>,</w:t>
            </w:r>
            <w:r w:rsidRPr="00541AC3">
              <w:rPr>
                <w:rFonts w:ascii="Times New Roman" w:hAnsi="Times New Roman" w:cs="Times New Roman"/>
                <w:b/>
                <w:bCs/>
                <w:sz w:val="20"/>
                <w:szCs w:val="20"/>
              </w:rPr>
              <w:t>45</w:t>
            </w:r>
            <w:r w:rsidRPr="00541AC3">
              <w:rPr>
                <w:rFonts w:ascii="Dreaming Outloud Pro" w:eastAsia="Times New Roman" w:hAnsi="Dreaming Outloud Pro" w:cs="Dreaming Outloud Pro"/>
                <w:b/>
                <w:bCs/>
                <w:sz w:val="20"/>
                <w:szCs w:val="20"/>
                <w:vertAlign w:val="superscript"/>
              </w:rPr>
              <w:t>‡</w:t>
            </w:r>
          </w:p>
        </w:tc>
      </w:tr>
      <w:tr w:rsidR="00541AC3" w:rsidRPr="00541AC3" w14:paraId="75433F4A" w14:textId="77777777" w:rsidTr="00052C72">
        <w:trPr>
          <w:trHeight w:val="288"/>
          <w:jc w:val="center"/>
        </w:trPr>
        <w:tc>
          <w:tcPr>
            <w:tcW w:w="0" w:type="auto"/>
            <w:vAlign w:val="center"/>
          </w:tcPr>
          <w:p w14:paraId="101371B2" w14:textId="77777777" w:rsidR="00F45F20" w:rsidRPr="00541AC3" w:rsidRDefault="00F45F20" w:rsidP="00F45F20">
            <w:pPr>
              <w:rPr>
                <w:sz w:val="20"/>
                <w:szCs w:val="20"/>
              </w:rPr>
            </w:pPr>
            <w:r w:rsidRPr="00541AC3">
              <w:rPr>
                <w:rFonts w:ascii="Times New Roman" w:eastAsia="Times New Roman" w:hAnsi="Times New Roman" w:cs="Times New Roman"/>
                <w:b/>
                <w:bCs/>
                <w:sz w:val="20"/>
                <w:szCs w:val="20"/>
              </w:rPr>
              <w:t>EGS</w:t>
            </w:r>
          </w:p>
        </w:tc>
        <w:tc>
          <w:tcPr>
            <w:tcW w:w="0" w:type="auto"/>
            <w:vAlign w:val="center"/>
          </w:tcPr>
          <w:p w14:paraId="54FD662C" w14:textId="30EE07DF" w:rsidR="00F45F20" w:rsidRPr="00541AC3" w:rsidRDefault="00F45F20" w:rsidP="00F45F20">
            <w:pPr>
              <w:jc w:val="center"/>
              <w:rPr>
                <w:rFonts w:ascii="Times New Roman" w:hAnsi="Times New Roman" w:cs="Times New Roman"/>
                <w:sz w:val="20"/>
                <w:szCs w:val="20"/>
              </w:rPr>
            </w:pPr>
            <w:r w:rsidRPr="00541AC3">
              <w:rPr>
                <w:rFonts w:ascii="Times New Roman" w:hAnsi="Times New Roman" w:cs="Times New Roman"/>
                <w:sz w:val="20"/>
                <w:szCs w:val="20"/>
              </w:rPr>
              <w:t>-0</w:t>
            </w:r>
            <w:r w:rsidR="0029431E" w:rsidRPr="00541AC3">
              <w:rPr>
                <w:rFonts w:ascii="Times New Roman" w:hAnsi="Times New Roman" w:cs="Times New Roman"/>
                <w:sz w:val="20"/>
                <w:szCs w:val="20"/>
              </w:rPr>
              <w:t>,</w:t>
            </w:r>
            <w:r w:rsidRPr="00541AC3">
              <w:rPr>
                <w:rFonts w:ascii="Times New Roman" w:hAnsi="Times New Roman" w:cs="Times New Roman"/>
                <w:sz w:val="20"/>
                <w:szCs w:val="20"/>
              </w:rPr>
              <w:t>05</w:t>
            </w:r>
          </w:p>
        </w:tc>
        <w:tc>
          <w:tcPr>
            <w:tcW w:w="0" w:type="auto"/>
            <w:vAlign w:val="center"/>
          </w:tcPr>
          <w:p w14:paraId="18457BC8" w14:textId="339C525F" w:rsidR="00F45F20" w:rsidRPr="00541AC3" w:rsidRDefault="00F45F20" w:rsidP="00F45F20">
            <w:pPr>
              <w:jc w:val="center"/>
              <w:rPr>
                <w:rFonts w:ascii="Times New Roman" w:hAnsi="Times New Roman" w:cs="Times New Roman"/>
                <w:sz w:val="20"/>
                <w:szCs w:val="20"/>
              </w:rPr>
            </w:pPr>
            <w:r w:rsidRPr="00541AC3">
              <w:rPr>
                <w:rFonts w:ascii="Times New Roman" w:hAnsi="Times New Roman" w:cs="Times New Roman"/>
                <w:sz w:val="20"/>
                <w:szCs w:val="20"/>
              </w:rPr>
              <w:t>0</w:t>
            </w:r>
            <w:r w:rsidR="0029431E" w:rsidRPr="00541AC3">
              <w:rPr>
                <w:rFonts w:ascii="Times New Roman" w:hAnsi="Times New Roman" w:cs="Times New Roman"/>
                <w:sz w:val="20"/>
                <w:szCs w:val="20"/>
              </w:rPr>
              <w:t>,</w:t>
            </w:r>
            <w:r w:rsidRPr="00541AC3">
              <w:rPr>
                <w:rFonts w:ascii="Times New Roman" w:hAnsi="Times New Roman" w:cs="Times New Roman"/>
                <w:sz w:val="20"/>
                <w:szCs w:val="20"/>
              </w:rPr>
              <w:t>03</w:t>
            </w:r>
          </w:p>
        </w:tc>
        <w:tc>
          <w:tcPr>
            <w:tcW w:w="0" w:type="auto"/>
            <w:vAlign w:val="center"/>
          </w:tcPr>
          <w:p w14:paraId="3CAA5A4F" w14:textId="165EC427" w:rsidR="00F45F20" w:rsidRPr="00541AC3" w:rsidRDefault="00F45F20" w:rsidP="00F45F20">
            <w:pPr>
              <w:jc w:val="center"/>
              <w:rPr>
                <w:rFonts w:ascii="Times New Roman" w:hAnsi="Times New Roman" w:cs="Times New Roman"/>
                <w:sz w:val="20"/>
                <w:szCs w:val="20"/>
              </w:rPr>
            </w:pPr>
            <w:r w:rsidRPr="00541AC3">
              <w:rPr>
                <w:rFonts w:ascii="Times New Roman" w:hAnsi="Times New Roman" w:cs="Times New Roman"/>
                <w:sz w:val="20"/>
                <w:szCs w:val="20"/>
              </w:rPr>
              <w:t>0</w:t>
            </w:r>
            <w:r w:rsidR="0029431E" w:rsidRPr="00541AC3">
              <w:rPr>
                <w:rFonts w:ascii="Times New Roman" w:hAnsi="Times New Roman" w:cs="Times New Roman"/>
                <w:sz w:val="20"/>
                <w:szCs w:val="20"/>
              </w:rPr>
              <w:t>,</w:t>
            </w:r>
            <w:r w:rsidRPr="00541AC3">
              <w:rPr>
                <w:rFonts w:ascii="Times New Roman" w:hAnsi="Times New Roman" w:cs="Times New Roman"/>
                <w:sz w:val="20"/>
                <w:szCs w:val="20"/>
              </w:rPr>
              <w:t>19</w:t>
            </w:r>
          </w:p>
        </w:tc>
        <w:tc>
          <w:tcPr>
            <w:tcW w:w="0" w:type="auto"/>
            <w:vAlign w:val="center"/>
          </w:tcPr>
          <w:p w14:paraId="6E575A72" w14:textId="7782AD60" w:rsidR="00F45F20" w:rsidRPr="00541AC3" w:rsidRDefault="00F45F20" w:rsidP="00F45F20">
            <w:pPr>
              <w:jc w:val="center"/>
              <w:rPr>
                <w:rFonts w:ascii="Times New Roman" w:hAnsi="Times New Roman" w:cs="Times New Roman"/>
                <w:sz w:val="20"/>
                <w:szCs w:val="20"/>
              </w:rPr>
            </w:pPr>
            <w:r w:rsidRPr="00541AC3">
              <w:rPr>
                <w:rFonts w:ascii="Times New Roman" w:hAnsi="Times New Roman" w:cs="Times New Roman"/>
                <w:sz w:val="20"/>
                <w:szCs w:val="20"/>
              </w:rPr>
              <w:t>0</w:t>
            </w:r>
            <w:r w:rsidR="0029431E" w:rsidRPr="00541AC3">
              <w:rPr>
                <w:rFonts w:ascii="Times New Roman" w:hAnsi="Times New Roman" w:cs="Times New Roman"/>
                <w:sz w:val="20"/>
                <w:szCs w:val="20"/>
              </w:rPr>
              <w:t>,</w:t>
            </w:r>
            <w:r w:rsidRPr="00541AC3">
              <w:rPr>
                <w:rFonts w:ascii="Times New Roman" w:hAnsi="Times New Roman" w:cs="Times New Roman"/>
                <w:sz w:val="20"/>
                <w:szCs w:val="20"/>
              </w:rPr>
              <w:t>23</w:t>
            </w:r>
          </w:p>
        </w:tc>
        <w:tc>
          <w:tcPr>
            <w:tcW w:w="0" w:type="auto"/>
            <w:vAlign w:val="center"/>
          </w:tcPr>
          <w:p w14:paraId="2835A7C6" w14:textId="63786615" w:rsidR="00F45F20" w:rsidRPr="00541AC3" w:rsidRDefault="00F45F20" w:rsidP="00F45F20">
            <w:pPr>
              <w:jc w:val="center"/>
              <w:rPr>
                <w:rFonts w:ascii="Times New Roman" w:hAnsi="Times New Roman" w:cs="Times New Roman"/>
                <w:sz w:val="20"/>
                <w:szCs w:val="20"/>
              </w:rPr>
            </w:pPr>
            <w:r w:rsidRPr="00541AC3">
              <w:rPr>
                <w:rFonts w:ascii="Times New Roman" w:hAnsi="Times New Roman" w:cs="Times New Roman"/>
                <w:sz w:val="20"/>
                <w:szCs w:val="20"/>
              </w:rPr>
              <w:t>0</w:t>
            </w:r>
            <w:r w:rsidR="0029431E" w:rsidRPr="00541AC3">
              <w:rPr>
                <w:rFonts w:ascii="Times New Roman" w:hAnsi="Times New Roman" w:cs="Times New Roman"/>
                <w:sz w:val="20"/>
                <w:szCs w:val="20"/>
              </w:rPr>
              <w:t>,</w:t>
            </w:r>
            <w:r w:rsidRPr="00541AC3">
              <w:rPr>
                <w:rFonts w:ascii="Times New Roman" w:hAnsi="Times New Roman" w:cs="Times New Roman"/>
                <w:sz w:val="20"/>
                <w:szCs w:val="20"/>
              </w:rPr>
              <w:t>29</w:t>
            </w:r>
          </w:p>
        </w:tc>
        <w:tc>
          <w:tcPr>
            <w:tcW w:w="0" w:type="auto"/>
            <w:vAlign w:val="center"/>
          </w:tcPr>
          <w:p w14:paraId="2D72212F" w14:textId="68F46B5D" w:rsidR="00F45F20" w:rsidRPr="00541AC3" w:rsidRDefault="00F45F20" w:rsidP="00F45F20">
            <w:pPr>
              <w:jc w:val="center"/>
              <w:rPr>
                <w:rFonts w:ascii="Times New Roman" w:hAnsi="Times New Roman" w:cs="Times New Roman"/>
                <w:sz w:val="20"/>
                <w:szCs w:val="20"/>
              </w:rPr>
            </w:pPr>
            <w:r w:rsidRPr="00541AC3">
              <w:rPr>
                <w:rFonts w:ascii="Times New Roman" w:hAnsi="Times New Roman" w:cs="Times New Roman"/>
                <w:sz w:val="20"/>
                <w:szCs w:val="20"/>
              </w:rPr>
              <w:t>-0</w:t>
            </w:r>
            <w:r w:rsidR="0029431E" w:rsidRPr="00541AC3">
              <w:rPr>
                <w:rFonts w:ascii="Times New Roman" w:hAnsi="Times New Roman" w:cs="Times New Roman"/>
                <w:sz w:val="20"/>
                <w:szCs w:val="20"/>
              </w:rPr>
              <w:t>,</w:t>
            </w:r>
            <w:r w:rsidRPr="00541AC3">
              <w:rPr>
                <w:rFonts w:ascii="Times New Roman" w:hAnsi="Times New Roman" w:cs="Times New Roman"/>
                <w:sz w:val="20"/>
                <w:szCs w:val="20"/>
              </w:rPr>
              <w:t>16</w:t>
            </w:r>
          </w:p>
        </w:tc>
        <w:tc>
          <w:tcPr>
            <w:tcW w:w="0" w:type="auto"/>
            <w:vAlign w:val="center"/>
          </w:tcPr>
          <w:p w14:paraId="0E6FE224" w14:textId="2151691F" w:rsidR="00F45F20" w:rsidRPr="00541AC3" w:rsidRDefault="00F45F20" w:rsidP="00F45F20">
            <w:pPr>
              <w:jc w:val="center"/>
              <w:rPr>
                <w:rFonts w:ascii="Times New Roman" w:hAnsi="Times New Roman" w:cs="Times New Roman"/>
                <w:sz w:val="20"/>
                <w:szCs w:val="20"/>
              </w:rPr>
            </w:pPr>
            <w:r w:rsidRPr="00541AC3">
              <w:rPr>
                <w:rFonts w:ascii="Times New Roman" w:hAnsi="Times New Roman" w:cs="Times New Roman"/>
                <w:sz w:val="20"/>
                <w:szCs w:val="20"/>
              </w:rPr>
              <w:t>0</w:t>
            </w:r>
            <w:r w:rsidR="0029431E" w:rsidRPr="00541AC3">
              <w:rPr>
                <w:rFonts w:ascii="Times New Roman" w:hAnsi="Times New Roman" w:cs="Times New Roman"/>
                <w:sz w:val="20"/>
                <w:szCs w:val="20"/>
              </w:rPr>
              <w:t>,</w:t>
            </w:r>
            <w:r w:rsidRPr="00541AC3">
              <w:rPr>
                <w:rFonts w:ascii="Times New Roman" w:hAnsi="Times New Roman" w:cs="Times New Roman"/>
                <w:sz w:val="20"/>
                <w:szCs w:val="20"/>
              </w:rPr>
              <w:t>13</w:t>
            </w:r>
          </w:p>
        </w:tc>
      </w:tr>
      <w:tr w:rsidR="00541AC3" w:rsidRPr="00541AC3" w14:paraId="5A821CD5" w14:textId="77777777" w:rsidTr="00052C72">
        <w:trPr>
          <w:trHeight w:val="288"/>
          <w:jc w:val="center"/>
        </w:trPr>
        <w:tc>
          <w:tcPr>
            <w:tcW w:w="0" w:type="auto"/>
            <w:vAlign w:val="center"/>
          </w:tcPr>
          <w:p w14:paraId="2FDFED46" w14:textId="77777777" w:rsidR="00F45F20" w:rsidRPr="00541AC3" w:rsidRDefault="00F45F20" w:rsidP="00F45F20">
            <w:pPr>
              <w:rPr>
                <w:sz w:val="20"/>
                <w:szCs w:val="20"/>
              </w:rPr>
            </w:pPr>
            <w:r w:rsidRPr="00541AC3">
              <w:rPr>
                <w:rFonts w:ascii="Times New Roman" w:eastAsia="Times New Roman" w:hAnsi="Times New Roman" w:cs="Times New Roman"/>
                <w:b/>
                <w:bCs/>
                <w:sz w:val="20"/>
                <w:szCs w:val="20"/>
              </w:rPr>
              <w:t>UHD</w:t>
            </w:r>
          </w:p>
        </w:tc>
        <w:tc>
          <w:tcPr>
            <w:tcW w:w="0" w:type="auto"/>
            <w:vAlign w:val="center"/>
          </w:tcPr>
          <w:p w14:paraId="3C9E65C7" w14:textId="210FE9A4" w:rsidR="00F45F20" w:rsidRPr="00541AC3" w:rsidRDefault="00F45F20" w:rsidP="00F45F20">
            <w:pPr>
              <w:jc w:val="center"/>
              <w:rPr>
                <w:rFonts w:ascii="Times New Roman" w:hAnsi="Times New Roman" w:cs="Times New Roman"/>
                <w:sz w:val="20"/>
                <w:szCs w:val="20"/>
              </w:rPr>
            </w:pPr>
            <w:r w:rsidRPr="00541AC3">
              <w:rPr>
                <w:rFonts w:ascii="Times New Roman" w:hAnsi="Times New Roman" w:cs="Times New Roman"/>
                <w:sz w:val="20"/>
                <w:szCs w:val="20"/>
              </w:rPr>
              <w:t>-0</w:t>
            </w:r>
            <w:r w:rsidR="0029431E" w:rsidRPr="00541AC3">
              <w:rPr>
                <w:rFonts w:ascii="Times New Roman" w:hAnsi="Times New Roman" w:cs="Times New Roman"/>
                <w:sz w:val="20"/>
                <w:szCs w:val="20"/>
              </w:rPr>
              <w:t>,</w:t>
            </w:r>
            <w:r w:rsidRPr="00541AC3">
              <w:rPr>
                <w:rFonts w:ascii="Times New Roman" w:hAnsi="Times New Roman" w:cs="Times New Roman"/>
                <w:sz w:val="20"/>
                <w:szCs w:val="20"/>
              </w:rPr>
              <w:t>03</w:t>
            </w:r>
          </w:p>
        </w:tc>
        <w:tc>
          <w:tcPr>
            <w:tcW w:w="0" w:type="auto"/>
            <w:vAlign w:val="center"/>
          </w:tcPr>
          <w:p w14:paraId="23B36AD9" w14:textId="0D9AD042" w:rsidR="00F45F20" w:rsidRPr="00541AC3" w:rsidRDefault="00F45F20" w:rsidP="00F45F20">
            <w:pPr>
              <w:jc w:val="center"/>
              <w:rPr>
                <w:rFonts w:ascii="Times New Roman" w:hAnsi="Times New Roman" w:cs="Times New Roman"/>
                <w:b/>
                <w:bCs/>
                <w:sz w:val="20"/>
                <w:szCs w:val="20"/>
              </w:rPr>
            </w:pPr>
            <w:r w:rsidRPr="00541AC3">
              <w:rPr>
                <w:rFonts w:ascii="Times New Roman" w:hAnsi="Times New Roman" w:cs="Times New Roman"/>
                <w:b/>
                <w:bCs/>
                <w:sz w:val="20"/>
                <w:szCs w:val="20"/>
              </w:rPr>
              <w:t>0</w:t>
            </w:r>
            <w:r w:rsidR="0029431E" w:rsidRPr="00541AC3">
              <w:rPr>
                <w:rFonts w:ascii="Times New Roman" w:hAnsi="Times New Roman" w:cs="Times New Roman"/>
                <w:b/>
                <w:bCs/>
                <w:sz w:val="20"/>
                <w:szCs w:val="20"/>
              </w:rPr>
              <w:t>,</w:t>
            </w:r>
            <w:r w:rsidRPr="00541AC3">
              <w:rPr>
                <w:rFonts w:ascii="Times New Roman" w:hAnsi="Times New Roman" w:cs="Times New Roman"/>
                <w:b/>
                <w:bCs/>
                <w:sz w:val="20"/>
                <w:szCs w:val="20"/>
              </w:rPr>
              <w:t>63</w:t>
            </w:r>
            <w:r w:rsidRPr="00541AC3">
              <w:rPr>
                <w:rFonts w:ascii="Times New Roman" w:hAnsi="Times New Roman" w:cs="Times New Roman"/>
                <w:b/>
                <w:bCs/>
                <w:sz w:val="20"/>
                <w:szCs w:val="20"/>
                <w:vertAlign w:val="superscript"/>
              </w:rPr>
              <w:t>**</w:t>
            </w:r>
          </w:p>
        </w:tc>
        <w:tc>
          <w:tcPr>
            <w:tcW w:w="0" w:type="auto"/>
            <w:vAlign w:val="center"/>
          </w:tcPr>
          <w:p w14:paraId="3516BB5C" w14:textId="788F4B27" w:rsidR="00F45F20" w:rsidRPr="00541AC3" w:rsidRDefault="00F45F20" w:rsidP="00F45F20">
            <w:pPr>
              <w:jc w:val="center"/>
              <w:rPr>
                <w:rFonts w:ascii="Times New Roman" w:hAnsi="Times New Roman" w:cs="Times New Roman"/>
                <w:sz w:val="20"/>
                <w:szCs w:val="20"/>
              </w:rPr>
            </w:pPr>
            <w:r w:rsidRPr="00541AC3">
              <w:rPr>
                <w:rFonts w:ascii="Times New Roman" w:hAnsi="Times New Roman" w:cs="Times New Roman"/>
                <w:sz w:val="20"/>
                <w:szCs w:val="20"/>
              </w:rPr>
              <w:t>0</w:t>
            </w:r>
            <w:r w:rsidR="0029431E" w:rsidRPr="00541AC3">
              <w:rPr>
                <w:rFonts w:ascii="Times New Roman" w:hAnsi="Times New Roman" w:cs="Times New Roman"/>
                <w:sz w:val="20"/>
                <w:szCs w:val="20"/>
              </w:rPr>
              <w:t>,</w:t>
            </w:r>
            <w:r w:rsidRPr="00541AC3">
              <w:rPr>
                <w:rFonts w:ascii="Times New Roman" w:hAnsi="Times New Roman" w:cs="Times New Roman"/>
                <w:sz w:val="20"/>
                <w:szCs w:val="20"/>
              </w:rPr>
              <w:t>11</w:t>
            </w:r>
          </w:p>
        </w:tc>
        <w:tc>
          <w:tcPr>
            <w:tcW w:w="0" w:type="auto"/>
            <w:vAlign w:val="center"/>
          </w:tcPr>
          <w:p w14:paraId="441E7890" w14:textId="22F03FC3" w:rsidR="00F45F20" w:rsidRPr="00541AC3" w:rsidRDefault="00F45F20" w:rsidP="00F45F20">
            <w:pPr>
              <w:jc w:val="center"/>
              <w:rPr>
                <w:rFonts w:ascii="Times New Roman" w:hAnsi="Times New Roman" w:cs="Times New Roman"/>
                <w:sz w:val="20"/>
                <w:szCs w:val="20"/>
              </w:rPr>
            </w:pPr>
            <w:r w:rsidRPr="00541AC3">
              <w:rPr>
                <w:rFonts w:ascii="Times New Roman" w:hAnsi="Times New Roman" w:cs="Times New Roman"/>
                <w:sz w:val="20"/>
                <w:szCs w:val="20"/>
              </w:rPr>
              <w:t>-0</w:t>
            </w:r>
            <w:r w:rsidR="0029431E" w:rsidRPr="00541AC3">
              <w:rPr>
                <w:rFonts w:ascii="Times New Roman" w:hAnsi="Times New Roman" w:cs="Times New Roman"/>
                <w:sz w:val="20"/>
                <w:szCs w:val="20"/>
              </w:rPr>
              <w:t>,</w:t>
            </w:r>
            <w:r w:rsidRPr="00541AC3">
              <w:rPr>
                <w:rFonts w:ascii="Times New Roman" w:hAnsi="Times New Roman" w:cs="Times New Roman"/>
                <w:sz w:val="20"/>
                <w:szCs w:val="20"/>
              </w:rPr>
              <w:t>23</w:t>
            </w:r>
          </w:p>
        </w:tc>
        <w:tc>
          <w:tcPr>
            <w:tcW w:w="0" w:type="auto"/>
            <w:vAlign w:val="center"/>
          </w:tcPr>
          <w:p w14:paraId="6003F25E" w14:textId="0573CF12" w:rsidR="00F45F20" w:rsidRPr="00541AC3" w:rsidRDefault="00F45F20" w:rsidP="00F45F20">
            <w:pPr>
              <w:jc w:val="center"/>
              <w:rPr>
                <w:rFonts w:ascii="Times New Roman" w:hAnsi="Times New Roman" w:cs="Times New Roman"/>
                <w:sz w:val="20"/>
                <w:szCs w:val="20"/>
              </w:rPr>
            </w:pPr>
            <w:r w:rsidRPr="00541AC3">
              <w:rPr>
                <w:rFonts w:ascii="Times New Roman" w:hAnsi="Times New Roman" w:cs="Times New Roman"/>
                <w:sz w:val="20"/>
                <w:szCs w:val="20"/>
              </w:rPr>
              <w:t>0</w:t>
            </w:r>
            <w:r w:rsidR="0029431E" w:rsidRPr="00541AC3">
              <w:rPr>
                <w:rFonts w:ascii="Times New Roman" w:hAnsi="Times New Roman" w:cs="Times New Roman"/>
                <w:sz w:val="20"/>
                <w:szCs w:val="20"/>
              </w:rPr>
              <w:t>,</w:t>
            </w:r>
            <w:r w:rsidRPr="00541AC3">
              <w:rPr>
                <w:rFonts w:ascii="Times New Roman" w:hAnsi="Times New Roman" w:cs="Times New Roman"/>
                <w:sz w:val="20"/>
                <w:szCs w:val="20"/>
              </w:rPr>
              <w:t>12</w:t>
            </w:r>
          </w:p>
        </w:tc>
        <w:tc>
          <w:tcPr>
            <w:tcW w:w="0" w:type="auto"/>
            <w:vAlign w:val="center"/>
          </w:tcPr>
          <w:p w14:paraId="1275F9FC" w14:textId="6F569978" w:rsidR="00F45F20" w:rsidRPr="00541AC3" w:rsidRDefault="00F45F20" w:rsidP="00F45F20">
            <w:pPr>
              <w:jc w:val="center"/>
              <w:rPr>
                <w:rFonts w:ascii="Times New Roman" w:hAnsi="Times New Roman" w:cs="Times New Roman"/>
                <w:sz w:val="20"/>
                <w:szCs w:val="20"/>
              </w:rPr>
            </w:pPr>
            <w:r w:rsidRPr="00541AC3">
              <w:rPr>
                <w:rFonts w:ascii="Times New Roman" w:hAnsi="Times New Roman" w:cs="Times New Roman"/>
                <w:sz w:val="20"/>
                <w:szCs w:val="20"/>
              </w:rPr>
              <w:t>-0</w:t>
            </w:r>
            <w:r w:rsidR="0029431E" w:rsidRPr="00541AC3">
              <w:rPr>
                <w:rFonts w:ascii="Times New Roman" w:hAnsi="Times New Roman" w:cs="Times New Roman"/>
                <w:sz w:val="20"/>
                <w:szCs w:val="20"/>
              </w:rPr>
              <w:t>,</w:t>
            </w:r>
            <w:r w:rsidRPr="00541AC3">
              <w:rPr>
                <w:rFonts w:ascii="Times New Roman" w:hAnsi="Times New Roman" w:cs="Times New Roman"/>
                <w:sz w:val="20"/>
                <w:szCs w:val="20"/>
              </w:rPr>
              <w:t>18</w:t>
            </w:r>
          </w:p>
        </w:tc>
        <w:tc>
          <w:tcPr>
            <w:tcW w:w="0" w:type="auto"/>
            <w:vAlign w:val="center"/>
          </w:tcPr>
          <w:p w14:paraId="5303F95C" w14:textId="0FE0F104" w:rsidR="00F45F20" w:rsidRPr="00541AC3" w:rsidRDefault="00F45F20" w:rsidP="00F45F20">
            <w:pPr>
              <w:jc w:val="center"/>
              <w:rPr>
                <w:rFonts w:ascii="Times New Roman" w:hAnsi="Times New Roman" w:cs="Times New Roman"/>
                <w:sz w:val="20"/>
                <w:szCs w:val="20"/>
              </w:rPr>
            </w:pPr>
            <w:r w:rsidRPr="00541AC3">
              <w:rPr>
                <w:rFonts w:ascii="Times New Roman" w:hAnsi="Times New Roman" w:cs="Times New Roman"/>
                <w:sz w:val="20"/>
                <w:szCs w:val="20"/>
              </w:rPr>
              <w:t>-0</w:t>
            </w:r>
            <w:r w:rsidR="0029431E" w:rsidRPr="00541AC3">
              <w:rPr>
                <w:rFonts w:ascii="Times New Roman" w:hAnsi="Times New Roman" w:cs="Times New Roman"/>
                <w:sz w:val="20"/>
                <w:szCs w:val="20"/>
              </w:rPr>
              <w:t>,</w:t>
            </w:r>
            <w:r w:rsidRPr="00541AC3">
              <w:rPr>
                <w:rFonts w:ascii="Times New Roman" w:hAnsi="Times New Roman" w:cs="Times New Roman"/>
                <w:sz w:val="20"/>
                <w:szCs w:val="20"/>
              </w:rPr>
              <w:t>09</w:t>
            </w:r>
          </w:p>
        </w:tc>
      </w:tr>
      <w:tr w:rsidR="00541AC3" w:rsidRPr="00541AC3" w14:paraId="2E19822C" w14:textId="77777777" w:rsidTr="00052C72">
        <w:trPr>
          <w:trHeight w:val="288"/>
          <w:jc w:val="center"/>
        </w:trPr>
        <w:tc>
          <w:tcPr>
            <w:tcW w:w="0" w:type="auto"/>
            <w:vAlign w:val="center"/>
          </w:tcPr>
          <w:p w14:paraId="4C98EC1F" w14:textId="77777777" w:rsidR="00F45F20" w:rsidRPr="00541AC3" w:rsidRDefault="00F45F20" w:rsidP="00F45F20">
            <w:pPr>
              <w:rPr>
                <w:sz w:val="20"/>
                <w:szCs w:val="20"/>
              </w:rPr>
            </w:pPr>
            <w:r w:rsidRPr="00541AC3">
              <w:rPr>
                <w:rFonts w:ascii="Times New Roman" w:eastAsia="Times New Roman" w:hAnsi="Times New Roman" w:cs="Times New Roman"/>
                <w:b/>
                <w:bCs/>
                <w:sz w:val="20"/>
                <w:szCs w:val="20"/>
              </w:rPr>
              <w:t>TİC</w:t>
            </w:r>
          </w:p>
        </w:tc>
        <w:tc>
          <w:tcPr>
            <w:tcW w:w="0" w:type="auto"/>
            <w:vAlign w:val="center"/>
          </w:tcPr>
          <w:p w14:paraId="21A74BD0" w14:textId="3FBABDF0" w:rsidR="00F45F20" w:rsidRPr="00541AC3" w:rsidRDefault="00F45F20" w:rsidP="00F45F20">
            <w:pPr>
              <w:jc w:val="center"/>
              <w:rPr>
                <w:rFonts w:ascii="Times New Roman" w:hAnsi="Times New Roman" w:cs="Times New Roman"/>
                <w:sz w:val="20"/>
                <w:szCs w:val="20"/>
              </w:rPr>
            </w:pPr>
            <w:r w:rsidRPr="00541AC3">
              <w:rPr>
                <w:rFonts w:ascii="Times New Roman" w:hAnsi="Times New Roman" w:cs="Times New Roman"/>
                <w:sz w:val="20"/>
                <w:szCs w:val="20"/>
              </w:rPr>
              <w:t>-0</w:t>
            </w:r>
            <w:r w:rsidR="0029431E" w:rsidRPr="00541AC3">
              <w:rPr>
                <w:rFonts w:ascii="Times New Roman" w:hAnsi="Times New Roman" w:cs="Times New Roman"/>
                <w:sz w:val="20"/>
                <w:szCs w:val="20"/>
              </w:rPr>
              <w:t>,</w:t>
            </w:r>
            <w:r w:rsidRPr="00541AC3">
              <w:rPr>
                <w:rFonts w:ascii="Times New Roman" w:hAnsi="Times New Roman" w:cs="Times New Roman"/>
                <w:sz w:val="20"/>
                <w:szCs w:val="20"/>
              </w:rPr>
              <w:t>19</w:t>
            </w:r>
          </w:p>
        </w:tc>
        <w:tc>
          <w:tcPr>
            <w:tcW w:w="0" w:type="auto"/>
            <w:vAlign w:val="center"/>
          </w:tcPr>
          <w:p w14:paraId="2A142947" w14:textId="22CC692D" w:rsidR="00F45F20" w:rsidRPr="00541AC3" w:rsidRDefault="00F45F20" w:rsidP="00F45F20">
            <w:pPr>
              <w:jc w:val="center"/>
              <w:rPr>
                <w:rFonts w:ascii="Times New Roman" w:hAnsi="Times New Roman" w:cs="Times New Roman"/>
                <w:sz w:val="20"/>
                <w:szCs w:val="20"/>
              </w:rPr>
            </w:pPr>
            <w:r w:rsidRPr="00541AC3">
              <w:rPr>
                <w:rFonts w:ascii="Times New Roman" w:hAnsi="Times New Roman" w:cs="Times New Roman"/>
                <w:sz w:val="20"/>
                <w:szCs w:val="20"/>
              </w:rPr>
              <w:t>0</w:t>
            </w:r>
            <w:r w:rsidR="0029431E" w:rsidRPr="00541AC3">
              <w:rPr>
                <w:rFonts w:ascii="Times New Roman" w:hAnsi="Times New Roman" w:cs="Times New Roman"/>
                <w:sz w:val="20"/>
                <w:szCs w:val="20"/>
              </w:rPr>
              <w:t>,</w:t>
            </w:r>
            <w:r w:rsidRPr="00541AC3">
              <w:rPr>
                <w:rFonts w:ascii="Times New Roman" w:hAnsi="Times New Roman" w:cs="Times New Roman"/>
                <w:sz w:val="20"/>
                <w:szCs w:val="20"/>
              </w:rPr>
              <w:t>33</w:t>
            </w:r>
          </w:p>
        </w:tc>
        <w:tc>
          <w:tcPr>
            <w:tcW w:w="0" w:type="auto"/>
            <w:vAlign w:val="center"/>
          </w:tcPr>
          <w:p w14:paraId="628063E7" w14:textId="6B2D7E79" w:rsidR="00F45F20" w:rsidRPr="00541AC3" w:rsidRDefault="00F45F20" w:rsidP="00F45F20">
            <w:pPr>
              <w:jc w:val="center"/>
              <w:rPr>
                <w:rFonts w:ascii="Times New Roman" w:hAnsi="Times New Roman" w:cs="Times New Roman"/>
                <w:sz w:val="20"/>
                <w:szCs w:val="20"/>
              </w:rPr>
            </w:pPr>
            <w:r w:rsidRPr="00541AC3">
              <w:rPr>
                <w:rFonts w:ascii="Times New Roman" w:hAnsi="Times New Roman" w:cs="Times New Roman"/>
                <w:sz w:val="20"/>
                <w:szCs w:val="20"/>
              </w:rPr>
              <w:t>0</w:t>
            </w:r>
            <w:r w:rsidR="0029431E" w:rsidRPr="00541AC3">
              <w:rPr>
                <w:rFonts w:ascii="Times New Roman" w:hAnsi="Times New Roman" w:cs="Times New Roman"/>
                <w:sz w:val="20"/>
                <w:szCs w:val="20"/>
              </w:rPr>
              <w:t>,</w:t>
            </w:r>
            <w:r w:rsidRPr="00541AC3">
              <w:rPr>
                <w:rFonts w:ascii="Times New Roman" w:hAnsi="Times New Roman" w:cs="Times New Roman"/>
                <w:sz w:val="20"/>
                <w:szCs w:val="20"/>
              </w:rPr>
              <w:t>33</w:t>
            </w:r>
          </w:p>
        </w:tc>
        <w:tc>
          <w:tcPr>
            <w:tcW w:w="0" w:type="auto"/>
            <w:vAlign w:val="center"/>
          </w:tcPr>
          <w:p w14:paraId="72859052" w14:textId="4ED0F0D2" w:rsidR="00F45F20" w:rsidRPr="00541AC3" w:rsidRDefault="00F45F20" w:rsidP="00F45F20">
            <w:pPr>
              <w:jc w:val="center"/>
              <w:rPr>
                <w:rFonts w:ascii="Times New Roman" w:hAnsi="Times New Roman" w:cs="Times New Roman"/>
                <w:sz w:val="20"/>
                <w:szCs w:val="20"/>
              </w:rPr>
            </w:pPr>
            <w:r w:rsidRPr="00541AC3">
              <w:rPr>
                <w:rFonts w:ascii="Times New Roman" w:hAnsi="Times New Roman" w:cs="Times New Roman"/>
                <w:sz w:val="20"/>
                <w:szCs w:val="20"/>
              </w:rPr>
              <w:t>0</w:t>
            </w:r>
            <w:r w:rsidR="0029431E" w:rsidRPr="00541AC3">
              <w:rPr>
                <w:rFonts w:ascii="Times New Roman" w:hAnsi="Times New Roman" w:cs="Times New Roman"/>
                <w:sz w:val="20"/>
                <w:szCs w:val="20"/>
              </w:rPr>
              <w:t>,</w:t>
            </w:r>
            <w:r w:rsidRPr="00541AC3">
              <w:rPr>
                <w:rFonts w:ascii="Times New Roman" w:hAnsi="Times New Roman" w:cs="Times New Roman"/>
                <w:sz w:val="20"/>
                <w:szCs w:val="20"/>
              </w:rPr>
              <w:t>33</w:t>
            </w:r>
          </w:p>
        </w:tc>
        <w:tc>
          <w:tcPr>
            <w:tcW w:w="0" w:type="auto"/>
            <w:vAlign w:val="center"/>
          </w:tcPr>
          <w:p w14:paraId="08FEA037" w14:textId="40B6A79E" w:rsidR="00F45F20" w:rsidRPr="00541AC3" w:rsidRDefault="00F45F20" w:rsidP="00F45F20">
            <w:pPr>
              <w:jc w:val="center"/>
              <w:rPr>
                <w:rFonts w:ascii="Times New Roman" w:hAnsi="Times New Roman" w:cs="Times New Roman"/>
                <w:sz w:val="20"/>
                <w:szCs w:val="20"/>
              </w:rPr>
            </w:pPr>
            <w:r w:rsidRPr="00541AC3">
              <w:rPr>
                <w:rFonts w:ascii="Times New Roman" w:hAnsi="Times New Roman" w:cs="Times New Roman"/>
                <w:sz w:val="20"/>
                <w:szCs w:val="20"/>
              </w:rPr>
              <w:t>0</w:t>
            </w:r>
            <w:r w:rsidR="0029431E" w:rsidRPr="00541AC3">
              <w:rPr>
                <w:rFonts w:ascii="Times New Roman" w:hAnsi="Times New Roman" w:cs="Times New Roman"/>
                <w:sz w:val="20"/>
                <w:szCs w:val="20"/>
              </w:rPr>
              <w:t>,</w:t>
            </w:r>
            <w:r w:rsidRPr="00541AC3">
              <w:rPr>
                <w:rFonts w:ascii="Times New Roman" w:hAnsi="Times New Roman" w:cs="Times New Roman"/>
                <w:sz w:val="20"/>
                <w:szCs w:val="20"/>
              </w:rPr>
              <w:t>4</w:t>
            </w:r>
          </w:p>
        </w:tc>
        <w:tc>
          <w:tcPr>
            <w:tcW w:w="0" w:type="auto"/>
            <w:vAlign w:val="center"/>
          </w:tcPr>
          <w:p w14:paraId="2B550C5D" w14:textId="26976EA2" w:rsidR="00F45F20" w:rsidRPr="00541AC3" w:rsidRDefault="00F45F20" w:rsidP="00F45F20">
            <w:pPr>
              <w:jc w:val="center"/>
              <w:rPr>
                <w:rFonts w:ascii="Times New Roman" w:hAnsi="Times New Roman" w:cs="Times New Roman"/>
                <w:sz w:val="20"/>
                <w:szCs w:val="20"/>
              </w:rPr>
            </w:pPr>
            <w:r w:rsidRPr="00541AC3">
              <w:rPr>
                <w:rFonts w:ascii="Times New Roman" w:hAnsi="Times New Roman" w:cs="Times New Roman"/>
                <w:sz w:val="20"/>
                <w:szCs w:val="20"/>
              </w:rPr>
              <w:t>0</w:t>
            </w:r>
            <w:r w:rsidR="0029431E" w:rsidRPr="00541AC3">
              <w:rPr>
                <w:rFonts w:ascii="Times New Roman" w:hAnsi="Times New Roman" w:cs="Times New Roman"/>
                <w:sz w:val="20"/>
                <w:szCs w:val="20"/>
              </w:rPr>
              <w:t>,</w:t>
            </w:r>
            <w:r w:rsidRPr="00541AC3">
              <w:rPr>
                <w:rFonts w:ascii="Times New Roman" w:hAnsi="Times New Roman" w:cs="Times New Roman"/>
                <w:sz w:val="20"/>
                <w:szCs w:val="20"/>
              </w:rPr>
              <w:t>11</w:t>
            </w:r>
          </w:p>
        </w:tc>
        <w:tc>
          <w:tcPr>
            <w:tcW w:w="0" w:type="auto"/>
            <w:vAlign w:val="center"/>
          </w:tcPr>
          <w:p w14:paraId="78C80FF7" w14:textId="23C789C3" w:rsidR="00F45F20" w:rsidRPr="00541AC3" w:rsidRDefault="00F45F20" w:rsidP="00F45F20">
            <w:pPr>
              <w:jc w:val="center"/>
              <w:rPr>
                <w:rFonts w:ascii="Times New Roman" w:hAnsi="Times New Roman" w:cs="Times New Roman"/>
                <w:sz w:val="20"/>
                <w:szCs w:val="20"/>
              </w:rPr>
            </w:pPr>
            <w:r w:rsidRPr="00541AC3">
              <w:rPr>
                <w:rFonts w:ascii="Times New Roman" w:hAnsi="Times New Roman" w:cs="Times New Roman"/>
                <w:sz w:val="20"/>
                <w:szCs w:val="20"/>
              </w:rPr>
              <w:t>-0</w:t>
            </w:r>
            <w:r w:rsidR="0029431E" w:rsidRPr="00541AC3">
              <w:rPr>
                <w:rFonts w:ascii="Times New Roman" w:hAnsi="Times New Roman" w:cs="Times New Roman"/>
                <w:sz w:val="20"/>
                <w:szCs w:val="20"/>
              </w:rPr>
              <w:t>,</w:t>
            </w:r>
            <w:r w:rsidRPr="00541AC3">
              <w:rPr>
                <w:rFonts w:ascii="Times New Roman" w:hAnsi="Times New Roman" w:cs="Times New Roman"/>
                <w:sz w:val="20"/>
                <w:szCs w:val="20"/>
              </w:rPr>
              <w:t>22</w:t>
            </w:r>
          </w:p>
        </w:tc>
      </w:tr>
    </w:tbl>
    <w:p w14:paraId="7354B957" w14:textId="39F8FB88" w:rsidR="00831B10" w:rsidRPr="00541AC3" w:rsidRDefault="00052C72" w:rsidP="00052C72">
      <w:pPr>
        <w:ind w:left="720"/>
      </w:pPr>
      <w:r w:rsidRPr="00541AC3">
        <w:rPr>
          <w:rFonts w:ascii="Times New Roman" w:hAnsi="Times New Roman" w:cs="Times New Roman"/>
          <w:sz w:val="20"/>
          <w:szCs w:val="20"/>
          <w:shd w:val="clear" w:color="auto" w:fill="FFFFFF"/>
        </w:rPr>
        <w:t xml:space="preserve">            </w:t>
      </w:r>
      <w:r w:rsidR="004620F8" w:rsidRPr="00541AC3">
        <w:rPr>
          <w:rFonts w:ascii="Times New Roman" w:hAnsi="Times New Roman" w:cs="Times New Roman"/>
          <w:sz w:val="20"/>
          <w:szCs w:val="20"/>
          <w:shd w:val="clear" w:color="auto" w:fill="FFFFFF"/>
        </w:rPr>
        <w:t>Not: p &lt; ,0001 ‘****’; p &lt; ,001 ‘***’; p &lt; ,01 ‘**’; p &lt; ,05 ‘*’; p &lt;0,10 ‘</w:t>
      </w:r>
      <w:r w:rsidR="004620F8" w:rsidRPr="00541AC3">
        <w:rPr>
          <w:rFonts w:ascii="Dreaming Outloud Pro" w:eastAsia="Times New Roman" w:hAnsi="Dreaming Outloud Pro" w:cs="Dreaming Outloud Pro"/>
          <w:szCs w:val="24"/>
          <w:vertAlign w:val="superscript"/>
        </w:rPr>
        <w:t>‡</w:t>
      </w:r>
      <w:r w:rsidR="004620F8" w:rsidRPr="00541AC3">
        <w:rPr>
          <w:rFonts w:ascii="Times New Roman" w:hAnsi="Times New Roman" w:cs="Times New Roman"/>
          <w:sz w:val="20"/>
          <w:szCs w:val="20"/>
          <w:shd w:val="clear" w:color="auto" w:fill="FFFFFF"/>
        </w:rPr>
        <w:t>’</w:t>
      </w:r>
    </w:p>
    <w:p w14:paraId="286514F7" w14:textId="1F0AEBA6" w:rsidR="00FE2C51" w:rsidRPr="00541AC3" w:rsidRDefault="00831B10" w:rsidP="0001715F">
      <w:pPr>
        <w:spacing w:after="0"/>
        <w:ind w:firstLine="360"/>
        <w:jc w:val="both"/>
        <w:rPr>
          <w:rFonts w:ascii="Times New Roman" w:hAnsi="Times New Roman" w:cs="Times New Roman"/>
          <w:sz w:val="24"/>
          <w:szCs w:val="24"/>
        </w:rPr>
      </w:pPr>
      <w:r w:rsidRPr="00541AC3">
        <w:rPr>
          <w:rFonts w:ascii="Times New Roman" w:hAnsi="Times New Roman" w:cs="Times New Roman"/>
          <w:sz w:val="24"/>
          <w:szCs w:val="24"/>
        </w:rPr>
        <w:t>Ne büyüme oranlarında ne istihdam değişimlerinde kredi değişim</w:t>
      </w:r>
      <w:r w:rsidR="00693722" w:rsidRPr="00541AC3">
        <w:rPr>
          <w:rFonts w:ascii="Times New Roman" w:hAnsi="Times New Roman" w:cs="Times New Roman"/>
          <w:sz w:val="24"/>
          <w:szCs w:val="24"/>
        </w:rPr>
        <w:t>lerinden</w:t>
      </w:r>
      <w:r w:rsidRPr="00541AC3">
        <w:rPr>
          <w:rFonts w:ascii="Times New Roman" w:hAnsi="Times New Roman" w:cs="Times New Roman"/>
          <w:sz w:val="24"/>
          <w:szCs w:val="24"/>
        </w:rPr>
        <w:t xml:space="preserve"> sonraki yıllarda </w:t>
      </w:r>
      <w:r w:rsidR="00693722" w:rsidRPr="00541AC3">
        <w:rPr>
          <w:rFonts w:ascii="Times New Roman" w:hAnsi="Times New Roman" w:cs="Times New Roman"/>
          <w:sz w:val="24"/>
          <w:szCs w:val="24"/>
        </w:rPr>
        <w:t xml:space="preserve">istatistiksel olarak anlamlı </w:t>
      </w:r>
      <w:r w:rsidRPr="00541AC3">
        <w:rPr>
          <w:rFonts w:ascii="Times New Roman" w:hAnsi="Times New Roman" w:cs="Times New Roman"/>
          <w:sz w:val="24"/>
          <w:szCs w:val="24"/>
        </w:rPr>
        <w:t>yüksek pozi</w:t>
      </w:r>
      <w:r w:rsidR="00FB20DB" w:rsidRPr="00541AC3">
        <w:rPr>
          <w:rFonts w:ascii="Times New Roman" w:hAnsi="Times New Roman" w:cs="Times New Roman"/>
          <w:sz w:val="24"/>
          <w:szCs w:val="24"/>
        </w:rPr>
        <w:t>tif bir ilişki gözlen</w:t>
      </w:r>
      <w:r w:rsidRPr="00541AC3">
        <w:rPr>
          <w:rFonts w:ascii="Times New Roman" w:hAnsi="Times New Roman" w:cs="Times New Roman"/>
          <w:sz w:val="24"/>
          <w:szCs w:val="24"/>
        </w:rPr>
        <w:t xml:space="preserve">miştir. Pozitif ilişkiler ya cari dönemde ya da bir </w:t>
      </w:r>
      <w:r w:rsidR="00F565B0">
        <w:rPr>
          <w:rFonts w:ascii="Times New Roman" w:hAnsi="Times New Roman" w:cs="Times New Roman"/>
          <w:sz w:val="24"/>
          <w:szCs w:val="24"/>
        </w:rPr>
        <w:t xml:space="preserve">ve/veya iki </w:t>
      </w:r>
      <w:r w:rsidRPr="00541AC3">
        <w:rPr>
          <w:rFonts w:ascii="Times New Roman" w:hAnsi="Times New Roman" w:cs="Times New Roman"/>
          <w:sz w:val="24"/>
          <w:szCs w:val="24"/>
        </w:rPr>
        <w:t>önceki dönem büyüme ve istihdam değişimleriyle mevcuttur. Bu da birkaç sektörle sınırlıdır</w:t>
      </w:r>
      <w:r w:rsidR="00DA3C13" w:rsidRPr="00541AC3">
        <w:rPr>
          <w:rFonts w:ascii="Times New Roman" w:hAnsi="Times New Roman" w:cs="Times New Roman"/>
          <w:sz w:val="24"/>
          <w:szCs w:val="24"/>
        </w:rPr>
        <w:t xml:space="preserve"> ve çok yüksek değerlerde değildir</w:t>
      </w:r>
      <w:r w:rsidRPr="00541AC3">
        <w:rPr>
          <w:rFonts w:ascii="Times New Roman" w:hAnsi="Times New Roman" w:cs="Times New Roman"/>
          <w:sz w:val="24"/>
          <w:szCs w:val="24"/>
        </w:rPr>
        <w:t xml:space="preserve">. </w:t>
      </w:r>
      <w:r w:rsidR="00A2409D" w:rsidRPr="00541AC3">
        <w:rPr>
          <w:rFonts w:ascii="Times New Roman" w:hAnsi="Times New Roman" w:cs="Times New Roman"/>
          <w:sz w:val="24"/>
          <w:szCs w:val="24"/>
        </w:rPr>
        <w:t xml:space="preserve">Cari dönemde İMA sektöründe, önceki iki dönemde de İNŞ sektöründe pozitif ilişkiler mevcuttur. </w:t>
      </w:r>
      <w:r w:rsidR="00A01216" w:rsidRPr="00541AC3">
        <w:rPr>
          <w:rFonts w:ascii="Times New Roman" w:hAnsi="Times New Roman" w:cs="Times New Roman"/>
          <w:sz w:val="24"/>
          <w:szCs w:val="24"/>
        </w:rPr>
        <w:t xml:space="preserve">Gelecek dönem büyüme ve istihdam artışlarıyla </w:t>
      </w:r>
      <w:r w:rsidR="00DA3C13" w:rsidRPr="00541AC3">
        <w:rPr>
          <w:rFonts w:ascii="Times New Roman" w:hAnsi="Times New Roman" w:cs="Times New Roman"/>
          <w:sz w:val="24"/>
          <w:szCs w:val="24"/>
        </w:rPr>
        <w:t xml:space="preserve">sistematik bir şekilde </w:t>
      </w:r>
      <w:r w:rsidR="00A01216" w:rsidRPr="00541AC3">
        <w:rPr>
          <w:rFonts w:ascii="Times New Roman" w:hAnsi="Times New Roman" w:cs="Times New Roman"/>
          <w:sz w:val="24"/>
          <w:szCs w:val="24"/>
        </w:rPr>
        <w:t>ilişkilendirilemeyen kredi tahsisi</w:t>
      </w:r>
      <w:r w:rsidRPr="00541AC3">
        <w:rPr>
          <w:rFonts w:ascii="Times New Roman" w:hAnsi="Times New Roman" w:cs="Times New Roman"/>
          <w:sz w:val="24"/>
          <w:szCs w:val="24"/>
        </w:rPr>
        <w:t xml:space="preserve"> kredilerin etkin dağılımında üzerinde düşünülmesi </w:t>
      </w:r>
      <w:r w:rsidR="00FE2C51" w:rsidRPr="00541AC3">
        <w:rPr>
          <w:rFonts w:ascii="Times New Roman" w:hAnsi="Times New Roman" w:cs="Times New Roman"/>
          <w:sz w:val="24"/>
          <w:szCs w:val="24"/>
        </w:rPr>
        <w:t xml:space="preserve">gereken </w:t>
      </w:r>
      <w:r w:rsidRPr="00541AC3">
        <w:rPr>
          <w:rFonts w:ascii="Times New Roman" w:hAnsi="Times New Roman" w:cs="Times New Roman"/>
          <w:sz w:val="24"/>
          <w:szCs w:val="24"/>
        </w:rPr>
        <w:t xml:space="preserve">bir bulgudur. </w:t>
      </w:r>
    </w:p>
    <w:p w14:paraId="265F8D84" w14:textId="018AEEBC" w:rsidR="00FE2C51" w:rsidRPr="00541AC3" w:rsidRDefault="00831B10" w:rsidP="0001715F">
      <w:pPr>
        <w:spacing w:after="0"/>
        <w:ind w:firstLine="360"/>
        <w:jc w:val="both"/>
        <w:rPr>
          <w:rFonts w:ascii="Times New Roman" w:hAnsi="Times New Roman" w:cs="Times New Roman"/>
          <w:sz w:val="24"/>
          <w:szCs w:val="24"/>
        </w:rPr>
      </w:pPr>
      <w:r w:rsidRPr="00541AC3">
        <w:rPr>
          <w:rFonts w:ascii="Times New Roman" w:hAnsi="Times New Roman" w:cs="Times New Roman"/>
          <w:sz w:val="24"/>
          <w:szCs w:val="24"/>
        </w:rPr>
        <w:lastRenderedPageBreak/>
        <w:t>B</w:t>
      </w:r>
      <w:r w:rsidR="00F762BD" w:rsidRPr="00541AC3">
        <w:rPr>
          <w:rFonts w:ascii="Times New Roman" w:hAnsi="Times New Roman" w:cs="Times New Roman"/>
          <w:sz w:val="24"/>
          <w:szCs w:val="24"/>
        </w:rPr>
        <w:t>u gözlemin</w:t>
      </w:r>
      <w:r w:rsidR="00693722" w:rsidRPr="00541AC3">
        <w:rPr>
          <w:rFonts w:ascii="Times New Roman" w:hAnsi="Times New Roman" w:cs="Times New Roman"/>
          <w:sz w:val="24"/>
          <w:szCs w:val="24"/>
        </w:rPr>
        <w:t xml:space="preserve"> olası sebeplerinden biri yerli bankalarca tahsis edilen</w:t>
      </w:r>
      <w:r w:rsidR="00F762BD" w:rsidRPr="00541AC3">
        <w:rPr>
          <w:rFonts w:ascii="Times New Roman" w:hAnsi="Times New Roman" w:cs="Times New Roman"/>
          <w:sz w:val="24"/>
          <w:szCs w:val="24"/>
        </w:rPr>
        <w:t xml:space="preserve"> kredilerin uzun vadeli büyümeyi ve istihdam artışını artıran faaliyetler için kullanılmıyor olabileceğidir. </w:t>
      </w:r>
      <w:r w:rsidR="00ED4D4A" w:rsidRPr="00541AC3">
        <w:rPr>
          <w:rFonts w:ascii="Times New Roman" w:hAnsi="Times New Roman" w:cs="Times New Roman"/>
          <w:sz w:val="24"/>
          <w:szCs w:val="24"/>
        </w:rPr>
        <w:t>TCMB’nin 2005 yılının son çeyreğinden itibaren her çeyrek yayınladığı Banka Kredileri Eğilim Anketi’deki işletmelerin kredi ve kredi limitlerini etkileyen finansman ihtiyaçları</w:t>
      </w:r>
      <w:r w:rsidR="00DA3C13" w:rsidRPr="00541AC3">
        <w:rPr>
          <w:rFonts w:ascii="Times New Roman" w:hAnsi="Times New Roman" w:cs="Times New Roman"/>
          <w:sz w:val="24"/>
          <w:szCs w:val="24"/>
        </w:rPr>
        <w:t>yla</w:t>
      </w:r>
      <w:r w:rsidR="00ED4D4A" w:rsidRPr="00541AC3">
        <w:rPr>
          <w:rFonts w:ascii="Times New Roman" w:hAnsi="Times New Roman" w:cs="Times New Roman"/>
          <w:sz w:val="24"/>
          <w:szCs w:val="24"/>
        </w:rPr>
        <w:t xml:space="preserve"> ilgili sorusuna verilen cevaplar bu düşünceyi destekler niteliktedir. Ankette ilgili soruda sabit yatırım</w:t>
      </w:r>
      <w:r w:rsidR="00205942" w:rsidRPr="00541AC3">
        <w:rPr>
          <w:rFonts w:ascii="Times New Roman" w:hAnsi="Times New Roman" w:cs="Times New Roman"/>
          <w:sz w:val="24"/>
          <w:szCs w:val="24"/>
        </w:rPr>
        <w:t>,</w:t>
      </w:r>
      <w:r w:rsidR="00ED4D4A" w:rsidRPr="00541AC3">
        <w:rPr>
          <w:rFonts w:ascii="Times New Roman" w:hAnsi="Times New Roman" w:cs="Times New Roman"/>
          <w:sz w:val="24"/>
          <w:szCs w:val="24"/>
        </w:rPr>
        <w:t xml:space="preserve"> stok artırımı ve işletme </w:t>
      </w:r>
      <w:r w:rsidR="00205942" w:rsidRPr="00541AC3">
        <w:rPr>
          <w:rFonts w:ascii="Times New Roman" w:hAnsi="Times New Roman" w:cs="Times New Roman"/>
          <w:sz w:val="24"/>
          <w:szCs w:val="24"/>
        </w:rPr>
        <w:t>sermayesi,</w:t>
      </w:r>
      <w:r w:rsidR="00ED4D4A" w:rsidRPr="00541AC3">
        <w:rPr>
          <w:rFonts w:ascii="Times New Roman" w:hAnsi="Times New Roman" w:cs="Times New Roman"/>
          <w:sz w:val="24"/>
          <w:szCs w:val="24"/>
        </w:rPr>
        <w:t xml:space="preserve"> birleşmeler/satın almalar ve yeniden yapılanma</w:t>
      </w:r>
      <w:r w:rsidR="00205942" w:rsidRPr="00541AC3">
        <w:rPr>
          <w:rFonts w:ascii="Times New Roman" w:hAnsi="Times New Roman" w:cs="Times New Roman"/>
          <w:sz w:val="24"/>
          <w:szCs w:val="24"/>
        </w:rPr>
        <w:t>,</w:t>
      </w:r>
      <w:r w:rsidR="00ED4D4A" w:rsidRPr="00541AC3">
        <w:rPr>
          <w:rFonts w:ascii="Times New Roman" w:hAnsi="Times New Roman" w:cs="Times New Roman"/>
          <w:sz w:val="24"/>
          <w:szCs w:val="24"/>
        </w:rPr>
        <w:t xml:space="preserve"> borcun yeniden yapılandırılması olmak üzere dört finansman ihtiyacı listelenmiş ve bu faktörlerin geçen üç ayda işletmelerin kredi ve kredi limiti taleplerini ne yönde etkilediği sorulmuştur. Söz konusu faktörün talebi artırıcı etkisi olduğunu bildiren banka oranından talebi azaltıcı etkisi olduğunu bildiren banka oranının çıkarılmasıyla </w:t>
      </w:r>
      <w:r w:rsidR="008C5B57" w:rsidRPr="00541AC3">
        <w:rPr>
          <w:rFonts w:ascii="Times New Roman" w:hAnsi="Times New Roman" w:cs="Times New Roman"/>
          <w:sz w:val="24"/>
          <w:szCs w:val="24"/>
        </w:rPr>
        <w:t xml:space="preserve">her faktör için </w:t>
      </w:r>
      <w:r w:rsidR="00F565B0">
        <w:rPr>
          <w:rFonts w:ascii="Times New Roman" w:hAnsi="Times New Roman" w:cs="Times New Roman"/>
          <w:sz w:val="24"/>
          <w:szCs w:val="24"/>
        </w:rPr>
        <w:t>seriler elde edilmiştir. Şekil 7</w:t>
      </w:r>
      <w:r w:rsidR="008C5B57" w:rsidRPr="00541AC3">
        <w:rPr>
          <w:rFonts w:ascii="Times New Roman" w:hAnsi="Times New Roman" w:cs="Times New Roman"/>
          <w:sz w:val="24"/>
          <w:szCs w:val="24"/>
        </w:rPr>
        <w:t xml:space="preserve"> bu serilerin 2005Ç4 ile 2021Ç4 arasındaki değerlerini göstermektedir. </w:t>
      </w:r>
    </w:p>
    <w:p w14:paraId="61716D77" w14:textId="11DD17BE" w:rsidR="00FE2C51" w:rsidRPr="00541AC3" w:rsidRDefault="008C5B57" w:rsidP="0001715F">
      <w:pPr>
        <w:spacing w:after="0"/>
        <w:ind w:firstLine="360"/>
        <w:jc w:val="both"/>
        <w:rPr>
          <w:rFonts w:ascii="Times New Roman" w:hAnsi="Times New Roman" w:cs="Times New Roman"/>
          <w:sz w:val="24"/>
          <w:szCs w:val="24"/>
        </w:rPr>
      </w:pPr>
      <w:r w:rsidRPr="00541AC3">
        <w:rPr>
          <w:rFonts w:ascii="Times New Roman" w:hAnsi="Times New Roman" w:cs="Times New Roman"/>
          <w:sz w:val="24"/>
          <w:szCs w:val="24"/>
        </w:rPr>
        <w:t>Eğer serinin değeri bir faktör için pozitifse o faktörün bir önceki döneme göre kredi talebini artırıcı etkisi olduğunu bildiren banka oranının azal</w:t>
      </w:r>
      <w:r w:rsidR="00321B67" w:rsidRPr="00541AC3">
        <w:rPr>
          <w:rFonts w:ascii="Times New Roman" w:hAnsi="Times New Roman" w:cs="Times New Roman"/>
          <w:sz w:val="24"/>
          <w:szCs w:val="24"/>
        </w:rPr>
        <w:t>t</w:t>
      </w:r>
      <w:r w:rsidRPr="00541AC3">
        <w:rPr>
          <w:rFonts w:ascii="Times New Roman" w:hAnsi="Times New Roman" w:cs="Times New Roman"/>
          <w:sz w:val="24"/>
          <w:szCs w:val="24"/>
        </w:rPr>
        <w:t>ıcı etkisi olduğunu bildiren banka oranından fazla olduğu anlaşılmalıdır. Buna göre ilgili dönemde kredi talebini artırıcı başlıca faktör borcun yapılandırılması olmuştur.</w:t>
      </w:r>
      <w:r w:rsidR="00321B67" w:rsidRPr="00541AC3">
        <w:rPr>
          <w:rFonts w:ascii="Times New Roman" w:hAnsi="Times New Roman" w:cs="Times New Roman"/>
          <w:sz w:val="24"/>
          <w:szCs w:val="24"/>
        </w:rPr>
        <w:t xml:space="preserve"> Benzer şekilde stok artırımı ve işletme sermayesi de dönemin çoğunda bankaların çoğunluğu tarafından talebi artırıcı etki olarak raporlanırken, sabit yatırımların kredi talebini artırıcı faktör olarak raporlandığı dönem </w:t>
      </w:r>
      <w:r w:rsidR="00273D65" w:rsidRPr="00541AC3">
        <w:rPr>
          <w:rFonts w:ascii="Times New Roman" w:hAnsi="Times New Roman" w:cs="Times New Roman"/>
          <w:sz w:val="24"/>
          <w:szCs w:val="24"/>
        </w:rPr>
        <w:t xml:space="preserve">çok </w:t>
      </w:r>
      <w:r w:rsidR="00321B67" w:rsidRPr="00541AC3">
        <w:rPr>
          <w:rFonts w:ascii="Times New Roman" w:hAnsi="Times New Roman" w:cs="Times New Roman"/>
          <w:sz w:val="24"/>
          <w:szCs w:val="24"/>
        </w:rPr>
        <w:t xml:space="preserve">daha kısıtlıdır.  Ayrıca </w:t>
      </w:r>
      <w:r w:rsidR="00F762BD" w:rsidRPr="00541AC3">
        <w:rPr>
          <w:rFonts w:ascii="Times New Roman" w:hAnsi="Times New Roman" w:cs="Times New Roman"/>
          <w:sz w:val="24"/>
          <w:szCs w:val="24"/>
        </w:rPr>
        <w:t>Küçük vd. (2022)</w:t>
      </w:r>
      <w:r w:rsidR="00273D65" w:rsidRPr="00541AC3">
        <w:rPr>
          <w:rFonts w:ascii="Times New Roman" w:hAnsi="Times New Roman" w:cs="Times New Roman"/>
          <w:sz w:val="24"/>
          <w:szCs w:val="24"/>
        </w:rPr>
        <w:t xml:space="preserve">’de </w:t>
      </w:r>
      <w:r w:rsidR="00321B67" w:rsidRPr="00541AC3">
        <w:rPr>
          <w:rFonts w:ascii="Times New Roman" w:hAnsi="Times New Roman" w:cs="Times New Roman"/>
          <w:sz w:val="24"/>
          <w:szCs w:val="24"/>
        </w:rPr>
        <w:t xml:space="preserve">yabancı para firma kredilerinin yatırımı artırıcı etkisinin yerli para kredilere göre daha fazla </w:t>
      </w:r>
      <w:r w:rsidR="0026604E" w:rsidRPr="00541AC3">
        <w:rPr>
          <w:rFonts w:ascii="Times New Roman" w:hAnsi="Times New Roman" w:cs="Times New Roman"/>
          <w:sz w:val="24"/>
          <w:szCs w:val="24"/>
        </w:rPr>
        <w:t>olduğu raporlanmıştır</w:t>
      </w:r>
      <w:r w:rsidR="00321B67" w:rsidRPr="00541AC3">
        <w:rPr>
          <w:rFonts w:ascii="Times New Roman" w:hAnsi="Times New Roman" w:cs="Times New Roman"/>
          <w:sz w:val="24"/>
          <w:szCs w:val="24"/>
        </w:rPr>
        <w:t>.</w:t>
      </w:r>
      <w:r w:rsidR="00F762BD" w:rsidRPr="00541AC3">
        <w:rPr>
          <w:rFonts w:ascii="Times New Roman" w:hAnsi="Times New Roman" w:cs="Times New Roman"/>
          <w:sz w:val="24"/>
          <w:szCs w:val="24"/>
        </w:rPr>
        <w:t xml:space="preserve"> Bu</w:t>
      </w:r>
      <w:r w:rsidR="006174DD" w:rsidRPr="00541AC3">
        <w:rPr>
          <w:rFonts w:ascii="Times New Roman" w:hAnsi="Times New Roman" w:cs="Times New Roman"/>
          <w:sz w:val="24"/>
          <w:szCs w:val="24"/>
        </w:rPr>
        <w:t xml:space="preserve"> </w:t>
      </w:r>
      <w:r w:rsidR="00F762BD" w:rsidRPr="00541AC3">
        <w:rPr>
          <w:rFonts w:ascii="Times New Roman" w:hAnsi="Times New Roman" w:cs="Times New Roman"/>
          <w:sz w:val="24"/>
          <w:szCs w:val="24"/>
        </w:rPr>
        <w:t xml:space="preserve">nedenle sektörlerin kullandığı yabancı para cinsi </w:t>
      </w:r>
      <w:r w:rsidR="00273D65" w:rsidRPr="00541AC3">
        <w:rPr>
          <w:rFonts w:ascii="Times New Roman" w:hAnsi="Times New Roman" w:cs="Times New Roman"/>
          <w:sz w:val="24"/>
          <w:szCs w:val="24"/>
        </w:rPr>
        <w:t>kredilerin</w:t>
      </w:r>
      <w:r w:rsidR="00F762BD" w:rsidRPr="00541AC3">
        <w:rPr>
          <w:rFonts w:ascii="Times New Roman" w:hAnsi="Times New Roman" w:cs="Times New Roman"/>
          <w:sz w:val="24"/>
          <w:szCs w:val="24"/>
        </w:rPr>
        <w:t xml:space="preserve"> d</w:t>
      </w:r>
      <w:r w:rsidR="00273D65" w:rsidRPr="00541AC3">
        <w:rPr>
          <w:rFonts w:ascii="Times New Roman" w:hAnsi="Times New Roman" w:cs="Times New Roman"/>
          <w:sz w:val="24"/>
          <w:szCs w:val="24"/>
        </w:rPr>
        <w:t>e</w:t>
      </w:r>
      <w:r w:rsidR="00F762BD" w:rsidRPr="00541AC3">
        <w:rPr>
          <w:rFonts w:ascii="Times New Roman" w:hAnsi="Times New Roman" w:cs="Times New Roman"/>
          <w:sz w:val="24"/>
          <w:szCs w:val="24"/>
        </w:rPr>
        <w:t xml:space="preserve"> dahi</w:t>
      </w:r>
      <w:r w:rsidR="008236EC" w:rsidRPr="00541AC3">
        <w:rPr>
          <w:rFonts w:ascii="Times New Roman" w:hAnsi="Times New Roman" w:cs="Times New Roman"/>
          <w:sz w:val="24"/>
          <w:szCs w:val="24"/>
        </w:rPr>
        <w:t>l</w:t>
      </w:r>
      <w:r w:rsidR="00F762BD" w:rsidRPr="00541AC3">
        <w:rPr>
          <w:rFonts w:ascii="Times New Roman" w:hAnsi="Times New Roman" w:cs="Times New Roman"/>
          <w:sz w:val="24"/>
          <w:szCs w:val="24"/>
        </w:rPr>
        <w:t xml:space="preserve"> edilerek sektörlerin </w:t>
      </w:r>
      <w:r w:rsidR="00A01216" w:rsidRPr="00541AC3">
        <w:rPr>
          <w:rFonts w:ascii="Times New Roman" w:hAnsi="Times New Roman" w:cs="Times New Roman"/>
          <w:sz w:val="24"/>
          <w:szCs w:val="24"/>
        </w:rPr>
        <w:t xml:space="preserve">kredi kullanımları ve </w:t>
      </w:r>
      <w:r w:rsidR="00F762BD" w:rsidRPr="00541AC3">
        <w:rPr>
          <w:rFonts w:ascii="Times New Roman" w:hAnsi="Times New Roman" w:cs="Times New Roman"/>
          <w:sz w:val="24"/>
          <w:szCs w:val="24"/>
        </w:rPr>
        <w:t>reel performanslarını incelemek potansiyel bir araştırma sorusudur.</w:t>
      </w:r>
      <w:r w:rsidRPr="00541AC3">
        <w:rPr>
          <w:rFonts w:ascii="Times New Roman" w:hAnsi="Times New Roman" w:cs="Times New Roman"/>
          <w:sz w:val="24"/>
          <w:szCs w:val="24"/>
        </w:rPr>
        <w:t xml:space="preserve"> </w:t>
      </w:r>
    </w:p>
    <w:p w14:paraId="60E3CBC7" w14:textId="4B1D48A4" w:rsidR="00F762BD" w:rsidRPr="00541AC3" w:rsidRDefault="00F762BD" w:rsidP="00EF1EE1">
      <w:pPr>
        <w:pStyle w:val="Caption"/>
        <w:keepNext/>
        <w:spacing w:before="240"/>
        <w:jc w:val="center"/>
        <w:rPr>
          <w:rFonts w:ascii="Times New Roman" w:hAnsi="Times New Roman" w:cs="Times New Roman"/>
          <w:b/>
          <w:bCs/>
          <w:i w:val="0"/>
          <w:iCs w:val="0"/>
          <w:color w:val="auto"/>
          <w:sz w:val="22"/>
          <w:szCs w:val="22"/>
        </w:rPr>
      </w:pPr>
      <w:r w:rsidRPr="00541AC3">
        <w:rPr>
          <w:rFonts w:ascii="Times New Roman" w:hAnsi="Times New Roman" w:cs="Times New Roman"/>
          <w:b/>
          <w:bCs/>
          <w:i w:val="0"/>
          <w:iCs w:val="0"/>
          <w:color w:val="auto"/>
          <w:sz w:val="22"/>
          <w:szCs w:val="22"/>
        </w:rPr>
        <w:t xml:space="preserve">Şekil </w:t>
      </w:r>
      <w:r w:rsidRPr="00541AC3">
        <w:rPr>
          <w:rFonts w:ascii="Times New Roman" w:hAnsi="Times New Roman" w:cs="Times New Roman"/>
          <w:b/>
          <w:bCs/>
          <w:i w:val="0"/>
          <w:iCs w:val="0"/>
          <w:color w:val="auto"/>
          <w:sz w:val="22"/>
          <w:szCs w:val="22"/>
        </w:rPr>
        <w:fldChar w:fldCharType="begin"/>
      </w:r>
      <w:r w:rsidRPr="00541AC3">
        <w:rPr>
          <w:rFonts w:ascii="Times New Roman" w:hAnsi="Times New Roman" w:cs="Times New Roman"/>
          <w:b/>
          <w:bCs/>
          <w:i w:val="0"/>
          <w:iCs w:val="0"/>
          <w:color w:val="auto"/>
          <w:sz w:val="22"/>
          <w:szCs w:val="22"/>
        </w:rPr>
        <w:instrText xml:space="preserve"> SEQ Şekil \* ARABIC </w:instrText>
      </w:r>
      <w:r w:rsidRPr="00541AC3">
        <w:rPr>
          <w:rFonts w:ascii="Times New Roman" w:hAnsi="Times New Roman" w:cs="Times New Roman"/>
          <w:b/>
          <w:bCs/>
          <w:i w:val="0"/>
          <w:iCs w:val="0"/>
          <w:color w:val="auto"/>
          <w:sz w:val="22"/>
          <w:szCs w:val="22"/>
        </w:rPr>
        <w:fldChar w:fldCharType="separate"/>
      </w:r>
      <w:r w:rsidR="0057441E">
        <w:rPr>
          <w:rFonts w:ascii="Times New Roman" w:hAnsi="Times New Roman" w:cs="Times New Roman"/>
          <w:b/>
          <w:bCs/>
          <w:i w:val="0"/>
          <w:iCs w:val="0"/>
          <w:noProof/>
          <w:color w:val="auto"/>
          <w:sz w:val="22"/>
          <w:szCs w:val="22"/>
        </w:rPr>
        <w:t>7</w:t>
      </w:r>
      <w:r w:rsidRPr="00541AC3">
        <w:rPr>
          <w:rFonts w:ascii="Times New Roman" w:hAnsi="Times New Roman" w:cs="Times New Roman"/>
          <w:b/>
          <w:bCs/>
          <w:i w:val="0"/>
          <w:iCs w:val="0"/>
          <w:color w:val="auto"/>
          <w:sz w:val="22"/>
          <w:szCs w:val="22"/>
        </w:rPr>
        <w:fldChar w:fldCharType="end"/>
      </w:r>
      <w:r w:rsidRPr="00541AC3">
        <w:rPr>
          <w:rFonts w:ascii="Times New Roman" w:hAnsi="Times New Roman" w:cs="Times New Roman"/>
          <w:b/>
          <w:bCs/>
          <w:i w:val="0"/>
          <w:iCs w:val="0"/>
          <w:color w:val="auto"/>
          <w:sz w:val="22"/>
          <w:szCs w:val="22"/>
        </w:rPr>
        <w:t>. Finansman İhtiyaçlarını Etkileyen Faktörler (%)</w:t>
      </w:r>
    </w:p>
    <w:p w14:paraId="1E0D7806" w14:textId="49C36A1B" w:rsidR="00F762BD" w:rsidRPr="00541AC3" w:rsidRDefault="007425A8" w:rsidP="00F762BD">
      <w:pPr>
        <w:spacing w:after="0" w:line="276" w:lineRule="auto"/>
        <w:jc w:val="center"/>
        <w:rPr>
          <w:rFonts w:ascii="Times New Roman" w:hAnsi="Times New Roman" w:cs="Times New Roman"/>
          <w:sz w:val="18"/>
          <w:szCs w:val="18"/>
        </w:rPr>
      </w:pPr>
      <w:r w:rsidRPr="00541AC3">
        <w:rPr>
          <w:noProof/>
          <w:lang w:eastAsia="tr-TR"/>
        </w:rPr>
        <w:drawing>
          <wp:inline distT="0" distB="0" distL="0" distR="0" wp14:anchorId="68CA7475" wp14:editId="0D21F14D">
            <wp:extent cx="4651513" cy="2460432"/>
            <wp:effectExtent l="0" t="0" r="889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651513" cy="2460432"/>
                    </a:xfrm>
                    <a:prstGeom prst="rect">
                      <a:avLst/>
                    </a:prstGeom>
                  </pic:spPr>
                </pic:pic>
              </a:graphicData>
            </a:graphic>
          </wp:inline>
        </w:drawing>
      </w:r>
    </w:p>
    <w:p w14:paraId="084D5566" w14:textId="1E4AA1D6" w:rsidR="00881883" w:rsidRPr="00541AC3" w:rsidRDefault="00F762BD" w:rsidP="00646FA9">
      <w:pPr>
        <w:spacing w:after="0" w:line="276" w:lineRule="auto"/>
        <w:ind w:left="450"/>
        <w:rPr>
          <w:rFonts w:ascii="Times New Roman" w:hAnsi="Times New Roman" w:cs="Times New Roman"/>
          <w:sz w:val="18"/>
          <w:szCs w:val="18"/>
        </w:rPr>
      </w:pPr>
      <w:r w:rsidRPr="00541AC3">
        <w:rPr>
          <w:rFonts w:ascii="Times New Roman" w:hAnsi="Times New Roman" w:cs="Times New Roman"/>
          <w:sz w:val="18"/>
          <w:szCs w:val="18"/>
        </w:rPr>
        <w:t xml:space="preserve">           </w:t>
      </w:r>
      <w:r w:rsidR="00646FA9">
        <w:rPr>
          <w:rFonts w:ascii="Times New Roman" w:hAnsi="Times New Roman" w:cs="Times New Roman"/>
          <w:sz w:val="18"/>
          <w:szCs w:val="18"/>
        </w:rPr>
        <w:t xml:space="preserve">       </w:t>
      </w:r>
      <w:r w:rsidRPr="00541AC3">
        <w:rPr>
          <w:rFonts w:ascii="Times New Roman" w:hAnsi="Times New Roman" w:cs="Times New Roman"/>
          <w:sz w:val="16"/>
          <w:szCs w:val="18"/>
        </w:rPr>
        <w:t>Kaynak: TCMB</w:t>
      </w:r>
      <w:r w:rsidRPr="00541AC3">
        <w:rPr>
          <w:rFonts w:ascii="Times New Roman" w:hAnsi="Times New Roman" w:cs="Times New Roman"/>
          <w:sz w:val="18"/>
          <w:szCs w:val="18"/>
        </w:rPr>
        <w:tab/>
      </w:r>
    </w:p>
    <w:p w14:paraId="64F75A6B" w14:textId="77777777" w:rsidR="0026604E" w:rsidRPr="00541AC3" w:rsidRDefault="0026604E" w:rsidP="0026604E">
      <w:pPr>
        <w:spacing w:after="0" w:line="276" w:lineRule="auto"/>
        <w:rPr>
          <w:rFonts w:ascii="Times New Roman" w:hAnsi="Times New Roman" w:cs="Times New Roman"/>
          <w:sz w:val="18"/>
          <w:szCs w:val="18"/>
        </w:rPr>
      </w:pPr>
    </w:p>
    <w:p w14:paraId="6CFD39EA" w14:textId="6E065442" w:rsidR="00B91FF7" w:rsidRPr="00541AC3" w:rsidRDefault="00DA3C13" w:rsidP="00B91FF7">
      <w:pPr>
        <w:spacing w:after="0"/>
        <w:ind w:firstLine="360"/>
        <w:jc w:val="both"/>
        <w:rPr>
          <w:rFonts w:ascii="Times New Roman" w:hAnsi="Times New Roman" w:cs="Times New Roman"/>
          <w:sz w:val="24"/>
          <w:szCs w:val="24"/>
        </w:rPr>
      </w:pPr>
      <w:r w:rsidRPr="00541AC3">
        <w:rPr>
          <w:rFonts w:ascii="Times New Roman" w:hAnsi="Times New Roman" w:cs="Times New Roman"/>
          <w:sz w:val="24"/>
          <w:szCs w:val="24"/>
        </w:rPr>
        <w:t>Son olarak</w:t>
      </w:r>
      <w:r w:rsidR="00BD340F" w:rsidRPr="00541AC3">
        <w:rPr>
          <w:rFonts w:ascii="Times New Roman" w:hAnsi="Times New Roman" w:cs="Times New Roman"/>
          <w:sz w:val="24"/>
          <w:szCs w:val="24"/>
        </w:rPr>
        <w:t xml:space="preserve"> yerel bankalarca tahsis edilen kredilerin sektör paylarındaki değişim ile ekonominin yapısal dönüşümü </w:t>
      </w:r>
      <w:r w:rsidR="006C39A1" w:rsidRPr="00541AC3">
        <w:rPr>
          <w:rFonts w:ascii="Times New Roman" w:hAnsi="Times New Roman" w:cs="Times New Roman"/>
          <w:sz w:val="24"/>
          <w:szCs w:val="24"/>
        </w:rPr>
        <w:t>yani sektörlerin üretim ve istihdam payları</w:t>
      </w:r>
      <w:r w:rsidR="00B91FF7" w:rsidRPr="00541AC3">
        <w:rPr>
          <w:rFonts w:ascii="Times New Roman" w:hAnsi="Times New Roman" w:cs="Times New Roman"/>
          <w:sz w:val="24"/>
          <w:szCs w:val="24"/>
        </w:rPr>
        <w:t>ndaki değişim</w:t>
      </w:r>
      <w:r w:rsidR="006C39A1" w:rsidRPr="00541AC3">
        <w:rPr>
          <w:rFonts w:ascii="Times New Roman" w:hAnsi="Times New Roman" w:cs="Times New Roman"/>
          <w:sz w:val="24"/>
          <w:szCs w:val="24"/>
        </w:rPr>
        <w:t xml:space="preserve"> </w:t>
      </w:r>
      <w:r w:rsidR="00BD340F" w:rsidRPr="00541AC3">
        <w:rPr>
          <w:rFonts w:ascii="Times New Roman" w:hAnsi="Times New Roman" w:cs="Times New Roman"/>
          <w:sz w:val="24"/>
          <w:szCs w:val="24"/>
        </w:rPr>
        <w:t>arasında bir ilişki</w:t>
      </w:r>
      <w:r w:rsidRPr="00541AC3">
        <w:rPr>
          <w:rFonts w:ascii="Times New Roman" w:hAnsi="Times New Roman" w:cs="Times New Roman"/>
          <w:sz w:val="24"/>
          <w:szCs w:val="24"/>
        </w:rPr>
        <w:t>nin varlığı</w:t>
      </w:r>
      <w:r w:rsidR="006C39A1" w:rsidRPr="00541AC3">
        <w:rPr>
          <w:rFonts w:ascii="Times New Roman" w:hAnsi="Times New Roman" w:cs="Times New Roman"/>
          <w:sz w:val="24"/>
          <w:szCs w:val="24"/>
        </w:rPr>
        <w:t xml:space="preserve"> sorgulanmıştır</w:t>
      </w:r>
      <w:r w:rsidRPr="00541AC3">
        <w:rPr>
          <w:rFonts w:ascii="Times New Roman" w:hAnsi="Times New Roman" w:cs="Times New Roman"/>
          <w:sz w:val="24"/>
          <w:szCs w:val="24"/>
        </w:rPr>
        <w:t xml:space="preserve">. </w:t>
      </w:r>
      <w:r w:rsidR="00EA5250" w:rsidRPr="00541AC3">
        <w:rPr>
          <w:rFonts w:ascii="Times New Roman" w:hAnsi="Times New Roman" w:cs="Times New Roman"/>
          <w:sz w:val="24"/>
          <w:szCs w:val="24"/>
        </w:rPr>
        <w:t>Bu</w:t>
      </w:r>
      <w:r w:rsidRPr="00541AC3">
        <w:rPr>
          <w:rFonts w:ascii="Times New Roman" w:hAnsi="Times New Roman" w:cs="Times New Roman"/>
          <w:sz w:val="24"/>
          <w:szCs w:val="24"/>
        </w:rPr>
        <w:t xml:space="preserve"> doğrultuda </w:t>
      </w:r>
      <w:r w:rsidR="00EA5250" w:rsidRPr="00541AC3">
        <w:rPr>
          <w:rFonts w:ascii="Times New Roman" w:hAnsi="Times New Roman" w:cs="Times New Roman"/>
          <w:sz w:val="24"/>
          <w:szCs w:val="24"/>
        </w:rPr>
        <w:t>sektörlerin cari dönemdeki toplam özel sektör kredileri içindeki payı ile cari dönem</w:t>
      </w:r>
      <w:r w:rsidRPr="00541AC3">
        <w:rPr>
          <w:rFonts w:ascii="Times New Roman" w:hAnsi="Times New Roman" w:cs="Times New Roman"/>
          <w:sz w:val="24"/>
          <w:szCs w:val="24"/>
        </w:rPr>
        <w:t xml:space="preserve"> (</w:t>
      </w:r>
      <m:oMath>
        <m:r>
          <w:rPr>
            <w:rFonts w:ascii="Cambria Math" w:hAnsi="Cambria Math" w:cs="Times New Roman"/>
            <w:sz w:val="24"/>
            <w:szCs w:val="24"/>
          </w:rPr>
          <m:t>t</m:t>
        </m:r>
      </m:oMath>
      <w:r w:rsidRPr="00541AC3">
        <w:rPr>
          <w:rFonts w:ascii="Times New Roman" w:hAnsi="Times New Roman" w:cs="Times New Roman"/>
          <w:sz w:val="24"/>
          <w:szCs w:val="24"/>
        </w:rPr>
        <w:t>)</w:t>
      </w:r>
      <w:r w:rsidR="00EA5250" w:rsidRPr="00541AC3">
        <w:rPr>
          <w:rFonts w:ascii="Times New Roman" w:hAnsi="Times New Roman" w:cs="Times New Roman"/>
          <w:sz w:val="24"/>
          <w:szCs w:val="24"/>
        </w:rPr>
        <w:t xml:space="preserve">, önceki </w:t>
      </w:r>
      <w:r w:rsidR="00F9106B" w:rsidRPr="00541AC3">
        <w:rPr>
          <w:rFonts w:ascii="Times New Roman" w:hAnsi="Times New Roman" w:cs="Times New Roman"/>
          <w:sz w:val="24"/>
          <w:szCs w:val="24"/>
        </w:rPr>
        <w:t xml:space="preserve">üç yıl </w:t>
      </w:r>
      <w:r w:rsidRPr="00541AC3">
        <w:rPr>
          <w:rFonts w:ascii="Times New Roman" w:hAnsi="Times New Roman" w:cs="Times New Roman"/>
          <w:sz w:val="24"/>
          <w:szCs w:val="24"/>
        </w:rPr>
        <w:t>(</w:t>
      </w:r>
      <m:oMath>
        <m:r>
          <w:rPr>
            <w:rFonts w:ascii="Cambria Math" w:hAnsi="Cambria Math" w:cs="Times New Roman"/>
            <w:sz w:val="24"/>
            <w:szCs w:val="24"/>
          </w:rPr>
          <m:t>t-1</m:t>
        </m:r>
      </m:oMath>
      <w:r w:rsidRPr="00541AC3">
        <w:rPr>
          <w:rFonts w:ascii="Times New Roman" w:hAnsi="Times New Roman" w:cs="Times New Roman"/>
          <w:sz w:val="24"/>
          <w:szCs w:val="24"/>
        </w:rPr>
        <w:t xml:space="preserve">, </w:t>
      </w:r>
      <m:oMath>
        <m:r>
          <w:rPr>
            <w:rFonts w:ascii="Cambria Math" w:hAnsi="Cambria Math" w:cs="Times New Roman"/>
            <w:sz w:val="24"/>
            <w:szCs w:val="24"/>
          </w:rPr>
          <m:t>t-2</m:t>
        </m:r>
      </m:oMath>
      <w:r w:rsidRPr="00541AC3">
        <w:rPr>
          <w:rFonts w:ascii="Times New Roman" w:hAnsi="Times New Roman" w:cs="Times New Roman"/>
          <w:sz w:val="24"/>
          <w:szCs w:val="24"/>
        </w:rPr>
        <w:t xml:space="preserve">, </w:t>
      </w:r>
      <m:oMath>
        <m:r>
          <w:rPr>
            <w:rFonts w:ascii="Cambria Math" w:hAnsi="Cambria Math" w:cs="Times New Roman"/>
            <w:sz w:val="24"/>
            <w:szCs w:val="24"/>
          </w:rPr>
          <m:t>t-3</m:t>
        </m:r>
      </m:oMath>
      <w:r w:rsidRPr="00541AC3">
        <w:rPr>
          <w:rFonts w:ascii="Times New Roman" w:hAnsi="Times New Roman" w:cs="Times New Roman"/>
          <w:sz w:val="24"/>
          <w:szCs w:val="24"/>
        </w:rPr>
        <w:t xml:space="preserve">) </w:t>
      </w:r>
      <w:r w:rsidR="00EA5250" w:rsidRPr="00541AC3">
        <w:rPr>
          <w:rFonts w:ascii="Times New Roman" w:hAnsi="Times New Roman" w:cs="Times New Roman"/>
          <w:sz w:val="24"/>
          <w:szCs w:val="24"/>
        </w:rPr>
        <w:t xml:space="preserve">ve sonraki üç yıl </w:t>
      </w:r>
      <w:r w:rsidRPr="00541AC3">
        <w:rPr>
          <w:rFonts w:ascii="Times New Roman" w:hAnsi="Times New Roman" w:cs="Times New Roman"/>
          <w:sz w:val="24"/>
          <w:szCs w:val="24"/>
        </w:rPr>
        <w:t>(</w:t>
      </w:r>
      <m:oMath>
        <m:r>
          <w:rPr>
            <w:rFonts w:ascii="Cambria Math" w:hAnsi="Cambria Math" w:cs="Times New Roman"/>
            <w:sz w:val="24"/>
            <w:szCs w:val="24"/>
          </w:rPr>
          <m:t>t+1</m:t>
        </m:r>
      </m:oMath>
      <w:r w:rsidRPr="00541AC3">
        <w:rPr>
          <w:rFonts w:ascii="Times New Roman" w:hAnsi="Times New Roman" w:cs="Times New Roman"/>
          <w:sz w:val="24"/>
          <w:szCs w:val="24"/>
        </w:rPr>
        <w:t xml:space="preserve">, </w:t>
      </w:r>
      <m:oMath>
        <m:r>
          <w:rPr>
            <w:rFonts w:ascii="Cambria Math" w:hAnsi="Cambria Math" w:cs="Times New Roman"/>
            <w:sz w:val="24"/>
            <w:szCs w:val="24"/>
          </w:rPr>
          <m:t>t+2</m:t>
        </m:r>
      </m:oMath>
      <w:r w:rsidRPr="00541AC3">
        <w:rPr>
          <w:rFonts w:ascii="Times New Roman" w:hAnsi="Times New Roman" w:cs="Times New Roman"/>
          <w:sz w:val="24"/>
          <w:szCs w:val="24"/>
        </w:rPr>
        <w:t xml:space="preserve">, </w:t>
      </w:r>
      <m:oMath>
        <m:r>
          <w:rPr>
            <w:rFonts w:ascii="Cambria Math" w:hAnsi="Cambria Math" w:cs="Times New Roman"/>
            <w:sz w:val="24"/>
            <w:szCs w:val="24"/>
          </w:rPr>
          <m:t>t+3</m:t>
        </m:r>
      </m:oMath>
      <w:r w:rsidRPr="00541AC3">
        <w:rPr>
          <w:rFonts w:ascii="Times New Roman" w:hAnsi="Times New Roman" w:cs="Times New Roman"/>
          <w:sz w:val="24"/>
          <w:szCs w:val="24"/>
        </w:rPr>
        <w:t xml:space="preserve">) </w:t>
      </w:r>
      <w:r w:rsidR="00EA5250" w:rsidRPr="00541AC3">
        <w:rPr>
          <w:rFonts w:ascii="Times New Roman" w:hAnsi="Times New Roman" w:cs="Times New Roman"/>
          <w:sz w:val="24"/>
          <w:szCs w:val="24"/>
        </w:rPr>
        <w:t>üretim ve istihdam payları arasındaki korel</w:t>
      </w:r>
      <w:r w:rsidR="002E5693">
        <w:rPr>
          <w:rFonts w:ascii="Times New Roman" w:hAnsi="Times New Roman" w:cs="Times New Roman"/>
          <w:sz w:val="24"/>
          <w:szCs w:val="24"/>
        </w:rPr>
        <w:t>asyonlar hesaplanmıştır. Tablo 5</w:t>
      </w:r>
      <w:r w:rsidR="00EA5250" w:rsidRPr="00541AC3">
        <w:rPr>
          <w:rFonts w:ascii="Times New Roman" w:hAnsi="Times New Roman" w:cs="Times New Roman"/>
          <w:sz w:val="24"/>
          <w:szCs w:val="24"/>
        </w:rPr>
        <w:t xml:space="preserve"> </w:t>
      </w:r>
      <w:r w:rsidR="006C39A1" w:rsidRPr="00541AC3">
        <w:rPr>
          <w:rFonts w:ascii="Times New Roman" w:hAnsi="Times New Roman" w:cs="Times New Roman"/>
          <w:sz w:val="24"/>
          <w:szCs w:val="24"/>
        </w:rPr>
        <w:t xml:space="preserve">kredi paylarının </w:t>
      </w:r>
      <w:r w:rsidR="00EA5250" w:rsidRPr="00541AC3">
        <w:rPr>
          <w:rFonts w:ascii="Times New Roman" w:hAnsi="Times New Roman" w:cs="Times New Roman"/>
          <w:sz w:val="24"/>
          <w:szCs w:val="24"/>
        </w:rPr>
        <w:lastRenderedPageBreak/>
        <w:t>üretim payıyla olan korelasyonları</w:t>
      </w:r>
      <w:r w:rsidR="006C39A1" w:rsidRPr="00541AC3">
        <w:rPr>
          <w:rFonts w:ascii="Times New Roman" w:hAnsi="Times New Roman" w:cs="Times New Roman"/>
          <w:sz w:val="24"/>
          <w:szCs w:val="24"/>
        </w:rPr>
        <w:t>nı</w:t>
      </w:r>
      <w:r w:rsidR="002E5693">
        <w:rPr>
          <w:rFonts w:ascii="Times New Roman" w:hAnsi="Times New Roman" w:cs="Times New Roman"/>
          <w:sz w:val="24"/>
          <w:szCs w:val="24"/>
        </w:rPr>
        <w:t xml:space="preserve"> gösterirken Tablo 6</w:t>
      </w:r>
      <w:r w:rsidR="00EA5250" w:rsidRPr="00541AC3">
        <w:rPr>
          <w:rFonts w:ascii="Times New Roman" w:hAnsi="Times New Roman" w:cs="Times New Roman"/>
          <w:sz w:val="24"/>
          <w:szCs w:val="24"/>
        </w:rPr>
        <w:t xml:space="preserve"> isti</w:t>
      </w:r>
      <w:r w:rsidR="006C39A1" w:rsidRPr="00541AC3">
        <w:rPr>
          <w:rFonts w:ascii="Times New Roman" w:hAnsi="Times New Roman" w:cs="Times New Roman"/>
          <w:sz w:val="24"/>
          <w:szCs w:val="24"/>
        </w:rPr>
        <w:t>hdam paylarıyla olan korelasyonları</w:t>
      </w:r>
      <w:r w:rsidR="00EA5250" w:rsidRPr="00541AC3">
        <w:rPr>
          <w:rFonts w:ascii="Times New Roman" w:hAnsi="Times New Roman" w:cs="Times New Roman"/>
          <w:sz w:val="24"/>
          <w:szCs w:val="24"/>
        </w:rPr>
        <w:t xml:space="preserve"> göstermektedir. </w:t>
      </w:r>
    </w:p>
    <w:p w14:paraId="6FE23C22" w14:textId="0DE923C7" w:rsidR="00B91FF7" w:rsidRPr="00541AC3" w:rsidRDefault="00EA5250" w:rsidP="00B91FF7">
      <w:pPr>
        <w:spacing w:after="0"/>
        <w:ind w:firstLine="360"/>
        <w:jc w:val="both"/>
        <w:rPr>
          <w:rFonts w:ascii="Times New Roman" w:hAnsi="Times New Roman" w:cs="Times New Roman"/>
          <w:sz w:val="24"/>
          <w:szCs w:val="24"/>
        </w:rPr>
      </w:pPr>
      <w:r w:rsidRPr="00541AC3">
        <w:rPr>
          <w:rFonts w:ascii="Times New Roman" w:hAnsi="Times New Roman" w:cs="Times New Roman"/>
          <w:sz w:val="24"/>
          <w:szCs w:val="24"/>
        </w:rPr>
        <w:t xml:space="preserve">İlişkilere yine kredilerin sürekli artış dönemine girdiği 2004 yılı itibariyle bakılmıştır. </w:t>
      </w:r>
      <w:r w:rsidR="00F9106B" w:rsidRPr="00541AC3">
        <w:rPr>
          <w:rFonts w:ascii="Times New Roman" w:hAnsi="Times New Roman" w:cs="Times New Roman"/>
          <w:sz w:val="24"/>
          <w:szCs w:val="24"/>
        </w:rPr>
        <w:t xml:space="preserve">Bu dönemin genelinde İMA </w:t>
      </w:r>
      <w:r w:rsidR="0011144F" w:rsidRPr="00541AC3">
        <w:rPr>
          <w:rFonts w:ascii="Times New Roman" w:hAnsi="Times New Roman" w:cs="Times New Roman"/>
          <w:sz w:val="24"/>
          <w:szCs w:val="24"/>
        </w:rPr>
        <w:t>hariç</w:t>
      </w:r>
      <w:r w:rsidR="00F9106B" w:rsidRPr="00541AC3">
        <w:rPr>
          <w:rFonts w:ascii="Times New Roman" w:hAnsi="Times New Roman" w:cs="Times New Roman"/>
          <w:sz w:val="24"/>
          <w:szCs w:val="24"/>
        </w:rPr>
        <w:t xml:space="preserve"> sektörlerin kredi payları artmıştır. </w:t>
      </w:r>
      <w:r w:rsidR="002775F2" w:rsidRPr="00541AC3">
        <w:rPr>
          <w:rFonts w:ascii="Times New Roman" w:hAnsi="Times New Roman" w:cs="Times New Roman"/>
          <w:sz w:val="24"/>
          <w:szCs w:val="24"/>
        </w:rPr>
        <w:t xml:space="preserve">Payını en fazla artıran EGS sektöründe kredi payı ile üretim </w:t>
      </w:r>
      <w:r w:rsidR="00693722" w:rsidRPr="00541AC3">
        <w:rPr>
          <w:rFonts w:ascii="Times New Roman" w:hAnsi="Times New Roman" w:cs="Times New Roman"/>
          <w:sz w:val="24"/>
          <w:szCs w:val="24"/>
        </w:rPr>
        <w:t xml:space="preserve">payı </w:t>
      </w:r>
      <w:r w:rsidR="002775F2" w:rsidRPr="00541AC3">
        <w:rPr>
          <w:rFonts w:ascii="Times New Roman" w:hAnsi="Times New Roman" w:cs="Times New Roman"/>
          <w:sz w:val="24"/>
          <w:szCs w:val="24"/>
        </w:rPr>
        <w:t>hem cari yılda hem öncesinde</w:t>
      </w:r>
      <w:r w:rsidR="00B3548F" w:rsidRPr="00541AC3">
        <w:rPr>
          <w:rFonts w:ascii="Times New Roman" w:hAnsi="Times New Roman" w:cs="Times New Roman"/>
          <w:sz w:val="24"/>
          <w:szCs w:val="24"/>
        </w:rPr>
        <w:t>ki</w:t>
      </w:r>
      <w:r w:rsidR="002775F2" w:rsidRPr="00541AC3">
        <w:rPr>
          <w:rFonts w:ascii="Times New Roman" w:hAnsi="Times New Roman" w:cs="Times New Roman"/>
          <w:sz w:val="24"/>
          <w:szCs w:val="24"/>
        </w:rPr>
        <w:t xml:space="preserve"> ve sonrasında</w:t>
      </w:r>
      <w:r w:rsidR="00B3548F" w:rsidRPr="00541AC3">
        <w:rPr>
          <w:rFonts w:ascii="Times New Roman" w:hAnsi="Times New Roman" w:cs="Times New Roman"/>
          <w:sz w:val="24"/>
          <w:szCs w:val="24"/>
        </w:rPr>
        <w:t xml:space="preserve">ki üç yılda </w:t>
      </w:r>
      <w:r w:rsidR="002775F2" w:rsidRPr="00541AC3">
        <w:rPr>
          <w:rFonts w:ascii="Times New Roman" w:hAnsi="Times New Roman" w:cs="Times New Roman"/>
          <w:sz w:val="24"/>
          <w:szCs w:val="24"/>
        </w:rPr>
        <w:t>istatistiksel ol</w:t>
      </w:r>
      <w:r w:rsidR="00DA3C13" w:rsidRPr="00541AC3">
        <w:rPr>
          <w:rFonts w:ascii="Times New Roman" w:hAnsi="Times New Roman" w:cs="Times New Roman"/>
          <w:sz w:val="24"/>
          <w:szCs w:val="24"/>
        </w:rPr>
        <w:t>a</w:t>
      </w:r>
      <w:r w:rsidR="002775F2" w:rsidRPr="00541AC3">
        <w:rPr>
          <w:rFonts w:ascii="Times New Roman" w:hAnsi="Times New Roman" w:cs="Times New Roman"/>
          <w:sz w:val="24"/>
          <w:szCs w:val="24"/>
        </w:rPr>
        <w:t xml:space="preserve">rak anlamlı pozitif bir ilişkiye sahiptir. En yüksek korelasyonlar cari yıl, bir yıl öncesi ve </w:t>
      </w:r>
      <w:r w:rsidR="0011144F" w:rsidRPr="00541AC3">
        <w:rPr>
          <w:rFonts w:ascii="Times New Roman" w:hAnsi="Times New Roman" w:cs="Times New Roman"/>
          <w:sz w:val="24"/>
          <w:szCs w:val="24"/>
        </w:rPr>
        <w:t xml:space="preserve">bir yıl </w:t>
      </w:r>
      <w:r w:rsidR="002775F2" w:rsidRPr="00541AC3">
        <w:rPr>
          <w:rFonts w:ascii="Times New Roman" w:hAnsi="Times New Roman" w:cs="Times New Roman"/>
          <w:sz w:val="24"/>
          <w:szCs w:val="24"/>
        </w:rPr>
        <w:t xml:space="preserve">sonrasında mevcuttur. </w:t>
      </w:r>
      <w:r w:rsidR="003C667F" w:rsidRPr="00541AC3">
        <w:rPr>
          <w:rFonts w:ascii="Times New Roman" w:hAnsi="Times New Roman" w:cs="Times New Roman"/>
          <w:sz w:val="24"/>
          <w:szCs w:val="24"/>
        </w:rPr>
        <w:t>İstihdam payında</w:t>
      </w:r>
      <w:r w:rsidR="00025077" w:rsidRPr="00541AC3">
        <w:rPr>
          <w:rFonts w:ascii="Times New Roman" w:hAnsi="Times New Roman" w:cs="Times New Roman"/>
          <w:sz w:val="24"/>
          <w:szCs w:val="24"/>
        </w:rPr>
        <w:t xml:space="preserve"> da pozitif ve </w:t>
      </w:r>
      <w:r w:rsidR="003C667F" w:rsidRPr="00541AC3">
        <w:rPr>
          <w:rFonts w:ascii="Times New Roman" w:hAnsi="Times New Roman" w:cs="Times New Roman"/>
          <w:sz w:val="24"/>
          <w:szCs w:val="24"/>
        </w:rPr>
        <w:t xml:space="preserve">üretim payında </w:t>
      </w:r>
      <w:r w:rsidR="00CD294B" w:rsidRPr="00541AC3">
        <w:rPr>
          <w:rFonts w:ascii="Times New Roman" w:hAnsi="Times New Roman" w:cs="Times New Roman"/>
          <w:sz w:val="24"/>
          <w:szCs w:val="24"/>
        </w:rPr>
        <w:t>gözlenenden</w:t>
      </w:r>
      <w:r w:rsidR="003C667F" w:rsidRPr="00541AC3">
        <w:rPr>
          <w:rFonts w:ascii="Times New Roman" w:hAnsi="Times New Roman" w:cs="Times New Roman"/>
          <w:sz w:val="24"/>
          <w:szCs w:val="24"/>
        </w:rPr>
        <w:t xml:space="preserve"> </w:t>
      </w:r>
      <w:r w:rsidR="00025077" w:rsidRPr="00541AC3">
        <w:rPr>
          <w:rFonts w:ascii="Times New Roman" w:hAnsi="Times New Roman" w:cs="Times New Roman"/>
          <w:sz w:val="24"/>
          <w:szCs w:val="24"/>
        </w:rPr>
        <w:t xml:space="preserve">daha yüksek korelasyonlar mevcuttur. </w:t>
      </w:r>
      <w:r w:rsidR="002775F2" w:rsidRPr="00541AC3">
        <w:rPr>
          <w:rFonts w:ascii="Times New Roman" w:hAnsi="Times New Roman" w:cs="Times New Roman"/>
          <w:sz w:val="24"/>
          <w:szCs w:val="24"/>
        </w:rPr>
        <w:t>Bu durum EGS sektörünün</w:t>
      </w:r>
      <w:r w:rsidR="00025077" w:rsidRPr="00541AC3">
        <w:rPr>
          <w:rFonts w:ascii="Times New Roman" w:hAnsi="Times New Roman" w:cs="Times New Roman"/>
          <w:sz w:val="24"/>
          <w:szCs w:val="24"/>
        </w:rPr>
        <w:t xml:space="preserve"> üretim ve istihdam payını artırdıkça özel sektör kredilerinden daha fazla pay almasına ve kredi payını artırdıkça üretim ve istihdam payını artırmaya devam etmesine işaret etmekte</w:t>
      </w:r>
      <w:r w:rsidR="00030079" w:rsidRPr="00541AC3">
        <w:rPr>
          <w:rFonts w:ascii="Times New Roman" w:hAnsi="Times New Roman" w:cs="Times New Roman"/>
          <w:sz w:val="24"/>
          <w:szCs w:val="24"/>
        </w:rPr>
        <w:t>dir. Kredi payı en fazla artan</w:t>
      </w:r>
      <w:r w:rsidR="00025077" w:rsidRPr="00541AC3">
        <w:rPr>
          <w:rFonts w:ascii="Times New Roman" w:hAnsi="Times New Roman" w:cs="Times New Roman"/>
          <w:sz w:val="24"/>
          <w:szCs w:val="24"/>
        </w:rPr>
        <w:t xml:space="preserve"> ikinci sektör olan UHD sektöründe cari dönem kredi payı ile iki ve üç yıl sonraki üretim payları negatif korelasyona sahipken iki ve üç dönem önceki istihdam paylarıyla pozitif bir korelasyonu vardır.</w:t>
      </w:r>
      <w:r w:rsidR="003C6D51" w:rsidRPr="00541AC3">
        <w:rPr>
          <w:rFonts w:ascii="Times New Roman" w:hAnsi="Times New Roman" w:cs="Times New Roman"/>
          <w:sz w:val="24"/>
          <w:szCs w:val="24"/>
        </w:rPr>
        <w:t xml:space="preserve"> </w:t>
      </w:r>
      <w:r w:rsidR="001D000E">
        <w:rPr>
          <w:rFonts w:ascii="Times New Roman" w:hAnsi="Times New Roman" w:cs="Times New Roman"/>
          <w:sz w:val="24"/>
          <w:szCs w:val="24"/>
        </w:rPr>
        <w:t>Üretim payıyla olan negatif korelasyonlar UHD sektörünün yerel bankalarca sağlanan kredilerden başka,</w:t>
      </w:r>
      <w:r w:rsidR="001D000E" w:rsidRPr="001D000E">
        <w:rPr>
          <w:rFonts w:ascii="Times New Roman" w:hAnsi="Times New Roman" w:cs="Times New Roman"/>
          <w:sz w:val="24"/>
          <w:szCs w:val="24"/>
        </w:rPr>
        <w:t xml:space="preserve"> </w:t>
      </w:r>
      <w:r w:rsidR="001D000E">
        <w:rPr>
          <w:rFonts w:ascii="Times New Roman" w:hAnsi="Times New Roman" w:cs="Times New Roman"/>
          <w:sz w:val="24"/>
          <w:szCs w:val="24"/>
        </w:rPr>
        <w:t>yabancı para cinsi borçlanma benzeri, finansman kaynağı olabileceğini düşündürmekle birlikte kesin bir yargıya varabilmek için araştırmaya açık</w:t>
      </w:r>
      <w:r w:rsidR="00030079" w:rsidRPr="00541AC3">
        <w:rPr>
          <w:rFonts w:ascii="Times New Roman" w:hAnsi="Times New Roman" w:cs="Times New Roman"/>
          <w:sz w:val="24"/>
          <w:szCs w:val="24"/>
        </w:rPr>
        <w:t xml:space="preserve"> bir diğer konudur. </w:t>
      </w:r>
      <w:r w:rsidR="003C6D51" w:rsidRPr="00541AC3">
        <w:rPr>
          <w:rFonts w:ascii="Times New Roman" w:hAnsi="Times New Roman" w:cs="Times New Roman"/>
          <w:sz w:val="24"/>
          <w:szCs w:val="24"/>
        </w:rPr>
        <w:t xml:space="preserve">FİGM sektöründe cari dönem kredi payı </w:t>
      </w:r>
      <w:r w:rsidR="0011144F" w:rsidRPr="00541AC3">
        <w:rPr>
          <w:rFonts w:ascii="Times New Roman" w:hAnsi="Times New Roman" w:cs="Times New Roman"/>
          <w:sz w:val="24"/>
          <w:szCs w:val="24"/>
        </w:rPr>
        <w:t xml:space="preserve">sadece </w:t>
      </w:r>
      <w:r w:rsidR="003C6D51" w:rsidRPr="00541AC3">
        <w:rPr>
          <w:rFonts w:ascii="Times New Roman" w:hAnsi="Times New Roman" w:cs="Times New Roman"/>
          <w:sz w:val="24"/>
          <w:szCs w:val="24"/>
        </w:rPr>
        <w:t xml:space="preserve">önceki üç yılın üretim paylarıyla pozitif bir ilişkiye sahipken </w:t>
      </w:r>
      <w:r w:rsidR="00E16167" w:rsidRPr="00541AC3">
        <w:rPr>
          <w:rFonts w:ascii="Times New Roman" w:hAnsi="Times New Roman" w:cs="Times New Roman"/>
          <w:sz w:val="24"/>
          <w:szCs w:val="24"/>
        </w:rPr>
        <w:t xml:space="preserve">istihdam paylarıyla </w:t>
      </w:r>
      <w:r w:rsidR="0011144F" w:rsidRPr="00541AC3">
        <w:rPr>
          <w:rFonts w:ascii="Times New Roman" w:hAnsi="Times New Roman" w:cs="Times New Roman"/>
          <w:sz w:val="24"/>
          <w:szCs w:val="24"/>
        </w:rPr>
        <w:t xml:space="preserve">incelenen her dönemde </w:t>
      </w:r>
      <w:r w:rsidR="00E16167" w:rsidRPr="00541AC3">
        <w:rPr>
          <w:rFonts w:ascii="Times New Roman" w:hAnsi="Times New Roman" w:cs="Times New Roman"/>
          <w:sz w:val="24"/>
          <w:szCs w:val="24"/>
        </w:rPr>
        <w:t>pozitif korelasyon</w:t>
      </w:r>
      <w:r w:rsidR="00CF0BAA" w:rsidRPr="00541AC3">
        <w:rPr>
          <w:rFonts w:ascii="Times New Roman" w:hAnsi="Times New Roman" w:cs="Times New Roman"/>
          <w:sz w:val="24"/>
          <w:szCs w:val="24"/>
        </w:rPr>
        <w:t>a</w:t>
      </w:r>
      <w:r w:rsidR="0011144F" w:rsidRPr="00541AC3">
        <w:rPr>
          <w:rFonts w:ascii="Times New Roman" w:hAnsi="Times New Roman" w:cs="Times New Roman"/>
          <w:sz w:val="24"/>
          <w:szCs w:val="24"/>
        </w:rPr>
        <w:t xml:space="preserve"> sahiptir</w:t>
      </w:r>
      <w:r w:rsidR="003C6D51" w:rsidRPr="00541AC3">
        <w:rPr>
          <w:rFonts w:ascii="Times New Roman" w:hAnsi="Times New Roman" w:cs="Times New Roman"/>
          <w:sz w:val="24"/>
          <w:szCs w:val="24"/>
        </w:rPr>
        <w:t xml:space="preserve">. </w:t>
      </w:r>
      <w:r w:rsidR="00030079" w:rsidRPr="00541AC3">
        <w:rPr>
          <w:rFonts w:ascii="Times New Roman" w:hAnsi="Times New Roman" w:cs="Times New Roman"/>
          <w:sz w:val="24"/>
          <w:szCs w:val="24"/>
        </w:rPr>
        <w:t xml:space="preserve">Ekonomide payını artıran bir sektörün kredi payının artması beklentilerle tutarlıdır. </w:t>
      </w:r>
    </w:p>
    <w:p w14:paraId="1B1BA900" w14:textId="5CAA3F54" w:rsidR="00BF562C" w:rsidRPr="00541AC3" w:rsidRDefault="0011144F" w:rsidP="00B91FF7">
      <w:pPr>
        <w:spacing w:after="0"/>
        <w:ind w:firstLine="360"/>
        <w:jc w:val="both"/>
        <w:rPr>
          <w:rFonts w:ascii="Times New Roman" w:hAnsi="Times New Roman" w:cs="Times New Roman"/>
          <w:sz w:val="24"/>
          <w:szCs w:val="24"/>
        </w:rPr>
      </w:pPr>
      <w:r w:rsidRPr="00541AC3">
        <w:rPr>
          <w:rFonts w:ascii="Times New Roman" w:hAnsi="Times New Roman" w:cs="Times New Roman"/>
          <w:sz w:val="24"/>
          <w:szCs w:val="24"/>
        </w:rPr>
        <w:t xml:space="preserve">İMA’daki ilişkiler ise diğer sektörlerden biraz farklıdır. </w:t>
      </w:r>
      <w:r w:rsidR="00CF0BAA" w:rsidRPr="00541AC3">
        <w:rPr>
          <w:rFonts w:ascii="Times New Roman" w:hAnsi="Times New Roman" w:cs="Times New Roman"/>
          <w:sz w:val="24"/>
          <w:szCs w:val="24"/>
        </w:rPr>
        <w:t>İncelenen dönemin büyük çoğunluğunda İMA’nın özel sektör kredilerinden aldığı pay azalmıştır ancak sektör büyümeye devam etmiştir</w:t>
      </w:r>
      <w:r w:rsidR="00B91FF7" w:rsidRPr="00541AC3">
        <w:rPr>
          <w:rFonts w:ascii="Times New Roman" w:hAnsi="Times New Roman" w:cs="Times New Roman"/>
          <w:sz w:val="24"/>
          <w:szCs w:val="24"/>
        </w:rPr>
        <w:t xml:space="preserve">. </w:t>
      </w:r>
      <w:r w:rsidRPr="00541AC3">
        <w:rPr>
          <w:rFonts w:ascii="Times New Roman" w:hAnsi="Times New Roman" w:cs="Times New Roman"/>
          <w:sz w:val="24"/>
          <w:szCs w:val="24"/>
        </w:rPr>
        <w:t xml:space="preserve">Bu nedenle </w:t>
      </w:r>
      <w:r w:rsidR="003C6D51" w:rsidRPr="00541AC3">
        <w:rPr>
          <w:rFonts w:ascii="Times New Roman" w:hAnsi="Times New Roman" w:cs="Times New Roman"/>
          <w:sz w:val="24"/>
          <w:szCs w:val="24"/>
        </w:rPr>
        <w:t>cari dönem kredi payı sonraki üç yılın üretim paylarıy</w:t>
      </w:r>
      <w:r w:rsidR="00CF0BAA" w:rsidRPr="00541AC3">
        <w:rPr>
          <w:rFonts w:ascii="Times New Roman" w:hAnsi="Times New Roman" w:cs="Times New Roman"/>
          <w:sz w:val="24"/>
          <w:szCs w:val="24"/>
        </w:rPr>
        <w:t>la negatif bir ilişkiye sahiptir.</w:t>
      </w:r>
      <w:r w:rsidR="00E16167" w:rsidRPr="00541AC3">
        <w:rPr>
          <w:rFonts w:ascii="Times New Roman" w:hAnsi="Times New Roman" w:cs="Times New Roman"/>
          <w:sz w:val="24"/>
          <w:szCs w:val="24"/>
        </w:rPr>
        <w:t xml:space="preserve"> </w:t>
      </w:r>
      <w:r w:rsidR="00CF0BAA" w:rsidRPr="00541AC3">
        <w:rPr>
          <w:rFonts w:ascii="Times New Roman" w:hAnsi="Times New Roman" w:cs="Times New Roman"/>
          <w:sz w:val="24"/>
          <w:szCs w:val="24"/>
        </w:rPr>
        <w:t>İ</w:t>
      </w:r>
      <w:r w:rsidR="00E16167" w:rsidRPr="00541AC3">
        <w:rPr>
          <w:rFonts w:ascii="Times New Roman" w:hAnsi="Times New Roman" w:cs="Times New Roman"/>
          <w:sz w:val="24"/>
          <w:szCs w:val="24"/>
        </w:rPr>
        <w:t>stihdamda</w:t>
      </w:r>
      <w:r w:rsidR="003C6D51" w:rsidRPr="00541AC3">
        <w:rPr>
          <w:rFonts w:ascii="Times New Roman" w:hAnsi="Times New Roman" w:cs="Times New Roman"/>
          <w:sz w:val="24"/>
          <w:szCs w:val="24"/>
        </w:rPr>
        <w:t xml:space="preserve"> </w:t>
      </w:r>
      <w:r w:rsidR="00CF0BAA" w:rsidRPr="00541AC3">
        <w:rPr>
          <w:rFonts w:ascii="Times New Roman" w:hAnsi="Times New Roman" w:cs="Times New Roman"/>
          <w:sz w:val="24"/>
          <w:szCs w:val="24"/>
        </w:rPr>
        <w:t xml:space="preserve">ise </w:t>
      </w:r>
      <w:r w:rsidR="003C6D51" w:rsidRPr="00541AC3">
        <w:rPr>
          <w:rFonts w:ascii="Times New Roman" w:hAnsi="Times New Roman" w:cs="Times New Roman"/>
          <w:sz w:val="24"/>
          <w:szCs w:val="24"/>
        </w:rPr>
        <w:t>cari dönem</w:t>
      </w:r>
      <w:r w:rsidR="00CF0BAA" w:rsidRPr="00541AC3">
        <w:rPr>
          <w:rFonts w:ascii="Times New Roman" w:hAnsi="Times New Roman" w:cs="Times New Roman"/>
          <w:sz w:val="24"/>
          <w:szCs w:val="24"/>
        </w:rPr>
        <w:t xml:space="preserve"> kredi payı cari dönemin</w:t>
      </w:r>
      <w:r w:rsidR="003C6D51" w:rsidRPr="00541AC3">
        <w:rPr>
          <w:rFonts w:ascii="Times New Roman" w:hAnsi="Times New Roman" w:cs="Times New Roman"/>
          <w:sz w:val="24"/>
          <w:szCs w:val="24"/>
        </w:rPr>
        <w:t xml:space="preserve"> ve sonraki </w:t>
      </w:r>
      <w:r w:rsidR="00BF562C" w:rsidRPr="00541AC3">
        <w:rPr>
          <w:rFonts w:ascii="Times New Roman" w:hAnsi="Times New Roman" w:cs="Times New Roman"/>
          <w:sz w:val="24"/>
          <w:szCs w:val="24"/>
        </w:rPr>
        <w:t>üç</w:t>
      </w:r>
      <w:r w:rsidR="003C6D51" w:rsidRPr="00541AC3">
        <w:rPr>
          <w:rFonts w:ascii="Times New Roman" w:hAnsi="Times New Roman" w:cs="Times New Roman"/>
          <w:sz w:val="24"/>
          <w:szCs w:val="24"/>
        </w:rPr>
        <w:t xml:space="preserve"> dönemin </w:t>
      </w:r>
      <w:r w:rsidR="00CF0BAA" w:rsidRPr="00541AC3">
        <w:rPr>
          <w:rFonts w:ascii="Times New Roman" w:hAnsi="Times New Roman" w:cs="Times New Roman"/>
          <w:sz w:val="24"/>
          <w:szCs w:val="24"/>
        </w:rPr>
        <w:t xml:space="preserve">istihdam </w:t>
      </w:r>
      <w:r w:rsidR="003C6D51" w:rsidRPr="00541AC3">
        <w:rPr>
          <w:rFonts w:ascii="Times New Roman" w:hAnsi="Times New Roman" w:cs="Times New Roman"/>
          <w:sz w:val="24"/>
          <w:szCs w:val="24"/>
        </w:rPr>
        <w:t>paylarıyl</w:t>
      </w:r>
      <w:r w:rsidR="00030079" w:rsidRPr="00541AC3">
        <w:rPr>
          <w:rFonts w:ascii="Times New Roman" w:hAnsi="Times New Roman" w:cs="Times New Roman"/>
          <w:sz w:val="24"/>
          <w:szCs w:val="24"/>
        </w:rPr>
        <w:t>a</w:t>
      </w:r>
      <w:r w:rsidR="003C6D51" w:rsidRPr="00541AC3">
        <w:rPr>
          <w:rFonts w:ascii="Times New Roman" w:hAnsi="Times New Roman" w:cs="Times New Roman"/>
          <w:sz w:val="24"/>
          <w:szCs w:val="24"/>
        </w:rPr>
        <w:t xml:space="preserve"> pozitif bir ilişkiye sahiptir. </w:t>
      </w:r>
      <w:r w:rsidR="00030079" w:rsidRPr="00541AC3">
        <w:rPr>
          <w:rFonts w:ascii="Times New Roman" w:hAnsi="Times New Roman" w:cs="Times New Roman"/>
          <w:sz w:val="24"/>
          <w:szCs w:val="24"/>
        </w:rPr>
        <w:t>İMA sektöründe gözlenen kredi payı ve üretim payı</w:t>
      </w:r>
      <w:r w:rsidR="00E16167" w:rsidRPr="00541AC3">
        <w:rPr>
          <w:rFonts w:ascii="Times New Roman" w:hAnsi="Times New Roman" w:cs="Times New Roman"/>
          <w:sz w:val="24"/>
          <w:szCs w:val="24"/>
        </w:rPr>
        <w:t xml:space="preserve"> arasındaki negatif</w:t>
      </w:r>
      <w:r w:rsidR="00030079" w:rsidRPr="00541AC3">
        <w:rPr>
          <w:rFonts w:ascii="Times New Roman" w:hAnsi="Times New Roman" w:cs="Times New Roman"/>
          <w:sz w:val="24"/>
          <w:szCs w:val="24"/>
        </w:rPr>
        <w:t xml:space="preserve"> ilişki bu sektörde üretim finansmanında yerel bankalarca tahsis edilen kredilerden başka finansman kaynaklarının kullanılabileceği </w:t>
      </w:r>
      <w:r w:rsidR="00CD5F00" w:rsidRPr="00541AC3">
        <w:rPr>
          <w:rFonts w:ascii="Times New Roman" w:hAnsi="Times New Roman" w:cs="Times New Roman"/>
          <w:sz w:val="24"/>
          <w:szCs w:val="24"/>
        </w:rPr>
        <w:t xml:space="preserve">düşüncesini desteklemektedir. </w:t>
      </w:r>
      <w:r w:rsidR="00AF562E" w:rsidRPr="00541AC3">
        <w:rPr>
          <w:rFonts w:ascii="Times New Roman" w:hAnsi="Times New Roman" w:cs="Times New Roman"/>
          <w:sz w:val="24"/>
          <w:szCs w:val="24"/>
        </w:rPr>
        <w:t xml:space="preserve">İstihdamla olan pozitif ilişki ise İMA sektörünün 2008-2018 yılları arasında azalan istihdam payıyla ilgilidir. Bu da erken sanayisizleşmeyi işaret etmektedir. </w:t>
      </w:r>
    </w:p>
    <w:p w14:paraId="5D6D177C" w14:textId="37EE8BB4" w:rsidR="00BF562C" w:rsidRPr="00541AC3" w:rsidRDefault="0035740A" w:rsidP="00BF562C">
      <w:pPr>
        <w:spacing w:after="0"/>
        <w:ind w:firstLine="360"/>
        <w:jc w:val="both"/>
        <w:rPr>
          <w:rFonts w:ascii="Times New Roman" w:hAnsi="Times New Roman" w:cs="Times New Roman"/>
          <w:sz w:val="24"/>
          <w:szCs w:val="24"/>
        </w:rPr>
      </w:pPr>
      <w:r w:rsidRPr="00541AC3">
        <w:rPr>
          <w:rFonts w:ascii="Times New Roman" w:hAnsi="Times New Roman" w:cs="Times New Roman"/>
          <w:sz w:val="24"/>
          <w:szCs w:val="24"/>
        </w:rPr>
        <w:t xml:space="preserve">İNŞ sektöründe </w:t>
      </w:r>
      <w:r w:rsidR="003C6D51" w:rsidRPr="00541AC3">
        <w:rPr>
          <w:rFonts w:ascii="Times New Roman" w:hAnsi="Times New Roman" w:cs="Times New Roman"/>
          <w:sz w:val="24"/>
          <w:szCs w:val="24"/>
        </w:rPr>
        <w:t>ise cari döne</w:t>
      </w:r>
      <w:r w:rsidRPr="00541AC3">
        <w:rPr>
          <w:rFonts w:ascii="Times New Roman" w:hAnsi="Times New Roman" w:cs="Times New Roman"/>
          <w:sz w:val="24"/>
          <w:szCs w:val="24"/>
        </w:rPr>
        <w:t>m</w:t>
      </w:r>
      <w:r w:rsidR="003C6D51" w:rsidRPr="00541AC3">
        <w:rPr>
          <w:rFonts w:ascii="Times New Roman" w:hAnsi="Times New Roman" w:cs="Times New Roman"/>
          <w:sz w:val="24"/>
          <w:szCs w:val="24"/>
        </w:rPr>
        <w:t xml:space="preserve"> kredi payı cari dönem </w:t>
      </w:r>
      <w:r w:rsidRPr="00541AC3">
        <w:rPr>
          <w:rFonts w:ascii="Times New Roman" w:hAnsi="Times New Roman" w:cs="Times New Roman"/>
          <w:sz w:val="24"/>
          <w:szCs w:val="24"/>
        </w:rPr>
        <w:t xml:space="preserve">ve önceki </w:t>
      </w:r>
      <w:r w:rsidR="00BF562C" w:rsidRPr="00541AC3">
        <w:rPr>
          <w:rFonts w:ascii="Times New Roman" w:hAnsi="Times New Roman" w:cs="Times New Roman"/>
          <w:sz w:val="24"/>
          <w:szCs w:val="24"/>
        </w:rPr>
        <w:t>üç</w:t>
      </w:r>
      <w:r w:rsidRPr="00541AC3">
        <w:rPr>
          <w:rFonts w:ascii="Times New Roman" w:hAnsi="Times New Roman" w:cs="Times New Roman"/>
          <w:sz w:val="24"/>
          <w:szCs w:val="24"/>
        </w:rPr>
        <w:t xml:space="preserve"> dönem </w:t>
      </w:r>
      <w:r w:rsidR="003C6D51" w:rsidRPr="00541AC3">
        <w:rPr>
          <w:rFonts w:ascii="Times New Roman" w:hAnsi="Times New Roman" w:cs="Times New Roman"/>
          <w:sz w:val="24"/>
          <w:szCs w:val="24"/>
        </w:rPr>
        <w:t>istihdam pay</w:t>
      </w:r>
      <w:r w:rsidRPr="00541AC3">
        <w:rPr>
          <w:rFonts w:ascii="Times New Roman" w:hAnsi="Times New Roman" w:cs="Times New Roman"/>
          <w:sz w:val="24"/>
          <w:szCs w:val="24"/>
        </w:rPr>
        <w:t>lar</w:t>
      </w:r>
      <w:r w:rsidR="003C6D51" w:rsidRPr="00541AC3">
        <w:rPr>
          <w:rFonts w:ascii="Times New Roman" w:hAnsi="Times New Roman" w:cs="Times New Roman"/>
          <w:sz w:val="24"/>
          <w:szCs w:val="24"/>
        </w:rPr>
        <w:t xml:space="preserve">ı ve önceki </w:t>
      </w:r>
      <w:r w:rsidR="00BF562C" w:rsidRPr="00541AC3">
        <w:rPr>
          <w:rFonts w:ascii="Times New Roman" w:hAnsi="Times New Roman" w:cs="Times New Roman"/>
          <w:sz w:val="24"/>
          <w:szCs w:val="24"/>
        </w:rPr>
        <w:t>üç</w:t>
      </w:r>
      <w:r w:rsidR="003C6D51" w:rsidRPr="00541AC3">
        <w:rPr>
          <w:rFonts w:ascii="Times New Roman" w:hAnsi="Times New Roman" w:cs="Times New Roman"/>
          <w:sz w:val="24"/>
          <w:szCs w:val="24"/>
        </w:rPr>
        <w:t xml:space="preserve"> dönem büyüme </w:t>
      </w:r>
      <w:r w:rsidRPr="00541AC3">
        <w:rPr>
          <w:rFonts w:ascii="Times New Roman" w:hAnsi="Times New Roman" w:cs="Times New Roman"/>
          <w:sz w:val="24"/>
          <w:szCs w:val="24"/>
        </w:rPr>
        <w:t xml:space="preserve">paylarıyla istatistiki olarak anlamlı pozitif </w:t>
      </w:r>
      <w:r w:rsidR="00AF562E" w:rsidRPr="00541AC3">
        <w:rPr>
          <w:rFonts w:ascii="Times New Roman" w:hAnsi="Times New Roman" w:cs="Times New Roman"/>
          <w:sz w:val="24"/>
          <w:szCs w:val="24"/>
        </w:rPr>
        <w:t xml:space="preserve">bir </w:t>
      </w:r>
      <w:r w:rsidRPr="00541AC3">
        <w:rPr>
          <w:rFonts w:ascii="Times New Roman" w:hAnsi="Times New Roman" w:cs="Times New Roman"/>
          <w:sz w:val="24"/>
          <w:szCs w:val="24"/>
        </w:rPr>
        <w:t>ilişkiye sahiptir</w:t>
      </w:r>
      <w:r w:rsidR="003C6D51" w:rsidRPr="00541AC3">
        <w:rPr>
          <w:rFonts w:ascii="Times New Roman" w:hAnsi="Times New Roman" w:cs="Times New Roman"/>
          <w:sz w:val="24"/>
          <w:szCs w:val="24"/>
        </w:rPr>
        <w:t xml:space="preserve">. </w:t>
      </w:r>
      <w:r w:rsidRPr="00541AC3">
        <w:rPr>
          <w:rFonts w:ascii="Times New Roman" w:hAnsi="Times New Roman" w:cs="Times New Roman"/>
          <w:sz w:val="24"/>
          <w:szCs w:val="24"/>
        </w:rPr>
        <w:t xml:space="preserve">2004-2021 döneminde </w:t>
      </w:r>
      <w:r w:rsidR="00F96253" w:rsidRPr="00541AC3">
        <w:rPr>
          <w:rFonts w:ascii="Times New Roman" w:hAnsi="Times New Roman" w:cs="Times New Roman"/>
          <w:sz w:val="24"/>
          <w:szCs w:val="24"/>
        </w:rPr>
        <w:t>İNŞ sektörüne tahsis edilen kredi</w:t>
      </w:r>
      <w:r w:rsidRPr="00541AC3">
        <w:rPr>
          <w:rFonts w:ascii="Times New Roman" w:hAnsi="Times New Roman" w:cs="Times New Roman"/>
          <w:sz w:val="24"/>
          <w:szCs w:val="24"/>
        </w:rPr>
        <w:t xml:space="preserve"> </w:t>
      </w:r>
      <w:r w:rsidR="00E16167" w:rsidRPr="00541AC3">
        <w:rPr>
          <w:rFonts w:ascii="Times New Roman" w:hAnsi="Times New Roman" w:cs="Times New Roman"/>
          <w:sz w:val="24"/>
          <w:szCs w:val="24"/>
        </w:rPr>
        <w:t>payı</w:t>
      </w:r>
      <w:r w:rsidRPr="00541AC3">
        <w:rPr>
          <w:rFonts w:ascii="Times New Roman" w:hAnsi="Times New Roman" w:cs="Times New Roman"/>
          <w:sz w:val="24"/>
          <w:szCs w:val="24"/>
        </w:rPr>
        <w:t xml:space="preserve"> sektörün sonraki yıllardaki üretim ve istihdam paylarıyla anlamlı korelasyonlara sahip değildir. Bunun nedeni 2016 ve sonrası dönemde artan kredilere rağmen sektörün 2018 itibariyle yaşadığı kriz sonucu</w:t>
      </w:r>
      <w:r w:rsidR="00AF562E" w:rsidRPr="00541AC3">
        <w:rPr>
          <w:rFonts w:ascii="Times New Roman" w:hAnsi="Times New Roman" w:cs="Times New Roman"/>
          <w:sz w:val="24"/>
          <w:szCs w:val="24"/>
        </w:rPr>
        <w:t xml:space="preserve"> üretim ve istihdamda yaşadığı</w:t>
      </w:r>
      <w:r w:rsidRPr="00541AC3">
        <w:rPr>
          <w:rFonts w:ascii="Times New Roman" w:hAnsi="Times New Roman" w:cs="Times New Roman"/>
          <w:sz w:val="24"/>
          <w:szCs w:val="24"/>
        </w:rPr>
        <w:t xml:space="preserve"> daralmalardır. </w:t>
      </w:r>
      <w:r w:rsidR="003C6D51" w:rsidRPr="00541AC3">
        <w:rPr>
          <w:rFonts w:ascii="Times New Roman" w:hAnsi="Times New Roman" w:cs="Times New Roman"/>
          <w:sz w:val="24"/>
          <w:szCs w:val="24"/>
        </w:rPr>
        <w:t>Çalışma dönemini 2004-2</w:t>
      </w:r>
      <w:r w:rsidRPr="00541AC3">
        <w:rPr>
          <w:rFonts w:ascii="Times New Roman" w:hAnsi="Times New Roman" w:cs="Times New Roman"/>
          <w:sz w:val="24"/>
          <w:szCs w:val="24"/>
        </w:rPr>
        <w:t>015 arasına kısaltıp korelasyonlara baktığımızda İNŞ sektöründe</w:t>
      </w:r>
      <w:r w:rsidR="003C6D51" w:rsidRPr="00541AC3">
        <w:rPr>
          <w:rFonts w:ascii="Times New Roman" w:hAnsi="Times New Roman" w:cs="Times New Roman"/>
          <w:sz w:val="24"/>
          <w:szCs w:val="24"/>
        </w:rPr>
        <w:t xml:space="preserve"> de cari dönem kredi payı </w:t>
      </w:r>
      <w:r w:rsidRPr="00541AC3">
        <w:rPr>
          <w:rFonts w:ascii="Times New Roman" w:hAnsi="Times New Roman" w:cs="Times New Roman"/>
          <w:sz w:val="24"/>
          <w:szCs w:val="24"/>
        </w:rPr>
        <w:t xml:space="preserve">ile </w:t>
      </w:r>
      <w:r w:rsidR="003C6D51" w:rsidRPr="00541AC3">
        <w:rPr>
          <w:rFonts w:ascii="Times New Roman" w:hAnsi="Times New Roman" w:cs="Times New Roman"/>
          <w:sz w:val="24"/>
          <w:szCs w:val="24"/>
        </w:rPr>
        <w:t xml:space="preserve">cari dönem, üç yıl önceki ve üç </w:t>
      </w:r>
      <w:r w:rsidR="00AF562E" w:rsidRPr="00541AC3">
        <w:rPr>
          <w:rFonts w:ascii="Times New Roman" w:hAnsi="Times New Roman" w:cs="Times New Roman"/>
          <w:sz w:val="24"/>
          <w:szCs w:val="24"/>
        </w:rPr>
        <w:t>yıl sonraki istihdam ve üretim</w:t>
      </w:r>
      <w:r w:rsidR="003C6D51" w:rsidRPr="00541AC3">
        <w:rPr>
          <w:rFonts w:ascii="Times New Roman" w:hAnsi="Times New Roman" w:cs="Times New Roman"/>
          <w:sz w:val="24"/>
          <w:szCs w:val="24"/>
        </w:rPr>
        <w:t xml:space="preserve"> payları</w:t>
      </w:r>
      <w:r w:rsidRPr="00541AC3">
        <w:rPr>
          <w:rFonts w:ascii="Times New Roman" w:hAnsi="Times New Roman" w:cs="Times New Roman"/>
          <w:sz w:val="24"/>
          <w:szCs w:val="24"/>
        </w:rPr>
        <w:t>nın</w:t>
      </w:r>
      <w:r w:rsidR="003C6D51" w:rsidRPr="00541AC3">
        <w:rPr>
          <w:rFonts w:ascii="Times New Roman" w:hAnsi="Times New Roman" w:cs="Times New Roman"/>
          <w:sz w:val="24"/>
          <w:szCs w:val="24"/>
        </w:rPr>
        <w:t xml:space="preserve"> </w:t>
      </w:r>
      <w:r w:rsidRPr="00541AC3">
        <w:rPr>
          <w:rFonts w:ascii="Times New Roman" w:hAnsi="Times New Roman" w:cs="Times New Roman"/>
          <w:sz w:val="24"/>
          <w:szCs w:val="24"/>
        </w:rPr>
        <w:t>pozitif ilişkili olduğu görülmektedir</w:t>
      </w:r>
      <w:r w:rsidR="003C6D51" w:rsidRPr="00541AC3">
        <w:rPr>
          <w:rFonts w:ascii="Times New Roman" w:hAnsi="Times New Roman" w:cs="Times New Roman"/>
          <w:sz w:val="24"/>
          <w:szCs w:val="24"/>
        </w:rPr>
        <w:t>.</w:t>
      </w:r>
      <w:r w:rsidR="00BF562C" w:rsidRPr="00541AC3">
        <w:rPr>
          <w:rStyle w:val="FootnoteReference"/>
          <w:rFonts w:ascii="Times New Roman" w:hAnsi="Times New Roman" w:cs="Times New Roman"/>
          <w:sz w:val="24"/>
          <w:szCs w:val="24"/>
        </w:rPr>
        <w:footnoteReference w:id="17"/>
      </w:r>
      <w:r w:rsidR="003C6D51" w:rsidRPr="00541AC3">
        <w:rPr>
          <w:rFonts w:ascii="Times New Roman" w:hAnsi="Times New Roman" w:cs="Times New Roman"/>
          <w:sz w:val="24"/>
          <w:szCs w:val="24"/>
        </w:rPr>
        <w:t xml:space="preserve"> </w:t>
      </w:r>
      <w:r w:rsidR="009F71C3" w:rsidRPr="00541AC3">
        <w:rPr>
          <w:rFonts w:ascii="Times New Roman" w:hAnsi="Times New Roman" w:cs="Times New Roman"/>
          <w:sz w:val="24"/>
          <w:szCs w:val="24"/>
        </w:rPr>
        <w:t xml:space="preserve">Özetle, özellikle EGS, İNŞ ve FİGM’de gözlenen korelasyonlar yerel bankalarca tahsis edilen kredilerin ülke ekonomisindeki yapısal </w:t>
      </w:r>
      <w:r w:rsidR="002A1D8F">
        <w:rPr>
          <w:rFonts w:ascii="Times New Roman" w:hAnsi="Times New Roman" w:cs="Times New Roman"/>
          <w:sz w:val="24"/>
          <w:szCs w:val="24"/>
        </w:rPr>
        <w:t>dönüşümünde</w:t>
      </w:r>
      <w:r w:rsidR="009F71C3" w:rsidRPr="00541AC3">
        <w:rPr>
          <w:rFonts w:ascii="Times New Roman" w:hAnsi="Times New Roman" w:cs="Times New Roman"/>
          <w:sz w:val="24"/>
          <w:szCs w:val="24"/>
        </w:rPr>
        <w:t xml:space="preserve"> bu sektörler üzerinden etkisinin olabileceğini düşündürmektedir. Bunun anlaşılması için nedensel bir analize ihtiyaç vardır. </w:t>
      </w:r>
    </w:p>
    <w:p w14:paraId="339A0FC5" w14:textId="77777777" w:rsidR="00BF562C" w:rsidRPr="00541AC3" w:rsidRDefault="00BF562C" w:rsidP="00BF562C">
      <w:pPr>
        <w:spacing w:after="0"/>
        <w:ind w:firstLine="360"/>
        <w:jc w:val="both"/>
        <w:rPr>
          <w:rFonts w:ascii="Times New Roman" w:hAnsi="Times New Roman" w:cs="Times New Roman"/>
          <w:sz w:val="24"/>
          <w:szCs w:val="24"/>
        </w:rPr>
      </w:pPr>
    </w:p>
    <w:p w14:paraId="7E2F85CB" w14:textId="7BFE3016" w:rsidR="00AC3E22" w:rsidRPr="00541AC3" w:rsidRDefault="00AC3E22" w:rsidP="00AC3E22">
      <w:pPr>
        <w:pStyle w:val="Caption"/>
        <w:keepNext/>
        <w:jc w:val="center"/>
        <w:rPr>
          <w:rFonts w:ascii="Times New Roman" w:hAnsi="Times New Roman" w:cs="Times New Roman"/>
          <w:b/>
          <w:bCs/>
          <w:i w:val="0"/>
          <w:iCs w:val="0"/>
          <w:color w:val="auto"/>
          <w:sz w:val="22"/>
          <w:szCs w:val="22"/>
        </w:rPr>
      </w:pPr>
      <w:r w:rsidRPr="00541AC3">
        <w:rPr>
          <w:rFonts w:ascii="Times New Roman" w:hAnsi="Times New Roman" w:cs="Times New Roman"/>
          <w:b/>
          <w:bCs/>
          <w:i w:val="0"/>
          <w:iCs w:val="0"/>
          <w:color w:val="auto"/>
          <w:sz w:val="22"/>
          <w:szCs w:val="22"/>
        </w:rPr>
        <w:lastRenderedPageBreak/>
        <w:t xml:space="preserve">Tablo </w:t>
      </w:r>
      <w:r w:rsidRPr="00541AC3">
        <w:rPr>
          <w:rFonts w:ascii="Times New Roman" w:hAnsi="Times New Roman" w:cs="Times New Roman"/>
          <w:b/>
          <w:bCs/>
          <w:i w:val="0"/>
          <w:iCs w:val="0"/>
          <w:color w:val="auto"/>
          <w:sz w:val="22"/>
          <w:szCs w:val="22"/>
        </w:rPr>
        <w:fldChar w:fldCharType="begin"/>
      </w:r>
      <w:r w:rsidRPr="00541AC3">
        <w:rPr>
          <w:rFonts w:ascii="Times New Roman" w:hAnsi="Times New Roman" w:cs="Times New Roman"/>
          <w:b/>
          <w:bCs/>
          <w:i w:val="0"/>
          <w:iCs w:val="0"/>
          <w:color w:val="auto"/>
          <w:sz w:val="22"/>
          <w:szCs w:val="22"/>
        </w:rPr>
        <w:instrText xml:space="preserve"> SEQ Tablo \* ARABIC </w:instrText>
      </w:r>
      <w:r w:rsidRPr="00541AC3">
        <w:rPr>
          <w:rFonts w:ascii="Times New Roman" w:hAnsi="Times New Roman" w:cs="Times New Roman"/>
          <w:b/>
          <w:bCs/>
          <w:i w:val="0"/>
          <w:iCs w:val="0"/>
          <w:color w:val="auto"/>
          <w:sz w:val="22"/>
          <w:szCs w:val="22"/>
        </w:rPr>
        <w:fldChar w:fldCharType="separate"/>
      </w:r>
      <w:r w:rsidR="0057441E">
        <w:rPr>
          <w:rFonts w:ascii="Times New Roman" w:hAnsi="Times New Roman" w:cs="Times New Roman"/>
          <w:b/>
          <w:bCs/>
          <w:i w:val="0"/>
          <w:iCs w:val="0"/>
          <w:noProof/>
          <w:color w:val="auto"/>
          <w:sz w:val="22"/>
          <w:szCs w:val="22"/>
        </w:rPr>
        <w:t>5</w:t>
      </w:r>
      <w:r w:rsidRPr="00541AC3">
        <w:rPr>
          <w:rFonts w:ascii="Times New Roman" w:hAnsi="Times New Roman" w:cs="Times New Roman"/>
          <w:b/>
          <w:bCs/>
          <w:i w:val="0"/>
          <w:iCs w:val="0"/>
          <w:color w:val="auto"/>
          <w:sz w:val="22"/>
          <w:szCs w:val="22"/>
        </w:rPr>
        <w:fldChar w:fldCharType="end"/>
      </w:r>
      <w:r w:rsidRPr="00541AC3">
        <w:rPr>
          <w:rFonts w:ascii="Times New Roman" w:hAnsi="Times New Roman" w:cs="Times New Roman"/>
          <w:b/>
          <w:bCs/>
          <w:i w:val="0"/>
          <w:iCs w:val="0"/>
          <w:color w:val="auto"/>
          <w:sz w:val="22"/>
          <w:szCs w:val="22"/>
        </w:rPr>
        <w:t xml:space="preserve">. Kredi </w:t>
      </w:r>
      <w:r w:rsidR="00085D45" w:rsidRPr="00541AC3">
        <w:rPr>
          <w:rFonts w:ascii="Times New Roman" w:hAnsi="Times New Roman" w:cs="Times New Roman"/>
          <w:b/>
          <w:bCs/>
          <w:i w:val="0"/>
          <w:iCs w:val="0"/>
          <w:color w:val="auto"/>
          <w:sz w:val="22"/>
          <w:szCs w:val="22"/>
        </w:rPr>
        <w:t xml:space="preserve">Payı </w:t>
      </w:r>
      <w:r w:rsidRPr="00541AC3">
        <w:rPr>
          <w:rFonts w:ascii="Times New Roman" w:hAnsi="Times New Roman" w:cs="Times New Roman"/>
          <w:b/>
          <w:bCs/>
          <w:i w:val="0"/>
          <w:iCs w:val="0"/>
          <w:color w:val="auto"/>
          <w:sz w:val="22"/>
          <w:szCs w:val="22"/>
        </w:rPr>
        <w:t>ve Üretim Payı Korelasyonları</w:t>
      </w:r>
      <w:r w:rsidR="00CA0864" w:rsidRPr="00541AC3">
        <w:rPr>
          <w:rFonts w:ascii="Times New Roman" w:hAnsi="Times New Roman" w:cs="Times New Roman"/>
          <w:b/>
          <w:bCs/>
          <w:i w:val="0"/>
          <w:iCs w:val="0"/>
          <w:color w:val="auto"/>
          <w:sz w:val="22"/>
          <w:szCs w:val="22"/>
        </w:rPr>
        <w:t xml:space="preserve"> (2004-2021)</w:t>
      </w:r>
    </w:p>
    <w:tbl>
      <w:tblPr>
        <w:tblStyle w:val="TableGrid"/>
        <w:tblW w:w="0" w:type="auto"/>
        <w:jc w:val="center"/>
        <w:tblLook w:val="04A0" w:firstRow="1" w:lastRow="0" w:firstColumn="1" w:lastColumn="0" w:noHBand="0" w:noVBand="1"/>
      </w:tblPr>
      <w:tblGrid>
        <w:gridCol w:w="828"/>
        <w:gridCol w:w="826"/>
        <w:gridCol w:w="826"/>
        <w:gridCol w:w="761"/>
        <w:gridCol w:w="1218"/>
        <w:gridCol w:w="761"/>
        <w:gridCol w:w="698"/>
        <w:gridCol w:w="828"/>
      </w:tblGrid>
      <w:tr w:rsidR="00541AC3" w:rsidRPr="00541AC3" w14:paraId="69E4FA15" w14:textId="77777777" w:rsidTr="00052C72">
        <w:trPr>
          <w:trHeight w:val="288"/>
          <w:jc w:val="center"/>
        </w:trPr>
        <w:tc>
          <w:tcPr>
            <w:tcW w:w="0" w:type="auto"/>
            <w:vAlign w:val="center"/>
          </w:tcPr>
          <w:p w14:paraId="002CAEB7" w14:textId="77777777" w:rsidR="00AC3E22" w:rsidRPr="00541AC3" w:rsidRDefault="00AC3E22" w:rsidP="00C07C16">
            <w:pPr>
              <w:rPr>
                <w:rFonts w:ascii="Times New Roman" w:eastAsia="Times New Roman" w:hAnsi="Times New Roman" w:cs="Times New Roman"/>
                <w:b/>
                <w:bCs/>
                <w:sz w:val="20"/>
              </w:rPr>
            </w:pPr>
          </w:p>
        </w:tc>
        <w:tc>
          <w:tcPr>
            <w:tcW w:w="0" w:type="auto"/>
            <w:vAlign w:val="center"/>
          </w:tcPr>
          <w:p w14:paraId="4D376098" w14:textId="77777777" w:rsidR="00AC3E22" w:rsidRPr="00541AC3" w:rsidRDefault="00AC3E22" w:rsidP="00C07C16">
            <w:pPr>
              <w:jc w:val="center"/>
              <w:rPr>
                <w:rFonts w:ascii="Times New Roman" w:eastAsia="Times New Roman" w:hAnsi="Times New Roman" w:cs="Times New Roman"/>
                <w:b/>
                <w:bCs/>
                <w:sz w:val="20"/>
              </w:rPr>
            </w:pPr>
            <m:oMathPara>
              <m:oMath>
                <m:r>
                  <m:rPr>
                    <m:sty m:val="bi"/>
                  </m:rPr>
                  <w:rPr>
                    <w:rFonts w:ascii="Cambria Math" w:eastAsia="Times New Roman" w:hAnsi="Cambria Math" w:cs="Times New Roman"/>
                    <w:sz w:val="20"/>
                  </w:rPr>
                  <m:t>t-3</m:t>
                </m:r>
              </m:oMath>
            </m:oMathPara>
          </w:p>
        </w:tc>
        <w:tc>
          <w:tcPr>
            <w:tcW w:w="0" w:type="auto"/>
            <w:vAlign w:val="center"/>
          </w:tcPr>
          <w:p w14:paraId="60819750" w14:textId="77777777" w:rsidR="00AC3E22" w:rsidRPr="00541AC3" w:rsidRDefault="00AC3E22" w:rsidP="00C07C16">
            <w:pPr>
              <w:jc w:val="center"/>
              <w:rPr>
                <w:rFonts w:ascii="Times New Roman" w:eastAsia="Times New Roman" w:hAnsi="Times New Roman" w:cs="Times New Roman"/>
                <w:b/>
                <w:bCs/>
                <w:sz w:val="20"/>
              </w:rPr>
            </w:pPr>
            <m:oMathPara>
              <m:oMath>
                <m:r>
                  <m:rPr>
                    <m:sty m:val="bi"/>
                  </m:rPr>
                  <w:rPr>
                    <w:rFonts w:ascii="Cambria Math" w:eastAsia="Times New Roman" w:hAnsi="Cambria Math" w:cs="Times New Roman"/>
                    <w:sz w:val="20"/>
                  </w:rPr>
                  <m:t>t-2</m:t>
                </m:r>
              </m:oMath>
            </m:oMathPara>
          </w:p>
        </w:tc>
        <w:tc>
          <w:tcPr>
            <w:tcW w:w="0" w:type="auto"/>
            <w:vAlign w:val="center"/>
          </w:tcPr>
          <w:p w14:paraId="6696B618" w14:textId="77777777" w:rsidR="00AC3E22" w:rsidRPr="00541AC3" w:rsidRDefault="00AC3E22" w:rsidP="00C07C16">
            <w:pPr>
              <w:jc w:val="center"/>
              <w:rPr>
                <w:rFonts w:ascii="Times New Roman" w:eastAsia="Times New Roman" w:hAnsi="Times New Roman" w:cs="Times New Roman"/>
                <w:b/>
                <w:bCs/>
                <w:sz w:val="20"/>
              </w:rPr>
            </w:pPr>
            <m:oMathPara>
              <m:oMath>
                <m:r>
                  <m:rPr>
                    <m:sty m:val="bi"/>
                  </m:rPr>
                  <w:rPr>
                    <w:rFonts w:ascii="Cambria Math" w:eastAsia="Times New Roman" w:hAnsi="Cambria Math" w:cs="Times New Roman"/>
                    <w:sz w:val="20"/>
                  </w:rPr>
                  <m:t>t-1</m:t>
                </m:r>
              </m:oMath>
            </m:oMathPara>
          </w:p>
        </w:tc>
        <w:tc>
          <w:tcPr>
            <w:tcW w:w="0" w:type="auto"/>
            <w:vAlign w:val="center"/>
          </w:tcPr>
          <w:p w14:paraId="3ED4B559" w14:textId="77777777" w:rsidR="00AC3E22" w:rsidRPr="00541AC3" w:rsidRDefault="00AC3E22" w:rsidP="00C07C16">
            <w:pPr>
              <w:jc w:val="center"/>
              <w:rPr>
                <w:rFonts w:ascii="Times New Roman" w:eastAsia="Times New Roman" w:hAnsi="Times New Roman" w:cs="Times New Roman"/>
                <w:b/>
                <w:bCs/>
                <w:sz w:val="20"/>
              </w:rPr>
            </w:pPr>
            <m:oMathPara>
              <m:oMath>
                <m:r>
                  <m:rPr>
                    <m:sty m:val="bi"/>
                  </m:rPr>
                  <w:rPr>
                    <w:rFonts w:ascii="Cambria Math" w:eastAsia="Times New Roman" w:hAnsi="Cambria Math" w:cs="Times New Roman"/>
                    <w:sz w:val="20"/>
                  </w:rPr>
                  <m:t>t (cari y</m:t>
                </m:r>
                <m:r>
                  <m:rPr>
                    <m:sty m:val="bi"/>
                  </m:rPr>
                  <w:rPr>
                    <w:rFonts w:ascii="Cambria Math" w:eastAsia="Times New Roman" w:hAnsi="Cambria Math" w:cs="Times New Roman"/>
                    <w:sz w:val="20"/>
                  </w:rPr>
                  <m:t>ı</m:t>
                </m:r>
                <m:r>
                  <m:rPr>
                    <m:sty m:val="bi"/>
                  </m:rPr>
                  <w:rPr>
                    <w:rFonts w:ascii="Cambria Math" w:eastAsia="Times New Roman" w:hAnsi="Cambria Math" w:cs="Times New Roman"/>
                    <w:sz w:val="20"/>
                  </w:rPr>
                  <m:t>l)</m:t>
                </m:r>
              </m:oMath>
            </m:oMathPara>
          </w:p>
        </w:tc>
        <w:tc>
          <w:tcPr>
            <w:tcW w:w="0" w:type="auto"/>
            <w:vAlign w:val="center"/>
          </w:tcPr>
          <w:p w14:paraId="013DF020" w14:textId="77777777" w:rsidR="00AC3E22" w:rsidRPr="00541AC3" w:rsidRDefault="00AC3E22" w:rsidP="00C07C16">
            <w:pPr>
              <w:jc w:val="center"/>
              <w:rPr>
                <w:rFonts w:ascii="Times New Roman" w:eastAsia="Times New Roman" w:hAnsi="Times New Roman" w:cs="Times New Roman"/>
                <w:b/>
                <w:bCs/>
                <w:sz w:val="20"/>
              </w:rPr>
            </w:pPr>
            <m:oMathPara>
              <m:oMath>
                <m:r>
                  <m:rPr>
                    <m:sty m:val="bi"/>
                  </m:rPr>
                  <w:rPr>
                    <w:rFonts w:ascii="Cambria Math" w:eastAsia="Times New Roman" w:hAnsi="Cambria Math" w:cs="Times New Roman"/>
                    <w:sz w:val="20"/>
                  </w:rPr>
                  <m:t>t+1</m:t>
                </m:r>
              </m:oMath>
            </m:oMathPara>
          </w:p>
        </w:tc>
        <w:tc>
          <w:tcPr>
            <w:tcW w:w="0" w:type="auto"/>
            <w:vAlign w:val="center"/>
          </w:tcPr>
          <w:p w14:paraId="4031B878" w14:textId="77777777" w:rsidR="00AC3E22" w:rsidRPr="00541AC3" w:rsidRDefault="00AC3E22" w:rsidP="00C07C16">
            <w:pPr>
              <w:jc w:val="center"/>
              <w:rPr>
                <w:rFonts w:ascii="Times New Roman" w:eastAsia="Times New Roman" w:hAnsi="Times New Roman" w:cs="Times New Roman"/>
                <w:b/>
                <w:bCs/>
                <w:sz w:val="20"/>
              </w:rPr>
            </w:pPr>
            <m:oMathPara>
              <m:oMath>
                <m:r>
                  <m:rPr>
                    <m:sty m:val="bi"/>
                  </m:rPr>
                  <w:rPr>
                    <w:rFonts w:ascii="Cambria Math" w:eastAsia="Times New Roman" w:hAnsi="Cambria Math" w:cs="Times New Roman"/>
                    <w:sz w:val="20"/>
                  </w:rPr>
                  <m:t>t+2</m:t>
                </m:r>
              </m:oMath>
            </m:oMathPara>
          </w:p>
        </w:tc>
        <w:tc>
          <w:tcPr>
            <w:tcW w:w="0" w:type="auto"/>
            <w:vAlign w:val="center"/>
          </w:tcPr>
          <w:p w14:paraId="4E7E99F4" w14:textId="77777777" w:rsidR="00AC3E22" w:rsidRPr="00541AC3" w:rsidRDefault="00AC3E22" w:rsidP="00C07C16">
            <w:pPr>
              <w:jc w:val="center"/>
              <w:rPr>
                <w:rFonts w:ascii="Times New Roman" w:eastAsia="Times New Roman" w:hAnsi="Times New Roman" w:cs="Times New Roman"/>
                <w:b/>
                <w:bCs/>
                <w:sz w:val="20"/>
              </w:rPr>
            </w:pPr>
            <m:oMathPara>
              <m:oMath>
                <m:r>
                  <m:rPr>
                    <m:sty m:val="bi"/>
                  </m:rPr>
                  <w:rPr>
                    <w:rFonts w:ascii="Cambria Math" w:eastAsia="Times New Roman" w:hAnsi="Cambria Math" w:cs="Times New Roman"/>
                    <w:sz w:val="20"/>
                  </w:rPr>
                  <m:t>t+3</m:t>
                </m:r>
              </m:oMath>
            </m:oMathPara>
          </w:p>
        </w:tc>
      </w:tr>
      <w:tr w:rsidR="00541AC3" w:rsidRPr="00541AC3" w14:paraId="589C2143" w14:textId="77777777" w:rsidTr="00052C72">
        <w:trPr>
          <w:trHeight w:val="288"/>
          <w:jc w:val="center"/>
        </w:trPr>
        <w:tc>
          <w:tcPr>
            <w:tcW w:w="0" w:type="auto"/>
            <w:vAlign w:val="center"/>
          </w:tcPr>
          <w:p w14:paraId="4C39F54F" w14:textId="77777777" w:rsidR="00AA51EC" w:rsidRPr="00541AC3" w:rsidRDefault="00AA51EC" w:rsidP="00AA51EC">
            <w:pPr>
              <w:rPr>
                <w:rFonts w:ascii="Times New Roman" w:hAnsi="Times New Roman" w:cs="Times New Roman"/>
                <w:sz w:val="20"/>
              </w:rPr>
            </w:pPr>
            <w:r w:rsidRPr="00541AC3">
              <w:rPr>
                <w:rFonts w:ascii="Times New Roman" w:eastAsia="Times New Roman" w:hAnsi="Times New Roman" w:cs="Times New Roman"/>
                <w:b/>
                <w:bCs/>
                <w:sz w:val="20"/>
              </w:rPr>
              <w:t>TAR</w:t>
            </w:r>
          </w:p>
        </w:tc>
        <w:tc>
          <w:tcPr>
            <w:tcW w:w="0" w:type="auto"/>
            <w:vAlign w:val="center"/>
          </w:tcPr>
          <w:p w14:paraId="6684AA31" w14:textId="70EFFBD4" w:rsidR="00AA51EC" w:rsidRPr="00541AC3" w:rsidRDefault="00AA51EC" w:rsidP="00AA51EC">
            <w:pPr>
              <w:jc w:val="center"/>
              <w:rPr>
                <w:rFonts w:ascii="Times New Roman" w:hAnsi="Times New Roman" w:cs="Times New Roman"/>
                <w:sz w:val="20"/>
              </w:rPr>
            </w:pPr>
            <w:r w:rsidRPr="00541AC3">
              <w:rPr>
                <w:rFonts w:ascii="Times New Roman" w:hAnsi="Times New Roman" w:cs="Times New Roman"/>
                <w:sz w:val="20"/>
              </w:rPr>
              <w:t>-0.06</w:t>
            </w:r>
          </w:p>
        </w:tc>
        <w:tc>
          <w:tcPr>
            <w:tcW w:w="0" w:type="auto"/>
            <w:vAlign w:val="center"/>
          </w:tcPr>
          <w:p w14:paraId="0A82197B" w14:textId="0557AFF9" w:rsidR="00AA51EC" w:rsidRPr="00541AC3" w:rsidRDefault="00AA51EC" w:rsidP="00AA51EC">
            <w:pPr>
              <w:jc w:val="center"/>
              <w:rPr>
                <w:rFonts w:ascii="Times New Roman" w:hAnsi="Times New Roman" w:cs="Times New Roman"/>
                <w:sz w:val="20"/>
              </w:rPr>
            </w:pPr>
            <w:r w:rsidRPr="00541AC3">
              <w:rPr>
                <w:rFonts w:ascii="Times New Roman" w:hAnsi="Times New Roman" w:cs="Times New Roman"/>
                <w:sz w:val="20"/>
              </w:rPr>
              <w:t>0.06</w:t>
            </w:r>
          </w:p>
        </w:tc>
        <w:tc>
          <w:tcPr>
            <w:tcW w:w="0" w:type="auto"/>
            <w:vAlign w:val="center"/>
          </w:tcPr>
          <w:p w14:paraId="3C184AF1" w14:textId="0D11548B" w:rsidR="00AA51EC" w:rsidRPr="00541AC3" w:rsidRDefault="00AA51EC" w:rsidP="00AA51EC">
            <w:pPr>
              <w:jc w:val="center"/>
              <w:rPr>
                <w:rFonts w:ascii="Times New Roman" w:hAnsi="Times New Roman" w:cs="Times New Roman"/>
                <w:sz w:val="20"/>
              </w:rPr>
            </w:pPr>
            <w:r w:rsidRPr="00541AC3">
              <w:rPr>
                <w:rFonts w:ascii="Times New Roman" w:hAnsi="Times New Roman" w:cs="Times New Roman"/>
                <w:sz w:val="20"/>
              </w:rPr>
              <w:t>0.11</w:t>
            </w:r>
          </w:p>
        </w:tc>
        <w:tc>
          <w:tcPr>
            <w:tcW w:w="0" w:type="auto"/>
            <w:vAlign w:val="center"/>
          </w:tcPr>
          <w:p w14:paraId="0AFFCF6E" w14:textId="27EF0718" w:rsidR="00AA51EC" w:rsidRPr="00541AC3" w:rsidRDefault="00AA51EC" w:rsidP="00AA51EC">
            <w:pPr>
              <w:jc w:val="center"/>
              <w:rPr>
                <w:rFonts w:ascii="Times New Roman" w:hAnsi="Times New Roman" w:cs="Times New Roman"/>
                <w:sz w:val="20"/>
              </w:rPr>
            </w:pPr>
            <w:r w:rsidRPr="00541AC3">
              <w:rPr>
                <w:rFonts w:ascii="Times New Roman" w:hAnsi="Times New Roman" w:cs="Times New Roman"/>
                <w:sz w:val="20"/>
              </w:rPr>
              <w:t>0.15</w:t>
            </w:r>
          </w:p>
        </w:tc>
        <w:tc>
          <w:tcPr>
            <w:tcW w:w="0" w:type="auto"/>
            <w:vAlign w:val="center"/>
          </w:tcPr>
          <w:p w14:paraId="12C55434" w14:textId="165520EA" w:rsidR="00AA51EC" w:rsidRPr="00541AC3" w:rsidRDefault="00AA51EC" w:rsidP="00AA51EC">
            <w:pPr>
              <w:jc w:val="center"/>
              <w:rPr>
                <w:rFonts w:ascii="Times New Roman" w:hAnsi="Times New Roman" w:cs="Times New Roman"/>
                <w:sz w:val="20"/>
              </w:rPr>
            </w:pPr>
            <w:r w:rsidRPr="00541AC3">
              <w:rPr>
                <w:rFonts w:ascii="Times New Roman" w:hAnsi="Times New Roman" w:cs="Times New Roman"/>
                <w:sz w:val="20"/>
              </w:rPr>
              <w:t>0.07</w:t>
            </w:r>
          </w:p>
        </w:tc>
        <w:tc>
          <w:tcPr>
            <w:tcW w:w="0" w:type="auto"/>
            <w:vAlign w:val="center"/>
          </w:tcPr>
          <w:p w14:paraId="373C0CEF" w14:textId="4C03C2EE" w:rsidR="00AA51EC" w:rsidRPr="00541AC3" w:rsidRDefault="00AA51EC" w:rsidP="00AA51EC">
            <w:pPr>
              <w:jc w:val="center"/>
              <w:rPr>
                <w:rFonts w:ascii="Times New Roman" w:hAnsi="Times New Roman" w:cs="Times New Roman"/>
                <w:sz w:val="20"/>
              </w:rPr>
            </w:pPr>
            <w:r w:rsidRPr="00541AC3">
              <w:rPr>
                <w:rFonts w:ascii="Times New Roman" w:hAnsi="Times New Roman" w:cs="Times New Roman"/>
                <w:sz w:val="20"/>
              </w:rPr>
              <w:t>-0.06</w:t>
            </w:r>
          </w:p>
        </w:tc>
        <w:tc>
          <w:tcPr>
            <w:tcW w:w="0" w:type="auto"/>
            <w:vAlign w:val="center"/>
          </w:tcPr>
          <w:p w14:paraId="15C8EF97" w14:textId="02736D48" w:rsidR="00AA51EC" w:rsidRPr="00541AC3" w:rsidRDefault="00AA51EC" w:rsidP="00AA51EC">
            <w:pPr>
              <w:jc w:val="center"/>
              <w:rPr>
                <w:rFonts w:ascii="Times New Roman" w:hAnsi="Times New Roman" w:cs="Times New Roman"/>
                <w:sz w:val="20"/>
              </w:rPr>
            </w:pPr>
            <w:r w:rsidRPr="00541AC3">
              <w:rPr>
                <w:rFonts w:ascii="Times New Roman" w:hAnsi="Times New Roman" w:cs="Times New Roman"/>
                <w:sz w:val="20"/>
              </w:rPr>
              <w:t>-0.01</w:t>
            </w:r>
          </w:p>
        </w:tc>
      </w:tr>
      <w:tr w:rsidR="00541AC3" w:rsidRPr="00541AC3" w14:paraId="5864B10F" w14:textId="77777777" w:rsidTr="00052C72">
        <w:trPr>
          <w:trHeight w:val="288"/>
          <w:jc w:val="center"/>
        </w:trPr>
        <w:tc>
          <w:tcPr>
            <w:tcW w:w="0" w:type="auto"/>
            <w:vAlign w:val="center"/>
          </w:tcPr>
          <w:p w14:paraId="78B4E406" w14:textId="77777777" w:rsidR="00AA51EC" w:rsidRPr="00541AC3" w:rsidRDefault="00AA51EC" w:rsidP="00AA51EC">
            <w:pPr>
              <w:rPr>
                <w:rFonts w:ascii="Times New Roman" w:hAnsi="Times New Roman" w:cs="Times New Roman"/>
                <w:sz w:val="20"/>
              </w:rPr>
            </w:pPr>
            <w:r w:rsidRPr="00541AC3">
              <w:rPr>
                <w:rFonts w:ascii="Times New Roman" w:eastAsia="Times New Roman" w:hAnsi="Times New Roman" w:cs="Times New Roman"/>
                <w:b/>
                <w:bCs/>
                <w:sz w:val="20"/>
              </w:rPr>
              <w:t>İNŞ</w:t>
            </w:r>
          </w:p>
        </w:tc>
        <w:tc>
          <w:tcPr>
            <w:tcW w:w="0" w:type="auto"/>
            <w:vAlign w:val="center"/>
          </w:tcPr>
          <w:p w14:paraId="4E9CAE78" w14:textId="42C0DDD3" w:rsidR="00AA51EC" w:rsidRPr="00541AC3" w:rsidRDefault="00AA51EC" w:rsidP="00AA51EC">
            <w:pPr>
              <w:jc w:val="center"/>
              <w:rPr>
                <w:rFonts w:ascii="Times New Roman" w:hAnsi="Times New Roman" w:cs="Times New Roman"/>
                <w:b/>
                <w:bCs/>
                <w:sz w:val="20"/>
              </w:rPr>
            </w:pPr>
            <w:r w:rsidRPr="00541AC3">
              <w:rPr>
                <w:rFonts w:ascii="Times New Roman" w:hAnsi="Times New Roman" w:cs="Times New Roman"/>
                <w:b/>
                <w:bCs/>
                <w:sz w:val="20"/>
              </w:rPr>
              <w:t>0.93</w:t>
            </w:r>
            <w:r w:rsidRPr="00541AC3">
              <w:rPr>
                <w:rFonts w:ascii="Times New Roman" w:hAnsi="Times New Roman" w:cs="Times New Roman"/>
                <w:b/>
                <w:bCs/>
                <w:sz w:val="20"/>
                <w:vertAlign w:val="superscript"/>
              </w:rPr>
              <w:t>****</w:t>
            </w:r>
          </w:p>
        </w:tc>
        <w:tc>
          <w:tcPr>
            <w:tcW w:w="0" w:type="auto"/>
            <w:vAlign w:val="center"/>
          </w:tcPr>
          <w:p w14:paraId="6BDE07D5" w14:textId="2C7FC31D" w:rsidR="00AA51EC" w:rsidRPr="00541AC3" w:rsidRDefault="00AA51EC" w:rsidP="00AA51EC">
            <w:pPr>
              <w:jc w:val="center"/>
              <w:rPr>
                <w:rFonts w:ascii="Times New Roman" w:hAnsi="Times New Roman" w:cs="Times New Roman"/>
                <w:b/>
                <w:bCs/>
                <w:sz w:val="20"/>
              </w:rPr>
            </w:pPr>
            <w:r w:rsidRPr="00541AC3">
              <w:rPr>
                <w:rFonts w:ascii="Times New Roman" w:hAnsi="Times New Roman" w:cs="Times New Roman"/>
                <w:b/>
                <w:bCs/>
                <w:sz w:val="20"/>
              </w:rPr>
              <w:t>0.87</w:t>
            </w:r>
            <w:r w:rsidRPr="00541AC3">
              <w:rPr>
                <w:rFonts w:ascii="Times New Roman" w:hAnsi="Times New Roman" w:cs="Times New Roman"/>
                <w:b/>
                <w:bCs/>
                <w:sz w:val="20"/>
                <w:vertAlign w:val="superscript"/>
              </w:rPr>
              <w:t>****</w:t>
            </w:r>
          </w:p>
        </w:tc>
        <w:tc>
          <w:tcPr>
            <w:tcW w:w="0" w:type="auto"/>
            <w:vAlign w:val="center"/>
          </w:tcPr>
          <w:p w14:paraId="3FDF7934" w14:textId="76C44A74" w:rsidR="00AA51EC" w:rsidRPr="00541AC3" w:rsidRDefault="00AA51EC" w:rsidP="00AA51EC">
            <w:pPr>
              <w:jc w:val="center"/>
              <w:rPr>
                <w:rFonts w:ascii="Times New Roman" w:hAnsi="Times New Roman" w:cs="Times New Roman"/>
                <w:b/>
                <w:bCs/>
                <w:sz w:val="20"/>
              </w:rPr>
            </w:pPr>
            <w:r w:rsidRPr="00541AC3">
              <w:rPr>
                <w:rFonts w:ascii="Times New Roman" w:hAnsi="Times New Roman" w:cs="Times New Roman"/>
                <w:b/>
                <w:bCs/>
                <w:sz w:val="20"/>
              </w:rPr>
              <w:t>0.71</w:t>
            </w:r>
            <w:r w:rsidRPr="00541AC3">
              <w:rPr>
                <w:rFonts w:ascii="Times New Roman" w:hAnsi="Times New Roman" w:cs="Times New Roman"/>
                <w:b/>
                <w:bCs/>
                <w:sz w:val="20"/>
                <w:vertAlign w:val="superscript"/>
              </w:rPr>
              <w:t>**</w:t>
            </w:r>
          </w:p>
        </w:tc>
        <w:tc>
          <w:tcPr>
            <w:tcW w:w="0" w:type="auto"/>
            <w:vAlign w:val="center"/>
          </w:tcPr>
          <w:p w14:paraId="7B399F6C" w14:textId="17EFE941" w:rsidR="00AA51EC" w:rsidRPr="00541AC3" w:rsidRDefault="00AA51EC" w:rsidP="00AA51EC">
            <w:pPr>
              <w:jc w:val="center"/>
              <w:rPr>
                <w:rFonts w:ascii="Times New Roman" w:hAnsi="Times New Roman" w:cs="Times New Roman"/>
                <w:b/>
                <w:bCs/>
                <w:sz w:val="20"/>
              </w:rPr>
            </w:pPr>
            <w:r w:rsidRPr="00541AC3">
              <w:rPr>
                <w:rFonts w:ascii="Times New Roman" w:hAnsi="Times New Roman" w:cs="Times New Roman"/>
                <w:sz w:val="20"/>
              </w:rPr>
              <w:t>0.38</w:t>
            </w:r>
          </w:p>
        </w:tc>
        <w:tc>
          <w:tcPr>
            <w:tcW w:w="0" w:type="auto"/>
            <w:vAlign w:val="center"/>
          </w:tcPr>
          <w:p w14:paraId="6CA5E2C6" w14:textId="5ADC6382" w:rsidR="00AA51EC" w:rsidRPr="00541AC3" w:rsidRDefault="00AA51EC" w:rsidP="00AA51EC">
            <w:pPr>
              <w:jc w:val="center"/>
              <w:rPr>
                <w:rFonts w:ascii="Times New Roman" w:hAnsi="Times New Roman" w:cs="Times New Roman"/>
                <w:sz w:val="20"/>
              </w:rPr>
            </w:pPr>
            <w:r w:rsidRPr="00541AC3">
              <w:rPr>
                <w:rFonts w:ascii="Times New Roman" w:hAnsi="Times New Roman" w:cs="Times New Roman"/>
                <w:sz w:val="20"/>
              </w:rPr>
              <w:t>0.11</w:t>
            </w:r>
          </w:p>
        </w:tc>
        <w:tc>
          <w:tcPr>
            <w:tcW w:w="0" w:type="auto"/>
            <w:vAlign w:val="center"/>
          </w:tcPr>
          <w:p w14:paraId="32F9BF8A" w14:textId="475A03EB" w:rsidR="00AA51EC" w:rsidRPr="00541AC3" w:rsidRDefault="00AA51EC" w:rsidP="00AA51EC">
            <w:pPr>
              <w:jc w:val="center"/>
              <w:rPr>
                <w:rFonts w:ascii="Times New Roman" w:hAnsi="Times New Roman" w:cs="Times New Roman"/>
                <w:sz w:val="20"/>
              </w:rPr>
            </w:pPr>
            <w:r w:rsidRPr="00541AC3">
              <w:rPr>
                <w:rFonts w:ascii="Times New Roman" w:hAnsi="Times New Roman" w:cs="Times New Roman"/>
                <w:sz w:val="20"/>
              </w:rPr>
              <w:t>-0.14</w:t>
            </w:r>
          </w:p>
        </w:tc>
        <w:tc>
          <w:tcPr>
            <w:tcW w:w="0" w:type="auto"/>
            <w:vAlign w:val="center"/>
          </w:tcPr>
          <w:p w14:paraId="3235E37B" w14:textId="21341775" w:rsidR="00AA51EC" w:rsidRPr="00541AC3" w:rsidRDefault="00AA51EC" w:rsidP="00AA51EC">
            <w:pPr>
              <w:jc w:val="center"/>
              <w:rPr>
                <w:rFonts w:ascii="Times New Roman" w:hAnsi="Times New Roman" w:cs="Times New Roman"/>
                <w:sz w:val="20"/>
              </w:rPr>
            </w:pPr>
            <w:r w:rsidRPr="00541AC3">
              <w:rPr>
                <w:rFonts w:ascii="Times New Roman" w:hAnsi="Times New Roman" w:cs="Times New Roman"/>
                <w:sz w:val="20"/>
              </w:rPr>
              <w:t>-0.19</w:t>
            </w:r>
          </w:p>
        </w:tc>
      </w:tr>
      <w:tr w:rsidR="00541AC3" w:rsidRPr="00541AC3" w14:paraId="249B5BA1" w14:textId="77777777" w:rsidTr="00052C72">
        <w:trPr>
          <w:trHeight w:val="288"/>
          <w:jc w:val="center"/>
        </w:trPr>
        <w:tc>
          <w:tcPr>
            <w:tcW w:w="0" w:type="auto"/>
            <w:vAlign w:val="center"/>
          </w:tcPr>
          <w:p w14:paraId="29E98250" w14:textId="77777777" w:rsidR="00AA51EC" w:rsidRPr="00541AC3" w:rsidRDefault="00AA51EC" w:rsidP="00AA51EC">
            <w:pPr>
              <w:rPr>
                <w:rFonts w:ascii="Times New Roman" w:hAnsi="Times New Roman" w:cs="Times New Roman"/>
                <w:sz w:val="20"/>
              </w:rPr>
            </w:pPr>
            <w:r w:rsidRPr="00541AC3">
              <w:rPr>
                <w:rFonts w:ascii="Times New Roman" w:eastAsia="Times New Roman" w:hAnsi="Times New Roman" w:cs="Times New Roman"/>
                <w:b/>
                <w:bCs/>
                <w:sz w:val="20"/>
              </w:rPr>
              <w:t>DKÖH</w:t>
            </w:r>
          </w:p>
        </w:tc>
        <w:tc>
          <w:tcPr>
            <w:tcW w:w="0" w:type="auto"/>
            <w:vAlign w:val="center"/>
          </w:tcPr>
          <w:p w14:paraId="7E39062F" w14:textId="39528822" w:rsidR="00AA51EC" w:rsidRPr="00541AC3" w:rsidRDefault="00AA51EC" w:rsidP="00AA51EC">
            <w:pPr>
              <w:jc w:val="center"/>
              <w:rPr>
                <w:rFonts w:ascii="Times New Roman" w:hAnsi="Times New Roman" w:cs="Times New Roman"/>
                <w:b/>
                <w:bCs/>
                <w:sz w:val="20"/>
              </w:rPr>
            </w:pPr>
            <w:r w:rsidRPr="00541AC3">
              <w:rPr>
                <w:rFonts w:ascii="Times New Roman" w:hAnsi="Times New Roman" w:cs="Times New Roman"/>
                <w:sz w:val="20"/>
              </w:rPr>
              <w:t>-0.3</w:t>
            </w:r>
          </w:p>
        </w:tc>
        <w:tc>
          <w:tcPr>
            <w:tcW w:w="0" w:type="auto"/>
            <w:vAlign w:val="center"/>
          </w:tcPr>
          <w:p w14:paraId="6CAF3215" w14:textId="66C24D0A" w:rsidR="00AA51EC" w:rsidRPr="00541AC3" w:rsidRDefault="00AA51EC" w:rsidP="00AA51EC">
            <w:pPr>
              <w:jc w:val="center"/>
              <w:rPr>
                <w:rFonts w:ascii="Times New Roman" w:hAnsi="Times New Roman" w:cs="Times New Roman"/>
                <w:sz w:val="20"/>
              </w:rPr>
            </w:pPr>
            <w:r w:rsidRPr="00541AC3">
              <w:rPr>
                <w:rFonts w:ascii="Times New Roman" w:hAnsi="Times New Roman" w:cs="Times New Roman"/>
                <w:sz w:val="20"/>
              </w:rPr>
              <w:t>-0.4</w:t>
            </w:r>
          </w:p>
        </w:tc>
        <w:tc>
          <w:tcPr>
            <w:tcW w:w="0" w:type="auto"/>
            <w:vAlign w:val="center"/>
          </w:tcPr>
          <w:p w14:paraId="182136F5" w14:textId="2B62119D" w:rsidR="00AA51EC" w:rsidRPr="00541AC3" w:rsidRDefault="00AA51EC" w:rsidP="00AA51EC">
            <w:pPr>
              <w:jc w:val="center"/>
              <w:rPr>
                <w:rFonts w:ascii="Times New Roman" w:hAnsi="Times New Roman" w:cs="Times New Roman"/>
                <w:sz w:val="20"/>
              </w:rPr>
            </w:pPr>
            <w:r w:rsidRPr="00541AC3">
              <w:rPr>
                <w:rFonts w:ascii="Times New Roman" w:hAnsi="Times New Roman" w:cs="Times New Roman"/>
                <w:sz w:val="20"/>
              </w:rPr>
              <w:t>-0.21</w:t>
            </w:r>
          </w:p>
        </w:tc>
        <w:tc>
          <w:tcPr>
            <w:tcW w:w="0" w:type="auto"/>
            <w:vAlign w:val="center"/>
          </w:tcPr>
          <w:p w14:paraId="4D461B10" w14:textId="69D42BAB" w:rsidR="00AA51EC" w:rsidRPr="00541AC3" w:rsidRDefault="00AA51EC" w:rsidP="00AA51EC">
            <w:pPr>
              <w:jc w:val="center"/>
              <w:rPr>
                <w:rFonts w:ascii="Times New Roman" w:hAnsi="Times New Roman" w:cs="Times New Roman"/>
                <w:sz w:val="20"/>
              </w:rPr>
            </w:pPr>
            <w:r w:rsidRPr="00541AC3">
              <w:rPr>
                <w:rFonts w:ascii="Times New Roman" w:hAnsi="Times New Roman" w:cs="Times New Roman"/>
                <w:sz w:val="20"/>
              </w:rPr>
              <w:t>0.28</w:t>
            </w:r>
          </w:p>
        </w:tc>
        <w:tc>
          <w:tcPr>
            <w:tcW w:w="0" w:type="auto"/>
            <w:vAlign w:val="center"/>
          </w:tcPr>
          <w:p w14:paraId="15890849" w14:textId="53E25C66" w:rsidR="00AA51EC" w:rsidRPr="00541AC3" w:rsidRDefault="00AA51EC" w:rsidP="00AA51EC">
            <w:pPr>
              <w:jc w:val="center"/>
              <w:rPr>
                <w:rFonts w:ascii="Times New Roman" w:hAnsi="Times New Roman" w:cs="Times New Roman"/>
                <w:sz w:val="20"/>
              </w:rPr>
            </w:pPr>
            <w:r w:rsidRPr="00541AC3">
              <w:rPr>
                <w:rFonts w:ascii="Times New Roman" w:hAnsi="Times New Roman" w:cs="Times New Roman"/>
                <w:sz w:val="20"/>
              </w:rPr>
              <w:t>0.27</w:t>
            </w:r>
          </w:p>
        </w:tc>
        <w:tc>
          <w:tcPr>
            <w:tcW w:w="0" w:type="auto"/>
            <w:vAlign w:val="center"/>
          </w:tcPr>
          <w:p w14:paraId="450F9955" w14:textId="635537F1" w:rsidR="00AA51EC" w:rsidRPr="00541AC3" w:rsidRDefault="00AA51EC" w:rsidP="00AA51EC">
            <w:pPr>
              <w:jc w:val="center"/>
              <w:rPr>
                <w:rFonts w:ascii="Times New Roman" w:hAnsi="Times New Roman" w:cs="Times New Roman"/>
                <w:sz w:val="20"/>
              </w:rPr>
            </w:pPr>
            <w:r w:rsidRPr="00541AC3">
              <w:rPr>
                <w:rFonts w:ascii="Times New Roman" w:hAnsi="Times New Roman" w:cs="Times New Roman"/>
                <w:sz w:val="20"/>
              </w:rPr>
              <w:t>0.29</w:t>
            </w:r>
          </w:p>
        </w:tc>
        <w:tc>
          <w:tcPr>
            <w:tcW w:w="0" w:type="auto"/>
            <w:vAlign w:val="center"/>
          </w:tcPr>
          <w:p w14:paraId="027A304B" w14:textId="6674B51A" w:rsidR="00AA51EC" w:rsidRPr="00541AC3" w:rsidRDefault="00AA51EC" w:rsidP="00AA51EC">
            <w:pPr>
              <w:jc w:val="center"/>
              <w:rPr>
                <w:rFonts w:ascii="Times New Roman" w:hAnsi="Times New Roman" w:cs="Times New Roman"/>
                <w:sz w:val="20"/>
              </w:rPr>
            </w:pPr>
            <w:r w:rsidRPr="00541AC3">
              <w:rPr>
                <w:rFonts w:ascii="Times New Roman" w:hAnsi="Times New Roman" w:cs="Times New Roman"/>
                <w:sz w:val="20"/>
              </w:rPr>
              <w:t>0.04</w:t>
            </w:r>
          </w:p>
        </w:tc>
      </w:tr>
      <w:tr w:rsidR="00541AC3" w:rsidRPr="00541AC3" w14:paraId="3DCC04AF" w14:textId="77777777" w:rsidTr="00052C72">
        <w:trPr>
          <w:trHeight w:val="288"/>
          <w:jc w:val="center"/>
        </w:trPr>
        <w:tc>
          <w:tcPr>
            <w:tcW w:w="0" w:type="auto"/>
            <w:vAlign w:val="center"/>
          </w:tcPr>
          <w:p w14:paraId="7716F3AC" w14:textId="77777777" w:rsidR="00AA51EC" w:rsidRPr="00541AC3" w:rsidRDefault="00AA51EC" w:rsidP="00AA51EC">
            <w:pPr>
              <w:rPr>
                <w:rFonts w:ascii="Times New Roman" w:hAnsi="Times New Roman" w:cs="Times New Roman"/>
                <w:sz w:val="20"/>
              </w:rPr>
            </w:pPr>
            <w:r w:rsidRPr="00541AC3">
              <w:rPr>
                <w:rFonts w:ascii="Times New Roman" w:eastAsia="Times New Roman" w:hAnsi="Times New Roman" w:cs="Times New Roman"/>
                <w:b/>
                <w:bCs/>
                <w:sz w:val="20"/>
              </w:rPr>
              <w:t>FİGM</w:t>
            </w:r>
          </w:p>
        </w:tc>
        <w:tc>
          <w:tcPr>
            <w:tcW w:w="0" w:type="auto"/>
            <w:vAlign w:val="center"/>
          </w:tcPr>
          <w:p w14:paraId="468F0991" w14:textId="0B92DC40" w:rsidR="00AA51EC" w:rsidRPr="00541AC3" w:rsidRDefault="00AA51EC" w:rsidP="00AA51EC">
            <w:pPr>
              <w:jc w:val="center"/>
              <w:rPr>
                <w:rFonts w:ascii="Times New Roman" w:hAnsi="Times New Roman" w:cs="Times New Roman"/>
                <w:b/>
                <w:bCs/>
                <w:sz w:val="20"/>
              </w:rPr>
            </w:pPr>
            <w:r w:rsidRPr="00541AC3">
              <w:rPr>
                <w:rFonts w:ascii="Times New Roman" w:hAnsi="Times New Roman" w:cs="Times New Roman"/>
                <w:b/>
                <w:bCs/>
                <w:sz w:val="20"/>
              </w:rPr>
              <w:t>0.5</w:t>
            </w:r>
            <w:r w:rsidRPr="00541AC3">
              <w:rPr>
                <w:rFonts w:ascii="Times New Roman" w:hAnsi="Times New Roman" w:cs="Times New Roman"/>
                <w:b/>
                <w:bCs/>
                <w:sz w:val="20"/>
                <w:vertAlign w:val="superscript"/>
              </w:rPr>
              <w:t>*</w:t>
            </w:r>
          </w:p>
        </w:tc>
        <w:tc>
          <w:tcPr>
            <w:tcW w:w="0" w:type="auto"/>
            <w:vAlign w:val="center"/>
          </w:tcPr>
          <w:p w14:paraId="786ED1B8" w14:textId="3A87C8A3" w:rsidR="00AA51EC" w:rsidRPr="00541AC3" w:rsidRDefault="00AA51EC" w:rsidP="00AA51EC">
            <w:pPr>
              <w:jc w:val="center"/>
              <w:rPr>
                <w:rFonts w:ascii="Times New Roman" w:hAnsi="Times New Roman" w:cs="Times New Roman"/>
                <w:b/>
                <w:bCs/>
                <w:sz w:val="20"/>
              </w:rPr>
            </w:pPr>
            <w:r w:rsidRPr="00541AC3">
              <w:rPr>
                <w:rFonts w:ascii="Times New Roman" w:hAnsi="Times New Roman" w:cs="Times New Roman"/>
                <w:b/>
                <w:bCs/>
                <w:sz w:val="20"/>
              </w:rPr>
              <w:t>0.6</w:t>
            </w:r>
            <w:r w:rsidRPr="00541AC3">
              <w:rPr>
                <w:rFonts w:ascii="Times New Roman" w:hAnsi="Times New Roman" w:cs="Times New Roman"/>
                <w:b/>
                <w:bCs/>
                <w:sz w:val="20"/>
                <w:vertAlign w:val="superscript"/>
              </w:rPr>
              <w:t>**</w:t>
            </w:r>
          </w:p>
        </w:tc>
        <w:tc>
          <w:tcPr>
            <w:tcW w:w="0" w:type="auto"/>
            <w:vAlign w:val="center"/>
          </w:tcPr>
          <w:p w14:paraId="4E707C13" w14:textId="4289B035" w:rsidR="00AA51EC" w:rsidRPr="00541AC3" w:rsidRDefault="00AA51EC" w:rsidP="00AA51EC">
            <w:pPr>
              <w:jc w:val="center"/>
              <w:rPr>
                <w:rFonts w:ascii="Times New Roman" w:hAnsi="Times New Roman" w:cs="Times New Roman"/>
                <w:b/>
                <w:bCs/>
                <w:sz w:val="20"/>
              </w:rPr>
            </w:pPr>
            <w:r w:rsidRPr="00541AC3">
              <w:rPr>
                <w:rFonts w:ascii="Times New Roman" w:hAnsi="Times New Roman" w:cs="Times New Roman"/>
                <w:b/>
                <w:bCs/>
                <w:sz w:val="20"/>
              </w:rPr>
              <w:t>0.47</w:t>
            </w:r>
            <w:r w:rsidRPr="00541AC3">
              <w:rPr>
                <w:rFonts w:ascii="Times New Roman" w:hAnsi="Times New Roman" w:cs="Times New Roman"/>
                <w:b/>
                <w:bCs/>
                <w:sz w:val="20"/>
                <w:vertAlign w:val="superscript"/>
              </w:rPr>
              <w:t>*</w:t>
            </w:r>
          </w:p>
        </w:tc>
        <w:tc>
          <w:tcPr>
            <w:tcW w:w="0" w:type="auto"/>
            <w:vAlign w:val="center"/>
          </w:tcPr>
          <w:p w14:paraId="4C54C509" w14:textId="0B9C1CC9" w:rsidR="00AA51EC" w:rsidRPr="00541AC3" w:rsidRDefault="00AA51EC" w:rsidP="00AA51EC">
            <w:pPr>
              <w:jc w:val="center"/>
              <w:rPr>
                <w:rFonts w:ascii="Times New Roman" w:hAnsi="Times New Roman" w:cs="Times New Roman"/>
                <w:b/>
                <w:bCs/>
                <w:sz w:val="20"/>
              </w:rPr>
            </w:pPr>
            <w:r w:rsidRPr="00541AC3">
              <w:rPr>
                <w:rFonts w:ascii="Times New Roman" w:hAnsi="Times New Roman" w:cs="Times New Roman"/>
                <w:sz w:val="20"/>
              </w:rPr>
              <w:t>0.17</w:t>
            </w:r>
          </w:p>
        </w:tc>
        <w:tc>
          <w:tcPr>
            <w:tcW w:w="0" w:type="auto"/>
            <w:vAlign w:val="center"/>
          </w:tcPr>
          <w:p w14:paraId="6B17C5D4" w14:textId="2DFF9DA8" w:rsidR="00AA51EC" w:rsidRPr="00541AC3" w:rsidRDefault="00AA51EC" w:rsidP="00AA51EC">
            <w:pPr>
              <w:jc w:val="center"/>
              <w:rPr>
                <w:rFonts w:ascii="Times New Roman" w:hAnsi="Times New Roman" w:cs="Times New Roman"/>
                <w:sz w:val="20"/>
              </w:rPr>
            </w:pPr>
            <w:r w:rsidRPr="00541AC3">
              <w:rPr>
                <w:rFonts w:ascii="Times New Roman" w:hAnsi="Times New Roman" w:cs="Times New Roman"/>
                <w:sz w:val="20"/>
              </w:rPr>
              <w:t>0</w:t>
            </w:r>
          </w:p>
        </w:tc>
        <w:tc>
          <w:tcPr>
            <w:tcW w:w="0" w:type="auto"/>
            <w:vAlign w:val="center"/>
          </w:tcPr>
          <w:p w14:paraId="0A0D54DF" w14:textId="57501621" w:rsidR="00AA51EC" w:rsidRPr="00541AC3" w:rsidRDefault="00AA51EC" w:rsidP="00AA51EC">
            <w:pPr>
              <w:jc w:val="center"/>
              <w:rPr>
                <w:rFonts w:ascii="Times New Roman" w:hAnsi="Times New Roman" w:cs="Times New Roman"/>
                <w:sz w:val="20"/>
              </w:rPr>
            </w:pPr>
            <w:r w:rsidRPr="00541AC3">
              <w:rPr>
                <w:rFonts w:ascii="Times New Roman" w:hAnsi="Times New Roman" w:cs="Times New Roman"/>
                <w:sz w:val="20"/>
              </w:rPr>
              <w:t>-0.14</w:t>
            </w:r>
          </w:p>
        </w:tc>
        <w:tc>
          <w:tcPr>
            <w:tcW w:w="0" w:type="auto"/>
            <w:vAlign w:val="center"/>
          </w:tcPr>
          <w:p w14:paraId="3C7DB66B" w14:textId="412FD412" w:rsidR="00AA51EC" w:rsidRPr="00541AC3" w:rsidRDefault="00AA51EC" w:rsidP="00AA51EC">
            <w:pPr>
              <w:jc w:val="center"/>
              <w:rPr>
                <w:rFonts w:ascii="Times New Roman" w:hAnsi="Times New Roman" w:cs="Times New Roman"/>
                <w:b/>
                <w:sz w:val="20"/>
              </w:rPr>
            </w:pPr>
            <w:r w:rsidRPr="00541AC3">
              <w:rPr>
                <w:rFonts w:ascii="Times New Roman" w:hAnsi="Times New Roman" w:cs="Times New Roman"/>
                <w:b/>
                <w:sz w:val="20"/>
              </w:rPr>
              <w:t>-0.48</w:t>
            </w:r>
            <w:r w:rsidR="008020D3" w:rsidRPr="00541AC3">
              <w:rPr>
                <w:rFonts w:ascii="Dreaming Outloud Pro" w:eastAsia="Times New Roman" w:hAnsi="Dreaming Outloud Pro" w:cs="Dreaming Outloud Pro"/>
                <w:b/>
                <w:sz w:val="20"/>
                <w:vertAlign w:val="superscript"/>
              </w:rPr>
              <w:t>‡</w:t>
            </w:r>
          </w:p>
        </w:tc>
      </w:tr>
      <w:tr w:rsidR="00541AC3" w:rsidRPr="00541AC3" w14:paraId="7DFA12BC" w14:textId="77777777" w:rsidTr="00052C72">
        <w:trPr>
          <w:trHeight w:val="288"/>
          <w:jc w:val="center"/>
        </w:trPr>
        <w:tc>
          <w:tcPr>
            <w:tcW w:w="0" w:type="auto"/>
            <w:vAlign w:val="center"/>
          </w:tcPr>
          <w:p w14:paraId="56DC70EF" w14:textId="77777777" w:rsidR="00AA51EC" w:rsidRPr="00541AC3" w:rsidRDefault="00AA51EC" w:rsidP="00AA51EC">
            <w:pPr>
              <w:rPr>
                <w:rFonts w:ascii="Times New Roman" w:hAnsi="Times New Roman" w:cs="Times New Roman"/>
                <w:sz w:val="20"/>
              </w:rPr>
            </w:pPr>
            <w:r w:rsidRPr="00541AC3">
              <w:rPr>
                <w:rFonts w:ascii="Times New Roman" w:eastAsia="Times New Roman" w:hAnsi="Times New Roman" w:cs="Times New Roman"/>
                <w:b/>
                <w:bCs/>
                <w:sz w:val="20"/>
              </w:rPr>
              <w:t>İMA</w:t>
            </w:r>
          </w:p>
        </w:tc>
        <w:tc>
          <w:tcPr>
            <w:tcW w:w="0" w:type="auto"/>
            <w:vAlign w:val="center"/>
          </w:tcPr>
          <w:p w14:paraId="61E565FA" w14:textId="7F58A265" w:rsidR="00AA51EC" w:rsidRPr="00541AC3" w:rsidRDefault="00AA51EC" w:rsidP="00AA51EC">
            <w:pPr>
              <w:jc w:val="center"/>
              <w:rPr>
                <w:rFonts w:ascii="Times New Roman" w:hAnsi="Times New Roman" w:cs="Times New Roman"/>
                <w:sz w:val="20"/>
              </w:rPr>
            </w:pPr>
            <w:r w:rsidRPr="00541AC3">
              <w:rPr>
                <w:rFonts w:ascii="Times New Roman" w:hAnsi="Times New Roman" w:cs="Times New Roman"/>
                <w:sz w:val="20"/>
              </w:rPr>
              <w:t>0.21</w:t>
            </w:r>
          </w:p>
        </w:tc>
        <w:tc>
          <w:tcPr>
            <w:tcW w:w="0" w:type="auto"/>
            <w:vAlign w:val="center"/>
          </w:tcPr>
          <w:p w14:paraId="388609E7" w14:textId="274B829A" w:rsidR="00AA51EC" w:rsidRPr="00541AC3" w:rsidRDefault="00AA51EC" w:rsidP="00AA51EC">
            <w:pPr>
              <w:jc w:val="center"/>
              <w:rPr>
                <w:rFonts w:ascii="Times New Roman" w:hAnsi="Times New Roman" w:cs="Times New Roman"/>
                <w:sz w:val="20"/>
              </w:rPr>
            </w:pPr>
            <w:r w:rsidRPr="00541AC3">
              <w:rPr>
                <w:rFonts w:ascii="Times New Roman" w:hAnsi="Times New Roman" w:cs="Times New Roman"/>
                <w:sz w:val="20"/>
              </w:rPr>
              <w:t>-0.05</w:t>
            </w:r>
          </w:p>
        </w:tc>
        <w:tc>
          <w:tcPr>
            <w:tcW w:w="0" w:type="auto"/>
            <w:vAlign w:val="center"/>
          </w:tcPr>
          <w:p w14:paraId="0936B3D8" w14:textId="7E075789" w:rsidR="00AA51EC" w:rsidRPr="00541AC3" w:rsidRDefault="00AA51EC" w:rsidP="00AA51EC">
            <w:pPr>
              <w:jc w:val="center"/>
              <w:rPr>
                <w:rFonts w:ascii="Times New Roman" w:hAnsi="Times New Roman" w:cs="Times New Roman"/>
                <w:sz w:val="20"/>
              </w:rPr>
            </w:pPr>
            <w:r w:rsidRPr="00541AC3">
              <w:rPr>
                <w:rFonts w:ascii="Times New Roman" w:hAnsi="Times New Roman" w:cs="Times New Roman"/>
                <w:sz w:val="20"/>
              </w:rPr>
              <w:t>-0.21</w:t>
            </w:r>
          </w:p>
        </w:tc>
        <w:tc>
          <w:tcPr>
            <w:tcW w:w="0" w:type="auto"/>
            <w:vAlign w:val="center"/>
          </w:tcPr>
          <w:p w14:paraId="129E1F8B" w14:textId="7F090071" w:rsidR="00AA51EC" w:rsidRPr="00541AC3" w:rsidRDefault="00AA51EC" w:rsidP="00AA51EC">
            <w:pPr>
              <w:jc w:val="center"/>
              <w:rPr>
                <w:rFonts w:ascii="Times New Roman" w:hAnsi="Times New Roman" w:cs="Times New Roman"/>
                <w:b/>
                <w:bCs/>
                <w:sz w:val="20"/>
              </w:rPr>
            </w:pPr>
            <w:r w:rsidRPr="00541AC3">
              <w:rPr>
                <w:rFonts w:ascii="Times New Roman" w:hAnsi="Times New Roman" w:cs="Times New Roman"/>
                <w:sz w:val="20"/>
              </w:rPr>
              <w:t>-0.34</w:t>
            </w:r>
          </w:p>
        </w:tc>
        <w:tc>
          <w:tcPr>
            <w:tcW w:w="0" w:type="auto"/>
            <w:vAlign w:val="center"/>
          </w:tcPr>
          <w:p w14:paraId="572CC234" w14:textId="2FAB4EA7" w:rsidR="00AA51EC" w:rsidRPr="00541AC3" w:rsidRDefault="00AA51EC" w:rsidP="00AA51EC">
            <w:pPr>
              <w:jc w:val="center"/>
              <w:rPr>
                <w:rFonts w:ascii="Times New Roman" w:hAnsi="Times New Roman" w:cs="Times New Roman"/>
                <w:b/>
                <w:bCs/>
                <w:sz w:val="20"/>
              </w:rPr>
            </w:pPr>
            <w:r w:rsidRPr="00541AC3">
              <w:rPr>
                <w:rFonts w:ascii="Times New Roman" w:hAnsi="Times New Roman" w:cs="Times New Roman"/>
                <w:b/>
                <w:bCs/>
                <w:sz w:val="20"/>
              </w:rPr>
              <w:t>-0.43</w:t>
            </w:r>
            <w:r w:rsidR="008020D3" w:rsidRPr="00541AC3">
              <w:rPr>
                <w:rFonts w:ascii="Dreaming Outloud Pro" w:eastAsia="Times New Roman" w:hAnsi="Dreaming Outloud Pro" w:cs="Dreaming Outloud Pro"/>
                <w:b/>
                <w:bCs/>
                <w:sz w:val="20"/>
                <w:vertAlign w:val="superscript"/>
              </w:rPr>
              <w:t>‡</w:t>
            </w:r>
          </w:p>
        </w:tc>
        <w:tc>
          <w:tcPr>
            <w:tcW w:w="0" w:type="auto"/>
            <w:vAlign w:val="center"/>
          </w:tcPr>
          <w:p w14:paraId="6B233342" w14:textId="5BD3A36F" w:rsidR="00AA51EC" w:rsidRPr="00541AC3" w:rsidRDefault="00AA51EC" w:rsidP="00AA51EC">
            <w:pPr>
              <w:jc w:val="center"/>
              <w:rPr>
                <w:rFonts w:ascii="Times New Roman" w:hAnsi="Times New Roman" w:cs="Times New Roman"/>
                <w:b/>
                <w:bCs/>
                <w:sz w:val="20"/>
              </w:rPr>
            </w:pPr>
            <w:r w:rsidRPr="00541AC3">
              <w:rPr>
                <w:rFonts w:ascii="Times New Roman" w:hAnsi="Times New Roman" w:cs="Times New Roman"/>
                <w:b/>
                <w:bCs/>
                <w:sz w:val="20"/>
              </w:rPr>
              <w:t>-0.53</w:t>
            </w:r>
            <w:r w:rsidRPr="00541AC3">
              <w:rPr>
                <w:rFonts w:ascii="Times New Roman" w:hAnsi="Times New Roman" w:cs="Times New Roman"/>
                <w:b/>
                <w:bCs/>
                <w:sz w:val="20"/>
                <w:vertAlign w:val="superscript"/>
              </w:rPr>
              <w:t>*</w:t>
            </w:r>
          </w:p>
        </w:tc>
        <w:tc>
          <w:tcPr>
            <w:tcW w:w="0" w:type="auto"/>
            <w:vAlign w:val="center"/>
          </w:tcPr>
          <w:p w14:paraId="40725A2C" w14:textId="131FE4AE" w:rsidR="00AA51EC" w:rsidRPr="00541AC3" w:rsidRDefault="00AA51EC" w:rsidP="00AA51EC">
            <w:pPr>
              <w:jc w:val="center"/>
              <w:rPr>
                <w:rFonts w:ascii="Times New Roman" w:hAnsi="Times New Roman" w:cs="Times New Roman"/>
                <w:b/>
                <w:bCs/>
                <w:sz w:val="20"/>
              </w:rPr>
            </w:pPr>
            <w:r w:rsidRPr="00541AC3">
              <w:rPr>
                <w:rFonts w:ascii="Times New Roman" w:hAnsi="Times New Roman" w:cs="Times New Roman"/>
                <w:b/>
                <w:bCs/>
                <w:sz w:val="20"/>
              </w:rPr>
              <w:t>-0.64</w:t>
            </w:r>
            <w:r w:rsidRPr="00541AC3">
              <w:rPr>
                <w:rFonts w:ascii="Times New Roman" w:hAnsi="Times New Roman" w:cs="Times New Roman"/>
                <w:b/>
                <w:bCs/>
                <w:sz w:val="20"/>
                <w:vertAlign w:val="superscript"/>
              </w:rPr>
              <w:t>*</w:t>
            </w:r>
          </w:p>
        </w:tc>
      </w:tr>
      <w:tr w:rsidR="00541AC3" w:rsidRPr="00541AC3" w14:paraId="3B4A1850" w14:textId="77777777" w:rsidTr="00052C72">
        <w:trPr>
          <w:trHeight w:val="288"/>
          <w:jc w:val="center"/>
        </w:trPr>
        <w:tc>
          <w:tcPr>
            <w:tcW w:w="0" w:type="auto"/>
            <w:vAlign w:val="center"/>
          </w:tcPr>
          <w:p w14:paraId="7DADC4CF" w14:textId="77777777" w:rsidR="00AA51EC" w:rsidRPr="00541AC3" w:rsidRDefault="00AA51EC" w:rsidP="00AA51EC">
            <w:pPr>
              <w:rPr>
                <w:rFonts w:ascii="Times New Roman" w:hAnsi="Times New Roman" w:cs="Times New Roman"/>
                <w:sz w:val="20"/>
              </w:rPr>
            </w:pPr>
            <w:r w:rsidRPr="00541AC3">
              <w:rPr>
                <w:rFonts w:ascii="Times New Roman" w:eastAsia="Times New Roman" w:hAnsi="Times New Roman" w:cs="Times New Roman"/>
                <w:b/>
                <w:bCs/>
                <w:sz w:val="20"/>
              </w:rPr>
              <w:t>MAD</w:t>
            </w:r>
          </w:p>
        </w:tc>
        <w:tc>
          <w:tcPr>
            <w:tcW w:w="0" w:type="auto"/>
            <w:vAlign w:val="center"/>
          </w:tcPr>
          <w:p w14:paraId="0E6425A0" w14:textId="065B0943" w:rsidR="00AA51EC" w:rsidRPr="00541AC3" w:rsidRDefault="00AA51EC" w:rsidP="00AA51EC">
            <w:pPr>
              <w:jc w:val="center"/>
              <w:rPr>
                <w:rFonts w:ascii="Times New Roman" w:hAnsi="Times New Roman" w:cs="Times New Roman"/>
                <w:sz w:val="20"/>
              </w:rPr>
            </w:pPr>
            <w:r w:rsidRPr="00541AC3">
              <w:rPr>
                <w:rFonts w:ascii="Times New Roman" w:hAnsi="Times New Roman" w:cs="Times New Roman"/>
                <w:sz w:val="20"/>
              </w:rPr>
              <w:t>0.22</w:t>
            </w:r>
          </w:p>
        </w:tc>
        <w:tc>
          <w:tcPr>
            <w:tcW w:w="0" w:type="auto"/>
            <w:vAlign w:val="center"/>
          </w:tcPr>
          <w:p w14:paraId="3304184F" w14:textId="16DE1607" w:rsidR="00AA51EC" w:rsidRPr="00541AC3" w:rsidRDefault="00AA51EC" w:rsidP="00AA51EC">
            <w:pPr>
              <w:jc w:val="center"/>
              <w:rPr>
                <w:rFonts w:ascii="Times New Roman" w:hAnsi="Times New Roman" w:cs="Times New Roman"/>
                <w:sz w:val="20"/>
              </w:rPr>
            </w:pPr>
            <w:r w:rsidRPr="00541AC3">
              <w:rPr>
                <w:rFonts w:ascii="Times New Roman" w:hAnsi="Times New Roman" w:cs="Times New Roman"/>
                <w:sz w:val="20"/>
              </w:rPr>
              <w:t>0.04</w:t>
            </w:r>
          </w:p>
        </w:tc>
        <w:tc>
          <w:tcPr>
            <w:tcW w:w="0" w:type="auto"/>
            <w:vAlign w:val="center"/>
          </w:tcPr>
          <w:p w14:paraId="3F25567B" w14:textId="7AB60C31" w:rsidR="00AA51EC" w:rsidRPr="00541AC3" w:rsidRDefault="00AA51EC" w:rsidP="00AA51EC">
            <w:pPr>
              <w:jc w:val="center"/>
              <w:rPr>
                <w:rFonts w:ascii="Times New Roman" w:hAnsi="Times New Roman" w:cs="Times New Roman"/>
                <w:sz w:val="20"/>
              </w:rPr>
            </w:pPr>
            <w:r w:rsidRPr="00541AC3">
              <w:rPr>
                <w:rFonts w:ascii="Times New Roman" w:hAnsi="Times New Roman" w:cs="Times New Roman"/>
                <w:sz w:val="20"/>
              </w:rPr>
              <w:t>-0.11</w:t>
            </w:r>
          </w:p>
        </w:tc>
        <w:tc>
          <w:tcPr>
            <w:tcW w:w="0" w:type="auto"/>
            <w:vAlign w:val="center"/>
          </w:tcPr>
          <w:p w14:paraId="167386FA" w14:textId="1762DC73" w:rsidR="00AA51EC" w:rsidRPr="00541AC3" w:rsidRDefault="00AA51EC" w:rsidP="00AA51EC">
            <w:pPr>
              <w:jc w:val="center"/>
              <w:rPr>
                <w:rFonts w:ascii="Times New Roman" w:hAnsi="Times New Roman" w:cs="Times New Roman"/>
                <w:sz w:val="20"/>
              </w:rPr>
            </w:pPr>
            <w:r w:rsidRPr="00541AC3">
              <w:rPr>
                <w:rFonts w:ascii="Times New Roman" w:hAnsi="Times New Roman" w:cs="Times New Roman"/>
                <w:sz w:val="20"/>
              </w:rPr>
              <w:t>-0.07</w:t>
            </w:r>
          </w:p>
        </w:tc>
        <w:tc>
          <w:tcPr>
            <w:tcW w:w="0" w:type="auto"/>
            <w:vAlign w:val="center"/>
          </w:tcPr>
          <w:p w14:paraId="690DD393" w14:textId="12054C23" w:rsidR="00AA51EC" w:rsidRPr="00541AC3" w:rsidRDefault="00AA51EC" w:rsidP="00AA51EC">
            <w:pPr>
              <w:jc w:val="center"/>
              <w:rPr>
                <w:rFonts w:ascii="Times New Roman" w:hAnsi="Times New Roman" w:cs="Times New Roman"/>
                <w:sz w:val="20"/>
              </w:rPr>
            </w:pPr>
            <w:r w:rsidRPr="00541AC3">
              <w:rPr>
                <w:rFonts w:ascii="Times New Roman" w:hAnsi="Times New Roman" w:cs="Times New Roman"/>
                <w:sz w:val="20"/>
              </w:rPr>
              <w:t>-0.28</w:t>
            </w:r>
          </w:p>
        </w:tc>
        <w:tc>
          <w:tcPr>
            <w:tcW w:w="0" w:type="auto"/>
            <w:vAlign w:val="center"/>
          </w:tcPr>
          <w:p w14:paraId="527A956E" w14:textId="07950F2C" w:rsidR="00AA51EC" w:rsidRPr="00541AC3" w:rsidRDefault="00AA51EC" w:rsidP="00AA51EC">
            <w:pPr>
              <w:jc w:val="center"/>
              <w:rPr>
                <w:rFonts w:ascii="Times New Roman" w:hAnsi="Times New Roman" w:cs="Times New Roman"/>
                <w:b/>
                <w:bCs/>
                <w:sz w:val="20"/>
              </w:rPr>
            </w:pPr>
            <w:r w:rsidRPr="00541AC3">
              <w:rPr>
                <w:rFonts w:ascii="Times New Roman" w:hAnsi="Times New Roman" w:cs="Times New Roman"/>
                <w:b/>
                <w:bCs/>
                <w:sz w:val="20"/>
              </w:rPr>
              <w:t>-0.47</w:t>
            </w:r>
            <w:r w:rsidR="008020D3" w:rsidRPr="00541AC3">
              <w:rPr>
                <w:rFonts w:ascii="Dreaming Outloud Pro" w:eastAsia="Times New Roman" w:hAnsi="Dreaming Outloud Pro" w:cs="Dreaming Outloud Pro"/>
                <w:b/>
                <w:bCs/>
                <w:sz w:val="20"/>
                <w:vertAlign w:val="superscript"/>
              </w:rPr>
              <w:t>‡</w:t>
            </w:r>
          </w:p>
        </w:tc>
        <w:tc>
          <w:tcPr>
            <w:tcW w:w="0" w:type="auto"/>
            <w:vAlign w:val="center"/>
          </w:tcPr>
          <w:p w14:paraId="43C36D6F" w14:textId="0F6F1510" w:rsidR="00AA51EC" w:rsidRPr="00541AC3" w:rsidRDefault="00AA51EC" w:rsidP="00AA51EC">
            <w:pPr>
              <w:jc w:val="center"/>
              <w:rPr>
                <w:rFonts w:ascii="Times New Roman" w:hAnsi="Times New Roman" w:cs="Times New Roman"/>
                <w:b/>
                <w:bCs/>
                <w:sz w:val="20"/>
              </w:rPr>
            </w:pPr>
            <w:r w:rsidRPr="00541AC3">
              <w:rPr>
                <w:rFonts w:ascii="Times New Roman" w:hAnsi="Times New Roman" w:cs="Times New Roman"/>
                <w:b/>
                <w:bCs/>
                <w:sz w:val="20"/>
              </w:rPr>
              <w:t>-0.31</w:t>
            </w:r>
            <w:r w:rsidRPr="00541AC3">
              <w:rPr>
                <w:rFonts w:ascii="Times New Roman" w:hAnsi="Times New Roman" w:cs="Times New Roman"/>
                <w:b/>
                <w:bCs/>
                <w:sz w:val="20"/>
                <w:vertAlign w:val="superscript"/>
              </w:rPr>
              <w:t>**</w:t>
            </w:r>
          </w:p>
        </w:tc>
      </w:tr>
      <w:tr w:rsidR="00541AC3" w:rsidRPr="00541AC3" w14:paraId="22392627" w14:textId="77777777" w:rsidTr="00052C72">
        <w:trPr>
          <w:trHeight w:val="288"/>
          <w:jc w:val="center"/>
        </w:trPr>
        <w:tc>
          <w:tcPr>
            <w:tcW w:w="0" w:type="auto"/>
            <w:vAlign w:val="center"/>
          </w:tcPr>
          <w:p w14:paraId="24937880" w14:textId="77777777" w:rsidR="00AA51EC" w:rsidRPr="00541AC3" w:rsidRDefault="00AA51EC" w:rsidP="00AA51EC">
            <w:pPr>
              <w:rPr>
                <w:rFonts w:ascii="Times New Roman" w:hAnsi="Times New Roman" w:cs="Times New Roman"/>
                <w:sz w:val="20"/>
              </w:rPr>
            </w:pPr>
            <w:r w:rsidRPr="00541AC3">
              <w:rPr>
                <w:rFonts w:ascii="Times New Roman" w:eastAsia="Times New Roman" w:hAnsi="Times New Roman" w:cs="Times New Roman"/>
                <w:b/>
                <w:bCs/>
                <w:sz w:val="20"/>
              </w:rPr>
              <w:t>EGS</w:t>
            </w:r>
          </w:p>
        </w:tc>
        <w:tc>
          <w:tcPr>
            <w:tcW w:w="0" w:type="auto"/>
            <w:vAlign w:val="center"/>
          </w:tcPr>
          <w:p w14:paraId="48828C42" w14:textId="6E118928" w:rsidR="00AA51EC" w:rsidRPr="00541AC3" w:rsidRDefault="00AA51EC" w:rsidP="00AA51EC">
            <w:pPr>
              <w:jc w:val="center"/>
              <w:rPr>
                <w:rFonts w:ascii="Times New Roman" w:hAnsi="Times New Roman" w:cs="Times New Roman"/>
                <w:b/>
                <w:bCs/>
                <w:sz w:val="20"/>
              </w:rPr>
            </w:pPr>
            <w:r w:rsidRPr="00541AC3">
              <w:rPr>
                <w:rFonts w:ascii="Times New Roman" w:hAnsi="Times New Roman" w:cs="Times New Roman"/>
                <w:b/>
                <w:bCs/>
                <w:sz w:val="20"/>
              </w:rPr>
              <w:t>0.41</w:t>
            </w:r>
            <w:r w:rsidR="008020D3" w:rsidRPr="00541AC3">
              <w:rPr>
                <w:rFonts w:ascii="Dreaming Outloud Pro" w:eastAsia="Times New Roman" w:hAnsi="Dreaming Outloud Pro" w:cs="Dreaming Outloud Pro"/>
                <w:b/>
                <w:bCs/>
                <w:sz w:val="20"/>
                <w:vertAlign w:val="superscript"/>
              </w:rPr>
              <w:t>‡</w:t>
            </w:r>
          </w:p>
        </w:tc>
        <w:tc>
          <w:tcPr>
            <w:tcW w:w="0" w:type="auto"/>
            <w:vAlign w:val="center"/>
          </w:tcPr>
          <w:p w14:paraId="534B9DF0" w14:textId="773A1D78" w:rsidR="00AA51EC" w:rsidRPr="00541AC3" w:rsidRDefault="00AA51EC" w:rsidP="00AA51EC">
            <w:pPr>
              <w:jc w:val="center"/>
              <w:rPr>
                <w:rFonts w:ascii="Times New Roman" w:hAnsi="Times New Roman" w:cs="Times New Roman"/>
                <w:b/>
                <w:bCs/>
                <w:sz w:val="20"/>
              </w:rPr>
            </w:pPr>
            <w:r w:rsidRPr="00541AC3">
              <w:rPr>
                <w:rFonts w:ascii="Times New Roman" w:hAnsi="Times New Roman" w:cs="Times New Roman"/>
                <w:b/>
                <w:bCs/>
                <w:sz w:val="20"/>
              </w:rPr>
              <w:t>0.59</w:t>
            </w:r>
            <w:r w:rsidRPr="00541AC3">
              <w:rPr>
                <w:rFonts w:ascii="Times New Roman" w:hAnsi="Times New Roman" w:cs="Times New Roman"/>
                <w:b/>
                <w:bCs/>
                <w:sz w:val="20"/>
                <w:vertAlign w:val="superscript"/>
              </w:rPr>
              <w:t>*</w:t>
            </w:r>
          </w:p>
        </w:tc>
        <w:tc>
          <w:tcPr>
            <w:tcW w:w="0" w:type="auto"/>
            <w:vAlign w:val="center"/>
          </w:tcPr>
          <w:p w14:paraId="16F6D17D" w14:textId="1A87CE06" w:rsidR="00AA51EC" w:rsidRPr="00541AC3" w:rsidRDefault="00AA51EC" w:rsidP="00AA51EC">
            <w:pPr>
              <w:jc w:val="center"/>
              <w:rPr>
                <w:rFonts w:ascii="Times New Roman" w:hAnsi="Times New Roman" w:cs="Times New Roman"/>
                <w:b/>
                <w:bCs/>
                <w:sz w:val="20"/>
              </w:rPr>
            </w:pPr>
            <w:r w:rsidRPr="00541AC3">
              <w:rPr>
                <w:rFonts w:ascii="Times New Roman" w:hAnsi="Times New Roman" w:cs="Times New Roman"/>
                <w:b/>
                <w:bCs/>
                <w:sz w:val="20"/>
              </w:rPr>
              <w:t>0.74</w:t>
            </w:r>
            <w:r w:rsidRPr="00541AC3">
              <w:rPr>
                <w:rFonts w:ascii="Times New Roman" w:hAnsi="Times New Roman" w:cs="Times New Roman"/>
                <w:b/>
                <w:bCs/>
                <w:sz w:val="20"/>
                <w:vertAlign w:val="superscript"/>
              </w:rPr>
              <w:t>***</w:t>
            </w:r>
          </w:p>
        </w:tc>
        <w:tc>
          <w:tcPr>
            <w:tcW w:w="0" w:type="auto"/>
            <w:vAlign w:val="center"/>
          </w:tcPr>
          <w:p w14:paraId="15CF5EF6" w14:textId="508E0C0E" w:rsidR="00AA51EC" w:rsidRPr="00541AC3" w:rsidRDefault="00AA51EC" w:rsidP="00AA51EC">
            <w:pPr>
              <w:jc w:val="center"/>
              <w:rPr>
                <w:rFonts w:ascii="Times New Roman" w:hAnsi="Times New Roman" w:cs="Times New Roman"/>
                <w:b/>
                <w:bCs/>
                <w:sz w:val="20"/>
              </w:rPr>
            </w:pPr>
            <w:r w:rsidRPr="00541AC3">
              <w:rPr>
                <w:rFonts w:ascii="Times New Roman" w:hAnsi="Times New Roman" w:cs="Times New Roman"/>
                <w:b/>
                <w:bCs/>
                <w:sz w:val="20"/>
              </w:rPr>
              <w:t>0.79</w:t>
            </w:r>
            <w:r w:rsidRPr="00541AC3">
              <w:rPr>
                <w:rFonts w:ascii="Times New Roman" w:hAnsi="Times New Roman" w:cs="Times New Roman"/>
                <w:b/>
                <w:bCs/>
                <w:sz w:val="20"/>
                <w:vertAlign w:val="superscript"/>
              </w:rPr>
              <w:t>***</w:t>
            </w:r>
          </w:p>
        </w:tc>
        <w:tc>
          <w:tcPr>
            <w:tcW w:w="0" w:type="auto"/>
            <w:vAlign w:val="center"/>
          </w:tcPr>
          <w:p w14:paraId="4F7ABFD5" w14:textId="546609BC" w:rsidR="00AA51EC" w:rsidRPr="00541AC3" w:rsidRDefault="00AA51EC" w:rsidP="00AA51EC">
            <w:pPr>
              <w:jc w:val="center"/>
              <w:rPr>
                <w:rFonts w:ascii="Times New Roman" w:hAnsi="Times New Roman" w:cs="Times New Roman"/>
                <w:b/>
                <w:bCs/>
                <w:sz w:val="20"/>
              </w:rPr>
            </w:pPr>
            <w:r w:rsidRPr="00541AC3">
              <w:rPr>
                <w:rFonts w:ascii="Times New Roman" w:hAnsi="Times New Roman" w:cs="Times New Roman"/>
                <w:b/>
                <w:bCs/>
                <w:sz w:val="20"/>
              </w:rPr>
              <w:t>0.76</w:t>
            </w:r>
            <w:r w:rsidRPr="00541AC3">
              <w:rPr>
                <w:rFonts w:ascii="Times New Roman" w:hAnsi="Times New Roman" w:cs="Times New Roman"/>
                <w:b/>
                <w:bCs/>
                <w:sz w:val="20"/>
                <w:vertAlign w:val="superscript"/>
              </w:rPr>
              <w:t>***</w:t>
            </w:r>
          </w:p>
        </w:tc>
        <w:tc>
          <w:tcPr>
            <w:tcW w:w="0" w:type="auto"/>
            <w:vAlign w:val="center"/>
          </w:tcPr>
          <w:p w14:paraId="331E3E9F" w14:textId="156B37B7" w:rsidR="00AA51EC" w:rsidRPr="00541AC3" w:rsidRDefault="00AA51EC" w:rsidP="00AA51EC">
            <w:pPr>
              <w:jc w:val="center"/>
              <w:rPr>
                <w:rFonts w:ascii="Times New Roman" w:hAnsi="Times New Roman" w:cs="Times New Roman"/>
                <w:b/>
                <w:bCs/>
                <w:sz w:val="20"/>
              </w:rPr>
            </w:pPr>
            <w:r w:rsidRPr="00541AC3">
              <w:rPr>
                <w:rFonts w:ascii="Times New Roman" w:hAnsi="Times New Roman" w:cs="Times New Roman"/>
                <w:b/>
                <w:bCs/>
                <w:sz w:val="20"/>
              </w:rPr>
              <w:t>0.69</w:t>
            </w:r>
            <w:r w:rsidRPr="00541AC3">
              <w:rPr>
                <w:rFonts w:ascii="Times New Roman" w:hAnsi="Times New Roman" w:cs="Times New Roman"/>
                <w:b/>
                <w:bCs/>
                <w:sz w:val="20"/>
                <w:vertAlign w:val="superscript"/>
              </w:rPr>
              <w:t>**</w:t>
            </w:r>
          </w:p>
        </w:tc>
        <w:tc>
          <w:tcPr>
            <w:tcW w:w="0" w:type="auto"/>
            <w:vAlign w:val="center"/>
          </w:tcPr>
          <w:p w14:paraId="2A553759" w14:textId="56E42C2C" w:rsidR="00AA51EC" w:rsidRPr="00541AC3" w:rsidRDefault="00AA51EC" w:rsidP="00AA51EC">
            <w:pPr>
              <w:jc w:val="center"/>
              <w:rPr>
                <w:rFonts w:ascii="Times New Roman" w:hAnsi="Times New Roman" w:cs="Times New Roman"/>
                <w:b/>
                <w:bCs/>
                <w:sz w:val="20"/>
              </w:rPr>
            </w:pPr>
            <w:r w:rsidRPr="00541AC3">
              <w:rPr>
                <w:rFonts w:ascii="Times New Roman" w:hAnsi="Times New Roman" w:cs="Times New Roman"/>
                <w:b/>
                <w:bCs/>
                <w:sz w:val="20"/>
              </w:rPr>
              <w:t>0.66</w:t>
            </w:r>
            <w:r w:rsidRPr="00541AC3">
              <w:rPr>
                <w:rFonts w:ascii="Times New Roman" w:hAnsi="Times New Roman" w:cs="Times New Roman"/>
                <w:b/>
                <w:bCs/>
                <w:sz w:val="20"/>
                <w:vertAlign w:val="superscript"/>
              </w:rPr>
              <w:t>**</w:t>
            </w:r>
          </w:p>
        </w:tc>
      </w:tr>
      <w:tr w:rsidR="00541AC3" w:rsidRPr="00541AC3" w14:paraId="7E545582" w14:textId="77777777" w:rsidTr="00052C72">
        <w:trPr>
          <w:trHeight w:val="288"/>
          <w:jc w:val="center"/>
        </w:trPr>
        <w:tc>
          <w:tcPr>
            <w:tcW w:w="0" w:type="auto"/>
            <w:vAlign w:val="center"/>
          </w:tcPr>
          <w:p w14:paraId="05797153" w14:textId="77777777" w:rsidR="00AA51EC" w:rsidRPr="00541AC3" w:rsidRDefault="00AA51EC" w:rsidP="00AA51EC">
            <w:pPr>
              <w:rPr>
                <w:rFonts w:ascii="Times New Roman" w:hAnsi="Times New Roman" w:cs="Times New Roman"/>
                <w:sz w:val="20"/>
              </w:rPr>
            </w:pPr>
            <w:r w:rsidRPr="00541AC3">
              <w:rPr>
                <w:rFonts w:ascii="Times New Roman" w:eastAsia="Times New Roman" w:hAnsi="Times New Roman" w:cs="Times New Roman"/>
                <w:b/>
                <w:bCs/>
                <w:sz w:val="20"/>
              </w:rPr>
              <w:t>UHD</w:t>
            </w:r>
          </w:p>
        </w:tc>
        <w:tc>
          <w:tcPr>
            <w:tcW w:w="0" w:type="auto"/>
            <w:vAlign w:val="center"/>
          </w:tcPr>
          <w:p w14:paraId="1EFD37C0" w14:textId="3B376DA2" w:rsidR="00AA51EC" w:rsidRPr="00541AC3" w:rsidRDefault="00AA51EC" w:rsidP="00AA51EC">
            <w:pPr>
              <w:jc w:val="center"/>
              <w:rPr>
                <w:rFonts w:ascii="Times New Roman" w:hAnsi="Times New Roman" w:cs="Times New Roman"/>
                <w:sz w:val="20"/>
              </w:rPr>
            </w:pPr>
            <w:r w:rsidRPr="00541AC3">
              <w:rPr>
                <w:rFonts w:ascii="Times New Roman" w:hAnsi="Times New Roman" w:cs="Times New Roman"/>
                <w:sz w:val="20"/>
              </w:rPr>
              <w:t>-0.28</w:t>
            </w:r>
          </w:p>
        </w:tc>
        <w:tc>
          <w:tcPr>
            <w:tcW w:w="0" w:type="auto"/>
            <w:vAlign w:val="center"/>
          </w:tcPr>
          <w:p w14:paraId="735075DF" w14:textId="5268269A" w:rsidR="00AA51EC" w:rsidRPr="00541AC3" w:rsidRDefault="00AA51EC" w:rsidP="00AA51EC">
            <w:pPr>
              <w:jc w:val="center"/>
              <w:rPr>
                <w:rFonts w:ascii="Times New Roman" w:hAnsi="Times New Roman" w:cs="Times New Roman"/>
                <w:sz w:val="20"/>
              </w:rPr>
            </w:pPr>
            <w:r w:rsidRPr="00541AC3">
              <w:rPr>
                <w:rFonts w:ascii="Times New Roman" w:hAnsi="Times New Roman" w:cs="Times New Roman"/>
                <w:sz w:val="20"/>
              </w:rPr>
              <w:t>-0.4</w:t>
            </w:r>
          </w:p>
        </w:tc>
        <w:tc>
          <w:tcPr>
            <w:tcW w:w="0" w:type="auto"/>
            <w:vAlign w:val="center"/>
          </w:tcPr>
          <w:p w14:paraId="70C6E3E5" w14:textId="27D3F890" w:rsidR="00AA51EC" w:rsidRPr="00541AC3" w:rsidRDefault="00AA51EC" w:rsidP="00AA51EC">
            <w:pPr>
              <w:jc w:val="center"/>
              <w:rPr>
                <w:rFonts w:ascii="Times New Roman" w:hAnsi="Times New Roman" w:cs="Times New Roman"/>
                <w:sz w:val="20"/>
              </w:rPr>
            </w:pPr>
            <w:r w:rsidRPr="00541AC3">
              <w:rPr>
                <w:rFonts w:ascii="Times New Roman" w:hAnsi="Times New Roman" w:cs="Times New Roman"/>
                <w:sz w:val="20"/>
              </w:rPr>
              <w:t>-0.35</w:t>
            </w:r>
          </w:p>
        </w:tc>
        <w:tc>
          <w:tcPr>
            <w:tcW w:w="0" w:type="auto"/>
            <w:vAlign w:val="center"/>
          </w:tcPr>
          <w:p w14:paraId="1921BA03" w14:textId="649A915A" w:rsidR="00AA51EC" w:rsidRPr="00541AC3" w:rsidRDefault="00AA51EC" w:rsidP="00AA51EC">
            <w:pPr>
              <w:jc w:val="center"/>
              <w:rPr>
                <w:rFonts w:ascii="Times New Roman" w:hAnsi="Times New Roman" w:cs="Times New Roman"/>
                <w:sz w:val="20"/>
              </w:rPr>
            </w:pPr>
            <w:r w:rsidRPr="00541AC3">
              <w:rPr>
                <w:rFonts w:ascii="Times New Roman" w:hAnsi="Times New Roman" w:cs="Times New Roman"/>
                <w:sz w:val="20"/>
              </w:rPr>
              <w:t>-0.3</w:t>
            </w:r>
          </w:p>
        </w:tc>
        <w:tc>
          <w:tcPr>
            <w:tcW w:w="0" w:type="auto"/>
            <w:vAlign w:val="center"/>
          </w:tcPr>
          <w:p w14:paraId="3DE9B545" w14:textId="615BD658" w:rsidR="00AA51EC" w:rsidRPr="00541AC3" w:rsidRDefault="00AA51EC" w:rsidP="00AA51EC">
            <w:pPr>
              <w:jc w:val="center"/>
              <w:rPr>
                <w:rFonts w:ascii="Times New Roman" w:hAnsi="Times New Roman" w:cs="Times New Roman"/>
                <w:sz w:val="20"/>
              </w:rPr>
            </w:pPr>
            <w:r w:rsidRPr="00541AC3">
              <w:rPr>
                <w:rFonts w:ascii="Times New Roman" w:hAnsi="Times New Roman" w:cs="Times New Roman"/>
                <w:sz w:val="20"/>
              </w:rPr>
              <w:t>-0.39</w:t>
            </w:r>
          </w:p>
        </w:tc>
        <w:tc>
          <w:tcPr>
            <w:tcW w:w="0" w:type="auto"/>
            <w:vAlign w:val="center"/>
          </w:tcPr>
          <w:p w14:paraId="49DBEA0A" w14:textId="06800EB7" w:rsidR="00AA51EC" w:rsidRPr="00541AC3" w:rsidRDefault="00AA51EC" w:rsidP="00AA51EC">
            <w:pPr>
              <w:jc w:val="center"/>
              <w:rPr>
                <w:rFonts w:ascii="Times New Roman" w:hAnsi="Times New Roman" w:cs="Times New Roman"/>
                <w:b/>
                <w:bCs/>
                <w:sz w:val="20"/>
              </w:rPr>
            </w:pPr>
            <w:r w:rsidRPr="00541AC3">
              <w:rPr>
                <w:rFonts w:ascii="Times New Roman" w:hAnsi="Times New Roman" w:cs="Times New Roman"/>
                <w:b/>
                <w:bCs/>
                <w:sz w:val="20"/>
              </w:rPr>
              <w:t>-0.58</w:t>
            </w:r>
            <w:r w:rsidRPr="00541AC3">
              <w:rPr>
                <w:rFonts w:ascii="Times New Roman" w:hAnsi="Times New Roman" w:cs="Times New Roman"/>
                <w:b/>
                <w:bCs/>
                <w:sz w:val="20"/>
                <w:vertAlign w:val="superscript"/>
              </w:rPr>
              <w:t>*</w:t>
            </w:r>
          </w:p>
        </w:tc>
        <w:tc>
          <w:tcPr>
            <w:tcW w:w="0" w:type="auto"/>
            <w:vAlign w:val="center"/>
          </w:tcPr>
          <w:p w14:paraId="14AE5089" w14:textId="59A45F09" w:rsidR="00AA51EC" w:rsidRPr="00541AC3" w:rsidRDefault="00AA51EC" w:rsidP="00AA51EC">
            <w:pPr>
              <w:jc w:val="center"/>
              <w:rPr>
                <w:rFonts w:ascii="Times New Roman" w:hAnsi="Times New Roman" w:cs="Times New Roman"/>
                <w:b/>
                <w:bCs/>
                <w:sz w:val="20"/>
              </w:rPr>
            </w:pPr>
            <w:r w:rsidRPr="00541AC3">
              <w:rPr>
                <w:rFonts w:ascii="Times New Roman" w:hAnsi="Times New Roman" w:cs="Times New Roman"/>
                <w:b/>
                <w:bCs/>
                <w:sz w:val="20"/>
              </w:rPr>
              <w:t>-0.78</w:t>
            </w:r>
            <w:r w:rsidRPr="00541AC3">
              <w:rPr>
                <w:rFonts w:ascii="Times New Roman" w:hAnsi="Times New Roman" w:cs="Times New Roman"/>
                <w:b/>
                <w:bCs/>
                <w:sz w:val="20"/>
                <w:vertAlign w:val="superscript"/>
              </w:rPr>
              <w:t>***</w:t>
            </w:r>
          </w:p>
        </w:tc>
      </w:tr>
      <w:tr w:rsidR="00541AC3" w:rsidRPr="00541AC3" w14:paraId="1799947F" w14:textId="77777777" w:rsidTr="00052C72">
        <w:trPr>
          <w:trHeight w:val="288"/>
          <w:jc w:val="center"/>
        </w:trPr>
        <w:tc>
          <w:tcPr>
            <w:tcW w:w="0" w:type="auto"/>
            <w:vAlign w:val="center"/>
          </w:tcPr>
          <w:p w14:paraId="04614FD8" w14:textId="77777777" w:rsidR="00AA51EC" w:rsidRPr="00541AC3" w:rsidRDefault="00AA51EC" w:rsidP="00AA51EC">
            <w:pPr>
              <w:rPr>
                <w:rFonts w:ascii="Times New Roman" w:hAnsi="Times New Roman" w:cs="Times New Roman"/>
                <w:sz w:val="20"/>
              </w:rPr>
            </w:pPr>
            <w:r w:rsidRPr="00541AC3">
              <w:rPr>
                <w:rFonts w:ascii="Times New Roman" w:eastAsia="Times New Roman" w:hAnsi="Times New Roman" w:cs="Times New Roman"/>
                <w:b/>
                <w:bCs/>
                <w:sz w:val="20"/>
              </w:rPr>
              <w:t>TİC</w:t>
            </w:r>
          </w:p>
        </w:tc>
        <w:tc>
          <w:tcPr>
            <w:tcW w:w="0" w:type="auto"/>
            <w:vAlign w:val="center"/>
          </w:tcPr>
          <w:p w14:paraId="2440CF70" w14:textId="5875C5AE" w:rsidR="00AA51EC" w:rsidRPr="00541AC3" w:rsidRDefault="00AA51EC" w:rsidP="00AA51EC">
            <w:pPr>
              <w:jc w:val="center"/>
              <w:rPr>
                <w:rFonts w:ascii="Times New Roman" w:hAnsi="Times New Roman" w:cs="Times New Roman"/>
                <w:sz w:val="20"/>
              </w:rPr>
            </w:pPr>
            <w:r w:rsidRPr="00541AC3">
              <w:rPr>
                <w:rFonts w:ascii="Times New Roman" w:hAnsi="Times New Roman" w:cs="Times New Roman"/>
                <w:sz w:val="20"/>
              </w:rPr>
              <w:t>-0.01</w:t>
            </w:r>
          </w:p>
        </w:tc>
        <w:tc>
          <w:tcPr>
            <w:tcW w:w="0" w:type="auto"/>
            <w:vAlign w:val="center"/>
          </w:tcPr>
          <w:p w14:paraId="6562B77A" w14:textId="009DCA79" w:rsidR="00AA51EC" w:rsidRPr="00541AC3" w:rsidRDefault="00AA51EC" w:rsidP="00AA51EC">
            <w:pPr>
              <w:jc w:val="center"/>
              <w:rPr>
                <w:rFonts w:ascii="Times New Roman" w:hAnsi="Times New Roman" w:cs="Times New Roman"/>
                <w:sz w:val="20"/>
              </w:rPr>
            </w:pPr>
            <w:r w:rsidRPr="00541AC3">
              <w:rPr>
                <w:rFonts w:ascii="Times New Roman" w:hAnsi="Times New Roman" w:cs="Times New Roman"/>
                <w:sz w:val="20"/>
              </w:rPr>
              <w:t>0.2</w:t>
            </w:r>
          </w:p>
        </w:tc>
        <w:tc>
          <w:tcPr>
            <w:tcW w:w="0" w:type="auto"/>
            <w:vAlign w:val="center"/>
          </w:tcPr>
          <w:p w14:paraId="1725C194" w14:textId="09F37E96" w:rsidR="00AA51EC" w:rsidRPr="00541AC3" w:rsidRDefault="00AA51EC" w:rsidP="00AA51EC">
            <w:pPr>
              <w:jc w:val="center"/>
              <w:rPr>
                <w:rFonts w:ascii="Times New Roman" w:hAnsi="Times New Roman" w:cs="Times New Roman"/>
                <w:sz w:val="20"/>
              </w:rPr>
            </w:pPr>
            <w:r w:rsidRPr="00541AC3">
              <w:rPr>
                <w:rFonts w:ascii="Times New Roman" w:hAnsi="Times New Roman" w:cs="Times New Roman"/>
                <w:sz w:val="20"/>
              </w:rPr>
              <w:t>0.21</w:t>
            </w:r>
          </w:p>
        </w:tc>
        <w:tc>
          <w:tcPr>
            <w:tcW w:w="0" w:type="auto"/>
            <w:vAlign w:val="center"/>
          </w:tcPr>
          <w:p w14:paraId="1E8000B7" w14:textId="18C70CFA" w:rsidR="00AA51EC" w:rsidRPr="00541AC3" w:rsidRDefault="00AA51EC" w:rsidP="00AA51EC">
            <w:pPr>
              <w:jc w:val="center"/>
              <w:rPr>
                <w:rFonts w:ascii="Times New Roman" w:hAnsi="Times New Roman" w:cs="Times New Roman"/>
                <w:sz w:val="20"/>
              </w:rPr>
            </w:pPr>
            <w:r w:rsidRPr="00541AC3">
              <w:rPr>
                <w:rFonts w:ascii="Times New Roman" w:hAnsi="Times New Roman" w:cs="Times New Roman"/>
                <w:sz w:val="20"/>
              </w:rPr>
              <w:t>0.14</w:t>
            </w:r>
          </w:p>
        </w:tc>
        <w:tc>
          <w:tcPr>
            <w:tcW w:w="0" w:type="auto"/>
            <w:vAlign w:val="center"/>
          </w:tcPr>
          <w:p w14:paraId="2FA83DEE" w14:textId="1B3AE794" w:rsidR="00AA51EC" w:rsidRPr="00541AC3" w:rsidRDefault="00AA51EC" w:rsidP="00AA51EC">
            <w:pPr>
              <w:jc w:val="center"/>
              <w:rPr>
                <w:rFonts w:ascii="Times New Roman" w:hAnsi="Times New Roman" w:cs="Times New Roman"/>
                <w:sz w:val="20"/>
              </w:rPr>
            </w:pPr>
            <w:r w:rsidRPr="00541AC3">
              <w:rPr>
                <w:rFonts w:ascii="Times New Roman" w:hAnsi="Times New Roman" w:cs="Times New Roman"/>
                <w:sz w:val="20"/>
              </w:rPr>
              <w:t>0.38</w:t>
            </w:r>
          </w:p>
        </w:tc>
        <w:tc>
          <w:tcPr>
            <w:tcW w:w="0" w:type="auto"/>
            <w:vAlign w:val="center"/>
          </w:tcPr>
          <w:p w14:paraId="645C97F2" w14:textId="72E375F4" w:rsidR="00AA51EC" w:rsidRPr="00541AC3" w:rsidRDefault="00AA51EC" w:rsidP="00AA51EC">
            <w:pPr>
              <w:jc w:val="center"/>
              <w:rPr>
                <w:rFonts w:ascii="Times New Roman" w:hAnsi="Times New Roman" w:cs="Times New Roman"/>
                <w:sz w:val="20"/>
              </w:rPr>
            </w:pPr>
            <w:r w:rsidRPr="00541AC3">
              <w:rPr>
                <w:rFonts w:ascii="Times New Roman" w:hAnsi="Times New Roman" w:cs="Times New Roman"/>
                <w:sz w:val="20"/>
              </w:rPr>
              <w:t>0.29</w:t>
            </w:r>
          </w:p>
        </w:tc>
        <w:tc>
          <w:tcPr>
            <w:tcW w:w="0" w:type="auto"/>
            <w:vAlign w:val="center"/>
          </w:tcPr>
          <w:p w14:paraId="4F3DF980" w14:textId="7580B133" w:rsidR="00AA51EC" w:rsidRPr="00541AC3" w:rsidRDefault="00AA51EC" w:rsidP="00AA51EC">
            <w:pPr>
              <w:jc w:val="center"/>
              <w:rPr>
                <w:rFonts w:ascii="Times New Roman" w:hAnsi="Times New Roman" w:cs="Times New Roman"/>
                <w:b/>
                <w:bCs/>
                <w:sz w:val="20"/>
              </w:rPr>
            </w:pPr>
            <w:r w:rsidRPr="00541AC3">
              <w:rPr>
                <w:rFonts w:ascii="Times New Roman" w:hAnsi="Times New Roman" w:cs="Times New Roman"/>
                <w:sz w:val="20"/>
              </w:rPr>
              <w:t>0.06</w:t>
            </w:r>
          </w:p>
        </w:tc>
      </w:tr>
    </w:tbl>
    <w:p w14:paraId="79E27C50" w14:textId="51A57E07" w:rsidR="00AC3E22" w:rsidRPr="00541AC3" w:rsidRDefault="00052C72" w:rsidP="00052C72">
      <w:pPr>
        <w:ind w:left="720"/>
      </w:pPr>
      <w:r w:rsidRPr="00541AC3">
        <w:rPr>
          <w:rFonts w:ascii="Times New Roman" w:hAnsi="Times New Roman" w:cs="Times New Roman"/>
          <w:sz w:val="20"/>
          <w:szCs w:val="20"/>
          <w:shd w:val="clear" w:color="auto" w:fill="FFFFFF"/>
        </w:rPr>
        <w:t xml:space="preserve">           </w:t>
      </w:r>
      <w:r w:rsidR="00AC3E22" w:rsidRPr="00541AC3">
        <w:rPr>
          <w:rFonts w:ascii="Times New Roman" w:hAnsi="Times New Roman" w:cs="Times New Roman"/>
          <w:sz w:val="20"/>
          <w:szCs w:val="20"/>
          <w:shd w:val="clear" w:color="auto" w:fill="FFFFFF"/>
        </w:rPr>
        <w:t>Not: p &lt; ,0001 ‘****’; p &lt; ,001 ‘***’; p &lt; ,01 ‘**’; p &lt; ,05 ‘*’; p &lt;0,10 ‘</w:t>
      </w:r>
      <w:r w:rsidR="00AC3E22" w:rsidRPr="00541AC3">
        <w:rPr>
          <w:rFonts w:ascii="Dreaming Outloud Pro" w:eastAsia="Times New Roman" w:hAnsi="Dreaming Outloud Pro" w:cs="Dreaming Outloud Pro"/>
          <w:szCs w:val="24"/>
          <w:vertAlign w:val="superscript"/>
        </w:rPr>
        <w:t>‡</w:t>
      </w:r>
      <w:r w:rsidR="00AC3E22" w:rsidRPr="00541AC3">
        <w:rPr>
          <w:rFonts w:ascii="Times New Roman" w:hAnsi="Times New Roman" w:cs="Times New Roman"/>
          <w:sz w:val="20"/>
          <w:szCs w:val="20"/>
          <w:shd w:val="clear" w:color="auto" w:fill="FFFFFF"/>
        </w:rPr>
        <w:t>’</w:t>
      </w:r>
    </w:p>
    <w:p w14:paraId="00C80167" w14:textId="454E3B9C" w:rsidR="00AC3E22" w:rsidRPr="00541AC3" w:rsidRDefault="00AC3E22" w:rsidP="00AC3E22">
      <w:pPr>
        <w:pStyle w:val="Caption"/>
        <w:keepNext/>
        <w:jc w:val="center"/>
        <w:rPr>
          <w:rFonts w:ascii="Times New Roman" w:hAnsi="Times New Roman" w:cs="Times New Roman"/>
          <w:b/>
          <w:bCs/>
          <w:i w:val="0"/>
          <w:iCs w:val="0"/>
          <w:color w:val="auto"/>
          <w:sz w:val="22"/>
          <w:szCs w:val="22"/>
        </w:rPr>
      </w:pPr>
      <w:r w:rsidRPr="00541AC3">
        <w:rPr>
          <w:rFonts w:ascii="Times New Roman" w:hAnsi="Times New Roman" w:cs="Times New Roman"/>
          <w:b/>
          <w:bCs/>
          <w:i w:val="0"/>
          <w:iCs w:val="0"/>
          <w:color w:val="auto"/>
          <w:sz w:val="22"/>
          <w:szCs w:val="22"/>
        </w:rPr>
        <w:t xml:space="preserve">Tablo </w:t>
      </w:r>
      <w:r w:rsidRPr="00541AC3">
        <w:rPr>
          <w:rFonts w:ascii="Times New Roman" w:hAnsi="Times New Roman" w:cs="Times New Roman"/>
          <w:b/>
          <w:bCs/>
          <w:i w:val="0"/>
          <w:iCs w:val="0"/>
          <w:color w:val="auto"/>
          <w:sz w:val="22"/>
          <w:szCs w:val="22"/>
        </w:rPr>
        <w:fldChar w:fldCharType="begin"/>
      </w:r>
      <w:r w:rsidRPr="00541AC3">
        <w:rPr>
          <w:rFonts w:ascii="Times New Roman" w:hAnsi="Times New Roman" w:cs="Times New Roman"/>
          <w:b/>
          <w:bCs/>
          <w:i w:val="0"/>
          <w:iCs w:val="0"/>
          <w:color w:val="auto"/>
          <w:sz w:val="22"/>
          <w:szCs w:val="22"/>
        </w:rPr>
        <w:instrText xml:space="preserve"> SEQ Tablo \* ARABIC </w:instrText>
      </w:r>
      <w:r w:rsidRPr="00541AC3">
        <w:rPr>
          <w:rFonts w:ascii="Times New Roman" w:hAnsi="Times New Roman" w:cs="Times New Roman"/>
          <w:b/>
          <w:bCs/>
          <w:i w:val="0"/>
          <w:iCs w:val="0"/>
          <w:color w:val="auto"/>
          <w:sz w:val="22"/>
          <w:szCs w:val="22"/>
        </w:rPr>
        <w:fldChar w:fldCharType="separate"/>
      </w:r>
      <w:r w:rsidR="0057441E">
        <w:rPr>
          <w:rFonts w:ascii="Times New Roman" w:hAnsi="Times New Roman" w:cs="Times New Roman"/>
          <w:b/>
          <w:bCs/>
          <w:i w:val="0"/>
          <w:iCs w:val="0"/>
          <w:noProof/>
          <w:color w:val="auto"/>
          <w:sz w:val="22"/>
          <w:szCs w:val="22"/>
        </w:rPr>
        <w:t>6</w:t>
      </w:r>
      <w:r w:rsidRPr="00541AC3">
        <w:rPr>
          <w:rFonts w:ascii="Times New Roman" w:hAnsi="Times New Roman" w:cs="Times New Roman"/>
          <w:b/>
          <w:bCs/>
          <w:i w:val="0"/>
          <w:iCs w:val="0"/>
          <w:color w:val="auto"/>
          <w:sz w:val="22"/>
          <w:szCs w:val="22"/>
        </w:rPr>
        <w:fldChar w:fldCharType="end"/>
      </w:r>
      <w:r w:rsidRPr="00541AC3">
        <w:rPr>
          <w:rFonts w:ascii="Times New Roman" w:hAnsi="Times New Roman" w:cs="Times New Roman"/>
          <w:b/>
          <w:bCs/>
          <w:i w:val="0"/>
          <w:iCs w:val="0"/>
          <w:color w:val="auto"/>
          <w:sz w:val="22"/>
          <w:szCs w:val="22"/>
        </w:rPr>
        <w:t xml:space="preserve">. Kredi </w:t>
      </w:r>
      <w:r w:rsidR="00085D45" w:rsidRPr="00541AC3">
        <w:rPr>
          <w:rFonts w:ascii="Times New Roman" w:hAnsi="Times New Roman" w:cs="Times New Roman"/>
          <w:b/>
          <w:bCs/>
          <w:i w:val="0"/>
          <w:iCs w:val="0"/>
          <w:color w:val="auto"/>
          <w:sz w:val="22"/>
          <w:szCs w:val="22"/>
        </w:rPr>
        <w:t xml:space="preserve">Payı </w:t>
      </w:r>
      <w:r w:rsidRPr="00541AC3">
        <w:rPr>
          <w:rFonts w:ascii="Times New Roman" w:hAnsi="Times New Roman" w:cs="Times New Roman"/>
          <w:b/>
          <w:bCs/>
          <w:i w:val="0"/>
          <w:iCs w:val="0"/>
          <w:color w:val="auto"/>
          <w:sz w:val="22"/>
          <w:szCs w:val="22"/>
        </w:rPr>
        <w:t>ve İstihdam Payı Korelasyonları</w:t>
      </w:r>
      <w:r w:rsidR="00CA0864" w:rsidRPr="00541AC3">
        <w:rPr>
          <w:rFonts w:ascii="Times New Roman" w:hAnsi="Times New Roman" w:cs="Times New Roman"/>
          <w:b/>
          <w:bCs/>
          <w:i w:val="0"/>
          <w:iCs w:val="0"/>
          <w:color w:val="auto"/>
          <w:sz w:val="22"/>
          <w:szCs w:val="22"/>
        </w:rPr>
        <w:t xml:space="preserve"> (2004-2021)</w:t>
      </w:r>
    </w:p>
    <w:tbl>
      <w:tblPr>
        <w:tblStyle w:val="TableGrid"/>
        <w:tblW w:w="0" w:type="auto"/>
        <w:jc w:val="center"/>
        <w:tblLook w:val="04A0" w:firstRow="1" w:lastRow="0" w:firstColumn="1" w:lastColumn="0" w:noHBand="0" w:noVBand="1"/>
      </w:tblPr>
      <w:tblGrid>
        <w:gridCol w:w="828"/>
        <w:gridCol w:w="826"/>
        <w:gridCol w:w="826"/>
        <w:gridCol w:w="826"/>
        <w:gridCol w:w="1218"/>
        <w:gridCol w:w="826"/>
        <w:gridCol w:w="826"/>
        <w:gridCol w:w="761"/>
      </w:tblGrid>
      <w:tr w:rsidR="00541AC3" w:rsidRPr="00541AC3" w14:paraId="1E0BCBF4" w14:textId="77777777" w:rsidTr="00052C72">
        <w:trPr>
          <w:trHeight w:val="288"/>
          <w:jc w:val="center"/>
        </w:trPr>
        <w:tc>
          <w:tcPr>
            <w:tcW w:w="0" w:type="auto"/>
            <w:vAlign w:val="center"/>
          </w:tcPr>
          <w:p w14:paraId="13EA751B" w14:textId="77777777" w:rsidR="00AC3E22" w:rsidRPr="00541AC3" w:rsidRDefault="00AC3E22" w:rsidP="00C07C16">
            <w:pPr>
              <w:rPr>
                <w:rFonts w:ascii="Times New Roman" w:eastAsia="Times New Roman" w:hAnsi="Times New Roman" w:cs="Times New Roman"/>
                <w:b/>
                <w:bCs/>
                <w:sz w:val="20"/>
              </w:rPr>
            </w:pPr>
          </w:p>
        </w:tc>
        <w:tc>
          <w:tcPr>
            <w:tcW w:w="0" w:type="auto"/>
            <w:vAlign w:val="center"/>
          </w:tcPr>
          <w:p w14:paraId="249B587D" w14:textId="77777777" w:rsidR="00AC3E22" w:rsidRPr="00541AC3" w:rsidRDefault="00AC3E22" w:rsidP="00C07C16">
            <w:pPr>
              <w:jc w:val="center"/>
              <w:rPr>
                <w:rFonts w:ascii="Times New Roman" w:eastAsia="Times New Roman" w:hAnsi="Times New Roman" w:cs="Times New Roman"/>
                <w:b/>
                <w:bCs/>
                <w:sz w:val="20"/>
              </w:rPr>
            </w:pPr>
            <m:oMathPara>
              <m:oMath>
                <m:r>
                  <m:rPr>
                    <m:sty m:val="bi"/>
                  </m:rPr>
                  <w:rPr>
                    <w:rFonts w:ascii="Cambria Math" w:eastAsia="Times New Roman" w:hAnsi="Cambria Math" w:cs="Times New Roman"/>
                    <w:sz w:val="20"/>
                  </w:rPr>
                  <m:t>t-3</m:t>
                </m:r>
              </m:oMath>
            </m:oMathPara>
          </w:p>
        </w:tc>
        <w:tc>
          <w:tcPr>
            <w:tcW w:w="0" w:type="auto"/>
            <w:vAlign w:val="center"/>
          </w:tcPr>
          <w:p w14:paraId="769E83EB" w14:textId="77777777" w:rsidR="00AC3E22" w:rsidRPr="00541AC3" w:rsidRDefault="00AC3E22" w:rsidP="00C07C16">
            <w:pPr>
              <w:jc w:val="center"/>
              <w:rPr>
                <w:rFonts w:ascii="Times New Roman" w:eastAsia="Times New Roman" w:hAnsi="Times New Roman" w:cs="Times New Roman"/>
                <w:b/>
                <w:bCs/>
                <w:sz w:val="20"/>
              </w:rPr>
            </w:pPr>
            <m:oMathPara>
              <m:oMath>
                <m:r>
                  <m:rPr>
                    <m:sty m:val="bi"/>
                  </m:rPr>
                  <w:rPr>
                    <w:rFonts w:ascii="Cambria Math" w:eastAsia="Times New Roman" w:hAnsi="Cambria Math" w:cs="Times New Roman"/>
                    <w:sz w:val="20"/>
                  </w:rPr>
                  <m:t>t-2</m:t>
                </m:r>
              </m:oMath>
            </m:oMathPara>
          </w:p>
        </w:tc>
        <w:tc>
          <w:tcPr>
            <w:tcW w:w="0" w:type="auto"/>
            <w:vAlign w:val="center"/>
          </w:tcPr>
          <w:p w14:paraId="3A37C206" w14:textId="77777777" w:rsidR="00AC3E22" w:rsidRPr="00541AC3" w:rsidRDefault="00AC3E22" w:rsidP="00C07C16">
            <w:pPr>
              <w:jc w:val="center"/>
              <w:rPr>
                <w:rFonts w:ascii="Times New Roman" w:eastAsia="Times New Roman" w:hAnsi="Times New Roman" w:cs="Times New Roman"/>
                <w:b/>
                <w:bCs/>
                <w:sz w:val="20"/>
              </w:rPr>
            </w:pPr>
            <m:oMathPara>
              <m:oMath>
                <m:r>
                  <m:rPr>
                    <m:sty m:val="bi"/>
                  </m:rPr>
                  <w:rPr>
                    <w:rFonts w:ascii="Cambria Math" w:eastAsia="Times New Roman" w:hAnsi="Cambria Math" w:cs="Times New Roman"/>
                    <w:sz w:val="20"/>
                  </w:rPr>
                  <m:t>t-1</m:t>
                </m:r>
              </m:oMath>
            </m:oMathPara>
          </w:p>
        </w:tc>
        <w:tc>
          <w:tcPr>
            <w:tcW w:w="0" w:type="auto"/>
            <w:vAlign w:val="center"/>
          </w:tcPr>
          <w:p w14:paraId="081B34C7" w14:textId="77777777" w:rsidR="00AC3E22" w:rsidRPr="00541AC3" w:rsidRDefault="00AC3E22" w:rsidP="00C07C16">
            <w:pPr>
              <w:jc w:val="center"/>
              <w:rPr>
                <w:rFonts w:ascii="Times New Roman" w:eastAsia="Times New Roman" w:hAnsi="Times New Roman" w:cs="Times New Roman"/>
                <w:b/>
                <w:bCs/>
                <w:sz w:val="20"/>
              </w:rPr>
            </w:pPr>
            <m:oMathPara>
              <m:oMath>
                <m:r>
                  <m:rPr>
                    <m:sty m:val="bi"/>
                  </m:rPr>
                  <w:rPr>
                    <w:rFonts w:ascii="Cambria Math" w:eastAsia="Times New Roman" w:hAnsi="Cambria Math" w:cs="Times New Roman"/>
                    <w:sz w:val="20"/>
                  </w:rPr>
                  <m:t>t (cari y</m:t>
                </m:r>
                <m:r>
                  <m:rPr>
                    <m:sty m:val="bi"/>
                  </m:rPr>
                  <w:rPr>
                    <w:rFonts w:ascii="Cambria Math" w:eastAsia="Times New Roman" w:hAnsi="Cambria Math" w:cs="Times New Roman"/>
                    <w:sz w:val="20"/>
                  </w:rPr>
                  <m:t>ı</m:t>
                </m:r>
                <m:r>
                  <m:rPr>
                    <m:sty m:val="bi"/>
                  </m:rPr>
                  <w:rPr>
                    <w:rFonts w:ascii="Cambria Math" w:eastAsia="Times New Roman" w:hAnsi="Cambria Math" w:cs="Times New Roman"/>
                    <w:sz w:val="20"/>
                  </w:rPr>
                  <m:t>l)</m:t>
                </m:r>
              </m:oMath>
            </m:oMathPara>
          </w:p>
        </w:tc>
        <w:tc>
          <w:tcPr>
            <w:tcW w:w="0" w:type="auto"/>
            <w:vAlign w:val="center"/>
          </w:tcPr>
          <w:p w14:paraId="16C46C8B" w14:textId="77777777" w:rsidR="00AC3E22" w:rsidRPr="00541AC3" w:rsidRDefault="00AC3E22" w:rsidP="00C07C16">
            <w:pPr>
              <w:jc w:val="center"/>
              <w:rPr>
                <w:rFonts w:ascii="Times New Roman" w:eastAsia="Times New Roman" w:hAnsi="Times New Roman" w:cs="Times New Roman"/>
                <w:b/>
                <w:bCs/>
                <w:sz w:val="20"/>
              </w:rPr>
            </w:pPr>
            <m:oMathPara>
              <m:oMath>
                <m:r>
                  <m:rPr>
                    <m:sty m:val="bi"/>
                  </m:rPr>
                  <w:rPr>
                    <w:rFonts w:ascii="Cambria Math" w:eastAsia="Times New Roman" w:hAnsi="Cambria Math" w:cs="Times New Roman"/>
                    <w:sz w:val="20"/>
                  </w:rPr>
                  <m:t>t+1</m:t>
                </m:r>
              </m:oMath>
            </m:oMathPara>
          </w:p>
        </w:tc>
        <w:tc>
          <w:tcPr>
            <w:tcW w:w="0" w:type="auto"/>
            <w:vAlign w:val="center"/>
          </w:tcPr>
          <w:p w14:paraId="0884D775" w14:textId="77777777" w:rsidR="00AC3E22" w:rsidRPr="00541AC3" w:rsidRDefault="00AC3E22" w:rsidP="00C07C16">
            <w:pPr>
              <w:jc w:val="center"/>
              <w:rPr>
                <w:rFonts w:ascii="Times New Roman" w:eastAsia="Times New Roman" w:hAnsi="Times New Roman" w:cs="Times New Roman"/>
                <w:b/>
                <w:bCs/>
                <w:sz w:val="20"/>
              </w:rPr>
            </w:pPr>
            <m:oMathPara>
              <m:oMath>
                <m:r>
                  <m:rPr>
                    <m:sty m:val="bi"/>
                  </m:rPr>
                  <w:rPr>
                    <w:rFonts w:ascii="Cambria Math" w:eastAsia="Times New Roman" w:hAnsi="Cambria Math" w:cs="Times New Roman"/>
                    <w:sz w:val="20"/>
                  </w:rPr>
                  <m:t>t+2</m:t>
                </m:r>
              </m:oMath>
            </m:oMathPara>
          </w:p>
        </w:tc>
        <w:tc>
          <w:tcPr>
            <w:tcW w:w="0" w:type="auto"/>
            <w:vAlign w:val="center"/>
          </w:tcPr>
          <w:p w14:paraId="6B4A5780" w14:textId="77777777" w:rsidR="00AC3E22" w:rsidRPr="00541AC3" w:rsidRDefault="00AC3E22" w:rsidP="00C07C16">
            <w:pPr>
              <w:jc w:val="center"/>
              <w:rPr>
                <w:rFonts w:ascii="Times New Roman" w:eastAsia="Times New Roman" w:hAnsi="Times New Roman" w:cs="Times New Roman"/>
                <w:b/>
                <w:bCs/>
                <w:sz w:val="20"/>
              </w:rPr>
            </w:pPr>
            <m:oMathPara>
              <m:oMath>
                <m:r>
                  <m:rPr>
                    <m:sty m:val="bi"/>
                  </m:rPr>
                  <w:rPr>
                    <w:rFonts w:ascii="Cambria Math" w:eastAsia="Times New Roman" w:hAnsi="Cambria Math" w:cs="Times New Roman"/>
                    <w:sz w:val="20"/>
                  </w:rPr>
                  <m:t>t+3</m:t>
                </m:r>
              </m:oMath>
            </m:oMathPara>
          </w:p>
        </w:tc>
      </w:tr>
      <w:tr w:rsidR="00541AC3" w:rsidRPr="00541AC3" w14:paraId="00841B81" w14:textId="77777777" w:rsidTr="00052C72">
        <w:trPr>
          <w:trHeight w:val="288"/>
          <w:jc w:val="center"/>
        </w:trPr>
        <w:tc>
          <w:tcPr>
            <w:tcW w:w="0" w:type="auto"/>
            <w:vAlign w:val="center"/>
          </w:tcPr>
          <w:p w14:paraId="49538F33" w14:textId="77777777" w:rsidR="00175EDE" w:rsidRPr="00541AC3" w:rsidRDefault="00175EDE" w:rsidP="00175EDE">
            <w:pPr>
              <w:rPr>
                <w:rFonts w:ascii="Times New Roman" w:hAnsi="Times New Roman" w:cs="Times New Roman"/>
                <w:sz w:val="20"/>
              </w:rPr>
            </w:pPr>
            <w:r w:rsidRPr="00541AC3">
              <w:rPr>
                <w:rFonts w:ascii="Times New Roman" w:eastAsia="Times New Roman" w:hAnsi="Times New Roman" w:cs="Times New Roman"/>
                <w:b/>
                <w:bCs/>
                <w:sz w:val="20"/>
              </w:rPr>
              <w:t>TAR</w:t>
            </w:r>
          </w:p>
        </w:tc>
        <w:tc>
          <w:tcPr>
            <w:tcW w:w="0" w:type="auto"/>
            <w:vAlign w:val="center"/>
          </w:tcPr>
          <w:p w14:paraId="25A970FE" w14:textId="075C4377" w:rsidR="00175EDE" w:rsidRPr="00541AC3" w:rsidRDefault="00175EDE" w:rsidP="00175EDE">
            <w:pPr>
              <w:jc w:val="center"/>
              <w:rPr>
                <w:rFonts w:ascii="Times New Roman" w:hAnsi="Times New Roman" w:cs="Times New Roman"/>
                <w:sz w:val="20"/>
              </w:rPr>
            </w:pPr>
            <w:r w:rsidRPr="00541AC3">
              <w:rPr>
                <w:rFonts w:ascii="Times New Roman" w:hAnsi="Times New Roman" w:cs="Times New Roman"/>
                <w:sz w:val="20"/>
              </w:rPr>
              <w:t>-0.1</w:t>
            </w:r>
          </w:p>
        </w:tc>
        <w:tc>
          <w:tcPr>
            <w:tcW w:w="0" w:type="auto"/>
            <w:vAlign w:val="center"/>
          </w:tcPr>
          <w:p w14:paraId="70609577" w14:textId="7F4D2956" w:rsidR="00175EDE" w:rsidRPr="00541AC3" w:rsidRDefault="00175EDE" w:rsidP="00175EDE">
            <w:pPr>
              <w:jc w:val="center"/>
              <w:rPr>
                <w:rFonts w:ascii="Times New Roman" w:hAnsi="Times New Roman" w:cs="Times New Roman"/>
                <w:b/>
                <w:bCs/>
                <w:sz w:val="20"/>
              </w:rPr>
            </w:pPr>
            <w:r w:rsidRPr="00541AC3">
              <w:rPr>
                <w:rFonts w:ascii="Times New Roman" w:hAnsi="Times New Roman" w:cs="Times New Roman"/>
                <w:sz w:val="20"/>
              </w:rPr>
              <w:t>-0.05</w:t>
            </w:r>
          </w:p>
        </w:tc>
        <w:tc>
          <w:tcPr>
            <w:tcW w:w="0" w:type="auto"/>
            <w:vAlign w:val="center"/>
          </w:tcPr>
          <w:p w14:paraId="4452E43A" w14:textId="27D9555B" w:rsidR="00175EDE" w:rsidRPr="00541AC3" w:rsidRDefault="00175EDE" w:rsidP="00175EDE">
            <w:pPr>
              <w:jc w:val="center"/>
              <w:rPr>
                <w:rFonts w:ascii="Times New Roman" w:hAnsi="Times New Roman" w:cs="Times New Roman"/>
                <w:sz w:val="20"/>
              </w:rPr>
            </w:pPr>
            <w:r w:rsidRPr="00541AC3">
              <w:rPr>
                <w:rFonts w:ascii="Times New Roman" w:hAnsi="Times New Roman" w:cs="Times New Roman"/>
                <w:sz w:val="20"/>
              </w:rPr>
              <w:t>0.06</w:t>
            </w:r>
          </w:p>
        </w:tc>
        <w:tc>
          <w:tcPr>
            <w:tcW w:w="0" w:type="auto"/>
            <w:vAlign w:val="center"/>
          </w:tcPr>
          <w:p w14:paraId="3B0A516C" w14:textId="7C969068" w:rsidR="00175EDE" w:rsidRPr="00541AC3" w:rsidRDefault="00175EDE" w:rsidP="00175EDE">
            <w:pPr>
              <w:jc w:val="center"/>
              <w:rPr>
                <w:rFonts w:ascii="Times New Roman" w:hAnsi="Times New Roman" w:cs="Times New Roman"/>
                <w:sz w:val="20"/>
              </w:rPr>
            </w:pPr>
            <w:r w:rsidRPr="00541AC3">
              <w:rPr>
                <w:rFonts w:ascii="Times New Roman" w:hAnsi="Times New Roman" w:cs="Times New Roman"/>
                <w:sz w:val="20"/>
              </w:rPr>
              <w:t>0.18</w:t>
            </w:r>
          </w:p>
        </w:tc>
        <w:tc>
          <w:tcPr>
            <w:tcW w:w="0" w:type="auto"/>
            <w:vAlign w:val="center"/>
          </w:tcPr>
          <w:p w14:paraId="15E27999" w14:textId="3EFD218D" w:rsidR="00175EDE" w:rsidRPr="00541AC3" w:rsidRDefault="00175EDE" w:rsidP="00175EDE">
            <w:pPr>
              <w:jc w:val="center"/>
              <w:rPr>
                <w:rFonts w:ascii="Times New Roman" w:hAnsi="Times New Roman" w:cs="Times New Roman"/>
                <w:sz w:val="20"/>
              </w:rPr>
            </w:pPr>
            <w:r w:rsidRPr="00541AC3">
              <w:rPr>
                <w:rFonts w:ascii="Times New Roman" w:hAnsi="Times New Roman" w:cs="Times New Roman"/>
                <w:sz w:val="20"/>
              </w:rPr>
              <w:t>0.09</w:t>
            </w:r>
          </w:p>
        </w:tc>
        <w:tc>
          <w:tcPr>
            <w:tcW w:w="0" w:type="auto"/>
            <w:vAlign w:val="center"/>
          </w:tcPr>
          <w:p w14:paraId="2C5FA27F" w14:textId="3A1EB96A" w:rsidR="00175EDE" w:rsidRPr="00541AC3" w:rsidRDefault="00175EDE" w:rsidP="00175EDE">
            <w:pPr>
              <w:jc w:val="center"/>
              <w:rPr>
                <w:rFonts w:ascii="Times New Roman" w:hAnsi="Times New Roman" w:cs="Times New Roman"/>
                <w:sz w:val="20"/>
              </w:rPr>
            </w:pPr>
            <w:r w:rsidRPr="00541AC3">
              <w:rPr>
                <w:rFonts w:ascii="Times New Roman" w:hAnsi="Times New Roman" w:cs="Times New Roman"/>
                <w:sz w:val="20"/>
              </w:rPr>
              <w:t>-0.1</w:t>
            </w:r>
          </w:p>
        </w:tc>
        <w:tc>
          <w:tcPr>
            <w:tcW w:w="0" w:type="auto"/>
            <w:vAlign w:val="center"/>
          </w:tcPr>
          <w:p w14:paraId="6BE9B9A7" w14:textId="359FC5ED" w:rsidR="00175EDE" w:rsidRPr="00541AC3" w:rsidRDefault="00175EDE" w:rsidP="00175EDE">
            <w:pPr>
              <w:jc w:val="center"/>
              <w:rPr>
                <w:rFonts w:ascii="Times New Roman" w:hAnsi="Times New Roman" w:cs="Times New Roman"/>
                <w:sz w:val="20"/>
              </w:rPr>
            </w:pPr>
            <w:r w:rsidRPr="00541AC3">
              <w:rPr>
                <w:rFonts w:ascii="Times New Roman" w:hAnsi="Times New Roman" w:cs="Times New Roman"/>
                <w:sz w:val="20"/>
              </w:rPr>
              <w:t>-0.17</w:t>
            </w:r>
          </w:p>
        </w:tc>
      </w:tr>
      <w:tr w:rsidR="00541AC3" w:rsidRPr="00541AC3" w14:paraId="37EBA89E" w14:textId="77777777" w:rsidTr="00052C72">
        <w:trPr>
          <w:trHeight w:val="288"/>
          <w:jc w:val="center"/>
        </w:trPr>
        <w:tc>
          <w:tcPr>
            <w:tcW w:w="0" w:type="auto"/>
            <w:vAlign w:val="center"/>
          </w:tcPr>
          <w:p w14:paraId="671FE3A0" w14:textId="77777777" w:rsidR="00175EDE" w:rsidRPr="00541AC3" w:rsidRDefault="00175EDE" w:rsidP="00175EDE">
            <w:pPr>
              <w:rPr>
                <w:rFonts w:ascii="Times New Roman" w:hAnsi="Times New Roman" w:cs="Times New Roman"/>
                <w:sz w:val="20"/>
              </w:rPr>
            </w:pPr>
            <w:r w:rsidRPr="00541AC3">
              <w:rPr>
                <w:rFonts w:ascii="Times New Roman" w:eastAsia="Times New Roman" w:hAnsi="Times New Roman" w:cs="Times New Roman"/>
                <w:b/>
                <w:bCs/>
                <w:sz w:val="20"/>
              </w:rPr>
              <w:t>İNŞ</w:t>
            </w:r>
          </w:p>
        </w:tc>
        <w:tc>
          <w:tcPr>
            <w:tcW w:w="0" w:type="auto"/>
            <w:vAlign w:val="center"/>
          </w:tcPr>
          <w:p w14:paraId="4D6C6112" w14:textId="5588650F" w:rsidR="00175EDE" w:rsidRPr="00541AC3" w:rsidRDefault="00175EDE" w:rsidP="00175EDE">
            <w:pPr>
              <w:jc w:val="center"/>
              <w:rPr>
                <w:rFonts w:ascii="Times New Roman" w:hAnsi="Times New Roman" w:cs="Times New Roman"/>
                <w:b/>
                <w:bCs/>
                <w:sz w:val="20"/>
              </w:rPr>
            </w:pPr>
            <w:r w:rsidRPr="00541AC3">
              <w:rPr>
                <w:rFonts w:ascii="Times New Roman" w:hAnsi="Times New Roman" w:cs="Times New Roman"/>
                <w:b/>
                <w:bCs/>
                <w:sz w:val="20"/>
              </w:rPr>
              <w:t>0.93</w:t>
            </w:r>
            <w:r w:rsidRPr="00541AC3">
              <w:rPr>
                <w:rFonts w:ascii="Times New Roman" w:hAnsi="Times New Roman" w:cs="Times New Roman"/>
                <w:b/>
                <w:bCs/>
                <w:sz w:val="20"/>
                <w:vertAlign w:val="superscript"/>
              </w:rPr>
              <w:t>****</w:t>
            </w:r>
          </w:p>
        </w:tc>
        <w:tc>
          <w:tcPr>
            <w:tcW w:w="0" w:type="auto"/>
            <w:vAlign w:val="center"/>
          </w:tcPr>
          <w:p w14:paraId="51D4BCB7" w14:textId="671C8478" w:rsidR="00175EDE" w:rsidRPr="00541AC3" w:rsidRDefault="00175EDE" w:rsidP="00175EDE">
            <w:pPr>
              <w:jc w:val="center"/>
              <w:rPr>
                <w:rFonts w:ascii="Times New Roman" w:hAnsi="Times New Roman" w:cs="Times New Roman"/>
                <w:b/>
                <w:bCs/>
                <w:sz w:val="20"/>
              </w:rPr>
            </w:pPr>
            <w:r w:rsidRPr="00541AC3">
              <w:rPr>
                <w:rFonts w:ascii="Times New Roman" w:hAnsi="Times New Roman" w:cs="Times New Roman"/>
                <w:b/>
                <w:bCs/>
                <w:sz w:val="20"/>
              </w:rPr>
              <w:t>0.88</w:t>
            </w:r>
            <w:r w:rsidRPr="00541AC3">
              <w:rPr>
                <w:rFonts w:ascii="Times New Roman" w:hAnsi="Times New Roman" w:cs="Times New Roman"/>
                <w:b/>
                <w:bCs/>
                <w:sz w:val="20"/>
                <w:vertAlign w:val="superscript"/>
              </w:rPr>
              <w:t>****</w:t>
            </w:r>
          </w:p>
        </w:tc>
        <w:tc>
          <w:tcPr>
            <w:tcW w:w="0" w:type="auto"/>
            <w:vAlign w:val="center"/>
          </w:tcPr>
          <w:p w14:paraId="695895C4" w14:textId="45789F09" w:rsidR="00175EDE" w:rsidRPr="00541AC3" w:rsidRDefault="00175EDE" w:rsidP="00175EDE">
            <w:pPr>
              <w:jc w:val="center"/>
              <w:rPr>
                <w:rFonts w:ascii="Times New Roman" w:hAnsi="Times New Roman" w:cs="Times New Roman"/>
                <w:b/>
                <w:bCs/>
                <w:sz w:val="20"/>
              </w:rPr>
            </w:pPr>
            <w:r w:rsidRPr="00541AC3">
              <w:rPr>
                <w:rFonts w:ascii="Times New Roman" w:hAnsi="Times New Roman" w:cs="Times New Roman"/>
                <w:b/>
                <w:bCs/>
                <w:sz w:val="20"/>
              </w:rPr>
              <w:t>0.74</w:t>
            </w:r>
            <w:r w:rsidRPr="00541AC3">
              <w:rPr>
                <w:rFonts w:ascii="Times New Roman" w:hAnsi="Times New Roman" w:cs="Times New Roman"/>
                <w:b/>
                <w:bCs/>
                <w:sz w:val="20"/>
                <w:vertAlign w:val="superscript"/>
              </w:rPr>
              <w:t>***</w:t>
            </w:r>
          </w:p>
        </w:tc>
        <w:tc>
          <w:tcPr>
            <w:tcW w:w="0" w:type="auto"/>
            <w:vAlign w:val="center"/>
          </w:tcPr>
          <w:p w14:paraId="06765F84" w14:textId="7C7FDE4F" w:rsidR="00175EDE" w:rsidRPr="00541AC3" w:rsidRDefault="00175EDE" w:rsidP="00175EDE">
            <w:pPr>
              <w:jc w:val="center"/>
              <w:rPr>
                <w:rFonts w:ascii="Times New Roman" w:hAnsi="Times New Roman" w:cs="Times New Roman"/>
                <w:b/>
                <w:bCs/>
                <w:sz w:val="20"/>
              </w:rPr>
            </w:pPr>
            <w:r w:rsidRPr="00541AC3">
              <w:rPr>
                <w:rFonts w:ascii="Times New Roman" w:hAnsi="Times New Roman" w:cs="Times New Roman"/>
                <w:b/>
                <w:bCs/>
                <w:sz w:val="20"/>
              </w:rPr>
              <w:t>0.54</w:t>
            </w:r>
            <w:r w:rsidRPr="00541AC3">
              <w:rPr>
                <w:rFonts w:ascii="Times New Roman" w:hAnsi="Times New Roman" w:cs="Times New Roman"/>
                <w:b/>
                <w:bCs/>
                <w:sz w:val="20"/>
                <w:vertAlign w:val="superscript"/>
              </w:rPr>
              <w:t>*</w:t>
            </w:r>
          </w:p>
        </w:tc>
        <w:tc>
          <w:tcPr>
            <w:tcW w:w="0" w:type="auto"/>
            <w:vAlign w:val="center"/>
          </w:tcPr>
          <w:p w14:paraId="063B003B" w14:textId="0FFCE4A9" w:rsidR="00175EDE" w:rsidRPr="00541AC3" w:rsidRDefault="00175EDE" w:rsidP="00175EDE">
            <w:pPr>
              <w:jc w:val="center"/>
              <w:rPr>
                <w:rFonts w:ascii="Times New Roman" w:hAnsi="Times New Roman" w:cs="Times New Roman"/>
                <w:sz w:val="20"/>
              </w:rPr>
            </w:pPr>
            <w:r w:rsidRPr="00541AC3">
              <w:rPr>
                <w:rFonts w:ascii="Times New Roman" w:hAnsi="Times New Roman" w:cs="Times New Roman"/>
                <w:sz w:val="20"/>
              </w:rPr>
              <w:t>0.27</w:t>
            </w:r>
          </w:p>
        </w:tc>
        <w:tc>
          <w:tcPr>
            <w:tcW w:w="0" w:type="auto"/>
            <w:vAlign w:val="center"/>
          </w:tcPr>
          <w:p w14:paraId="20849088" w14:textId="47BBE80E" w:rsidR="00175EDE" w:rsidRPr="00541AC3" w:rsidRDefault="00175EDE" w:rsidP="00175EDE">
            <w:pPr>
              <w:jc w:val="center"/>
              <w:rPr>
                <w:rFonts w:ascii="Times New Roman" w:hAnsi="Times New Roman" w:cs="Times New Roman"/>
                <w:sz w:val="20"/>
              </w:rPr>
            </w:pPr>
            <w:r w:rsidRPr="00541AC3">
              <w:rPr>
                <w:rFonts w:ascii="Times New Roman" w:hAnsi="Times New Roman" w:cs="Times New Roman"/>
                <w:sz w:val="20"/>
              </w:rPr>
              <w:t>0.05</w:t>
            </w:r>
          </w:p>
        </w:tc>
        <w:tc>
          <w:tcPr>
            <w:tcW w:w="0" w:type="auto"/>
            <w:vAlign w:val="center"/>
          </w:tcPr>
          <w:p w14:paraId="18A9749F" w14:textId="4D78E771" w:rsidR="00175EDE" w:rsidRPr="00541AC3" w:rsidRDefault="00175EDE" w:rsidP="00175EDE">
            <w:pPr>
              <w:jc w:val="center"/>
              <w:rPr>
                <w:rFonts w:ascii="Times New Roman" w:hAnsi="Times New Roman" w:cs="Times New Roman"/>
                <w:sz w:val="20"/>
              </w:rPr>
            </w:pPr>
            <w:r w:rsidRPr="00541AC3">
              <w:rPr>
                <w:rFonts w:ascii="Times New Roman" w:hAnsi="Times New Roman" w:cs="Times New Roman"/>
                <w:sz w:val="20"/>
              </w:rPr>
              <w:t>-0.07</w:t>
            </w:r>
          </w:p>
        </w:tc>
      </w:tr>
      <w:tr w:rsidR="00541AC3" w:rsidRPr="00541AC3" w14:paraId="647B8506" w14:textId="77777777" w:rsidTr="00052C72">
        <w:trPr>
          <w:trHeight w:val="288"/>
          <w:jc w:val="center"/>
        </w:trPr>
        <w:tc>
          <w:tcPr>
            <w:tcW w:w="0" w:type="auto"/>
            <w:vAlign w:val="center"/>
          </w:tcPr>
          <w:p w14:paraId="66B0795B" w14:textId="77777777" w:rsidR="00175EDE" w:rsidRPr="00541AC3" w:rsidRDefault="00175EDE" w:rsidP="00175EDE">
            <w:pPr>
              <w:rPr>
                <w:rFonts w:ascii="Times New Roman" w:hAnsi="Times New Roman" w:cs="Times New Roman"/>
                <w:sz w:val="20"/>
              </w:rPr>
            </w:pPr>
            <w:r w:rsidRPr="00541AC3">
              <w:rPr>
                <w:rFonts w:ascii="Times New Roman" w:eastAsia="Times New Roman" w:hAnsi="Times New Roman" w:cs="Times New Roman"/>
                <w:b/>
                <w:bCs/>
                <w:sz w:val="20"/>
              </w:rPr>
              <w:t>DKÖH</w:t>
            </w:r>
          </w:p>
        </w:tc>
        <w:tc>
          <w:tcPr>
            <w:tcW w:w="0" w:type="auto"/>
            <w:vAlign w:val="center"/>
          </w:tcPr>
          <w:p w14:paraId="1B2C8E99" w14:textId="613F9E70" w:rsidR="00175EDE" w:rsidRPr="00541AC3" w:rsidRDefault="00175EDE" w:rsidP="00175EDE">
            <w:pPr>
              <w:jc w:val="center"/>
              <w:rPr>
                <w:rFonts w:ascii="Times New Roman" w:hAnsi="Times New Roman" w:cs="Times New Roman"/>
                <w:sz w:val="20"/>
              </w:rPr>
            </w:pPr>
            <w:r w:rsidRPr="00541AC3">
              <w:rPr>
                <w:rFonts w:ascii="Times New Roman" w:hAnsi="Times New Roman" w:cs="Times New Roman"/>
                <w:sz w:val="20"/>
              </w:rPr>
              <w:t>-0.2</w:t>
            </w:r>
          </w:p>
        </w:tc>
        <w:tc>
          <w:tcPr>
            <w:tcW w:w="0" w:type="auto"/>
            <w:vAlign w:val="center"/>
          </w:tcPr>
          <w:p w14:paraId="176744B3" w14:textId="4BD83D55" w:rsidR="00175EDE" w:rsidRPr="00541AC3" w:rsidRDefault="00175EDE" w:rsidP="00175EDE">
            <w:pPr>
              <w:jc w:val="center"/>
              <w:rPr>
                <w:rFonts w:ascii="Times New Roman" w:hAnsi="Times New Roman" w:cs="Times New Roman"/>
                <w:sz w:val="20"/>
              </w:rPr>
            </w:pPr>
            <w:r w:rsidRPr="00541AC3">
              <w:rPr>
                <w:rFonts w:ascii="Times New Roman" w:hAnsi="Times New Roman" w:cs="Times New Roman"/>
                <w:sz w:val="20"/>
              </w:rPr>
              <w:t>-0.34</w:t>
            </w:r>
          </w:p>
        </w:tc>
        <w:tc>
          <w:tcPr>
            <w:tcW w:w="0" w:type="auto"/>
            <w:vAlign w:val="center"/>
          </w:tcPr>
          <w:p w14:paraId="6FC33495" w14:textId="063444ED" w:rsidR="00175EDE" w:rsidRPr="00541AC3" w:rsidRDefault="00175EDE" w:rsidP="00175EDE">
            <w:pPr>
              <w:jc w:val="center"/>
              <w:rPr>
                <w:rFonts w:ascii="Times New Roman" w:hAnsi="Times New Roman" w:cs="Times New Roman"/>
                <w:sz w:val="20"/>
              </w:rPr>
            </w:pPr>
            <w:r w:rsidRPr="00541AC3">
              <w:rPr>
                <w:rFonts w:ascii="Times New Roman" w:hAnsi="Times New Roman" w:cs="Times New Roman"/>
                <w:sz w:val="20"/>
              </w:rPr>
              <w:t>-0.31</w:t>
            </w:r>
          </w:p>
        </w:tc>
        <w:tc>
          <w:tcPr>
            <w:tcW w:w="0" w:type="auto"/>
            <w:vAlign w:val="center"/>
          </w:tcPr>
          <w:p w14:paraId="2EC522C1" w14:textId="1C2E7266" w:rsidR="00175EDE" w:rsidRPr="00541AC3" w:rsidRDefault="00175EDE" w:rsidP="00175EDE">
            <w:pPr>
              <w:jc w:val="center"/>
              <w:rPr>
                <w:rFonts w:ascii="Times New Roman" w:hAnsi="Times New Roman" w:cs="Times New Roman"/>
                <w:sz w:val="20"/>
              </w:rPr>
            </w:pPr>
            <w:r w:rsidRPr="00541AC3">
              <w:rPr>
                <w:rFonts w:ascii="Times New Roman" w:hAnsi="Times New Roman" w:cs="Times New Roman"/>
                <w:sz w:val="20"/>
              </w:rPr>
              <w:t>-0.29</w:t>
            </w:r>
          </w:p>
        </w:tc>
        <w:tc>
          <w:tcPr>
            <w:tcW w:w="0" w:type="auto"/>
            <w:vAlign w:val="center"/>
          </w:tcPr>
          <w:p w14:paraId="5BD30BDF" w14:textId="73DCD0FA" w:rsidR="00175EDE" w:rsidRPr="00541AC3" w:rsidRDefault="00175EDE" w:rsidP="00175EDE">
            <w:pPr>
              <w:jc w:val="center"/>
              <w:rPr>
                <w:rFonts w:ascii="Times New Roman" w:hAnsi="Times New Roman" w:cs="Times New Roman"/>
                <w:sz w:val="20"/>
              </w:rPr>
            </w:pPr>
            <w:r w:rsidRPr="00541AC3">
              <w:rPr>
                <w:rFonts w:ascii="Times New Roman" w:hAnsi="Times New Roman" w:cs="Times New Roman"/>
                <w:sz w:val="20"/>
              </w:rPr>
              <w:t>-0.22</w:t>
            </w:r>
          </w:p>
        </w:tc>
        <w:tc>
          <w:tcPr>
            <w:tcW w:w="0" w:type="auto"/>
            <w:vAlign w:val="center"/>
          </w:tcPr>
          <w:p w14:paraId="4A7B47F9" w14:textId="0EC2450B" w:rsidR="00175EDE" w:rsidRPr="00541AC3" w:rsidRDefault="00175EDE" w:rsidP="00175EDE">
            <w:pPr>
              <w:jc w:val="center"/>
              <w:rPr>
                <w:rFonts w:ascii="Times New Roman" w:hAnsi="Times New Roman" w:cs="Times New Roman"/>
                <w:sz w:val="20"/>
              </w:rPr>
            </w:pPr>
            <w:r w:rsidRPr="00541AC3">
              <w:rPr>
                <w:rFonts w:ascii="Times New Roman" w:hAnsi="Times New Roman" w:cs="Times New Roman"/>
                <w:sz w:val="20"/>
              </w:rPr>
              <w:t>-0.16</w:t>
            </w:r>
          </w:p>
        </w:tc>
        <w:tc>
          <w:tcPr>
            <w:tcW w:w="0" w:type="auto"/>
            <w:vAlign w:val="center"/>
          </w:tcPr>
          <w:p w14:paraId="7684ECC0" w14:textId="3253CBCB" w:rsidR="00175EDE" w:rsidRPr="00541AC3" w:rsidRDefault="00175EDE" w:rsidP="00175EDE">
            <w:pPr>
              <w:jc w:val="center"/>
              <w:rPr>
                <w:rFonts w:ascii="Times New Roman" w:hAnsi="Times New Roman" w:cs="Times New Roman"/>
                <w:sz w:val="20"/>
              </w:rPr>
            </w:pPr>
            <w:r w:rsidRPr="00541AC3">
              <w:rPr>
                <w:rFonts w:ascii="Times New Roman" w:hAnsi="Times New Roman" w:cs="Times New Roman"/>
                <w:sz w:val="20"/>
              </w:rPr>
              <w:t>-0.21</w:t>
            </w:r>
          </w:p>
        </w:tc>
      </w:tr>
      <w:tr w:rsidR="00541AC3" w:rsidRPr="00541AC3" w14:paraId="66DFE50C" w14:textId="77777777" w:rsidTr="00052C72">
        <w:trPr>
          <w:trHeight w:val="288"/>
          <w:jc w:val="center"/>
        </w:trPr>
        <w:tc>
          <w:tcPr>
            <w:tcW w:w="0" w:type="auto"/>
            <w:vAlign w:val="center"/>
          </w:tcPr>
          <w:p w14:paraId="71AB1A02" w14:textId="77777777" w:rsidR="00175EDE" w:rsidRPr="00541AC3" w:rsidRDefault="00175EDE" w:rsidP="00175EDE">
            <w:pPr>
              <w:rPr>
                <w:rFonts w:ascii="Times New Roman" w:hAnsi="Times New Roman" w:cs="Times New Roman"/>
                <w:sz w:val="20"/>
              </w:rPr>
            </w:pPr>
            <w:r w:rsidRPr="00541AC3">
              <w:rPr>
                <w:rFonts w:ascii="Times New Roman" w:eastAsia="Times New Roman" w:hAnsi="Times New Roman" w:cs="Times New Roman"/>
                <w:b/>
                <w:bCs/>
                <w:sz w:val="20"/>
              </w:rPr>
              <w:t>FİGM</w:t>
            </w:r>
          </w:p>
        </w:tc>
        <w:tc>
          <w:tcPr>
            <w:tcW w:w="0" w:type="auto"/>
            <w:vAlign w:val="center"/>
          </w:tcPr>
          <w:p w14:paraId="4C11AEF8" w14:textId="7D46F123" w:rsidR="00175EDE" w:rsidRPr="00541AC3" w:rsidRDefault="00175EDE" w:rsidP="00175EDE">
            <w:pPr>
              <w:jc w:val="center"/>
              <w:rPr>
                <w:rFonts w:ascii="Times New Roman" w:hAnsi="Times New Roman" w:cs="Times New Roman"/>
                <w:b/>
                <w:bCs/>
                <w:sz w:val="20"/>
              </w:rPr>
            </w:pPr>
            <w:r w:rsidRPr="00541AC3">
              <w:rPr>
                <w:rFonts w:ascii="Times New Roman" w:hAnsi="Times New Roman" w:cs="Times New Roman"/>
                <w:b/>
                <w:bCs/>
                <w:sz w:val="20"/>
              </w:rPr>
              <w:t>0.46</w:t>
            </w:r>
            <w:r w:rsidR="008020D3" w:rsidRPr="00541AC3">
              <w:rPr>
                <w:rFonts w:ascii="Dreaming Outloud Pro" w:eastAsia="Times New Roman" w:hAnsi="Dreaming Outloud Pro" w:cs="Dreaming Outloud Pro"/>
                <w:b/>
                <w:bCs/>
                <w:sz w:val="20"/>
                <w:vertAlign w:val="superscript"/>
              </w:rPr>
              <w:t>‡</w:t>
            </w:r>
          </w:p>
        </w:tc>
        <w:tc>
          <w:tcPr>
            <w:tcW w:w="0" w:type="auto"/>
            <w:vAlign w:val="center"/>
          </w:tcPr>
          <w:p w14:paraId="5D723DD4" w14:textId="47570E3A" w:rsidR="00175EDE" w:rsidRPr="00541AC3" w:rsidRDefault="00175EDE" w:rsidP="00175EDE">
            <w:pPr>
              <w:jc w:val="center"/>
              <w:rPr>
                <w:rFonts w:ascii="Times New Roman" w:hAnsi="Times New Roman" w:cs="Times New Roman"/>
                <w:b/>
                <w:bCs/>
                <w:sz w:val="20"/>
              </w:rPr>
            </w:pPr>
            <w:r w:rsidRPr="00541AC3">
              <w:rPr>
                <w:rFonts w:ascii="Times New Roman" w:hAnsi="Times New Roman" w:cs="Times New Roman"/>
                <w:b/>
                <w:bCs/>
                <w:sz w:val="20"/>
              </w:rPr>
              <w:t>0.5</w:t>
            </w:r>
            <w:r w:rsidRPr="00541AC3">
              <w:rPr>
                <w:rFonts w:ascii="Times New Roman" w:hAnsi="Times New Roman" w:cs="Times New Roman"/>
                <w:b/>
                <w:bCs/>
                <w:sz w:val="20"/>
                <w:vertAlign w:val="superscript"/>
              </w:rPr>
              <w:t>*</w:t>
            </w:r>
          </w:p>
        </w:tc>
        <w:tc>
          <w:tcPr>
            <w:tcW w:w="0" w:type="auto"/>
            <w:vAlign w:val="center"/>
          </w:tcPr>
          <w:p w14:paraId="02BAD0C6" w14:textId="6D54E7CF" w:rsidR="00175EDE" w:rsidRPr="00541AC3" w:rsidRDefault="00175EDE" w:rsidP="00175EDE">
            <w:pPr>
              <w:jc w:val="center"/>
              <w:rPr>
                <w:rFonts w:ascii="Times New Roman" w:hAnsi="Times New Roman" w:cs="Times New Roman"/>
                <w:b/>
                <w:bCs/>
                <w:sz w:val="20"/>
              </w:rPr>
            </w:pPr>
            <w:r w:rsidRPr="00541AC3">
              <w:rPr>
                <w:rFonts w:ascii="Times New Roman" w:hAnsi="Times New Roman" w:cs="Times New Roman"/>
                <w:b/>
                <w:bCs/>
                <w:sz w:val="20"/>
              </w:rPr>
              <w:t>0.58</w:t>
            </w:r>
            <w:r w:rsidRPr="00541AC3">
              <w:rPr>
                <w:rFonts w:ascii="Times New Roman" w:hAnsi="Times New Roman" w:cs="Times New Roman"/>
                <w:b/>
                <w:bCs/>
                <w:sz w:val="20"/>
                <w:vertAlign w:val="superscript"/>
              </w:rPr>
              <w:t>*</w:t>
            </w:r>
          </w:p>
        </w:tc>
        <w:tc>
          <w:tcPr>
            <w:tcW w:w="0" w:type="auto"/>
            <w:vAlign w:val="center"/>
          </w:tcPr>
          <w:p w14:paraId="53E7FED7" w14:textId="5C36391C" w:rsidR="00175EDE" w:rsidRPr="00541AC3" w:rsidRDefault="00175EDE" w:rsidP="00175EDE">
            <w:pPr>
              <w:jc w:val="center"/>
              <w:rPr>
                <w:rFonts w:ascii="Times New Roman" w:hAnsi="Times New Roman" w:cs="Times New Roman"/>
                <w:b/>
                <w:bCs/>
                <w:sz w:val="20"/>
              </w:rPr>
            </w:pPr>
            <w:r w:rsidRPr="00541AC3">
              <w:rPr>
                <w:rFonts w:ascii="Times New Roman" w:hAnsi="Times New Roman" w:cs="Times New Roman"/>
                <w:b/>
                <w:bCs/>
                <w:sz w:val="20"/>
              </w:rPr>
              <w:t>0.66</w:t>
            </w:r>
            <w:r w:rsidRPr="00541AC3">
              <w:rPr>
                <w:rFonts w:ascii="Times New Roman" w:hAnsi="Times New Roman" w:cs="Times New Roman"/>
                <w:b/>
                <w:bCs/>
                <w:sz w:val="20"/>
                <w:vertAlign w:val="superscript"/>
              </w:rPr>
              <w:t>**</w:t>
            </w:r>
          </w:p>
        </w:tc>
        <w:tc>
          <w:tcPr>
            <w:tcW w:w="0" w:type="auto"/>
            <w:vAlign w:val="center"/>
          </w:tcPr>
          <w:p w14:paraId="06285FD1" w14:textId="321B7E14" w:rsidR="00175EDE" w:rsidRPr="00541AC3" w:rsidRDefault="00175EDE" w:rsidP="00175EDE">
            <w:pPr>
              <w:jc w:val="center"/>
              <w:rPr>
                <w:rFonts w:ascii="Times New Roman" w:hAnsi="Times New Roman" w:cs="Times New Roman"/>
                <w:b/>
                <w:bCs/>
                <w:sz w:val="20"/>
              </w:rPr>
            </w:pPr>
            <w:r w:rsidRPr="00541AC3">
              <w:rPr>
                <w:rFonts w:ascii="Times New Roman" w:hAnsi="Times New Roman" w:cs="Times New Roman"/>
                <w:b/>
                <w:bCs/>
                <w:sz w:val="20"/>
              </w:rPr>
              <w:t>0.73</w:t>
            </w:r>
            <w:r w:rsidRPr="00541AC3">
              <w:rPr>
                <w:rFonts w:ascii="Times New Roman" w:hAnsi="Times New Roman" w:cs="Times New Roman"/>
                <w:b/>
                <w:bCs/>
                <w:sz w:val="20"/>
                <w:vertAlign w:val="superscript"/>
              </w:rPr>
              <w:t>***</w:t>
            </w:r>
          </w:p>
        </w:tc>
        <w:tc>
          <w:tcPr>
            <w:tcW w:w="0" w:type="auto"/>
            <w:vAlign w:val="center"/>
          </w:tcPr>
          <w:p w14:paraId="55F09A02" w14:textId="66CA3675" w:rsidR="00175EDE" w:rsidRPr="00541AC3" w:rsidRDefault="00175EDE" w:rsidP="00175EDE">
            <w:pPr>
              <w:jc w:val="center"/>
              <w:rPr>
                <w:rFonts w:ascii="Times New Roman" w:hAnsi="Times New Roman" w:cs="Times New Roman"/>
                <w:b/>
                <w:bCs/>
                <w:sz w:val="20"/>
              </w:rPr>
            </w:pPr>
            <w:r w:rsidRPr="00541AC3">
              <w:rPr>
                <w:rFonts w:ascii="Times New Roman" w:hAnsi="Times New Roman" w:cs="Times New Roman"/>
                <w:b/>
                <w:bCs/>
                <w:sz w:val="20"/>
              </w:rPr>
              <w:t>0.86</w:t>
            </w:r>
            <w:r w:rsidRPr="00541AC3">
              <w:rPr>
                <w:rFonts w:ascii="Times New Roman" w:hAnsi="Times New Roman" w:cs="Times New Roman"/>
                <w:b/>
                <w:bCs/>
                <w:sz w:val="20"/>
                <w:vertAlign w:val="superscript"/>
              </w:rPr>
              <w:t>****</w:t>
            </w:r>
          </w:p>
        </w:tc>
        <w:tc>
          <w:tcPr>
            <w:tcW w:w="0" w:type="auto"/>
            <w:vAlign w:val="center"/>
          </w:tcPr>
          <w:p w14:paraId="0A512AB4" w14:textId="793865F9" w:rsidR="00175EDE" w:rsidRPr="00541AC3" w:rsidRDefault="00175EDE" w:rsidP="00175EDE">
            <w:pPr>
              <w:jc w:val="center"/>
              <w:rPr>
                <w:rFonts w:ascii="Times New Roman" w:hAnsi="Times New Roman" w:cs="Times New Roman"/>
                <w:b/>
                <w:bCs/>
                <w:sz w:val="20"/>
              </w:rPr>
            </w:pPr>
            <w:r w:rsidRPr="00541AC3">
              <w:rPr>
                <w:rFonts w:ascii="Times New Roman" w:hAnsi="Times New Roman" w:cs="Times New Roman"/>
                <w:b/>
                <w:bCs/>
                <w:sz w:val="20"/>
              </w:rPr>
              <w:t>0.79</w:t>
            </w:r>
            <w:r w:rsidR="00DF3996" w:rsidRPr="00541AC3">
              <w:rPr>
                <w:rFonts w:ascii="Times New Roman" w:hAnsi="Times New Roman" w:cs="Times New Roman"/>
                <w:b/>
                <w:bCs/>
                <w:sz w:val="20"/>
                <w:vertAlign w:val="superscript"/>
              </w:rPr>
              <w:t>***</w:t>
            </w:r>
          </w:p>
        </w:tc>
      </w:tr>
      <w:tr w:rsidR="00541AC3" w:rsidRPr="00541AC3" w14:paraId="61267512" w14:textId="77777777" w:rsidTr="00052C72">
        <w:trPr>
          <w:trHeight w:val="288"/>
          <w:jc w:val="center"/>
        </w:trPr>
        <w:tc>
          <w:tcPr>
            <w:tcW w:w="0" w:type="auto"/>
            <w:vAlign w:val="center"/>
          </w:tcPr>
          <w:p w14:paraId="3662FD43" w14:textId="77777777" w:rsidR="00175EDE" w:rsidRPr="00541AC3" w:rsidRDefault="00175EDE" w:rsidP="00175EDE">
            <w:pPr>
              <w:rPr>
                <w:rFonts w:ascii="Times New Roman" w:hAnsi="Times New Roman" w:cs="Times New Roman"/>
                <w:sz w:val="20"/>
              </w:rPr>
            </w:pPr>
            <w:r w:rsidRPr="00541AC3">
              <w:rPr>
                <w:rFonts w:ascii="Times New Roman" w:eastAsia="Times New Roman" w:hAnsi="Times New Roman" w:cs="Times New Roman"/>
                <w:b/>
                <w:bCs/>
                <w:sz w:val="20"/>
              </w:rPr>
              <w:t>İMA</w:t>
            </w:r>
          </w:p>
        </w:tc>
        <w:tc>
          <w:tcPr>
            <w:tcW w:w="0" w:type="auto"/>
            <w:vAlign w:val="center"/>
          </w:tcPr>
          <w:p w14:paraId="0E9ACF81" w14:textId="13B7449C" w:rsidR="00175EDE" w:rsidRPr="00541AC3" w:rsidRDefault="00175EDE" w:rsidP="00175EDE">
            <w:pPr>
              <w:jc w:val="center"/>
              <w:rPr>
                <w:rFonts w:ascii="Times New Roman" w:hAnsi="Times New Roman" w:cs="Times New Roman"/>
                <w:sz w:val="20"/>
              </w:rPr>
            </w:pPr>
            <w:r w:rsidRPr="00541AC3">
              <w:rPr>
                <w:rFonts w:ascii="Times New Roman" w:hAnsi="Times New Roman" w:cs="Times New Roman"/>
                <w:sz w:val="20"/>
              </w:rPr>
              <w:t>-0.28</w:t>
            </w:r>
          </w:p>
        </w:tc>
        <w:tc>
          <w:tcPr>
            <w:tcW w:w="0" w:type="auto"/>
            <w:vAlign w:val="center"/>
          </w:tcPr>
          <w:p w14:paraId="64174B5F" w14:textId="74E1E381" w:rsidR="00175EDE" w:rsidRPr="00541AC3" w:rsidRDefault="00175EDE" w:rsidP="00175EDE">
            <w:pPr>
              <w:jc w:val="center"/>
              <w:rPr>
                <w:rFonts w:ascii="Times New Roman" w:hAnsi="Times New Roman" w:cs="Times New Roman"/>
                <w:sz w:val="20"/>
              </w:rPr>
            </w:pPr>
            <w:r w:rsidRPr="00541AC3">
              <w:rPr>
                <w:rFonts w:ascii="Times New Roman" w:hAnsi="Times New Roman" w:cs="Times New Roman"/>
                <w:sz w:val="20"/>
              </w:rPr>
              <w:t>-0.02</w:t>
            </w:r>
          </w:p>
        </w:tc>
        <w:tc>
          <w:tcPr>
            <w:tcW w:w="0" w:type="auto"/>
            <w:vAlign w:val="center"/>
          </w:tcPr>
          <w:p w14:paraId="6CB36E99" w14:textId="559DF19B" w:rsidR="00175EDE" w:rsidRPr="00541AC3" w:rsidRDefault="00175EDE" w:rsidP="00175EDE">
            <w:pPr>
              <w:jc w:val="center"/>
              <w:rPr>
                <w:rFonts w:ascii="Times New Roman" w:hAnsi="Times New Roman" w:cs="Times New Roman"/>
                <w:sz w:val="20"/>
              </w:rPr>
            </w:pPr>
            <w:r w:rsidRPr="00541AC3">
              <w:rPr>
                <w:rFonts w:ascii="Times New Roman" w:hAnsi="Times New Roman" w:cs="Times New Roman"/>
                <w:sz w:val="20"/>
              </w:rPr>
              <w:t>0.24</w:t>
            </w:r>
          </w:p>
        </w:tc>
        <w:tc>
          <w:tcPr>
            <w:tcW w:w="0" w:type="auto"/>
            <w:vAlign w:val="center"/>
          </w:tcPr>
          <w:p w14:paraId="3AA6E3C9" w14:textId="3C045E7C" w:rsidR="00175EDE" w:rsidRPr="00541AC3" w:rsidRDefault="00175EDE" w:rsidP="00175EDE">
            <w:pPr>
              <w:jc w:val="center"/>
              <w:rPr>
                <w:rFonts w:ascii="Times New Roman" w:hAnsi="Times New Roman" w:cs="Times New Roman"/>
                <w:b/>
                <w:bCs/>
                <w:sz w:val="20"/>
              </w:rPr>
            </w:pPr>
            <w:r w:rsidRPr="00541AC3">
              <w:rPr>
                <w:rFonts w:ascii="Times New Roman" w:hAnsi="Times New Roman" w:cs="Times New Roman"/>
                <w:b/>
                <w:bCs/>
                <w:sz w:val="20"/>
              </w:rPr>
              <w:t>0.67</w:t>
            </w:r>
            <w:r w:rsidRPr="00541AC3">
              <w:rPr>
                <w:rFonts w:ascii="Times New Roman" w:hAnsi="Times New Roman" w:cs="Times New Roman"/>
                <w:b/>
                <w:bCs/>
                <w:sz w:val="20"/>
                <w:vertAlign w:val="superscript"/>
              </w:rPr>
              <w:t>**</w:t>
            </w:r>
          </w:p>
        </w:tc>
        <w:tc>
          <w:tcPr>
            <w:tcW w:w="0" w:type="auto"/>
            <w:vAlign w:val="center"/>
          </w:tcPr>
          <w:p w14:paraId="2F7D67C5" w14:textId="58F06BFF" w:rsidR="00175EDE" w:rsidRPr="00541AC3" w:rsidRDefault="00175EDE" w:rsidP="00175EDE">
            <w:pPr>
              <w:jc w:val="center"/>
              <w:rPr>
                <w:rFonts w:ascii="Times New Roman" w:hAnsi="Times New Roman" w:cs="Times New Roman"/>
                <w:b/>
                <w:bCs/>
                <w:sz w:val="20"/>
              </w:rPr>
            </w:pPr>
            <w:r w:rsidRPr="00541AC3">
              <w:rPr>
                <w:rFonts w:ascii="Times New Roman" w:hAnsi="Times New Roman" w:cs="Times New Roman"/>
                <w:b/>
                <w:bCs/>
                <w:sz w:val="20"/>
              </w:rPr>
              <w:t>0.85</w:t>
            </w:r>
            <w:r w:rsidRPr="00541AC3">
              <w:rPr>
                <w:rFonts w:ascii="Times New Roman" w:hAnsi="Times New Roman" w:cs="Times New Roman"/>
                <w:b/>
                <w:bCs/>
                <w:sz w:val="20"/>
                <w:vertAlign w:val="superscript"/>
              </w:rPr>
              <w:t>***</w:t>
            </w:r>
            <w:r w:rsidR="00DF3996" w:rsidRPr="00541AC3">
              <w:rPr>
                <w:rFonts w:ascii="Times New Roman" w:hAnsi="Times New Roman" w:cs="Times New Roman"/>
                <w:b/>
                <w:bCs/>
                <w:sz w:val="20"/>
                <w:vertAlign w:val="superscript"/>
              </w:rPr>
              <w:t>*</w:t>
            </w:r>
          </w:p>
        </w:tc>
        <w:tc>
          <w:tcPr>
            <w:tcW w:w="0" w:type="auto"/>
            <w:vAlign w:val="center"/>
          </w:tcPr>
          <w:p w14:paraId="7902AA8F" w14:textId="18BA8327" w:rsidR="00175EDE" w:rsidRPr="00541AC3" w:rsidRDefault="00175EDE" w:rsidP="00175EDE">
            <w:pPr>
              <w:jc w:val="center"/>
              <w:rPr>
                <w:rFonts w:ascii="Times New Roman" w:hAnsi="Times New Roman" w:cs="Times New Roman"/>
                <w:b/>
                <w:bCs/>
                <w:sz w:val="20"/>
              </w:rPr>
            </w:pPr>
            <w:r w:rsidRPr="00541AC3">
              <w:rPr>
                <w:rFonts w:ascii="Times New Roman" w:hAnsi="Times New Roman" w:cs="Times New Roman"/>
                <w:b/>
                <w:bCs/>
                <w:sz w:val="20"/>
              </w:rPr>
              <w:t>0.82</w:t>
            </w:r>
            <w:r w:rsidRPr="00541AC3">
              <w:rPr>
                <w:rFonts w:ascii="Times New Roman" w:hAnsi="Times New Roman" w:cs="Times New Roman"/>
                <w:b/>
                <w:bCs/>
                <w:sz w:val="20"/>
                <w:vertAlign w:val="superscript"/>
              </w:rPr>
              <w:t>****</w:t>
            </w:r>
          </w:p>
        </w:tc>
        <w:tc>
          <w:tcPr>
            <w:tcW w:w="0" w:type="auto"/>
            <w:vAlign w:val="center"/>
          </w:tcPr>
          <w:p w14:paraId="7656206A" w14:textId="7AB57057" w:rsidR="00175EDE" w:rsidRPr="00541AC3" w:rsidRDefault="00175EDE" w:rsidP="00175EDE">
            <w:pPr>
              <w:jc w:val="center"/>
              <w:rPr>
                <w:rFonts w:ascii="Times New Roman" w:hAnsi="Times New Roman" w:cs="Times New Roman"/>
                <w:b/>
                <w:bCs/>
                <w:sz w:val="20"/>
              </w:rPr>
            </w:pPr>
            <w:r w:rsidRPr="00541AC3">
              <w:rPr>
                <w:rFonts w:ascii="Times New Roman" w:hAnsi="Times New Roman" w:cs="Times New Roman"/>
                <w:b/>
                <w:bCs/>
                <w:sz w:val="20"/>
              </w:rPr>
              <w:t>0.76</w:t>
            </w:r>
            <w:r w:rsidR="00DF3996" w:rsidRPr="00541AC3">
              <w:rPr>
                <w:rFonts w:ascii="Times New Roman" w:hAnsi="Times New Roman" w:cs="Times New Roman"/>
                <w:b/>
                <w:bCs/>
                <w:sz w:val="20"/>
                <w:vertAlign w:val="superscript"/>
              </w:rPr>
              <w:t>***</w:t>
            </w:r>
          </w:p>
        </w:tc>
      </w:tr>
      <w:tr w:rsidR="00541AC3" w:rsidRPr="00541AC3" w14:paraId="45400F05" w14:textId="77777777" w:rsidTr="00052C72">
        <w:trPr>
          <w:trHeight w:val="288"/>
          <w:jc w:val="center"/>
        </w:trPr>
        <w:tc>
          <w:tcPr>
            <w:tcW w:w="0" w:type="auto"/>
            <w:vAlign w:val="center"/>
          </w:tcPr>
          <w:p w14:paraId="1B662967" w14:textId="77777777" w:rsidR="00175EDE" w:rsidRPr="00541AC3" w:rsidRDefault="00175EDE" w:rsidP="00175EDE">
            <w:pPr>
              <w:rPr>
                <w:rFonts w:ascii="Times New Roman" w:hAnsi="Times New Roman" w:cs="Times New Roman"/>
                <w:sz w:val="20"/>
              </w:rPr>
            </w:pPr>
            <w:r w:rsidRPr="00541AC3">
              <w:rPr>
                <w:rFonts w:ascii="Times New Roman" w:eastAsia="Times New Roman" w:hAnsi="Times New Roman" w:cs="Times New Roman"/>
                <w:b/>
                <w:bCs/>
                <w:sz w:val="20"/>
              </w:rPr>
              <w:t>MAD</w:t>
            </w:r>
          </w:p>
        </w:tc>
        <w:tc>
          <w:tcPr>
            <w:tcW w:w="0" w:type="auto"/>
            <w:vAlign w:val="center"/>
          </w:tcPr>
          <w:p w14:paraId="394F238B" w14:textId="78CFC932" w:rsidR="00175EDE" w:rsidRPr="00541AC3" w:rsidRDefault="00175EDE" w:rsidP="00175EDE">
            <w:pPr>
              <w:jc w:val="center"/>
              <w:rPr>
                <w:rFonts w:ascii="Times New Roman" w:hAnsi="Times New Roman" w:cs="Times New Roman"/>
                <w:sz w:val="20"/>
              </w:rPr>
            </w:pPr>
            <w:r w:rsidRPr="00541AC3">
              <w:rPr>
                <w:rFonts w:ascii="Times New Roman" w:hAnsi="Times New Roman" w:cs="Times New Roman"/>
                <w:sz w:val="20"/>
              </w:rPr>
              <w:t>-0.12</w:t>
            </w:r>
          </w:p>
        </w:tc>
        <w:tc>
          <w:tcPr>
            <w:tcW w:w="0" w:type="auto"/>
            <w:vAlign w:val="center"/>
          </w:tcPr>
          <w:p w14:paraId="2C135E25" w14:textId="18E1BEF5" w:rsidR="00175EDE" w:rsidRPr="00541AC3" w:rsidRDefault="00175EDE" w:rsidP="00175EDE">
            <w:pPr>
              <w:jc w:val="center"/>
              <w:rPr>
                <w:rFonts w:ascii="Times New Roman" w:hAnsi="Times New Roman" w:cs="Times New Roman"/>
                <w:sz w:val="20"/>
              </w:rPr>
            </w:pPr>
            <w:r w:rsidRPr="00541AC3">
              <w:rPr>
                <w:rFonts w:ascii="Times New Roman" w:hAnsi="Times New Roman" w:cs="Times New Roman"/>
                <w:sz w:val="20"/>
              </w:rPr>
              <w:t>-0.07</w:t>
            </w:r>
          </w:p>
        </w:tc>
        <w:tc>
          <w:tcPr>
            <w:tcW w:w="0" w:type="auto"/>
            <w:vAlign w:val="center"/>
          </w:tcPr>
          <w:p w14:paraId="7E0F7253" w14:textId="274AB8D4" w:rsidR="00175EDE" w:rsidRPr="00541AC3" w:rsidRDefault="00175EDE" w:rsidP="00175EDE">
            <w:pPr>
              <w:jc w:val="center"/>
              <w:rPr>
                <w:rFonts w:ascii="Times New Roman" w:hAnsi="Times New Roman" w:cs="Times New Roman"/>
                <w:sz w:val="20"/>
              </w:rPr>
            </w:pPr>
            <w:r w:rsidRPr="00541AC3">
              <w:rPr>
                <w:rFonts w:ascii="Times New Roman" w:hAnsi="Times New Roman" w:cs="Times New Roman"/>
                <w:sz w:val="20"/>
              </w:rPr>
              <w:t>-0.21</w:t>
            </w:r>
          </w:p>
        </w:tc>
        <w:tc>
          <w:tcPr>
            <w:tcW w:w="0" w:type="auto"/>
            <w:vAlign w:val="center"/>
          </w:tcPr>
          <w:p w14:paraId="31A1E5E5" w14:textId="07D0D886" w:rsidR="00175EDE" w:rsidRPr="00541AC3" w:rsidRDefault="00175EDE" w:rsidP="00175EDE">
            <w:pPr>
              <w:jc w:val="center"/>
              <w:rPr>
                <w:rFonts w:ascii="Times New Roman" w:hAnsi="Times New Roman" w:cs="Times New Roman"/>
                <w:sz w:val="20"/>
              </w:rPr>
            </w:pPr>
            <w:r w:rsidRPr="00541AC3">
              <w:rPr>
                <w:rFonts w:ascii="Times New Roman" w:hAnsi="Times New Roman" w:cs="Times New Roman"/>
                <w:sz w:val="20"/>
              </w:rPr>
              <w:t>-0.38</w:t>
            </w:r>
          </w:p>
        </w:tc>
        <w:tc>
          <w:tcPr>
            <w:tcW w:w="0" w:type="auto"/>
            <w:vAlign w:val="center"/>
          </w:tcPr>
          <w:p w14:paraId="2AFD52E4" w14:textId="4AF51F02" w:rsidR="00175EDE" w:rsidRPr="00541AC3" w:rsidRDefault="00175EDE" w:rsidP="00175EDE">
            <w:pPr>
              <w:jc w:val="center"/>
              <w:rPr>
                <w:rFonts w:ascii="Times New Roman" w:hAnsi="Times New Roman" w:cs="Times New Roman"/>
                <w:sz w:val="20"/>
              </w:rPr>
            </w:pPr>
            <w:r w:rsidRPr="00541AC3">
              <w:rPr>
                <w:rFonts w:ascii="Times New Roman" w:hAnsi="Times New Roman" w:cs="Times New Roman"/>
                <w:sz w:val="20"/>
              </w:rPr>
              <w:t>-0.26</w:t>
            </w:r>
          </w:p>
        </w:tc>
        <w:tc>
          <w:tcPr>
            <w:tcW w:w="0" w:type="auto"/>
            <w:vAlign w:val="center"/>
          </w:tcPr>
          <w:p w14:paraId="5361C05B" w14:textId="4896D59A" w:rsidR="00175EDE" w:rsidRPr="00541AC3" w:rsidRDefault="00175EDE" w:rsidP="00175EDE">
            <w:pPr>
              <w:jc w:val="center"/>
              <w:rPr>
                <w:rFonts w:ascii="Times New Roman" w:hAnsi="Times New Roman" w:cs="Times New Roman"/>
                <w:sz w:val="20"/>
              </w:rPr>
            </w:pPr>
            <w:r w:rsidRPr="00541AC3">
              <w:rPr>
                <w:rFonts w:ascii="Times New Roman" w:hAnsi="Times New Roman" w:cs="Times New Roman"/>
                <w:sz w:val="20"/>
              </w:rPr>
              <w:t>0.13</w:t>
            </w:r>
          </w:p>
        </w:tc>
        <w:tc>
          <w:tcPr>
            <w:tcW w:w="0" w:type="auto"/>
            <w:vAlign w:val="center"/>
          </w:tcPr>
          <w:p w14:paraId="681D407E" w14:textId="20E48849" w:rsidR="00175EDE" w:rsidRPr="00541AC3" w:rsidRDefault="00175EDE" w:rsidP="00175EDE">
            <w:pPr>
              <w:jc w:val="center"/>
              <w:rPr>
                <w:rFonts w:ascii="Times New Roman" w:hAnsi="Times New Roman" w:cs="Times New Roman"/>
                <w:b/>
                <w:bCs/>
                <w:sz w:val="20"/>
              </w:rPr>
            </w:pPr>
            <w:r w:rsidRPr="00541AC3">
              <w:rPr>
                <w:rFonts w:ascii="Times New Roman" w:hAnsi="Times New Roman" w:cs="Times New Roman"/>
                <w:b/>
                <w:sz w:val="20"/>
              </w:rPr>
              <w:t>0.48</w:t>
            </w:r>
            <w:r w:rsidR="00DF3996" w:rsidRPr="00541AC3">
              <w:rPr>
                <w:rFonts w:ascii="Dreaming Outloud Pro" w:eastAsia="Times New Roman" w:hAnsi="Dreaming Outloud Pro" w:cs="Dreaming Outloud Pro"/>
                <w:b/>
                <w:szCs w:val="24"/>
                <w:vertAlign w:val="superscript"/>
              </w:rPr>
              <w:t>‡</w:t>
            </w:r>
          </w:p>
        </w:tc>
      </w:tr>
      <w:tr w:rsidR="00541AC3" w:rsidRPr="00541AC3" w14:paraId="3DA04778" w14:textId="77777777" w:rsidTr="00052C72">
        <w:trPr>
          <w:trHeight w:val="288"/>
          <w:jc w:val="center"/>
        </w:trPr>
        <w:tc>
          <w:tcPr>
            <w:tcW w:w="0" w:type="auto"/>
            <w:vAlign w:val="center"/>
          </w:tcPr>
          <w:p w14:paraId="458D0636" w14:textId="77777777" w:rsidR="00175EDE" w:rsidRPr="00541AC3" w:rsidRDefault="00175EDE" w:rsidP="00175EDE">
            <w:pPr>
              <w:rPr>
                <w:rFonts w:ascii="Times New Roman" w:hAnsi="Times New Roman" w:cs="Times New Roman"/>
                <w:sz w:val="20"/>
              </w:rPr>
            </w:pPr>
            <w:r w:rsidRPr="00541AC3">
              <w:rPr>
                <w:rFonts w:ascii="Times New Roman" w:eastAsia="Times New Roman" w:hAnsi="Times New Roman" w:cs="Times New Roman"/>
                <w:b/>
                <w:bCs/>
                <w:sz w:val="20"/>
              </w:rPr>
              <w:t>EGS</w:t>
            </w:r>
          </w:p>
        </w:tc>
        <w:tc>
          <w:tcPr>
            <w:tcW w:w="0" w:type="auto"/>
            <w:vAlign w:val="center"/>
          </w:tcPr>
          <w:p w14:paraId="4E3425D3" w14:textId="6FDE1ED6" w:rsidR="00175EDE" w:rsidRPr="00541AC3" w:rsidRDefault="00175EDE" w:rsidP="00175EDE">
            <w:pPr>
              <w:jc w:val="center"/>
              <w:rPr>
                <w:rFonts w:ascii="Times New Roman" w:hAnsi="Times New Roman" w:cs="Times New Roman"/>
                <w:b/>
                <w:bCs/>
                <w:sz w:val="20"/>
              </w:rPr>
            </w:pPr>
            <w:r w:rsidRPr="00541AC3">
              <w:rPr>
                <w:rFonts w:ascii="Times New Roman" w:hAnsi="Times New Roman" w:cs="Times New Roman"/>
                <w:b/>
                <w:bCs/>
                <w:sz w:val="20"/>
              </w:rPr>
              <w:t>0.92</w:t>
            </w:r>
            <w:r w:rsidRPr="00541AC3">
              <w:rPr>
                <w:rFonts w:ascii="Times New Roman" w:hAnsi="Times New Roman" w:cs="Times New Roman"/>
                <w:b/>
                <w:bCs/>
                <w:sz w:val="20"/>
                <w:vertAlign w:val="superscript"/>
              </w:rPr>
              <w:t>****</w:t>
            </w:r>
          </w:p>
        </w:tc>
        <w:tc>
          <w:tcPr>
            <w:tcW w:w="0" w:type="auto"/>
            <w:vAlign w:val="center"/>
          </w:tcPr>
          <w:p w14:paraId="419BF22F" w14:textId="1FD380B8" w:rsidR="00175EDE" w:rsidRPr="00541AC3" w:rsidRDefault="00175EDE" w:rsidP="00175EDE">
            <w:pPr>
              <w:jc w:val="center"/>
              <w:rPr>
                <w:rFonts w:ascii="Times New Roman" w:hAnsi="Times New Roman" w:cs="Times New Roman"/>
                <w:b/>
                <w:bCs/>
                <w:sz w:val="20"/>
              </w:rPr>
            </w:pPr>
            <w:r w:rsidRPr="00541AC3">
              <w:rPr>
                <w:rFonts w:ascii="Times New Roman" w:hAnsi="Times New Roman" w:cs="Times New Roman"/>
                <w:b/>
                <w:bCs/>
                <w:sz w:val="20"/>
              </w:rPr>
              <w:t>0.93</w:t>
            </w:r>
            <w:r w:rsidRPr="00541AC3">
              <w:rPr>
                <w:rFonts w:ascii="Times New Roman" w:hAnsi="Times New Roman" w:cs="Times New Roman"/>
                <w:b/>
                <w:bCs/>
                <w:sz w:val="20"/>
                <w:vertAlign w:val="superscript"/>
              </w:rPr>
              <w:t>****</w:t>
            </w:r>
          </w:p>
        </w:tc>
        <w:tc>
          <w:tcPr>
            <w:tcW w:w="0" w:type="auto"/>
            <w:vAlign w:val="center"/>
          </w:tcPr>
          <w:p w14:paraId="16A6C972" w14:textId="5D747092" w:rsidR="00175EDE" w:rsidRPr="00541AC3" w:rsidRDefault="00175EDE" w:rsidP="00175EDE">
            <w:pPr>
              <w:jc w:val="center"/>
              <w:rPr>
                <w:rFonts w:ascii="Times New Roman" w:hAnsi="Times New Roman" w:cs="Times New Roman"/>
                <w:b/>
                <w:bCs/>
                <w:sz w:val="20"/>
              </w:rPr>
            </w:pPr>
            <w:r w:rsidRPr="00541AC3">
              <w:rPr>
                <w:rFonts w:ascii="Times New Roman" w:hAnsi="Times New Roman" w:cs="Times New Roman"/>
                <w:b/>
                <w:bCs/>
                <w:sz w:val="20"/>
              </w:rPr>
              <w:t>0.93</w:t>
            </w:r>
            <w:r w:rsidRPr="00541AC3">
              <w:rPr>
                <w:rFonts w:ascii="Times New Roman" w:hAnsi="Times New Roman" w:cs="Times New Roman"/>
                <w:b/>
                <w:bCs/>
                <w:sz w:val="20"/>
                <w:vertAlign w:val="superscript"/>
              </w:rPr>
              <w:t>****</w:t>
            </w:r>
          </w:p>
        </w:tc>
        <w:tc>
          <w:tcPr>
            <w:tcW w:w="0" w:type="auto"/>
            <w:vAlign w:val="center"/>
          </w:tcPr>
          <w:p w14:paraId="178AE220" w14:textId="4C8E7E3B" w:rsidR="00175EDE" w:rsidRPr="00541AC3" w:rsidRDefault="00175EDE" w:rsidP="00175EDE">
            <w:pPr>
              <w:jc w:val="center"/>
              <w:rPr>
                <w:rFonts w:ascii="Times New Roman" w:hAnsi="Times New Roman" w:cs="Times New Roman"/>
                <w:b/>
                <w:bCs/>
                <w:sz w:val="20"/>
              </w:rPr>
            </w:pPr>
            <w:r w:rsidRPr="00541AC3">
              <w:rPr>
                <w:rFonts w:ascii="Times New Roman" w:hAnsi="Times New Roman" w:cs="Times New Roman"/>
                <w:b/>
                <w:bCs/>
                <w:sz w:val="20"/>
              </w:rPr>
              <w:t>0.91</w:t>
            </w:r>
            <w:r w:rsidRPr="00541AC3">
              <w:rPr>
                <w:rFonts w:ascii="Times New Roman" w:hAnsi="Times New Roman" w:cs="Times New Roman"/>
                <w:b/>
                <w:bCs/>
                <w:sz w:val="20"/>
                <w:vertAlign w:val="superscript"/>
              </w:rPr>
              <w:t>****</w:t>
            </w:r>
          </w:p>
        </w:tc>
        <w:tc>
          <w:tcPr>
            <w:tcW w:w="0" w:type="auto"/>
            <w:vAlign w:val="center"/>
          </w:tcPr>
          <w:p w14:paraId="46119295" w14:textId="5CFB05C1" w:rsidR="00175EDE" w:rsidRPr="00541AC3" w:rsidRDefault="00175EDE" w:rsidP="00175EDE">
            <w:pPr>
              <w:jc w:val="center"/>
              <w:rPr>
                <w:rFonts w:ascii="Times New Roman" w:hAnsi="Times New Roman" w:cs="Times New Roman"/>
                <w:b/>
                <w:bCs/>
                <w:sz w:val="20"/>
              </w:rPr>
            </w:pPr>
            <w:r w:rsidRPr="00541AC3">
              <w:rPr>
                <w:rFonts w:ascii="Times New Roman" w:hAnsi="Times New Roman" w:cs="Times New Roman"/>
                <w:b/>
                <w:bCs/>
                <w:sz w:val="20"/>
              </w:rPr>
              <w:t>0.88</w:t>
            </w:r>
            <w:r w:rsidRPr="00541AC3">
              <w:rPr>
                <w:rFonts w:ascii="Times New Roman" w:hAnsi="Times New Roman" w:cs="Times New Roman"/>
                <w:b/>
                <w:bCs/>
                <w:sz w:val="20"/>
                <w:vertAlign w:val="superscript"/>
              </w:rPr>
              <w:t>****</w:t>
            </w:r>
          </w:p>
        </w:tc>
        <w:tc>
          <w:tcPr>
            <w:tcW w:w="0" w:type="auto"/>
            <w:vAlign w:val="center"/>
          </w:tcPr>
          <w:p w14:paraId="2B31375F" w14:textId="0201159D" w:rsidR="00175EDE" w:rsidRPr="00541AC3" w:rsidRDefault="00175EDE" w:rsidP="00175EDE">
            <w:pPr>
              <w:jc w:val="center"/>
              <w:rPr>
                <w:rFonts w:ascii="Times New Roman" w:hAnsi="Times New Roman" w:cs="Times New Roman"/>
                <w:b/>
                <w:bCs/>
                <w:sz w:val="20"/>
              </w:rPr>
            </w:pPr>
            <w:r w:rsidRPr="00541AC3">
              <w:rPr>
                <w:rFonts w:ascii="Times New Roman" w:hAnsi="Times New Roman" w:cs="Times New Roman"/>
                <w:b/>
                <w:bCs/>
                <w:sz w:val="20"/>
              </w:rPr>
              <w:t>0.84</w:t>
            </w:r>
            <w:r w:rsidRPr="00541AC3">
              <w:rPr>
                <w:rFonts w:ascii="Times New Roman" w:hAnsi="Times New Roman" w:cs="Times New Roman"/>
                <w:b/>
                <w:bCs/>
                <w:sz w:val="20"/>
                <w:vertAlign w:val="superscript"/>
              </w:rPr>
              <w:t>****</w:t>
            </w:r>
          </w:p>
        </w:tc>
        <w:tc>
          <w:tcPr>
            <w:tcW w:w="0" w:type="auto"/>
            <w:vAlign w:val="center"/>
          </w:tcPr>
          <w:p w14:paraId="1A25F7CE" w14:textId="70DEFCB0" w:rsidR="00175EDE" w:rsidRPr="00541AC3" w:rsidRDefault="00175EDE" w:rsidP="00175EDE">
            <w:pPr>
              <w:jc w:val="center"/>
              <w:rPr>
                <w:rFonts w:ascii="Times New Roman" w:hAnsi="Times New Roman" w:cs="Times New Roman"/>
                <w:b/>
                <w:sz w:val="20"/>
              </w:rPr>
            </w:pPr>
            <w:r w:rsidRPr="00541AC3">
              <w:rPr>
                <w:rFonts w:ascii="Times New Roman" w:hAnsi="Times New Roman" w:cs="Times New Roman"/>
                <w:b/>
                <w:sz w:val="20"/>
              </w:rPr>
              <w:t>0.78</w:t>
            </w:r>
            <w:r w:rsidR="00DF3996" w:rsidRPr="00541AC3">
              <w:rPr>
                <w:rFonts w:ascii="Times New Roman" w:hAnsi="Times New Roman" w:cs="Times New Roman"/>
                <w:b/>
                <w:bCs/>
                <w:sz w:val="20"/>
                <w:vertAlign w:val="superscript"/>
              </w:rPr>
              <w:t>***</w:t>
            </w:r>
          </w:p>
        </w:tc>
      </w:tr>
      <w:tr w:rsidR="00541AC3" w:rsidRPr="00541AC3" w14:paraId="1309B1B3" w14:textId="77777777" w:rsidTr="00052C72">
        <w:trPr>
          <w:trHeight w:val="288"/>
          <w:jc w:val="center"/>
        </w:trPr>
        <w:tc>
          <w:tcPr>
            <w:tcW w:w="0" w:type="auto"/>
            <w:vAlign w:val="center"/>
          </w:tcPr>
          <w:p w14:paraId="48E291D2" w14:textId="77777777" w:rsidR="00175EDE" w:rsidRPr="00541AC3" w:rsidRDefault="00175EDE" w:rsidP="00175EDE">
            <w:pPr>
              <w:rPr>
                <w:rFonts w:ascii="Times New Roman" w:hAnsi="Times New Roman" w:cs="Times New Roman"/>
                <w:sz w:val="20"/>
              </w:rPr>
            </w:pPr>
            <w:r w:rsidRPr="00541AC3">
              <w:rPr>
                <w:rFonts w:ascii="Times New Roman" w:eastAsia="Times New Roman" w:hAnsi="Times New Roman" w:cs="Times New Roman"/>
                <w:b/>
                <w:bCs/>
                <w:sz w:val="20"/>
              </w:rPr>
              <w:t>UHD</w:t>
            </w:r>
          </w:p>
        </w:tc>
        <w:tc>
          <w:tcPr>
            <w:tcW w:w="0" w:type="auto"/>
            <w:vAlign w:val="center"/>
          </w:tcPr>
          <w:p w14:paraId="37010D37" w14:textId="24DABB06" w:rsidR="00175EDE" w:rsidRPr="00541AC3" w:rsidRDefault="00175EDE" w:rsidP="00175EDE">
            <w:pPr>
              <w:jc w:val="center"/>
              <w:rPr>
                <w:rFonts w:ascii="Times New Roman" w:hAnsi="Times New Roman" w:cs="Times New Roman"/>
                <w:b/>
                <w:bCs/>
                <w:sz w:val="20"/>
              </w:rPr>
            </w:pPr>
            <w:r w:rsidRPr="00541AC3">
              <w:rPr>
                <w:rFonts w:ascii="Times New Roman" w:hAnsi="Times New Roman" w:cs="Times New Roman"/>
                <w:b/>
                <w:bCs/>
                <w:sz w:val="20"/>
              </w:rPr>
              <w:t>0.6</w:t>
            </w:r>
            <w:r w:rsidRPr="00541AC3">
              <w:rPr>
                <w:rFonts w:ascii="Times New Roman" w:hAnsi="Times New Roman" w:cs="Times New Roman"/>
                <w:b/>
                <w:bCs/>
                <w:sz w:val="20"/>
                <w:vertAlign w:val="superscript"/>
              </w:rPr>
              <w:t>**</w:t>
            </w:r>
          </w:p>
        </w:tc>
        <w:tc>
          <w:tcPr>
            <w:tcW w:w="0" w:type="auto"/>
            <w:vAlign w:val="center"/>
          </w:tcPr>
          <w:p w14:paraId="3E64CE59" w14:textId="5FDBB4A9" w:rsidR="00175EDE" w:rsidRPr="00541AC3" w:rsidRDefault="00175EDE" w:rsidP="00175EDE">
            <w:pPr>
              <w:jc w:val="center"/>
              <w:rPr>
                <w:rFonts w:ascii="Times New Roman" w:hAnsi="Times New Roman" w:cs="Times New Roman"/>
                <w:b/>
                <w:bCs/>
                <w:sz w:val="20"/>
              </w:rPr>
            </w:pPr>
            <w:r w:rsidRPr="00541AC3">
              <w:rPr>
                <w:rFonts w:ascii="Times New Roman" w:hAnsi="Times New Roman" w:cs="Times New Roman"/>
                <w:b/>
                <w:bCs/>
                <w:sz w:val="20"/>
              </w:rPr>
              <w:t>0.8</w:t>
            </w:r>
            <w:r w:rsidRPr="00541AC3">
              <w:rPr>
                <w:rFonts w:ascii="Times New Roman" w:hAnsi="Times New Roman" w:cs="Times New Roman"/>
                <w:b/>
                <w:bCs/>
                <w:sz w:val="20"/>
                <w:vertAlign w:val="superscript"/>
              </w:rPr>
              <w:t>****</w:t>
            </w:r>
          </w:p>
        </w:tc>
        <w:tc>
          <w:tcPr>
            <w:tcW w:w="0" w:type="auto"/>
            <w:vAlign w:val="center"/>
          </w:tcPr>
          <w:p w14:paraId="3C4CFE3B" w14:textId="60AAD728" w:rsidR="00175EDE" w:rsidRPr="00541AC3" w:rsidRDefault="00175EDE" w:rsidP="00175EDE">
            <w:pPr>
              <w:jc w:val="center"/>
              <w:rPr>
                <w:rFonts w:ascii="Times New Roman" w:hAnsi="Times New Roman" w:cs="Times New Roman"/>
                <w:sz w:val="20"/>
              </w:rPr>
            </w:pPr>
            <w:r w:rsidRPr="00541AC3">
              <w:rPr>
                <w:rFonts w:ascii="Times New Roman" w:hAnsi="Times New Roman" w:cs="Times New Roman"/>
                <w:sz w:val="20"/>
              </w:rPr>
              <w:t>0.4</w:t>
            </w:r>
          </w:p>
        </w:tc>
        <w:tc>
          <w:tcPr>
            <w:tcW w:w="0" w:type="auto"/>
            <w:vAlign w:val="center"/>
          </w:tcPr>
          <w:p w14:paraId="70C1E55D" w14:textId="5072F54D" w:rsidR="00175EDE" w:rsidRPr="00541AC3" w:rsidRDefault="00175EDE" w:rsidP="00175EDE">
            <w:pPr>
              <w:jc w:val="center"/>
              <w:rPr>
                <w:rFonts w:ascii="Times New Roman" w:hAnsi="Times New Roman" w:cs="Times New Roman"/>
                <w:sz w:val="20"/>
              </w:rPr>
            </w:pPr>
            <w:r w:rsidRPr="00541AC3">
              <w:rPr>
                <w:rFonts w:ascii="Times New Roman" w:hAnsi="Times New Roman" w:cs="Times New Roman"/>
                <w:sz w:val="20"/>
              </w:rPr>
              <w:t>0.27</w:t>
            </w:r>
          </w:p>
        </w:tc>
        <w:tc>
          <w:tcPr>
            <w:tcW w:w="0" w:type="auto"/>
            <w:vAlign w:val="center"/>
          </w:tcPr>
          <w:p w14:paraId="59890902" w14:textId="5444E419" w:rsidR="00175EDE" w:rsidRPr="00541AC3" w:rsidRDefault="00175EDE" w:rsidP="00175EDE">
            <w:pPr>
              <w:jc w:val="center"/>
              <w:rPr>
                <w:rFonts w:ascii="Times New Roman" w:hAnsi="Times New Roman" w:cs="Times New Roman"/>
                <w:sz w:val="20"/>
              </w:rPr>
            </w:pPr>
            <w:r w:rsidRPr="00541AC3">
              <w:rPr>
                <w:rFonts w:ascii="Times New Roman" w:hAnsi="Times New Roman" w:cs="Times New Roman"/>
                <w:sz w:val="20"/>
              </w:rPr>
              <w:t>0.24</w:t>
            </w:r>
          </w:p>
        </w:tc>
        <w:tc>
          <w:tcPr>
            <w:tcW w:w="0" w:type="auto"/>
            <w:vAlign w:val="center"/>
          </w:tcPr>
          <w:p w14:paraId="792B850A" w14:textId="1275D6CA" w:rsidR="00175EDE" w:rsidRPr="00541AC3" w:rsidRDefault="00175EDE" w:rsidP="00175EDE">
            <w:pPr>
              <w:jc w:val="center"/>
              <w:rPr>
                <w:rFonts w:ascii="Times New Roman" w:hAnsi="Times New Roman" w:cs="Times New Roman"/>
                <w:sz w:val="20"/>
              </w:rPr>
            </w:pPr>
            <w:r w:rsidRPr="00541AC3">
              <w:rPr>
                <w:rFonts w:ascii="Times New Roman" w:hAnsi="Times New Roman" w:cs="Times New Roman"/>
                <w:sz w:val="20"/>
              </w:rPr>
              <w:t>-0.14</w:t>
            </w:r>
          </w:p>
        </w:tc>
        <w:tc>
          <w:tcPr>
            <w:tcW w:w="0" w:type="auto"/>
            <w:vAlign w:val="center"/>
          </w:tcPr>
          <w:p w14:paraId="159BBF61" w14:textId="4D5A4E3D" w:rsidR="00175EDE" w:rsidRPr="00541AC3" w:rsidRDefault="00175EDE" w:rsidP="00175EDE">
            <w:pPr>
              <w:jc w:val="center"/>
              <w:rPr>
                <w:rFonts w:ascii="Times New Roman" w:hAnsi="Times New Roman" w:cs="Times New Roman"/>
                <w:sz w:val="20"/>
              </w:rPr>
            </w:pPr>
            <w:r w:rsidRPr="00541AC3">
              <w:rPr>
                <w:rFonts w:ascii="Times New Roman" w:hAnsi="Times New Roman" w:cs="Times New Roman"/>
                <w:sz w:val="20"/>
              </w:rPr>
              <w:t>-0.13</w:t>
            </w:r>
          </w:p>
        </w:tc>
      </w:tr>
      <w:tr w:rsidR="00541AC3" w:rsidRPr="00541AC3" w14:paraId="4FB8F891" w14:textId="77777777" w:rsidTr="00052C72">
        <w:trPr>
          <w:trHeight w:val="288"/>
          <w:jc w:val="center"/>
        </w:trPr>
        <w:tc>
          <w:tcPr>
            <w:tcW w:w="0" w:type="auto"/>
            <w:vAlign w:val="center"/>
          </w:tcPr>
          <w:p w14:paraId="75F2E21C" w14:textId="77777777" w:rsidR="00175EDE" w:rsidRPr="00541AC3" w:rsidRDefault="00175EDE" w:rsidP="00175EDE">
            <w:pPr>
              <w:rPr>
                <w:rFonts w:ascii="Times New Roman" w:hAnsi="Times New Roman" w:cs="Times New Roman"/>
                <w:sz w:val="20"/>
              </w:rPr>
            </w:pPr>
            <w:r w:rsidRPr="00541AC3">
              <w:rPr>
                <w:rFonts w:ascii="Times New Roman" w:eastAsia="Times New Roman" w:hAnsi="Times New Roman" w:cs="Times New Roman"/>
                <w:b/>
                <w:bCs/>
                <w:sz w:val="20"/>
              </w:rPr>
              <w:t>TİC</w:t>
            </w:r>
          </w:p>
        </w:tc>
        <w:tc>
          <w:tcPr>
            <w:tcW w:w="0" w:type="auto"/>
            <w:vAlign w:val="center"/>
          </w:tcPr>
          <w:p w14:paraId="01D95452" w14:textId="7418372E" w:rsidR="00175EDE" w:rsidRPr="00541AC3" w:rsidRDefault="00175EDE" w:rsidP="00175EDE">
            <w:pPr>
              <w:jc w:val="center"/>
              <w:rPr>
                <w:rFonts w:ascii="Times New Roman" w:hAnsi="Times New Roman" w:cs="Times New Roman"/>
                <w:sz w:val="20"/>
              </w:rPr>
            </w:pPr>
            <w:r w:rsidRPr="00541AC3">
              <w:rPr>
                <w:rFonts w:ascii="Times New Roman" w:hAnsi="Times New Roman" w:cs="Times New Roman"/>
                <w:sz w:val="20"/>
              </w:rPr>
              <w:t>-0.08</w:t>
            </w:r>
          </w:p>
        </w:tc>
        <w:tc>
          <w:tcPr>
            <w:tcW w:w="0" w:type="auto"/>
            <w:vAlign w:val="center"/>
          </w:tcPr>
          <w:p w14:paraId="098482EB" w14:textId="76DBAC72" w:rsidR="00175EDE" w:rsidRPr="00541AC3" w:rsidRDefault="00175EDE" w:rsidP="00175EDE">
            <w:pPr>
              <w:jc w:val="center"/>
              <w:rPr>
                <w:rFonts w:ascii="Times New Roman" w:hAnsi="Times New Roman" w:cs="Times New Roman"/>
                <w:sz w:val="20"/>
              </w:rPr>
            </w:pPr>
            <w:r w:rsidRPr="00541AC3">
              <w:rPr>
                <w:rFonts w:ascii="Times New Roman" w:hAnsi="Times New Roman" w:cs="Times New Roman"/>
                <w:sz w:val="20"/>
              </w:rPr>
              <w:t>-0.17</w:t>
            </w:r>
          </w:p>
        </w:tc>
        <w:tc>
          <w:tcPr>
            <w:tcW w:w="0" w:type="auto"/>
            <w:vAlign w:val="center"/>
          </w:tcPr>
          <w:p w14:paraId="3B9F1C88" w14:textId="150D117F" w:rsidR="00175EDE" w:rsidRPr="00541AC3" w:rsidRDefault="00175EDE" w:rsidP="00175EDE">
            <w:pPr>
              <w:jc w:val="center"/>
              <w:rPr>
                <w:rFonts w:ascii="Times New Roman" w:hAnsi="Times New Roman" w:cs="Times New Roman"/>
                <w:sz w:val="20"/>
              </w:rPr>
            </w:pPr>
            <w:r w:rsidRPr="00541AC3">
              <w:rPr>
                <w:rFonts w:ascii="Times New Roman" w:hAnsi="Times New Roman" w:cs="Times New Roman"/>
                <w:sz w:val="20"/>
              </w:rPr>
              <w:t>-0.13</w:t>
            </w:r>
          </w:p>
        </w:tc>
        <w:tc>
          <w:tcPr>
            <w:tcW w:w="0" w:type="auto"/>
            <w:vAlign w:val="center"/>
          </w:tcPr>
          <w:p w14:paraId="62166FDA" w14:textId="65397DB0" w:rsidR="00175EDE" w:rsidRPr="00541AC3" w:rsidRDefault="00175EDE" w:rsidP="00175EDE">
            <w:pPr>
              <w:jc w:val="center"/>
              <w:rPr>
                <w:rFonts w:ascii="Times New Roman" w:hAnsi="Times New Roman" w:cs="Times New Roman"/>
                <w:sz w:val="20"/>
              </w:rPr>
            </w:pPr>
            <w:r w:rsidRPr="00541AC3">
              <w:rPr>
                <w:rFonts w:ascii="Times New Roman" w:hAnsi="Times New Roman" w:cs="Times New Roman"/>
                <w:sz w:val="20"/>
              </w:rPr>
              <w:t>-0.23</w:t>
            </w:r>
          </w:p>
        </w:tc>
        <w:tc>
          <w:tcPr>
            <w:tcW w:w="0" w:type="auto"/>
            <w:vAlign w:val="center"/>
          </w:tcPr>
          <w:p w14:paraId="11CDE2AD" w14:textId="71EF8293" w:rsidR="00175EDE" w:rsidRPr="00541AC3" w:rsidRDefault="00175EDE" w:rsidP="00175EDE">
            <w:pPr>
              <w:jc w:val="center"/>
              <w:rPr>
                <w:rFonts w:ascii="Times New Roman" w:hAnsi="Times New Roman" w:cs="Times New Roman"/>
                <w:sz w:val="20"/>
              </w:rPr>
            </w:pPr>
            <w:r w:rsidRPr="00541AC3">
              <w:rPr>
                <w:rFonts w:ascii="Times New Roman" w:hAnsi="Times New Roman" w:cs="Times New Roman"/>
                <w:sz w:val="20"/>
              </w:rPr>
              <w:t>-0.2</w:t>
            </w:r>
          </w:p>
        </w:tc>
        <w:tc>
          <w:tcPr>
            <w:tcW w:w="0" w:type="auto"/>
            <w:vAlign w:val="center"/>
          </w:tcPr>
          <w:p w14:paraId="227DD094" w14:textId="4DBDAE3E" w:rsidR="00175EDE" w:rsidRPr="00541AC3" w:rsidRDefault="00175EDE" w:rsidP="00175EDE">
            <w:pPr>
              <w:jc w:val="center"/>
              <w:rPr>
                <w:rFonts w:ascii="Times New Roman" w:hAnsi="Times New Roman" w:cs="Times New Roman"/>
                <w:sz w:val="20"/>
              </w:rPr>
            </w:pPr>
            <w:r w:rsidRPr="00541AC3">
              <w:rPr>
                <w:rFonts w:ascii="Times New Roman" w:hAnsi="Times New Roman" w:cs="Times New Roman"/>
                <w:sz w:val="20"/>
              </w:rPr>
              <w:t>-0.2</w:t>
            </w:r>
          </w:p>
        </w:tc>
        <w:tc>
          <w:tcPr>
            <w:tcW w:w="0" w:type="auto"/>
            <w:vAlign w:val="center"/>
          </w:tcPr>
          <w:p w14:paraId="4FB78D6A" w14:textId="1C784ADC" w:rsidR="00175EDE" w:rsidRPr="00541AC3" w:rsidRDefault="00175EDE" w:rsidP="00175EDE">
            <w:pPr>
              <w:jc w:val="center"/>
              <w:rPr>
                <w:rFonts w:ascii="Times New Roman" w:hAnsi="Times New Roman" w:cs="Times New Roman"/>
                <w:sz w:val="20"/>
              </w:rPr>
            </w:pPr>
            <w:r w:rsidRPr="00541AC3">
              <w:rPr>
                <w:rFonts w:ascii="Times New Roman" w:hAnsi="Times New Roman" w:cs="Times New Roman"/>
                <w:sz w:val="20"/>
              </w:rPr>
              <w:t>-0.33</w:t>
            </w:r>
          </w:p>
        </w:tc>
      </w:tr>
    </w:tbl>
    <w:p w14:paraId="528824D6" w14:textId="4536FF7A" w:rsidR="00AC3E22" w:rsidRPr="00B03142" w:rsidRDefault="00052C72" w:rsidP="00052C72">
      <w:pPr>
        <w:ind w:left="720"/>
      </w:pPr>
      <w:r w:rsidRPr="00541AC3">
        <w:rPr>
          <w:rFonts w:ascii="Times New Roman" w:hAnsi="Times New Roman" w:cs="Times New Roman"/>
          <w:sz w:val="20"/>
          <w:szCs w:val="20"/>
          <w:shd w:val="clear" w:color="auto" w:fill="FFFFFF"/>
        </w:rPr>
        <w:t xml:space="preserve">          </w:t>
      </w:r>
      <w:r w:rsidR="00AC3E22" w:rsidRPr="00541AC3">
        <w:rPr>
          <w:rFonts w:ascii="Times New Roman" w:hAnsi="Times New Roman" w:cs="Times New Roman"/>
          <w:sz w:val="20"/>
          <w:szCs w:val="20"/>
          <w:shd w:val="clear" w:color="auto" w:fill="FFFFFF"/>
        </w:rPr>
        <w:t>Not: p &lt; ,0001 ‘****’; p &lt; ,001 ‘***’; p &lt; ,01 ‘**</w:t>
      </w:r>
      <w:r w:rsidR="00AC3E22" w:rsidRPr="00B03142">
        <w:rPr>
          <w:rFonts w:ascii="Times New Roman" w:hAnsi="Times New Roman" w:cs="Times New Roman"/>
          <w:sz w:val="20"/>
          <w:szCs w:val="20"/>
          <w:shd w:val="clear" w:color="auto" w:fill="FFFFFF"/>
        </w:rPr>
        <w:t>’; p &lt; ,05 ‘*’; p &lt;0,10 ‘</w:t>
      </w:r>
      <w:r w:rsidR="00AC3E22" w:rsidRPr="00B03142">
        <w:rPr>
          <w:rFonts w:ascii="Dreaming Outloud Pro" w:eastAsia="Times New Roman" w:hAnsi="Dreaming Outloud Pro" w:cs="Dreaming Outloud Pro"/>
          <w:color w:val="000000"/>
          <w:szCs w:val="24"/>
          <w:vertAlign w:val="superscript"/>
        </w:rPr>
        <w:t>‡</w:t>
      </w:r>
      <w:r w:rsidR="00AC3E22" w:rsidRPr="00B03142">
        <w:rPr>
          <w:rFonts w:ascii="Times New Roman" w:hAnsi="Times New Roman" w:cs="Times New Roman"/>
          <w:sz w:val="20"/>
          <w:szCs w:val="20"/>
          <w:shd w:val="clear" w:color="auto" w:fill="FFFFFF"/>
        </w:rPr>
        <w:t>’</w:t>
      </w:r>
    </w:p>
    <w:p w14:paraId="3582999D" w14:textId="506498C8" w:rsidR="004225EB" w:rsidRPr="00B03142" w:rsidRDefault="004A60DA" w:rsidP="00F96253">
      <w:pPr>
        <w:pStyle w:val="Heading1"/>
        <w:spacing w:after="240" w:line="276" w:lineRule="auto"/>
      </w:pPr>
      <w:r w:rsidRPr="00B03142">
        <w:t>Sonuç</w:t>
      </w:r>
      <w:r w:rsidR="00E86CCA" w:rsidRPr="00B03142">
        <w:t xml:space="preserve"> </w:t>
      </w:r>
    </w:p>
    <w:p w14:paraId="280E3205" w14:textId="45E24976" w:rsidR="00894B18" w:rsidRPr="00B03142" w:rsidRDefault="00894B18" w:rsidP="00A70EAB">
      <w:pPr>
        <w:spacing w:after="0" w:line="276" w:lineRule="auto"/>
        <w:ind w:firstLine="432"/>
        <w:jc w:val="both"/>
        <w:rPr>
          <w:rFonts w:ascii="Times New Roman" w:hAnsi="Times New Roman" w:cs="Times New Roman"/>
          <w:bCs/>
          <w:sz w:val="24"/>
          <w:szCs w:val="24"/>
        </w:rPr>
      </w:pPr>
      <w:r w:rsidRPr="00B03142">
        <w:rPr>
          <w:rFonts w:ascii="Times New Roman" w:hAnsi="Times New Roman" w:cs="Times New Roman"/>
          <w:bCs/>
          <w:sz w:val="24"/>
          <w:szCs w:val="24"/>
        </w:rPr>
        <w:t xml:space="preserve">Bankalarca firmalara tahsis edilen kredilerin sektör kompozisyonun takibi hem büyümeyi destekleyici hem de finansal istikrarı bozucu risk barındırmayan bir finansmana erişim mekanizması geliştirilmesi ve gerektiğinde etkin bir kredi tahsisi politikası tasarımı için yol gösterici olabilir. Bu </w:t>
      </w:r>
      <w:r w:rsidR="00074E2A" w:rsidRPr="00B03142">
        <w:rPr>
          <w:rFonts w:ascii="Times New Roman" w:hAnsi="Times New Roman" w:cs="Times New Roman"/>
          <w:bCs/>
          <w:sz w:val="24"/>
          <w:szCs w:val="24"/>
        </w:rPr>
        <w:t>sebeple</w:t>
      </w:r>
      <w:r w:rsidRPr="00B03142">
        <w:rPr>
          <w:rFonts w:ascii="Times New Roman" w:hAnsi="Times New Roman" w:cs="Times New Roman"/>
          <w:bCs/>
          <w:sz w:val="24"/>
          <w:szCs w:val="24"/>
        </w:rPr>
        <w:t xml:space="preserve"> bu çalışmada 2000’lerin başından itibaren bankalarca sektörlere tahsis edilen kredilerin sektörel kompozisyonunun </w:t>
      </w:r>
      <w:r w:rsidR="00EA03A3" w:rsidRPr="00B03142">
        <w:rPr>
          <w:rFonts w:ascii="Times New Roman" w:hAnsi="Times New Roman" w:cs="Times New Roman"/>
          <w:bCs/>
          <w:sz w:val="24"/>
          <w:szCs w:val="24"/>
        </w:rPr>
        <w:t>değerlendirmesi</w:t>
      </w:r>
      <w:r w:rsidRPr="00B03142">
        <w:rPr>
          <w:rFonts w:ascii="Times New Roman" w:hAnsi="Times New Roman" w:cs="Times New Roman"/>
          <w:bCs/>
          <w:sz w:val="24"/>
          <w:szCs w:val="24"/>
        </w:rPr>
        <w:t xml:space="preserve"> ilgili sektörlerin üretim</w:t>
      </w:r>
      <w:r w:rsidR="0017271F" w:rsidRPr="00B03142">
        <w:rPr>
          <w:rFonts w:ascii="Times New Roman" w:hAnsi="Times New Roman" w:cs="Times New Roman"/>
          <w:bCs/>
          <w:sz w:val="24"/>
          <w:szCs w:val="24"/>
        </w:rPr>
        <w:t xml:space="preserve"> ve</w:t>
      </w:r>
      <w:r w:rsidRPr="00B03142">
        <w:rPr>
          <w:rFonts w:ascii="Times New Roman" w:hAnsi="Times New Roman" w:cs="Times New Roman"/>
          <w:bCs/>
          <w:sz w:val="24"/>
          <w:szCs w:val="24"/>
        </w:rPr>
        <w:t xml:space="preserve"> istihdam </w:t>
      </w:r>
      <w:r w:rsidR="0017271F" w:rsidRPr="00B03142">
        <w:rPr>
          <w:rFonts w:ascii="Times New Roman" w:hAnsi="Times New Roman" w:cs="Times New Roman"/>
          <w:bCs/>
          <w:sz w:val="24"/>
          <w:szCs w:val="24"/>
        </w:rPr>
        <w:t xml:space="preserve">değişimleri ve payları </w:t>
      </w:r>
      <w:r w:rsidRPr="00B03142">
        <w:rPr>
          <w:rFonts w:ascii="Times New Roman" w:hAnsi="Times New Roman" w:cs="Times New Roman"/>
          <w:bCs/>
          <w:sz w:val="24"/>
          <w:szCs w:val="24"/>
        </w:rPr>
        <w:t>göz önünde bulundurularak yapılmıştır.</w:t>
      </w:r>
    </w:p>
    <w:p w14:paraId="25BAADFA" w14:textId="289915F1" w:rsidR="00AF50B1" w:rsidRPr="00B03142" w:rsidRDefault="00326E08" w:rsidP="00A70EAB">
      <w:pPr>
        <w:spacing w:after="0" w:line="276" w:lineRule="auto"/>
        <w:ind w:firstLine="432"/>
        <w:jc w:val="both"/>
        <w:rPr>
          <w:rFonts w:ascii="Times New Roman" w:hAnsi="Times New Roman" w:cs="Times New Roman"/>
          <w:bCs/>
          <w:sz w:val="24"/>
          <w:szCs w:val="24"/>
        </w:rPr>
      </w:pPr>
      <w:r w:rsidRPr="00B03142">
        <w:rPr>
          <w:rFonts w:ascii="Times New Roman" w:hAnsi="Times New Roman" w:cs="Times New Roman"/>
          <w:bCs/>
          <w:sz w:val="24"/>
          <w:szCs w:val="24"/>
        </w:rPr>
        <w:t xml:space="preserve">İMA sektörünün kredi payı çalışma döneminin başından beri toplam firma kredileri içinde en yüksektir. Ancak son 20 yılda payı yüzde 55’ten yüzde 27’ye düşmüştür. Bu sektördeki reel kredi değişimi ile üretim ve istihdam değişimi arasında sadece kredilerin değiştiği dönemde </w:t>
      </w:r>
      <w:r w:rsidR="0017271F" w:rsidRPr="00B03142">
        <w:rPr>
          <w:rFonts w:ascii="Times New Roman" w:hAnsi="Times New Roman" w:cs="Times New Roman"/>
          <w:bCs/>
          <w:sz w:val="24"/>
          <w:szCs w:val="24"/>
        </w:rPr>
        <w:t>pozitif ancak</w:t>
      </w:r>
      <w:r w:rsidRPr="00B03142">
        <w:rPr>
          <w:rFonts w:ascii="Times New Roman" w:hAnsi="Times New Roman" w:cs="Times New Roman"/>
          <w:bCs/>
          <w:sz w:val="24"/>
          <w:szCs w:val="24"/>
        </w:rPr>
        <w:t xml:space="preserve"> yüksek olmayan </w:t>
      </w:r>
      <w:r w:rsidR="0017271F" w:rsidRPr="00B03142">
        <w:rPr>
          <w:rFonts w:ascii="Times New Roman" w:hAnsi="Times New Roman" w:cs="Times New Roman"/>
          <w:bCs/>
          <w:sz w:val="24"/>
          <w:szCs w:val="24"/>
        </w:rPr>
        <w:t>bir ilişki</w:t>
      </w:r>
      <w:r w:rsidRPr="00B03142">
        <w:rPr>
          <w:rFonts w:ascii="Times New Roman" w:hAnsi="Times New Roman" w:cs="Times New Roman"/>
          <w:bCs/>
          <w:sz w:val="24"/>
          <w:szCs w:val="24"/>
        </w:rPr>
        <w:t xml:space="preserve"> bulunmuştur. İMA sektörü dışında kalan sektörlerde ya toplam firma kredilerinin artış hızıyla paralel kredi</w:t>
      </w:r>
      <w:r w:rsidR="004C1736" w:rsidRPr="00B03142">
        <w:rPr>
          <w:rFonts w:ascii="Times New Roman" w:hAnsi="Times New Roman" w:cs="Times New Roman"/>
          <w:bCs/>
          <w:sz w:val="24"/>
          <w:szCs w:val="24"/>
        </w:rPr>
        <w:t xml:space="preserve"> artışı gerçekleşm</w:t>
      </w:r>
      <w:r w:rsidRPr="00B03142">
        <w:rPr>
          <w:rFonts w:ascii="Times New Roman" w:hAnsi="Times New Roman" w:cs="Times New Roman"/>
          <w:bCs/>
          <w:sz w:val="24"/>
          <w:szCs w:val="24"/>
        </w:rPr>
        <w:t>i</w:t>
      </w:r>
      <w:r w:rsidR="004C1736" w:rsidRPr="00B03142">
        <w:rPr>
          <w:rFonts w:ascii="Times New Roman" w:hAnsi="Times New Roman" w:cs="Times New Roman"/>
          <w:bCs/>
          <w:sz w:val="24"/>
          <w:szCs w:val="24"/>
        </w:rPr>
        <w:t>ş</w:t>
      </w:r>
      <w:r w:rsidRPr="00B03142">
        <w:rPr>
          <w:rFonts w:ascii="Times New Roman" w:hAnsi="Times New Roman" w:cs="Times New Roman"/>
          <w:bCs/>
          <w:sz w:val="24"/>
          <w:szCs w:val="24"/>
        </w:rPr>
        <w:t xml:space="preserve">tir ya da toplam artışın çok üzerinde artışlar gözlenmiştir. </w:t>
      </w:r>
      <w:r w:rsidR="0022512B" w:rsidRPr="00B03142">
        <w:rPr>
          <w:rFonts w:ascii="Times New Roman" w:hAnsi="Times New Roman" w:cs="Times New Roman"/>
          <w:bCs/>
          <w:sz w:val="24"/>
          <w:szCs w:val="24"/>
        </w:rPr>
        <w:t xml:space="preserve">Kredi payını en fazla artıran sektör bu dönemde EGS sektörü olmuştur. </w:t>
      </w:r>
      <w:r w:rsidR="00AF50B1" w:rsidRPr="00B03142">
        <w:rPr>
          <w:rFonts w:ascii="Times New Roman" w:hAnsi="Times New Roman" w:cs="Times New Roman"/>
          <w:bCs/>
          <w:sz w:val="24"/>
          <w:szCs w:val="24"/>
        </w:rPr>
        <w:t xml:space="preserve">EGS sektöründeki kredi artışına 2010-2015 </w:t>
      </w:r>
      <w:r w:rsidR="00BE6098">
        <w:rPr>
          <w:rFonts w:ascii="Times New Roman" w:hAnsi="Times New Roman" w:cs="Times New Roman"/>
          <w:bCs/>
          <w:sz w:val="24"/>
          <w:szCs w:val="24"/>
        </w:rPr>
        <w:t>(</w:t>
      </w:r>
      <w:r w:rsidR="00BE6098" w:rsidRPr="00B03142">
        <w:rPr>
          <w:rFonts w:ascii="Times New Roman" w:hAnsi="Times New Roman" w:cs="Times New Roman"/>
          <w:sz w:val="24"/>
          <w:szCs w:val="24"/>
        </w:rPr>
        <w:t>kredi artışlarının küresel parasal genişleme kaynaklı olduğu dönem)</w:t>
      </w:r>
      <w:r w:rsidR="00BE6098">
        <w:rPr>
          <w:rFonts w:ascii="Times New Roman" w:hAnsi="Times New Roman" w:cs="Times New Roman"/>
          <w:bCs/>
          <w:sz w:val="24"/>
          <w:szCs w:val="24"/>
        </w:rPr>
        <w:t xml:space="preserve"> ve 2016 ve sonrası </w:t>
      </w:r>
      <w:r w:rsidR="00BE6098" w:rsidRPr="00B03142">
        <w:rPr>
          <w:rFonts w:ascii="Times New Roman" w:hAnsi="Times New Roman" w:cs="Times New Roman"/>
          <w:sz w:val="24"/>
          <w:szCs w:val="24"/>
        </w:rPr>
        <w:t xml:space="preserve">(kredi artışlarının yerel politkalar aracılığıyla olduğu dönem) </w:t>
      </w:r>
      <w:r w:rsidR="00BE6098">
        <w:rPr>
          <w:rFonts w:ascii="Times New Roman" w:hAnsi="Times New Roman" w:cs="Times New Roman"/>
          <w:bCs/>
          <w:sz w:val="24"/>
          <w:szCs w:val="24"/>
        </w:rPr>
        <w:lastRenderedPageBreak/>
        <w:t>dönemlerinde</w:t>
      </w:r>
      <w:r w:rsidR="00AF50B1" w:rsidRPr="00B03142">
        <w:rPr>
          <w:rFonts w:ascii="Times New Roman" w:hAnsi="Times New Roman" w:cs="Times New Roman"/>
          <w:bCs/>
          <w:sz w:val="24"/>
          <w:szCs w:val="24"/>
        </w:rPr>
        <w:t xml:space="preserve"> ortalama üzerinde ve diğer sektörlerden ayrışan büyüme ve istihdam artışı eşlik etmiştir. </w:t>
      </w:r>
      <w:r w:rsidR="00BE6098">
        <w:rPr>
          <w:rFonts w:ascii="Times New Roman" w:hAnsi="Times New Roman" w:cs="Times New Roman"/>
          <w:bCs/>
          <w:sz w:val="24"/>
          <w:szCs w:val="24"/>
        </w:rPr>
        <w:t xml:space="preserve">Takip eden dönemlerde bu sektördeki kredi gelişmelerinin reel göstergelerle birlikte takip edilmesinin makro istikrar açısından önemli olduğu düşünülmektedir. Bu şekilde düşünülmesinin sebebi İNŞ sektörünün deneyimidir. </w:t>
      </w:r>
      <w:r w:rsidR="00AF50B1" w:rsidRPr="00B03142">
        <w:rPr>
          <w:rFonts w:ascii="Times New Roman" w:hAnsi="Times New Roman" w:cs="Times New Roman"/>
          <w:bCs/>
          <w:sz w:val="24"/>
          <w:szCs w:val="24"/>
        </w:rPr>
        <w:t xml:space="preserve">İNŞ sektöründe </w:t>
      </w:r>
      <w:r w:rsidR="00AF50B1" w:rsidRPr="00B03142">
        <w:rPr>
          <w:rFonts w:ascii="Times New Roman" w:hAnsi="Times New Roman" w:cs="Times New Roman"/>
          <w:sz w:val="24"/>
          <w:szCs w:val="24"/>
        </w:rPr>
        <w:t xml:space="preserve">2004-2008 (kredi artışlarının yapısal reformlar kaynaklı gerçekleştiği dönem) ve 2010-2015 (kredi artışlarının küresel parasal genişleme kaynaklı olduğu dönem) dönemlerinde kredi artışlarına diğer sektörlerden ve toplamdan ayrışan yüksek büyüme ve istihdam artışları eşlik etmiştir. Ancak kredi artışlarının yerel politikalar aracılığıyla </w:t>
      </w:r>
      <w:r w:rsidR="009734EB" w:rsidRPr="00B03142">
        <w:rPr>
          <w:rFonts w:ascii="Times New Roman" w:hAnsi="Times New Roman" w:cs="Times New Roman"/>
          <w:sz w:val="24"/>
          <w:szCs w:val="24"/>
        </w:rPr>
        <w:t xml:space="preserve">gerçekleştiği ve önceki dönemlere göre çok daha az miktarlarda </w:t>
      </w:r>
      <w:r w:rsidR="00AF50B1" w:rsidRPr="00B03142">
        <w:rPr>
          <w:rFonts w:ascii="Times New Roman" w:hAnsi="Times New Roman" w:cs="Times New Roman"/>
          <w:sz w:val="24"/>
          <w:szCs w:val="24"/>
        </w:rPr>
        <w:t xml:space="preserve">olduğu 2016 ve sonrası dönemde </w:t>
      </w:r>
      <w:r w:rsidR="009734EB" w:rsidRPr="00B03142">
        <w:rPr>
          <w:rFonts w:ascii="Times New Roman" w:hAnsi="Times New Roman" w:cs="Times New Roman"/>
          <w:sz w:val="24"/>
          <w:szCs w:val="24"/>
        </w:rPr>
        <w:t>İNŞ sektöründe üretim</w:t>
      </w:r>
      <w:r w:rsidR="00BE6098">
        <w:rPr>
          <w:rFonts w:ascii="Times New Roman" w:hAnsi="Times New Roman" w:cs="Times New Roman"/>
          <w:sz w:val="24"/>
          <w:szCs w:val="24"/>
        </w:rPr>
        <w:t>de ve istihdam</w:t>
      </w:r>
      <w:r w:rsidR="009734EB" w:rsidRPr="00B03142">
        <w:rPr>
          <w:rFonts w:ascii="Times New Roman" w:hAnsi="Times New Roman" w:cs="Times New Roman"/>
          <w:sz w:val="24"/>
          <w:szCs w:val="24"/>
        </w:rPr>
        <w:t xml:space="preserve">da uzun süreli daralmalar gözlenmiştir. </w:t>
      </w:r>
      <w:r w:rsidR="00AF50B1" w:rsidRPr="00B03142">
        <w:rPr>
          <w:rFonts w:ascii="Times New Roman" w:hAnsi="Times New Roman" w:cs="Times New Roman"/>
          <w:sz w:val="24"/>
          <w:szCs w:val="24"/>
        </w:rPr>
        <w:t xml:space="preserve">2017 ve 2018 yıllarındaki KGF aracılığıyla </w:t>
      </w:r>
      <w:r w:rsidR="009734EB" w:rsidRPr="00B03142">
        <w:rPr>
          <w:rFonts w:ascii="Times New Roman" w:hAnsi="Times New Roman" w:cs="Times New Roman"/>
          <w:sz w:val="24"/>
          <w:szCs w:val="24"/>
        </w:rPr>
        <w:t xml:space="preserve">tahsis edilen kredilere </w:t>
      </w:r>
      <w:r w:rsidR="00AF50B1" w:rsidRPr="00B03142">
        <w:rPr>
          <w:rFonts w:ascii="Times New Roman" w:hAnsi="Times New Roman" w:cs="Times New Roman"/>
          <w:sz w:val="24"/>
          <w:szCs w:val="24"/>
        </w:rPr>
        <w:t>rağmen</w:t>
      </w:r>
      <w:r w:rsidR="009734EB" w:rsidRPr="00B03142">
        <w:rPr>
          <w:rFonts w:ascii="Times New Roman" w:hAnsi="Times New Roman" w:cs="Times New Roman"/>
          <w:sz w:val="24"/>
          <w:szCs w:val="24"/>
        </w:rPr>
        <w:t xml:space="preserve"> İNŞ sektörü 2018 </w:t>
      </w:r>
      <w:r w:rsidR="00BE6098">
        <w:rPr>
          <w:rFonts w:ascii="Times New Roman" w:hAnsi="Times New Roman" w:cs="Times New Roman"/>
          <w:sz w:val="24"/>
          <w:szCs w:val="24"/>
        </w:rPr>
        <w:t>üçüncü</w:t>
      </w:r>
      <w:r w:rsidR="009734EB" w:rsidRPr="00B03142">
        <w:rPr>
          <w:rFonts w:ascii="Times New Roman" w:hAnsi="Times New Roman" w:cs="Times New Roman"/>
          <w:sz w:val="24"/>
          <w:szCs w:val="24"/>
        </w:rPr>
        <w:t xml:space="preserve"> çeyreği itibariyle ve 8 çeyrek sürecek bir daralma yaşamıştır.</w:t>
      </w:r>
      <w:r w:rsidR="00AF50B1" w:rsidRPr="00B03142">
        <w:rPr>
          <w:rFonts w:ascii="Times New Roman" w:hAnsi="Times New Roman" w:cs="Times New Roman"/>
          <w:sz w:val="24"/>
          <w:szCs w:val="24"/>
        </w:rPr>
        <w:t xml:space="preserve"> </w:t>
      </w:r>
    </w:p>
    <w:p w14:paraId="7CFA33FA" w14:textId="1961A45B" w:rsidR="00BB0590" w:rsidRPr="00B03142" w:rsidRDefault="009734EB" w:rsidP="00A70EAB">
      <w:pPr>
        <w:spacing w:after="0" w:line="276" w:lineRule="auto"/>
        <w:ind w:firstLine="432"/>
        <w:jc w:val="both"/>
        <w:rPr>
          <w:rFonts w:ascii="Times New Roman" w:hAnsi="Times New Roman" w:cs="Times New Roman"/>
          <w:bCs/>
          <w:sz w:val="24"/>
          <w:szCs w:val="24"/>
        </w:rPr>
      </w:pPr>
      <w:r w:rsidRPr="00B03142">
        <w:rPr>
          <w:rFonts w:ascii="Times New Roman" w:hAnsi="Times New Roman" w:cs="Times New Roman"/>
          <w:sz w:val="24"/>
          <w:szCs w:val="24"/>
        </w:rPr>
        <w:t>Sektörlerin kredi kullanımları üretim ve istihdam ilişkilerine uzun dönemli bakıldığında ise n</w:t>
      </w:r>
      <w:r w:rsidR="00C466D6" w:rsidRPr="00B03142">
        <w:rPr>
          <w:rFonts w:ascii="Times New Roman" w:hAnsi="Times New Roman" w:cs="Times New Roman"/>
          <w:sz w:val="24"/>
          <w:szCs w:val="24"/>
        </w:rPr>
        <w:t>eredeyse</w:t>
      </w:r>
      <w:r w:rsidR="00EA03A3" w:rsidRPr="00B03142">
        <w:rPr>
          <w:rFonts w:ascii="Times New Roman" w:hAnsi="Times New Roman" w:cs="Times New Roman"/>
          <w:sz w:val="24"/>
          <w:szCs w:val="24"/>
        </w:rPr>
        <w:t xml:space="preserve"> sektör</w:t>
      </w:r>
      <w:r w:rsidR="00C466D6" w:rsidRPr="00B03142">
        <w:rPr>
          <w:rFonts w:ascii="Times New Roman" w:hAnsi="Times New Roman" w:cs="Times New Roman"/>
          <w:sz w:val="24"/>
          <w:szCs w:val="24"/>
        </w:rPr>
        <w:t>lerin hiçbirinde</w:t>
      </w:r>
      <w:r w:rsidR="00EA03A3" w:rsidRPr="00B03142">
        <w:rPr>
          <w:rFonts w:ascii="Times New Roman" w:hAnsi="Times New Roman" w:cs="Times New Roman"/>
          <w:sz w:val="24"/>
          <w:szCs w:val="24"/>
        </w:rPr>
        <w:t xml:space="preserve"> kredilerdeki reel değişiklik ile bu değişiklik olduktan</w:t>
      </w:r>
      <w:r w:rsidR="006E7CF0" w:rsidRPr="00B03142">
        <w:rPr>
          <w:rFonts w:ascii="Times New Roman" w:hAnsi="Times New Roman" w:cs="Times New Roman"/>
          <w:sz w:val="24"/>
          <w:szCs w:val="24"/>
        </w:rPr>
        <w:t xml:space="preserve"> sonraki dönem</w:t>
      </w:r>
      <w:r w:rsidR="00C466D6" w:rsidRPr="00B03142">
        <w:rPr>
          <w:rFonts w:ascii="Times New Roman" w:hAnsi="Times New Roman" w:cs="Times New Roman"/>
          <w:sz w:val="24"/>
          <w:szCs w:val="24"/>
        </w:rPr>
        <w:t>lerde</w:t>
      </w:r>
      <w:r w:rsidR="00263EA0" w:rsidRPr="00B03142">
        <w:rPr>
          <w:rFonts w:ascii="Times New Roman" w:hAnsi="Times New Roman" w:cs="Times New Roman"/>
          <w:sz w:val="24"/>
          <w:szCs w:val="24"/>
        </w:rPr>
        <w:t>ki</w:t>
      </w:r>
      <w:r w:rsidR="006E7CF0" w:rsidRPr="00B03142">
        <w:rPr>
          <w:rFonts w:ascii="Times New Roman" w:hAnsi="Times New Roman" w:cs="Times New Roman"/>
          <w:sz w:val="24"/>
          <w:szCs w:val="24"/>
        </w:rPr>
        <w:t xml:space="preserve"> büyüme ve istihdam </w:t>
      </w:r>
      <w:r w:rsidR="00C466D6" w:rsidRPr="00B03142">
        <w:rPr>
          <w:rFonts w:ascii="Times New Roman" w:hAnsi="Times New Roman" w:cs="Times New Roman"/>
          <w:sz w:val="24"/>
          <w:szCs w:val="24"/>
        </w:rPr>
        <w:t>değişimleri</w:t>
      </w:r>
      <w:r w:rsidR="00263EA0" w:rsidRPr="00B03142">
        <w:rPr>
          <w:rFonts w:ascii="Times New Roman" w:hAnsi="Times New Roman" w:cs="Times New Roman"/>
          <w:sz w:val="24"/>
          <w:szCs w:val="24"/>
        </w:rPr>
        <w:t>yle</w:t>
      </w:r>
      <w:r w:rsidR="006E7CF0" w:rsidRPr="00B03142">
        <w:rPr>
          <w:rFonts w:ascii="Times New Roman" w:hAnsi="Times New Roman" w:cs="Times New Roman"/>
          <w:sz w:val="24"/>
          <w:szCs w:val="24"/>
        </w:rPr>
        <w:t xml:space="preserve"> istati</w:t>
      </w:r>
      <w:r w:rsidR="00035838">
        <w:rPr>
          <w:rFonts w:ascii="Times New Roman" w:hAnsi="Times New Roman" w:cs="Times New Roman"/>
          <w:sz w:val="24"/>
          <w:szCs w:val="24"/>
        </w:rPr>
        <w:t>sti</w:t>
      </w:r>
      <w:r w:rsidR="006E7CF0" w:rsidRPr="00B03142">
        <w:rPr>
          <w:rFonts w:ascii="Times New Roman" w:hAnsi="Times New Roman" w:cs="Times New Roman"/>
          <w:sz w:val="24"/>
          <w:szCs w:val="24"/>
        </w:rPr>
        <w:t xml:space="preserve">ksel olarak anlamlı bir </w:t>
      </w:r>
      <w:r w:rsidRPr="00B03142">
        <w:rPr>
          <w:rFonts w:ascii="Times New Roman" w:hAnsi="Times New Roman" w:cs="Times New Roman"/>
          <w:sz w:val="24"/>
          <w:szCs w:val="24"/>
        </w:rPr>
        <w:t>ilişki gözlenmemiştir</w:t>
      </w:r>
      <w:r w:rsidR="006E7CF0" w:rsidRPr="00B03142">
        <w:rPr>
          <w:rFonts w:ascii="Times New Roman" w:hAnsi="Times New Roman" w:cs="Times New Roman"/>
          <w:sz w:val="24"/>
          <w:szCs w:val="24"/>
        </w:rPr>
        <w:t>. Anlamlı bulunan korelasyonlar ya bir</w:t>
      </w:r>
      <w:r w:rsidR="00DE5E8A">
        <w:rPr>
          <w:rFonts w:ascii="Times New Roman" w:hAnsi="Times New Roman" w:cs="Times New Roman"/>
          <w:sz w:val="24"/>
          <w:szCs w:val="24"/>
        </w:rPr>
        <w:t xml:space="preserve"> ve/veya iki</w:t>
      </w:r>
      <w:r w:rsidR="006E7CF0" w:rsidRPr="00B03142">
        <w:rPr>
          <w:rFonts w:ascii="Times New Roman" w:hAnsi="Times New Roman" w:cs="Times New Roman"/>
          <w:sz w:val="24"/>
          <w:szCs w:val="24"/>
        </w:rPr>
        <w:t xml:space="preserve"> önceki dönem ya da cari dönem istihdam değişimi ve büyümesiyle </w:t>
      </w:r>
      <w:r w:rsidR="00C466D6" w:rsidRPr="00B03142">
        <w:rPr>
          <w:rFonts w:ascii="Times New Roman" w:hAnsi="Times New Roman" w:cs="Times New Roman"/>
          <w:sz w:val="24"/>
          <w:szCs w:val="24"/>
        </w:rPr>
        <w:t>mevcuttur</w:t>
      </w:r>
      <w:r w:rsidR="006E7CF0" w:rsidRPr="00B03142">
        <w:rPr>
          <w:rFonts w:ascii="Times New Roman" w:hAnsi="Times New Roman" w:cs="Times New Roman"/>
          <w:sz w:val="24"/>
          <w:szCs w:val="24"/>
        </w:rPr>
        <w:t>.</w:t>
      </w:r>
      <w:r w:rsidR="006E7CF0" w:rsidRPr="00B03142">
        <w:rPr>
          <w:rFonts w:ascii="Times New Roman" w:hAnsi="Times New Roman" w:cs="Times New Roman"/>
          <w:bCs/>
          <w:sz w:val="24"/>
          <w:szCs w:val="24"/>
        </w:rPr>
        <w:t xml:space="preserve"> </w:t>
      </w:r>
      <w:r w:rsidRPr="00B03142">
        <w:rPr>
          <w:rFonts w:ascii="Times New Roman" w:hAnsi="Times New Roman" w:cs="Times New Roman"/>
          <w:bCs/>
          <w:sz w:val="24"/>
          <w:szCs w:val="24"/>
        </w:rPr>
        <w:t>A</w:t>
      </w:r>
      <w:r w:rsidR="00C466D6" w:rsidRPr="00B03142">
        <w:rPr>
          <w:rFonts w:ascii="Times New Roman" w:hAnsi="Times New Roman" w:cs="Times New Roman"/>
          <w:bCs/>
          <w:sz w:val="24"/>
          <w:szCs w:val="24"/>
        </w:rPr>
        <w:t xml:space="preserve">nlamlı bulunan </w:t>
      </w:r>
      <w:r w:rsidRPr="00B03142">
        <w:rPr>
          <w:rFonts w:ascii="Times New Roman" w:hAnsi="Times New Roman" w:cs="Times New Roman"/>
          <w:bCs/>
          <w:sz w:val="24"/>
          <w:szCs w:val="24"/>
        </w:rPr>
        <w:t xml:space="preserve">bu </w:t>
      </w:r>
      <w:r w:rsidR="00C466D6" w:rsidRPr="00B03142">
        <w:rPr>
          <w:rFonts w:ascii="Times New Roman" w:hAnsi="Times New Roman" w:cs="Times New Roman"/>
          <w:bCs/>
          <w:sz w:val="24"/>
          <w:szCs w:val="24"/>
        </w:rPr>
        <w:t xml:space="preserve">korelasyonlar da </w:t>
      </w:r>
      <w:r w:rsidRPr="00B03142">
        <w:rPr>
          <w:rFonts w:ascii="Times New Roman" w:hAnsi="Times New Roman" w:cs="Times New Roman"/>
          <w:bCs/>
          <w:sz w:val="24"/>
          <w:szCs w:val="24"/>
        </w:rPr>
        <w:t>yüksek olmayan seviyelerde ve</w:t>
      </w:r>
      <w:r w:rsidR="00C466D6" w:rsidRPr="00B03142">
        <w:rPr>
          <w:rFonts w:ascii="Times New Roman" w:hAnsi="Times New Roman" w:cs="Times New Roman"/>
          <w:bCs/>
          <w:sz w:val="24"/>
          <w:szCs w:val="24"/>
        </w:rPr>
        <w:t xml:space="preserve"> az sayıda sektörde gözlenmiştir. </w:t>
      </w:r>
      <w:r w:rsidR="00BB0590" w:rsidRPr="00B03142">
        <w:rPr>
          <w:rFonts w:ascii="Times New Roman" w:hAnsi="Times New Roman" w:cs="Times New Roman"/>
          <w:bCs/>
          <w:sz w:val="24"/>
          <w:szCs w:val="24"/>
        </w:rPr>
        <w:t>Sektörler</w:t>
      </w:r>
      <w:r w:rsidR="00C466D6" w:rsidRPr="00B03142">
        <w:rPr>
          <w:rFonts w:ascii="Times New Roman" w:hAnsi="Times New Roman" w:cs="Times New Roman"/>
          <w:bCs/>
          <w:sz w:val="24"/>
          <w:szCs w:val="24"/>
        </w:rPr>
        <w:t>deki</w:t>
      </w:r>
      <w:r w:rsidR="00BB0590" w:rsidRPr="00B03142">
        <w:rPr>
          <w:rFonts w:ascii="Times New Roman" w:hAnsi="Times New Roman" w:cs="Times New Roman"/>
          <w:bCs/>
          <w:sz w:val="24"/>
          <w:szCs w:val="24"/>
        </w:rPr>
        <w:t xml:space="preserve"> kredi artışları bir önceki dönem ya da cari dönem reel büyüklüklerin</w:t>
      </w:r>
      <w:r w:rsidRPr="00B03142">
        <w:rPr>
          <w:rFonts w:ascii="Times New Roman" w:hAnsi="Times New Roman" w:cs="Times New Roman"/>
          <w:bCs/>
          <w:sz w:val="24"/>
          <w:szCs w:val="24"/>
        </w:rPr>
        <w:t xml:space="preserve"> </w:t>
      </w:r>
      <w:r w:rsidR="00BB0590" w:rsidRPr="00B03142">
        <w:rPr>
          <w:rFonts w:ascii="Times New Roman" w:hAnsi="Times New Roman" w:cs="Times New Roman"/>
          <w:bCs/>
          <w:sz w:val="24"/>
          <w:szCs w:val="24"/>
        </w:rPr>
        <w:t>değişimiyle ilişkilendirilirken bir sonraki dönem büyü</w:t>
      </w:r>
      <w:r w:rsidR="00557DCA">
        <w:rPr>
          <w:rFonts w:ascii="Times New Roman" w:hAnsi="Times New Roman" w:cs="Times New Roman"/>
          <w:bCs/>
          <w:sz w:val="24"/>
          <w:szCs w:val="24"/>
        </w:rPr>
        <w:t>klüklerle ilişkilendirilememesi,</w:t>
      </w:r>
      <w:r w:rsidR="00BB0590" w:rsidRPr="00B03142">
        <w:rPr>
          <w:rFonts w:ascii="Times New Roman" w:hAnsi="Times New Roman" w:cs="Times New Roman"/>
          <w:bCs/>
          <w:sz w:val="24"/>
          <w:szCs w:val="24"/>
        </w:rPr>
        <w:t xml:space="preserve"> </w:t>
      </w:r>
      <w:r w:rsidR="00557DCA">
        <w:rPr>
          <w:rFonts w:ascii="Times New Roman" w:hAnsi="Times New Roman" w:cs="Times New Roman"/>
          <w:bCs/>
          <w:sz w:val="24"/>
          <w:szCs w:val="24"/>
        </w:rPr>
        <w:t xml:space="preserve">yerel bankalarca </w:t>
      </w:r>
      <w:r w:rsidR="00BB0590" w:rsidRPr="00B03142">
        <w:rPr>
          <w:rFonts w:ascii="Times New Roman" w:hAnsi="Times New Roman" w:cs="Times New Roman"/>
          <w:bCs/>
          <w:sz w:val="24"/>
          <w:szCs w:val="24"/>
        </w:rPr>
        <w:t>firmalara tahsis edilen kredilerin kısa vadede sektörlere reel katkı sunarken uzun dönemli reel katkılarının kısıtlı olabileceğini düşündürmektedir.</w:t>
      </w:r>
      <w:r w:rsidR="00C466D6" w:rsidRPr="00B03142">
        <w:rPr>
          <w:rFonts w:ascii="Times New Roman" w:hAnsi="Times New Roman" w:cs="Times New Roman"/>
          <w:bCs/>
          <w:sz w:val="24"/>
          <w:szCs w:val="24"/>
        </w:rPr>
        <w:t xml:space="preserve"> </w:t>
      </w:r>
    </w:p>
    <w:p w14:paraId="17A79513" w14:textId="7232DCA9" w:rsidR="007E64EA" w:rsidRPr="00B03142" w:rsidRDefault="00263EA0" w:rsidP="00A70EAB">
      <w:pPr>
        <w:spacing w:after="0" w:line="276" w:lineRule="auto"/>
        <w:ind w:firstLine="432"/>
        <w:jc w:val="both"/>
        <w:rPr>
          <w:rFonts w:ascii="Times New Roman" w:hAnsi="Times New Roman" w:cs="Times New Roman"/>
          <w:bCs/>
          <w:sz w:val="24"/>
          <w:szCs w:val="24"/>
        </w:rPr>
      </w:pPr>
      <w:r w:rsidRPr="00B03142">
        <w:rPr>
          <w:rFonts w:ascii="Times New Roman" w:hAnsi="Times New Roman" w:cs="Times New Roman"/>
          <w:bCs/>
          <w:sz w:val="24"/>
          <w:szCs w:val="24"/>
        </w:rPr>
        <w:t>K</w:t>
      </w:r>
      <w:r w:rsidR="00CC6FE0" w:rsidRPr="00B03142">
        <w:rPr>
          <w:rFonts w:ascii="Times New Roman" w:hAnsi="Times New Roman" w:cs="Times New Roman"/>
          <w:bCs/>
          <w:sz w:val="24"/>
          <w:szCs w:val="24"/>
        </w:rPr>
        <w:t>redi</w:t>
      </w:r>
      <w:r w:rsidRPr="00B03142">
        <w:rPr>
          <w:rFonts w:ascii="Times New Roman" w:hAnsi="Times New Roman" w:cs="Times New Roman"/>
          <w:bCs/>
          <w:sz w:val="24"/>
          <w:szCs w:val="24"/>
        </w:rPr>
        <w:t xml:space="preserve"> tahisinin ekonominin üretim ve istihdam açısından yapısal dönüşümüyle bir ilişkisinin olup olmadığını tartışmak için </w:t>
      </w:r>
      <w:r w:rsidR="00557DCA">
        <w:rPr>
          <w:rFonts w:ascii="Times New Roman" w:hAnsi="Times New Roman" w:cs="Times New Roman"/>
          <w:bCs/>
          <w:sz w:val="24"/>
          <w:szCs w:val="24"/>
        </w:rPr>
        <w:t xml:space="preserve">ise </w:t>
      </w:r>
      <w:r w:rsidRPr="00B03142">
        <w:rPr>
          <w:rFonts w:ascii="Times New Roman" w:hAnsi="Times New Roman" w:cs="Times New Roman"/>
          <w:bCs/>
          <w:sz w:val="24"/>
          <w:szCs w:val="24"/>
        </w:rPr>
        <w:t xml:space="preserve">sektörlerin toplam özel sektör kredileri içindeki payları ile üretim ve istihdam paylarının ilişkisine bakıldığında </w:t>
      </w:r>
      <w:r w:rsidR="00557DCA">
        <w:rPr>
          <w:rFonts w:ascii="Times New Roman" w:hAnsi="Times New Roman" w:cs="Times New Roman"/>
          <w:bCs/>
          <w:sz w:val="24"/>
          <w:szCs w:val="24"/>
        </w:rPr>
        <w:t>kredilerin özellikle EGS, İNŞ ve FİGM sektörleri aracılığıyla ekonominin üretim ve istihdam paylarına etkisi olabileceği düşünülmektedir. Bunun için nedensel bir analize ihtiyaç vardır. Ayrıca İMA sektöründe kredilerin sektörün üretim ve istihdam</w:t>
      </w:r>
      <w:r w:rsidR="001D301A">
        <w:rPr>
          <w:rFonts w:ascii="Times New Roman" w:hAnsi="Times New Roman" w:cs="Times New Roman"/>
          <w:bCs/>
          <w:sz w:val="24"/>
          <w:szCs w:val="24"/>
        </w:rPr>
        <w:t>ıy</w:t>
      </w:r>
      <w:r w:rsidR="00557DCA">
        <w:rPr>
          <w:rFonts w:ascii="Times New Roman" w:hAnsi="Times New Roman" w:cs="Times New Roman"/>
          <w:bCs/>
          <w:sz w:val="24"/>
          <w:szCs w:val="24"/>
        </w:rPr>
        <w:t xml:space="preserve">la ilişkisi sektörde yerel bankalarca tahsis edilen krediler </w:t>
      </w:r>
      <w:r w:rsidR="00035838">
        <w:rPr>
          <w:rFonts w:ascii="Times New Roman" w:hAnsi="Times New Roman" w:cs="Times New Roman"/>
          <w:bCs/>
          <w:sz w:val="24"/>
          <w:szCs w:val="24"/>
        </w:rPr>
        <w:t>ile birlikte (belki daha fazla)</w:t>
      </w:r>
      <w:r w:rsidR="00557DCA">
        <w:rPr>
          <w:rFonts w:ascii="Times New Roman" w:hAnsi="Times New Roman" w:cs="Times New Roman"/>
          <w:bCs/>
          <w:sz w:val="24"/>
          <w:szCs w:val="24"/>
        </w:rPr>
        <w:t xml:space="preserve"> yurtdışından yabancı para kredi kullanımının reel göstergelere etkisinin olabileceğini düşündürmüştür. Bu nedenle sektör bazında krediler ve reel göstergeler ilişkisini inceleyecek nedensel bir çalışmada sektörlerin yurtdışı yabancı para borçlanmalarının da dikkate alınması </w:t>
      </w:r>
      <w:r w:rsidR="001D301A">
        <w:rPr>
          <w:rFonts w:ascii="Times New Roman" w:hAnsi="Times New Roman" w:cs="Times New Roman"/>
          <w:bCs/>
          <w:sz w:val="24"/>
          <w:szCs w:val="24"/>
        </w:rPr>
        <w:t>gereklidir</w:t>
      </w:r>
      <w:r w:rsidR="00557DCA">
        <w:rPr>
          <w:rFonts w:ascii="Times New Roman" w:hAnsi="Times New Roman" w:cs="Times New Roman"/>
          <w:bCs/>
          <w:sz w:val="24"/>
          <w:szCs w:val="24"/>
        </w:rPr>
        <w:t xml:space="preserve">. </w:t>
      </w:r>
    </w:p>
    <w:p w14:paraId="09A2C55B" w14:textId="62095F08" w:rsidR="00CC6FE0" w:rsidRPr="00B03142" w:rsidRDefault="00CC6FE0" w:rsidP="009C0090">
      <w:pPr>
        <w:spacing w:line="276" w:lineRule="auto"/>
        <w:ind w:firstLine="432"/>
        <w:jc w:val="both"/>
        <w:rPr>
          <w:rFonts w:ascii="Times New Roman" w:hAnsi="Times New Roman" w:cs="Times New Roman"/>
          <w:bCs/>
          <w:sz w:val="24"/>
          <w:szCs w:val="24"/>
        </w:rPr>
      </w:pPr>
    </w:p>
    <w:p w14:paraId="15738758" w14:textId="77777777" w:rsidR="00AF063E" w:rsidRPr="00B03142" w:rsidRDefault="00AF063E">
      <w:pPr>
        <w:rPr>
          <w:rFonts w:ascii="Times New Roman" w:eastAsiaTheme="majorEastAsia" w:hAnsi="Times New Roman" w:cs="Times New Roman"/>
          <w:b/>
          <w:sz w:val="24"/>
          <w:szCs w:val="24"/>
        </w:rPr>
      </w:pPr>
      <w:r w:rsidRPr="00B03142">
        <w:rPr>
          <w:rFonts w:cs="Times New Roman"/>
          <w:szCs w:val="24"/>
        </w:rPr>
        <w:br w:type="page"/>
      </w:r>
    </w:p>
    <w:p w14:paraId="12447D8C" w14:textId="31D6B892" w:rsidR="00681498" w:rsidRPr="00B03142" w:rsidRDefault="00B341C7" w:rsidP="008D0759">
      <w:pPr>
        <w:pStyle w:val="Heading1"/>
        <w:numPr>
          <w:ilvl w:val="0"/>
          <w:numId w:val="0"/>
        </w:numPr>
        <w:spacing w:after="240" w:line="276" w:lineRule="auto"/>
        <w:ind w:left="432" w:hanging="432"/>
        <w:rPr>
          <w:rFonts w:cs="Times New Roman"/>
          <w:szCs w:val="24"/>
        </w:rPr>
      </w:pPr>
      <w:r w:rsidRPr="00B03142">
        <w:rPr>
          <w:rFonts w:cs="Times New Roman"/>
          <w:szCs w:val="24"/>
        </w:rPr>
        <w:lastRenderedPageBreak/>
        <w:t>Kaynaklar</w:t>
      </w:r>
    </w:p>
    <w:p w14:paraId="198A804F" w14:textId="49BA9BC4" w:rsidR="00BC08DA" w:rsidRPr="00B03142" w:rsidRDefault="00BC08DA" w:rsidP="008D0759">
      <w:pPr>
        <w:spacing w:line="276" w:lineRule="auto"/>
        <w:jc w:val="both"/>
        <w:rPr>
          <w:rFonts w:ascii="Times New Roman" w:hAnsi="Times New Roman" w:cs="Times New Roman"/>
          <w:sz w:val="24"/>
          <w:szCs w:val="24"/>
          <w:shd w:val="clear" w:color="auto" w:fill="FFFFFF"/>
        </w:rPr>
      </w:pPr>
      <w:r w:rsidRPr="00C80C5B">
        <w:rPr>
          <w:rFonts w:ascii="Times New Roman" w:hAnsi="Times New Roman" w:cs="Times New Roman"/>
          <w:sz w:val="24"/>
          <w:szCs w:val="24"/>
          <w:shd w:val="clear" w:color="auto" w:fill="FFFFFF"/>
        </w:rPr>
        <w:t>Acemoğlu, D., &amp; Üçer, M. (2023). Türkiye’de Yüksek ve Düşük Kaliteli Büyüme: Sebepler ve Sonuçlar</w:t>
      </w:r>
      <w:r w:rsidR="00F4422D" w:rsidRPr="00C80C5B">
        <w:rPr>
          <w:rFonts w:ascii="Times New Roman" w:hAnsi="Times New Roman" w:cs="Times New Roman"/>
          <w:sz w:val="24"/>
          <w:szCs w:val="24"/>
          <w:shd w:val="clear" w:color="auto" w:fill="FFFFFF"/>
        </w:rPr>
        <w:t>. Akat, A. S., &amp; Gürsel, S. (Ed.)</w:t>
      </w:r>
      <w:r w:rsidR="001335A0" w:rsidRPr="00C80C5B">
        <w:rPr>
          <w:rFonts w:ascii="Times New Roman" w:hAnsi="Times New Roman" w:cs="Times New Roman"/>
          <w:sz w:val="24"/>
          <w:szCs w:val="24"/>
          <w:shd w:val="clear" w:color="auto" w:fill="FFFFFF"/>
        </w:rPr>
        <w:t>.</w:t>
      </w:r>
      <w:r w:rsidR="00F4422D" w:rsidRPr="00C80C5B">
        <w:rPr>
          <w:rFonts w:ascii="Times New Roman" w:hAnsi="Times New Roman" w:cs="Times New Roman"/>
          <w:sz w:val="24"/>
          <w:szCs w:val="24"/>
          <w:shd w:val="clear" w:color="auto" w:fill="FFFFFF"/>
        </w:rPr>
        <w:t xml:space="preserve"> </w:t>
      </w:r>
      <w:r w:rsidR="00F4422D" w:rsidRPr="00C80C5B">
        <w:rPr>
          <w:rFonts w:ascii="Times New Roman" w:hAnsi="Times New Roman" w:cs="Times New Roman"/>
          <w:i/>
          <w:sz w:val="24"/>
          <w:szCs w:val="24"/>
          <w:shd w:val="clear" w:color="auto" w:fill="FFFFFF"/>
        </w:rPr>
        <w:t>Çıkmaz Yol Dünden Yarına Türkiye Ekonomisi</w:t>
      </w:r>
      <w:r w:rsidR="001335A0" w:rsidRPr="00C80C5B">
        <w:rPr>
          <w:rFonts w:ascii="Times New Roman" w:hAnsi="Times New Roman" w:cs="Times New Roman"/>
          <w:sz w:val="24"/>
          <w:szCs w:val="24"/>
          <w:shd w:val="clear" w:color="auto" w:fill="FFFFFF"/>
        </w:rPr>
        <w:t xml:space="preserve"> i</w:t>
      </w:r>
      <w:r w:rsidR="00F4422D" w:rsidRPr="00C80C5B">
        <w:rPr>
          <w:rFonts w:ascii="Times New Roman" w:hAnsi="Times New Roman" w:cs="Times New Roman"/>
          <w:sz w:val="24"/>
          <w:szCs w:val="24"/>
          <w:shd w:val="clear" w:color="auto" w:fill="FFFFFF"/>
        </w:rPr>
        <w:t>çinde (71-98), İstanbul Bilgi Üniversitesi Yayınları</w:t>
      </w:r>
    </w:p>
    <w:p w14:paraId="6090E60E" w14:textId="566270B4" w:rsidR="001D5970" w:rsidRPr="00B03142" w:rsidRDefault="001D5970" w:rsidP="008D0759">
      <w:pPr>
        <w:spacing w:line="276" w:lineRule="auto"/>
        <w:jc w:val="both"/>
        <w:rPr>
          <w:rFonts w:ascii="Times New Roman" w:hAnsi="Times New Roman" w:cs="Times New Roman"/>
          <w:sz w:val="24"/>
          <w:szCs w:val="24"/>
          <w:shd w:val="clear" w:color="auto" w:fill="FFFFFF"/>
        </w:rPr>
      </w:pPr>
      <w:r w:rsidRPr="00B03142">
        <w:rPr>
          <w:rFonts w:ascii="Times New Roman" w:hAnsi="Times New Roman" w:cs="Times New Roman"/>
          <w:sz w:val="24"/>
          <w:szCs w:val="24"/>
          <w:shd w:val="clear" w:color="auto" w:fill="FFFFFF"/>
        </w:rPr>
        <w:t>Akçiğit, U., Seven, Ü., Yarba, I., &amp; Yilmaz, F. (2021). </w:t>
      </w:r>
      <w:r w:rsidRPr="003F2879">
        <w:rPr>
          <w:rFonts w:ascii="Times New Roman" w:hAnsi="Times New Roman" w:cs="Times New Roman"/>
          <w:i/>
          <w:iCs/>
          <w:sz w:val="24"/>
          <w:szCs w:val="24"/>
          <w:shd w:val="clear" w:color="auto" w:fill="FFFFFF"/>
        </w:rPr>
        <w:t>Firm-level impact of credit guarantees: Evidence from Turkish credit guarantee fund</w:t>
      </w:r>
      <w:r w:rsidRPr="00B03142">
        <w:rPr>
          <w:rFonts w:ascii="Times New Roman" w:hAnsi="Times New Roman" w:cs="Times New Roman"/>
          <w:sz w:val="24"/>
          <w:szCs w:val="24"/>
          <w:shd w:val="clear" w:color="auto" w:fill="FFFFFF"/>
        </w:rPr>
        <w:t xml:space="preserve"> (No. 21/10). TCMB, Working Paper. </w:t>
      </w:r>
    </w:p>
    <w:p w14:paraId="57EE42BF" w14:textId="0FFA520E" w:rsidR="002D754A" w:rsidRPr="00B03142" w:rsidRDefault="001D5970" w:rsidP="008D0759">
      <w:pPr>
        <w:spacing w:line="276" w:lineRule="auto"/>
        <w:jc w:val="both"/>
        <w:rPr>
          <w:rFonts w:ascii="Times New Roman" w:hAnsi="Times New Roman" w:cs="Times New Roman"/>
          <w:sz w:val="24"/>
          <w:szCs w:val="24"/>
          <w:shd w:val="clear" w:color="auto" w:fill="FFFFFF"/>
        </w:rPr>
      </w:pPr>
      <w:r w:rsidRPr="00B03142">
        <w:rPr>
          <w:rFonts w:ascii="Times New Roman" w:hAnsi="Times New Roman" w:cs="Times New Roman"/>
          <w:sz w:val="24"/>
          <w:szCs w:val="24"/>
          <w:shd w:val="clear" w:color="auto" w:fill="FFFFFF"/>
        </w:rPr>
        <w:t>Bahadir, B., &amp; Gumus, I. (2016). Credit decomposition and business cycles in emerging market economies. </w:t>
      </w:r>
      <w:r w:rsidRPr="00B03142">
        <w:rPr>
          <w:rFonts w:ascii="Times New Roman" w:hAnsi="Times New Roman" w:cs="Times New Roman"/>
          <w:i/>
          <w:iCs/>
          <w:sz w:val="24"/>
          <w:szCs w:val="24"/>
          <w:shd w:val="clear" w:color="auto" w:fill="FFFFFF"/>
        </w:rPr>
        <w:t>Journal of International Economics</w:t>
      </w:r>
      <w:r w:rsidRPr="00B03142">
        <w:rPr>
          <w:rFonts w:ascii="Times New Roman" w:hAnsi="Times New Roman" w:cs="Times New Roman"/>
          <w:sz w:val="24"/>
          <w:szCs w:val="24"/>
          <w:shd w:val="clear" w:color="auto" w:fill="FFFFFF"/>
        </w:rPr>
        <w:t>, </w:t>
      </w:r>
      <w:r w:rsidRPr="00B03142">
        <w:rPr>
          <w:rFonts w:ascii="Times New Roman" w:hAnsi="Times New Roman" w:cs="Times New Roman"/>
          <w:i/>
          <w:iCs/>
          <w:sz w:val="24"/>
          <w:szCs w:val="24"/>
          <w:shd w:val="clear" w:color="auto" w:fill="FFFFFF"/>
        </w:rPr>
        <w:t>103</w:t>
      </w:r>
      <w:r w:rsidRPr="00B03142">
        <w:rPr>
          <w:rFonts w:ascii="Times New Roman" w:hAnsi="Times New Roman" w:cs="Times New Roman"/>
          <w:sz w:val="24"/>
          <w:szCs w:val="24"/>
          <w:shd w:val="clear" w:color="auto" w:fill="FFFFFF"/>
        </w:rPr>
        <w:t>, 250-262.</w:t>
      </w:r>
    </w:p>
    <w:p w14:paraId="509F19FD" w14:textId="54BDC3CF" w:rsidR="006E03A1" w:rsidRPr="00B03142" w:rsidRDefault="001D5970" w:rsidP="008D0759">
      <w:pPr>
        <w:spacing w:line="276" w:lineRule="auto"/>
        <w:jc w:val="both"/>
        <w:rPr>
          <w:rFonts w:ascii="Times New Roman" w:hAnsi="Times New Roman" w:cs="Times New Roman"/>
          <w:sz w:val="24"/>
          <w:szCs w:val="24"/>
          <w:shd w:val="clear" w:color="auto" w:fill="FFFFFF"/>
        </w:rPr>
      </w:pPr>
      <w:r w:rsidRPr="00B03142">
        <w:rPr>
          <w:rFonts w:ascii="Times New Roman" w:hAnsi="Times New Roman" w:cs="Times New Roman"/>
          <w:sz w:val="24"/>
          <w:szCs w:val="24"/>
          <w:shd w:val="clear" w:color="auto" w:fill="FFFFFF"/>
        </w:rPr>
        <w:t>Bağır, Y. K., &amp; Seven, Ü. (2022). Access to finance and productivity growth: the role of own and suppliers’ financial constraints. </w:t>
      </w:r>
      <w:r w:rsidRPr="00B03142">
        <w:rPr>
          <w:rFonts w:ascii="Times New Roman" w:hAnsi="Times New Roman" w:cs="Times New Roman"/>
          <w:i/>
          <w:iCs/>
          <w:sz w:val="24"/>
          <w:szCs w:val="24"/>
          <w:shd w:val="clear" w:color="auto" w:fill="FFFFFF"/>
        </w:rPr>
        <w:t>Empirical Economics</w:t>
      </w:r>
      <w:r w:rsidRPr="00B03142">
        <w:rPr>
          <w:rFonts w:ascii="Times New Roman" w:hAnsi="Times New Roman" w:cs="Times New Roman"/>
          <w:sz w:val="24"/>
          <w:szCs w:val="24"/>
          <w:shd w:val="clear" w:color="auto" w:fill="FFFFFF"/>
        </w:rPr>
        <w:t>, </w:t>
      </w:r>
      <w:r w:rsidRPr="00B03142">
        <w:rPr>
          <w:rFonts w:ascii="Times New Roman" w:hAnsi="Times New Roman" w:cs="Times New Roman"/>
          <w:i/>
          <w:iCs/>
          <w:sz w:val="24"/>
          <w:szCs w:val="24"/>
          <w:shd w:val="clear" w:color="auto" w:fill="FFFFFF"/>
        </w:rPr>
        <w:t>63</w:t>
      </w:r>
      <w:r w:rsidRPr="00B03142">
        <w:rPr>
          <w:rFonts w:ascii="Times New Roman" w:hAnsi="Times New Roman" w:cs="Times New Roman"/>
          <w:sz w:val="24"/>
          <w:szCs w:val="24"/>
          <w:shd w:val="clear" w:color="auto" w:fill="FFFFFF"/>
        </w:rPr>
        <w:t>(6), 3095-3119.</w:t>
      </w:r>
    </w:p>
    <w:p w14:paraId="1A034269" w14:textId="65B3E87E" w:rsidR="008218BB" w:rsidRPr="00B03142" w:rsidRDefault="001D5970" w:rsidP="008D0759">
      <w:pPr>
        <w:spacing w:line="276" w:lineRule="auto"/>
        <w:jc w:val="both"/>
        <w:rPr>
          <w:rFonts w:ascii="Times New Roman" w:hAnsi="Times New Roman" w:cs="Times New Roman"/>
          <w:sz w:val="24"/>
          <w:szCs w:val="24"/>
          <w:shd w:val="clear" w:color="auto" w:fill="FFFFFF"/>
        </w:rPr>
      </w:pPr>
      <w:r w:rsidRPr="00B03142">
        <w:rPr>
          <w:rFonts w:ascii="Times New Roman" w:hAnsi="Times New Roman" w:cs="Times New Roman"/>
          <w:sz w:val="24"/>
          <w:szCs w:val="24"/>
          <w:shd w:val="clear" w:color="auto" w:fill="FFFFFF"/>
        </w:rPr>
        <w:t>Bakış, O., &amp; Acar, U. (2020). </w:t>
      </w:r>
      <w:r w:rsidRPr="00B03142">
        <w:rPr>
          <w:rFonts w:ascii="Times New Roman" w:hAnsi="Times New Roman" w:cs="Times New Roman"/>
          <w:i/>
          <w:iCs/>
          <w:sz w:val="24"/>
          <w:szCs w:val="24"/>
          <w:shd w:val="clear" w:color="auto" w:fill="FFFFFF"/>
        </w:rPr>
        <w:t>Türkiye ekonomisinde toplam faktör verimliliğinin seyri: sektörel bakış, 1980-2018</w:t>
      </w:r>
      <w:r w:rsidRPr="00B03142">
        <w:rPr>
          <w:rFonts w:ascii="Times New Roman" w:hAnsi="Times New Roman" w:cs="Times New Roman"/>
          <w:sz w:val="24"/>
          <w:szCs w:val="24"/>
          <w:shd w:val="clear" w:color="auto" w:fill="FFFFFF"/>
        </w:rPr>
        <w:t> (No. 19). Betam Working Paper Series.</w:t>
      </w:r>
    </w:p>
    <w:p w14:paraId="41958B53" w14:textId="5A5C8C24" w:rsidR="002D4020" w:rsidRPr="00B03142" w:rsidRDefault="00816DAD" w:rsidP="008D0759">
      <w:pPr>
        <w:spacing w:line="276" w:lineRule="auto"/>
        <w:jc w:val="both"/>
        <w:rPr>
          <w:rFonts w:ascii="Times New Roman" w:hAnsi="Times New Roman" w:cs="Times New Roman"/>
          <w:sz w:val="24"/>
          <w:szCs w:val="24"/>
          <w:shd w:val="clear" w:color="auto" w:fill="FFFFFF"/>
        </w:rPr>
      </w:pPr>
      <w:r w:rsidRPr="00B03142">
        <w:rPr>
          <w:rFonts w:ascii="Times New Roman" w:hAnsi="Times New Roman" w:cs="Times New Roman"/>
          <w:sz w:val="24"/>
          <w:szCs w:val="24"/>
          <w:shd w:val="clear" w:color="auto" w:fill="FFFFFF"/>
        </w:rPr>
        <w:t>Beck, T., Büyükkarabacak, B., Rioja, F. K., &amp; Valev, N. T. (2012). Who gets the credit? And does it matter? Household vs. firm lending across countries. </w:t>
      </w:r>
      <w:r w:rsidRPr="00B03142">
        <w:rPr>
          <w:rFonts w:ascii="Times New Roman" w:hAnsi="Times New Roman" w:cs="Times New Roman"/>
          <w:i/>
          <w:iCs/>
          <w:sz w:val="24"/>
          <w:szCs w:val="24"/>
          <w:shd w:val="clear" w:color="auto" w:fill="FFFFFF"/>
        </w:rPr>
        <w:t>The BE Journal of Macroeconomics</w:t>
      </w:r>
      <w:r w:rsidRPr="00B03142">
        <w:rPr>
          <w:rFonts w:ascii="Times New Roman" w:hAnsi="Times New Roman" w:cs="Times New Roman"/>
          <w:sz w:val="24"/>
          <w:szCs w:val="24"/>
          <w:shd w:val="clear" w:color="auto" w:fill="FFFFFF"/>
        </w:rPr>
        <w:t>, </w:t>
      </w:r>
      <w:r w:rsidRPr="00B03142">
        <w:rPr>
          <w:rFonts w:ascii="Times New Roman" w:hAnsi="Times New Roman" w:cs="Times New Roman"/>
          <w:i/>
          <w:iCs/>
          <w:sz w:val="24"/>
          <w:szCs w:val="24"/>
          <w:shd w:val="clear" w:color="auto" w:fill="FFFFFF"/>
        </w:rPr>
        <w:t>12</w:t>
      </w:r>
      <w:r w:rsidR="00995EA4" w:rsidRPr="00B03142">
        <w:rPr>
          <w:rFonts w:ascii="Times New Roman" w:hAnsi="Times New Roman" w:cs="Times New Roman"/>
          <w:sz w:val="24"/>
          <w:szCs w:val="24"/>
          <w:shd w:val="clear" w:color="auto" w:fill="FFFFFF"/>
        </w:rPr>
        <w:t xml:space="preserve">(1) </w:t>
      </w:r>
      <w:r w:rsidR="00995EA4" w:rsidRPr="00B03142">
        <w:rPr>
          <w:rFonts w:ascii="Times New Roman" w:hAnsi="Times New Roman" w:cs="Times New Roman"/>
          <w:sz w:val="24"/>
          <w:szCs w:val="24"/>
        </w:rPr>
        <w:t>(Contributions), Article 2.</w:t>
      </w:r>
      <w:r w:rsidRPr="00B03142">
        <w:rPr>
          <w:rFonts w:ascii="Times New Roman" w:hAnsi="Times New Roman" w:cs="Times New Roman"/>
          <w:sz w:val="24"/>
          <w:szCs w:val="24"/>
          <w:shd w:val="clear" w:color="auto" w:fill="FFFFFF"/>
        </w:rPr>
        <w:t xml:space="preserve"> </w:t>
      </w:r>
    </w:p>
    <w:p w14:paraId="20D4D10D" w14:textId="2B036790" w:rsidR="00816DAD" w:rsidRPr="00B03142" w:rsidRDefault="00816DAD" w:rsidP="008D0759">
      <w:pPr>
        <w:spacing w:line="276" w:lineRule="auto"/>
        <w:jc w:val="both"/>
        <w:rPr>
          <w:rFonts w:ascii="Times New Roman" w:hAnsi="Times New Roman" w:cs="Times New Roman"/>
          <w:sz w:val="24"/>
          <w:szCs w:val="24"/>
          <w:shd w:val="clear" w:color="auto" w:fill="FFFFFF"/>
        </w:rPr>
      </w:pPr>
      <w:r w:rsidRPr="00B03142">
        <w:rPr>
          <w:rFonts w:ascii="Times New Roman" w:hAnsi="Times New Roman" w:cs="Times New Roman"/>
          <w:sz w:val="24"/>
          <w:szCs w:val="24"/>
          <w:shd w:val="clear" w:color="auto" w:fill="FFFFFF"/>
        </w:rPr>
        <w:t>Borio, C. E., Kharroubi, E., Upper, C., &amp; Zampolli, F. (2016). Labour reallocation and productivity dynamics: financial causes, real consequences. BIS Working Paper No. 534.</w:t>
      </w:r>
    </w:p>
    <w:p w14:paraId="6AEB8ED9" w14:textId="4F7A07D4" w:rsidR="001837ED" w:rsidRPr="00B03142" w:rsidRDefault="001837ED" w:rsidP="008D0759">
      <w:pPr>
        <w:spacing w:line="276" w:lineRule="auto"/>
        <w:jc w:val="both"/>
        <w:rPr>
          <w:rFonts w:ascii="Times New Roman" w:hAnsi="Times New Roman" w:cs="Times New Roman"/>
          <w:sz w:val="24"/>
          <w:szCs w:val="24"/>
          <w:shd w:val="clear" w:color="auto" w:fill="FFFFFF"/>
        </w:rPr>
      </w:pPr>
      <w:r w:rsidRPr="00B03142">
        <w:rPr>
          <w:rFonts w:ascii="Times New Roman" w:hAnsi="Times New Roman" w:cs="Times New Roman"/>
          <w:sz w:val="24"/>
          <w:szCs w:val="24"/>
          <w:shd w:val="clear" w:color="auto" w:fill="FFFFFF"/>
        </w:rPr>
        <w:t>BIS</w:t>
      </w:r>
      <w:r w:rsidR="00816DAD" w:rsidRPr="00B03142">
        <w:rPr>
          <w:rFonts w:ascii="Times New Roman" w:hAnsi="Times New Roman" w:cs="Times New Roman"/>
          <w:sz w:val="24"/>
          <w:szCs w:val="24"/>
          <w:shd w:val="clear" w:color="auto" w:fill="FFFFFF"/>
        </w:rPr>
        <w:t xml:space="preserve"> (</w:t>
      </w:r>
      <w:r w:rsidRPr="00B03142">
        <w:rPr>
          <w:rFonts w:ascii="Times New Roman" w:hAnsi="Times New Roman" w:cs="Times New Roman"/>
          <w:sz w:val="24"/>
          <w:szCs w:val="24"/>
          <w:shd w:val="clear" w:color="auto" w:fill="FFFFFF"/>
        </w:rPr>
        <w:t>2022</w:t>
      </w:r>
      <w:r w:rsidR="00816DAD" w:rsidRPr="00B03142">
        <w:rPr>
          <w:rFonts w:ascii="Times New Roman" w:hAnsi="Times New Roman" w:cs="Times New Roman"/>
          <w:sz w:val="24"/>
          <w:szCs w:val="24"/>
          <w:shd w:val="clear" w:color="auto" w:fill="FFFFFF"/>
        </w:rPr>
        <w:t>)</w:t>
      </w:r>
      <w:r w:rsidRPr="00B03142">
        <w:rPr>
          <w:rFonts w:ascii="Times New Roman" w:hAnsi="Times New Roman" w:cs="Times New Roman"/>
          <w:sz w:val="24"/>
          <w:szCs w:val="24"/>
          <w:shd w:val="clear" w:color="auto" w:fill="FFFFFF"/>
        </w:rPr>
        <w:t xml:space="preserve">. </w:t>
      </w:r>
      <w:r w:rsidRPr="00B03142">
        <w:rPr>
          <w:rFonts w:ascii="Times New Roman" w:hAnsi="Times New Roman" w:cs="Times New Roman"/>
          <w:sz w:val="24"/>
          <w:szCs w:val="24"/>
        </w:rPr>
        <w:t>Long series on total credit and domestic bank credit to the private nonfinancial sector, (</w:t>
      </w:r>
      <w:hyperlink r:id="rId26" w:history="1">
        <w:r w:rsidRPr="00B03142">
          <w:rPr>
            <w:rStyle w:val="Hyperlink"/>
            <w:rFonts w:ascii="Times New Roman" w:hAnsi="Times New Roman" w:cs="Times New Roman"/>
            <w:color w:val="auto"/>
            <w:sz w:val="24"/>
            <w:szCs w:val="24"/>
          </w:rPr>
          <w:t>https://www.bis.org/statistics/totcredit/credpriv_doc.pdf</w:t>
        </w:r>
      </w:hyperlink>
      <w:r w:rsidRPr="00B03142">
        <w:rPr>
          <w:rFonts w:ascii="Times New Roman" w:hAnsi="Times New Roman" w:cs="Times New Roman"/>
          <w:sz w:val="24"/>
          <w:szCs w:val="24"/>
        </w:rPr>
        <w:t>, son erişim tarihi: 20/11/2022)</w:t>
      </w:r>
    </w:p>
    <w:p w14:paraId="731EA753" w14:textId="226776C8" w:rsidR="00455493" w:rsidRPr="00B03142" w:rsidRDefault="00816DAD" w:rsidP="008D0759">
      <w:pPr>
        <w:spacing w:line="276" w:lineRule="auto"/>
        <w:jc w:val="both"/>
        <w:rPr>
          <w:rFonts w:ascii="Times New Roman" w:hAnsi="Times New Roman" w:cs="Times New Roman"/>
          <w:sz w:val="24"/>
          <w:szCs w:val="24"/>
          <w:shd w:val="clear" w:color="auto" w:fill="FFFFFF"/>
        </w:rPr>
      </w:pPr>
      <w:r w:rsidRPr="00B03142">
        <w:rPr>
          <w:rFonts w:ascii="Times New Roman" w:hAnsi="Times New Roman" w:cs="Times New Roman"/>
          <w:sz w:val="24"/>
          <w:szCs w:val="24"/>
          <w:shd w:val="clear" w:color="auto" w:fill="FFFFFF"/>
        </w:rPr>
        <w:t>Colak, M. S., Guney, I. E., Senol, A., &amp; Yilmaz, M. H. (2019). </w:t>
      </w:r>
      <w:r w:rsidRPr="00B03142">
        <w:rPr>
          <w:rFonts w:ascii="Times New Roman" w:hAnsi="Times New Roman" w:cs="Times New Roman"/>
          <w:i/>
          <w:iCs/>
          <w:sz w:val="24"/>
          <w:szCs w:val="24"/>
          <w:shd w:val="clear" w:color="auto" w:fill="FFFFFF"/>
        </w:rPr>
        <w:t>Monitoring and forecasting cyclical dynamics in bank credits: Evidence from Turkish banking sector</w:t>
      </w:r>
      <w:r w:rsidR="003F2879">
        <w:rPr>
          <w:rFonts w:ascii="Times New Roman" w:hAnsi="Times New Roman" w:cs="Times New Roman"/>
          <w:sz w:val="24"/>
          <w:szCs w:val="24"/>
          <w:shd w:val="clear" w:color="auto" w:fill="FFFFFF"/>
        </w:rPr>
        <w:t>, Çalışma Tebliği No. 1929, Araştırma ve Para Politikası Departmanı, TCMB</w:t>
      </w:r>
      <w:r w:rsidRPr="00B03142">
        <w:rPr>
          <w:rFonts w:ascii="Times New Roman" w:hAnsi="Times New Roman" w:cs="Times New Roman"/>
          <w:sz w:val="24"/>
          <w:szCs w:val="24"/>
          <w:shd w:val="clear" w:color="auto" w:fill="FFFFFF"/>
        </w:rPr>
        <w:t>.</w:t>
      </w:r>
    </w:p>
    <w:p w14:paraId="0685057A" w14:textId="2E17CA80" w:rsidR="008D0002" w:rsidRDefault="008D0002" w:rsidP="008D0759">
      <w:pPr>
        <w:spacing w:line="276" w:lineRule="auto"/>
        <w:jc w:val="both"/>
        <w:rPr>
          <w:rFonts w:ascii="Times New Roman" w:hAnsi="Times New Roman" w:cs="Times New Roman"/>
          <w:sz w:val="24"/>
          <w:szCs w:val="24"/>
          <w:highlight w:val="yellow"/>
          <w:shd w:val="clear" w:color="auto" w:fill="FFFFFF"/>
        </w:rPr>
      </w:pPr>
      <w:r w:rsidRPr="008D0002">
        <w:rPr>
          <w:rFonts w:ascii="Times New Roman" w:hAnsi="Times New Roman" w:cs="Times New Roman"/>
          <w:sz w:val="24"/>
          <w:szCs w:val="24"/>
          <w:shd w:val="clear" w:color="auto" w:fill="FFFFFF"/>
        </w:rPr>
        <w:t xml:space="preserve">Dell'Ariccia, M. G., Ebrahimy, M. E., Igan, M. D. O., &amp; Puy, M. D. (2020). </w:t>
      </w:r>
      <w:r w:rsidRPr="00D459AB">
        <w:rPr>
          <w:rFonts w:ascii="Times New Roman" w:hAnsi="Times New Roman" w:cs="Times New Roman"/>
          <w:i/>
          <w:sz w:val="24"/>
          <w:szCs w:val="24"/>
          <w:shd w:val="clear" w:color="auto" w:fill="FFFFFF"/>
        </w:rPr>
        <w:t>Discerning good from bad credit booms: The role of construction.</w:t>
      </w:r>
      <w:r w:rsidRPr="008D0002">
        <w:rPr>
          <w:rFonts w:ascii="Times New Roman" w:hAnsi="Times New Roman" w:cs="Times New Roman"/>
          <w:sz w:val="24"/>
          <w:szCs w:val="24"/>
          <w:shd w:val="clear" w:color="auto" w:fill="FFFFFF"/>
        </w:rPr>
        <w:t xml:space="preserve"> IMF Staff Discussion Notes 2020/002, International Monetary Fund.</w:t>
      </w:r>
    </w:p>
    <w:p w14:paraId="6BA57DAD" w14:textId="175A959B" w:rsidR="008B0AE4" w:rsidRPr="00B03142" w:rsidRDefault="00AB420C" w:rsidP="008D0759">
      <w:pPr>
        <w:spacing w:line="276" w:lineRule="auto"/>
        <w:jc w:val="both"/>
        <w:rPr>
          <w:rFonts w:ascii="Times New Roman" w:hAnsi="Times New Roman" w:cs="Times New Roman"/>
          <w:sz w:val="24"/>
          <w:szCs w:val="24"/>
          <w:shd w:val="clear" w:color="auto" w:fill="FFFFFF"/>
        </w:rPr>
      </w:pPr>
      <w:r w:rsidRPr="00B03142">
        <w:rPr>
          <w:rFonts w:ascii="Times New Roman" w:hAnsi="Times New Roman" w:cs="Times New Roman"/>
          <w:sz w:val="24"/>
          <w:szCs w:val="24"/>
          <w:shd w:val="clear" w:color="auto" w:fill="FFFFFF"/>
        </w:rPr>
        <w:t>Demirhan, A. A., &amp; Aldan, A. (2021). Financial constraints and firm employment: Evidence from Turkey. </w:t>
      </w:r>
      <w:r w:rsidRPr="00B03142">
        <w:rPr>
          <w:rFonts w:ascii="Times New Roman" w:hAnsi="Times New Roman" w:cs="Times New Roman"/>
          <w:i/>
          <w:iCs/>
          <w:sz w:val="24"/>
          <w:szCs w:val="24"/>
          <w:shd w:val="clear" w:color="auto" w:fill="FFFFFF"/>
        </w:rPr>
        <w:t>Borsa Istanbul Review</w:t>
      </w:r>
      <w:r w:rsidRPr="00B03142">
        <w:rPr>
          <w:rFonts w:ascii="Times New Roman" w:hAnsi="Times New Roman" w:cs="Times New Roman"/>
          <w:sz w:val="24"/>
          <w:szCs w:val="24"/>
          <w:shd w:val="clear" w:color="auto" w:fill="FFFFFF"/>
        </w:rPr>
        <w:t>, </w:t>
      </w:r>
      <w:r w:rsidRPr="00B03142">
        <w:rPr>
          <w:rFonts w:ascii="Times New Roman" w:hAnsi="Times New Roman" w:cs="Times New Roman"/>
          <w:i/>
          <w:iCs/>
          <w:sz w:val="24"/>
          <w:szCs w:val="24"/>
          <w:shd w:val="clear" w:color="auto" w:fill="FFFFFF"/>
        </w:rPr>
        <w:t>21</w:t>
      </w:r>
      <w:r w:rsidRPr="00B03142">
        <w:rPr>
          <w:rFonts w:ascii="Times New Roman" w:hAnsi="Times New Roman" w:cs="Times New Roman"/>
          <w:sz w:val="24"/>
          <w:szCs w:val="24"/>
          <w:shd w:val="clear" w:color="auto" w:fill="FFFFFF"/>
        </w:rPr>
        <w:t>(1), 69-79.</w:t>
      </w:r>
    </w:p>
    <w:p w14:paraId="4370CDEF" w14:textId="5ABB4BA2" w:rsidR="002D4020" w:rsidRPr="00B03142" w:rsidRDefault="00AB420C" w:rsidP="008D0759">
      <w:pPr>
        <w:spacing w:line="276" w:lineRule="auto"/>
        <w:jc w:val="both"/>
        <w:rPr>
          <w:rFonts w:ascii="Times New Roman" w:hAnsi="Times New Roman" w:cs="Times New Roman"/>
          <w:sz w:val="24"/>
          <w:szCs w:val="24"/>
          <w:shd w:val="clear" w:color="auto" w:fill="FFFFFF"/>
        </w:rPr>
      </w:pPr>
      <w:r w:rsidRPr="00B03142">
        <w:rPr>
          <w:rFonts w:ascii="Times New Roman" w:hAnsi="Times New Roman" w:cs="Times New Roman"/>
          <w:sz w:val="24"/>
          <w:szCs w:val="24"/>
          <w:shd w:val="clear" w:color="auto" w:fill="FFFFFF"/>
        </w:rPr>
        <w:t>Gorton, G., &amp; Ordonez, G. (2020). Good booms, bad booms. </w:t>
      </w:r>
      <w:r w:rsidRPr="00B03142">
        <w:rPr>
          <w:rFonts w:ascii="Times New Roman" w:hAnsi="Times New Roman" w:cs="Times New Roman"/>
          <w:i/>
          <w:iCs/>
          <w:sz w:val="24"/>
          <w:szCs w:val="24"/>
          <w:shd w:val="clear" w:color="auto" w:fill="FFFFFF"/>
        </w:rPr>
        <w:t>Journal of the European Economic Association</w:t>
      </w:r>
      <w:r w:rsidRPr="00B03142">
        <w:rPr>
          <w:rFonts w:ascii="Times New Roman" w:hAnsi="Times New Roman" w:cs="Times New Roman"/>
          <w:sz w:val="24"/>
          <w:szCs w:val="24"/>
          <w:shd w:val="clear" w:color="auto" w:fill="FFFFFF"/>
        </w:rPr>
        <w:t>, </w:t>
      </w:r>
      <w:r w:rsidRPr="00B03142">
        <w:rPr>
          <w:rFonts w:ascii="Times New Roman" w:hAnsi="Times New Roman" w:cs="Times New Roman"/>
          <w:i/>
          <w:iCs/>
          <w:sz w:val="24"/>
          <w:szCs w:val="24"/>
          <w:shd w:val="clear" w:color="auto" w:fill="FFFFFF"/>
        </w:rPr>
        <w:t>18</w:t>
      </w:r>
      <w:r w:rsidRPr="00B03142">
        <w:rPr>
          <w:rFonts w:ascii="Times New Roman" w:hAnsi="Times New Roman" w:cs="Times New Roman"/>
          <w:sz w:val="24"/>
          <w:szCs w:val="24"/>
          <w:shd w:val="clear" w:color="auto" w:fill="FFFFFF"/>
        </w:rPr>
        <w:t>(2), 618-665.</w:t>
      </w:r>
    </w:p>
    <w:p w14:paraId="5A1805B1" w14:textId="506956D0" w:rsidR="00A635A8" w:rsidRPr="00B03142" w:rsidRDefault="00383819" w:rsidP="008D0759">
      <w:pPr>
        <w:spacing w:line="276" w:lineRule="auto"/>
        <w:jc w:val="both"/>
        <w:rPr>
          <w:rFonts w:ascii="Times New Roman" w:hAnsi="Times New Roman" w:cs="Times New Roman"/>
          <w:sz w:val="24"/>
          <w:szCs w:val="24"/>
          <w:shd w:val="clear" w:color="auto" w:fill="FFFFFF"/>
        </w:rPr>
      </w:pPr>
      <w:r w:rsidRPr="00B03142">
        <w:rPr>
          <w:rFonts w:ascii="Times New Roman" w:hAnsi="Times New Roman" w:cs="Times New Roman"/>
          <w:sz w:val="24"/>
          <w:szCs w:val="24"/>
          <w:shd w:val="clear" w:color="auto" w:fill="FFFFFF"/>
        </w:rPr>
        <w:t>Kara, H. (2016). A brief assessment of Turkey's macroprudential policy approach: 2011–2015. </w:t>
      </w:r>
      <w:r w:rsidRPr="00B03142">
        <w:rPr>
          <w:rFonts w:ascii="Times New Roman" w:hAnsi="Times New Roman" w:cs="Times New Roman"/>
          <w:i/>
          <w:iCs/>
          <w:sz w:val="24"/>
          <w:szCs w:val="24"/>
          <w:shd w:val="clear" w:color="auto" w:fill="FFFFFF"/>
        </w:rPr>
        <w:t>Central Bank Review</w:t>
      </w:r>
      <w:r w:rsidRPr="00B03142">
        <w:rPr>
          <w:rFonts w:ascii="Times New Roman" w:hAnsi="Times New Roman" w:cs="Times New Roman"/>
          <w:sz w:val="24"/>
          <w:szCs w:val="24"/>
          <w:shd w:val="clear" w:color="auto" w:fill="FFFFFF"/>
        </w:rPr>
        <w:t>, </w:t>
      </w:r>
      <w:r w:rsidRPr="00B03142">
        <w:rPr>
          <w:rFonts w:ascii="Times New Roman" w:hAnsi="Times New Roman" w:cs="Times New Roman"/>
          <w:i/>
          <w:iCs/>
          <w:sz w:val="24"/>
          <w:szCs w:val="24"/>
          <w:shd w:val="clear" w:color="auto" w:fill="FFFFFF"/>
        </w:rPr>
        <w:t>16</w:t>
      </w:r>
      <w:r w:rsidRPr="00B03142">
        <w:rPr>
          <w:rFonts w:ascii="Times New Roman" w:hAnsi="Times New Roman" w:cs="Times New Roman"/>
          <w:sz w:val="24"/>
          <w:szCs w:val="24"/>
          <w:shd w:val="clear" w:color="auto" w:fill="FFFFFF"/>
        </w:rPr>
        <w:t>(3), 85-92.</w:t>
      </w:r>
    </w:p>
    <w:p w14:paraId="2884C56B" w14:textId="702DC4E6" w:rsidR="00A635A8" w:rsidRPr="00B03142" w:rsidRDefault="00383819" w:rsidP="008D0759">
      <w:pPr>
        <w:spacing w:line="276" w:lineRule="auto"/>
        <w:jc w:val="both"/>
        <w:rPr>
          <w:rFonts w:ascii="Times New Roman" w:hAnsi="Times New Roman" w:cs="Times New Roman"/>
          <w:sz w:val="24"/>
          <w:szCs w:val="24"/>
          <w:shd w:val="clear" w:color="auto" w:fill="FFFFFF"/>
        </w:rPr>
      </w:pPr>
      <w:r w:rsidRPr="00B03142">
        <w:rPr>
          <w:rFonts w:ascii="Times New Roman" w:hAnsi="Times New Roman" w:cs="Times New Roman"/>
          <w:sz w:val="24"/>
          <w:szCs w:val="24"/>
          <w:shd w:val="clear" w:color="auto" w:fill="FFFFFF"/>
        </w:rPr>
        <w:t>Kara, H., Küçük, H., Tiryaki, S. T., &amp; Yüksel, C. (2014). In search of a reasonable credit growth rate for Turkey. </w:t>
      </w:r>
      <w:r w:rsidRPr="00B03142">
        <w:rPr>
          <w:rFonts w:ascii="Times New Roman" w:hAnsi="Times New Roman" w:cs="Times New Roman"/>
          <w:i/>
          <w:iCs/>
          <w:sz w:val="24"/>
          <w:szCs w:val="24"/>
          <w:shd w:val="clear" w:color="auto" w:fill="FFFFFF"/>
        </w:rPr>
        <w:t>Central Bank Review</w:t>
      </w:r>
      <w:r w:rsidRPr="00B03142">
        <w:rPr>
          <w:rFonts w:ascii="Times New Roman" w:hAnsi="Times New Roman" w:cs="Times New Roman"/>
          <w:sz w:val="24"/>
          <w:szCs w:val="24"/>
          <w:shd w:val="clear" w:color="auto" w:fill="FFFFFF"/>
        </w:rPr>
        <w:t>, </w:t>
      </w:r>
      <w:r w:rsidRPr="00B03142">
        <w:rPr>
          <w:rFonts w:ascii="Times New Roman" w:hAnsi="Times New Roman" w:cs="Times New Roman"/>
          <w:i/>
          <w:iCs/>
          <w:sz w:val="24"/>
          <w:szCs w:val="24"/>
          <w:shd w:val="clear" w:color="auto" w:fill="FFFFFF"/>
        </w:rPr>
        <w:t>14</w:t>
      </w:r>
      <w:r w:rsidRPr="00B03142">
        <w:rPr>
          <w:rFonts w:ascii="Times New Roman" w:hAnsi="Times New Roman" w:cs="Times New Roman"/>
          <w:sz w:val="24"/>
          <w:szCs w:val="24"/>
          <w:shd w:val="clear" w:color="auto" w:fill="FFFFFF"/>
        </w:rPr>
        <w:t>(1), 1.</w:t>
      </w:r>
    </w:p>
    <w:p w14:paraId="7BD5DE26" w14:textId="3AD05707" w:rsidR="007D3AEF" w:rsidRPr="00B03142" w:rsidRDefault="007D3AEF" w:rsidP="00383819">
      <w:pPr>
        <w:autoSpaceDE w:val="0"/>
        <w:autoSpaceDN w:val="0"/>
        <w:adjustRightInd w:val="0"/>
        <w:spacing w:after="0" w:line="240" w:lineRule="auto"/>
        <w:rPr>
          <w:rFonts w:ascii="Times New Roman" w:hAnsi="Times New Roman" w:cs="Times New Roman"/>
          <w:sz w:val="24"/>
          <w:szCs w:val="24"/>
        </w:rPr>
      </w:pPr>
      <w:r w:rsidRPr="00B03142">
        <w:rPr>
          <w:rFonts w:ascii="Times New Roman" w:hAnsi="Times New Roman" w:cs="Times New Roman"/>
          <w:sz w:val="24"/>
          <w:szCs w:val="24"/>
          <w:shd w:val="clear" w:color="auto" w:fill="FFFFFF"/>
        </w:rPr>
        <w:lastRenderedPageBreak/>
        <w:t>Kara, H.</w:t>
      </w:r>
      <w:r w:rsidR="00383819" w:rsidRPr="00B03142">
        <w:rPr>
          <w:rFonts w:ascii="Times New Roman" w:hAnsi="Times New Roman" w:cs="Times New Roman"/>
          <w:sz w:val="24"/>
          <w:szCs w:val="24"/>
          <w:shd w:val="clear" w:color="auto" w:fill="FFFFFF"/>
        </w:rPr>
        <w:t xml:space="preserve"> (</w:t>
      </w:r>
      <w:r w:rsidRPr="00B03142">
        <w:rPr>
          <w:rFonts w:ascii="Times New Roman" w:hAnsi="Times New Roman" w:cs="Times New Roman"/>
          <w:sz w:val="24"/>
          <w:szCs w:val="24"/>
          <w:shd w:val="clear" w:color="auto" w:fill="FFFFFF"/>
        </w:rPr>
        <w:t>2021</w:t>
      </w:r>
      <w:r w:rsidR="00383819" w:rsidRPr="00B03142">
        <w:rPr>
          <w:rFonts w:ascii="Times New Roman" w:hAnsi="Times New Roman" w:cs="Times New Roman"/>
          <w:sz w:val="24"/>
          <w:szCs w:val="24"/>
          <w:shd w:val="clear" w:color="auto" w:fill="FFFFFF"/>
        </w:rPr>
        <w:t>)</w:t>
      </w:r>
      <w:r w:rsidRPr="00B03142">
        <w:rPr>
          <w:rFonts w:ascii="Times New Roman" w:hAnsi="Times New Roman" w:cs="Times New Roman"/>
          <w:sz w:val="24"/>
          <w:szCs w:val="24"/>
          <w:shd w:val="clear" w:color="auto" w:fill="FFFFFF"/>
        </w:rPr>
        <w:t>. Monetary policy in the Covid era: The Turkish experience. </w:t>
      </w:r>
      <w:r w:rsidR="00383819" w:rsidRPr="00B03142">
        <w:rPr>
          <w:rFonts w:ascii="Times New Roman" w:hAnsi="Times New Roman" w:cs="Times New Roman"/>
          <w:sz w:val="24"/>
          <w:szCs w:val="24"/>
          <w:shd w:val="clear" w:color="auto" w:fill="FFFFFF"/>
        </w:rPr>
        <w:t xml:space="preserve">In </w:t>
      </w:r>
      <w:r w:rsidRPr="00B03142">
        <w:rPr>
          <w:rFonts w:ascii="Times New Roman" w:hAnsi="Times New Roman" w:cs="Times New Roman"/>
          <w:i/>
          <w:iCs/>
          <w:sz w:val="24"/>
          <w:szCs w:val="24"/>
          <w:shd w:val="clear" w:color="auto" w:fill="FFFFFF"/>
        </w:rPr>
        <w:t>Monetary Policy and Central Banking in the Covid Era</w:t>
      </w:r>
      <w:r w:rsidR="00383819" w:rsidRPr="00B03142">
        <w:rPr>
          <w:rFonts w:ascii="Times New Roman" w:hAnsi="Times New Roman" w:cs="Times New Roman"/>
          <w:sz w:val="24"/>
          <w:szCs w:val="24"/>
          <w:shd w:val="clear" w:color="auto" w:fill="FFFFFF"/>
        </w:rPr>
        <w:t xml:space="preserve">, </w:t>
      </w:r>
      <w:r w:rsidR="00383819" w:rsidRPr="00B03142">
        <w:rPr>
          <w:rFonts w:ascii="Times New Roman" w:hAnsi="Times New Roman" w:cs="Times New Roman"/>
          <w:sz w:val="24"/>
          <w:szCs w:val="24"/>
        </w:rPr>
        <w:t>edited by B. English, K. Forbes, and A. Ubide. CEPR Press.</w:t>
      </w:r>
    </w:p>
    <w:p w14:paraId="65A78055" w14:textId="77777777" w:rsidR="00383819" w:rsidRPr="00B03142" w:rsidRDefault="00383819" w:rsidP="00383819">
      <w:pPr>
        <w:autoSpaceDE w:val="0"/>
        <w:autoSpaceDN w:val="0"/>
        <w:adjustRightInd w:val="0"/>
        <w:spacing w:after="0" w:line="240" w:lineRule="auto"/>
        <w:rPr>
          <w:rFonts w:ascii="Times New Roman" w:hAnsi="Times New Roman" w:cs="Times New Roman"/>
          <w:sz w:val="24"/>
          <w:szCs w:val="24"/>
        </w:rPr>
      </w:pPr>
    </w:p>
    <w:p w14:paraId="69D63B14" w14:textId="24F9CF2D" w:rsidR="00423988" w:rsidRPr="00B03142" w:rsidRDefault="00B64A14" w:rsidP="008D0759">
      <w:pPr>
        <w:spacing w:line="276" w:lineRule="auto"/>
        <w:jc w:val="both"/>
        <w:rPr>
          <w:rFonts w:ascii="Times New Roman" w:hAnsi="Times New Roman" w:cs="Times New Roman"/>
          <w:sz w:val="24"/>
          <w:szCs w:val="24"/>
          <w:shd w:val="clear" w:color="auto" w:fill="FFFFFF"/>
        </w:rPr>
      </w:pPr>
      <w:r w:rsidRPr="00B03142">
        <w:rPr>
          <w:rFonts w:ascii="Times New Roman" w:hAnsi="Times New Roman" w:cs="Times New Roman"/>
          <w:sz w:val="24"/>
          <w:szCs w:val="24"/>
          <w:shd w:val="clear" w:color="auto" w:fill="FFFFFF"/>
        </w:rPr>
        <w:t>Küçük, H., Özlü, P., &amp; Yüncüler, Ç. (2022). Decomposition of bank loans and economic activity in TURKEY. </w:t>
      </w:r>
      <w:r w:rsidRPr="00B03142">
        <w:rPr>
          <w:rFonts w:ascii="Times New Roman" w:hAnsi="Times New Roman" w:cs="Times New Roman"/>
          <w:i/>
          <w:iCs/>
          <w:sz w:val="24"/>
          <w:szCs w:val="24"/>
          <w:shd w:val="clear" w:color="auto" w:fill="FFFFFF"/>
        </w:rPr>
        <w:t>Applied Economics</w:t>
      </w:r>
      <w:r w:rsidRPr="00B03142">
        <w:rPr>
          <w:rFonts w:ascii="Times New Roman" w:hAnsi="Times New Roman" w:cs="Times New Roman"/>
          <w:sz w:val="24"/>
          <w:szCs w:val="24"/>
          <w:shd w:val="clear" w:color="auto" w:fill="FFFFFF"/>
        </w:rPr>
        <w:t>, </w:t>
      </w:r>
      <w:r w:rsidRPr="00B03142">
        <w:rPr>
          <w:rFonts w:ascii="Times New Roman" w:hAnsi="Times New Roman" w:cs="Times New Roman"/>
          <w:i/>
          <w:iCs/>
          <w:sz w:val="24"/>
          <w:szCs w:val="24"/>
          <w:shd w:val="clear" w:color="auto" w:fill="FFFFFF"/>
        </w:rPr>
        <w:t>54</w:t>
      </w:r>
      <w:r w:rsidRPr="00B03142">
        <w:rPr>
          <w:rFonts w:ascii="Times New Roman" w:hAnsi="Times New Roman" w:cs="Times New Roman"/>
          <w:sz w:val="24"/>
          <w:szCs w:val="24"/>
          <w:shd w:val="clear" w:color="auto" w:fill="FFFFFF"/>
        </w:rPr>
        <w:t>(3), 249-279.</w:t>
      </w:r>
    </w:p>
    <w:p w14:paraId="425745E5" w14:textId="105E93F1" w:rsidR="00496AE9" w:rsidRPr="00B03142" w:rsidRDefault="00421EFC" w:rsidP="008D0759">
      <w:pPr>
        <w:spacing w:line="276" w:lineRule="auto"/>
        <w:jc w:val="both"/>
        <w:rPr>
          <w:rFonts w:ascii="Times New Roman" w:hAnsi="Times New Roman" w:cs="Times New Roman"/>
          <w:sz w:val="24"/>
          <w:szCs w:val="24"/>
          <w:shd w:val="clear" w:color="auto" w:fill="FFFFFF"/>
        </w:rPr>
      </w:pPr>
      <w:r w:rsidRPr="00B03142">
        <w:rPr>
          <w:rFonts w:ascii="Times New Roman" w:hAnsi="Times New Roman" w:cs="Times New Roman"/>
          <w:sz w:val="24"/>
          <w:szCs w:val="24"/>
          <w:shd w:val="clear" w:color="auto" w:fill="FFFFFF"/>
        </w:rPr>
        <w:t>Levine, M.R. (</w:t>
      </w:r>
      <w:r w:rsidR="00593E20" w:rsidRPr="00B03142">
        <w:rPr>
          <w:rFonts w:ascii="Times New Roman" w:hAnsi="Times New Roman" w:cs="Times New Roman"/>
          <w:sz w:val="24"/>
          <w:szCs w:val="24"/>
          <w:shd w:val="clear" w:color="auto" w:fill="FFFFFF"/>
        </w:rPr>
        <w:t>2021</w:t>
      </w:r>
      <w:r w:rsidRPr="00B03142">
        <w:rPr>
          <w:rFonts w:ascii="Times New Roman" w:hAnsi="Times New Roman" w:cs="Times New Roman"/>
          <w:sz w:val="24"/>
          <w:szCs w:val="24"/>
          <w:shd w:val="clear" w:color="auto" w:fill="FFFFFF"/>
        </w:rPr>
        <w:t>)</w:t>
      </w:r>
      <w:r w:rsidR="00593E20" w:rsidRPr="00B03142">
        <w:rPr>
          <w:rFonts w:ascii="Times New Roman" w:hAnsi="Times New Roman" w:cs="Times New Roman"/>
          <w:sz w:val="24"/>
          <w:szCs w:val="24"/>
          <w:shd w:val="clear" w:color="auto" w:fill="FFFFFF"/>
        </w:rPr>
        <w:t>. </w:t>
      </w:r>
      <w:r w:rsidR="00593E20" w:rsidRPr="00B03142">
        <w:rPr>
          <w:rFonts w:ascii="Times New Roman" w:hAnsi="Times New Roman" w:cs="Times New Roman"/>
          <w:i/>
          <w:sz w:val="24"/>
          <w:szCs w:val="24"/>
          <w:shd w:val="clear" w:color="auto" w:fill="FFFFFF"/>
        </w:rPr>
        <w:t>Finance, growth, and inequality</w:t>
      </w:r>
      <w:r w:rsidR="00593E20" w:rsidRPr="00B03142">
        <w:rPr>
          <w:rFonts w:ascii="Times New Roman" w:hAnsi="Times New Roman" w:cs="Times New Roman"/>
          <w:sz w:val="24"/>
          <w:szCs w:val="24"/>
          <w:shd w:val="clear" w:color="auto" w:fill="FFFFFF"/>
        </w:rPr>
        <w:t xml:space="preserve">. </w:t>
      </w:r>
      <w:r w:rsidRPr="00B03142">
        <w:rPr>
          <w:rFonts w:ascii="Times New Roman" w:hAnsi="Times New Roman" w:cs="Times New Roman"/>
          <w:iCs/>
          <w:sz w:val="24"/>
          <w:szCs w:val="24"/>
          <w:shd w:val="clear" w:color="auto" w:fill="FFFFFF"/>
        </w:rPr>
        <w:t>IMF Working Paper No.</w:t>
      </w:r>
      <w:r w:rsidRPr="00B03142">
        <w:rPr>
          <w:rFonts w:ascii="Times New Roman" w:hAnsi="Times New Roman" w:cs="Times New Roman"/>
          <w:sz w:val="24"/>
          <w:szCs w:val="24"/>
          <w:shd w:val="clear" w:color="auto" w:fill="FFFFFF"/>
        </w:rPr>
        <w:t xml:space="preserve"> 2021/164</w:t>
      </w:r>
      <w:r w:rsidR="00593E20" w:rsidRPr="00B03142">
        <w:rPr>
          <w:rFonts w:ascii="Times New Roman" w:hAnsi="Times New Roman" w:cs="Times New Roman"/>
          <w:i/>
          <w:iCs/>
          <w:sz w:val="24"/>
          <w:szCs w:val="24"/>
          <w:shd w:val="clear" w:color="auto" w:fill="FFFFFF"/>
        </w:rPr>
        <w:t>.</w:t>
      </w:r>
      <w:r w:rsidR="00D06E21" w:rsidRPr="00B03142">
        <w:rPr>
          <w:rFonts w:ascii="Times New Roman" w:hAnsi="Times New Roman" w:cs="Times New Roman"/>
          <w:i/>
          <w:iCs/>
          <w:sz w:val="24"/>
          <w:szCs w:val="24"/>
          <w:shd w:val="clear" w:color="auto" w:fill="FFFFFF"/>
        </w:rPr>
        <w:t xml:space="preserve"> </w:t>
      </w:r>
    </w:p>
    <w:p w14:paraId="286A335E" w14:textId="2FB7AF84" w:rsidR="00152AA3" w:rsidRPr="00B03142" w:rsidRDefault="009103ED" w:rsidP="008D0759">
      <w:pPr>
        <w:spacing w:line="276" w:lineRule="auto"/>
        <w:jc w:val="both"/>
        <w:rPr>
          <w:rFonts w:ascii="Times New Roman" w:hAnsi="Times New Roman" w:cs="Times New Roman"/>
          <w:sz w:val="24"/>
          <w:szCs w:val="24"/>
          <w:shd w:val="clear" w:color="auto" w:fill="FFFFFF"/>
        </w:rPr>
      </w:pPr>
      <w:r w:rsidRPr="00B03142">
        <w:rPr>
          <w:rFonts w:ascii="Times New Roman" w:hAnsi="Times New Roman" w:cs="Times New Roman"/>
          <w:sz w:val="24"/>
          <w:szCs w:val="24"/>
          <w:shd w:val="clear" w:color="auto" w:fill="FFFFFF"/>
        </w:rPr>
        <w:t>Müller, K.</w:t>
      </w:r>
      <w:r w:rsidR="00152AA3" w:rsidRPr="00B03142">
        <w:rPr>
          <w:rFonts w:ascii="Times New Roman" w:hAnsi="Times New Roman" w:cs="Times New Roman"/>
          <w:sz w:val="24"/>
          <w:szCs w:val="24"/>
          <w:shd w:val="clear" w:color="auto" w:fill="FFFFFF"/>
        </w:rPr>
        <w:t xml:space="preserve"> </w:t>
      </w:r>
      <w:r w:rsidRPr="00B03142">
        <w:rPr>
          <w:rFonts w:ascii="Times New Roman" w:hAnsi="Times New Roman" w:cs="Times New Roman"/>
          <w:sz w:val="24"/>
          <w:szCs w:val="24"/>
          <w:shd w:val="clear" w:color="auto" w:fill="FFFFFF"/>
        </w:rPr>
        <w:t>(</w:t>
      </w:r>
      <w:r w:rsidR="001D62D3" w:rsidRPr="00B03142">
        <w:rPr>
          <w:rFonts w:ascii="Times New Roman" w:hAnsi="Times New Roman" w:cs="Times New Roman"/>
          <w:sz w:val="24"/>
          <w:szCs w:val="24"/>
          <w:shd w:val="clear" w:color="auto" w:fill="FFFFFF"/>
        </w:rPr>
        <w:t>2022</w:t>
      </w:r>
      <w:r w:rsidRPr="00B03142">
        <w:rPr>
          <w:rFonts w:ascii="Times New Roman" w:hAnsi="Times New Roman" w:cs="Times New Roman"/>
          <w:sz w:val="24"/>
          <w:szCs w:val="24"/>
          <w:shd w:val="clear" w:color="auto" w:fill="FFFFFF"/>
        </w:rPr>
        <w:t>)</w:t>
      </w:r>
      <w:r w:rsidR="00152AA3" w:rsidRPr="00B03142">
        <w:rPr>
          <w:rFonts w:ascii="Times New Roman" w:hAnsi="Times New Roman" w:cs="Times New Roman"/>
          <w:sz w:val="24"/>
          <w:szCs w:val="24"/>
          <w:shd w:val="clear" w:color="auto" w:fill="FFFFFF"/>
        </w:rPr>
        <w:t>. Does the Sectoral Allocation of Credit Matter for Financial Stability Risks?.</w:t>
      </w:r>
      <w:r w:rsidR="006B1F67" w:rsidRPr="00B03142">
        <w:rPr>
          <w:rFonts w:ascii="Times New Roman" w:hAnsi="Times New Roman" w:cs="Times New Roman"/>
          <w:sz w:val="24"/>
          <w:szCs w:val="24"/>
        </w:rPr>
        <w:t xml:space="preserve"> </w:t>
      </w:r>
      <w:r w:rsidR="001D62D3" w:rsidRPr="00B03142">
        <w:rPr>
          <w:rFonts w:ascii="Times New Roman" w:hAnsi="Times New Roman" w:cs="Times New Roman"/>
          <w:sz w:val="24"/>
          <w:szCs w:val="24"/>
          <w:shd w:val="clear" w:color="auto" w:fill="FFFFFF"/>
        </w:rPr>
        <w:t>In </w:t>
      </w:r>
      <w:hyperlink r:id="rId27" w:tgtFrame="_blank" w:history="1">
        <w:r w:rsidR="001D62D3" w:rsidRPr="00B03142">
          <w:rPr>
            <w:rStyle w:val="Hyperlink"/>
            <w:rFonts w:ascii="Times New Roman" w:hAnsi="Times New Roman" w:cs="Times New Roman"/>
            <w:i/>
            <w:iCs/>
            <w:color w:val="auto"/>
            <w:sz w:val="24"/>
            <w:szCs w:val="24"/>
            <w:shd w:val="clear" w:color="auto" w:fill="FFFFFF"/>
          </w:rPr>
          <w:t>Leveraged: The New Economics of Debt and Financial Fragility</w:t>
        </w:r>
      </w:hyperlink>
      <w:r w:rsidR="001D62D3" w:rsidRPr="00B03142">
        <w:rPr>
          <w:rStyle w:val="Emphasis"/>
          <w:rFonts w:ascii="Times New Roman" w:hAnsi="Times New Roman" w:cs="Times New Roman"/>
          <w:sz w:val="24"/>
          <w:szCs w:val="24"/>
          <w:shd w:val="clear" w:color="auto" w:fill="FFFFFF"/>
        </w:rPr>
        <w:t>, </w:t>
      </w:r>
      <w:r w:rsidR="001D62D3" w:rsidRPr="00B03142">
        <w:rPr>
          <w:rFonts w:ascii="Times New Roman" w:hAnsi="Times New Roman" w:cs="Times New Roman"/>
          <w:sz w:val="24"/>
          <w:szCs w:val="24"/>
          <w:shd w:val="clear" w:color="auto" w:fill="FFFFFF"/>
        </w:rPr>
        <w:t>University of Chicago Press (Ed.: Moritz Schularick)</w:t>
      </w:r>
    </w:p>
    <w:p w14:paraId="7B831EFA" w14:textId="66E85BCF" w:rsidR="009103ED" w:rsidRPr="00B03142" w:rsidRDefault="009103ED" w:rsidP="009103ED">
      <w:pPr>
        <w:spacing w:line="276" w:lineRule="auto"/>
        <w:jc w:val="both"/>
        <w:rPr>
          <w:rFonts w:ascii="Times New Roman" w:hAnsi="Times New Roman" w:cs="Times New Roman"/>
          <w:sz w:val="24"/>
          <w:szCs w:val="24"/>
        </w:rPr>
      </w:pPr>
      <w:r w:rsidRPr="00B03142">
        <w:rPr>
          <w:rFonts w:ascii="Times New Roman" w:hAnsi="Times New Roman" w:cs="Times New Roman"/>
          <w:sz w:val="24"/>
          <w:szCs w:val="24"/>
          <w:shd w:val="clear" w:color="auto" w:fill="FFFFFF"/>
        </w:rPr>
        <w:t>Müller, K. &amp; Verner, E. (2023)</w:t>
      </w:r>
      <w:r w:rsidR="00255413" w:rsidRPr="00B03142">
        <w:rPr>
          <w:rFonts w:ascii="Times New Roman" w:hAnsi="Times New Roman" w:cs="Times New Roman"/>
          <w:sz w:val="24"/>
          <w:szCs w:val="24"/>
          <w:shd w:val="clear" w:color="auto" w:fill="FFFFFF"/>
        </w:rPr>
        <w:t>. Credit allocation and macroeconomic fluctuations. </w:t>
      </w:r>
      <w:r w:rsidRPr="00B03142">
        <w:rPr>
          <w:rFonts w:ascii="Times New Roman" w:hAnsi="Times New Roman" w:cs="Times New Roman"/>
          <w:sz w:val="24"/>
          <w:szCs w:val="24"/>
          <w:shd w:val="clear" w:color="auto" w:fill="FFFFFF"/>
        </w:rPr>
        <w:t>Working Paper, Available at SSRN:  </w:t>
      </w:r>
      <w:hyperlink r:id="rId28" w:tgtFrame="_blank" w:history="1">
        <w:r w:rsidRPr="00B03142">
          <w:rPr>
            <w:rStyle w:val="Hyperlink"/>
            <w:rFonts w:ascii="Times New Roman" w:hAnsi="Times New Roman" w:cs="Times New Roman"/>
            <w:color w:val="auto"/>
            <w:sz w:val="24"/>
            <w:szCs w:val="24"/>
            <w:shd w:val="clear" w:color="auto" w:fill="FFFFFF"/>
          </w:rPr>
          <w:t>https://ssrn.com/abstract=3781981</w:t>
        </w:r>
      </w:hyperlink>
      <w:r w:rsidRPr="00B03142">
        <w:rPr>
          <w:rFonts w:ascii="Times New Roman" w:hAnsi="Times New Roman" w:cs="Times New Roman"/>
          <w:sz w:val="24"/>
          <w:szCs w:val="24"/>
          <w:shd w:val="clear" w:color="auto" w:fill="FFFFFF"/>
        </w:rPr>
        <w:t> </w:t>
      </w:r>
      <w:r w:rsidRPr="00B03142">
        <w:rPr>
          <w:rFonts w:ascii="Times New Roman" w:hAnsi="Times New Roman" w:cs="Times New Roman"/>
          <w:sz w:val="24"/>
          <w:szCs w:val="24"/>
        </w:rPr>
        <w:t xml:space="preserve"> </w:t>
      </w:r>
    </w:p>
    <w:p w14:paraId="085C2FAF" w14:textId="23A51008" w:rsidR="00B341C7" w:rsidRDefault="00995EA4" w:rsidP="008D0759">
      <w:pPr>
        <w:spacing w:line="276" w:lineRule="auto"/>
        <w:jc w:val="both"/>
        <w:rPr>
          <w:rFonts w:ascii="Times New Roman" w:hAnsi="Times New Roman" w:cs="Times New Roman"/>
          <w:sz w:val="24"/>
          <w:szCs w:val="24"/>
          <w:shd w:val="clear" w:color="auto" w:fill="FFFFFF"/>
        </w:rPr>
      </w:pPr>
      <w:r w:rsidRPr="00B03142">
        <w:rPr>
          <w:rStyle w:val="author"/>
          <w:rFonts w:ascii="Times New Roman" w:hAnsi="Times New Roman" w:cs="Times New Roman"/>
          <w:sz w:val="24"/>
          <w:szCs w:val="24"/>
          <w:shd w:val="clear" w:color="auto" w:fill="FFFFFF"/>
        </w:rPr>
        <w:t>Philippon, T.</w:t>
      </w:r>
      <w:r w:rsidRPr="00B03142">
        <w:rPr>
          <w:rFonts w:ascii="Times New Roman" w:hAnsi="Times New Roman" w:cs="Times New Roman"/>
          <w:sz w:val="24"/>
          <w:szCs w:val="24"/>
          <w:shd w:val="clear" w:color="auto" w:fill="FFFFFF"/>
        </w:rPr>
        <w:t> (</w:t>
      </w:r>
      <w:r w:rsidRPr="00B03142">
        <w:rPr>
          <w:rStyle w:val="pubyear"/>
          <w:rFonts w:ascii="Times New Roman" w:hAnsi="Times New Roman" w:cs="Times New Roman"/>
          <w:sz w:val="24"/>
          <w:szCs w:val="24"/>
          <w:shd w:val="clear" w:color="auto" w:fill="FFFFFF"/>
        </w:rPr>
        <w:t>2016</w:t>
      </w:r>
      <w:r w:rsidRPr="00B03142">
        <w:rPr>
          <w:rFonts w:ascii="Times New Roman" w:hAnsi="Times New Roman" w:cs="Times New Roman"/>
          <w:sz w:val="24"/>
          <w:szCs w:val="24"/>
          <w:shd w:val="clear" w:color="auto" w:fill="FFFFFF"/>
        </w:rPr>
        <w:t>). </w:t>
      </w:r>
      <w:r w:rsidRPr="00B03142">
        <w:rPr>
          <w:rStyle w:val="booktitle"/>
          <w:rFonts w:ascii="Times New Roman" w:hAnsi="Times New Roman" w:cs="Times New Roman"/>
          <w:i/>
          <w:iCs/>
          <w:sz w:val="24"/>
          <w:szCs w:val="24"/>
          <w:shd w:val="clear" w:color="auto" w:fill="FFFFFF"/>
        </w:rPr>
        <w:t>Finance, productivity, and distribution</w:t>
      </w:r>
      <w:r w:rsidRPr="00B03142">
        <w:rPr>
          <w:rFonts w:ascii="Times New Roman" w:hAnsi="Times New Roman" w:cs="Times New Roman"/>
          <w:sz w:val="24"/>
          <w:szCs w:val="24"/>
          <w:shd w:val="clear" w:color="auto" w:fill="FFFFFF"/>
        </w:rPr>
        <w:t>. Brief in Global Economy and Development, Brookings.</w:t>
      </w:r>
    </w:p>
    <w:p w14:paraId="0E64CFB6" w14:textId="45BDFDF6" w:rsidR="00CC14A7" w:rsidRPr="00B03142" w:rsidRDefault="00CC14A7" w:rsidP="008D0759">
      <w:pPr>
        <w:spacing w:line="276" w:lineRule="auto"/>
        <w:jc w:val="both"/>
        <w:rPr>
          <w:rFonts w:ascii="Times New Roman" w:hAnsi="Times New Roman" w:cs="Times New Roman"/>
          <w:sz w:val="24"/>
          <w:szCs w:val="24"/>
        </w:rPr>
      </w:pPr>
      <w:r w:rsidRPr="00E96013">
        <w:rPr>
          <w:rFonts w:ascii="Times New Roman" w:hAnsi="Times New Roman" w:cs="Times New Roman"/>
          <w:sz w:val="24"/>
          <w:szCs w:val="24"/>
        </w:rPr>
        <w:t xml:space="preserve">Taşpınar, Z.T., Atiyas, İ., 2023. </w:t>
      </w:r>
      <w:r w:rsidR="006E496C" w:rsidRPr="006E496C">
        <w:rPr>
          <w:rFonts w:ascii="Times New Roman" w:hAnsi="Times New Roman" w:cs="Times New Roman"/>
          <w:sz w:val="24"/>
          <w:szCs w:val="24"/>
        </w:rPr>
        <w:t xml:space="preserve">Decomposition of Labor Productivity </w:t>
      </w:r>
      <w:r w:rsidR="006E496C">
        <w:rPr>
          <w:rFonts w:ascii="Times New Roman" w:hAnsi="Times New Roman" w:cs="Times New Roman"/>
          <w:sz w:val="24"/>
          <w:szCs w:val="24"/>
        </w:rPr>
        <w:t xml:space="preserve">Growth </w:t>
      </w:r>
      <w:r w:rsidR="006E496C" w:rsidRPr="006E496C">
        <w:rPr>
          <w:rFonts w:ascii="Times New Roman" w:hAnsi="Times New Roman" w:cs="Times New Roman"/>
          <w:sz w:val="24"/>
          <w:szCs w:val="24"/>
        </w:rPr>
        <w:t>Using Chain-Linked GDP Series: Evidence from Turkey</w:t>
      </w:r>
      <w:r w:rsidRPr="00E96013">
        <w:rPr>
          <w:rFonts w:ascii="Times New Roman" w:hAnsi="Times New Roman" w:cs="Times New Roman"/>
          <w:sz w:val="24"/>
          <w:szCs w:val="24"/>
        </w:rPr>
        <w:t>, Manuscript</w:t>
      </w:r>
    </w:p>
    <w:p w14:paraId="2B4C9F36" w14:textId="486225C4" w:rsidR="009B6E92" w:rsidRPr="00B03142" w:rsidRDefault="009B6E92" w:rsidP="008D0759">
      <w:pPr>
        <w:spacing w:line="276" w:lineRule="auto"/>
        <w:jc w:val="both"/>
        <w:rPr>
          <w:rFonts w:ascii="Times New Roman" w:hAnsi="Times New Roman" w:cs="Times New Roman"/>
          <w:sz w:val="24"/>
          <w:szCs w:val="24"/>
        </w:rPr>
      </w:pPr>
      <w:r w:rsidRPr="00B03142">
        <w:rPr>
          <w:rFonts w:ascii="Times New Roman" w:hAnsi="Times New Roman" w:cs="Times New Roman"/>
          <w:sz w:val="24"/>
          <w:szCs w:val="24"/>
        </w:rPr>
        <w:t xml:space="preserve">TCMB, 2019. </w:t>
      </w:r>
      <w:r w:rsidR="006858B8" w:rsidRPr="00B03142">
        <w:rPr>
          <w:rFonts w:ascii="Times New Roman" w:hAnsi="Times New Roman" w:cs="Times New Roman"/>
          <w:sz w:val="24"/>
          <w:szCs w:val="24"/>
        </w:rPr>
        <w:t>Finansal İstikrar Raporu - Kasım 2019, Sayı 29</w:t>
      </w:r>
      <w:r w:rsidR="00B70B3A" w:rsidRPr="00B03142">
        <w:rPr>
          <w:rFonts w:ascii="Times New Roman" w:hAnsi="Times New Roman" w:cs="Times New Roman"/>
          <w:sz w:val="24"/>
          <w:szCs w:val="24"/>
        </w:rPr>
        <w:t>,</w:t>
      </w:r>
      <w:r w:rsidR="006B1F67" w:rsidRPr="00B03142">
        <w:rPr>
          <w:rFonts w:ascii="Times New Roman" w:hAnsi="Times New Roman" w:cs="Times New Roman"/>
          <w:sz w:val="24"/>
          <w:szCs w:val="24"/>
        </w:rPr>
        <w:t xml:space="preserve"> Ankara</w:t>
      </w:r>
    </w:p>
    <w:p w14:paraId="0D3F6222" w14:textId="53A4751D" w:rsidR="00F1114B" w:rsidRPr="00B03142" w:rsidRDefault="00F1114B" w:rsidP="008D0759">
      <w:pPr>
        <w:spacing w:line="276" w:lineRule="auto"/>
        <w:rPr>
          <w:rFonts w:ascii="Times New Roman" w:hAnsi="Times New Roman" w:cs="Times New Roman"/>
          <w:sz w:val="24"/>
          <w:szCs w:val="24"/>
        </w:rPr>
      </w:pPr>
      <w:r w:rsidRPr="00B03142">
        <w:rPr>
          <w:rFonts w:ascii="Times New Roman" w:hAnsi="Times New Roman" w:cs="Times New Roman"/>
          <w:sz w:val="24"/>
          <w:szCs w:val="24"/>
        </w:rPr>
        <w:br w:type="page"/>
      </w:r>
    </w:p>
    <w:p w14:paraId="2F50A6AA" w14:textId="247DDC2E" w:rsidR="00BA0DFF" w:rsidRPr="00B03142" w:rsidRDefault="00F1114B" w:rsidP="00EE710B">
      <w:pPr>
        <w:pStyle w:val="Heading1"/>
        <w:numPr>
          <w:ilvl w:val="0"/>
          <w:numId w:val="0"/>
        </w:numPr>
        <w:spacing w:after="240" w:line="276" w:lineRule="auto"/>
      </w:pPr>
      <w:r w:rsidRPr="00B03142">
        <w:lastRenderedPageBreak/>
        <w:t>Ekler</w:t>
      </w:r>
    </w:p>
    <w:p w14:paraId="73B620F3" w14:textId="32E41D71" w:rsidR="00BA0DFF" w:rsidRPr="00B03142" w:rsidRDefault="00F1114B" w:rsidP="007B6717">
      <w:pPr>
        <w:pStyle w:val="Heading2"/>
        <w:numPr>
          <w:ilvl w:val="0"/>
          <w:numId w:val="11"/>
        </w:numPr>
        <w:spacing w:after="240" w:line="276" w:lineRule="auto"/>
        <w:ind w:left="360"/>
      </w:pPr>
      <w:r w:rsidRPr="00B03142">
        <w:t>Veri</w:t>
      </w:r>
    </w:p>
    <w:p w14:paraId="18B780A0" w14:textId="46238C11" w:rsidR="007B6717" w:rsidRPr="00B03142" w:rsidRDefault="007B6717" w:rsidP="007B3C2A">
      <w:pPr>
        <w:ind w:firstLine="360"/>
        <w:jc w:val="both"/>
        <w:rPr>
          <w:rFonts w:ascii="Times New Roman" w:hAnsi="Times New Roman" w:cs="Times New Roman"/>
          <w:sz w:val="24"/>
          <w:szCs w:val="24"/>
        </w:rPr>
      </w:pPr>
      <w:r w:rsidRPr="00B03142">
        <w:rPr>
          <w:rFonts w:ascii="Times New Roman" w:hAnsi="Times New Roman" w:cs="Times New Roman"/>
          <w:sz w:val="24"/>
          <w:szCs w:val="24"/>
        </w:rPr>
        <w:t>Bu bölümde çalışmada kullanılan kredi, üretim ve istihdam verisiyle ilgili detaylar ve verilerin sektörel toplulaştırılmasıyla ilgili bilgiler sunulmaktadır.</w:t>
      </w:r>
    </w:p>
    <w:p w14:paraId="1DF4B36F" w14:textId="385CF94E" w:rsidR="00BA0DFF" w:rsidRPr="00B03142" w:rsidRDefault="00EB2695" w:rsidP="00433029">
      <w:pPr>
        <w:pStyle w:val="Heading3"/>
        <w:numPr>
          <w:ilvl w:val="0"/>
          <w:numId w:val="0"/>
        </w:numPr>
        <w:spacing w:after="240" w:line="276" w:lineRule="auto"/>
        <w:ind w:left="720" w:hanging="360"/>
      </w:pPr>
      <w:r w:rsidRPr="00B03142">
        <w:t>A</w:t>
      </w:r>
      <w:r w:rsidR="00BA0DFF" w:rsidRPr="00B03142">
        <w:t xml:space="preserve">.1. </w:t>
      </w:r>
      <w:r w:rsidR="00E15E41" w:rsidRPr="00B03142">
        <w:t>Krediler</w:t>
      </w:r>
    </w:p>
    <w:p w14:paraId="7EBD5328" w14:textId="3CB94D74" w:rsidR="00231484" w:rsidRPr="00B03142" w:rsidRDefault="00A515BC" w:rsidP="00A515BC">
      <w:pPr>
        <w:ind w:firstLine="360"/>
        <w:jc w:val="both"/>
        <w:rPr>
          <w:rFonts w:ascii="Times New Roman" w:hAnsi="Times New Roman" w:cs="Times New Roman"/>
          <w:sz w:val="24"/>
          <w:szCs w:val="24"/>
        </w:rPr>
      </w:pPr>
      <w:r w:rsidRPr="00B03142">
        <w:rPr>
          <w:rFonts w:ascii="Times New Roman" w:hAnsi="Times New Roman" w:cs="Times New Roman"/>
          <w:sz w:val="24"/>
          <w:szCs w:val="24"/>
        </w:rPr>
        <w:t>Sektörel kredi verisi iki kaynaktan derlenmiştir. 2013 yılına kadar veriler TCMB tarafından yayınlanırken, 2013 Haziran itibariyle veriler Türkiye Bankalar Birliği</w:t>
      </w:r>
      <w:r w:rsidR="00B13D77" w:rsidRPr="00B03142">
        <w:rPr>
          <w:rFonts w:ascii="Times New Roman" w:hAnsi="Times New Roman" w:cs="Times New Roman"/>
          <w:sz w:val="24"/>
          <w:szCs w:val="24"/>
        </w:rPr>
        <w:t xml:space="preserve"> (TBB)</w:t>
      </w:r>
      <w:r w:rsidRPr="00B03142">
        <w:rPr>
          <w:rFonts w:ascii="Times New Roman" w:hAnsi="Times New Roman" w:cs="Times New Roman"/>
          <w:sz w:val="24"/>
          <w:szCs w:val="24"/>
        </w:rPr>
        <w:t xml:space="preserve"> Risk Merkezi tarafından yayınlanmaya başlamıştır. </w:t>
      </w:r>
      <w:r w:rsidR="00263DF4" w:rsidRPr="00B03142">
        <w:rPr>
          <w:rFonts w:ascii="Times New Roman" w:hAnsi="Times New Roman" w:cs="Times New Roman"/>
          <w:sz w:val="24"/>
          <w:szCs w:val="24"/>
        </w:rPr>
        <w:t>Veriler aylık olarak hazırlanmaktadır. Stok veri olması nedeniyle her yılın kredi bakiyesi için Aralık ayı verisi kullanılmıştır.</w:t>
      </w:r>
    </w:p>
    <w:p w14:paraId="7C079053" w14:textId="7EE47813" w:rsidR="00CD6D12" w:rsidRPr="00B03142" w:rsidRDefault="00FE6A69" w:rsidP="003643B9">
      <w:pPr>
        <w:pStyle w:val="ListParagraph"/>
        <w:numPr>
          <w:ilvl w:val="0"/>
          <w:numId w:val="22"/>
        </w:numPr>
        <w:jc w:val="both"/>
        <w:rPr>
          <w:rFonts w:ascii="Times New Roman" w:hAnsi="Times New Roman" w:cs="Times New Roman"/>
          <w:sz w:val="24"/>
          <w:szCs w:val="24"/>
        </w:rPr>
      </w:pPr>
      <w:r w:rsidRPr="00B03142">
        <w:rPr>
          <w:rFonts w:ascii="Times New Roman" w:hAnsi="Times New Roman" w:cs="Times New Roman"/>
          <w:sz w:val="24"/>
          <w:szCs w:val="24"/>
        </w:rPr>
        <w:t xml:space="preserve">1999 - </w:t>
      </w:r>
      <w:r w:rsidR="00A1410C" w:rsidRPr="00B03142">
        <w:rPr>
          <w:rFonts w:ascii="Times New Roman" w:hAnsi="Times New Roman" w:cs="Times New Roman"/>
          <w:sz w:val="24"/>
          <w:szCs w:val="24"/>
        </w:rPr>
        <w:t xml:space="preserve">2012 </w:t>
      </w:r>
      <w:r w:rsidRPr="00B03142">
        <w:rPr>
          <w:rFonts w:ascii="Times New Roman" w:hAnsi="Times New Roman" w:cs="Times New Roman"/>
          <w:sz w:val="24"/>
          <w:szCs w:val="24"/>
        </w:rPr>
        <w:t>dönemi</w:t>
      </w:r>
      <w:r w:rsidR="00FC1F5F" w:rsidRPr="00B03142">
        <w:rPr>
          <w:rFonts w:ascii="Times New Roman" w:hAnsi="Times New Roman" w:cs="Times New Roman"/>
          <w:sz w:val="24"/>
          <w:szCs w:val="24"/>
        </w:rPr>
        <w:t xml:space="preserve"> </w:t>
      </w:r>
      <w:r w:rsidRPr="00B03142">
        <w:rPr>
          <w:rFonts w:ascii="Times New Roman" w:hAnsi="Times New Roman" w:cs="Times New Roman"/>
          <w:sz w:val="24"/>
          <w:szCs w:val="24"/>
        </w:rPr>
        <w:t>sektör kredileri için TCMB İstatistikler-Bankacılık Verileri başlığında Türkiye Bankalar Birliği Risk Merkezine Devredilen Veriler altında bulunan “</w:t>
      </w:r>
      <w:r w:rsidRPr="00B03142">
        <w:rPr>
          <w:rFonts w:ascii="Times New Roman" w:hAnsi="Times New Roman" w:cs="Times New Roman"/>
          <w:i/>
          <w:iCs/>
          <w:sz w:val="24"/>
          <w:szCs w:val="24"/>
        </w:rPr>
        <w:t>Bankalarca Kullandırılan Kredilerin Sektörel Dağılımı</w:t>
      </w:r>
      <w:r w:rsidRPr="00B03142">
        <w:rPr>
          <w:rFonts w:ascii="Times New Roman" w:hAnsi="Times New Roman" w:cs="Times New Roman"/>
          <w:sz w:val="24"/>
          <w:szCs w:val="24"/>
        </w:rPr>
        <w:t>” Aralık ayı raporları kullanılmıştır. 2001 yılından itibaren krediler 30 sektör ve bu sektörlerin bir kısmının alt bileşenleri için sunulmaktadır.</w:t>
      </w:r>
      <w:r w:rsidR="003643B9" w:rsidRPr="00B03142">
        <w:rPr>
          <w:rFonts w:ascii="Times New Roman" w:hAnsi="Times New Roman" w:cs="Times New Roman"/>
          <w:sz w:val="24"/>
          <w:szCs w:val="24"/>
        </w:rPr>
        <w:t xml:space="preserve"> 1999 ve 2000 yıllarında 30 sektöre ek ayrıca Uluslararası Örgüt Ve Kuruluşlar sektörüne verilen krediler raporlanmıştır. </w:t>
      </w:r>
      <w:r w:rsidRPr="00B03142">
        <w:rPr>
          <w:rFonts w:ascii="Times New Roman" w:hAnsi="Times New Roman" w:cs="Times New Roman"/>
          <w:sz w:val="24"/>
          <w:szCs w:val="24"/>
        </w:rPr>
        <w:t>1999-2002 yılları için Bireysel Kredi verisi ilgili istatistiklerin altında bulunmazken, 2003 yılı itibariyle bu veri de 30 sektöre ek olarak</w:t>
      </w:r>
      <w:r w:rsidR="003643B9" w:rsidRPr="00B03142">
        <w:rPr>
          <w:rFonts w:ascii="Times New Roman" w:hAnsi="Times New Roman" w:cs="Times New Roman"/>
          <w:sz w:val="24"/>
          <w:szCs w:val="24"/>
        </w:rPr>
        <w:t xml:space="preserve"> yayınlanmıştır.</w:t>
      </w:r>
    </w:p>
    <w:p w14:paraId="42B2A42F" w14:textId="77777777" w:rsidR="003643B9" w:rsidRPr="00B03142" w:rsidRDefault="00A1410C" w:rsidP="000B1D20">
      <w:pPr>
        <w:pStyle w:val="ListParagraph"/>
        <w:numPr>
          <w:ilvl w:val="0"/>
          <w:numId w:val="22"/>
        </w:numPr>
        <w:jc w:val="both"/>
        <w:rPr>
          <w:rFonts w:ascii="Times New Roman" w:hAnsi="Times New Roman" w:cs="Times New Roman"/>
          <w:sz w:val="24"/>
          <w:szCs w:val="24"/>
        </w:rPr>
      </w:pPr>
      <w:r w:rsidRPr="00B03142">
        <w:rPr>
          <w:rFonts w:ascii="Times New Roman" w:hAnsi="Times New Roman" w:cs="Times New Roman"/>
          <w:sz w:val="24"/>
          <w:szCs w:val="24"/>
        </w:rPr>
        <w:t>2013 ve sonrası için</w:t>
      </w:r>
      <w:r w:rsidR="00B13D77" w:rsidRPr="00B03142">
        <w:rPr>
          <w:rFonts w:ascii="Times New Roman" w:hAnsi="Times New Roman" w:cs="Times New Roman"/>
          <w:sz w:val="24"/>
          <w:szCs w:val="24"/>
        </w:rPr>
        <w:t xml:space="preserve"> </w:t>
      </w:r>
      <w:r w:rsidR="00500AEA" w:rsidRPr="00B03142">
        <w:rPr>
          <w:rFonts w:ascii="Times New Roman" w:hAnsi="Times New Roman" w:cs="Times New Roman"/>
          <w:sz w:val="24"/>
          <w:szCs w:val="24"/>
        </w:rPr>
        <w:t xml:space="preserve">TBB Risk Merkezi tarafından yayınlanan </w:t>
      </w:r>
      <w:r w:rsidR="00297E71" w:rsidRPr="00B03142">
        <w:rPr>
          <w:rFonts w:ascii="Times New Roman" w:hAnsi="Times New Roman" w:cs="Times New Roman"/>
          <w:sz w:val="24"/>
          <w:szCs w:val="24"/>
        </w:rPr>
        <w:t>“</w:t>
      </w:r>
      <w:r w:rsidR="00297E71" w:rsidRPr="00B03142">
        <w:rPr>
          <w:rFonts w:ascii="Times New Roman" w:hAnsi="Times New Roman" w:cs="Times New Roman"/>
          <w:i/>
          <w:iCs/>
          <w:sz w:val="24"/>
          <w:szCs w:val="24"/>
        </w:rPr>
        <w:t>Bankalarca Kullandırılan Kredilerin Sektörel Dağılımı</w:t>
      </w:r>
      <w:r w:rsidR="00297E71" w:rsidRPr="00B03142">
        <w:rPr>
          <w:rFonts w:ascii="Times New Roman" w:hAnsi="Times New Roman" w:cs="Times New Roman"/>
          <w:sz w:val="24"/>
          <w:szCs w:val="24"/>
        </w:rPr>
        <w:t>” Aralık ayı raporları kullanılmıştır.</w:t>
      </w:r>
      <w:r w:rsidR="000B1D20" w:rsidRPr="00B03142">
        <w:rPr>
          <w:rFonts w:ascii="Times New Roman" w:hAnsi="Times New Roman" w:cs="Times New Roman"/>
          <w:sz w:val="24"/>
          <w:szCs w:val="24"/>
        </w:rPr>
        <w:t xml:space="preserve"> Raporda “</w:t>
      </w:r>
      <w:r w:rsidR="000B1D20" w:rsidRPr="00B03142">
        <w:rPr>
          <w:rFonts w:ascii="Times New Roman" w:hAnsi="Times New Roman" w:cs="Times New Roman"/>
          <w:i/>
          <w:sz w:val="24"/>
          <w:szCs w:val="24"/>
        </w:rPr>
        <w:t>Bankalarca Finansman Konularına Göre Firma Bazında Bildirimi Yapılan  Nakdi Krediler ve Tasfiye Olunacak Krediler</w:t>
      </w:r>
      <w:r w:rsidR="000B1D20" w:rsidRPr="00B03142">
        <w:rPr>
          <w:rFonts w:ascii="Times New Roman" w:hAnsi="Times New Roman" w:cs="Times New Roman"/>
          <w:sz w:val="24"/>
          <w:szCs w:val="24"/>
        </w:rPr>
        <w:t>” sunulmaktadır. Her sektöre tahsis edilen krediler için nakdi krediler ve tasfiye olunacak kredilerin toplamı olan brüt krediler kullanılmıştır. İlgili raporda bireysel k</w:t>
      </w:r>
      <w:r w:rsidR="004E67FE" w:rsidRPr="00B03142">
        <w:rPr>
          <w:rFonts w:ascii="Times New Roman" w:hAnsi="Times New Roman" w:cs="Times New Roman"/>
          <w:sz w:val="24"/>
          <w:szCs w:val="24"/>
        </w:rPr>
        <w:t xml:space="preserve">redilere ek olarak 30 sektör ve bu sektörlerin bir kısmının alt bileşenleri için sektör verisi sunulmaktadır. </w:t>
      </w:r>
    </w:p>
    <w:p w14:paraId="2A51C5CA" w14:textId="77B2EB02" w:rsidR="00A1410C" w:rsidRPr="00B03142" w:rsidRDefault="003643B9" w:rsidP="003906C8">
      <w:pPr>
        <w:ind w:firstLine="360"/>
        <w:jc w:val="both"/>
        <w:rPr>
          <w:rFonts w:ascii="Times New Roman" w:hAnsi="Times New Roman" w:cs="Times New Roman"/>
          <w:sz w:val="24"/>
          <w:szCs w:val="24"/>
        </w:rPr>
      </w:pPr>
      <w:r w:rsidRPr="00B03142">
        <w:rPr>
          <w:rFonts w:ascii="Times New Roman" w:hAnsi="Times New Roman" w:cs="Times New Roman"/>
          <w:sz w:val="24"/>
          <w:szCs w:val="24"/>
        </w:rPr>
        <w:t xml:space="preserve">Madde (i) ve (ii)’de bahsi geçen </w:t>
      </w:r>
      <w:r w:rsidR="004E67FE" w:rsidRPr="00B03142">
        <w:rPr>
          <w:rFonts w:ascii="Times New Roman" w:hAnsi="Times New Roman" w:cs="Times New Roman"/>
          <w:sz w:val="24"/>
          <w:szCs w:val="24"/>
        </w:rPr>
        <w:t>30 sektör aşağıda sunulduğu şekilde 9 sektör olarak toplulaştırılmıştır:</w:t>
      </w:r>
    </w:p>
    <w:p w14:paraId="619763DB" w14:textId="4517D38D" w:rsidR="004E67FE" w:rsidRPr="00B03142" w:rsidRDefault="004E67FE" w:rsidP="004E67FE">
      <w:pPr>
        <w:pStyle w:val="ListParagraph"/>
        <w:numPr>
          <w:ilvl w:val="0"/>
          <w:numId w:val="23"/>
        </w:numPr>
        <w:jc w:val="both"/>
        <w:rPr>
          <w:rFonts w:ascii="Times New Roman" w:hAnsi="Times New Roman" w:cs="Times New Roman"/>
          <w:sz w:val="24"/>
          <w:szCs w:val="24"/>
        </w:rPr>
      </w:pPr>
      <w:r w:rsidRPr="00B03142">
        <w:rPr>
          <w:rFonts w:ascii="Times New Roman" w:hAnsi="Times New Roman" w:cs="Times New Roman"/>
          <w:sz w:val="24"/>
          <w:szCs w:val="24"/>
        </w:rPr>
        <w:t xml:space="preserve">TAR: </w:t>
      </w:r>
      <w:r w:rsidR="00B75628" w:rsidRPr="00B03142">
        <w:rPr>
          <w:rFonts w:ascii="Times New Roman" w:hAnsi="Times New Roman" w:cs="Times New Roman"/>
          <w:sz w:val="24"/>
          <w:szCs w:val="24"/>
        </w:rPr>
        <w:t>Tarım, Avcılık, Ormancılık + Balıkçılık</w:t>
      </w:r>
    </w:p>
    <w:p w14:paraId="07DEB2D0" w14:textId="147AE8B7" w:rsidR="004E67FE" w:rsidRPr="00B03142" w:rsidRDefault="004E67FE" w:rsidP="004E67FE">
      <w:pPr>
        <w:pStyle w:val="ListParagraph"/>
        <w:numPr>
          <w:ilvl w:val="0"/>
          <w:numId w:val="23"/>
        </w:numPr>
        <w:jc w:val="both"/>
        <w:rPr>
          <w:rFonts w:ascii="Times New Roman" w:hAnsi="Times New Roman" w:cs="Times New Roman"/>
          <w:sz w:val="24"/>
          <w:szCs w:val="24"/>
        </w:rPr>
      </w:pPr>
      <w:r w:rsidRPr="00B03142">
        <w:rPr>
          <w:rFonts w:ascii="Times New Roman" w:hAnsi="Times New Roman" w:cs="Times New Roman"/>
          <w:sz w:val="24"/>
          <w:szCs w:val="24"/>
        </w:rPr>
        <w:t xml:space="preserve">MAD: </w:t>
      </w:r>
      <w:r w:rsidR="00B75628" w:rsidRPr="00B03142">
        <w:rPr>
          <w:rFonts w:ascii="Times New Roman" w:hAnsi="Times New Roman" w:cs="Times New Roman"/>
          <w:sz w:val="24"/>
          <w:szCs w:val="24"/>
        </w:rPr>
        <w:t>Enerji Üreten Madenlerin Çıkarılması + Enerji Üretmeyen Madenlerin Çıkarılması</w:t>
      </w:r>
    </w:p>
    <w:p w14:paraId="1FA912E0" w14:textId="2D408975" w:rsidR="00B67A52" w:rsidRPr="00B03142" w:rsidRDefault="004E67FE" w:rsidP="00FC1F5F">
      <w:pPr>
        <w:pStyle w:val="ListParagraph"/>
        <w:numPr>
          <w:ilvl w:val="0"/>
          <w:numId w:val="23"/>
        </w:numPr>
        <w:jc w:val="both"/>
        <w:rPr>
          <w:rFonts w:ascii="Times New Roman" w:hAnsi="Times New Roman" w:cs="Times New Roman"/>
          <w:sz w:val="24"/>
          <w:szCs w:val="24"/>
        </w:rPr>
      </w:pPr>
      <w:r w:rsidRPr="00B03142">
        <w:rPr>
          <w:rFonts w:ascii="Times New Roman" w:hAnsi="Times New Roman" w:cs="Times New Roman"/>
          <w:sz w:val="24"/>
          <w:szCs w:val="24"/>
        </w:rPr>
        <w:t xml:space="preserve">İMA: </w:t>
      </w:r>
      <w:r w:rsidR="00B67A52" w:rsidRPr="00B03142">
        <w:rPr>
          <w:rFonts w:ascii="Times New Roman" w:hAnsi="Times New Roman" w:cs="Times New Roman"/>
          <w:sz w:val="24"/>
          <w:szCs w:val="24"/>
        </w:rPr>
        <w:t>Metal Ana San ve İşlenmiş Mad. Ürt. + Tekstil ve Tekstil Ürünleri San. + Gıda, Meşrubat ve Tütün San. + Ulaşım Araçları San. + Kimya ve Kimya Ürünleri ile Sent. Lif San. + Diğer Metal Dışı Madenler San. + Makina ve Teçhizat San. + Başka Yerlerde Sınıflandırılmamış İmalat Sanayii + Elektrikli ve Optik Aletler San. + Kauçuk ve Plastik Ür. San. + Nükleer Yakıt Raf. ve Petr. Ür. Kömür Ür. + Kağıt Ham. ve Kağıt Ürnl. Basım San. + Ağaç ve Ağaç Ürünleri San. + Deri ve Deri Ürünleri Sanayi</w:t>
      </w:r>
    </w:p>
    <w:p w14:paraId="5FDDF303" w14:textId="76A16656" w:rsidR="004E67FE" w:rsidRPr="00B03142" w:rsidRDefault="004E67FE" w:rsidP="00C52F16">
      <w:pPr>
        <w:pStyle w:val="ListParagraph"/>
        <w:numPr>
          <w:ilvl w:val="0"/>
          <w:numId w:val="23"/>
        </w:numPr>
        <w:jc w:val="both"/>
        <w:rPr>
          <w:rFonts w:ascii="Times New Roman" w:hAnsi="Times New Roman" w:cs="Times New Roman"/>
          <w:sz w:val="24"/>
          <w:szCs w:val="24"/>
        </w:rPr>
      </w:pPr>
      <w:r w:rsidRPr="00B03142">
        <w:rPr>
          <w:rFonts w:ascii="Times New Roman" w:hAnsi="Times New Roman" w:cs="Times New Roman"/>
          <w:sz w:val="24"/>
          <w:szCs w:val="24"/>
        </w:rPr>
        <w:t xml:space="preserve">EGS: </w:t>
      </w:r>
      <w:r w:rsidR="00C52F16" w:rsidRPr="00B03142">
        <w:rPr>
          <w:rFonts w:ascii="Times New Roman" w:hAnsi="Times New Roman" w:cs="Times New Roman"/>
          <w:sz w:val="24"/>
          <w:szCs w:val="24"/>
        </w:rPr>
        <w:t>Elektrik Gaz ve Su Kaynakları</w:t>
      </w:r>
    </w:p>
    <w:p w14:paraId="60C0B3FF" w14:textId="659B19BC" w:rsidR="004E67FE" w:rsidRPr="00B03142" w:rsidRDefault="004E67FE" w:rsidP="004E67FE">
      <w:pPr>
        <w:pStyle w:val="ListParagraph"/>
        <w:numPr>
          <w:ilvl w:val="0"/>
          <w:numId w:val="23"/>
        </w:numPr>
        <w:jc w:val="both"/>
        <w:rPr>
          <w:rFonts w:ascii="Times New Roman" w:hAnsi="Times New Roman" w:cs="Times New Roman"/>
          <w:sz w:val="24"/>
          <w:szCs w:val="24"/>
        </w:rPr>
      </w:pPr>
      <w:r w:rsidRPr="00B03142">
        <w:rPr>
          <w:rFonts w:ascii="Times New Roman" w:hAnsi="Times New Roman" w:cs="Times New Roman"/>
          <w:sz w:val="24"/>
          <w:szCs w:val="24"/>
        </w:rPr>
        <w:t xml:space="preserve">İNŞ: </w:t>
      </w:r>
      <w:r w:rsidR="00793902" w:rsidRPr="00B03142">
        <w:rPr>
          <w:rFonts w:ascii="Times New Roman" w:hAnsi="Times New Roman" w:cs="Times New Roman"/>
          <w:sz w:val="24"/>
          <w:szCs w:val="24"/>
        </w:rPr>
        <w:t>İnşaat</w:t>
      </w:r>
    </w:p>
    <w:p w14:paraId="3C3D4292" w14:textId="16972538" w:rsidR="00356547" w:rsidRPr="00B03142" w:rsidRDefault="004E67FE" w:rsidP="00FC1F5F">
      <w:pPr>
        <w:pStyle w:val="ListParagraph"/>
        <w:numPr>
          <w:ilvl w:val="0"/>
          <w:numId w:val="23"/>
        </w:numPr>
        <w:jc w:val="both"/>
        <w:rPr>
          <w:rFonts w:ascii="Times New Roman" w:hAnsi="Times New Roman" w:cs="Times New Roman"/>
          <w:sz w:val="24"/>
          <w:szCs w:val="24"/>
        </w:rPr>
      </w:pPr>
      <w:r w:rsidRPr="00B03142">
        <w:rPr>
          <w:rFonts w:ascii="Times New Roman" w:hAnsi="Times New Roman" w:cs="Times New Roman"/>
          <w:sz w:val="24"/>
          <w:szCs w:val="24"/>
        </w:rPr>
        <w:t xml:space="preserve">TİC: </w:t>
      </w:r>
      <w:r w:rsidR="00356547" w:rsidRPr="00B03142">
        <w:rPr>
          <w:rFonts w:ascii="Times New Roman" w:hAnsi="Times New Roman" w:cs="Times New Roman"/>
          <w:sz w:val="24"/>
          <w:szCs w:val="24"/>
        </w:rPr>
        <w:t>Toptan, Perakende Tic., Komisync.Motorlu Araç Servis Hizm. + Otel ve Restoranlar (Turizm)</w:t>
      </w:r>
    </w:p>
    <w:p w14:paraId="5C8A71F2" w14:textId="1941AB9E" w:rsidR="004E67FE" w:rsidRPr="00B03142" w:rsidRDefault="004E67FE" w:rsidP="00D109B8">
      <w:pPr>
        <w:pStyle w:val="ListParagraph"/>
        <w:numPr>
          <w:ilvl w:val="0"/>
          <w:numId w:val="23"/>
        </w:numPr>
        <w:jc w:val="both"/>
        <w:rPr>
          <w:rFonts w:ascii="Times New Roman" w:hAnsi="Times New Roman" w:cs="Times New Roman"/>
          <w:sz w:val="24"/>
          <w:szCs w:val="24"/>
        </w:rPr>
      </w:pPr>
      <w:r w:rsidRPr="00B03142">
        <w:rPr>
          <w:rFonts w:ascii="Times New Roman" w:hAnsi="Times New Roman" w:cs="Times New Roman"/>
          <w:sz w:val="24"/>
          <w:szCs w:val="24"/>
        </w:rPr>
        <w:lastRenderedPageBreak/>
        <w:t xml:space="preserve">UHD: </w:t>
      </w:r>
      <w:r w:rsidR="00D109B8" w:rsidRPr="00B03142">
        <w:rPr>
          <w:rFonts w:ascii="Times New Roman" w:hAnsi="Times New Roman" w:cs="Times New Roman"/>
          <w:sz w:val="24"/>
          <w:szCs w:val="24"/>
        </w:rPr>
        <w:t>Taşımacılık, Depolama ve Haberleşme</w:t>
      </w:r>
    </w:p>
    <w:p w14:paraId="46422608" w14:textId="7E0D51F2" w:rsidR="004E67FE" w:rsidRPr="00B03142" w:rsidRDefault="004E67FE" w:rsidP="00321181">
      <w:pPr>
        <w:pStyle w:val="ListParagraph"/>
        <w:numPr>
          <w:ilvl w:val="0"/>
          <w:numId w:val="23"/>
        </w:numPr>
        <w:jc w:val="both"/>
        <w:rPr>
          <w:rFonts w:ascii="Times New Roman" w:hAnsi="Times New Roman" w:cs="Times New Roman"/>
          <w:sz w:val="24"/>
          <w:szCs w:val="24"/>
        </w:rPr>
      </w:pPr>
      <w:r w:rsidRPr="00B03142">
        <w:rPr>
          <w:rFonts w:ascii="Times New Roman" w:hAnsi="Times New Roman" w:cs="Times New Roman"/>
          <w:sz w:val="24"/>
          <w:szCs w:val="24"/>
        </w:rPr>
        <w:t xml:space="preserve">FİGM: </w:t>
      </w:r>
      <w:r w:rsidR="00321181" w:rsidRPr="00B03142">
        <w:rPr>
          <w:rFonts w:ascii="Times New Roman" w:hAnsi="Times New Roman" w:cs="Times New Roman"/>
          <w:sz w:val="24"/>
          <w:szCs w:val="24"/>
        </w:rPr>
        <w:t>Finansal Aracılık + Emlak Komisyon, Kiralama ve İşletmecilik Faaliyetleri</w:t>
      </w:r>
    </w:p>
    <w:p w14:paraId="76B7796D" w14:textId="09A2A723" w:rsidR="00D109B8" w:rsidRPr="00B03142" w:rsidRDefault="004E67FE" w:rsidP="00FC1F5F">
      <w:pPr>
        <w:pStyle w:val="ListParagraph"/>
        <w:numPr>
          <w:ilvl w:val="0"/>
          <w:numId w:val="23"/>
        </w:numPr>
        <w:jc w:val="both"/>
        <w:rPr>
          <w:rFonts w:ascii="Times New Roman" w:hAnsi="Times New Roman" w:cs="Times New Roman"/>
          <w:sz w:val="24"/>
          <w:szCs w:val="24"/>
        </w:rPr>
      </w:pPr>
      <w:r w:rsidRPr="00B03142">
        <w:rPr>
          <w:rFonts w:ascii="Times New Roman" w:hAnsi="Times New Roman" w:cs="Times New Roman"/>
          <w:sz w:val="24"/>
          <w:szCs w:val="24"/>
        </w:rPr>
        <w:t xml:space="preserve">DKÖH: </w:t>
      </w:r>
      <w:r w:rsidR="00D109B8" w:rsidRPr="00B03142">
        <w:rPr>
          <w:rFonts w:ascii="Times New Roman" w:hAnsi="Times New Roman" w:cs="Times New Roman"/>
          <w:sz w:val="24"/>
          <w:szCs w:val="24"/>
        </w:rPr>
        <w:t>Diğer Toplumsal Sosyal ve Kişisel Hizmetler + Savunma ve Kamu Yönetimi,</w:t>
      </w:r>
      <w:r w:rsidR="00643EF7" w:rsidRPr="00B03142">
        <w:rPr>
          <w:rFonts w:ascii="Times New Roman" w:hAnsi="Times New Roman" w:cs="Times New Roman"/>
          <w:sz w:val="24"/>
          <w:szCs w:val="24"/>
        </w:rPr>
        <w:t xml:space="preserve"> </w:t>
      </w:r>
      <w:r w:rsidR="00D109B8" w:rsidRPr="00B03142">
        <w:rPr>
          <w:rFonts w:ascii="Times New Roman" w:hAnsi="Times New Roman" w:cs="Times New Roman"/>
          <w:sz w:val="24"/>
          <w:szCs w:val="24"/>
        </w:rPr>
        <w:t>Zorunlu Sosyal Güvenlik Kurumları + Sağlık ve Sosyal Hizmetler + Eğitim + İşçi Çalıştıran Özel Kişiler</w:t>
      </w:r>
      <w:r w:rsidR="00C30D3E" w:rsidRPr="00B03142">
        <w:rPr>
          <w:rFonts w:ascii="Times New Roman" w:hAnsi="Times New Roman" w:cs="Times New Roman"/>
          <w:sz w:val="24"/>
          <w:szCs w:val="24"/>
        </w:rPr>
        <w:t xml:space="preserve"> + Uluslararası Örgüt </w:t>
      </w:r>
      <w:r w:rsidR="00643EF7" w:rsidRPr="00B03142">
        <w:rPr>
          <w:rFonts w:ascii="Times New Roman" w:hAnsi="Times New Roman" w:cs="Times New Roman"/>
          <w:sz w:val="24"/>
          <w:szCs w:val="24"/>
        </w:rPr>
        <w:t>ve</w:t>
      </w:r>
      <w:r w:rsidR="00C30D3E" w:rsidRPr="00B03142">
        <w:rPr>
          <w:rFonts w:ascii="Times New Roman" w:hAnsi="Times New Roman" w:cs="Times New Roman"/>
          <w:sz w:val="24"/>
          <w:szCs w:val="24"/>
        </w:rPr>
        <w:t xml:space="preserve"> Kuruluşlar</w:t>
      </w:r>
      <w:r w:rsidR="00C30D3E" w:rsidRPr="00B03142">
        <w:rPr>
          <w:rStyle w:val="FootnoteReference"/>
          <w:rFonts w:ascii="Times New Roman" w:hAnsi="Times New Roman" w:cs="Times New Roman"/>
          <w:sz w:val="24"/>
          <w:szCs w:val="24"/>
        </w:rPr>
        <w:footnoteReference w:id="18"/>
      </w:r>
    </w:p>
    <w:p w14:paraId="4E2E2EFA" w14:textId="4D8F5AF5" w:rsidR="00BA0DFF" w:rsidRPr="00B03142" w:rsidRDefault="00EB2695" w:rsidP="00433029">
      <w:pPr>
        <w:pStyle w:val="Heading3"/>
        <w:numPr>
          <w:ilvl w:val="0"/>
          <w:numId w:val="0"/>
        </w:numPr>
        <w:spacing w:after="240" w:line="276" w:lineRule="auto"/>
        <w:ind w:left="720" w:hanging="360"/>
        <w:rPr>
          <w:rFonts w:cs="Times New Roman"/>
          <w:bCs/>
        </w:rPr>
      </w:pPr>
      <w:r w:rsidRPr="00B03142">
        <w:t>A</w:t>
      </w:r>
      <w:r w:rsidR="00BA0DFF" w:rsidRPr="00B03142">
        <w:t xml:space="preserve">.2. </w:t>
      </w:r>
      <w:r w:rsidR="00E15E41" w:rsidRPr="00B03142">
        <w:rPr>
          <w:rFonts w:cs="Times New Roman"/>
          <w:bCs/>
        </w:rPr>
        <w:t>Üretim</w:t>
      </w:r>
    </w:p>
    <w:p w14:paraId="3908F01C" w14:textId="365DFD77" w:rsidR="00433029" w:rsidRPr="00B03142" w:rsidRDefault="00433029" w:rsidP="00433029">
      <w:pPr>
        <w:ind w:firstLine="360"/>
        <w:jc w:val="both"/>
        <w:rPr>
          <w:rFonts w:ascii="Times New Roman" w:hAnsi="Times New Roman" w:cs="Times New Roman"/>
          <w:sz w:val="24"/>
          <w:szCs w:val="24"/>
        </w:rPr>
      </w:pPr>
      <w:r w:rsidRPr="00B03142">
        <w:rPr>
          <w:rFonts w:ascii="Times New Roman" w:hAnsi="Times New Roman" w:cs="Times New Roman"/>
          <w:sz w:val="24"/>
          <w:szCs w:val="24"/>
        </w:rPr>
        <w:t>Sektörel üretim verisi için TÜİK’in yayınladığı “</w:t>
      </w:r>
      <w:r w:rsidRPr="00B03142">
        <w:rPr>
          <w:rFonts w:ascii="Times New Roman" w:hAnsi="Times New Roman" w:cs="Times New Roman"/>
          <w:i/>
          <w:sz w:val="24"/>
          <w:szCs w:val="24"/>
        </w:rPr>
        <w:t>Gayrisafi yurt içi hasıla, iktisadi faaliyet kollarına (A21) göre zincirlenmiş hacim, endeks ve değişim oranları, 1998-2021</w:t>
      </w:r>
      <w:r w:rsidRPr="00B03142">
        <w:rPr>
          <w:rFonts w:ascii="Times New Roman" w:hAnsi="Times New Roman" w:cs="Times New Roman"/>
          <w:sz w:val="24"/>
          <w:szCs w:val="24"/>
        </w:rPr>
        <w:t>” verisi kullanılmıştır.</w:t>
      </w:r>
      <w:r w:rsidR="00CA7F83" w:rsidRPr="00B03142">
        <w:rPr>
          <w:rFonts w:ascii="Times New Roman" w:hAnsi="Times New Roman" w:cs="Times New Roman"/>
          <w:sz w:val="24"/>
          <w:szCs w:val="24"/>
        </w:rPr>
        <w:t xml:space="preserve"> Söz konusu 21 sektör aşağıda listelendiği gibi 9 sektör altında toplulaştırılmıştır: </w:t>
      </w:r>
    </w:p>
    <w:p w14:paraId="289E3AF4" w14:textId="663C4E02" w:rsidR="00117233" w:rsidRPr="00B03142" w:rsidRDefault="00117233" w:rsidP="00361B53">
      <w:pPr>
        <w:pStyle w:val="ListParagraph"/>
        <w:numPr>
          <w:ilvl w:val="0"/>
          <w:numId w:val="18"/>
        </w:numPr>
        <w:jc w:val="both"/>
        <w:rPr>
          <w:rFonts w:ascii="Times New Roman" w:hAnsi="Times New Roman" w:cs="Times New Roman"/>
          <w:sz w:val="24"/>
          <w:szCs w:val="24"/>
        </w:rPr>
      </w:pPr>
      <w:r w:rsidRPr="00B03142">
        <w:rPr>
          <w:rFonts w:ascii="Times New Roman" w:hAnsi="Times New Roman" w:cs="Times New Roman"/>
          <w:sz w:val="24"/>
          <w:szCs w:val="24"/>
        </w:rPr>
        <w:t xml:space="preserve">TAR: </w:t>
      </w:r>
      <w:r w:rsidR="00361B53" w:rsidRPr="00B03142">
        <w:rPr>
          <w:rFonts w:ascii="Times New Roman" w:hAnsi="Times New Roman" w:cs="Times New Roman"/>
          <w:sz w:val="24"/>
          <w:szCs w:val="24"/>
        </w:rPr>
        <w:t>Tarım, ormancılık ve balıkçılık (A)</w:t>
      </w:r>
    </w:p>
    <w:p w14:paraId="315AA897" w14:textId="6B27ACC7" w:rsidR="00117233" w:rsidRPr="00B03142" w:rsidRDefault="00117233" w:rsidP="00361B53">
      <w:pPr>
        <w:pStyle w:val="ListParagraph"/>
        <w:numPr>
          <w:ilvl w:val="0"/>
          <w:numId w:val="18"/>
        </w:numPr>
        <w:jc w:val="both"/>
        <w:rPr>
          <w:rFonts w:ascii="Times New Roman" w:hAnsi="Times New Roman" w:cs="Times New Roman"/>
          <w:sz w:val="24"/>
          <w:szCs w:val="24"/>
        </w:rPr>
      </w:pPr>
      <w:r w:rsidRPr="00B03142">
        <w:rPr>
          <w:rFonts w:ascii="Times New Roman" w:hAnsi="Times New Roman" w:cs="Times New Roman"/>
          <w:sz w:val="24"/>
          <w:szCs w:val="24"/>
        </w:rPr>
        <w:t>MAD:</w:t>
      </w:r>
      <w:r w:rsidR="00361B53" w:rsidRPr="00B03142">
        <w:rPr>
          <w:rFonts w:ascii="Times New Roman" w:hAnsi="Times New Roman" w:cs="Times New Roman"/>
          <w:sz w:val="24"/>
          <w:szCs w:val="24"/>
        </w:rPr>
        <w:t xml:space="preserve"> Madencilik ve taşocakçılığı (B)</w:t>
      </w:r>
    </w:p>
    <w:p w14:paraId="7E81C154" w14:textId="0EE086CA" w:rsidR="00361B53" w:rsidRPr="00B03142" w:rsidRDefault="00361B53" w:rsidP="00361B53">
      <w:pPr>
        <w:pStyle w:val="ListParagraph"/>
        <w:numPr>
          <w:ilvl w:val="0"/>
          <w:numId w:val="18"/>
        </w:numPr>
        <w:jc w:val="both"/>
        <w:rPr>
          <w:rFonts w:ascii="Times New Roman" w:hAnsi="Times New Roman" w:cs="Times New Roman"/>
          <w:sz w:val="24"/>
          <w:szCs w:val="24"/>
        </w:rPr>
      </w:pPr>
      <w:r w:rsidRPr="00B03142">
        <w:rPr>
          <w:rFonts w:ascii="Times New Roman" w:hAnsi="Times New Roman" w:cs="Times New Roman"/>
          <w:sz w:val="24"/>
          <w:szCs w:val="24"/>
        </w:rPr>
        <w:t>İMA: İmalat sanayi (C)</w:t>
      </w:r>
    </w:p>
    <w:p w14:paraId="01F3AF61" w14:textId="3FF2A6A2" w:rsidR="00117233" w:rsidRPr="00B03142" w:rsidRDefault="00117233" w:rsidP="00361B53">
      <w:pPr>
        <w:pStyle w:val="ListParagraph"/>
        <w:numPr>
          <w:ilvl w:val="0"/>
          <w:numId w:val="18"/>
        </w:numPr>
        <w:jc w:val="both"/>
        <w:rPr>
          <w:rFonts w:ascii="Times New Roman" w:hAnsi="Times New Roman" w:cs="Times New Roman"/>
          <w:sz w:val="24"/>
          <w:szCs w:val="24"/>
        </w:rPr>
      </w:pPr>
      <w:r w:rsidRPr="00B03142">
        <w:rPr>
          <w:rFonts w:ascii="Times New Roman" w:hAnsi="Times New Roman" w:cs="Times New Roman"/>
          <w:sz w:val="24"/>
          <w:szCs w:val="24"/>
        </w:rPr>
        <w:t>EGS:</w:t>
      </w:r>
      <w:r w:rsidR="00361B53" w:rsidRPr="00B03142">
        <w:rPr>
          <w:rFonts w:ascii="Times New Roman" w:hAnsi="Times New Roman" w:cs="Times New Roman"/>
          <w:sz w:val="24"/>
          <w:szCs w:val="24"/>
        </w:rPr>
        <w:t xml:space="preserve"> Elektrik, gaz, buhar ve iklimlendirme üretimi ve dağıtımı (D) + Su temini; kanalizasyon, atık yönetimi ve iyileştirme faaliyetleri (E)</w:t>
      </w:r>
    </w:p>
    <w:p w14:paraId="42499DD4" w14:textId="43D689FF" w:rsidR="00117233" w:rsidRPr="00B03142" w:rsidRDefault="00117233" w:rsidP="00361B53">
      <w:pPr>
        <w:pStyle w:val="ListParagraph"/>
        <w:numPr>
          <w:ilvl w:val="0"/>
          <w:numId w:val="18"/>
        </w:numPr>
        <w:jc w:val="both"/>
        <w:rPr>
          <w:rFonts w:ascii="Times New Roman" w:hAnsi="Times New Roman" w:cs="Times New Roman"/>
          <w:sz w:val="24"/>
          <w:szCs w:val="24"/>
        </w:rPr>
      </w:pPr>
      <w:r w:rsidRPr="00B03142">
        <w:rPr>
          <w:rFonts w:ascii="Times New Roman" w:hAnsi="Times New Roman" w:cs="Times New Roman"/>
          <w:sz w:val="24"/>
          <w:szCs w:val="24"/>
        </w:rPr>
        <w:t>İNŞ:</w:t>
      </w:r>
      <w:r w:rsidR="00361B53" w:rsidRPr="00B03142">
        <w:rPr>
          <w:rFonts w:ascii="Times New Roman" w:hAnsi="Times New Roman" w:cs="Times New Roman"/>
          <w:sz w:val="24"/>
          <w:szCs w:val="24"/>
        </w:rPr>
        <w:t xml:space="preserve"> İnşaat</w:t>
      </w:r>
      <w:r w:rsidR="0018231B" w:rsidRPr="00B03142">
        <w:rPr>
          <w:rFonts w:ascii="Times New Roman" w:hAnsi="Times New Roman" w:cs="Times New Roman"/>
          <w:sz w:val="24"/>
          <w:szCs w:val="24"/>
        </w:rPr>
        <w:t xml:space="preserve"> (F)</w:t>
      </w:r>
    </w:p>
    <w:p w14:paraId="2D265754" w14:textId="10552EBE" w:rsidR="00117233" w:rsidRPr="00B03142" w:rsidRDefault="00117233" w:rsidP="00361B53">
      <w:pPr>
        <w:pStyle w:val="ListParagraph"/>
        <w:numPr>
          <w:ilvl w:val="0"/>
          <w:numId w:val="18"/>
        </w:numPr>
        <w:jc w:val="both"/>
        <w:rPr>
          <w:rFonts w:ascii="Times New Roman" w:hAnsi="Times New Roman" w:cs="Times New Roman"/>
          <w:sz w:val="24"/>
          <w:szCs w:val="24"/>
        </w:rPr>
      </w:pPr>
      <w:r w:rsidRPr="00B03142">
        <w:rPr>
          <w:rFonts w:ascii="Times New Roman" w:hAnsi="Times New Roman" w:cs="Times New Roman"/>
          <w:sz w:val="24"/>
          <w:szCs w:val="24"/>
        </w:rPr>
        <w:t>TİC:</w:t>
      </w:r>
      <w:r w:rsidR="00361B53" w:rsidRPr="00B03142">
        <w:rPr>
          <w:rFonts w:ascii="Times New Roman" w:hAnsi="Times New Roman" w:cs="Times New Roman"/>
          <w:sz w:val="24"/>
          <w:szCs w:val="24"/>
        </w:rPr>
        <w:t xml:space="preserve"> Toptan ve perakende ticaret; motorlu kara taşıtlarının ve motosikletlerin onarımı (G) + Konaklama ve yiyecek hizmeti faaliyetleri</w:t>
      </w:r>
      <w:r w:rsidR="007067ED" w:rsidRPr="00B03142">
        <w:rPr>
          <w:rFonts w:ascii="Times New Roman" w:hAnsi="Times New Roman" w:cs="Times New Roman"/>
          <w:sz w:val="24"/>
          <w:szCs w:val="24"/>
        </w:rPr>
        <w:t xml:space="preserve"> (I)</w:t>
      </w:r>
    </w:p>
    <w:p w14:paraId="3BF60F42" w14:textId="605CDBE1" w:rsidR="00117233" w:rsidRPr="00B03142" w:rsidRDefault="00117233" w:rsidP="00955100">
      <w:pPr>
        <w:pStyle w:val="ListParagraph"/>
        <w:numPr>
          <w:ilvl w:val="0"/>
          <w:numId w:val="18"/>
        </w:numPr>
        <w:jc w:val="both"/>
        <w:rPr>
          <w:rFonts w:ascii="Times New Roman" w:hAnsi="Times New Roman" w:cs="Times New Roman"/>
          <w:sz w:val="24"/>
          <w:szCs w:val="24"/>
        </w:rPr>
      </w:pPr>
      <w:r w:rsidRPr="00B03142">
        <w:rPr>
          <w:rFonts w:ascii="Times New Roman" w:hAnsi="Times New Roman" w:cs="Times New Roman"/>
          <w:sz w:val="24"/>
          <w:szCs w:val="24"/>
        </w:rPr>
        <w:t>UHD:</w:t>
      </w:r>
      <w:r w:rsidR="009C4858" w:rsidRPr="00B03142">
        <w:rPr>
          <w:rFonts w:ascii="Times New Roman" w:hAnsi="Times New Roman" w:cs="Times New Roman"/>
          <w:sz w:val="24"/>
          <w:szCs w:val="24"/>
        </w:rPr>
        <w:t xml:space="preserve"> Ulaştırma ve depolama (H)</w:t>
      </w:r>
      <w:r w:rsidR="00955100" w:rsidRPr="00B03142">
        <w:rPr>
          <w:rFonts w:ascii="Times New Roman" w:hAnsi="Times New Roman" w:cs="Times New Roman"/>
          <w:sz w:val="24"/>
          <w:szCs w:val="24"/>
        </w:rPr>
        <w:t xml:space="preserve"> + Bilgi ve iletişim (J)</w:t>
      </w:r>
    </w:p>
    <w:p w14:paraId="6301083F" w14:textId="1F4415F6" w:rsidR="00117233" w:rsidRPr="00B03142" w:rsidRDefault="00117233" w:rsidP="008A5CBB">
      <w:pPr>
        <w:pStyle w:val="ListParagraph"/>
        <w:numPr>
          <w:ilvl w:val="0"/>
          <w:numId w:val="18"/>
        </w:numPr>
        <w:jc w:val="both"/>
        <w:rPr>
          <w:rFonts w:ascii="Times New Roman" w:hAnsi="Times New Roman" w:cs="Times New Roman"/>
          <w:sz w:val="24"/>
          <w:szCs w:val="24"/>
        </w:rPr>
      </w:pPr>
      <w:r w:rsidRPr="00B03142">
        <w:rPr>
          <w:rFonts w:ascii="Times New Roman" w:hAnsi="Times New Roman" w:cs="Times New Roman"/>
          <w:sz w:val="24"/>
          <w:szCs w:val="24"/>
        </w:rPr>
        <w:t>FİGM:</w:t>
      </w:r>
      <w:r w:rsidR="004E672D" w:rsidRPr="00B03142">
        <w:rPr>
          <w:rFonts w:ascii="Times New Roman" w:hAnsi="Times New Roman" w:cs="Times New Roman"/>
          <w:sz w:val="24"/>
          <w:szCs w:val="24"/>
        </w:rPr>
        <w:t xml:space="preserve"> Finans ve sigorta faaliyetleri (K) + Gayrimenkul faaliyetleri (L)</w:t>
      </w:r>
      <w:r w:rsidR="008A5CBB" w:rsidRPr="00B03142">
        <w:rPr>
          <w:rFonts w:ascii="Times New Roman" w:hAnsi="Times New Roman" w:cs="Times New Roman"/>
          <w:sz w:val="24"/>
          <w:szCs w:val="24"/>
        </w:rPr>
        <w:t xml:space="preserve"> + Mesleki, bilimsel ve teknik faaliyetler (M) + İdari ve destek hizmet faaliyetleri (N)</w:t>
      </w:r>
    </w:p>
    <w:p w14:paraId="4ED19778" w14:textId="5CC136C6" w:rsidR="00117233" w:rsidRPr="00B03142" w:rsidRDefault="00117233" w:rsidP="00BE6094">
      <w:pPr>
        <w:pStyle w:val="ListParagraph"/>
        <w:numPr>
          <w:ilvl w:val="0"/>
          <w:numId w:val="18"/>
        </w:numPr>
        <w:jc w:val="both"/>
        <w:rPr>
          <w:rFonts w:ascii="Times New Roman" w:hAnsi="Times New Roman" w:cs="Times New Roman"/>
          <w:sz w:val="24"/>
          <w:szCs w:val="24"/>
        </w:rPr>
      </w:pPr>
      <w:r w:rsidRPr="00B03142">
        <w:rPr>
          <w:rFonts w:ascii="Times New Roman" w:hAnsi="Times New Roman" w:cs="Times New Roman"/>
          <w:sz w:val="24"/>
          <w:szCs w:val="24"/>
        </w:rPr>
        <w:t>DKÖH:</w:t>
      </w:r>
      <w:r w:rsidR="001D40A9" w:rsidRPr="00B03142">
        <w:rPr>
          <w:rFonts w:ascii="Times New Roman" w:hAnsi="Times New Roman" w:cs="Times New Roman"/>
          <w:sz w:val="24"/>
          <w:szCs w:val="24"/>
        </w:rPr>
        <w:t xml:space="preserve"> Kamu yönetimi ve savunma; zorunlu sosyal güvenlik (O) + </w:t>
      </w:r>
      <w:r w:rsidR="006C1B18" w:rsidRPr="00B03142">
        <w:rPr>
          <w:rFonts w:ascii="Times New Roman" w:hAnsi="Times New Roman" w:cs="Times New Roman"/>
          <w:sz w:val="24"/>
          <w:szCs w:val="24"/>
        </w:rPr>
        <w:t xml:space="preserve">Eğitim (P) + </w:t>
      </w:r>
      <w:r w:rsidR="00BE6094" w:rsidRPr="00B03142">
        <w:rPr>
          <w:rFonts w:ascii="Times New Roman" w:hAnsi="Times New Roman" w:cs="Times New Roman"/>
          <w:sz w:val="24"/>
          <w:szCs w:val="24"/>
        </w:rPr>
        <w:t>İnsan sağlığı ve sosyal hizmet faaliyetleri (Q) + Kültür, sanat, eğlence, dinlence ve spor (R) + Diğer hizmet faaliyetleri (S) + Hanehalklarının işverenler olarak faaliyetleri (T)</w:t>
      </w:r>
    </w:p>
    <w:p w14:paraId="2F0E0C69" w14:textId="4BB98CFA" w:rsidR="00BF5AB9" w:rsidRPr="00B03142" w:rsidRDefault="0018231B" w:rsidP="00F277A2">
      <w:pPr>
        <w:ind w:firstLine="360"/>
        <w:jc w:val="both"/>
        <w:rPr>
          <w:rFonts w:ascii="Times New Roman" w:hAnsi="Times New Roman" w:cs="Times New Roman"/>
          <w:sz w:val="24"/>
          <w:szCs w:val="24"/>
        </w:rPr>
      </w:pPr>
      <w:r w:rsidRPr="00B03142">
        <w:rPr>
          <w:rFonts w:ascii="Times New Roman" w:hAnsi="Times New Roman" w:cs="Times New Roman"/>
          <w:sz w:val="24"/>
          <w:szCs w:val="24"/>
        </w:rPr>
        <w:t xml:space="preserve">Toplulaştırma hem cari GSYH </w:t>
      </w:r>
      <w:r w:rsidR="00951F10" w:rsidRPr="00B03142">
        <w:rPr>
          <w:rFonts w:ascii="Times New Roman" w:hAnsi="Times New Roman" w:cs="Times New Roman"/>
          <w:sz w:val="24"/>
          <w:szCs w:val="24"/>
        </w:rPr>
        <w:t xml:space="preserve">serisi </w:t>
      </w:r>
      <w:r w:rsidRPr="00B03142">
        <w:rPr>
          <w:rFonts w:ascii="Times New Roman" w:hAnsi="Times New Roman" w:cs="Times New Roman"/>
          <w:sz w:val="24"/>
          <w:szCs w:val="24"/>
        </w:rPr>
        <w:t>h</w:t>
      </w:r>
      <w:r w:rsidR="00BF5AB9" w:rsidRPr="00B03142">
        <w:rPr>
          <w:rFonts w:ascii="Times New Roman" w:hAnsi="Times New Roman" w:cs="Times New Roman"/>
          <w:sz w:val="24"/>
          <w:szCs w:val="24"/>
        </w:rPr>
        <w:t>em de zincirlenmiş hacim</w:t>
      </w:r>
      <w:r w:rsidRPr="00B03142">
        <w:rPr>
          <w:rFonts w:ascii="Times New Roman" w:hAnsi="Times New Roman" w:cs="Times New Roman"/>
          <w:sz w:val="24"/>
          <w:szCs w:val="24"/>
        </w:rPr>
        <w:t xml:space="preserve"> </w:t>
      </w:r>
      <w:r w:rsidR="00BF5AB9" w:rsidRPr="00B03142">
        <w:rPr>
          <w:rFonts w:ascii="Times New Roman" w:hAnsi="Times New Roman" w:cs="Times New Roman"/>
          <w:sz w:val="24"/>
          <w:szCs w:val="24"/>
        </w:rPr>
        <w:t>GSYH seri</w:t>
      </w:r>
      <w:r w:rsidR="00951F10" w:rsidRPr="00B03142">
        <w:rPr>
          <w:rFonts w:ascii="Times New Roman" w:hAnsi="Times New Roman" w:cs="Times New Roman"/>
          <w:sz w:val="24"/>
          <w:szCs w:val="24"/>
        </w:rPr>
        <w:t>si</w:t>
      </w:r>
      <w:r w:rsidR="00BF5AB9" w:rsidRPr="00B03142">
        <w:rPr>
          <w:rFonts w:ascii="Times New Roman" w:hAnsi="Times New Roman" w:cs="Times New Roman"/>
          <w:sz w:val="24"/>
          <w:szCs w:val="24"/>
        </w:rPr>
        <w:t xml:space="preserve"> için yapılmıştır. Cari GSYH için toplulaştırılmış büyüklükler ilgili sektörlerin GSYH’leri toplanarak elde edilmiştir.</w:t>
      </w:r>
      <w:r w:rsidR="006C7CA4" w:rsidRPr="00B03142">
        <w:rPr>
          <w:rFonts w:ascii="Times New Roman" w:hAnsi="Times New Roman" w:cs="Times New Roman"/>
          <w:sz w:val="24"/>
          <w:szCs w:val="24"/>
        </w:rPr>
        <w:t xml:space="preserve"> </w:t>
      </w:r>
      <w:r w:rsidR="00100B66" w:rsidRPr="00B03142">
        <w:rPr>
          <w:rFonts w:ascii="Times New Roman" w:hAnsi="Times New Roman" w:cs="Times New Roman"/>
          <w:sz w:val="24"/>
          <w:szCs w:val="24"/>
        </w:rPr>
        <w:t>Toplam zincirlenmiş hacim olarak hesaplanan GSYH baz yılı dışında s</w:t>
      </w:r>
      <w:r w:rsidR="007B3C2A" w:rsidRPr="00B03142">
        <w:rPr>
          <w:rFonts w:ascii="Times New Roman" w:hAnsi="Times New Roman" w:cs="Times New Roman"/>
          <w:sz w:val="24"/>
          <w:szCs w:val="24"/>
        </w:rPr>
        <w:t>ektörlerin z</w:t>
      </w:r>
      <w:r w:rsidR="00BF5AB9" w:rsidRPr="00B03142">
        <w:rPr>
          <w:rFonts w:ascii="Times New Roman" w:hAnsi="Times New Roman" w:cs="Times New Roman"/>
          <w:sz w:val="24"/>
          <w:szCs w:val="24"/>
        </w:rPr>
        <w:t>incirlenmiş hacim</w:t>
      </w:r>
      <w:r w:rsidR="00100B66" w:rsidRPr="00B03142">
        <w:rPr>
          <w:rFonts w:ascii="Times New Roman" w:hAnsi="Times New Roman" w:cs="Times New Roman"/>
          <w:sz w:val="24"/>
          <w:szCs w:val="24"/>
        </w:rPr>
        <w:t xml:space="preserve"> toplamına eşit değildir. </w:t>
      </w:r>
      <w:r w:rsidR="003B3D7E" w:rsidRPr="00B03142">
        <w:rPr>
          <w:rFonts w:ascii="Times New Roman" w:hAnsi="Times New Roman" w:cs="Times New Roman"/>
          <w:sz w:val="24"/>
          <w:szCs w:val="24"/>
        </w:rPr>
        <w:t>Bunun sebebi</w:t>
      </w:r>
      <w:r w:rsidR="00100B66" w:rsidRPr="00B03142">
        <w:rPr>
          <w:rFonts w:ascii="Times New Roman" w:hAnsi="Times New Roman" w:cs="Times New Roman"/>
          <w:sz w:val="24"/>
          <w:szCs w:val="24"/>
        </w:rPr>
        <w:t xml:space="preserve"> ba</w:t>
      </w:r>
      <w:r w:rsidR="003B3D7E" w:rsidRPr="00B03142">
        <w:rPr>
          <w:rFonts w:ascii="Times New Roman" w:hAnsi="Times New Roman" w:cs="Times New Roman"/>
          <w:sz w:val="24"/>
          <w:szCs w:val="24"/>
        </w:rPr>
        <w:t>z</w:t>
      </w:r>
      <w:r w:rsidR="00100B66" w:rsidRPr="00B03142">
        <w:rPr>
          <w:rFonts w:ascii="Times New Roman" w:hAnsi="Times New Roman" w:cs="Times New Roman"/>
          <w:sz w:val="24"/>
          <w:szCs w:val="24"/>
        </w:rPr>
        <w:t xml:space="preserve"> yılı dışında hem sektörlerin hem toplam</w:t>
      </w:r>
      <w:r w:rsidR="00BF5AB9" w:rsidRPr="00B03142">
        <w:rPr>
          <w:rFonts w:ascii="Times New Roman" w:hAnsi="Times New Roman" w:cs="Times New Roman"/>
          <w:sz w:val="24"/>
          <w:szCs w:val="24"/>
        </w:rPr>
        <w:t xml:space="preserve"> </w:t>
      </w:r>
      <w:r w:rsidR="00100B66" w:rsidRPr="00B03142">
        <w:rPr>
          <w:rFonts w:ascii="Times New Roman" w:hAnsi="Times New Roman" w:cs="Times New Roman"/>
          <w:sz w:val="24"/>
          <w:szCs w:val="24"/>
        </w:rPr>
        <w:t>zincirlenmiş hacim serisi bir önceki yıl fiyatlarıyla hesaplanmaktadır. Bu yöntem her yıl sektörlerin toplam hacim içindeki ağırlıklarının değişmesine ve sektör hacim toplamlarının toplam hacim serisine eşit olmamasına yol açmaktadır. Sektörlerin toplam büyümeye katkısı hesaplanırken hesap uyumsuzluğuna yol açan bu toplamsal olmama sorununa karşı toplam zincirlenmiş GSYH (vergi hariç)</w:t>
      </w:r>
      <w:r w:rsidR="00D40840" w:rsidRPr="00B03142">
        <w:rPr>
          <w:rFonts w:ascii="Times New Roman" w:hAnsi="Times New Roman" w:cs="Times New Roman"/>
          <w:sz w:val="24"/>
          <w:szCs w:val="24"/>
        </w:rPr>
        <w:t xml:space="preserve"> </w:t>
      </w:r>
      <w:r w:rsidR="00BF5AB9" w:rsidRPr="00B03142">
        <w:rPr>
          <w:rFonts w:ascii="Times New Roman" w:hAnsi="Times New Roman" w:cs="Times New Roman"/>
          <w:sz w:val="24"/>
          <w:szCs w:val="24"/>
        </w:rPr>
        <w:t>sektörlerin zin</w:t>
      </w:r>
      <w:r w:rsidR="00846512" w:rsidRPr="00B03142">
        <w:rPr>
          <w:rFonts w:ascii="Times New Roman" w:hAnsi="Times New Roman" w:cs="Times New Roman"/>
          <w:sz w:val="24"/>
          <w:szCs w:val="24"/>
        </w:rPr>
        <w:t>cirlenmiş hacim seri</w:t>
      </w:r>
      <w:r w:rsidR="00100B66" w:rsidRPr="00B03142">
        <w:rPr>
          <w:rFonts w:ascii="Times New Roman" w:hAnsi="Times New Roman" w:cs="Times New Roman"/>
          <w:sz w:val="24"/>
          <w:szCs w:val="24"/>
        </w:rPr>
        <w:t>lerinin</w:t>
      </w:r>
      <w:r w:rsidR="00846512" w:rsidRPr="00B03142">
        <w:rPr>
          <w:rFonts w:ascii="Times New Roman" w:hAnsi="Times New Roman" w:cs="Times New Roman"/>
          <w:sz w:val="24"/>
          <w:szCs w:val="24"/>
        </w:rPr>
        <w:t xml:space="preserve"> </w:t>
      </w:r>
      <w:r w:rsidR="00100B66" w:rsidRPr="00B03142">
        <w:rPr>
          <w:rFonts w:ascii="Times New Roman" w:hAnsi="Times New Roman" w:cs="Times New Roman"/>
          <w:sz w:val="24"/>
          <w:szCs w:val="24"/>
        </w:rPr>
        <w:t xml:space="preserve">ilgili </w:t>
      </w:r>
      <w:r w:rsidR="00F277A2" w:rsidRPr="00B03142">
        <w:rPr>
          <w:rFonts w:ascii="Times New Roman" w:hAnsi="Times New Roman" w:cs="Times New Roman"/>
          <w:sz w:val="24"/>
          <w:szCs w:val="24"/>
        </w:rPr>
        <w:t>sektörün fiyat deflatörünün toplam fiyat deflatörüne oranıyla ağırlıklandırılarak</w:t>
      </w:r>
      <w:r w:rsidR="00100B66" w:rsidRPr="00B03142">
        <w:rPr>
          <w:rFonts w:ascii="Times New Roman" w:hAnsi="Times New Roman" w:cs="Times New Roman"/>
          <w:sz w:val="24"/>
          <w:szCs w:val="24"/>
        </w:rPr>
        <w:t xml:space="preserve"> toplanmasıyla</w:t>
      </w:r>
      <w:r w:rsidR="00F277A2" w:rsidRPr="00B03142">
        <w:rPr>
          <w:rFonts w:ascii="Times New Roman" w:hAnsi="Times New Roman" w:cs="Times New Roman"/>
          <w:sz w:val="24"/>
          <w:szCs w:val="24"/>
        </w:rPr>
        <w:t xml:space="preserve"> elde edilmiştir (Taspinar ve Atiyas, 2023). </w:t>
      </w:r>
    </w:p>
    <w:p w14:paraId="7B0600A8" w14:textId="182FD71F" w:rsidR="00E15E41" w:rsidRPr="00B03142" w:rsidRDefault="00EB2695" w:rsidP="00433029">
      <w:pPr>
        <w:pStyle w:val="Heading3"/>
        <w:numPr>
          <w:ilvl w:val="0"/>
          <w:numId w:val="0"/>
        </w:numPr>
        <w:spacing w:after="240" w:line="276" w:lineRule="auto"/>
        <w:ind w:left="720" w:hanging="360"/>
        <w:rPr>
          <w:rFonts w:cs="Times New Roman"/>
          <w:bCs/>
        </w:rPr>
      </w:pPr>
      <w:r w:rsidRPr="00B03142">
        <w:t>A</w:t>
      </w:r>
      <w:r w:rsidR="00BA0DFF" w:rsidRPr="00B03142">
        <w:t>.</w:t>
      </w:r>
      <w:r w:rsidR="00BA0DFF" w:rsidRPr="00B03142">
        <w:rPr>
          <w:rFonts w:cs="Times New Roman"/>
          <w:bCs/>
        </w:rPr>
        <w:t xml:space="preserve">3. </w:t>
      </w:r>
      <w:r w:rsidR="00E15E41" w:rsidRPr="00B03142">
        <w:rPr>
          <w:rFonts w:cs="Times New Roman"/>
          <w:bCs/>
        </w:rPr>
        <w:t>İstihdam</w:t>
      </w:r>
    </w:p>
    <w:p w14:paraId="278FE155" w14:textId="477E3F75" w:rsidR="00F472AC" w:rsidRPr="00B03142" w:rsidRDefault="00F472AC" w:rsidP="00B57345">
      <w:pPr>
        <w:ind w:firstLine="360"/>
        <w:rPr>
          <w:rFonts w:ascii="Times New Roman" w:hAnsi="Times New Roman" w:cs="Times New Roman"/>
          <w:sz w:val="24"/>
          <w:szCs w:val="24"/>
        </w:rPr>
      </w:pPr>
      <w:r w:rsidRPr="00B03142">
        <w:rPr>
          <w:rFonts w:ascii="Times New Roman" w:hAnsi="Times New Roman" w:cs="Times New Roman"/>
          <w:sz w:val="24"/>
          <w:szCs w:val="24"/>
        </w:rPr>
        <w:t xml:space="preserve">Çalışma dönemi için kullanılan sektörel istihdam verisi </w:t>
      </w:r>
      <w:r w:rsidR="00AA49EF" w:rsidRPr="00B03142">
        <w:rPr>
          <w:rFonts w:ascii="Times New Roman" w:hAnsi="Times New Roman" w:cs="Times New Roman"/>
          <w:sz w:val="24"/>
          <w:szCs w:val="24"/>
        </w:rPr>
        <w:t xml:space="preserve">TÜİK tarafından farklı dönemler için yayınlanan </w:t>
      </w:r>
      <w:r w:rsidRPr="00B03142">
        <w:rPr>
          <w:rFonts w:ascii="Times New Roman" w:hAnsi="Times New Roman" w:cs="Times New Roman"/>
          <w:sz w:val="24"/>
          <w:szCs w:val="24"/>
        </w:rPr>
        <w:t xml:space="preserve">4 farklı serinin birleştirilmesiyle elde edilmiştir.  </w:t>
      </w:r>
    </w:p>
    <w:p w14:paraId="78F3D877" w14:textId="3DDC00E0" w:rsidR="00AA49EF" w:rsidRPr="00B03142" w:rsidRDefault="00AA49EF" w:rsidP="00B57345">
      <w:pPr>
        <w:pStyle w:val="ListParagraph"/>
        <w:numPr>
          <w:ilvl w:val="0"/>
          <w:numId w:val="20"/>
        </w:numPr>
        <w:spacing w:after="120"/>
        <w:ind w:left="792" w:hanging="432"/>
        <w:jc w:val="both"/>
        <w:rPr>
          <w:rFonts w:ascii="Times New Roman" w:hAnsi="Times New Roman" w:cs="Times New Roman"/>
          <w:sz w:val="24"/>
          <w:szCs w:val="24"/>
        </w:rPr>
      </w:pPr>
      <w:r w:rsidRPr="00B03142">
        <w:rPr>
          <w:rFonts w:ascii="Times New Roman" w:hAnsi="Times New Roman" w:cs="Times New Roman"/>
          <w:sz w:val="24"/>
          <w:szCs w:val="24"/>
        </w:rPr>
        <w:lastRenderedPageBreak/>
        <w:t>1998-1999 yılları için “</w:t>
      </w:r>
      <w:r w:rsidRPr="00B03142">
        <w:rPr>
          <w:rFonts w:ascii="Times New Roman" w:hAnsi="Times New Roman" w:cs="Times New Roman"/>
          <w:i/>
          <w:iCs/>
          <w:sz w:val="24"/>
          <w:szCs w:val="24"/>
        </w:rPr>
        <w:t>İktisadi faaliyet koluna (9 grup) göre istihdam edilenler</w:t>
      </w:r>
      <w:r w:rsidRPr="00B03142">
        <w:rPr>
          <w:rFonts w:ascii="Times New Roman" w:hAnsi="Times New Roman" w:cs="Times New Roman"/>
          <w:sz w:val="24"/>
          <w:szCs w:val="24"/>
        </w:rPr>
        <w:t xml:space="preserve">” serisi kullanılmıştır. </w:t>
      </w:r>
      <w:r w:rsidR="0076674A" w:rsidRPr="00B03142">
        <w:rPr>
          <w:rFonts w:ascii="Times New Roman" w:hAnsi="Times New Roman" w:cs="Times New Roman"/>
          <w:sz w:val="24"/>
          <w:szCs w:val="24"/>
        </w:rPr>
        <w:t xml:space="preserve">Seri TÜİK’in İşgücü İstatistikleri (1988-2013) veri tabanından alınmıştır. </w:t>
      </w:r>
      <w:r w:rsidRPr="00B03142">
        <w:rPr>
          <w:rFonts w:ascii="Times New Roman" w:hAnsi="Times New Roman" w:cs="Times New Roman"/>
          <w:sz w:val="24"/>
          <w:szCs w:val="24"/>
        </w:rPr>
        <w:t>Seri 1988-1999 yıllarını kapsamaktadır. Seriyi oluşturan sektör kırılımı NACE Rev.1 sınıflandırmasına göre yapılmıştır.</w:t>
      </w:r>
      <w:r w:rsidR="0076674A" w:rsidRPr="00B03142">
        <w:rPr>
          <w:rFonts w:ascii="Times New Roman" w:hAnsi="Times New Roman" w:cs="Times New Roman"/>
          <w:sz w:val="24"/>
          <w:szCs w:val="24"/>
        </w:rPr>
        <w:t xml:space="preserve"> Çalışmada bu serideki sektör kırılımları aynen kullanılıp</w:t>
      </w:r>
      <w:r w:rsidR="00B40D68" w:rsidRPr="00B03142">
        <w:rPr>
          <w:rFonts w:ascii="Times New Roman" w:hAnsi="Times New Roman" w:cs="Times New Roman"/>
          <w:sz w:val="24"/>
          <w:szCs w:val="24"/>
        </w:rPr>
        <w:t>, 1998 ve 1999 yılları için</w:t>
      </w:r>
      <w:r w:rsidR="0076674A" w:rsidRPr="00B03142">
        <w:rPr>
          <w:rFonts w:ascii="Times New Roman" w:hAnsi="Times New Roman" w:cs="Times New Roman"/>
          <w:sz w:val="24"/>
          <w:szCs w:val="24"/>
        </w:rPr>
        <w:t xml:space="preserve"> sektörlerin toplam içindeki istihdam payları hesaplanmıştır. </w:t>
      </w:r>
    </w:p>
    <w:p w14:paraId="47196754" w14:textId="1FD303F6" w:rsidR="00B57345" w:rsidRPr="00B03142" w:rsidRDefault="00B40D68" w:rsidP="00B57345">
      <w:pPr>
        <w:pStyle w:val="ListParagraph"/>
        <w:numPr>
          <w:ilvl w:val="0"/>
          <w:numId w:val="20"/>
        </w:numPr>
        <w:spacing w:after="120"/>
        <w:ind w:left="792" w:hanging="432"/>
        <w:jc w:val="both"/>
        <w:rPr>
          <w:rFonts w:ascii="Times New Roman" w:hAnsi="Times New Roman" w:cs="Times New Roman"/>
          <w:sz w:val="24"/>
          <w:szCs w:val="24"/>
        </w:rPr>
      </w:pPr>
      <w:r w:rsidRPr="00B03142">
        <w:rPr>
          <w:rFonts w:ascii="Times New Roman" w:hAnsi="Times New Roman" w:cs="Times New Roman"/>
          <w:sz w:val="24"/>
          <w:szCs w:val="24"/>
        </w:rPr>
        <w:t>2000-2008 dönemi için “</w:t>
      </w:r>
      <w:r w:rsidRPr="00B03142">
        <w:rPr>
          <w:rFonts w:ascii="Times New Roman" w:hAnsi="Times New Roman" w:cs="Times New Roman"/>
          <w:i/>
          <w:iCs/>
          <w:sz w:val="24"/>
          <w:szCs w:val="24"/>
        </w:rPr>
        <w:t>İktisadi faaliyet koluna (9 grup) göre istihdam edilenler</w:t>
      </w:r>
      <w:r w:rsidRPr="00B03142">
        <w:rPr>
          <w:rFonts w:ascii="Times New Roman" w:hAnsi="Times New Roman" w:cs="Times New Roman"/>
          <w:sz w:val="24"/>
          <w:szCs w:val="24"/>
        </w:rPr>
        <w:t>” serisi kullanılmıştır. Seri TÜİK’in İşgücü İstatistikleri (1988-2013) veri tabanından alınmıştır. Seri 2000-2009 yıllarını kapsamaktadır. Seriyi oluşturan sektör kırılımı NACE Rev.1 sınıflandırmasına göre yapılmıştır. Çalışmada bu serideki sektör kırılımları aynen kullanılıp, 200</w:t>
      </w:r>
      <w:r w:rsidR="00B57345" w:rsidRPr="00B03142">
        <w:rPr>
          <w:rFonts w:ascii="Times New Roman" w:hAnsi="Times New Roman" w:cs="Times New Roman"/>
          <w:sz w:val="24"/>
          <w:szCs w:val="24"/>
        </w:rPr>
        <w:t>0-2008 dönemi için</w:t>
      </w:r>
      <w:r w:rsidRPr="00B03142">
        <w:rPr>
          <w:rFonts w:ascii="Times New Roman" w:hAnsi="Times New Roman" w:cs="Times New Roman"/>
          <w:sz w:val="24"/>
          <w:szCs w:val="24"/>
        </w:rPr>
        <w:t xml:space="preserve"> sektörlerin toplam içindeki istihdam payları hesaplanmıştır.</w:t>
      </w:r>
    </w:p>
    <w:p w14:paraId="4B2A8928" w14:textId="0DE8353B" w:rsidR="00235FF6" w:rsidRPr="00B03142" w:rsidRDefault="002E21A2" w:rsidP="00235FF6">
      <w:pPr>
        <w:pStyle w:val="ListParagraph"/>
        <w:numPr>
          <w:ilvl w:val="0"/>
          <w:numId w:val="20"/>
        </w:numPr>
        <w:spacing w:after="120"/>
        <w:ind w:left="792" w:hanging="432"/>
        <w:jc w:val="both"/>
        <w:rPr>
          <w:rFonts w:ascii="Times New Roman" w:hAnsi="Times New Roman" w:cs="Times New Roman"/>
          <w:sz w:val="24"/>
          <w:szCs w:val="24"/>
        </w:rPr>
      </w:pPr>
      <w:r w:rsidRPr="00B03142">
        <w:rPr>
          <w:rFonts w:ascii="Times New Roman" w:hAnsi="Times New Roman" w:cs="Times New Roman"/>
          <w:sz w:val="24"/>
          <w:szCs w:val="24"/>
        </w:rPr>
        <w:t xml:space="preserve">2009-2013 dönemi için </w:t>
      </w:r>
      <w:r w:rsidR="00235FF6" w:rsidRPr="00B03142">
        <w:rPr>
          <w:rFonts w:ascii="Times New Roman" w:hAnsi="Times New Roman" w:cs="Times New Roman"/>
          <w:sz w:val="24"/>
          <w:szCs w:val="24"/>
        </w:rPr>
        <w:t>“</w:t>
      </w:r>
      <w:r w:rsidR="00235FF6" w:rsidRPr="00B03142">
        <w:rPr>
          <w:rFonts w:ascii="Times New Roman" w:hAnsi="Times New Roman" w:cs="Times New Roman"/>
          <w:i/>
          <w:iCs/>
          <w:sz w:val="24"/>
          <w:szCs w:val="24"/>
        </w:rPr>
        <w:t>İktisadi faaliyet koluna (18 grup) göre istihdam edilenler</w:t>
      </w:r>
      <w:r w:rsidR="00235FF6" w:rsidRPr="00B03142">
        <w:rPr>
          <w:rFonts w:ascii="Times New Roman" w:hAnsi="Times New Roman" w:cs="Times New Roman"/>
          <w:sz w:val="24"/>
          <w:szCs w:val="24"/>
        </w:rPr>
        <w:t>” serisi kullanılmıştır. Seri TÜİK’in İşgücü İstatistikleri (1988-2013) veri tabanından alınmıştır. Seri 2009-2013 yıllarını kapsamaktadır. Seriyi oluşturan sektör kırılımı NACE Rev.2 sınıflandırmasına göre yapılmıştır.</w:t>
      </w:r>
      <w:r w:rsidR="00D338E3" w:rsidRPr="00B03142">
        <w:rPr>
          <w:rFonts w:ascii="Times New Roman" w:hAnsi="Times New Roman" w:cs="Times New Roman"/>
          <w:sz w:val="24"/>
          <w:szCs w:val="24"/>
        </w:rPr>
        <w:t xml:space="preserve"> Ham seri </w:t>
      </w:r>
      <w:r w:rsidR="00235FF6" w:rsidRPr="00B03142">
        <w:rPr>
          <w:rFonts w:ascii="Times New Roman" w:hAnsi="Times New Roman" w:cs="Times New Roman"/>
          <w:sz w:val="24"/>
          <w:szCs w:val="24"/>
        </w:rPr>
        <w:t>200</w:t>
      </w:r>
      <w:r w:rsidR="00D338E3" w:rsidRPr="00B03142">
        <w:rPr>
          <w:rFonts w:ascii="Times New Roman" w:hAnsi="Times New Roman" w:cs="Times New Roman"/>
          <w:sz w:val="24"/>
          <w:szCs w:val="24"/>
        </w:rPr>
        <w:t>9</w:t>
      </w:r>
      <w:r w:rsidR="00235FF6" w:rsidRPr="00B03142">
        <w:rPr>
          <w:rFonts w:ascii="Times New Roman" w:hAnsi="Times New Roman" w:cs="Times New Roman"/>
          <w:sz w:val="24"/>
          <w:szCs w:val="24"/>
        </w:rPr>
        <w:t>-20</w:t>
      </w:r>
      <w:r w:rsidR="00D338E3" w:rsidRPr="00B03142">
        <w:rPr>
          <w:rFonts w:ascii="Times New Roman" w:hAnsi="Times New Roman" w:cs="Times New Roman"/>
          <w:sz w:val="24"/>
          <w:szCs w:val="24"/>
        </w:rPr>
        <w:t>13</w:t>
      </w:r>
      <w:r w:rsidR="00235FF6" w:rsidRPr="00B03142">
        <w:rPr>
          <w:rFonts w:ascii="Times New Roman" w:hAnsi="Times New Roman" w:cs="Times New Roman"/>
          <w:sz w:val="24"/>
          <w:szCs w:val="24"/>
        </w:rPr>
        <w:t xml:space="preserve"> dönemi için sektörlerin toplam içindeki istihdam payları</w:t>
      </w:r>
      <w:r w:rsidR="00D338E3" w:rsidRPr="00B03142">
        <w:rPr>
          <w:rFonts w:ascii="Times New Roman" w:hAnsi="Times New Roman" w:cs="Times New Roman"/>
          <w:sz w:val="24"/>
          <w:szCs w:val="24"/>
        </w:rPr>
        <w:t>nı</w:t>
      </w:r>
      <w:r w:rsidR="00235FF6" w:rsidRPr="00B03142">
        <w:rPr>
          <w:rFonts w:ascii="Times New Roman" w:hAnsi="Times New Roman" w:cs="Times New Roman"/>
          <w:sz w:val="24"/>
          <w:szCs w:val="24"/>
        </w:rPr>
        <w:t xml:space="preserve"> hesapla</w:t>
      </w:r>
      <w:r w:rsidR="00D338E3" w:rsidRPr="00B03142">
        <w:rPr>
          <w:rFonts w:ascii="Times New Roman" w:hAnsi="Times New Roman" w:cs="Times New Roman"/>
          <w:sz w:val="24"/>
          <w:szCs w:val="24"/>
        </w:rPr>
        <w:t>mak için kullanılmıştır. 18 sektörün istihdam verileri aşağıdaki şekilde 9 sektöre toplulaştırılmıştır:</w:t>
      </w:r>
    </w:p>
    <w:p w14:paraId="543016BD" w14:textId="78984478" w:rsidR="002646CA" w:rsidRPr="00B03142" w:rsidRDefault="002646CA" w:rsidP="002646CA">
      <w:pPr>
        <w:pStyle w:val="ListParagraph"/>
        <w:numPr>
          <w:ilvl w:val="0"/>
          <w:numId w:val="21"/>
        </w:numPr>
        <w:ind w:left="1152" w:hanging="360"/>
        <w:jc w:val="both"/>
        <w:rPr>
          <w:rFonts w:ascii="Times New Roman" w:hAnsi="Times New Roman" w:cs="Times New Roman"/>
          <w:sz w:val="24"/>
          <w:szCs w:val="24"/>
        </w:rPr>
      </w:pPr>
      <w:r w:rsidRPr="00B03142">
        <w:rPr>
          <w:rFonts w:ascii="Times New Roman" w:hAnsi="Times New Roman" w:cs="Times New Roman"/>
          <w:sz w:val="24"/>
          <w:szCs w:val="24"/>
        </w:rPr>
        <w:t>TAR: Tarım, ormancılık ve balıkçılık</w:t>
      </w:r>
    </w:p>
    <w:p w14:paraId="57D739B0" w14:textId="5FE61F84" w:rsidR="002646CA" w:rsidRPr="00B03142" w:rsidRDefault="002646CA" w:rsidP="002646CA">
      <w:pPr>
        <w:pStyle w:val="ListParagraph"/>
        <w:numPr>
          <w:ilvl w:val="0"/>
          <w:numId w:val="21"/>
        </w:numPr>
        <w:ind w:left="1152" w:hanging="360"/>
        <w:jc w:val="both"/>
        <w:rPr>
          <w:rFonts w:ascii="Times New Roman" w:hAnsi="Times New Roman" w:cs="Times New Roman"/>
          <w:sz w:val="24"/>
          <w:szCs w:val="24"/>
        </w:rPr>
      </w:pPr>
      <w:r w:rsidRPr="00B03142">
        <w:rPr>
          <w:rFonts w:ascii="Times New Roman" w:hAnsi="Times New Roman" w:cs="Times New Roman"/>
          <w:sz w:val="24"/>
          <w:szCs w:val="24"/>
        </w:rPr>
        <w:t xml:space="preserve">MAD: Madencilik ve taşocakçılığı </w:t>
      </w:r>
    </w:p>
    <w:p w14:paraId="76CD016E" w14:textId="077AAB3D" w:rsidR="002646CA" w:rsidRPr="00B03142" w:rsidRDefault="002646CA" w:rsidP="002646CA">
      <w:pPr>
        <w:pStyle w:val="ListParagraph"/>
        <w:numPr>
          <w:ilvl w:val="0"/>
          <w:numId w:val="21"/>
        </w:numPr>
        <w:ind w:left="1152" w:hanging="360"/>
        <w:jc w:val="both"/>
        <w:rPr>
          <w:rFonts w:ascii="Times New Roman" w:hAnsi="Times New Roman" w:cs="Times New Roman"/>
          <w:sz w:val="24"/>
          <w:szCs w:val="24"/>
        </w:rPr>
      </w:pPr>
      <w:r w:rsidRPr="00B03142">
        <w:rPr>
          <w:rFonts w:ascii="Times New Roman" w:hAnsi="Times New Roman" w:cs="Times New Roman"/>
          <w:sz w:val="24"/>
          <w:szCs w:val="24"/>
        </w:rPr>
        <w:t>İMA: İmalat sanayi</w:t>
      </w:r>
    </w:p>
    <w:p w14:paraId="31BCD9C4" w14:textId="0E5C7D3F" w:rsidR="002646CA" w:rsidRPr="00B03142" w:rsidRDefault="002646CA" w:rsidP="002646CA">
      <w:pPr>
        <w:pStyle w:val="ListParagraph"/>
        <w:numPr>
          <w:ilvl w:val="0"/>
          <w:numId w:val="21"/>
        </w:numPr>
        <w:ind w:left="1152" w:hanging="360"/>
        <w:jc w:val="both"/>
        <w:rPr>
          <w:rFonts w:ascii="Times New Roman" w:hAnsi="Times New Roman" w:cs="Times New Roman"/>
          <w:sz w:val="24"/>
          <w:szCs w:val="24"/>
        </w:rPr>
      </w:pPr>
      <w:r w:rsidRPr="00B03142">
        <w:rPr>
          <w:rFonts w:ascii="Times New Roman" w:hAnsi="Times New Roman" w:cs="Times New Roman"/>
          <w:sz w:val="24"/>
          <w:szCs w:val="24"/>
        </w:rPr>
        <w:t xml:space="preserve">EGS: </w:t>
      </w:r>
      <w:r w:rsidR="009D2D71" w:rsidRPr="00B03142">
        <w:rPr>
          <w:rFonts w:ascii="Times New Roman" w:hAnsi="Times New Roman" w:cs="Times New Roman"/>
          <w:sz w:val="24"/>
          <w:szCs w:val="24"/>
        </w:rPr>
        <w:t>Elektrik, gaz, buhar, su ve kanalizasyon</w:t>
      </w:r>
    </w:p>
    <w:p w14:paraId="742FEF10" w14:textId="24954A9F" w:rsidR="002646CA" w:rsidRPr="00B03142" w:rsidRDefault="002646CA" w:rsidP="002646CA">
      <w:pPr>
        <w:pStyle w:val="ListParagraph"/>
        <w:numPr>
          <w:ilvl w:val="0"/>
          <w:numId w:val="21"/>
        </w:numPr>
        <w:ind w:left="1152" w:hanging="360"/>
        <w:jc w:val="both"/>
        <w:rPr>
          <w:rFonts w:ascii="Times New Roman" w:hAnsi="Times New Roman" w:cs="Times New Roman"/>
          <w:sz w:val="24"/>
          <w:szCs w:val="24"/>
        </w:rPr>
      </w:pPr>
      <w:r w:rsidRPr="00B03142">
        <w:rPr>
          <w:rFonts w:ascii="Times New Roman" w:hAnsi="Times New Roman" w:cs="Times New Roman"/>
          <w:sz w:val="24"/>
          <w:szCs w:val="24"/>
        </w:rPr>
        <w:t>İNŞ: İnşaat</w:t>
      </w:r>
    </w:p>
    <w:p w14:paraId="4A862969" w14:textId="6A67BCA7" w:rsidR="002646CA" w:rsidRPr="00B03142" w:rsidRDefault="002646CA" w:rsidP="002646CA">
      <w:pPr>
        <w:pStyle w:val="ListParagraph"/>
        <w:numPr>
          <w:ilvl w:val="0"/>
          <w:numId w:val="21"/>
        </w:numPr>
        <w:ind w:left="1152" w:hanging="360"/>
        <w:jc w:val="both"/>
        <w:rPr>
          <w:rFonts w:ascii="Times New Roman" w:hAnsi="Times New Roman" w:cs="Times New Roman"/>
          <w:sz w:val="24"/>
          <w:szCs w:val="24"/>
        </w:rPr>
      </w:pPr>
      <w:r w:rsidRPr="00B03142">
        <w:rPr>
          <w:rFonts w:ascii="Times New Roman" w:hAnsi="Times New Roman" w:cs="Times New Roman"/>
          <w:sz w:val="24"/>
          <w:szCs w:val="24"/>
        </w:rPr>
        <w:t xml:space="preserve">TİC: </w:t>
      </w:r>
      <w:r w:rsidR="00317CB6" w:rsidRPr="00B03142">
        <w:rPr>
          <w:rFonts w:ascii="Times New Roman" w:hAnsi="Times New Roman" w:cs="Times New Roman"/>
          <w:sz w:val="24"/>
          <w:szCs w:val="24"/>
        </w:rPr>
        <w:t>Toptan ve perakende ticaret + Konaklama ve yiyecek hizmeti faaliyetleri</w:t>
      </w:r>
    </w:p>
    <w:p w14:paraId="1676A220" w14:textId="4A761CC0" w:rsidR="002646CA" w:rsidRPr="00B03142" w:rsidRDefault="002646CA" w:rsidP="002646CA">
      <w:pPr>
        <w:pStyle w:val="ListParagraph"/>
        <w:numPr>
          <w:ilvl w:val="0"/>
          <w:numId w:val="21"/>
        </w:numPr>
        <w:ind w:left="1152" w:hanging="360"/>
        <w:jc w:val="both"/>
        <w:rPr>
          <w:rFonts w:ascii="Times New Roman" w:hAnsi="Times New Roman" w:cs="Times New Roman"/>
          <w:sz w:val="24"/>
          <w:szCs w:val="24"/>
        </w:rPr>
      </w:pPr>
      <w:r w:rsidRPr="00B03142">
        <w:rPr>
          <w:rFonts w:ascii="Times New Roman" w:hAnsi="Times New Roman" w:cs="Times New Roman"/>
          <w:sz w:val="24"/>
          <w:szCs w:val="24"/>
        </w:rPr>
        <w:t>UHD: Ulaştırma ve depolama + Bilgi ve iletişim</w:t>
      </w:r>
    </w:p>
    <w:p w14:paraId="6E7A1E87" w14:textId="0A2BAE3F" w:rsidR="002646CA" w:rsidRPr="00B03142" w:rsidRDefault="002646CA" w:rsidP="002646CA">
      <w:pPr>
        <w:pStyle w:val="ListParagraph"/>
        <w:numPr>
          <w:ilvl w:val="0"/>
          <w:numId w:val="21"/>
        </w:numPr>
        <w:ind w:left="1152" w:hanging="360"/>
        <w:jc w:val="both"/>
        <w:rPr>
          <w:rFonts w:ascii="Times New Roman" w:hAnsi="Times New Roman" w:cs="Times New Roman"/>
          <w:sz w:val="24"/>
          <w:szCs w:val="24"/>
        </w:rPr>
      </w:pPr>
      <w:r w:rsidRPr="00B03142">
        <w:rPr>
          <w:rFonts w:ascii="Times New Roman" w:hAnsi="Times New Roman" w:cs="Times New Roman"/>
          <w:sz w:val="24"/>
          <w:szCs w:val="24"/>
        </w:rPr>
        <w:t>FİGM: Finans ve sigorta faaliyetleri + Gayrimenkul faaliyetleri + Mesleki, bilimsel ve teknik faaliyetler + İdari ve destek hizmet faaliyetleri</w:t>
      </w:r>
    </w:p>
    <w:p w14:paraId="3F172321" w14:textId="09A8EF04" w:rsidR="00D338E3" w:rsidRPr="00B03142" w:rsidRDefault="002646CA" w:rsidP="000B1DCF">
      <w:pPr>
        <w:pStyle w:val="ListParagraph"/>
        <w:numPr>
          <w:ilvl w:val="0"/>
          <w:numId w:val="21"/>
        </w:numPr>
        <w:ind w:left="1152" w:hanging="360"/>
        <w:jc w:val="both"/>
        <w:rPr>
          <w:rFonts w:ascii="Times New Roman" w:hAnsi="Times New Roman" w:cs="Times New Roman"/>
          <w:sz w:val="24"/>
          <w:szCs w:val="24"/>
        </w:rPr>
      </w:pPr>
      <w:r w:rsidRPr="00B03142">
        <w:rPr>
          <w:rFonts w:ascii="Times New Roman" w:hAnsi="Times New Roman" w:cs="Times New Roman"/>
          <w:sz w:val="24"/>
          <w:szCs w:val="24"/>
        </w:rPr>
        <w:t>DKÖH: Kamu yönetimi ve savunma</w:t>
      </w:r>
      <w:r w:rsidR="004B12F0" w:rsidRPr="00B03142">
        <w:rPr>
          <w:rFonts w:ascii="Times New Roman" w:hAnsi="Times New Roman" w:cs="Times New Roman"/>
          <w:sz w:val="24"/>
          <w:szCs w:val="24"/>
        </w:rPr>
        <w:t xml:space="preserve"> </w:t>
      </w:r>
      <w:r w:rsidRPr="00B03142">
        <w:rPr>
          <w:rFonts w:ascii="Times New Roman" w:hAnsi="Times New Roman" w:cs="Times New Roman"/>
          <w:sz w:val="24"/>
          <w:szCs w:val="24"/>
        </w:rPr>
        <w:t xml:space="preserve">+ </w:t>
      </w:r>
      <w:r w:rsidR="004B12F0" w:rsidRPr="00B03142">
        <w:rPr>
          <w:rFonts w:ascii="Times New Roman" w:hAnsi="Times New Roman" w:cs="Times New Roman"/>
          <w:sz w:val="24"/>
          <w:szCs w:val="24"/>
        </w:rPr>
        <w:t>Eğitim hizmetleri</w:t>
      </w:r>
      <w:r w:rsidRPr="00B03142">
        <w:rPr>
          <w:rFonts w:ascii="Times New Roman" w:hAnsi="Times New Roman" w:cs="Times New Roman"/>
          <w:sz w:val="24"/>
          <w:szCs w:val="24"/>
        </w:rPr>
        <w:t xml:space="preserve"> + İnsan sağlığı ve sosyal hizmet faaliyetleri + Kültür, sanat, eğlence, dinlence ve spor + Diğer hizmet faaliyetleri</w:t>
      </w:r>
    </w:p>
    <w:p w14:paraId="7D4BC284" w14:textId="44A1D59D" w:rsidR="00B57345" w:rsidRPr="00B03142" w:rsidRDefault="000B1DCF" w:rsidP="00FC1F5F">
      <w:pPr>
        <w:pStyle w:val="ListParagraph"/>
        <w:numPr>
          <w:ilvl w:val="0"/>
          <w:numId w:val="20"/>
        </w:numPr>
        <w:spacing w:after="120"/>
        <w:ind w:left="792" w:hanging="432"/>
        <w:jc w:val="both"/>
        <w:rPr>
          <w:rFonts w:ascii="Times New Roman" w:hAnsi="Times New Roman" w:cs="Times New Roman"/>
          <w:sz w:val="24"/>
          <w:szCs w:val="24"/>
        </w:rPr>
      </w:pPr>
      <w:r w:rsidRPr="00B03142">
        <w:rPr>
          <w:rFonts w:ascii="Times New Roman" w:hAnsi="Times New Roman" w:cs="Times New Roman"/>
          <w:sz w:val="24"/>
          <w:szCs w:val="24"/>
        </w:rPr>
        <w:t xml:space="preserve">2014 ve sonrası için </w:t>
      </w:r>
      <w:r w:rsidR="0073502C" w:rsidRPr="00B03142">
        <w:rPr>
          <w:rFonts w:ascii="Times New Roman" w:hAnsi="Times New Roman" w:cs="Times New Roman"/>
          <w:sz w:val="24"/>
          <w:szCs w:val="24"/>
        </w:rPr>
        <w:t>“</w:t>
      </w:r>
      <w:r w:rsidR="0073502C" w:rsidRPr="00B03142">
        <w:rPr>
          <w:rFonts w:ascii="Times New Roman" w:hAnsi="Times New Roman" w:cs="Times New Roman"/>
          <w:i/>
          <w:iCs/>
          <w:sz w:val="24"/>
          <w:szCs w:val="24"/>
        </w:rPr>
        <w:t>İktisadi faaliyet kolu (18 grup)-Rev.2</w:t>
      </w:r>
      <w:r w:rsidR="0073502C" w:rsidRPr="00B03142">
        <w:rPr>
          <w:rFonts w:ascii="Times New Roman" w:hAnsi="Times New Roman" w:cs="Times New Roman"/>
          <w:sz w:val="24"/>
          <w:szCs w:val="24"/>
        </w:rPr>
        <w:t>” serisi kullanılmıştır. Seri TÜİK’in İşgücü İstatistikleri (2014 ve Sonrası) veri tabanından alınmıştır. Seri 2014 ve sonrasındaki dönemi kapsamaktadır. Seriyi oluşturan sektör kırılımı NACE Rev.2 sınıflandırmasına göre yapılmıştır. 18 sektörün istihdam verileri iii. maddede gösterildiği şekilde 9 sektöre toplulaştırılmıştır. Ham seri toplulaştırma sonrası aynen kullanılmıştır.</w:t>
      </w:r>
    </w:p>
    <w:p w14:paraId="4E0E69B1" w14:textId="45DD5A7C" w:rsidR="0073502C" w:rsidRPr="00B03142" w:rsidRDefault="00484694" w:rsidP="00E019E2">
      <w:pPr>
        <w:spacing w:after="120"/>
        <w:ind w:firstLine="360"/>
        <w:jc w:val="both"/>
        <w:rPr>
          <w:rFonts w:ascii="Times New Roman" w:hAnsi="Times New Roman" w:cs="Times New Roman"/>
          <w:sz w:val="24"/>
          <w:szCs w:val="24"/>
        </w:rPr>
      </w:pPr>
      <w:r w:rsidRPr="00B03142">
        <w:rPr>
          <w:rFonts w:ascii="Times New Roman" w:hAnsi="Times New Roman" w:cs="Times New Roman"/>
          <w:sz w:val="24"/>
          <w:szCs w:val="24"/>
        </w:rPr>
        <w:t>Bu çalışmada madde (iv)’te tanıtılan, TÜİK’in 2014 yılında yayınlamaya başladığı</w:t>
      </w:r>
      <w:r w:rsidR="00E35872" w:rsidRPr="00B03142">
        <w:rPr>
          <w:rFonts w:ascii="Times New Roman" w:hAnsi="Times New Roman" w:cs="Times New Roman"/>
          <w:sz w:val="24"/>
          <w:szCs w:val="24"/>
        </w:rPr>
        <w:t xml:space="preserve"> yeni</w:t>
      </w:r>
      <w:r w:rsidRPr="00B03142">
        <w:rPr>
          <w:rFonts w:ascii="Times New Roman" w:hAnsi="Times New Roman" w:cs="Times New Roman"/>
          <w:sz w:val="24"/>
          <w:szCs w:val="24"/>
        </w:rPr>
        <w:t xml:space="preserve"> istihdam serisi 9 sektör toplulaştırması yapıldıktan sonra aynen kullanılmıştır. TÜİK </w:t>
      </w:r>
      <w:r w:rsidR="00E35872" w:rsidRPr="00B03142">
        <w:rPr>
          <w:rFonts w:ascii="Times New Roman" w:hAnsi="Times New Roman" w:cs="Times New Roman"/>
          <w:sz w:val="24"/>
          <w:szCs w:val="24"/>
        </w:rPr>
        <w:t>yeni</w:t>
      </w:r>
      <w:r w:rsidRPr="00B03142">
        <w:rPr>
          <w:rFonts w:ascii="Times New Roman" w:hAnsi="Times New Roman" w:cs="Times New Roman"/>
          <w:sz w:val="24"/>
          <w:szCs w:val="24"/>
        </w:rPr>
        <w:t xml:space="preserve"> seriyi </w:t>
      </w:r>
      <w:r w:rsidR="00E35872" w:rsidRPr="00B03142">
        <w:rPr>
          <w:rFonts w:ascii="Times New Roman" w:hAnsi="Times New Roman" w:cs="Times New Roman"/>
          <w:sz w:val="24"/>
          <w:szCs w:val="24"/>
        </w:rPr>
        <w:t xml:space="preserve">tarım, sanayi, inşaat ve hizmetler sektörleri ile toplam istihdam için </w:t>
      </w:r>
      <w:r w:rsidRPr="00B03142">
        <w:rPr>
          <w:rFonts w:ascii="Times New Roman" w:hAnsi="Times New Roman" w:cs="Times New Roman"/>
          <w:sz w:val="24"/>
          <w:szCs w:val="24"/>
        </w:rPr>
        <w:t>2005</w:t>
      </w:r>
      <w:r w:rsidR="00E35872" w:rsidRPr="00B03142">
        <w:rPr>
          <w:rFonts w:ascii="Times New Roman" w:hAnsi="Times New Roman" w:cs="Times New Roman"/>
          <w:sz w:val="24"/>
          <w:szCs w:val="24"/>
        </w:rPr>
        <w:t xml:space="preserve">-2013 dönemi için geri götürmüştür. Uzatılan seriden tarım ve inşaat </w:t>
      </w:r>
      <w:r w:rsidR="00CB7A19" w:rsidRPr="00B03142">
        <w:rPr>
          <w:rFonts w:ascii="Times New Roman" w:hAnsi="Times New Roman" w:cs="Times New Roman"/>
          <w:sz w:val="24"/>
          <w:szCs w:val="24"/>
        </w:rPr>
        <w:t xml:space="preserve">sektör verileri bu yıllarda ilgili sektörler için </w:t>
      </w:r>
      <w:r w:rsidR="00E35872" w:rsidRPr="00B03142">
        <w:rPr>
          <w:rFonts w:ascii="Times New Roman" w:hAnsi="Times New Roman" w:cs="Times New Roman"/>
          <w:sz w:val="24"/>
          <w:szCs w:val="24"/>
        </w:rPr>
        <w:t>aynen kullanılmıştır. Sanayi ve hizmetler sektörü verileri ise madde (ii) ve (iii)’te tanıtılan sektörel istihdam payları kullanılarak alt bileşenlerine ayrılmıştır. 2005 öncesi dönem için önce toplam istihdam serisi TÜİK İstatistik Göstergeler 1923-2007 Raporu Tablo 9.4’teki toplam istihdam serisinden elde edilen istihdam artış</w:t>
      </w:r>
      <w:r w:rsidR="00CB7A19" w:rsidRPr="00B03142">
        <w:rPr>
          <w:rFonts w:ascii="Times New Roman" w:hAnsi="Times New Roman" w:cs="Times New Roman"/>
          <w:sz w:val="24"/>
          <w:szCs w:val="24"/>
        </w:rPr>
        <w:t xml:space="preserve"> oranlarıyla</w:t>
      </w:r>
      <w:r w:rsidR="00E35872" w:rsidRPr="00B03142">
        <w:rPr>
          <w:rFonts w:ascii="Times New Roman" w:hAnsi="Times New Roman" w:cs="Times New Roman"/>
          <w:sz w:val="24"/>
          <w:szCs w:val="24"/>
        </w:rPr>
        <w:t xml:space="preserve"> geriye uzatılmıştır. Uzatılan</w:t>
      </w:r>
      <w:r w:rsidR="004C4769" w:rsidRPr="00B03142">
        <w:rPr>
          <w:rFonts w:ascii="Times New Roman" w:hAnsi="Times New Roman" w:cs="Times New Roman"/>
          <w:sz w:val="24"/>
          <w:szCs w:val="24"/>
        </w:rPr>
        <w:t xml:space="preserve"> toplam istihdam</w:t>
      </w:r>
      <w:r w:rsidR="00E35872" w:rsidRPr="00B03142">
        <w:rPr>
          <w:rFonts w:ascii="Times New Roman" w:hAnsi="Times New Roman" w:cs="Times New Roman"/>
          <w:sz w:val="24"/>
          <w:szCs w:val="24"/>
        </w:rPr>
        <w:t xml:space="preserve"> seri</w:t>
      </w:r>
      <w:r w:rsidR="004C4769" w:rsidRPr="00B03142">
        <w:rPr>
          <w:rFonts w:ascii="Times New Roman" w:hAnsi="Times New Roman" w:cs="Times New Roman"/>
          <w:sz w:val="24"/>
          <w:szCs w:val="24"/>
        </w:rPr>
        <w:t>si</w:t>
      </w:r>
      <w:r w:rsidR="00E35872" w:rsidRPr="00B03142">
        <w:rPr>
          <w:rFonts w:ascii="Times New Roman" w:hAnsi="Times New Roman" w:cs="Times New Roman"/>
          <w:sz w:val="24"/>
          <w:szCs w:val="24"/>
        </w:rPr>
        <w:t xml:space="preserve"> </w:t>
      </w:r>
      <w:r w:rsidR="00E35872" w:rsidRPr="00B03142">
        <w:rPr>
          <w:rFonts w:ascii="Times New Roman" w:hAnsi="Times New Roman" w:cs="Times New Roman"/>
          <w:sz w:val="24"/>
          <w:szCs w:val="24"/>
        </w:rPr>
        <w:lastRenderedPageBreak/>
        <w:t>ve madde (i)</w:t>
      </w:r>
      <w:r w:rsidR="004C4769" w:rsidRPr="00B03142">
        <w:rPr>
          <w:rFonts w:ascii="Times New Roman" w:hAnsi="Times New Roman" w:cs="Times New Roman"/>
          <w:sz w:val="24"/>
          <w:szCs w:val="24"/>
        </w:rPr>
        <w:t xml:space="preserve"> ve (ii)</w:t>
      </w:r>
      <w:r w:rsidR="00E35872" w:rsidRPr="00B03142">
        <w:rPr>
          <w:rFonts w:ascii="Times New Roman" w:hAnsi="Times New Roman" w:cs="Times New Roman"/>
          <w:sz w:val="24"/>
          <w:szCs w:val="24"/>
        </w:rPr>
        <w:t>’deki sektörel istihdam payları kullanılarak 199</w:t>
      </w:r>
      <w:r w:rsidR="004C4769" w:rsidRPr="00B03142">
        <w:rPr>
          <w:rFonts w:ascii="Times New Roman" w:hAnsi="Times New Roman" w:cs="Times New Roman"/>
          <w:sz w:val="24"/>
          <w:szCs w:val="24"/>
        </w:rPr>
        <w:t>8</w:t>
      </w:r>
      <w:r w:rsidR="00E35872" w:rsidRPr="00B03142">
        <w:rPr>
          <w:rFonts w:ascii="Times New Roman" w:hAnsi="Times New Roman" w:cs="Times New Roman"/>
          <w:sz w:val="24"/>
          <w:szCs w:val="24"/>
        </w:rPr>
        <w:t>-200</w:t>
      </w:r>
      <w:r w:rsidR="004C4769" w:rsidRPr="00B03142">
        <w:rPr>
          <w:rFonts w:ascii="Times New Roman" w:hAnsi="Times New Roman" w:cs="Times New Roman"/>
          <w:sz w:val="24"/>
          <w:szCs w:val="24"/>
        </w:rPr>
        <w:t>4 dönemi için 9 sektör olarak alt bileşenlerine ayrılmıştır.</w:t>
      </w:r>
    </w:p>
    <w:p w14:paraId="1A2939EF" w14:textId="48017FF8" w:rsidR="00E15E41" w:rsidRPr="00B03142" w:rsidRDefault="00E15E41" w:rsidP="008D0759">
      <w:pPr>
        <w:spacing w:line="276" w:lineRule="auto"/>
        <w:jc w:val="both"/>
        <w:rPr>
          <w:rFonts w:ascii="Times New Roman" w:hAnsi="Times New Roman" w:cs="Times New Roman"/>
          <w:b/>
          <w:bCs/>
          <w:sz w:val="24"/>
          <w:szCs w:val="24"/>
        </w:rPr>
      </w:pPr>
    </w:p>
    <w:p w14:paraId="2FB6427D" w14:textId="074B2E91" w:rsidR="00EE710B" w:rsidRPr="00B03142" w:rsidRDefault="00E05D11" w:rsidP="00EE710B">
      <w:pPr>
        <w:pStyle w:val="Heading2"/>
        <w:numPr>
          <w:ilvl w:val="0"/>
          <w:numId w:val="11"/>
        </w:numPr>
        <w:spacing w:after="240" w:line="276" w:lineRule="auto"/>
        <w:ind w:left="360"/>
      </w:pPr>
      <w:r>
        <w:t>Ek Tablolar</w:t>
      </w:r>
    </w:p>
    <w:p w14:paraId="7E19A321" w14:textId="2F715A4E" w:rsidR="00B96085" w:rsidRPr="00B03142" w:rsidRDefault="00B96085" w:rsidP="00B96085">
      <w:pPr>
        <w:pStyle w:val="Caption"/>
        <w:keepNext/>
        <w:ind w:left="360"/>
        <w:jc w:val="center"/>
        <w:rPr>
          <w:rFonts w:ascii="Times New Roman" w:hAnsi="Times New Roman" w:cs="Times New Roman"/>
          <w:b/>
          <w:bCs/>
          <w:i w:val="0"/>
          <w:iCs w:val="0"/>
          <w:color w:val="auto"/>
          <w:sz w:val="22"/>
          <w:szCs w:val="22"/>
        </w:rPr>
      </w:pPr>
      <w:r w:rsidRPr="00B03142">
        <w:rPr>
          <w:rFonts w:ascii="Times New Roman" w:hAnsi="Times New Roman" w:cs="Times New Roman"/>
          <w:b/>
          <w:bCs/>
          <w:i w:val="0"/>
          <w:iCs w:val="0"/>
          <w:color w:val="auto"/>
          <w:sz w:val="22"/>
          <w:szCs w:val="22"/>
        </w:rPr>
        <w:t>Tablo B.1. Kredi ve Üretim Payı Korelasyonları (2004-2015)</w:t>
      </w:r>
    </w:p>
    <w:tbl>
      <w:tblPr>
        <w:tblStyle w:val="TableGrid"/>
        <w:tblW w:w="0" w:type="auto"/>
        <w:jc w:val="center"/>
        <w:tblLook w:val="04A0" w:firstRow="1" w:lastRow="0" w:firstColumn="1" w:lastColumn="0" w:noHBand="0" w:noVBand="1"/>
      </w:tblPr>
      <w:tblGrid>
        <w:gridCol w:w="828"/>
        <w:gridCol w:w="761"/>
        <w:gridCol w:w="826"/>
        <w:gridCol w:w="761"/>
        <w:gridCol w:w="1218"/>
        <w:gridCol w:w="696"/>
        <w:gridCol w:w="698"/>
        <w:gridCol w:w="763"/>
      </w:tblGrid>
      <w:tr w:rsidR="00B96085" w:rsidRPr="00B03142" w14:paraId="758F71FF" w14:textId="77777777" w:rsidTr="00411585">
        <w:trPr>
          <w:trHeight w:val="288"/>
          <w:jc w:val="center"/>
        </w:trPr>
        <w:tc>
          <w:tcPr>
            <w:tcW w:w="0" w:type="auto"/>
            <w:vAlign w:val="center"/>
          </w:tcPr>
          <w:p w14:paraId="38942B37" w14:textId="77777777" w:rsidR="00B96085" w:rsidRPr="00B03142" w:rsidRDefault="00B96085" w:rsidP="00972233">
            <w:pPr>
              <w:rPr>
                <w:rFonts w:ascii="Times New Roman" w:eastAsia="Times New Roman" w:hAnsi="Times New Roman" w:cs="Times New Roman"/>
                <w:b/>
                <w:bCs/>
                <w:color w:val="000000"/>
                <w:sz w:val="20"/>
                <w:szCs w:val="20"/>
              </w:rPr>
            </w:pPr>
          </w:p>
        </w:tc>
        <w:tc>
          <w:tcPr>
            <w:tcW w:w="0" w:type="auto"/>
            <w:vAlign w:val="center"/>
          </w:tcPr>
          <w:p w14:paraId="274AAB22" w14:textId="77777777" w:rsidR="00B96085" w:rsidRPr="00B03142" w:rsidRDefault="00B96085" w:rsidP="00972233">
            <w:pPr>
              <w:jc w:val="center"/>
              <w:rPr>
                <w:rFonts w:ascii="Times New Roman" w:eastAsia="Times New Roman" w:hAnsi="Times New Roman" w:cs="Times New Roman"/>
                <w:b/>
                <w:bCs/>
                <w:color w:val="000000"/>
                <w:sz w:val="20"/>
                <w:szCs w:val="20"/>
              </w:rPr>
            </w:pPr>
            <m:oMathPara>
              <m:oMath>
                <m:r>
                  <m:rPr>
                    <m:sty m:val="bi"/>
                  </m:rPr>
                  <w:rPr>
                    <w:rFonts w:ascii="Cambria Math" w:eastAsia="Times New Roman" w:hAnsi="Cambria Math" w:cs="Times New Roman"/>
                    <w:color w:val="000000"/>
                    <w:sz w:val="20"/>
                    <w:szCs w:val="20"/>
                  </w:rPr>
                  <m:t>t-3</m:t>
                </m:r>
              </m:oMath>
            </m:oMathPara>
          </w:p>
        </w:tc>
        <w:tc>
          <w:tcPr>
            <w:tcW w:w="0" w:type="auto"/>
            <w:vAlign w:val="center"/>
          </w:tcPr>
          <w:p w14:paraId="7693FC22" w14:textId="77777777" w:rsidR="00B96085" w:rsidRPr="00B03142" w:rsidRDefault="00B96085" w:rsidP="00972233">
            <w:pPr>
              <w:jc w:val="center"/>
              <w:rPr>
                <w:rFonts w:ascii="Times New Roman" w:eastAsia="Times New Roman" w:hAnsi="Times New Roman" w:cs="Times New Roman"/>
                <w:b/>
                <w:bCs/>
                <w:color w:val="000000"/>
                <w:sz w:val="20"/>
                <w:szCs w:val="20"/>
              </w:rPr>
            </w:pPr>
            <m:oMathPara>
              <m:oMath>
                <m:r>
                  <m:rPr>
                    <m:sty m:val="bi"/>
                  </m:rPr>
                  <w:rPr>
                    <w:rFonts w:ascii="Cambria Math" w:eastAsia="Times New Roman" w:hAnsi="Cambria Math" w:cs="Times New Roman"/>
                    <w:color w:val="000000"/>
                    <w:sz w:val="20"/>
                    <w:szCs w:val="20"/>
                  </w:rPr>
                  <m:t>t-2</m:t>
                </m:r>
              </m:oMath>
            </m:oMathPara>
          </w:p>
        </w:tc>
        <w:tc>
          <w:tcPr>
            <w:tcW w:w="0" w:type="auto"/>
            <w:vAlign w:val="center"/>
          </w:tcPr>
          <w:p w14:paraId="263C9AD1" w14:textId="77777777" w:rsidR="00B96085" w:rsidRPr="00B03142" w:rsidRDefault="00B96085" w:rsidP="00972233">
            <w:pPr>
              <w:jc w:val="center"/>
              <w:rPr>
                <w:rFonts w:ascii="Times New Roman" w:eastAsia="Times New Roman" w:hAnsi="Times New Roman" w:cs="Times New Roman"/>
                <w:b/>
                <w:bCs/>
                <w:color w:val="000000"/>
                <w:sz w:val="20"/>
                <w:szCs w:val="20"/>
              </w:rPr>
            </w:pPr>
            <m:oMathPara>
              <m:oMath>
                <m:r>
                  <m:rPr>
                    <m:sty m:val="bi"/>
                  </m:rPr>
                  <w:rPr>
                    <w:rFonts w:ascii="Cambria Math" w:eastAsia="Times New Roman" w:hAnsi="Cambria Math" w:cs="Times New Roman"/>
                    <w:color w:val="000000"/>
                    <w:sz w:val="20"/>
                    <w:szCs w:val="20"/>
                  </w:rPr>
                  <m:t>t-1</m:t>
                </m:r>
              </m:oMath>
            </m:oMathPara>
          </w:p>
        </w:tc>
        <w:tc>
          <w:tcPr>
            <w:tcW w:w="0" w:type="auto"/>
            <w:vAlign w:val="center"/>
          </w:tcPr>
          <w:p w14:paraId="7E0BFE24" w14:textId="77777777" w:rsidR="00B96085" w:rsidRPr="00B03142" w:rsidRDefault="00B96085" w:rsidP="00972233">
            <w:pPr>
              <w:jc w:val="center"/>
              <w:rPr>
                <w:rFonts w:ascii="Times New Roman" w:eastAsia="Times New Roman" w:hAnsi="Times New Roman" w:cs="Times New Roman"/>
                <w:b/>
                <w:bCs/>
                <w:color w:val="000000"/>
                <w:sz w:val="20"/>
                <w:szCs w:val="20"/>
              </w:rPr>
            </w:pPr>
            <m:oMathPara>
              <m:oMath>
                <m:r>
                  <m:rPr>
                    <m:sty m:val="bi"/>
                  </m:rPr>
                  <w:rPr>
                    <w:rFonts w:ascii="Cambria Math" w:eastAsia="Times New Roman" w:hAnsi="Cambria Math" w:cs="Times New Roman"/>
                    <w:color w:val="000000"/>
                    <w:sz w:val="20"/>
                    <w:szCs w:val="20"/>
                  </w:rPr>
                  <m:t>t (cari y</m:t>
                </m:r>
                <m:r>
                  <m:rPr>
                    <m:sty m:val="bi"/>
                  </m:rPr>
                  <w:rPr>
                    <w:rFonts w:ascii="Cambria Math" w:eastAsia="Times New Roman" w:hAnsi="Cambria Math" w:cs="Times New Roman"/>
                    <w:color w:val="000000"/>
                    <w:sz w:val="20"/>
                    <w:szCs w:val="20"/>
                  </w:rPr>
                  <m:t>ı</m:t>
                </m:r>
                <m:r>
                  <m:rPr>
                    <m:sty m:val="bi"/>
                  </m:rPr>
                  <w:rPr>
                    <w:rFonts w:ascii="Cambria Math" w:eastAsia="Times New Roman" w:hAnsi="Cambria Math" w:cs="Times New Roman"/>
                    <w:color w:val="000000"/>
                    <w:sz w:val="20"/>
                    <w:szCs w:val="20"/>
                  </w:rPr>
                  <m:t>l)</m:t>
                </m:r>
              </m:oMath>
            </m:oMathPara>
          </w:p>
        </w:tc>
        <w:tc>
          <w:tcPr>
            <w:tcW w:w="0" w:type="auto"/>
            <w:vAlign w:val="center"/>
          </w:tcPr>
          <w:p w14:paraId="2D21B074" w14:textId="77777777" w:rsidR="00B96085" w:rsidRPr="00B03142" w:rsidRDefault="00B96085" w:rsidP="00972233">
            <w:pPr>
              <w:jc w:val="center"/>
              <w:rPr>
                <w:rFonts w:ascii="Times New Roman" w:eastAsia="Times New Roman" w:hAnsi="Times New Roman" w:cs="Times New Roman"/>
                <w:b/>
                <w:bCs/>
                <w:color w:val="000000"/>
                <w:sz w:val="20"/>
                <w:szCs w:val="20"/>
              </w:rPr>
            </w:pPr>
            <m:oMathPara>
              <m:oMath>
                <m:r>
                  <m:rPr>
                    <m:sty m:val="bi"/>
                  </m:rPr>
                  <w:rPr>
                    <w:rFonts w:ascii="Cambria Math" w:eastAsia="Times New Roman" w:hAnsi="Cambria Math" w:cs="Times New Roman"/>
                    <w:color w:val="000000"/>
                    <w:sz w:val="20"/>
                    <w:szCs w:val="20"/>
                  </w:rPr>
                  <m:t>t+1</m:t>
                </m:r>
              </m:oMath>
            </m:oMathPara>
          </w:p>
        </w:tc>
        <w:tc>
          <w:tcPr>
            <w:tcW w:w="0" w:type="auto"/>
            <w:vAlign w:val="center"/>
          </w:tcPr>
          <w:p w14:paraId="007B11E9" w14:textId="77777777" w:rsidR="00B96085" w:rsidRPr="00B03142" w:rsidRDefault="00B96085" w:rsidP="00972233">
            <w:pPr>
              <w:jc w:val="center"/>
              <w:rPr>
                <w:rFonts w:ascii="Times New Roman" w:eastAsia="Times New Roman" w:hAnsi="Times New Roman" w:cs="Times New Roman"/>
                <w:b/>
                <w:bCs/>
                <w:color w:val="000000"/>
                <w:sz w:val="20"/>
                <w:szCs w:val="20"/>
              </w:rPr>
            </w:pPr>
            <m:oMathPara>
              <m:oMath>
                <m:r>
                  <m:rPr>
                    <m:sty m:val="bi"/>
                  </m:rPr>
                  <w:rPr>
                    <w:rFonts w:ascii="Cambria Math" w:eastAsia="Times New Roman" w:hAnsi="Cambria Math" w:cs="Times New Roman"/>
                    <w:color w:val="000000"/>
                    <w:sz w:val="20"/>
                    <w:szCs w:val="20"/>
                  </w:rPr>
                  <m:t>t+2</m:t>
                </m:r>
              </m:oMath>
            </m:oMathPara>
          </w:p>
        </w:tc>
        <w:tc>
          <w:tcPr>
            <w:tcW w:w="0" w:type="auto"/>
            <w:vAlign w:val="center"/>
          </w:tcPr>
          <w:p w14:paraId="0C6ABADD" w14:textId="77777777" w:rsidR="00B96085" w:rsidRPr="00B03142" w:rsidRDefault="00B96085" w:rsidP="00972233">
            <w:pPr>
              <w:jc w:val="center"/>
              <w:rPr>
                <w:rFonts w:ascii="Times New Roman" w:eastAsia="Times New Roman" w:hAnsi="Times New Roman" w:cs="Times New Roman"/>
                <w:b/>
                <w:bCs/>
                <w:color w:val="000000"/>
                <w:sz w:val="20"/>
                <w:szCs w:val="20"/>
              </w:rPr>
            </w:pPr>
            <m:oMathPara>
              <m:oMath>
                <m:r>
                  <m:rPr>
                    <m:sty m:val="bi"/>
                  </m:rPr>
                  <w:rPr>
                    <w:rFonts w:ascii="Cambria Math" w:eastAsia="Times New Roman" w:hAnsi="Cambria Math" w:cs="Times New Roman"/>
                    <w:color w:val="000000"/>
                    <w:sz w:val="20"/>
                    <w:szCs w:val="20"/>
                  </w:rPr>
                  <m:t>t+3</m:t>
                </m:r>
              </m:oMath>
            </m:oMathPara>
          </w:p>
        </w:tc>
      </w:tr>
      <w:tr w:rsidR="00BD130D" w:rsidRPr="00B03142" w14:paraId="5D5C35A6" w14:textId="77777777" w:rsidTr="00411585">
        <w:trPr>
          <w:trHeight w:val="288"/>
          <w:jc w:val="center"/>
        </w:trPr>
        <w:tc>
          <w:tcPr>
            <w:tcW w:w="0" w:type="auto"/>
            <w:vAlign w:val="center"/>
          </w:tcPr>
          <w:p w14:paraId="1B153472" w14:textId="77777777" w:rsidR="00BD130D" w:rsidRPr="00B03142" w:rsidRDefault="00BD130D" w:rsidP="00BD130D">
            <w:pPr>
              <w:rPr>
                <w:rFonts w:ascii="Times New Roman" w:hAnsi="Times New Roman" w:cs="Times New Roman"/>
                <w:sz w:val="20"/>
                <w:szCs w:val="20"/>
              </w:rPr>
            </w:pPr>
            <w:r w:rsidRPr="00B03142">
              <w:rPr>
                <w:rFonts w:ascii="Times New Roman" w:eastAsia="Times New Roman" w:hAnsi="Times New Roman" w:cs="Times New Roman"/>
                <w:b/>
                <w:bCs/>
                <w:color w:val="000000"/>
                <w:sz w:val="20"/>
                <w:szCs w:val="20"/>
              </w:rPr>
              <w:t>TAR</w:t>
            </w:r>
          </w:p>
        </w:tc>
        <w:tc>
          <w:tcPr>
            <w:tcW w:w="0" w:type="auto"/>
            <w:vAlign w:val="center"/>
          </w:tcPr>
          <w:p w14:paraId="1789AB65" w14:textId="5D847121" w:rsidR="00BD130D" w:rsidRPr="00B03142" w:rsidRDefault="00BD130D" w:rsidP="00BD130D">
            <w:pPr>
              <w:jc w:val="center"/>
              <w:rPr>
                <w:rFonts w:ascii="Times New Roman" w:hAnsi="Times New Roman" w:cs="Times New Roman"/>
                <w:b/>
                <w:sz w:val="20"/>
                <w:szCs w:val="20"/>
              </w:rPr>
            </w:pPr>
            <w:r w:rsidRPr="00B03142">
              <w:rPr>
                <w:rFonts w:ascii="Times New Roman" w:hAnsi="Times New Roman" w:cs="Times New Roman"/>
                <w:b/>
                <w:color w:val="000000"/>
                <w:sz w:val="20"/>
                <w:szCs w:val="20"/>
              </w:rPr>
              <w:t>-0.55</w:t>
            </w:r>
            <w:r w:rsidRPr="00B03142">
              <w:rPr>
                <w:rFonts w:ascii="Times New Roman" w:eastAsia="Times New Roman" w:hAnsi="Times New Roman" w:cs="Times New Roman"/>
                <w:b/>
                <w:color w:val="000000"/>
                <w:sz w:val="20"/>
                <w:szCs w:val="20"/>
                <w:vertAlign w:val="superscript"/>
              </w:rPr>
              <w:t>‡</w:t>
            </w:r>
          </w:p>
        </w:tc>
        <w:tc>
          <w:tcPr>
            <w:tcW w:w="0" w:type="auto"/>
            <w:vAlign w:val="center"/>
          </w:tcPr>
          <w:p w14:paraId="1780FB17" w14:textId="617DC023" w:rsidR="00BD130D" w:rsidRPr="00B03142" w:rsidRDefault="00BD130D" w:rsidP="00BD130D">
            <w:pPr>
              <w:jc w:val="center"/>
              <w:rPr>
                <w:rFonts w:ascii="Times New Roman" w:hAnsi="Times New Roman" w:cs="Times New Roman"/>
                <w:sz w:val="20"/>
                <w:szCs w:val="20"/>
              </w:rPr>
            </w:pPr>
            <w:r w:rsidRPr="00B03142">
              <w:rPr>
                <w:rFonts w:ascii="Times New Roman" w:hAnsi="Times New Roman" w:cs="Times New Roman"/>
                <w:color w:val="000000"/>
                <w:sz w:val="20"/>
                <w:szCs w:val="20"/>
              </w:rPr>
              <w:t>-0.1</w:t>
            </w:r>
          </w:p>
        </w:tc>
        <w:tc>
          <w:tcPr>
            <w:tcW w:w="0" w:type="auto"/>
            <w:vAlign w:val="center"/>
          </w:tcPr>
          <w:p w14:paraId="4A2D5A13" w14:textId="21C10BDB" w:rsidR="00BD130D" w:rsidRPr="00B03142" w:rsidRDefault="00BD130D" w:rsidP="00BD130D">
            <w:pPr>
              <w:jc w:val="center"/>
              <w:rPr>
                <w:rFonts w:ascii="Times New Roman" w:hAnsi="Times New Roman" w:cs="Times New Roman"/>
                <w:sz w:val="20"/>
                <w:szCs w:val="20"/>
              </w:rPr>
            </w:pPr>
            <w:r w:rsidRPr="00B03142">
              <w:rPr>
                <w:rFonts w:ascii="Times New Roman" w:hAnsi="Times New Roman" w:cs="Times New Roman"/>
                <w:color w:val="000000"/>
                <w:sz w:val="20"/>
                <w:szCs w:val="20"/>
              </w:rPr>
              <w:t>0.14</w:t>
            </w:r>
          </w:p>
        </w:tc>
        <w:tc>
          <w:tcPr>
            <w:tcW w:w="0" w:type="auto"/>
            <w:vAlign w:val="center"/>
          </w:tcPr>
          <w:p w14:paraId="48E577FF" w14:textId="477B818D" w:rsidR="00BD130D" w:rsidRPr="00B03142" w:rsidRDefault="00BD130D" w:rsidP="00BD130D">
            <w:pPr>
              <w:jc w:val="center"/>
              <w:rPr>
                <w:rFonts w:ascii="Times New Roman" w:hAnsi="Times New Roman" w:cs="Times New Roman"/>
                <w:sz w:val="20"/>
                <w:szCs w:val="20"/>
              </w:rPr>
            </w:pPr>
            <w:r w:rsidRPr="00B03142">
              <w:rPr>
                <w:rFonts w:ascii="Times New Roman" w:hAnsi="Times New Roman" w:cs="Times New Roman"/>
                <w:color w:val="000000"/>
                <w:sz w:val="20"/>
                <w:szCs w:val="20"/>
              </w:rPr>
              <w:t>0.2</w:t>
            </w:r>
          </w:p>
        </w:tc>
        <w:tc>
          <w:tcPr>
            <w:tcW w:w="0" w:type="auto"/>
            <w:vAlign w:val="center"/>
          </w:tcPr>
          <w:p w14:paraId="26395D76" w14:textId="5646D4CD" w:rsidR="00BD130D" w:rsidRPr="00B03142" w:rsidRDefault="00BD130D" w:rsidP="00BD130D">
            <w:pPr>
              <w:jc w:val="center"/>
              <w:rPr>
                <w:rFonts w:ascii="Times New Roman" w:hAnsi="Times New Roman" w:cs="Times New Roman"/>
                <w:sz w:val="20"/>
                <w:szCs w:val="20"/>
              </w:rPr>
            </w:pPr>
            <w:r w:rsidRPr="00B03142">
              <w:rPr>
                <w:rFonts w:ascii="Times New Roman" w:hAnsi="Times New Roman" w:cs="Times New Roman"/>
                <w:sz w:val="20"/>
                <w:szCs w:val="20"/>
              </w:rPr>
              <w:t>0.2</w:t>
            </w:r>
          </w:p>
        </w:tc>
        <w:tc>
          <w:tcPr>
            <w:tcW w:w="0" w:type="auto"/>
            <w:vAlign w:val="center"/>
          </w:tcPr>
          <w:p w14:paraId="01C339F5" w14:textId="72E5CC8F" w:rsidR="00BD130D" w:rsidRPr="00B03142" w:rsidRDefault="00BD130D" w:rsidP="00BD130D">
            <w:pPr>
              <w:jc w:val="center"/>
              <w:rPr>
                <w:rFonts w:ascii="Times New Roman" w:hAnsi="Times New Roman" w:cs="Times New Roman"/>
                <w:sz w:val="20"/>
                <w:szCs w:val="20"/>
              </w:rPr>
            </w:pPr>
            <w:r w:rsidRPr="00B03142">
              <w:rPr>
                <w:rFonts w:ascii="Times New Roman" w:hAnsi="Times New Roman" w:cs="Times New Roman"/>
                <w:sz w:val="20"/>
                <w:szCs w:val="20"/>
              </w:rPr>
              <w:t>0.16</w:t>
            </w:r>
          </w:p>
        </w:tc>
        <w:tc>
          <w:tcPr>
            <w:tcW w:w="0" w:type="auto"/>
            <w:vAlign w:val="center"/>
          </w:tcPr>
          <w:p w14:paraId="3993276C" w14:textId="14F52F3F" w:rsidR="00BD130D" w:rsidRPr="00B03142" w:rsidRDefault="00BD130D" w:rsidP="00BD130D">
            <w:pPr>
              <w:jc w:val="center"/>
              <w:rPr>
                <w:rFonts w:ascii="Times New Roman" w:hAnsi="Times New Roman" w:cs="Times New Roman"/>
                <w:sz w:val="20"/>
                <w:szCs w:val="20"/>
              </w:rPr>
            </w:pPr>
            <w:r w:rsidRPr="00B03142">
              <w:rPr>
                <w:rFonts w:ascii="Times New Roman" w:hAnsi="Times New Roman" w:cs="Times New Roman"/>
                <w:color w:val="000000"/>
                <w:sz w:val="20"/>
                <w:szCs w:val="20"/>
              </w:rPr>
              <w:t>0.15</w:t>
            </w:r>
          </w:p>
        </w:tc>
      </w:tr>
      <w:tr w:rsidR="00BD130D" w:rsidRPr="00B03142" w14:paraId="318F63DF" w14:textId="77777777" w:rsidTr="00411585">
        <w:trPr>
          <w:trHeight w:val="288"/>
          <w:jc w:val="center"/>
        </w:trPr>
        <w:tc>
          <w:tcPr>
            <w:tcW w:w="0" w:type="auto"/>
            <w:vAlign w:val="center"/>
          </w:tcPr>
          <w:p w14:paraId="358302DD" w14:textId="77777777" w:rsidR="00BD130D" w:rsidRPr="00B03142" w:rsidRDefault="00BD130D" w:rsidP="00BD130D">
            <w:pPr>
              <w:rPr>
                <w:rFonts w:ascii="Times New Roman" w:hAnsi="Times New Roman" w:cs="Times New Roman"/>
                <w:sz w:val="20"/>
                <w:szCs w:val="20"/>
              </w:rPr>
            </w:pPr>
            <w:r w:rsidRPr="00B03142">
              <w:rPr>
                <w:rFonts w:ascii="Times New Roman" w:eastAsia="Times New Roman" w:hAnsi="Times New Roman" w:cs="Times New Roman"/>
                <w:b/>
                <w:bCs/>
                <w:color w:val="000000"/>
                <w:sz w:val="20"/>
                <w:szCs w:val="20"/>
              </w:rPr>
              <w:t>İNŞ</w:t>
            </w:r>
          </w:p>
        </w:tc>
        <w:tc>
          <w:tcPr>
            <w:tcW w:w="0" w:type="auto"/>
            <w:vAlign w:val="center"/>
          </w:tcPr>
          <w:p w14:paraId="7E119ECA" w14:textId="60ABAEC8" w:rsidR="00BD130D" w:rsidRPr="00B03142" w:rsidRDefault="00BD130D" w:rsidP="00BD130D">
            <w:pPr>
              <w:jc w:val="center"/>
              <w:rPr>
                <w:rFonts w:ascii="Times New Roman" w:hAnsi="Times New Roman" w:cs="Times New Roman"/>
                <w:b/>
                <w:bCs/>
                <w:sz w:val="20"/>
                <w:szCs w:val="20"/>
              </w:rPr>
            </w:pPr>
            <w:r w:rsidRPr="00B03142">
              <w:rPr>
                <w:rFonts w:ascii="Times New Roman" w:hAnsi="Times New Roman" w:cs="Times New Roman"/>
                <w:b/>
                <w:bCs/>
                <w:color w:val="000000"/>
                <w:sz w:val="20"/>
                <w:szCs w:val="20"/>
              </w:rPr>
              <w:t>0.88</w:t>
            </w:r>
            <w:r w:rsidRPr="00B03142">
              <w:rPr>
                <w:rFonts w:ascii="Times New Roman" w:hAnsi="Times New Roman" w:cs="Times New Roman"/>
                <w:b/>
                <w:bCs/>
                <w:color w:val="000000"/>
                <w:sz w:val="20"/>
                <w:szCs w:val="20"/>
                <w:vertAlign w:val="superscript"/>
              </w:rPr>
              <w:t>***</w:t>
            </w:r>
          </w:p>
        </w:tc>
        <w:tc>
          <w:tcPr>
            <w:tcW w:w="0" w:type="auto"/>
            <w:vAlign w:val="center"/>
          </w:tcPr>
          <w:p w14:paraId="0505A8AB" w14:textId="467819ED" w:rsidR="00BD130D" w:rsidRPr="00B03142" w:rsidRDefault="00BD130D" w:rsidP="00BD130D">
            <w:pPr>
              <w:jc w:val="center"/>
              <w:rPr>
                <w:rFonts w:ascii="Times New Roman" w:hAnsi="Times New Roman" w:cs="Times New Roman"/>
                <w:b/>
                <w:bCs/>
                <w:sz w:val="20"/>
                <w:szCs w:val="20"/>
              </w:rPr>
            </w:pPr>
            <w:r w:rsidRPr="00B03142">
              <w:rPr>
                <w:rFonts w:ascii="Times New Roman" w:hAnsi="Times New Roman" w:cs="Times New Roman"/>
                <w:b/>
                <w:bCs/>
                <w:color w:val="000000"/>
                <w:sz w:val="20"/>
                <w:szCs w:val="20"/>
              </w:rPr>
              <w:t>0.92</w:t>
            </w:r>
            <w:r w:rsidRPr="00B03142">
              <w:rPr>
                <w:rFonts w:ascii="Times New Roman" w:hAnsi="Times New Roman" w:cs="Times New Roman"/>
                <w:b/>
                <w:bCs/>
                <w:color w:val="000000"/>
                <w:sz w:val="20"/>
                <w:szCs w:val="20"/>
                <w:vertAlign w:val="superscript"/>
              </w:rPr>
              <w:t>****</w:t>
            </w:r>
          </w:p>
        </w:tc>
        <w:tc>
          <w:tcPr>
            <w:tcW w:w="0" w:type="auto"/>
            <w:vAlign w:val="center"/>
          </w:tcPr>
          <w:p w14:paraId="45245035" w14:textId="1B416EB8" w:rsidR="00BD130D" w:rsidRPr="00B03142" w:rsidRDefault="00BD130D" w:rsidP="00BD130D">
            <w:pPr>
              <w:jc w:val="center"/>
              <w:rPr>
                <w:rFonts w:ascii="Times New Roman" w:hAnsi="Times New Roman" w:cs="Times New Roman"/>
                <w:b/>
                <w:bCs/>
                <w:sz w:val="20"/>
                <w:szCs w:val="20"/>
              </w:rPr>
            </w:pPr>
            <w:r w:rsidRPr="00B03142">
              <w:rPr>
                <w:rFonts w:ascii="Times New Roman" w:hAnsi="Times New Roman" w:cs="Times New Roman"/>
                <w:b/>
                <w:bCs/>
                <w:color w:val="000000"/>
                <w:sz w:val="20"/>
                <w:szCs w:val="20"/>
              </w:rPr>
              <w:t>0.9</w:t>
            </w:r>
            <w:r w:rsidRPr="00B03142">
              <w:rPr>
                <w:rFonts w:ascii="Times New Roman" w:hAnsi="Times New Roman" w:cs="Times New Roman"/>
                <w:b/>
                <w:bCs/>
                <w:color w:val="000000"/>
                <w:sz w:val="20"/>
                <w:szCs w:val="20"/>
                <w:vertAlign w:val="superscript"/>
              </w:rPr>
              <w:t>****</w:t>
            </w:r>
          </w:p>
        </w:tc>
        <w:tc>
          <w:tcPr>
            <w:tcW w:w="0" w:type="auto"/>
            <w:vAlign w:val="center"/>
          </w:tcPr>
          <w:p w14:paraId="1D25E1EA" w14:textId="28E27C5E" w:rsidR="00BD130D" w:rsidRPr="00B03142" w:rsidRDefault="00BD130D" w:rsidP="00BD130D">
            <w:pPr>
              <w:jc w:val="center"/>
              <w:rPr>
                <w:rFonts w:ascii="Times New Roman" w:hAnsi="Times New Roman" w:cs="Times New Roman"/>
                <w:b/>
                <w:bCs/>
                <w:sz w:val="20"/>
                <w:szCs w:val="20"/>
              </w:rPr>
            </w:pPr>
            <w:r w:rsidRPr="00B03142">
              <w:rPr>
                <w:rFonts w:ascii="Times New Roman" w:hAnsi="Times New Roman" w:cs="Times New Roman"/>
                <w:b/>
                <w:bCs/>
                <w:color w:val="000000"/>
                <w:sz w:val="20"/>
                <w:szCs w:val="20"/>
              </w:rPr>
              <w:t>0.76</w:t>
            </w:r>
            <w:r w:rsidRPr="00B03142">
              <w:rPr>
                <w:rFonts w:ascii="Times New Roman" w:hAnsi="Times New Roman" w:cs="Times New Roman"/>
                <w:b/>
                <w:bCs/>
                <w:color w:val="000000"/>
                <w:sz w:val="20"/>
                <w:szCs w:val="20"/>
                <w:vertAlign w:val="superscript"/>
              </w:rPr>
              <w:t>**</w:t>
            </w:r>
          </w:p>
        </w:tc>
        <w:tc>
          <w:tcPr>
            <w:tcW w:w="0" w:type="auto"/>
            <w:vAlign w:val="center"/>
          </w:tcPr>
          <w:p w14:paraId="51588D9F" w14:textId="042E8C75" w:rsidR="00BD130D" w:rsidRPr="00B03142" w:rsidRDefault="00BD130D" w:rsidP="00BD130D">
            <w:pPr>
              <w:jc w:val="center"/>
              <w:rPr>
                <w:rFonts w:ascii="Times New Roman" w:hAnsi="Times New Roman" w:cs="Times New Roman"/>
                <w:b/>
                <w:bCs/>
                <w:sz w:val="20"/>
                <w:szCs w:val="20"/>
              </w:rPr>
            </w:pPr>
            <w:r w:rsidRPr="00B03142">
              <w:rPr>
                <w:rFonts w:ascii="Times New Roman" w:hAnsi="Times New Roman" w:cs="Times New Roman"/>
                <w:b/>
                <w:bCs/>
                <w:sz w:val="20"/>
                <w:szCs w:val="20"/>
              </w:rPr>
              <w:t>0.67</w:t>
            </w:r>
            <w:r w:rsidRPr="00B03142">
              <w:rPr>
                <w:rFonts w:ascii="Times New Roman" w:hAnsi="Times New Roman" w:cs="Times New Roman"/>
                <w:b/>
                <w:bCs/>
                <w:sz w:val="20"/>
                <w:szCs w:val="20"/>
                <w:vertAlign w:val="superscript"/>
              </w:rPr>
              <w:t>*</w:t>
            </w:r>
          </w:p>
        </w:tc>
        <w:tc>
          <w:tcPr>
            <w:tcW w:w="0" w:type="auto"/>
            <w:vAlign w:val="center"/>
          </w:tcPr>
          <w:p w14:paraId="4D3DEEC4" w14:textId="310D9EE8" w:rsidR="00BD130D" w:rsidRPr="00B03142" w:rsidRDefault="00BD130D" w:rsidP="00BD130D">
            <w:pPr>
              <w:jc w:val="center"/>
              <w:rPr>
                <w:rFonts w:ascii="Times New Roman" w:hAnsi="Times New Roman" w:cs="Times New Roman"/>
                <w:b/>
                <w:bCs/>
                <w:sz w:val="20"/>
                <w:szCs w:val="20"/>
              </w:rPr>
            </w:pPr>
            <w:r w:rsidRPr="00B03142">
              <w:rPr>
                <w:rFonts w:ascii="Times New Roman" w:hAnsi="Times New Roman" w:cs="Times New Roman"/>
                <w:b/>
                <w:bCs/>
                <w:sz w:val="20"/>
                <w:szCs w:val="20"/>
              </w:rPr>
              <w:t>0.68</w:t>
            </w:r>
            <w:r w:rsidRPr="00B03142">
              <w:rPr>
                <w:rFonts w:ascii="Times New Roman" w:hAnsi="Times New Roman" w:cs="Times New Roman"/>
                <w:b/>
                <w:bCs/>
                <w:sz w:val="20"/>
                <w:szCs w:val="20"/>
                <w:vertAlign w:val="superscript"/>
              </w:rPr>
              <w:t>*</w:t>
            </w:r>
          </w:p>
        </w:tc>
        <w:tc>
          <w:tcPr>
            <w:tcW w:w="0" w:type="auto"/>
            <w:vAlign w:val="center"/>
          </w:tcPr>
          <w:p w14:paraId="5BFDC585" w14:textId="12981CF6" w:rsidR="00BD130D" w:rsidRPr="00B03142" w:rsidRDefault="00BD130D" w:rsidP="00BD130D">
            <w:pPr>
              <w:jc w:val="center"/>
              <w:rPr>
                <w:rFonts w:ascii="Times New Roman" w:hAnsi="Times New Roman" w:cs="Times New Roman"/>
                <w:b/>
                <w:bCs/>
                <w:sz w:val="20"/>
                <w:szCs w:val="20"/>
              </w:rPr>
            </w:pPr>
            <w:r w:rsidRPr="00B03142">
              <w:rPr>
                <w:rFonts w:ascii="Times New Roman" w:hAnsi="Times New Roman" w:cs="Times New Roman"/>
                <w:b/>
                <w:bCs/>
                <w:color w:val="000000"/>
                <w:sz w:val="20"/>
                <w:szCs w:val="20"/>
              </w:rPr>
              <w:t>0.7</w:t>
            </w:r>
            <w:r w:rsidRPr="00B03142">
              <w:rPr>
                <w:rFonts w:ascii="Times New Roman" w:hAnsi="Times New Roman" w:cs="Times New Roman"/>
                <w:b/>
                <w:bCs/>
                <w:color w:val="000000"/>
                <w:sz w:val="20"/>
                <w:szCs w:val="20"/>
                <w:vertAlign w:val="superscript"/>
              </w:rPr>
              <w:t>*</w:t>
            </w:r>
          </w:p>
        </w:tc>
      </w:tr>
      <w:tr w:rsidR="00BD130D" w:rsidRPr="00B03142" w14:paraId="72DF3FAB" w14:textId="77777777" w:rsidTr="00411585">
        <w:trPr>
          <w:trHeight w:val="288"/>
          <w:jc w:val="center"/>
        </w:trPr>
        <w:tc>
          <w:tcPr>
            <w:tcW w:w="0" w:type="auto"/>
            <w:vAlign w:val="center"/>
          </w:tcPr>
          <w:p w14:paraId="64F732B5" w14:textId="77777777" w:rsidR="00BD130D" w:rsidRPr="00B03142" w:rsidRDefault="00BD130D" w:rsidP="00BD130D">
            <w:pPr>
              <w:rPr>
                <w:rFonts w:ascii="Times New Roman" w:hAnsi="Times New Roman" w:cs="Times New Roman"/>
                <w:sz w:val="20"/>
                <w:szCs w:val="20"/>
              </w:rPr>
            </w:pPr>
            <w:r w:rsidRPr="00B03142">
              <w:rPr>
                <w:rFonts w:ascii="Times New Roman" w:eastAsia="Times New Roman" w:hAnsi="Times New Roman" w:cs="Times New Roman"/>
                <w:b/>
                <w:bCs/>
                <w:color w:val="000000"/>
                <w:sz w:val="20"/>
                <w:szCs w:val="20"/>
              </w:rPr>
              <w:t>DKÖH</w:t>
            </w:r>
          </w:p>
        </w:tc>
        <w:tc>
          <w:tcPr>
            <w:tcW w:w="0" w:type="auto"/>
            <w:vAlign w:val="center"/>
          </w:tcPr>
          <w:p w14:paraId="7A613BA4" w14:textId="6A8E9994" w:rsidR="00BD130D" w:rsidRPr="00B03142" w:rsidRDefault="00BD130D" w:rsidP="00BD130D">
            <w:pPr>
              <w:jc w:val="center"/>
              <w:rPr>
                <w:rFonts w:ascii="Times New Roman" w:hAnsi="Times New Roman" w:cs="Times New Roman"/>
                <w:b/>
                <w:bCs/>
                <w:sz w:val="20"/>
                <w:szCs w:val="20"/>
              </w:rPr>
            </w:pPr>
            <w:r w:rsidRPr="00B03142">
              <w:rPr>
                <w:rFonts w:ascii="Times New Roman" w:hAnsi="Times New Roman" w:cs="Times New Roman"/>
                <w:color w:val="000000"/>
                <w:sz w:val="20"/>
                <w:szCs w:val="20"/>
              </w:rPr>
              <w:t>-0.2</w:t>
            </w:r>
          </w:p>
        </w:tc>
        <w:tc>
          <w:tcPr>
            <w:tcW w:w="0" w:type="auto"/>
            <w:vAlign w:val="center"/>
          </w:tcPr>
          <w:p w14:paraId="7F3A0660" w14:textId="42C930DF" w:rsidR="00BD130D" w:rsidRPr="00B03142" w:rsidRDefault="00BD130D" w:rsidP="00BD130D">
            <w:pPr>
              <w:jc w:val="center"/>
              <w:rPr>
                <w:rFonts w:ascii="Times New Roman" w:hAnsi="Times New Roman" w:cs="Times New Roman"/>
                <w:sz w:val="20"/>
                <w:szCs w:val="20"/>
              </w:rPr>
            </w:pPr>
            <w:r w:rsidRPr="00B03142">
              <w:rPr>
                <w:rFonts w:ascii="Times New Roman" w:hAnsi="Times New Roman" w:cs="Times New Roman"/>
                <w:color w:val="000000"/>
                <w:sz w:val="20"/>
                <w:szCs w:val="20"/>
              </w:rPr>
              <w:t>-0.14</w:t>
            </w:r>
          </w:p>
        </w:tc>
        <w:tc>
          <w:tcPr>
            <w:tcW w:w="0" w:type="auto"/>
            <w:vAlign w:val="center"/>
          </w:tcPr>
          <w:p w14:paraId="70137E31" w14:textId="7A30BA78" w:rsidR="00BD130D" w:rsidRPr="00B03142" w:rsidRDefault="00BD130D" w:rsidP="00BD130D">
            <w:pPr>
              <w:jc w:val="center"/>
              <w:rPr>
                <w:rFonts w:ascii="Times New Roman" w:hAnsi="Times New Roman" w:cs="Times New Roman"/>
                <w:sz w:val="20"/>
                <w:szCs w:val="20"/>
              </w:rPr>
            </w:pPr>
            <w:r w:rsidRPr="00B03142">
              <w:rPr>
                <w:rFonts w:ascii="Times New Roman" w:hAnsi="Times New Roman" w:cs="Times New Roman"/>
                <w:color w:val="000000"/>
                <w:sz w:val="20"/>
                <w:szCs w:val="20"/>
              </w:rPr>
              <w:t>0.18</w:t>
            </w:r>
          </w:p>
        </w:tc>
        <w:tc>
          <w:tcPr>
            <w:tcW w:w="0" w:type="auto"/>
            <w:vAlign w:val="center"/>
          </w:tcPr>
          <w:p w14:paraId="36DD1E9A" w14:textId="7F1A3BBE" w:rsidR="00BD130D" w:rsidRPr="00B03142" w:rsidRDefault="00BD130D" w:rsidP="00BD130D">
            <w:pPr>
              <w:jc w:val="center"/>
              <w:rPr>
                <w:rFonts w:ascii="Times New Roman" w:hAnsi="Times New Roman" w:cs="Times New Roman"/>
                <w:b/>
                <w:bCs/>
                <w:sz w:val="20"/>
                <w:szCs w:val="20"/>
              </w:rPr>
            </w:pPr>
            <w:r w:rsidRPr="00B03142">
              <w:rPr>
                <w:rFonts w:ascii="Times New Roman" w:hAnsi="Times New Roman" w:cs="Times New Roman"/>
                <w:b/>
                <w:bCs/>
                <w:color w:val="000000"/>
                <w:sz w:val="20"/>
                <w:szCs w:val="20"/>
              </w:rPr>
              <w:t>0.61</w:t>
            </w:r>
            <w:r w:rsidRPr="00B03142">
              <w:rPr>
                <w:rFonts w:ascii="Times New Roman" w:hAnsi="Times New Roman" w:cs="Times New Roman"/>
                <w:b/>
                <w:bCs/>
                <w:color w:val="000000"/>
                <w:sz w:val="20"/>
                <w:szCs w:val="20"/>
                <w:vertAlign w:val="superscript"/>
              </w:rPr>
              <w:t>*</w:t>
            </w:r>
          </w:p>
        </w:tc>
        <w:tc>
          <w:tcPr>
            <w:tcW w:w="0" w:type="auto"/>
            <w:vAlign w:val="center"/>
          </w:tcPr>
          <w:p w14:paraId="5BEBDD13" w14:textId="120DA2EF" w:rsidR="00BD130D" w:rsidRPr="00B03142" w:rsidRDefault="00BD130D" w:rsidP="00BD130D">
            <w:pPr>
              <w:jc w:val="center"/>
              <w:rPr>
                <w:rFonts w:ascii="Times New Roman" w:hAnsi="Times New Roman" w:cs="Times New Roman"/>
                <w:b/>
                <w:bCs/>
                <w:sz w:val="20"/>
                <w:szCs w:val="20"/>
              </w:rPr>
            </w:pPr>
            <w:r w:rsidRPr="00B03142">
              <w:rPr>
                <w:rFonts w:ascii="Times New Roman" w:hAnsi="Times New Roman" w:cs="Times New Roman"/>
                <w:b/>
                <w:bCs/>
                <w:sz w:val="20"/>
                <w:szCs w:val="20"/>
              </w:rPr>
              <w:t>0.54</w:t>
            </w:r>
            <w:r w:rsidRPr="00B03142">
              <w:rPr>
                <w:rFonts w:ascii="Times New Roman" w:eastAsia="Times New Roman" w:hAnsi="Times New Roman" w:cs="Times New Roman"/>
                <w:b/>
                <w:bCs/>
                <w:color w:val="000000"/>
                <w:sz w:val="20"/>
                <w:szCs w:val="20"/>
                <w:vertAlign w:val="superscript"/>
              </w:rPr>
              <w:t>‡</w:t>
            </w:r>
          </w:p>
        </w:tc>
        <w:tc>
          <w:tcPr>
            <w:tcW w:w="0" w:type="auto"/>
            <w:vAlign w:val="center"/>
          </w:tcPr>
          <w:p w14:paraId="028D07A9" w14:textId="50879896" w:rsidR="00BD130D" w:rsidRPr="00B03142" w:rsidRDefault="00BD130D" w:rsidP="00BD130D">
            <w:pPr>
              <w:jc w:val="center"/>
              <w:rPr>
                <w:rFonts w:ascii="Times New Roman" w:hAnsi="Times New Roman" w:cs="Times New Roman"/>
                <w:b/>
                <w:bCs/>
                <w:sz w:val="20"/>
                <w:szCs w:val="20"/>
              </w:rPr>
            </w:pPr>
            <w:r w:rsidRPr="00B03142">
              <w:rPr>
                <w:rFonts w:ascii="Times New Roman" w:hAnsi="Times New Roman" w:cs="Times New Roman"/>
                <w:b/>
                <w:bCs/>
                <w:sz w:val="20"/>
                <w:szCs w:val="20"/>
              </w:rPr>
              <w:t>0.67</w:t>
            </w:r>
            <w:r w:rsidRPr="00B03142">
              <w:rPr>
                <w:rFonts w:ascii="Times New Roman" w:hAnsi="Times New Roman" w:cs="Times New Roman"/>
                <w:b/>
                <w:bCs/>
                <w:sz w:val="20"/>
                <w:szCs w:val="20"/>
                <w:vertAlign w:val="superscript"/>
              </w:rPr>
              <w:t>*</w:t>
            </w:r>
          </w:p>
        </w:tc>
        <w:tc>
          <w:tcPr>
            <w:tcW w:w="0" w:type="auto"/>
            <w:vAlign w:val="center"/>
          </w:tcPr>
          <w:p w14:paraId="776B8521" w14:textId="44624014" w:rsidR="00BD130D" w:rsidRPr="00B03142" w:rsidRDefault="00BD130D" w:rsidP="00BD130D">
            <w:pPr>
              <w:jc w:val="center"/>
              <w:rPr>
                <w:rFonts w:ascii="Times New Roman" w:hAnsi="Times New Roman" w:cs="Times New Roman"/>
                <w:sz w:val="20"/>
                <w:szCs w:val="20"/>
              </w:rPr>
            </w:pPr>
            <w:r w:rsidRPr="00B03142">
              <w:rPr>
                <w:rFonts w:ascii="Times New Roman" w:hAnsi="Times New Roman" w:cs="Times New Roman"/>
                <w:color w:val="000000"/>
                <w:sz w:val="20"/>
                <w:szCs w:val="20"/>
              </w:rPr>
              <w:t>0.09</w:t>
            </w:r>
          </w:p>
        </w:tc>
      </w:tr>
      <w:tr w:rsidR="00BD130D" w:rsidRPr="00B03142" w14:paraId="44E19480" w14:textId="77777777" w:rsidTr="00411585">
        <w:trPr>
          <w:trHeight w:val="288"/>
          <w:jc w:val="center"/>
        </w:trPr>
        <w:tc>
          <w:tcPr>
            <w:tcW w:w="0" w:type="auto"/>
            <w:vAlign w:val="center"/>
          </w:tcPr>
          <w:p w14:paraId="799A7DA0" w14:textId="77777777" w:rsidR="00BD130D" w:rsidRPr="00B03142" w:rsidRDefault="00BD130D" w:rsidP="00BD130D">
            <w:pPr>
              <w:rPr>
                <w:rFonts w:ascii="Times New Roman" w:hAnsi="Times New Roman" w:cs="Times New Roman"/>
                <w:sz w:val="20"/>
                <w:szCs w:val="20"/>
              </w:rPr>
            </w:pPr>
            <w:r w:rsidRPr="00B03142">
              <w:rPr>
                <w:rFonts w:ascii="Times New Roman" w:eastAsia="Times New Roman" w:hAnsi="Times New Roman" w:cs="Times New Roman"/>
                <w:b/>
                <w:bCs/>
                <w:color w:val="000000"/>
                <w:sz w:val="20"/>
                <w:szCs w:val="20"/>
              </w:rPr>
              <w:t>FİGM</w:t>
            </w:r>
          </w:p>
        </w:tc>
        <w:tc>
          <w:tcPr>
            <w:tcW w:w="0" w:type="auto"/>
            <w:vAlign w:val="center"/>
          </w:tcPr>
          <w:p w14:paraId="36D262BB" w14:textId="030E0572" w:rsidR="00BD130D" w:rsidRPr="00B03142" w:rsidRDefault="00BD130D" w:rsidP="00BD130D">
            <w:pPr>
              <w:jc w:val="center"/>
              <w:rPr>
                <w:rFonts w:ascii="Times New Roman" w:hAnsi="Times New Roman" w:cs="Times New Roman"/>
                <w:b/>
                <w:bCs/>
                <w:sz w:val="20"/>
                <w:szCs w:val="20"/>
              </w:rPr>
            </w:pPr>
            <w:r w:rsidRPr="00B03142">
              <w:rPr>
                <w:rFonts w:ascii="Times New Roman" w:hAnsi="Times New Roman" w:cs="Times New Roman"/>
                <w:b/>
                <w:bCs/>
                <w:color w:val="000000"/>
                <w:sz w:val="20"/>
                <w:szCs w:val="20"/>
              </w:rPr>
              <w:t>0.53</w:t>
            </w:r>
            <w:r w:rsidRPr="00B03142">
              <w:rPr>
                <w:rFonts w:ascii="Times New Roman" w:eastAsia="Times New Roman" w:hAnsi="Times New Roman" w:cs="Times New Roman"/>
                <w:b/>
                <w:bCs/>
                <w:color w:val="000000"/>
                <w:sz w:val="20"/>
                <w:szCs w:val="20"/>
                <w:vertAlign w:val="superscript"/>
              </w:rPr>
              <w:t>‡</w:t>
            </w:r>
          </w:p>
        </w:tc>
        <w:tc>
          <w:tcPr>
            <w:tcW w:w="0" w:type="auto"/>
            <w:vAlign w:val="center"/>
          </w:tcPr>
          <w:p w14:paraId="4022604C" w14:textId="63620C5E" w:rsidR="00BD130D" w:rsidRPr="00B03142" w:rsidRDefault="00BD130D" w:rsidP="00BD130D">
            <w:pPr>
              <w:jc w:val="center"/>
              <w:rPr>
                <w:rFonts w:ascii="Times New Roman" w:hAnsi="Times New Roman" w:cs="Times New Roman"/>
                <w:b/>
                <w:bCs/>
                <w:sz w:val="20"/>
                <w:szCs w:val="20"/>
              </w:rPr>
            </w:pPr>
            <w:r w:rsidRPr="00B03142">
              <w:rPr>
                <w:rFonts w:ascii="Times New Roman" w:hAnsi="Times New Roman" w:cs="Times New Roman"/>
                <w:b/>
                <w:bCs/>
                <w:color w:val="000000"/>
                <w:sz w:val="20"/>
                <w:szCs w:val="20"/>
              </w:rPr>
              <w:t>0.63</w:t>
            </w:r>
            <w:r w:rsidRPr="00B03142">
              <w:rPr>
                <w:rFonts w:ascii="Times New Roman" w:hAnsi="Times New Roman" w:cs="Times New Roman"/>
                <w:b/>
                <w:bCs/>
                <w:color w:val="000000"/>
                <w:sz w:val="20"/>
                <w:szCs w:val="20"/>
                <w:vertAlign w:val="superscript"/>
              </w:rPr>
              <w:t>*</w:t>
            </w:r>
          </w:p>
        </w:tc>
        <w:tc>
          <w:tcPr>
            <w:tcW w:w="0" w:type="auto"/>
            <w:vAlign w:val="center"/>
          </w:tcPr>
          <w:p w14:paraId="01D51E94" w14:textId="54A7942D" w:rsidR="00BD130D" w:rsidRPr="00B03142" w:rsidRDefault="00BD130D" w:rsidP="00BD130D">
            <w:pPr>
              <w:jc w:val="center"/>
              <w:rPr>
                <w:rFonts w:ascii="Times New Roman" w:hAnsi="Times New Roman" w:cs="Times New Roman"/>
                <w:b/>
                <w:bCs/>
                <w:sz w:val="20"/>
                <w:szCs w:val="20"/>
              </w:rPr>
            </w:pPr>
            <w:r w:rsidRPr="00B03142">
              <w:rPr>
                <w:rFonts w:ascii="Times New Roman" w:hAnsi="Times New Roman" w:cs="Times New Roman"/>
                <w:b/>
                <w:bCs/>
                <w:color w:val="000000"/>
                <w:sz w:val="20"/>
                <w:szCs w:val="20"/>
              </w:rPr>
              <w:t>0.5</w:t>
            </w:r>
            <w:r w:rsidRPr="00B03142">
              <w:rPr>
                <w:rFonts w:ascii="Times New Roman" w:eastAsia="Times New Roman" w:hAnsi="Times New Roman" w:cs="Times New Roman"/>
                <w:b/>
                <w:bCs/>
                <w:color w:val="000000"/>
                <w:sz w:val="20"/>
                <w:szCs w:val="20"/>
                <w:vertAlign w:val="superscript"/>
              </w:rPr>
              <w:t>‡</w:t>
            </w:r>
          </w:p>
        </w:tc>
        <w:tc>
          <w:tcPr>
            <w:tcW w:w="0" w:type="auto"/>
            <w:vAlign w:val="center"/>
          </w:tcPr>
          <w:p w14:paraId="6802B482" w14:textId="4363FCCF" w:rsidR="00BD130D" w:rsidRPr="00B03142" w:rsidRDefault="00BD130D" w:rsidP="00BD130D">
            <w:pPr>
              <w:jc w:val="center"/>
              <w:rPr>
                <w:rFonts w:ascii="Times New Roman" w:hAnsi="Times New Roman" w:cs="Times New Roman"/>
                <w:b/>
                <w:bCs/>
                <w:sz w:val="20"/>
                <w:szCs w:val="20"/>
              </w:rPr>
            </w:pPr>
            <w:r w:rsidRPr="00B03142">
              <w:rPr>
                <w:rFonts w:ascii="Times New Roman" w:hAnsi="Times New Roman" w:cs="Times New Roman"/>
                <w:color w:val="000000"/>
                <w:sz w:val="20"/>
                <w:szCs w:val="20"/>
              </w:rPr>
              <w:t>0.27</w:t>
            </w:r>
          </w:p>
        </w:tc>
        <w:tc>
          <w:tcPr>
            <w:tcW w:w="0" w:type="auto"/>
            <w:vAlign w:val="center"/>
          </w:tcPr>
          <w:p w14:paraId="4AD3C787" w14:textId="2F7393E6" w:rsidR="00BD130D" w:rsidRPr="00B03142" w:rsidRDefault="00BD130D" w:rsidP="00BD130D">
            <w:pPr>
              <w:jc w:val="center"/>
              <w:rPr>
                <w:rFonts w:ascii="Times New Roman" w:hAnsi="Times New Roman" w:cs="Times New Roman"/>
                <w:sz w:val="20"/>
                <w:szCs w:val="20"/>
              </w:rPr>
            </w:pPr>
            <w:r w:rsidRPr="00B03142">
              <w:rPr>
                <w:rFonts w:ascii="Times New Roman" w:hAnsi="Times New Roman" w:cs="Times New Roman"/>
                <w:sz w:val="20"/>
                <w:szCs w:val="20"/>
              </w:rPr>
              <w:t>0.01</w:t>
            </w:r>
          </w:p>
        </w:tc>
        <w:tc>
          <w:tcPr>
            <w:tcW w:w="0" w:type="auto"/>
            <w:vAlign w:val="center"/>
          </w:tcPr>
          <w:p w14:paraId="399A70E4" w14:textId="071C89A5" w:rsidR="00BD130D" w:rsidRPr="00B03142" w:rsidRDefault="00BD130D" w:rsidP="00BD130D">
            <w:pPr>
              <w:jc w:val="center"/>
              <w:rPr>
                <w:rFonts w:ascii="Times New Roman" w:hAnsi="Times New Roman" w:cs="Times New Roman"/>
                <w:sz w:val="20"/>
                <w:szCs w:val="20"/>
              </w:rPr>
            </w:pPr>
            <w:r w:rsidRPr="00B03142">
              <w:rPr>
                <w:rFonts w:ascii="Times New Roman" w:hAnsi="Times New Roman" w:cs="Times New Roman"/>
                <w:sz w:val="20"/>
                <w:szCs w:val="20"/>
              </w:rPr>
              <w:t>-0.24</w:t>
            </w:r>
          </w:p>
        </w:tc>
        <w:tc>
          <w:tcPr>
            <w:tcW w:w="0" w:type="auto"/>
            <w:vAlign w:val="center"/>
          </w:tcPr>
          <w:p w14:paraId="74E9B56A" w14:textId="32729100" w:rsidR="00BD130D" w:rsidRPr="00B03142" w:rsidRDefault="00BD130D" w:rsidP="00BD130D">
            <w:pPr>
              <w:jc w:val="center"/>
              <w:rPr>
                <w:rFonts w:ascii="Times New Roman" w:hAnsi="Times New Roman" w:cs="Times New Roman"/>
                <w:b/>
                <w:bCs/>
                <w:sz w:val="20"/>
                <w:szCs w:val="20"/>
              </w:rPr>
            </w:pPr>
            <w:r w:rsidRPr="00B03142">
              <w:rPr>
                <w:rFonts w:ascii="Times New Roman" w:hAnsi="Times New Roman" w:cs="Times New Roman"/>
                <w:b/>
                <w:bCs/>
                <w:color w:val="000000"/>
                <w:sz w:val="20"/>
                <w:szCs w:val="20"/>
              </w:rPr>
              <w:t>-0.75</w:t>
            </w:r>
            <w:r w:rsidRPr="00B03142">
              <w:rPr>
                <w:rFonts w:ascii="Times New Roman" w:hAnsi="Times New Roman" w:cs="Times New Roman"/>
                <w:b/>
                <w:bCs/>
                <w:color w:val="000000"/>
                <w:sz w:val="20"/>
                <w:szCs w:val="20"/>
                <w:vertAlign w:val="superscript"/>
              </w:rPr>
              <w:t>**</w:t>
            </w:r>
          </w:p>
        </w:tc>
      </w:tr>
      <w:tr w:rsidR="00BD130D" w:rsidRPr="00B03142" w14:paraId="31863009" w14:textId="77777777" w:rsidTr="00411585">
        <w:trPr>
          <w:trHeight w:val="288"/>
          <w:jc w:val="center"/>
        </w:trPr>
        <w:tc>
          <w:tcPr>
            <w:tcW w:w="0" w:type="auto"/>
            <w:vAlign w:val="center"/>
          </w:tcPr>
          <w:p w14:paraId="1D0AC90B" w14:textId="77777777" w:rsidR="00BD130D" w:rsidRPr="00B03142" w:rsidRDefault="00BD130D" w:rsidP="00BD130D">
            <w:pPr>
              <w:rPr>
                <w:rFonts w:ascii="Times New Roman" w:hAnsi="Times New Roman" w:cs="Times New Roman"/>
                <w:sz w:val="20"/>
                <w:szCs w:val="20"/>
              </w:rPr>
            </w:pPr>
            <w:r w:rsidRPr="00B03142">
              <w:rPr>
                <w:rFonts w:ascii="Times New Roman" w:eastAsia="Times New Roman" w:hAnsi="Times New Roman" w:cs="Times New Roman"/>
                <w:b/>
                <w:bCs/>
                <w:color w:val="000000"/>
                <w:sz w:val="20"/>
                <w:szCs w:val="20"/>
              </w:rPr>
              <w:t>İMA</w:t>
            </w:r>
          </w:p>
        </w:tc>
        <w:tc>
          <w:tcPr>
            <w:tcW w:w="0" w:type="auto"/>
            <w:vAlign w:val="center"/>
          </w:tcPr>
          <w:p w14:paraId="41CF7CF8" w14:textId="426E868B" w:rsidR="00BD130D" w:rsidRPr="00B03142" w:rsidRDefault="00BD130D" w:rsidP="00BD130D">
            <w:pPr>
              <w:jc w:val="center"/>
              <w:rPr>
                <w:rFonts w:ascii="Times New Roman" w:hAnsi="Times New Roman" w:cs="Times New Roman"/>
                <w:b/>
                <w:bCs/>
                <w:sz w:val="20"/>
                <w:szCs w:val="20"/>
              </w:rPr>
            </w:pPr>
            <w:r w:rsidRPr="00B03142">
              <w:rPr>
                <w:rFonts w:ascii="Times New Roman" w:hAnsi="Times New Roman" w:cs="Times New Roman"/>
                <w:b/>
                <w:bCs/>
                <w:color w:val="000000"/>
                <w:sz w:val="20"/>
                <w:szCs w:val="20"/>
              </w:rPr>
              <w:t>0.74</w:t>
            </w:r>
            <w:r w:rsidRPr="00B03142">
              <w:rPr>
                <w:rFonts w:ascii="Times New Roman" w:hAnsi="Times New Roman" w:cs="Times New Roman"/>
                <w:b/>
                <w:bCs/>
                <w:color w:val="000000"/>
                <w:sz w:val="20"/>
                <w:szCs w:val="20"/>
                <w:vertAlign w:val="superscript"/>
              </w:rPr>
              <w:t>**</w:t>
            </w:r>
          </w:p>
        </w:tc>
        <w:tc>
          <w:tcPr>
            <w:tcW w:w="0" w:type="auto"/>
            <w:vAlign w:val="center"/>
          </w:tcPr>
          <w:p w14:paraId="4FFA04FE" w14:textId="1F8975DC" w:rsidR="00BD130D" w:rsidRPr="00B03142" w:rsidRDefault="00BD130D" w:rsidP="00BD130D">
            <w:pPr>
              <w:jc w:val="center"/>
              <w:rPr>
                <w:rFonts w:ascii="Times New Roman" w:hAnsi="Times New Roman" w:cs="Times New Roman"/>
                <w:b/>
                <w:bCs/>
                <w:sz w:val="20"/>
                <w:szCs w:val="20"/>
              </w:rPr>
            </w:pPr>
            <w:r w:rsidRPr="00B03142">
              <w:rPr>
                <w:rFonts w:ascii="Times New Roman" w:hAnsi="Times New Roman" w:cs="Times New Roman"/>
                <w:b/>
                <w:bCs/>
                <w:color w:val="000000"/>
                <w:sz w:val="20"/>
                <w:szCs w:val="20"/>
              </w:rPr>
              <w:t>0.59</w:t>
            </w:r>
            <w:r w:rsidRPr="00B03142">
              <w:rPr>
                <w:rFonts w:ascii="Times New Roman" w:hAnsi="Times New Roman" w:cs="Times New Roman"/>
                <w:b/>
                <w:bCs/>
                <w:color w:val="000000"/>
                <w:sz w:val="20"/>
                <w:szCs w:val="20"/>
                <w:vertAlign w:val="superscript"/>
              </w:rPr>
              <w:t>*</w:t>
            </w:r>
          </w:p>
        </w:tc>
        <w:tc>
          <w:tcPr>
            <w:tcW w:w="0" w:type="auto"/>
            <w:vAlign w:val="center"/>
          </w:tcPr>
          <w:p w14:paraId="459E6861" w14:textId="3C823108" w:rsidR="00BD130D" w:rsidRPr="00B03142" w:rsidRDefault="00BD130D" w:rsidP="00BD130D">
            <w:pPr>
              <w:jc w:val="center"/>
              <w:rPr>
                <w:rFonts w:ascii="Times New Roman" w:hAnsi="Times New Roman" w:cs="Times New Roman"/>
                <w:sz w:val="20"/>
                <w:szCs w:val="20"/>
              </w:rPr>
            </w:pPr>
            <w:r w:rsidRPr="00B03142">
              <w:rPr>
                <w:rFonts w:ascii="Times New Roman" w:hAnsi="Times New Roman" w:cs="Times New Roman"/>
                <w:color w:val="000000"/>
                <w:sz w:val="20"/>
                <w:szCs w:val="20"/>
              </w:rPr>
              <w:t>0.46</w:t>
            </w:r>
          </w:p>
        </w:tc>
        <w:tc>
          <w:tcPr>
            <w:tcW w:w="0" w:type="auto"/>
            <w:vAlign w:val="center"/>
          </w:tcPr>
          <w:p w14:paraId="69171E7D" w14:textId="6DE65ED3" w:rsidR="00BD130D" w:rsidRPr="00B03142" w:rsidRDefault="00BD130D" w:rsidP="00BD130D">
            <w:pPr>
              <w:jc w:val="center"/>
              <w:rPr>
                <w:rFonts w:ascii="Times New Roman" w:hAnsi="Times New Roman" w:cs="Times New Roman"/>
                <w:b/>
                <w:bCs/>
                <w:sz w:val="20"/>
                <w:szCs w:val="20"/>
              </w:rPr>
            </w:pPr>
            <w:r w:rsidRPr="00B03142">
              <w:rPr>
                <w:rFonts w:ascii="Times New Roman" w:hAnsi="Times New Roman" w:cs="Times New Roman"/>
                <w:color w:val="000000"/>
                <w:sz w:val="20"/>
                <w:szCs w:val="20"/>
              </w:rPr>
              <w:t>0.34</w:t>
            </w:r>
          </w:p>
        </w:tc>
        <w:tc>
          <w:tcPr>
            <w:tcW w:w="0" w:type="auto"/>
            <w:vAlign w:val="center"/>
          </w:tcPr>
          <w:p w14:paraId="36F985AA" w14:textId="7FFD983F" w:rsidR="00BD130D" w:rsidRPr="00B03142" w:rsidRDefault="00BD130D" w:rsidP="00BD130D">
            <w:pPr>
              <w:jc w:val="center"/>
              <w:rPr>
                <w:rFonts w:ascii="Times New Roman" w:hAnsi="Times New Roman" w:cs="Times New Roman"/>
                <w:sz w:val="20"/>
                <w:szCs w:val="20"/>
              </w:rPr>
            </w:pPr>
            <w:r w:rsidRPr="00B03142">
              <w:rPr>
                <w:rFonts w:ascii="Times New Roman" w:hAnsi="Times New Roman" w:cs="Times New Roman"/>
                <w:sz w:val="20"/>
                <w:szCs w:val="20"/>
              </w:rPr>
              <w:t>0.24</w:t>
            </w:r>
          </w:p>
        </w:tc>
        <w:tc>
          <w:tcPr>
            <w:tcW w:w="0" w:type="auto"/>
            <w:vAlign w:val="center"/>
          </w:tcPr>
          <w:p w14:paraId="1D89A5F3" w14:textId="6CD92B72" w:rsidR="00BD130D" w:rsidRPr="00B03142" w:rsidRDefault="00BD130D" w:rsidP="00BD130D">
            <w:pPr>
              <w:jc w:val="center"/>
              <w:rPr>
                <w:rFonts w:ascii="Times New Roman" w:hAnsi="Times New Roman" w:cs="Times New Roman"/>
                <w:sz w:val="20"/>
                <w:szCs w:val="20"/>
              </w:rPr>
            </w:pPr>
            <w:r w:rsidRPr="00B03142">
              <w:rPr>
                <w:rFonts w:ascii="Times New Roman" w:hAnsi="Times New Roman" w:cs="Times New Roman"/>
                <w:sz w:val="20"/>
                <w:szCs w:val="20"/>
              </w:rPr>
              <w:t>-0.1</w:t>
            </w:r>
          </w:p>
        </w:tc>
        <w:tc>
          <w:tcPr>
            <w:tcW w:w="0" w:type="auto"/>
            <w:vAlign w:val="center"/>
          </w:tcPr>
          <w:p w14:paraId="44B010ED" w14:textId="446732BD" w:rsidR="00BD130D" w:rsidRPr="00B03142" w:rsidRDefault="00BD130D" w:rsidP="00BD130D">
            <w:pPr>
              <w:jc w:val="center"/>
              <w:rPr>
                <w:rFonts w:ascii="Times New Roman" w:hAnsi="Times New Roman" w:cs="Times New Roman"/>
                <w:sz w:val="20"/>
                <w:szCs w:val="20"/>
              </w:rPr>
            </w:pPr>
            <w:r w:rsidRPr="00B03142">
              <w:rPr>
                <w:rFonts w:ascii="Times New Roman" w:hAnsi="Times New Roman" w:cs="Times New Roman"/>
                <w:color w:val="000000"/>
                <w:sz w:val="20"/>
                <w:szCs w:val="20"/>
              </w:rPr>
              <w:t>-0.47</w:t>
            </w:r>
          </w:p>
        </w:tc>
      </w:tr>
      <w:tr w:rsidR="00BD130D" w:rsidRPr="00B03142" w14:paraId="57DC40A7" w14:textId="77777777" w:rsidTr="00411585">
        <w:trPr>
          <w:trHeight w:val="288"/>
          <w:jc w:val="center"/>
        </w:trPr>
        <w:tc>
          <w:tcPr>
            <w:tcW w:w="0" w:type="auto"/>
            <w:vAlign w:val="center"/>
          </w:tcPr>
          <w:p w14:paraId="03ED9E3E" w14:textId="77777777" w:rsidR="00BD130D" w:rsidRPr="00B03142" w:rsidRDefault="00BD130D" w:rsidP="00BD130D">
            <w:pPr>
              <w:rPr>
                <w:rFonts w:ascii="Times New Roman" w:hAnsi="Times New Roman" w:cs="Times New Roman"/>
                <w:sz w:val="20"/>
                <w:szCs w:val="20"/>
              </w:rPr>
            </w:pPr>
            <w:r w:rsidRPr="00B03142">
              <w:rPr>
                <w:rFonts w:ascii="Times New Roman" w:eastAsia="Times New Roman" w:hAnsi="Times New Roman" w:cs="Times New Roman"/>
                <w:b/>
                <w:bCs/>
                <w:color w:val="000000"/>
                <w:sz w:val="20"/>
                <w:szCs w:val="20"/>
              </w:rPr>
              <w:t>MAD</w:t>
            </w:r>
          </w:p>
        </w:tc>
        <w:tc>
          <w:tcPr>
            <w:tcW w:w="0" w:type="auto"/>
            <w:vAlign w:val="center"/>
          </w:tcPr>
          <w:p w14:paraId="4DDC6340" w14:textId="23AF1460" w:rsidR="00BD130D" w:rsidRPr="00B03142" w:rsidRDefault="00BD130D" w:rsidP="00BD130D">
            <w:pPr>
              <w:jc w:val="center"/>
              <w:rPr>
                <w:rFonts w:ascii="Times New Roman" w:hAnsi="Times New Roman" w:cs="Times New Roman"/>
                <w:sz w:val="20"/>
                <w:szCs w:val="20"/>
              </w:rPr>
            </w:pPr>
            <w:r w:rsidRPr="00B03142">
              <w:rPr>
                <w:rFonts w:ascii="Times New Roman" w:hAnsi="Times New Roman" w:cs="Times New Roman"/>
                <w:color w:val="000000"/>
                <w:sz w:val="20"/>
                <w:szCs w:val="20"/>
              </w:rPr>
              <w:t>0.12</w:t>
            </w:r>
          </w:p>
        </w:tc>
        <w:tc>
          <w:tcPr>
            <w:tcW w:w="0" w:type="auto"/>
            <w:vAlign w:val="center"/>
          </w:tcPr>
          <w:p w14:paraId="1AD866F8" w14:textId="5908C2BC" w:rsidR="00BD130D" w:rsidRPr="00B03142" w:rsidRDefault="00BD130D" w:rsidP="00BD130D">
            <w:pPr>
              <w:jc w:val="center"/>
              <w:rPr>
                <w:rFonts w:ascii="Times New Roman" w:hAnsi="Times New Roman" w:cs="Times New Roman"/>
                <w:sz w:val="20"/>
                <w:szCs w:val="20"/>
              </w:rPr>
            </w:pPr>
            <w:r w:rsidRPr="00B03142">
              <w:rPr>
                <w:rFonts w:ascii="Times New Roman" w:hAnsi="Times New Roman" w:cs="Times New Roman"/>
                <w:color w:val="000000"/>
                <w:sz w:val="20"/>
                <w:szCs w:val="20"/>
              </w:rPr>
              <w:t>-0.16</w:t>
            </w:r>
          </w:p>
        </w:tc>
        <w:tc>
          <w:tcPr>
            <w:tcW w:w="0" w:type="auto"/>
            <w:vAlign w:val="center"/>
          </w:tcPr>
          <w:p w14:paraId="7AF2EDF7" w14:textId="699FD6F9" w:rsidR="00BD130D" w:rsidRPr="00B03142" w:rsidRDefault="00BD130D" w:rsidP="00BD130D">
            <w:pPr>
              <w:jc w:val="center"/>
              <w:rPr>
                <w:rFonts w:ascii="Times New Roman" w:hAnsi="Times New Roman" w:cs="Times New Roman"/>
                <w:sz w:val="20"/>
                <w:szCs w:val="20"/>
              </w:rPr>
            </w:pPr>
            <w:r w:rsidRPr="00B03142">
              <w:rPr>
                <w:rFonts w:ascii="Times New Roman" w:hAnsi="Times New Roman" w:cs="Times New Roman"/>
                <w:color w:val="000000"/>
                <w:sz w:val="20"/>
                <w:szCs w:val="20"/>
              </w:rPr>
              <w:t>-0.41</w:t>
            </w:r>
          </w:p>
        </w:tc>
        <w:tc>
          <w:tcPr>
            <w:tcW w:w="0" w:type="auto"/>
            <w:vAlign w:val="center"/>
          </w:tcPr>
          <w:p w14:paraId="54A00D92" w14:textId="39D0A563" w:rsidR="00BD130D" w:rsidRPr="00B03142" w:rsidRDefault="00BD130D" w:rsidP="00BD130D">
            <w:pPr>
              <w:jc w:val="center"/>
              <w:rPr>
                <w:rFonts w:ascii="Times New Roman" w:hAnsi="Times New Roman" w:cs="Times New Roman"/>
                <w:sz w:val="20"/>
                <w:szCs w:val="20"/>
              </w:rPr>
            </w:pPr>
            <w:r w:rsidRPr="00B03142">
              <w:rPr>
                <w:rFonts w:ascii="Times New Roman" w:hAnsi="Times New Roman" w:cs="Times New Roman"/>
                <w:color w:val="000000"/>
                <w:sz w:val="20"/>
                <w:szCs w:val="20"/>
              </w:rPr>
              <w:t>-0.4</w:t>
            </w:r>
          </w:p>
        </w:tc>
        <w:tc>
          <w:tcPr>
            <w:tcW w:w="0" w:type="auto"/>
            <w:vAlign w:val="center"/>
          </w:tcPr>
          <w:p w14:paraId="1B358929" w14:textId="3EC6A3D8" w:rsidR="00BD130D" w:rsidRPr="00B03142" w:rsidRDefault="00BD130D" w:rsidP="00BD130D">
            <w:pPr>
              <w:jc w:val="center"/>
              <w:rPr>
                <w:rFonts w:ascii="Times New Roman" w:hAnsi="Times New Roman" w:cs="Times New Roman"/>
                <w:sz w:val="20"/>
                <w:szCs w:val="20"/>
              </w:rPr>
            </w:pPr>
            <w:r w:rsidRPr="00B03142">
              <w:rPr>
                <w:rFonts w:ascii="Times New Roman" w:hAnsi="Times New Roman" w:cs="Times New Roman"/>
                <w:sz w:val="20"/>
                <w:szCs w:val="20"/>
              </w:rPr>
              <w:t>-0.3</w:t>
            </w:r>
          </w:p>
        </w:tc>
        <w:tc>
          <w:tcPr>
            <w:tcW w:w="0" w:type="auto"/>
            <w:vAlign w:val="center"/>
          </w:tcPr>
          <w:p w14:paraId="6FDBABAE" w14:textId="6264B092" w:rsidR="00BD130D" w:rsidRPr="00B03142" w:rsidRDefault="00BD130D" w:rsidP="00BD130D">
            <w:pPr>
              <w:jc w:val="center"/>
              <w:rPr>
                <w:rFonts w:ascii="Times New Roman" w:hAnsi="Times New Roman" w:cs="Times New Roman"/>
                <w:sz w:val="20"/>
                <w:szCs w:val="20"/>
              </w:rPr>
            </w:pPr>
            <w:r w:rsidRPr="00B03142">
              <w:rPr>
                <w:rFonts w:ascii="Times New Roman" w:hAnsi="Times New Roman" w:cs="Times New Roman"/>
                <w:sz w:val="20"/>
                <w:szCs w:val="20"/>
              </w:rPr>
              <w:t>-0.48</w:t>
            </w:r>
          </w:p>
        </w:tc>
        <w:tc>
          <w:tcPr>
            <w:tcW w:w="0" w:type="auto"/>
            <w:vAlign w:val="center"/>
          </w:tcPr>
          <w:p w14:paraId="59561E7B" w14:textId="46125E4B" w:rsidR="00BD130D" w:rsidRPr="00B03142" w:rsidRDefault="00BD130D" w:rsidP="00BD130D">
            <w:pPr>
              <w:jc w:val="center"/>
              <w:rPr>
                <w:rFonts w:ascii="Times New Roman" w:hAnsi="Times New Roman" w:cs="Times New Roman"/>
                <w:sz w:val="20"/>
                <w:szCs w:val="20"/>
              </w:rPr>
            </w:pPr>
            <w:r w:rsidRPr="00B03142">
              <w:rPr>
                <w:rFonts w:ascii="Times New Roman" w:hAnsi="Times New Roman" w:cs="Times New Roman"/>
                <w:color w:val="000000"/>
                <w:sz w:val="20"/>
                <w:szCs w:val="20"/>
              </w:rPr>
              <w:t>-0.33</w:t>
            </w:r>
          </w:p>
        </w:tc>
      </w:tr>
      <w:tr w:rsidR="00BD130D" w:rsidRPr="00B03142" w14:paraId="6F5CD6DB" w14:textId="77777777" w:rsidTr="00411585">
        <w:trPr>
          <w:trHeight w:val="288"/>
          <w:jc w:val="center"/>
        </w:trPr>
        <w:tc>
          <w:tcPr>
            <w:tcW w:w="0" w:type="auto"/>
            <w:vAlign w:val="center"/>
          </w:tcPr>
          <w:p w14:paraId="37A93D0E" w14:textId="77777777" w:rsidR="00BD130D" w:rsidRPr="00B03142" w:rsidRDefault="00BD130D" w:rsidP="00BD130D">
            <w:pPr>
              <w:rPr>
                <w:rFonts w:ascii="Times New Roman" w:hAnsi="Times New Roman" w:cs="Times New Roman"/>
                <w:sz w:val="20"/>
                <w:szCs w:val="20"/>
              </w:rPr>
            </w:pPr>
            <w:r w:rsidRPr="00B03142">
              <w:rPr>
                <w:rFonts w:ascii="Times New Roman" w:eastAsia="Times New Roman" w:hAnsi="Times New Roman" w:cs="Times New Roman"/>
                <w:b/>
                <w:bCs/>
                <w:color w:val="000000"/>
                <w:sz w:val="20"/>
                <w:szCs w:val="20"/>
              </w:rPr>
              <w:t>EGS</w:t>
            </w:r>
          </w:p>
        </w:tc>
        <w:tc>
          <w:tcPr>
            <w:tcW w:w="0" w:type="auto"/>
            <w:vAlign w:val="center"/>
          </w:tcPr>
          <w:p w14:paraId="72981B9F" w14:textId="0EAD5DE0" w:rsidR="00BD130D" w:rsidRPr="00B03142" w:rsidRDefault="00BD130D" w:rsidP="00BD130D">
            <w:pPr>
              <w:jc w:val="center"/>
              <w:rPr>
                <w:rFonts w:ascii="Times New Roman" w:hAnsi="Times New Roman" w:cs="Times New Roman"/>
                <w:sz w:val="20"/>
                <w:szCs w:val="20"/>
              </w:rPr>
            </w:pPr>
            <w:r w:rsidRPr="00B03142">
              <w:rPr>
                <w:rFonts w:ascii="Times New Roman" w:hAnsi="Times New Roman" w:cs="Times New Roman"/>
                <w:color w:val="000000"/>
                <w:sz w:val="20"/>
                <w:szCs w:val="20"/>
              </w:rPr>
              <w:t>0.24</w:t>
            </w:r>
          </w:p>
        </w:tc>
        <w:tc>
          <w:tcPr>
            <w:tcW w:w="0" w:type="auto"/>
            <w:vAlign w:val="center"/>
          </w:tcPr>
          <w:p w14:paraId="5068A549" w14:textId="01EDE39C" w:rsidR="00BD130D" w:rsidRPr="00B03142" w:rsidRDefault="00BD130D" w:rsidP="00BD130D">
            <w:pPr>
              <w:jc w:val="center"/>
              <w:rPr>
                <w:rFonts w:ascii="Times New Roman" w:hAnsi="Times New Roman" w:cs="Times New Roman"/>
                <w:b/>
                <w:bCs/>
                <w:sz w:val="20"/>
                <w:szCs w:val="20"/>
              </w:rPr>
            </w:pPr>
            <w:r w:rsidRPr="00B03142">
              <w:rPr>
                <w:rFonts w:ascii="Times New Roman" w:hAnsi="Times New Roman" w:cs="Times New Roman"/>
                <w:b/>
                <w:bCs/>
                <w:color w:val="000000"/>
                <w:sz w:val="20"/>
                <w:szCs w:val="20"/>
              </w:rPr>
              <w:t>0.53</w:t>
            </w:r>
            <w:r w:rsidRPr="00B03142">
              <w:rPr>
                <w:rFonts w:ascii="Times New Roman" w:eastAsia="Times New Roman" w:hAnsi="Times New Roman" w:cs="Times New Roman"/>
                <w:b/>
                <w:bCs/>
                <w:color w:val="000000"/>
                <w:sz w:val="20"/>
                <w:szCs w:val="20"/>
                <w:vertAlign w:val="superscript"/>
              </w:rPr>
              <w:t>‡</w:t>
            </w:r>
          </w:p>
        </w:tc>
        <w:tc>
          <w:tcPr>
            <w:tcW w:w="0" w:type="auto"/>
            <w:vAlign w:val="center"/>
          </w:tcPr>
          <w:p w14:paraId="5999CB8B" w14:textId="3E6FA591" w:rsidR="00BD130D" w:rsidRPr="00B03142" w:rsidRDefault="00BD130D" w:rsidP="00BD130D">
            <w:pPr>
              <w:jc w:val="center"/>
              <w:rPr>
                <w:rFonts w:ascii="Times New Roman" w:hAnsi="Times New Roman" w:cs="Times New Roman"/>
                <w:b/>
                <w:bCs/>
                <w:sz w:val="20"/>
                <w:szCs w:val="20"/>
              </w:rPr>
            </w:pPr>
            <w:r w:rsidRPr="00B03142">
              <w:rPr>
                <w:rFonts w:ascii="Times New Roman" w:hAnsi="Times New Roman" w:cs="Times New Roman"/>
                <w:b/>
                <w:bCs/>
                <w:color w:val="000000"/>
                <w:sz w:val="20"/>
                <w:szCs w:val="20"/>
              </w:rPr>
              <w:t>0.85</w:t>
            </w:r>
            <w:r w:rsidRPr="00B03142">
              <w:rPr>
                <w:rFonts w:ascii="Times New Roman" w:hAnsi="Times New Roman" w:cs="Times New Roman"/>
                <w:b/>
                <w:bCs/>
                <w:color w:val="000000"/>
                <w:sz w:val="20"/>
                <w:szCs w:val="20"/>
                <w:vertAlign w:val="superscript"/>
              </w:rPr>
              <w:t>***</w:t>
            </w:r>
          </w:p>
        </w:tc>
        <w:tc>
          <w:tcPr>
            <w:tcW w:w="0" w:type="auto"/>
            <w:vAlign w:val="center"/>
          </w:tcPr>
          <w:p w14:paraId="7C226E28" w14:textId="5C5A6405" w:rsidR="00BD130D" w:rsidRPr="00B03142" w:rsidRDefault="00BD130D" w:rsidP="00BD130D">
            <w:pPr>
              <w:jc w:val="center"/>
              <w:rPr>
                <w:rFonts w:ascii="Times New Roman" w:hAnsi="Times New Roman" w:cs="Times New Roman"/>
                <w:b/>
                <w:bCs/>
                <w:sz w:val="20"/>
                <w:szCs w:val="20"/>
              </w:rPr>
            </w:pPr>
            <w:r w:rsidRPr="00B03142">
              <w:rPr>
                <w:rFonts w:ascii="Times New Roman" w:hAnsi="Times New Roman" w:cs="Times New Roman"/>
                <w:b/>
                <w:bCs/>
                <w:color w:val="000000"/>
                <w:sz w:val="20"/>
                <w:szCs w:val="20"/>
              </w:rPr>
              <w:t>0.83</w:t>
            </w:r>
            <w:r w:rsidRPr="00B03142">
              <w:rPr>
                <w:rFonts w:ascii="Times New Roman" w:hAnsi="Times New Roman" w:cs="Times New Roman"/>
                <w:b/>
                <w:bCs/>
                <w:color w:val="000000"/>
                <w:sz w:val="20"/>
                <w:szCs w:val="20"/>
                <w:vertAlign w:val="superscript"/>
              </w:rPr>
              <w:t>****</w:t>
            </w:r>
          </w:p>
        </w:tc>
        <w:tc>
          <w:tcPr>
            <w:tcW w:w="0" w:type="auto"/>
            <w:vAlign w:val="center"/>
          </w:tcPr>
          <w:p w14:paraId="4FE8EC7E" w14:textId="34C521F8" w:rsidR="00BD130D" w:rsidRPr="00B03142" w:rsidRDefault="00BD130D" w:rsidP="00BD130D">
            <w:pPr>
              <w:jc w:val="center"/>
              <w:rPr>
                <w:rFonts w:ascii="Times New Roman" w:hAnsi="Times New Roman" w:cs="Times New Roman"/>
                <w:b/>
                <w:bCs/>
                <w:sz w:val="20"/>
                <w:szCs w:val="20"/>
              </w:rPr>
            </w:pPr>
            <w:r w:rsidRPr="00B03142">
              <w:rPr>
                <w:rFonts w:ascii="Times New Roman" w:hAnsi="Times New Roman" w:cs="Times New Roman"/>
                <w:b/>
                <w:bCs/>
                <w:sz w:val="20"/>
                <w:szCs w:val="20"/>
              </w:rPr>
              <w:t>0.73</w:t>
            </w:r>
            <w:r w:rsidRPr="00B03142">
              <w:rPr>
                <w:rFonts w:ascii="Times New Roman" w:hAnsi="Times New Roman" w:cs="Times New Roman"/>
                <w:b/>
                <w:bCs/>
                <w:sz w:val="20"/>
                <w:szCs w:val="20"/>
                <w:vertAlign w:val="superscript"/>
              </w:rPr>
              <w:t>**</w:t>
            </w:r>
          </w:p>
        </w:tc>
        <w:tc>
          <w:tcPr>
            <w:tcW w:w="0" w:type="auto"/>
            <w:vAlign w:val="center"/>
          </w:tcPr>
          <w:p w14:paraId="35C57045" w14:textId="4BD6AA21" w:rsidR="00BD130D" w:rsidRPr="00B03142" w:rsidRDefault="00BD130D" w:rsidP="00BD130D">
            <w:pPr>
              <w:jc w:val="center"/>
              <w:rPr>
                <w:rFonts w:ascii="Times New Roman" w:hAnsi="Times New Roman" w:cs="Times New Roman"/>
                <w:sz w:val="20"/>
                <w:szCs w:val="20"/>
              </w:rPr>
            </w:pPr>
            <w:r w:rsidRPr="00B03142">
              <w:rPr>
                <w:rFonts w:ascii="Times New Roman" w:hAnsi="Times New Roman" w:cs="Times New Roman"/>
                <w:sz w:val="20"/>
                <w:szCs w:val="20"/>
              </w:rPr>
              <w:t>0.48</w:t>
            </w:r>
          </w:p>
        </w:tc>
        <w:tc>
          <w:tcPr>
            <w:tcW w:w="0" w:type="auto"/>
            <w:vAlign w:val="center"/>
          </w:tcPr>
          <w:p w14:paraId="7270E061" w14:textId="49B830B9" w:rsidR="00BD130D" w:rsidRPr="00B03142" w:rsidRDefault="00BD130D" w:rsidP="00BD130D">
            <w:pPr>
              <w:jc w:val="center"/>
              <w:rPr>
                <w:rFonts w:ascii="Times New Roman" w:hAnsi="Times New Roman" w:cs="Times New Roman"/>
                <w:b/>
                <w:bCs/>
                <w:sz w:val="20"/>
                <w:szCs w:val="20"/>
              </w:rPr>
            </w:pPr>
            <w:r w:rsidRPr="00B03142">
              <w:rPr>
                <w:rFonts w:ascii="Times New Roman" w:hAnsi="Times New Roman" w:cs="Times New Roman"/>
                <w:color w:val="000000"/>
                <w:sz w:val="20"/>
                <w:szCs w:val="20"/>
              </w:rPr>
              <w:t>0.29</w:t>
            </w:r>
          </w:p>
        </w:tc>
      </w:tr>
      <w:tr w:rsidR="00BD130D" w:rsidRPr="00B03142" w14:paraId="137A2F6F" w14:textId="77777777" w:rsidTr="00411585">
        <w:trPr>
          <w:trHeight w:val="288"/>
          <w:jc w:val="center"/>
        </w:trPr>
        <w:tc>
          <w:tcPr>
            <w:tcW w:w="0" w:type="auto"/>
            <w:vAlign w:val="center"/>
          </w:tcPr>
          <w:p w14:paraId="57AB85DF" w14:textId="77777777" w:rsidR="00BD130D" w:rsidRPr="00B03142" w:rsidRDefault="00BD130D" w:rsidP="00BD130D">
            <w:pPr>
              <w:rPr>
                <w:rFonts w:ascii="Times New Roman" w:hAnsi="Times New Roman" w:cs="Times New Roman"/>
                <w:sz w:val="20"/>
                <w:szCs w:val="20"/>
              </w:rPr>
            </w:pPr>
            <w:r w:rsidRPr="00B03142">
              <w:rPr>
                <w:rFonts w:ascii="Times New Roman" w:eastAsia="Times New Roman" w:hAnsi="Times New Roman" w:cs="Times New Roman"/>
                <w:b/>
                <w:bCs/>
                <w:color w:val="000000"/>
                <w:sz w:val="20"/>
                <w:szCs w:val="20"/>
              </w:rPr>
              <w:t>UHD</w:t>
            </w:r>
          </w:p>
        </w:tc>
        <w:tc>
          <w:tcPr>
            <w:tcW w:w="0" w:type="auto"/>
            <w:vAlign w:val="center"/>
          </w:tcPr>
          <w:p w14:paraId="6A3B8EA8" w14:textId="2BF71A4A" w:rsidR="00BD130D" w:rsidRPr="00B03142" w:rsidRDefault="00BD130D" w:rsidP="00BD130D">
            <w:pPr>
              <w:jc w:val="center"/>
              <w:rPr>
                <w:rFonts w:ascii="Times New Roman" w:hAnsi="Times New Roman" w:cs="Times New Roman"/>
                <w:sz w:val="20"/>
                <w:szCs w:val="20"/>
              </w:rPr>
            </w:pPr>
            <w:r w:rsidRPr="00B03142">
              <w:rPr>
                <w:rFonts w:ascii="Times New Roman" w:hAnsi="Times New Roman" w:cs="Times New Roman"/>
                <w:color w:val="000000"/>
                <w:sz w:val="20"/>
                <w:szCs w:val="20"/>
              </w:rPr>
              <w:t>-0.24</w:t>
            </w:r>
          </w:p>
        </w:tc>
        <w:tc>
          <w:tcPr>
            <w:tcW w:w="0" w:type="auto"/>
            <w:vAlign w:val="center"/>
          </w:tcPr>
          <w:p w14:paraId="09DCAA49" w14:textId="2D1FCE94" w:rsidR="00BD130D" w:rsidRPr="00B03142" w:rsidRDefault="00BD130D" w:rsidP="00BD130D">
            <w:pPr>
              <w:jc w:val="center"/>
              <w:rPr>
                <w:rFonts w:ascii="Times New Roman" w:hAnsi="Times New Roman" w:cs="Times New Roman"/>
                <w:sz w:val="20"/>
                <w:szCs w:val="20"/>
              </w:rPr>
            </w:pPr>
            <w:r w:rsidRPr="00B03142">
              <w:rPr>
                <w:rFonts w:ascii="Times New Roman" w:hAnsi="Times New Roman" w:cs="Times New Roman"/>
                <w:color w:val="000000"/>
                <w:sz w:val="20"/>
                <w:szCs w:val="20"/>
              </w:rPr>
              <w:t>-0.47</w:t>
            </w:r>
          </w:p>
        </w:tc>
        <w:tc>
          <w:tcPr>
            <w:tcW w:w="0" w:type="auto"/>
            <w:vAlign w:val="center"/>
          </w:tcPr>
          <w:p w14:paraId="717D7188" w14:textId="086C38E3" w:rsidR="00BD130D" w:rsidRPr="00B03142" w:rsidRDefault="00BD130D" w:rsidP="00BD130D">
            <w:pPr>
              <w:jc w:val="center"/>
              <w:rPr>
                <w:rFonts w:ascii="Times New Roman" w:hAnsi="Times New Roman" w:cs="Times New Roman"/>
                <w:sz w:val="20"/>
                <w:szCs w:val="20"/>
              </w:rPr>
            </w:pPr>
            <w:r w:rsidRPr="00B03142">
              <w:rPr>
                <w:rFonts w:ascii="Times New Roman" w:hAnsi="Times New Roman" w:cs="Times New Roman"/>
                <w:color w:val="000000"/>
                <w:sz w:val="20"/>
                <w:szCs w:val="20"/>
              </w:rPr>
              <w:t>-0.38</w:t>
            </w:r>
          </w:p>
        </w:tc>
        <w:tc>
          <w:tcPr>
            <w:tcW w:w="0" w:type="auto"/>
            <w:vAlign w:val="center"/>
          </w:tcPr>
          <w:p w14:paraId="74796564" w14:textId="16F6F19E" w:rsidR="00BD130D" w:rsidRPr="00B03142" w:rsidRDefault="00BD130D" w:rsidP="00BD130D">
            <w:pPr>
              <w:jc w:val="center"/>
              <w:rPr>
                <w:rFonts w:ascii="Times New Roman" w:hAnsi="Times New Roman" w:cs="Times New Roman"/>
                <w:sz w:val="20"/>
                <w:szCs w:val="20"/>
              </w:rPr>
            </w:pPr>
            <w:r w:rsidRPr="00B03142">
              <w:rPr>
                <w:rFonts w:ascii="Times New Roman" w:hAnsi="Times New Roman" w:cs="Times New Roman"/>
                <w:color w:val="000000"/>
                <w:sz w:val="20"/>
                <w:szCs w:val="20"/>
              </w:rPr>
              <w:t>-0.38</w:t>
            </w:r>
          </w:p>
        </w:tc>
        <w:tc>
          <w:tcPr>
            <w:tcW w:w="0" w:type="auto"/>
            <w:vAlign w:val="center"/>
          </w:tcPr>
          <w:p w14:paraId="70339840" w14:textId="3E903675" w:rsidR="00BD130D" w:rsidRPr="00B03142" w:rsidRDefault="00BD130D" w:rsidP="00BD130D">
            <w:pPr>
              <w:jc w:val="center"/>
              <w:rPr>
                <w:rFonts w:ascii="Times New Roman" w:hAnsi="Times New Roman" w:cs="Times New Roman"/>
                <w:sz w:val="20"/>
                <w:szCs w:val="20"/>
              </w:rPr>
            </w:pPr>
            <w:r w:rsidRPr="00B03142">
              <w:rPr>
                <w:rFonts w:ascii="Times New Roman" w:hAnsi="Times New Roman" w:cs="Times New Roman"/>
                <w:sz w:val="20"/>
                <w:szCs w:val="20"/>
              </w:rPr>
              <w:t>-0.43</w:t>
            </w:r>
          </w:p>
        </w:tc>
        <w:tc>
          <w:tcPr>
            <w:tcW w:w="0" w:type="auto"/>
            <w:vAlign w:val="center"/>
          </w:tcPr>
          <w:p w14:paraId="0664B0E3" w14:textId="12F1FD0C" w:rsidR="00BD130D" w:rsidRPr="00B03142" w:rsidRDefault="00BD130D" w:rsidP="00BD130D">
            <w:pPr>
              <w:jc w:val="center"/>
              <w:rPr>
                <w:rFonts w:ascii="Times New Roman" w:hAnsi="Times New Roman" w:cs="Times New Roman"/>
                <w:b/>
                <w:bCs/>
                <w:sz w:val="20"/>
                <w:szCs w:val="20"/>
              </w:rPr>
            </w:pPr>
            <w:r w:rsidRPr="00B03142">
              <w:rPr>
                <w:rFonts w:ascii="Times New Roman" w:hAnsi="Times New Roman" w:cs="Times New Roman"/>
                <w:b/>
                <w:bCs/>
                <w:sz w:val="20"/>
                <w:szCs w:val="20"/>
              </w:rPr>
              <w:t>-0.63</w:t>
            </w:r>
            <w:r w:rsidRPr="00B03142">
              <w:rPr>
                <w:rFonts w:ascii="Times New Roman" w:hAnsi="Times New Roman" w:cs="Times New Roman"/>
                <w:b/>
                <w:bCs/>
                <w:sz w:val="20"/>
                <w:szCs w:val="20"/>
                <w:vertAlign w:val="superscript"/>
              </w:rPr>
              <w:t>*</w:t>
            </w:r>
          </w:p>
        </w:tc>
        <w:tc>
          <w:tcPr>
            <w:tcW w:w="0" w:type="auto"/>
            <w:vAlign w:val="center"/>
          </w:tcPr>
          <w:p w14:paraId="5FE29BA7" w14:textId="5CCCC32C" w:rsidR="00BD130D" w:rsidRPr="00B03142" w:rsidRDefault="00BD130D" w:rsidP="00BD130D">
            <w:pPr>
              <w:jc w:val="center"/>
              <w:rPr>
                <w:rFonts w:ascii="Times New Roman" w:hAnsi="Times New Roman" w:cs="Times New Roman"/>
                <w:b/>
                <w:bCs/>
                <w:sz w:val="20"/>
                <w:szCs w:val="20"/>
              </w:rPr>
            </w:pPr>
            <w:r w:rsidRPr="00B03142">
              <w:rPr>
                <w:rFonts w:ascii="Times New Roman" w:hAnsi="Times New Roman" w:cs="Times New Roman"/>
                <w:b/>
                <w:bCs/>
                <w:color w:val="000000"/>
                <w:sz w:val="20"/>
                <w:szCs w:val="20"/>
              </w:rPr>
              <w:t>-0.82</w:t>
            </w:r>
            <w:r w:rsidRPr="00B03142">
              <w:rPr>
                <w:rFonts w:ascii="Times New Roman" w:hAnsi="Times New Roman" w:cs="Times New Roman"/>
                <w:b/>
                <w:bCs/>
                <w:color w:val="000000"/>
                <w:sz w:val="20"/>
                <w:szCs w:val="20"/>
                <w:vertAlign w:val="superscript"/>
              </w:rPr>
              <w:t>**</w:t>
            </w:r>
          </w:p>
        </w:tc>
      </w:tr>
      <w:tr w:rsidR="00BD130D" w:rsidRPr="00B03142" w14:paraId="3736EAD4" w14:textId="77777777" w:rsidTr="00411585">
        <w:trPr>
          <w:trHeight w:val="288"/>
          <w:jc w:val="center"/>
        </w:trPr>
        <w:tc>
          <w:tcPr>
            <w:tcW w:w="0" w:type="auto"/>
            <w:vAlign w:val="center"/>
          </w:tcPr>
          <w:p w14:paraId="517A8007" w14:textId="77777777" w:rsidR="00BD130D" w:rsidRPr="00B03142" w:rsidRDefault="00BD130D" w:rsidP="00BD130D">
            <w:pPr>
              <w:rPr>
                <w:rFonts w:ascii="Times New Roman" w:hAnsi="Times New Roman" w:cs="Times New Roman"/>
                <w:sz w:val="20"/>
                <w:szCs w:val="20"/>
              </w:rPr>
            </w:pPr>
            <w:r w:rsidRPr="00B03142">
              <w:rPr>
                <w:rFonts w:ascii="Times New Roman" w:eastAsia="Times New Roman" w:hAnsi="Times New Roman" w:cs="Times New Roman"/>
                <w:b/>
                <w:bCs/>
                <w:color w:val="000000"/>
                <w:sz w:val="20"/>
                <w:szCs w:val="20"/>
              </w:rPr>
              <w:t>TİC</w:t>
            </w:r>
          </w:p>
        </w:tc>
        <w:tc>
          <w:tcPr>
            <w:tcW w:w="0" w:type="auto"/>
            <w:vAlign w:val="center"/>
          </w:tcPr>
          <w:p w14:paraId="638E6A0D" w14:textId="41B86066" w:rsidR="00BD130D" w:rsidRPr="00B03142" w:rsidRDefault="00BD130D" w:rsidP="00BD130D">
            <w:pPr>
              <w:jc w:val="center"/>
              <w:rPr>
                <w:rFonts w:ascii="Times New Roman" w:hAnsi="Times New Roman" w:cs="Times New Roman"/>
                <w:sz w:val="20"/>
                <w:szCs w:val="20"/>
              </w:rPr>
            </w:pPr>
            <w:r w:rsidRPr="00B03142">
              <w:rPr>
                <w:rFonts w:ascii="Times New Roman" w:hAnsi="Times New Roman" w:cs="Times New Roman"/>
                <w:color w:val="000000"/>
                <w:sz w:val="20"/>
                <w:szCs w:val="20"/>
              </w:rPr>
              <w:t>-0.14</w:t>
            </w:r>
          </w:p>
        </w:tc>
        <w:tc>
          <w:tcPr>
            <w:tcW w:w="0" w:type="auto"/>
            <w:vAlign w:val="center"/>
          </w:tcPr>
          <w:p w14:paraId="698768EF" w14:textId="3844C9D3" w:rsidR="00BD130D" w:rsidRPr="00B03142" w:rsidRDefault="00BD130D" w:rsidP="00BD130D">
            <w:pPr>
              <w:jc w:val="center"/>
              <w:rPr>
                <w:rFonts w:ascii="Times New Roman" w:hAnsi="Times New Roman" w:cs="Times New Roman"/>
                <w:sz w:val="20"/>
                <w:szCs w:val="20"/>
              </w:rPr>
            </w:pPr>
            <w:r w:rsidRPr="00B03142">
              <w:rPr>
                <w:rFonts w:ascii="Times New Roman" w:hAnsi="Times New Roman" w:cs="Times New Roman"/>
                <w:color w:val="000000"/>
                <w:sz w:val="20"/>
                <w:szCs w:val="20"/>
              </w:rPr>
              <w:t>0.14</w:t>
            </w:r>
          </w:p>
        </w:tc>
        <w:tc>
          <w:tcPr>
            <w:tcW w:w="0" w:type="auto"/>
            <w:vAlign w:val="center"/>
          </w:tcPr>
          <w:p w14:paraId="0AD18E77" w14:textId="3ACF1CD4" w:rsidR="00BD130D" w:rsidRPr="00B03142" w:rsidRDefault="00BD130D" w:rsidP="00BD130D">
            <w:pPr>
              <w:jc w:val="center"/>
              <w:rPr>
                <w:rFonts w:ascii="Times New Roman" w:hAnsi="Times New Roman" w:cs="Times New Roman"/>
                <w:sz w:val="20"/>
                <w:szCs w:val="20"/>
              </w:rPr>
            </w:pPr>
            <w:r w:rsidRPr="00B03142">
              <w:rPr>
                <w:rFonts w:ascii="Times New Roman" w:hAnsi="Times New Roman" w:cs="Times New Roman"/>
                <w:color w:val="000000"/>
                <w:sz w:val="20"/>
                <w:szCs w:val="20"/>
              </w:rPr>
              <w:t>0.17</w:t>
            </w:r>
          </w:p>
        </w:tc>
        <w:tc>
          <w:tcPr>
            <w:tcW w:w="0" w:type="auto"/>
            <w:vAlign w:val="center"/>
          </w:tcPr>
          <w:p w14:paraId="24532574" w14:textId="1AA0009C" w:rsidR="00BD130D" w:rsidRPr="00B03142" w:rsidRDefault="00BD130D" w:rsidP="00BD130D">
            <w:pPr>
              <w:jc w:val="center"/>
              <w:rPr>
                <w:rFonts w:ascii="Times New Roman" w:hAnsi="Times New Roman" w:cs="Times New Roman"/>
                <w:sz w:val="20"/>
                <w:szCs w:val="20"/>
              </w:rPr>
            </w:pPr>
            <w:r w:rsidRPr="00B03142">
              <w:rPr>
                <w:rFonts w:ascii="Times New Roman" w:hAnsi="Times New Roman" w:cs="Times New Roman"/>
                <w:color w:val="000000"/>
                <w:sz w:val="20"/>
                <w:szCs w:val="20"/>
              </w:rPr>
              <w:t>0.07</w:t>
            </w:r>
          </w:p>
        </w:tc>
        <w:tc>
          <w:tcPr>
            <w:tcW w:w="0" w:type="auto"/>
            <w:vAlign w:val="center"/>
          </w:tcPr>
          <w:p w14:paraId="24D08BCA" w14:textId="3D85FCBF" w:rsidR="00BD130D" w:rsidRPr="00B03142" w:rsidRDefault="00BD130D" w:rsidP="00BD130D">
            <w:pPr>
              <w:jc w:val="center"/>
              <w:rPr>
                <w:rFonts w:ascii="Times New Roman" w:hAnsi="Times New Roman" w:cs="Times New Roman"/>
                <w:sz w:val="20"/>
                <w:szCs w:val="20"/>
              </w:rPr>
            </w:pPr>
            <w:r w:rsidRPr="00B03142">
              <w:rPr>
                <w:rFonts w:ascii="Times New Roman" w:hAnsi="Times New Roman" w:cs="Times New Roman"/>
                <w:sz w:val="20"/>
                <w:szCs w:val="20"/>
              </w:rPr>
              <w:t>0.14</w:t>
            </w:r>
          </w:p>
        </w:tc>
        <w:tc>
          <w:tcPr>
            <w:tcW w:w="0" w:type="auto"/>
            <w:vAlign w:val="center"/>
          </w:tcPr>
          <w:p w14:paraId="6F8F8425" w14:textId="71A7B1A0" w:rsidR="00BD130D" w:rsidRPr="00B03142" w:rsidRDefault="00BD130D" w:rsidP="00BD130D">
            <w:pPr>
              <w:jc w:val="center"/>
              <w:rPr>
                <w:rFonts w:ascii="Times New Roman" w:hAnsi="Times New Roman" w:cs="Times New Roman"/>
                <w:sz w:val="20"/>
                <w:szCs w:val="20"/>
              </w:rPr>
            </w:pPr>
            <w:r w:rsidRPr="00B03142">
              <w:rPr>
                <w:rFonts w:ascii="Times New Roman" w:hAnsi="Times New Roman" w:cs="Times New Roman"/>
                <w:sz w:val="20"/>
                <w:szCs w:val="20"/>
              </w:rPr>
              <w:t>-0.02</w:t>
            </w:r>
          </w:p>
        </w:tc>
        <w:tc>
          <w:tcPr>
            <w:tcW w:w="0" w:type="auto"/>
            <w:vAlign w:val="center"/>
          </w:tcPr>
          <w:p w14:paraId="6FCD6F62" w14:textId="2A9D8131" w:rsidR="00BD130D" w:rsidRPr="00B03142" w:rsidRDefault="00BD130D" w:rsidP="00BD130D">
            <w:pPr>
              <w:jc w:val="center"/>
              <w:rPr>
                <w:rFonts w:ascii="Times New Roman" w:hAnsi="Times New Roman" w:cs="Times New Roman"/>
                <w:b/>
                <w:bCs/>
                <w:sz w:val="20"/>
                <w:szCs w:val="20"/>
              </w:rPr>
            </w:pPr>
            <w:r w:rsidRPr="00B03142">
              <w:rPr>
                <w:rFonts w:ascii="Times New Roman" w:hAnsi="Times New Roman" w:cs="Times New Roman"/>
                <w:color w:val="000000"/>
                <w:sz w:val="20"/>
                <w:szCs w:val="20"/>
              </w:rPr>
              <w:t>-0.25</w:t>
            </w:r>
          </w:p>
        </w:tc>
      </w:tr>
    </w:tbl>
    <w:p w14:paraId="50DB93F7" w14:textId="77777777" w:rsidR="00B96085" w:rsidRPr="00B03142" w:rsidRDefault="00B96085" w:rsidP="00411585">
      <w:pPr>
        <w:ind w:left="720" w:firstLine="720"/>
      </w:pPr>
      <w:r w:rsidRPr="00B03142">
        <w:rPr>
          <w:rFonts w:ascii="Times New Roman" w:hAnsi="Times New Roman" w:cs="Times New Roman"/>
          <w:sz w:val="20"/>
          <w:szCs w:val="20"/>
          <w:shd w:val="clear" w:color="auto" w:fill="FFFFFF"/>
        </w:rPr>
        <w:t>Not: p &lt; ,0001 ‘****’; p &lt; ,001 ‘***’; p &lt; ,01 ‘**’; p &lt; ,05 ‘*’; p &lt;0,10 ‘</w:t>
      </w:r>
      <w:r w:rsidRPr="00B03142">
        <w:rPr>
          <w:rFonts w:ascii="Dreaming Outloud Pro" w:eastAsia="Times New Roman" w:hAnsi="Dreaming Outloud Pro" w:cs="Dreaming Outloud Pro"/>
          <w:color w:val="000000"/>
          <w:szCs w:val="24"/>
          <w:vertAlign w:val="superscript"/>
        </w:rPr>
        <w:t>‡</w:t>
      </w:r>
      <w:r w:rsidRPr="00B03142">
        <w:rPr>
          <w:rFonts w:ascii="Times New Roman" w:hAnsi="Times New Roman" w:cs="Times New Roman"/>
          <w:sz w:val="20"/>
          <w:szCs w:val="20"/>
          <w:shd w:val="clear" w:color="auto" w:fill="FFFFFF"/>
        </w:rPr>
        <w:t>’</w:t>
      </w:r>
    </w:p>
    <w:p w14:paraId="12C8597A" w14:textId="54D7CBA1" w:rsidR="00B96085" w:rsidRPr="00B03142" w:rsidRDefault="00B96085" w:rsidP="00B96085">
      <w:pPr>
        <w:pStyle w:val="Caption"/>
        <w:keepNext/>
        <w:ind w:left="360"/>
        <w:jc w:val="center"/>
        <w:rPr>
          <w:rFonts w:ascii="Times New Roman" w:hAnsi="Times New Roman" w:cs="Times New Roman"/>
          <w:b/>
          <w:bCs/>
          <w:i w:val="0"/>
          <w:iCs w:val="0"/>
          <w:color w:val="auto"/>
          <w:sz w:val="22"/>
          <w:szCs w:val="22"/>
        </w:rPr>
      </w:pPr>
      <w:r w:rsidRPr="00B03142">
        <w:rPr>
          <w:rFonts w:ascii="Times New Roman" w:hAnsi="Times New Roman" w:cs="Times New Roman"/>
          <w:b/>
          <w:bCs/>
          <w:i w:val="0"/>
          <w:iCs w:val="0"/>
          <w:color w:val="auto"/>
          <w:sz w:val="22"/>
          <w:szCs w:val="22"/>
        </w:rPr>
        <w:t>Tablo B.2. Kredi ve İstihdam Payı Korelasyonları (2004-2015)</w:t>
      </w:r>
    </w:p>
    <w:tbl>
      <w:tblPr>
        <w:tblStyle w:val="TableGrid"/>
        <w:tblW w:w="0" w:type="auto"/>
        <w:jc w:val="center"/>
        <w:tblLook w:val="04A0" w:firstRow="1" w:lastRow="0" w:firstColumn="1" w:lastColumn="0" w:noHBand="0" w:noVBand="1"/>
      </w:tblPr>
      <w:tblGrid>
        <w:gridCol w:w="828"/>
        <w:gridCol w:w="826"/>
        <w:gridCol w:w="826"/>
        <w:gridCol w:w="826"/>
        <w:gridCol w:w="1218"/>
        <w:gridCol w:w="826"/>
        <w:gridCol w:w="826"/>
        <w:gridCol w:w="826"/>
      </w:tblGrid>
      <w:tr w:rsidR="00B96085" w:rsidRPr="00B03142" w14:paraId="38F0589B" w14:textId="77777777" w:rsidTr="00411585">
        <w:trPr>
          <w:trHeight w:val="288"/>
          <w:jc w:val="center"/>
        </w:trPr>
        <w:tc>
          <w:tcPr>
            <w:tcW w:w="0" w:type="auto"/>
            <w:vAlign w:val="center"/>
          </w:tcPr>
          <w:p w14:paraId="2B1D62A1" w14:textId="77777777" w:rsidR="00B96085" w:rsidRPr="00B03142" w:rsidRDefault="00B96085" w:rsidP="00972233">
            <w:pPr>
              <w:rPr>
                <w:rFonts w:ascii="Times New Roman" w:eastAsia="Times New Roman" w:hAnsi="Times New Roman" w:cs="Times New Roman"/>
                <w:b/>
                <w:bCs/>
                <w:color w:val="000000"/>
                <w:sz w:val="20"/>
                <w:szCs w:val="20"/>
              </w:rPr>
            </w:pPr>
          </w:p>
        </w:tc>
        <w:tc>
          <w:tcPr>
            <w:tcW w:w="0" w:type="auto"/>
            <w:vAlign w:val="center"/>
          </w:tcPr>
          <w:p w14:paraId="215D9501" w14:textId="77777777" w:rsidR="00B96085" w:rsidRPr="00B03142" w:rsidRDefault="00B96085" w:rsidP="00972233">
            <w:pPr>
              <w:jc w:val="center"/>
              <w:rPr>
                <w:rFonts w:ascii="Times New Roman" w:eastAsia="Times New Roman" w:hAnsi="Times New Roman" w:cs="Times New Roman"/>
                <w:b/>
                <w:bCs/>
                <w:color w:val="000000"/>
                <w:sz w:val="20"/>
                <w:szCs w:val="20"/>
              </w:rPr>
            </w:pPr>
            <m:oMathPara>
              <m:oMath>
                <m:r>
                  <m:rPr>
                    <m:sty m:val="bi"/>
                  </m:rPr>
                  <w:rPr>
                    <w:rFonts w:ascii="Cambria Math" w:eastAsia="Times New Roman" w:hAnsi="Cambria Math" w:cs="Times New Roman"/>
                    <w:color w:val="000000"/>
                    <w:sz w:val="20"/>
                    <w:szCs w:val="20"/>
                  </w:rPr>
                  <m:t>t-3</m:t>
                </m:r>
              </m:oMath>
            </m:oMathPara>
          </w:p>
        </w:tc>
        <w:tc>
          <w:tcPr>
            <w:tcW w:w="0" w:type="auto"/>
            <w:vAlign w:val="center"/>
          </w:tcPr>
          <w:p w14:paraId="1E2A0B07" w14:textId="77777777" w:rsidR="00B96085" w:rsidRPr="00B03142" w:rsidRDefault="00B96085" w:rsidP="00972233">
            <w:pPr>
              <w:jc w:val="center"/>
              <w:rPr>
                <w:rFonts w:ascii="Times New Roman" w:eastAsia="Times New Roman" w:hAnsi="Times New Roman" w:cs="Times New Roman"/>
                <w:b/>
                <w:bCs/>
                <w:color w:val="000000"/>
                <w:sz w:val="20"/>
                <w:szCs w:val="20"/>
              </w:rPr>
            </w:pPr>
            <m:oMathPara>
              <m:oMath>
                <m:r>
                  <m:rPr>
                    <m:sty m:val="bi"/>
                  </m:rPr>
                  <w:rPr>
                    <w:rFonts w:ascii="Cambria Math" w:eastAsia="Times New Roman" w:hAnsi="Cambria Math" w:cs="Times New Roman"/>
                    <w:color w:val="000000"/>
                    <w:sz w:val="20"/>
                    <w:szCs w:val="20"/>
                  </w:rPr>
                  <m:t>t-2</m:t>
                </m:r>
              </m:oMath>
            </m:oMathPara>
          </w:p>
        </w:tc>
        <w:tc>
          <w:tcPr>
            <w:tcW w:w="0" w:type="auto"/>
            <w:vAlign w:val="center"/>
          </w:tcPr>
          <w:p w14:paraId="4DF5BFD8" w14:textId="77777777" w:rsidR="00B96085" w:rsidRPr="00B03142" w:rsidRDefault="00B96085" w:rsidP="00972233">
            <w:pPr>
              <w:jc w:val="center"/>
              <w:rPr>
                <w:rFonts w:ascii="Times New Roman" w:eastAsia="Times New Roman" w:hAnsi="Times New Roman" w:cs="Times New Roman"/>
                <w:b/>
                <w:bCs/>
                <w:color w:val="000000"/>
                <w:sz w:val="20"/>
                <w:szCs w:val="20"/>
              </w:rPr>
            </w:pPr>
            <m:oMathPara>
              <m:oMath>
                <m:r>
                  <m:rPr>
                    <m:sty m:val="bi"/>
                  </m:rPr>
                  <w:rPr>
                    <w:rFonts w:ascii="Cambria Math" w:eastAsia="Times New Roman" w:hAnsi="Cambria Math" w:cs="Times New Roman"/>
                    <w:color w:val="000000"/>
                    <w:sz w:val="20"/>
                    <w:szCs w:val="20"/>
                  </w:rPr>
                  <m:t>t-1</m:t>
                </m:r>
              </m:oMath>
            </m:oMathPara>
          </w:p>
        </w:tc>
        <w:tc>
          <w:tcPr>
            <w:tcW w:w="0" w:type="auto"/>
            <w:vAlign w:val="center"/>
          </w:tcPr>
          <w:p w14:paraId="67CD9310" w14:textId="77777777" w:rsidR="00B96085" w:rsidRPr="00B03142" w:rsidRDefault="00B96085" w:rsidP="00972233">
            <w:pPr>
              <w:jc w:val="center"/>
              <w:rPr>
                <w:rFonts w:ascii="Times New Roman" w:eastAsia="Times New Roman" w:hAnsi="Times New Roman" w:cs="Times New Roman"/>
                <w:b/>
                <w:bCs/>
                <w:color w:val="000000"/>
                <w:sz w:val="20"/>
                <w:szCs w:val="20"/>
              </w:rPr>
            </w:pPr>
            <m:oMathPara>
              <m:oMath>
                <m:r>
                  <m:rPr>
                    <m:sty m:val="bi"/>
                  </m:rPr>
                  <w:rPr>
                    <w:rFonts w:ascii="Cambria Math" w:eastAsia="Times New Roman" w:hAnsi="Cambria Math" w:cs="Times New Roman"/>
                    <w:color w:val="000000"/>
                    <w:sz w:val="20"/>
                    <w:szCs w:val="20"/>
                  </w:rPr>
                  <m:t>t (cari y</m:t>
                </m:r>
                <m:r>
                  <m:rPr>
                    <m:sty m:val="bi"/>
                  </m:rPr>
                  <w:rPr>
                    <w:rFonts w:ascii="Cambria Math" w:eastAsia="Times New Roman" w:hAnsi="Cambria Math" w:cs="Times New Roman"/>
                    <w:color w:val="000000"/>
                    <w:sz w:val="20"/>
                    <w:szCs w:val="20"/>
                  </w:rPr>
                  <m:t>ı</m:t>
                </m:r>
                <m:r>
                  <m:rPr>
                    <m:sty m:val="bi"/>
                  </m:rPr>
                  <w:rPr>
                    <w:rFonts w:ascii="Cambria Math" w:eastAsia="Times New Roman" w:hAnsi="Cambria Math" w:cs="Times New Roman"/>
                    <w:color w:val="000000"/>
                    <w:sz w:val="20"/>
                    <w:szCs w:val="20"/>
                  </w:rPr>
                  <m:t>l)</m:t>
                </m:r>
              </m:oMath>
            </m:oMathPara>
          </w:p>
        </w:tc>
        <w:tc>
          <w:tcPr>
            <w:tcW w:w="0" w:type="auto"/>
            <w:vAlign w:val="center"/>
          </w:tcPr>
          <w:p w14:paraId="548FC599" w14:textId="77777777" w:rsidR="00B96085" w:rsidRPr="00B03142" w:rsidRDefault="00B96085" w:rsidP="00972233">
            <w:pPr>
              <w:jc w:val="center"/>
              <w:rPr>
                <w:rFonts w:ascii="Times New Roman" w:eastAsia="Times New Roman" w:hAnsi="Times New Roman" w:cs="Times New Roman"/>
                <w:b/>
                <w:bCs/>
                <w:color w:val="000000"/>
                <w:sz w:val="20"/>
                <w:szCs w:val="20"/>
              </w:rPr>
            </w:pPr>
            <m:oMathPara>
              <m:oMath>
                <m:r>
                  <m:rPr>
                    <m:sty m:val="bi"/>
                  </m:rPr>
                  <w:rPr>
                    <w:rFonts w:ascii="Cambria Math" w:eastAsia="Times New Roman" w:hAnsi="Cambria Math" w:cs="Times New Roman"/>
                    <w:color w:val="000000"/>
                    <w:sz w:val="20"/>
                    <w:szCs w:val="20"/>
                  </w:rPr>
                  <m:t>t+1</m:t>
                </m:r>
              </m:oMath>
            </m:oMathPara>
          </w:p>
        </w:tc>
        <w:tc>
          <w:tcPr>
            <w:tcW w:w="0" w:type="auto"/>
            <w:vAlign w:val="center"/>
          </w:tcPr>
          <w:p w14:paraId="2A9C50EE" w14:textId="77777777" w:rsidR="00B96085" w:rsidRPr="00B03142" w:rsidRDefault="00B96085" w:rsidP="00972233">
            <w:pPr>
              <w:jc w:val="center"/>
              <w:rPr>
                <w:rFonts w:ascii="Times New Roman" w:eastAsia="Times New Roman" w:hAnsi="Times New Roman" w:cs="Times New Roman"/>
                <w:b/>
                <w:bCs/>
                <w:color w:val="000000"/>
                <w:sz w:val="20"/>
                <w:szCs w:val="20"/>
              </w:rPr>
            </w:pPr>
            <m:oMathPara>
              <m:oMath>
                <m:r>
                  <m:rPr>
                    <m:sty m:val="bi"/>
                  </m:rPr>
                  <w:rPr>
                    <w:rFonts w:ascii="Cambria Math" w:eastAsia="Times New Roman" w:hAnsi="Cambria Math" w:cs="Times New Roman"/>
                    <w:color w:val="000000"/>
                    <w:sz w:val="20"/>
                    <w:szCs w:val="20"/>
                  </w:rPr>
                  <m:t>t+2</m:t>
                </m:r>
              </m:oMath>
            </m:oMathPara>
          </w:p>
        </w:tc>
        <w:tc>
          <w:tcPr>
            <w:tcW w:w="0" w:type="auto"/>
            <w:vAlign w:val="center"/>
          </w:tcPr>
          <w:p w14:paraId="49D985D7" w14:textId="77777777" w:rsidR="00B96085" w:rsidRPr="00B03142" w:rsidRDefault="00B96085" w:rsidP="00972233">
            <w:pPr>
              <w:jc w:val="center"/>
              <w:rPr>
                <w:rFonts w:ascii="Times New Roman" w:eastAsia="Times New Roman" w:hAnsi="Times New Roman" w:cs="Times New Roman"/>
                <w:b/>
                <w:bCs/>
                <w:color w:val="000000"/>
                <w:sz w:val="20"/>
                <w:szCs w:val="20"/>
              </w:rPr>
            </w:pPr>
            <m:oMathPara>
              <m:oMath>
                <m:r>
                  <m:rPr>
                    <m:sty m:val="bi"/>
                  </m:rPr>
                  <w:rPr>
                    <w:rFonts w:ascii="Cambria Math" w:eastAsia="Times New Roman" w:hAnsi="Cambria Math" w:cs="Times New Roman"/>
                    <w:color w:val="000000"/>
                    <w:sz w:val="20"/>
                    <w:szCs w:val="20"/>
                  </w:rPr>
                  <m:t>t+3</m:t>
                </m:r>
              </m:oMath>
            </m:oMathPara>
          </w:p>
        </w:tc>
      </w:tr>
      <w:tr w:rsidR="000419A4" w:rsidRPr="00B03142" w14:paraId="34BFBB56" w14:textId="77777777" w:rsidTr="00411585">
        <w:trPr>
          <w:trHeight w:val="288"/>
          <w:jc w:val="center"/>
        </w:trPr>
        <w:tc>
          <w:tcPr>
            <w:tcW w:w="0" w:type="auto"/>
            <w:vAlign w:val="center"/>
          </w:tcPr>
          <w:p w14:paraId="7784016E" w14:textId="77777777" w:rsidR="000419A4" w:rsidRPr="00B03142" w:rsidRDefault="000419A4" w:rsidP="000419A4">
            <w:pPr>
              <w:rPr>
                <w:rFonts w:ascii="Times New Roman" w:hAnsi="Times New Roman" w:cs="Times New Roman"/>
                <w:sz w:val="20"/>
                <w:szCs w:val="20"/>
              </w:rPr>
            </w:pPr>
            <w:r w:rsidRPr="00B03142">
              <w:rPr>
                <w:rFonts w:ascii="Times New Roman" w:eastAsia="Times New Roman" w:hAnsi="Times New Roman" w:cs="Times New Roman"/>
                <w:b/>
                <w:bCs/>
                <w:color w:val="000000"/>
                <w:sz w:val="20"/>
                <w:szCs w:val="20"/>
              </w:rPr>
              <w:t>TAR</w:t>
            </w:r>
          </w:p>
        </w:tc>
        <w:tc>
          <w:tcPr>
            <w:tcW w:w="0" w:type="auto"/>
            <w:vAlign w:val="center"/>
          </w:tcPr>
          <w:p w14:paraId="1E37D1F9" w14:textId="4138EA94" w:rsidR="000419A4" w:rsidRPr="00B03142" w:rsidRDefault="000419A4" w:rsidP="000419A4">
            <w:pPr>
              <w:jc w:val="center"/>
              <w:rPr>
                <w:rFonts w:ascii="Times New Roman" w:hAnsi="Times New Roman" w:cs="Times New Roman"/>
                <w:sz w:val="20"/>
                <w:szCs w:val="20"/>
              </w:rPr>
            </w:pPr>
            <w:r w:rsidRPr="00B03142">
              <w:rPr>
                <w:rFonts w:ascii="Times New Roman" w:hAnsi="Times New Roman" w:cs="Times New Roman"/>
                <w:color w:val="000000"/>
                <w:sz w:val="20"/>
                <w:szCs w:val="20"/>
              </w:rPr>
              <w:t>-0.37</w:t>
            </w:r>
          </w:p>
        </w:tc>
        <w:tc>
          <w:tcPr>
            <w:tcW w:w="0" w:type="auto"/>
            <w:vAlign w:val="center"/>
          </w:tcPr>
          <w:p w14:paraId="5E7EFE6B" w14:textId="2B647284" w:rsidR="000419A4" w:rsidRPr="00B03142" w:rsidRDefault="000419A4" w:rsidP="000419A4">
            <w:pPr>
              <w:jc w:val="center"/>
              <w:rPr>
                <w:rFonts w:ascii="Times New Roman" w:hAnsi="Times New Roman" w:cs="Times New Roman"/>
                <w:b/>
                <w:bCs/>
                <w:sz w:val="20"/>
                <w:szCs w:val="20"/>
              </w:rPr>
            </w:pPr>
            <w:r w:rsidRPr="00B03142">
              <w:rPr>
                <w:rFonts w:ascii="Times New Roman" w:hAnsi="Times New Roman" w:cs="Times New Roman"/>
                <w:sz w:val="20"/>
                <w:szCs w:val="20"/>
              </w:rPr>
              <w:t>-0.32</w:t>
            </w:r>
          </w:p>
        </w:tc>
        <w:tc>
          <w:tcPr>
            <w:tcW w:w="0" w:type="auto"/>
            <w:vAlign w:val="center"/>
          </w:tcPr>
          <w:p w14:paraId="48F33B38" w14:textId="1F963212" w:rsidR="000419A4" w:rsidRPr="00B03142" w:rsidRDefault="000419A4" w:rsidP="000419A4">
            <w:pPr>
              <w:jc w:val="center"/>
              <w:rPr>
                <w:rFonts w:ascii="Times New Roman" w:hAnsi="Times New Roman" w:cs="Times New Roman"/>
                <w:sz w:val="20"/>
                <w:szCs w:val="20"/>
              </w:rPr>
            </w:pPr>
            <w:r w:rsidRPr="00B03142">
              <w:rPr>
                <w:rFonts w:ascii="Times New Roman" w:hAnsi="Times New Roman" w:cs="Times New Roman"/>
                <w:color w:val="000000"/>
                <w:sz w:val="20"/>
                <w:szCs w:val="20"/>
              </w:rPr>
              <w:t>-0.15</w:t>
            </w:r>
          </w:p>
        </w:tc>
        <w:tc>
          <w:tcPr>
            <w:tcW w:w="0" w:type="auto"/>
            <w:vAlign w:val="center"/>
          </w:tcPr>
          <w:p w14:paraId="36339FD9" w14:textId="28AD16B4" w:rsidR="000419A4" w:rsidRPr="00B03142" w:rsidRDefault="000419A4" w:rsidP="000419A4">
            <w:pPr>
              <w:jc w:val="center"/>
              <w:rPr>
                <w:rFonts w:ascii="Times New Roman" w:hAnsi="Times New Roman" w:cs="Times New Roman"/>
                <w:sz w:val="20"/>
                <w:szCs w:val="20"/>
              </w:rPr>
            </w:pPr>
            <w:r w:rsidRPr="00B03142">
              <w:rPr>
                <w:rFonts w:ascii="Times New Roman" w:hAnsi="Times New Roman" w:cs="Times New Roman"/>
                <w:color w:val="000000"/>
                <w:sz w:val="20"/>
                <w:szCs w:val="20"/>
              </w:rPr>
              <w:t>0.03</w:t>
            </w:r>
          </w:p>
        </w:tc>
        <w:tc>
          <w:tcPr>
            <w:tcW w:w="0" w:type="auto"/>
            <w:vAlign w:val="center"/>
          </w:tcPr>
          <w:p w14:paraId="75880CC3" w14:textId="5F163712" w:rsidR="000419A4" w:rsidRPr="00B03142" w:rsidRDefault="000419A4" w:rsidP="000419A4">
            <w:pPr>
              <w:jc w:val="center"/>
              <w:rPr>
                <w:rFonts w:ascii="Times New Roman" w:hAnsi="Times New Roman" w:cs="Times New Roman"/>
                <w:sz w:val="20"/>
                <w:szCs w:val="20"/>
              </w:rPr>
            </w:pPr>
            <w:r w:rsidRPr="00B03142">
              <w:rPr>
                <w:rFonts w:ascii="Times New Roman" w:hAnsi="Times New Roman" w:cs="Times New Roman"/>
                <w:color w:val="000000"/>
                <w:sz w:val="20"/>
                <w:szCs w:val="20"/>
              </w:rPr>
              <w:t>0.16</w:t>
            </w:r>
          </w:p>
        </w:tc>
        <w:tc>
          <w:tcPr>
            <w:tcW w:w="0" w:type="auto"/>
            <w:vAlign w:val="center"/>
          </w:tcPr>
          <w:p w14:paraId="7F5E993C" w14:textId="4B7DCA0C" w:rsidR="000419A4" w:rsidRPr="00B03142" w:rsidRDefault="000419A4" w:rsidP="000419A4">
            <w:pPr>
              <w:jc w:val="center"/>
              <w:rPr>
                <w:rFonts w:ascii="Times New Roman" w:hAnsi="Times New Roman" w:cs="Times New Roman"/>
                <w:sz w:val="20"/>
                <w:szCs w:val="20"/>
              </w:rPr>
            </w:pPr>
            <w:r w:rsidRPr="00B03142">
              <w:rPr>
                <w:rFonts w:ascii="Times New Roman" w:hAnsi="Times New Roman" w:cs="Times New Roman"/>
                <w:color w:val="000000"/>
                <w:sz w:val="20"/>
                <w:szCs w:val="20"/>
              </w:rPr>
              <w:t>0.21</w:t>
            </w:r>
          </w:p>
        </w:tc>
        <w:tc>
          <w:tcPr>
            <w:tcW w:w="0" w:type="auto"/>
            <w:vAlign w:val="center"/>
          </w:tcPr>
          <w:p w14:paraId="6B299180" w14:textId="35A91283" w:rsidR="000419A4" w:rsidRPr="00B03142" w:rsidRDefault="000419A4" w:rsidP="000419A4">
            <w:pPr>
              <w:jc w:val="center"/>
              <w:rPr>
                <w:rFonts w:ascii="Times New Roman" w:hAnsi="Times New Roman" w:cs="Times New Roman"/>
                <w:sz w:val="20"/>
                <w:szCs w:val="20"/>
              </w:rPr>
            </w:pPr>
            <w:r w:rsidRPr="00B03142">
              <w:rPr>
                <w:rFonts w:ascii="Times New Roman" w:hAnsi="Times New Roman" w:cs="Times New Roman"/>
                <w:color w:val="000000"/>
                <w:sz w:val="20"/>
                <w:szCs w:val="20"/>
              </w:rPr>
              <w:t>0.17</w:t>
            </w:r>
          </w:p>
        </w:tc>
      </w:tr>
      <w:tr w:rsidR="000419A4" w:rsidRPr="00B03142" w14:paraId="17FC27C5" w14:textId="77777777" w:rsidTr="00411585">
        <w:trPr>
          <w:trHeight w:val="288"/>
          <w:jc w:val="center"/>
        </w:trPr>
        <w:tc>
          <w:tcPr>
            <w:tcW w:w="0" w:type="auto"/>
            <w:vAlign w:val="center"/>
          </w:tcPr>
          <w:p w14:paraId="3A829202" w14:textId="77777777" w:rsidR="000419A4" w:rsidRPr="00B03142" w:rsidRDefault="000419A4" w:rsidP="000419A4">
            <w:pPr>
              <w:rPr>
                <w:rFonts w:ascii="Times New Roman" w:hAnsi="Times New Roman" w:cs="Times New Roman"/>
                <w:sz w:val="20"/>
                <w:szCs w:val="20"/>
              </w:rPr>
            </w:pPr>
            <w:r w:rsidRPr="00B03142">
              <w:rPr>
                <w:rFonts w:ascii="Times New Roman" w:eastAsia="Times New Roman" w:hAnsi="Times New Roman" w:cs="Times New Roman"/>
                <w:b/>
                <w:bCs/>
                <w:color w:val="000000"/>
                <w:sz w:val="20"/>
                <w:szCs w:val="20"/>
              </w:rPr>
              <w:t>İNŞ</w:t>
            </w:r>
          </w:p>
        </w:tc>
        <w:tc>
          <w:tcPr>
            <w:tcW w:w="0" w:type="auto"/>
            <w:vAlign w:val="center"/>
          </w:tcPr>
          <w:p w14:paraId="3E28204E" w14:textId="0261E4B6" w:rsidR="000419A4" w:rsidRPr="00B03142" w:rsidRDefault="000419A4" w:rsidP="000419A4">
            <w:pPr>
              <w:jc w:val="center"/>
              <w:rPr>
                <w:rFonts w:ascii="Times New Roman" w:hAnsi="Times New Roman" w:cs="Times New Roman"/>
                <w:b/>
                <w:bCs/>
                <w:sz w:val="20"/>
                <w:szCs w:val="20"/>
              </w:rPr>
            </w:pPr>
            <w:r w:rsidRPr="00B03142">
              <w:rPr>
                <w:rFonts w:ascii="Times New Roman" w:hAnsi="Times New Roman" w:cs="Times New Roman"/>
                <w:b/>
                <w:bCs/>
                <w:color w:val="000000"/>
                <w:sz w:val="20"/>
                <w:szCs w:val="20"/>
              </w:rPr>
              <w:t>0.9</w:t>
            </w:r>
            <w:r w:rsidRPr="00B03142">
              <w:rPr>
                <w:rFonts w:ascii="Times New Roman" w:hAnsi="Times New Roman" w:cs="Times New Roman"/>
                <w:b/>
                <w:bCs/>
                <w:color w:val="000000"/>
                <w:sz w:val="20"/>
                <w:szCs w:val="20"/>
                <w:vertAlign w:val="superscript"/>
              </w:rPr>
              <w:t>****</w:t>
            </w:r>
          </w:p>
        </w:tc>
        <w:tc>
          <w:tcPr>
            <w:tcW w:w="0" w:type="auto"/>
            <w:vAlign w:val="center"/>
          </w:tcPr>
          <w:p w14:paraId="246C386A" w14:textId="6F8BC974" w:rsidR="000419A4" w:rsidRPr="00B03142" w:rsidRDefault="000419A4" w:rsidP="000419A4">
            <w:pPr>
              <w:jc w:val="center"/>
              <w:rPr>
                <w:rFonts w:ascii="Times New Roman" w:hAnsi="Times New Roman" w:cs="Times New Roman"/>
                <w:b/>
                <w:bCs/>
                <w:sz w:val="20"/>
                <w:szCs w:val="20"/>
              </w:rPr>
            </w:pPr>
            <w:r w:rsidRPr="00B03142">
              <w:rPr>
                <w:rFonts w:ascii="Times New Roman" w:hAnsi="Times New Roman" w:cs="Times New Roman"/>
                <w:b/>
                <w:bCs/>
                <w:sz w:val="20"/>
                <w:szCs w:val="20"/>
              </w:rPr>
              <w:t>0.97</w:t>
            </w:r>
            <w:r w:rsidRPr="00B03142">
              <w:rPr>
                <w:rFonts w:ascii="Times New Roman" w:hAnsi="Times New Roman" w:cs="Times New Roman"/>
                <w:b/>
                <w:bCs/>
                <w:color w:val="000000"/>
                <w:sz w:val="20"/>
                <w:szCs w:val="20"/>
                <w:vertAlign w:val="superscript"/>
              </w:rPr>
              <w:t>****</w:t>
            </w:r>
          </w:p>
        </w:tc>
        <w:tc>
          <w:tcPr>
            <w:tcW w:w="0" w:type="auto"/>
            <w:vAlign w:val="center"/>
          </w:tcPr>
          <w:p w14:paraId="66BCF972" w14:textId="4A6B803F" w:rsidR="000419A4" w:rsidRPr="00B03142" w:rsidRDefault="000419A4" w:rsidP="000419A4">
            <w:pPr>
              <w:jc w:val="center"/>
              <w:rPr>
                <w:rFonts w:ascii="Times New Roman" w:hAnsi="Times New Roman" w:cs="Times New Roman"/>
                <w:b/>
                <w:bCs/>
                <w:sz w:val="20"/>
                <w:szCs w:val="20"/>
              </w:rPr>
            </w:pPr>
            <w:r w:rsidRPr="00B03142">
              <w:rPr>
                <w:rFonts w:ascii="Times New Roman" w:hAnsi="Times New Roman" w:cs="Times New Roman"/>
                <w:b/>
                <w:bCs/>
                <w:color w:val="000000"/>
                <w:sz w:val="20"/>
                <w:szCs w:val="20"/>
              </w:rPr>
              <w:t>0.92</w:t>
            </w:r>
            <w:r w:rsidRPr="00B03142">
              <w:rPr>
                <w:rFonts w:ascii="Times New Roman" w:hAnsi="Times New Roman" w:cs="Times New Roman"/>
                <w:b/>
                <w:bCs/>
                <w:color w:val="000000"/>
                <w:sz w:val="20"/>
                <w:szCs w:val="20"/>
                <w:vertAlign w:val="superscript"/>
              </w:rPr>
              <w:t>****</w:t>
            </w:r>
          </w:p>
        </w:tc>
        <w:tc>
          <w:tcPr>
            <w:tcW w:w="0" w:type="auto"/>
            <w:vAlign w:val="center"/>
          </w:tcPr>
          <w:p w14:paraId="7ABA7A6E" w14:textId="7033AB98" w:rsidR="000419A4" w:rsidRPr="00B03142" w:rsidRDefault="000419A4" w:rsidP="000419A4">
            <w:pPr>
              <w:jc w:val="center"/>
              <w:rPr>
                <w:rFonts w:ascii="Times New Roman" w:hAnsi="Times New Roman" w:cs="Times New Roman"/>
                <w:b/>
                <w:bCs/>
                <w:sz w:val="20"/>
                <w:szCs w:val="20"/>
              </w:rPr>
            </w:pPr>
            <w:r w:rsidRPr="00B03142">
              <w:rPr>
                <w:rFonts w:ascii="Times New Roman" w:hAnsi="Times New Roman" w:cs="Times New Roman"/>
                <w:b/>
                <w:bCs/>
                <w:color w:val="000000"/>
                <w:sz w:val="20"/>
                <w:szCs w:val="20"/>
              </w:rPr>
              <w:t>0.87</w:t>
            </w:r>
            <w:r w:rsidRPr="00B03142">
              <w:rPr>
                <w:rFonts w:ascii="Times New Roman" w:hAnsi="Times New Roman" w:cs="Times New Roman"/>
                <w:b/>
                <w:bCs/>
                <w:color w:val="000000"/>
                <w:sz w:val="20"/>
                <w:szCs w:val="20"/>
                <w:vertAlign w:val="superscript"/>
              </w:rPr>
              <w:t>***</w:t>
            </w:r>
          </w:p>
        </w:tc>
        <w:tc>
          <w:tcPr>
            <w:tcW w:w="0" w:type="auto"/>
            <w:vAlign w:val="center"/>
          </w:tcPr>
          <w:p w14:paraId="5EF7BD01" w14:textId="6A45F738" w:rsidR="000419A4" w:rsidRPr="00B03142" w:rsidRDefault="000419A4" w:rsidP="000419A4">
            <w:pPr>
              <w:jc w:val="center"/>
              <w:rPr>
                <w:rFonts w:ascii="Times New Roman" w:hAnsi="Times New Roman" w:cs="Times New Roman"/>
                <w:b/>
                <w:bCs/>
                <w:sz w:val="20"/>
                <w:szCs w:val="20"/>
              </w:rPr>
            </w:pPr>
            <w:r w:rsidRPr="00B03142">
              <w:rPr>
                <w:rFonts w:ascii="Times New Roman" w:hAnsi="Times New Roman" w:cs="Times New Roman"/>
                <w:b/>
                <w:bCs/>
                <w:color w:val="000000"/>
                <w:sz w:val="20"/>
                <w:szCs w:val="20"/>
              </w:rPr>
              <w:t>0.87</w:t>
            </w:r>
            <w:r w:rsidRPr="00B03142">
              <w:rPr>
                <w:rFonts w:ascii="Times New Roman" w:hAnsi="Times New Roman" w:cs="Times New Roman"/>
                <w:b/>
                <w:bCs/>
                <w:color w:val="000000"/>
                <w:sz w:val="20"/>
                <w:szCs w:val="20"/>
                <w:vertAlign w:val="superscript"/>
              </w:rPr>
              <w:t>***</w:t>
            </w:r>
          </w:p>
        </w:tc>
        <w:tc>
          <w:tcPr>
            <w:tcW w:w="0" w:type="auto"/>
            <w:vAlign w:val="center"/>
          </w:tcPr>
          <w:p w14:paraId="611AB0B2" w14:textId="373649E4" w:rsidR="000419A4" w:rsidRPr="00B03142" w:rsidRDefault="000419A4" w:rsidP="000419A4">
            <w:pPr>
              <w:jc w:val="center"/>
              <w:rPr>
                <w:rFonts w:ascii="Times New Roman" w:hAnsi="Times New Roman" w:cs="Times New Roman"/>
                <w:b/>
                <w:bCs/>
                <w:sz w:val="20"/>
                <w:szCs w:val="20"/>
              </w:rPr>
            </w:pPr>
            <w:r w:rsidRPr="00B03142">
              <w:rPr>
                <w:rFonts w:ascii="Times New Roman" w:hAnsi="Times New Roman" w:cs="Times New Roman"/>
                <w:b/>
                <w:bCs/>
                <w:color w:val="000000"/>
                <w:sz w:val="20"/>
                <w:szCs w:val="20"/>
              </w:rPr>
              <w:t>0.93</w:t>
            </w:r>
            <w:r w:rsidRPr="00B03142">
              <w:rPr>
                <w:rFonts w:ascii="Times New Roman" w:hAnsi="Times New Roman" w:cs="Times New Roman"/>
                <w:b/>
                <w:bCs/>
                <w:color w:val="000000"/>
                <w:sz w:val="20"/>
                <w:szCs w:val="20"/>
                <w:vertAlign w:val="superscript"/>
              </w:rPr>
              <w:t>****</w:t>
            </w:r>
          </w:p>
        </w:tc>
        <w:tc>
          <w:tcPr>
            <w:tcW w:w="0" w:type="auto"/>
            <w:vAlign w:val="center"/>
          </w:tcPr>
          <w:p w14:paraId="57F974A1" w14:textId="6A04C3E2" w:rsidR="000419A4" w:rsidRPr="00B03142" w:rsidRDefault="000419A4" w:rsidP="000419A4">
            <w:pPr>
              <w:jc w:val="center"/>
              <w:rPr>
                <w:rFonts w:ascii="Times New Roman" w:hAnsi="Times New Roman" w:cs="Times New Roman"/>
                <w:b/>
                <w:bCs/>
                <w:sz w:val="20"/>
                <w:szCs w:val="20"/>
              </w:rPr>
            </w:pPr>
            <w:r w:rsidRPr="00B03142">
              <w:rPr>
                <w:rFonts w:ascii="Times New Roman" w:hAnsi="Times New Roman" w:cs="Times New Roman"/>
                <w:b/>
                <w:bCs/>
                <w:color w:val="000000"/>
                <w:sz w:val="20"/>
                <w:szCs w:val="20"/>
              </w:rPr>
              <w:t>0.89</w:t>
            </w:r>
            <w:r w:rsidRPr="00B03142">
              <w:rPr>
                <w:rFonts w:ascii="Times New Roman" w:hAnsi="Times New Roman" w:cs="Times New Roman"/>
                <w:b/>
                <w:bCs/>
                <w:color w:val="000000"/>
                <w:sz w:val="20"/>
                <w:szCs w:val="20"/>
                <w:vertAlign w:val="superscript"/>
              </w:rPr>
              <w:t>***</w:t>
            </w:r>
          </w:p>
        </w:tc>
      </w:tr>
      <w:tr w:rsidR="000419A4" w:rsidRPr="00B03142" w14:paraId="7D05A797" w14:textId="77777777" w:rsidTr="00411585">
        <w:trPr>
          <w:trHeight w:val="288"/>
          <w:jc w:val="center"/>
        </w:trPr>
        <w:tc>
          <w:tcPr>
            <w:tcW w:w="0" w:type="auto"/>
            <w:vAlign w:val="center"/>
          </w:tcPr>
          <w:p w14:paraId="3F8E7DE5" w14:textId="77777777" w:rsidR="000419A4" w:rsidRPr="00B03142" w:rsidRDefault="000419A4" w:rsidP="000419A4">
            <w:pPr>
              <w:rPr>
                <w:rFonts w:ascii="Times New Roman" w:hAnsi="Times New Roman" w:cs="Times New Roman"/>
                <w:sz w:val="20"/>
                <w:szCs w:val="20"/>
              </w:rPr>
            </w:pPr>
            <w:r w:rsidRPr="00B03142">
              <w:rPr>
                <w:rFonts w:ascii="Times New Roman" w:eastAsia="Times New Roman" w:hAnsi="Times New Roman" w:cs="Times New Roman"/>
                <w:b/>
                <w:bCs/>
                <w:color w:val="000000"/>
                <w:sz w:val="20"/>
                <w:szCs w:val="20"/>
              </w:rPr>
              <w:t>DKÖH</w:t>
            </w:r>
          </w:p>
        </w:tc>
        <w:tc>
          <w:tcPr>
            <w:tcW w:w="0" w:type="auto"/>
            <w:vAlign w:val="center"/>
          </w:tcPr>
          <w:p w14:paraId="58807F0D" w14:textId="7C25534A" w:rsidR="000419A4" w:rsidRPr="00B03142" w:rsidRDefault="000419A4" w:rsidP="000419A4">
            <w:pPr>
              <w:jc w:val="center"/>
              <w:rPr>
                <w:rFonts w:ascii="Times New Roman" w:hAnsi="Times New Roman" w:cs="Times New Roman"/>
                <w:sz w:val="20"/>
                <w:szCs w:val="20"/>
              </w:rPr>
            </w:pPr>
            <w:r w:rsidRPr="00B03142">
              <w:rPr>
                <w:rFonts w:ascii="Times New Roman" w:hAnsi="Times New Roman" w:cs="Times New Roman"/>
                <w:color w:val="000000"/>
                <w:sz w:val="20"/>
                <w:szCs w:val="20"/>
              </w:rPr>
              <w:t>0.35</w:t>
            </w:r>
          </w:p>
        </w:tc>
        <w:tc>
          <w:tcPr>
            <w:tcW w:w="0" w:type="auto"/>
            <w:vAlign w:val="center"/>
          </w:tcPr>
          <w:p w14:paraId="5496ECCA" w14:textId="12FC5E90" w:rsidR="000419A4" w:rsidRPr="00B03142" w:rsidRDefault="000419A4" w:rsidP="000419A4">
            <w:pPr>
              <w:jc w:val="center"/>
              <w:rPr>
                <w:rFonts w:ascii="Times New Roman" w:hAnsi="Times New Roman" w:cs="Times New Roman"/>
                <w:sz w:val="20"/>
                <w:szCs w:val="20"/>
              </w:rPr>
            </w:pPr>
            <w:r w:rsidRPr="00B03142">
              <w:rPr>
                <w:rFonts w:ascii="Times New Roman" w:hAnsi="Times New Roman" w:cs="Times New Roman"/>
                <w:sz w:val="20"/>
                <w:szCs w:val="20"/>
              </w:rPr>
              <w:t>0.35</w:t>
            </w:r>
          </w:p>
        </w:tc>
        <w:tc>
          <w:tcPr>
            <w:tcW w:w="0" w:type="auto"/>
            <w:vAlign w:val="center"/>
          </w:tcPr>
          <w:p w14:paraId="3D06DDC5" w14:textId="3A63AFCD" w:rsidR="000419A4" w:rsidRPr="00B03142" w:rsidRDefault="000419A4" w:rsidP="000419A4">
            <w:pPr>
              <w:jc w:val="center"/>
              <w:rPr>
                <w:rFonts w:ascii="Times New Roman" w:hAnsi="Times New Roman" w:cs="Times New Roman"/>
                <w:sz w:val="20"/>
                <w:szCs w:val="20"/>
              </w:rPr>
            </w:pPr>
            <w:r w:rsidRPr="00B03142">
              <w:rPr>
                <w:rFonts w:ascii="Times New Roman" w:hAnsi="Times New Roman" w:cs="Times New Roman"/>
                <w:color w:val="000000"/>
                <w:sz w:val="20"/>
                <w:szCs w:val="20"/>
              </w:rPr>
              <w:t>0.43</w:t>
            </w:r>
          </w:p>
        </w:tc>
        <w:tc>
          <w:tcPr>
            <w:tcW w:w="0" w:type="auto"/>
            <w:vAlign w:val="center"/>
          </w:tcPr>
          <w:p w14:paraId="4B76A6FB" w14:textId="7F973491" w:rsidR="000419A4" w:rsidRPr="00B03142" w:rsidRDefault="000419A4" w:rsidP="000419A4">
            <w:pPr>
              <w:jc w:val="center"/>
              <w:rPr>
                <w:rFonts w:ascii="Times New Roman" w:hAnsi="Times New Roman" w:cs="Times New Roman"/>
                <w:sz w:val="20"/>
                <w:szCs w:val="20"/>
              </w:rPr>
            </w:pPr>
            <w:r w:rsidRPr="00B03142">
              <w:rPr>
                <w:rFonts w:ascii="Times New Roman" w:hAnsi="Times New Roman" w:cs="Times New Roman"/>
                <w:color w:val="000000"/>
                <w:sz w:val="20"/>
                <w:szCs w:val="20"/>
              </w:rPr>
              <w:t>0.3</w:t>
            </w:r>
          </w:p>
        </w:tc>
        <w:tc>
          <w:tcPr>
            <w:tcW w:w="0" w:type="auto"/>
            <w:vAlign w:val="center"/>
          </w:tcPr>
          <w:p w14:paraId="21F0D1EA" w14:textId="58449283" w:rsidR="000419A4" w:rsidRPr="00B03142" w:rsidRDefault="000419A4" w:rsidP="000419A4">
            <w:pPr>
              <w:jc w:val="center"/>
              <w:rPr>
                <w:rFonts w:ascii="Times New Roman" w:hAnsi="Times New Roman" w:cs="Times New Roman"/>
                <w:sz w:val="20"/>
                <w:szCs w:val="20"/>
              </w:rPr>
            </w:pPr>
            <w:r w:rsidRPr="00B03142">
              <w:rPr>
                <w:rFonts w:ascii="Times New Roman" w:hAnsi="Times New Roman" w:cs="Times New Roman"/>
                <w:color w:val="000000"/>
                <w:sz w:val="20"/>
                <w:szCs w:val="20"/>
              </w:rPr>
              <w:t>-0.02</w:t>
            </w:r>
          </w:p>
        </w:tc>
        <w:tc>
          <w:tcPr>
            <w:tcW w:w="0" w:type="auto"/>
            <w:vAlign w:val="center"/>
          </w:tcPr>
          <w:p w14:paraId="2EB1B29C" w14:textId="77E1A7D3" w:rsidR="000419A4" w:rsidRPr="00B03142" w:rsidRDefault="000419A4" w:rsidP="000419A4">
            <w:pPr>
              <w:jc w:val="center"/>
              <w:rPr>
                <w:rFonts w:ascii="Times New Roman" w:hAnsi="Times New Roman" w:cs="Times New Roman"/>
                <w:sz w:val="20"/>
                <w:szCs w:val="20"/>
              </w:rPr>
            </w:pPr>
            <w:r w:rsidRPr="00B03142">
              <w:rPr>
                <w:rFonts w:ascii="Times New Roman" w:hAnsi="Times New Roman" w:cs="Times New Roman"/>
                <w:color w:val="000000"/>
                <w:sz w:val="20"/>
                <w:szCs w:val="20"/>
              </w:rPr>
              <w:t>-0.07</w:t>
            </w:r>
          </w:p>
        </w:tc>
        <w:tc>
          <w:tcPr>
            <w:tcW w:w="0" w:type="auto"/>
            <w:vAlign w:val="center"/>
          </w:tcPr>
          <w:p w14:paraId="721DD1C7" w14:textId="2771FE73" w:rsidR="000419A4" w:rsidRPr="00B03142" w:rsidRDefault="000419A4" w:rsidP="000419A4">
            <w:pPr>
              <w:jc w:val="center"/>
              <w:rPr>
                <w:rFonts w:ascii="Times New Roman" w:hAnsi="Times New Roman" w:cs="Times New Roman"/>
                <w:sz w:val="20"/>
                <w:szCs w:val="20"/>
              </w:rPr>
            </w:pPr>
            <w:r w:rsidRPr="00B03142">
              <w:rPr>
                <w:rFonts w:ascii="Times New Roman" w:hAnsi="Times New Roman" w:cs="Times New Roman"/>
                <w:color w:val="000000"/>
                <w:sz w:val="20"/>
                <w:szCs w:val="20"/>
              </w:rPr>
              <w:t>-0.21</w:t>
            </w:r>
          </w:p>
        </w:tc>
      </w:tr>
      <w:tr w:rsidR="000419A4" w:rsidRPr="00B03142" w14:paraId="6721F652" w14:textId="77777777" w:rsidTr="00411585">
        <w:trPr>
          <w:trHeight w:val="288"/>
          <w:jc w:val="center"/>
        </w:trPr>
        <w:tc>
          <w:tcPr>
            <w:tcW w:w="0" w:type="auto"/>
            <w:vAlign w:val="center"/>
          </w:tcPr>
          <w:p w14:paraId="5CFB4610" w14:textId="77777777" w:rsidR="000419A4" w:rsidRPr="00B03142" w:rsidRDefault="000419A4" w:rsidP="000419A4">
            <w:pPr>
              <w:rPr>
                <w:rFonts w:ascii="Times New Roman" w:hAnsi="Times New Roman" w:cs="Times New Roman"/>
                <w:sz w:val="20"/>
                <w:szCs w:val="20"/>
              </w:rPr>
            </w:pPr>
            <w:r w:rsidRPr="00B03142">
              <w:rPr>
                <w:rFonts w:ascii="Times New Roman" w:eastAsia="Times New Roman" w:hAnsi="Times New Roman" w:cs="Times New Roman"/>
                <w:b/>
                <w:bCs/>
                <w:color w:val="000000"/>
                <w:sz w:val="20"/>
                <w:szCs w:val="20"/>
              </w:rPr>
              <w:t>FİGM</w:t>
            </w:r>
          </w:p>
        </w:tc>
        <w:tc>
          <w:tcPr>
            <w:tcW w:w="0" w:type="auto"/>
            <w:vAlign w:val="center"/>
          </w:tcPr>
          <w:p w14:paraId="2EBBB78B" w14:textId="008FDBC2" w:rsidR="000419A4" w:rsidRPr="00B03142" w:rsidRDefault="000419A4" w:rsidP="000419A4">
            <w:pPr>
              <w:jc w:val="center"/>
              <w:rPr>
                <w:rFonts w:ascii="Times New Roman" w:hAnsi="Times New Roman" w:cs="Times New Roman"/>
                <w:b/>
                <w:bCs/>
                <w:sz w:val="20"/>
                <w:szCs w:val="20"/>
              </w:rPr>
            </w:pPr>
            <w:r w:rsidRPr="00B03142">
              <w:rPr>
                <w:rFonts w:ascii="Times New Roman" w:hAnsi="Times New Roman" w:cs="Times New Roman"/>
                <w:b/>
                <w:bCs/>
                <w:color w:val="000000"/>
                <w:sz w:val="20"/>
                <w:szCs w:val="20"/>
              </w:rPr>
              <w:t>0.92</w:t>
            </w:r>
            <w:r w:rsidRPr="00B03142">
              <w:rPr>
                <w:rFonts w:ascii="Times New Roman" w:hAnsi="Times New Roman" w:cs="Times New Roman"/>
                <w:b/>
                <w:bCs/>
                <w:color w:val="000000"/>
                <w:sz w:val="20"/>
                <w:szCs w:val="20"/>
                <w:vertAlign w:val="superscript"/>
              </w:rPr>
              <w:t>****</w:t>
            </w:r>
          </w:p>
        </w:tc>
        <w:tc>
          <w:tcPr>
            <w:tcW w:w="0" w:type="auto"/>
            <w:vAlign w:val="center"/>
          </w:tcPr>
          <w:p w14:paraId="727D2044" w14:textId="60BC4D91" w:rsidR="000419A4" w:rsidRPr="00B03142" w:rsidRDefault="000419A4" w:rsidP="000419A4">
            <w:pPr>
              <w:jc w:val="center"/>
              <w:rPr>
                <w:rFonts w:ascii="Times New Roman" w:hAnsi="Times New Roman" w:cs="Times New Roman"/>
                <w:b/>
                <w:bCs/>
                <w:sz w:val="20"/>
                <w:szCs w:val="20"/>
              </w:rPr>
            </w:pPr>
            <w:r w:rsidRPr="00B03142">
              <w:rPr>
                <w:rFonts w:ascii="Times New Roman" w:hAnsi="Times New Roman" w:cs="Times New Roman"/>
                <w:b/>
                <w:bCs/>
                <w:sz w:val="20"/>
                <w:szCs w:val="20"/>
              </w:rPr>
              <w:t>0.91</w:t>
            </w:r>
            <w:r w:rsidRPr="00B03142">
              <w:rPr>
                <w:rFonts w:ascii="Times New Roman" w:hAnsi="Times New Roman" w:cs="Times New Roman"/>
                <w:b/>
                <w:bCs/>
                <w:color w:val="000000"/>
                <w:sz w:val="20"/>
                <w:szCs w:val="20"/>
                <w:vertAlign w:val="superscript"/>
              </w:rPr>
              <w:t>****</w:t>
            </w:r>
          </w:p>
        </w:tc>
        <w:tc>
          <w:tcPr>
            <w:tcW w:w="0" w:type="auto"/>
            <w:vAlign w:val="center"/>
          </w:tcPr>
          <w:p w14:paraId="454BC990" w14:textId="5002FA63" w:rsidR="000419A4" w:rsidRPr="00B03142" w:rsidRDefault="000419A4" w:rsidP="000419A4">
            <w:pPr>
              <w:jc w:val="center"/>
              <w:rPr>
                <w:rFonts w:ascii="Times New Roman" w:hAnsi="Times New Roman" w:cs="Times New Roman"/>
                <w:b/>
                <w:bCs/>
                <w:sz w:val="20"/>
                <w:szCs w:val="20"/>
              </w:rPr>
            </w:pPr>
            <w:r w:rsidRPr="00B03142">
              <w:rPr>
                <w:rFonts w:ascii="Times New Roman" w:hAnsi="Times New Roman" w:cs="Times New Roman"/>
                <w:b/>
                <w:bCs/>
                <w:color w:val="000000"/>
                <w:sz w:val="20"/>
                <w:szCs w:val="20"/>
              </w:rPr>
              <w:t>0.93</w:t>
            </w:r>
            <w:r w:rsidRPr="00B03142">
              <w:rPr>
                <w:rFonts w:ascii="Times New Roman" w:hAnsi="Times New Roman" w:cs="Times New Roman"/>
                <w:b/>
                <w:bCs/>
                <w:color w:val="000000"/>
                <w:sz w:val="20"/>
                <w:szCs w:val="20"/>
                <w:vertAlign w:val="superscript"/>
              </w:rPr>
              <w:t>****</w:t>
            </w:r>
          </w:p>
        </w:tc>
        <w:tc>
          <w:tcPr>
            <w:tcW w:w="0" w:type="auto"/>
            <w:vAlign w:val="center"/>
          </w:tcPr>
          <w:p w14:paraId="078072B5" w14:textId="4BA72148" w:rsidR="000419A4" w:rsidRPr="00B03142" w:rsidRDefault="000419A4" w:rsidP="000419A4">
            <w:pPr>
              <w:jc w:val="center"/>
              <w:rPr>
                <w:rFonts w:ascii="Times New Roman" w:hAnsi="Times New Roman" w:cs="Times New Roman"/>
                <w:b/>
                <w:bCs/>
                <w:sz w:val="20"/>
                <w:szCs w:val="20"/>
              </w:rPr>
            </w:pPr>
            <w:r w:rsidRPr="00B03142">
              <w:rPr>
                <w:rFonts w:ascii="Times New Roman" w:hAnsi="Times New Roman" w:cs="Times New Roman"/>
                <w:b/>
                <w:bCs/>
                <w:color w:val="000000"/>
                <w:sz w:val="20"/>
                <w:szCs w:val="20"/>
              </w:rPr>
              <w:t>0.93</w:t>
            </w:r>
            <w:r w:rsidRPr="00B03142">
              <w:rPr>
                <w:rFonts w:ascii="Times New Roman" w:hAnsi="Times New Roman" w:cs="Times New Roman"/>
                <w:b/>
                <w:bCs/>
                <w:color w:val="000000"/>
                <w:sz w:val="20"/>
                <w:szCs w:val="20"/>
                <w:vertAlign w:val="superscript"/>
              </w:rPr>
              <w:t>****</w:t>
            </w:r>
          </w:p>
        </w:tc>
        <w:tc>
          <w:tcPr>
            <w:tcW w:w="0" w:type="auto"/>
            <w:vAlign w:val="center"/>
          </w:tcPr>
          <w:p w14:paraId="65BD319D" w14:textId="7C47B2F0" w:rsidR="000419A4" w:rsidRPr="00B03142" w:rsidRDefault="000419A4" w:rsidP="000419A4">
            <w:pPr>
              <w:jc w:val="center"/>
              <w:rPr>
                <w:rFonts w:ascii="Times New Roman" w:hAnsi="Times New Roman" w:cs="Times New Roman"/>
                <w:b/>
                <w:bCs/>
                <w:sz w:val="20"/>
                <w:szCs w:val="20"/>
              </w:rPr>
            </w:pPr>
            <w:r w:rsidRPr="00B03142">
              <w:rPr>
                <w:rFonts w:ascii="Times New Roman" w:hAnsi="Times New Roman" w:cs="Times New Roman"/>
                <w:b/>
                <w:bCs/>
                <w:color w:val="000000"/>
                <w:sz w:val="20"/>
                <w:szCs w:val="20"/>
              </w:rPr>
              <w:t>0.91</w:t>
            </w:r>
            <w:r w:rsidRPr="00B03142">
              <w:rPr>
                <w:rFonts w:ascii="Times New Roman" w:hAnsi="Times New Roman" w:cs="Times New Roman"/>
                <w:b/>
                <w:bCs/>
                <w:color w:val="000000"/>
                <w:sz w:val="20"/>
                <w:szCs w:val="20"/>
                <w:vertAlign w:val="superscript"/>
              </w:rPr>
              <w:t>****</w:t>
            </w:r>
          </w:p>
        </w:tc>
        <w:tc>
          <w:tcPr>
            <w:tcW w:w="0" w:type="auto"/>
            <w:vAlign w:val="center"/>
          </w:tcPr>
          <w:p w14:paraId="26254627" w14:textId="2AE7CF28" w:rsidR="000419A4" w:rsidRPr="00B03142" w:rsidRDefault="000419A4" w:rsidP="000419A4">
            <w:pPr>
              <w:jc w:val="center"/>
              <w:rPr>
                <w:rFonts w:ascii="Times New Roman" w:hAnsi="Times New Roman" w:cs="Times New Roman"/>
                <w:b/>
                <w:bCs/>
                <w:sz w:val="20"/>
                <w:szCs w:val="20"/>
              </w:rPr>
            </w:pPr>
            <w:r w:rsidRPr="00B03142">
              <w:rPr>
                <w:rFonts w:ascii="Times New Roman" w:hAnsi="Times New Roman" w:cs="Times New Roman"/>
                <w:b/>
                <w:bCs/>
                <w:color w:val="000000"/>
                <w:sz w:val="20"/>
                <w:szCs w:val="20"/>
              </w:rPr>
              <w:t>0.92</w:t>
            </w:r>
            <w:r w:rsidRPr="00B03142">
              <w:rPr>
                <w:rFonts w:ascii="Times New Roman" w:hAnsi="Times New Roman" w:cs="Times New Roman"/>
                <w:b/>
                <w:bCs/>
                <w:color w:val="000000"/>
                <w:sz w:val="20"/>
                <w:szCs w:val="20"/>
                <w:vertAlign w:val="superscript"/>
              </w:rPr>
              <w:t>****</w:t>
            </w:r>
          </w:p>
        </w:tc>
        <w:tc>
          <w:tcPr>
            <w:tcW w:w="0" w:type="auto"/>
            <w:vAlign w:val="center"/>
          </w:tcPr>
          <w:p w14:paraId="7F011224" w14:textId="6827DBB7" w:rsidR="000419A4" w:rsidRPr="00B03142" w:rsidRDefault="000419A4" w:rsidP="000419A4">
            <w:pPr>
              <w:jc w:val="center"/>
              <w:rPr>
                <w:rFonts w:ascii="Times New Roman" w:hAnsi="Times New Roman" w:cs="Times New Roman"/>
                <w:b/>
                <w:bCs/>
                <w:sz w:val="20"/>
                <w:szCs w:val="20"/>
              </w:rPr>
            </w:pPr>
            <w:r w:rsidRPr="00B03142">
              <w:rPr>
                <w:rFonts w:ascii="Times New Roman" w:hAnsi="Times New Roman" w:cs="Times New Roman"/>
                <w:b/>
                <w:bCs/>
                <w:color w:val="000000"/>
                <w:sz w:val="20"/>
                <w:szCs w:val="20"/>
              </w:rPr>
              <w:t>0.81</w:t>
            </w:r>
            <w:r w:rsidRPr="00B03142">
              <w:rPr>
                <w:rFonts w:ascii="Times New Roman" w:hAnsi="Times New Roman" w:cs="Times New Roman"/>
                <w:b/>
                <w:bCs/>
                <w:color w:val="000000"/>
                <w:sz w:val="20"/>
                <w:szCs w:val="20"/>
                <w:vertAlign w:val="superscript"/>
              </w:rPr>
              <w:t>**</w:t>
            </w:r>
          </w:p>
        </w:tc>
      </w:tr>
      <w:tr w:rsidR="000419A4" w:rsidRPr="00B03142" w14:paraId="38EFC544" w14:textId="77777777" w:rsidTr="00411585">
        <w:trPr>
          <w:trHeight w:val="288"/>
          <w:jc w:val="center"/>
        </w:trPr>
        <w:tc>
          <w:tcPr>
            <w:tcW w:w="0" w:type="auto"/>
            <w:vAlign w:val="center"/>
          </w:tcPr>
          <w:p w14:paraId="1CF3A2C0" w14:textId="77777777" w:rsidR="000419A4" w:rsidRPr="00B03142" w:rsidRDefault="000419A4" w:rsidP="000419A4">
            <w:pPr>
              <w:rPr>
                <w:rFonts w:ascii="Times New Roman" w:hAnsi="Times New Roman" w:cs="Times New Roman"/>
                <w:sz w:val="20"/>
                <w:szCs w:val="20"/>
              </w:rPr>
            </w:pPr>
            <w:r w:rsidRPr="00B03142">
              <w:rPr>
                <w:rFonts w:ascii="Times New Roman" w:eastAsia="Times New Roman" w:hAnsi="Times New Roman" w:cs="Times New Roman"/>
                <w:b/>
                <w:bCs/>
                <w:color w:val="000000"/>
                <w:sz w:val="20"/>
                <w:szCs w:val="20"/>
              </w:rPr>
              <w:t>İMA</w:t>
            </w:r>
          </w:p>
        </w:tc>
        <w:tc>
          <w:tcPr>
            <w:tcW w:w="0" w:type="auto"/>
            <w:vAlign w:val="center"/>
          </w:tcPr>
          <w:p w14:paraId="49B755FF" w14:textId="1A98BACD" w:rsidR="000419A4" w:rsidRPr="00B03142" w:rsidRDefault="000419A4" w:rsidP="000419A4">
            <w:pPr>
              <w:jc w:val="center"/>
              <w:rPr>
                <w:rFonts w:ascii="Times New Roman" w:hAnsi="Times New Roman" w:cs="Times New Roman"/>
                <w:b/>
                <w:bCs/>
                <w:sz w:val="20"/>
                <w:szCs w:val="20"/>
              </w:rPr>
            </w:pPr>
            <w:r w:rsidRPr="00B03142">
              <w:rPr>
                <w:rFonts w:ascii="Times New Roman" w:hAnsi="Times New Roman" w:cs="Times New Roman"/>
                <w:b/>
                <w:bCs/>
                <w:color w:val="000000"/>
                <w:sz w:val="20"/>
                <w:szCs w:val="20"/>
              </w:rPr>
              <w:t>-0.65</w:t>
            </w:r>
            <w:r w:rsidRPr="00B03142">
              <w:rPr>
                <w:rFonts w:ascii="Times New Roman" w:hAnsi="Times New Roman" w:cs="Times New Roman"/>
                <w:b/>
                <w:bCs/>
                <w:color w:val="000000"/>
                <w:sz w:val="20"/>
                <w:szCs w:val="20"/>
                <w:vertAlign w:val="superscript"/>
              </w:rPr>
              <w:t>*</w:t>
            </w:r>
          </w:p>
        </w:tc>
        <w:tc>
          <w:tcPr>
            <w:tcW w:w="0" w:type="auto"/>
            <w:vAlign w:val="center"/>
          </w:tcPr>
          <w:p w14:paraId="196B04F6" w14:textId="4079F73A" w:rsidR="000419A4" w:rsidRPr="00B03142" w:rsidRDefault="000419A4" w:rsidP="000419A4">
            <w:pPr>
              <w:jc w:val="center"/>
              <w:rPr>
                <w:rFonts w:ascii="Times New Roman" w:hAnsi="Times New Roman" w:cs="Times New Roman"/>
                <w:b/>
                <w:bCs/>
                <w:sz w:val="20"/>
                <w:szCs w:val="20"/>
              </w:rPr>
            </w:pPr>
            <w:r w:rsidRPr="00B03142">
              <w:rPr>
                <w:rFonts w:ascii="Times New Roman" w:hAnsi="Times New Roman" w:cs="Times New Roman"/>
                <w:b/>
                <w:bCs/>
                <w:sz w:val="20"/>
                <w:szCs w:val="20"/>
              </w:rPr>
              <w:t>-0.53</w:t>
            </w:r>
            <w:r w:rsidRPr="00B03142">
              <w:rPr>
                <w:rFonts w:ascii="Times New Roman" w:eastAsia="Times New Roman" w:hAnsi="Times New Roman" w:cs="Times New Roman"/>
                <w:b/>
                <w:bCs/>
                <w:color w:val="000000"/>
                <w:sz w:val="20"/>
                <w:szCs w:val="20"/>
                <w:vertAlign w:val="superscript"/>
              </w:rPr>
              <w:t>‡</w:t>
            </w:r>
          </w:p>
        </w:tc>
        <w:tc>
          <w:tcPr>
            <w:tcW w:w="0" w:type="auto"/>
            <w:vAlign w:val="center"/>
          </w:tcPr>
          <w:p w14:paraId="39AA055E" w14:textId="73131F9A" w:rsidR="000419A4" w:rsidRPr="00B03142" w:rsidRDefault="000419A4" w:rsidP="000419A4">
            <w:pPr>
              <w:jc w:val="center"/>
              <w:rPr>
                <w:rFonts w:ascii="Times New Roman" w:hAnsi="Times New Roman" w:cs="Times New Roman"/>
                <w:sz w:val="20"/>
                <w:szCs w:val="20"/>
              </w:rPr>
            </w:pPr>
            <w:r w:rsidRPr="00B03142">
              <w:rPr>
                <w:rFonts w:ascii="Times New Roman" w:hAnsi="Times New Roman" w:cs="Times New Roman"/>
                <w:color w:val="000000"/>
                <w:sz w:val="20"/>
                <w:szCs w:val="20"/>
              </w:rPr>
              <w:t>-0.27</w:t>
            </w:r>
          </w:p>
        </w:tc>
        <w:tc>
          <w:tcPr>
            <w:tcW w:w="0" w:type="auto"/>
            <w:vAlign w:val="center"/>
          </w:tcPr>
          <w:p w14:paraId="4A9CC33C" w14:textId="38C917F8" w:rsidR="000419A4" w:rsidRPr="00B03142" w:rsidRDefault="000419A4" w:rsidP="000419A4">
            <w:pPr>
              <w:jc w:val="center"/>
              <w:rPr>
                <w:rFonts w:ascii="Times New Roman" w:hAnsi="Times New Roman" w:cs="Times New Roman"/>
                <w:b/>
                <w:bCs/>
                <w:sz w:val="20"/>
                <w:szCs w:val="20"/>
              </w:rPr>
            </w:pPr>
            <w:r w:rsidRPr="00B03142">
              <w:rPr>
                <w:rFonts w:ascii="Times New Roman" w:hAnsi="Times New Roman" w:cs="Times New Roman"/>
                <w:color w:val="000000"/>
                <w:sz w:val="20"/>
                <w:szCs w:val="20"/>
              </w:rPr>
              <w:t>0.46</w:t>
            </w:r>
          </w:p>
        </w:tc>
        <w:tc>
          <w:tcPr>
            <w:tcW w:w="0" w:type="auto"/>
            <w:vAlign w:val="center"/>
          </w:tcPr>
          <w:p w14:paraId="7AFAB7B3" w14:textId="4D28E0C0" w:rsidR="000419A4" w:rsidRPr="00B03142" w:rsidRDefault="000419A4" w:rsidP="000419A4">
            <w:pPr>
              <w:jc w:val="center"/>
              <w:rPr>
                <w:rFonts w:ascii="Times New Roman" w:hAnsi="Times New Roman" w:cs="Times New Roman"/>
                <w:b/>
                <w:bCs/>
                <w:sz w:val="20"/>
                <w:szCs w:val="20"/>
              </w:rPr>
            </w:pPr>
            <w:r w:rsidRPr="00B03142">
              <w:rPr>
                <w:rFonts w:ascii="Times New Roman" w:hAnsi="Times New Roman" w:cs="Times New Roman"/>
                <w:b/>
                <w:bCs/>
                <w:color w:val="000000"/>
                <w:sz w:val="20"/>
                <w:szCs w:val="20"/>
              </w:rPr>
              <w:t>0.84</w:t>
            </w:r>
            <w:r w:rsidRPr="00B03142">
              <w:rPr>
                <w:rFonts w:ascii="Times New Roman" w:hAnsi="Times New Roman" w:cs="Times New Roman"/>
                <w:b/>
                <w:bCs/>
                <w:color w:val="000000"/>
                <w:sz w:val="20"/>
                <w:szCs w:val="20"/>
                <w:vertAlign w:val="superscript"/>
              </w:rPr>
              <w:t>***</w:t>
            </w:r>
          </w:p>
        </w:tc>
        <w:tc>
          <w:tcPr>
            <w:tcW w:w="0" w:type="auto"/>
            <w:vAlign w:val="center"/>
          </w:tcPr>
          <w:p w14:paraId="7F66453C" w14:textId="13B0E84C" w:rsidR="000419A4" w:rsidRPr="00B03142" w:rsidRDefault="000419A4" w:rsidP="000419A4">
            <w:pPr>
              <w:jc w:val="center"/>
              <w:rPr>
                <w:rFonts w:ascii="Times New Roman" w:hAnsi="Times New Roman" w:cs="Times New Roman"/>
                <w:b/>
                <w:bCs/>
                <w:sz w:val="20"/>
                <w:szCs w:val="20"/>
              </w:rPr>
            </w:pPr>
            <w:r w:rsidRPr="00B03142">
              <w:rPr>
                <w:rFonts w:ascii="Times New Roman" w:hAnsi="Times New Roman" w:cs="Times New Roman"/>
                <w:b/>
                <w:bCs/>
                <w:color w:val="000000"/>
                <w:sz w:val="20"/>
                <w:szCs w:val="20"/>
              </w:rPr>
              <w:t>0.9</w:t>
            </w:r>
            <w:r w:rsidRPr="00B03142">
              <w:rPr>
                <w:rFonts w:ascii="Times New Roman" w:hAnsi="Times New Roman" w:cs="Times New Roman"/>
                <w:b/>
                <w:bCs/>
                <w:color w:val="000000"/>
                <w:sz w:val="20"/>
                <w:szCs w:val="20"/>
                <w:vertAlign w:val="superscript"/>
              </w:rPr>
              <w:t>****</w:t>
            </w:r>
          </w:p>
        </w:tc>
        <w:tc>
          <w:tcPr>
            <w:tcW w:w="0" w:type="auto"/>
            <w:vAlign w:val="center"/>
          </w:tcPr>
          <w:p w14:paraId="117B0EB4" w14:textId="1AE092F0" w:rsidR="000419A4" w:rsidRPr="00B03142" w:rsidRDefault="000419A4" w:rsidP="000419A4">
            <w:pPr>
              <w:jc w:val="center"/>
              <w:rPr>
                <w:rFonts w:ascii="Times New Roman" w:hAnsi="Times New Roman" w:cs="Times New Roman"/>
                <w:b/>
                <w:bCs/>
                <w:sz w:val="20"/>
                <w:szCs w:val="20"/>
              </w:rPr>
            </w:pPr>
            <w:r w:rsidRPr="00B03142">
              <w:rPr>
                <w:rFonts w:ascii="Times New Roman" w:hAnsi="Times New Roman" w:cs="Times New Roman"/>
                <w:b/>
                <w:bCs/>
                <w:color w:val="000000"/>
                <w:sz w:val="20"/>
                <w:szCs w:val="20"/>
              </w:rPr>
              <w:t>0.93</w:t>
            </w:r>
            <w:r w:rsidRPr="00B03142">
              <w:rPr>
                <w:rFonts w:ascii="Times New Roman" w:hAnsi="Times New Roman" w:cs="Times New Roman"/>
                <w:b/>
                <w:bCs/>
                <w:color w:val="000000"/>
                <w:sz w:val="20"/>
                <w:szCs w:val="20"/>
                <w:vertAlign w:val="superscript"/>
              </w:rPr>
              <w:t>****</w:t>
            </w:r>
          </w:p>
        </w:tc>
      </w:tr>
      <w:tr w:rsidR="000419A4" w:rsidRPr="00B03142" w14:paraId="77106581" w14:textId="77777777" w:rsidTr="00411585">
        <w:trPr>
          <w:trHeight w:val="288"/>
          <w:jc w:val="center"/>
        </w:trPr>
        <w:tc>
          <w:tcPr>
            <w:tcW w:w="0" w:type="auto"/>
            <w:vAlign w:val="center"/>
          </w:tcPr>
          <w:p w14:paraId="616F8C2E" w14:textId="77777777" w:rsidR="000419A4" w:rsidRPr="00B03142" w:rsidRDefault="000419A4" w:rsidP="000419A4">
            <w:pPr>
              <w:rPr>
                <w:rFonts w:ascii="Times New Roman" w:hAnsi="Times New Roman" w:cs="Times New Roman"/>
                <w:sz w:val="20"/>
                <w:szCs w:val="20"/>
              </w:rPr>
            </w:pPr>
            <w:r w:rsidRPr="00B03142">
              <w:rPr>
                <w:rFonts w:ascii="Times New Roman" w:eastAsia="Times New Roman" w:hAnsi="Times New Roman" w:cs="Times New Roman"/>
                <w:b/>
                <w:bCs/>
                <w:color w:val="000000"/>
                <w:sz w:val="20"/>
                <w:szCs w:val="20"/>
              </w:rPr>
              <w:t>MAD</w:t>
            </w:r>
          </w:p>
        </w:tc>
        <w:tc>
          <w:tcPr>
            <w:tcW w:w="0" w:type="auto"/>
            <w:vAlign w:val="center"/>
          </w:tcPr>
          <w:p w14:paraId="0F61AFAF" w14:textId="7B704C87" w:rsidR="000419A4" w:rsidRPr="00B03142" w:rsidRDefault="000419A4" w:rsidP="000419A4">
            <w:pPr>
              <w:jc w:val="center"/>
              <w:rPr>
                <w:rFonts w:ascii="Times New Roman" w:hAnsi="Times New Roman" w:cs="Times New Roman"/>
                <w:sz w:val="20"/>
                <w:szCs w:val="20"/>
              </w:rPr>
            </w:pPr>
            <w:r w:rsidRPr="00B03142">
              <w:rPr>
                <w:rFonts w:ascii="Times New Roman" w:hAnsi="Times New Roman" w:cs="Times New Roman"/>
                <w:color w:val="000000"/>
                <w:sz w:val="20"/>
                <w:szCs w:val="20"/>
              </w:rPr>
              <w:t>-0.29</w:t>
            </w:r>
          </w:p>
        </w:tc>
        <w:tc>
          <w:tcPr>
            <w:tcW w:w="0" w:type="auto"/>
            <w:vAlign w:val="center"/>
          </w:tcPr>
          <w:p w14:paraId="319D806D" w14:textId="23C88304" w:rsidR="000419A4" w:rsidRPr="00B03142" w:rsidRDefault="000419A4" w:rsidP="000419A4">
            <w:pPr>
              <w:jc w:val="center"/>
              <w:rPr>
                <w:rFonts w:ascii="Times New Roman" w:hAnsi="Times New Roman" w:cs="Times New Roman"/>
                <w:sz w:val="20"/>
                <w:szCs w:val="20"/>
              </w:rPr>
            </w:pPr>
            <w:r w:rsidRPr="00B03142">
              <w:rPr>
                <w:rFonts w:ascii="Times New Roman" w:hAnsi="Times New Roman" w:cs="Times New Roman"/>
                <w:sz w:val="20"/>
                <w:szCs w:val="20"/>
              </w:rPr>
              <w:t>-0.02</w:t>
            </w:r>
          </w:p>
        </w:tc>
        <w:tc>
          <w:tcPr>
            <w:tcW w:w="0" w:type="auto"/>
            <w:vAlign w:val="center"/>
          </w:tcPr>
          <w:p w14:paraId="0254A3C1" w14:textId="3FB05294" w:rsidR="000419A4" w:rsidRPr="00B03142" w:rsidRDefault="000419A4" w:rsidP="000419A4">
            <w:pPr>
              <w:jc w:val="center"/>
              <w:rPr>
                <w:rFonts w:ascii="Times New Roman" w:hAnsi="Times New Roman" w:cs="Times New Roman"/>
                <w:sz w:val="20"/>
                <w:szCs w:val="20"/>
              </w:rPr>
            </w:pPr>
            <w:r w:rsidRPr="00B03142">
              <w:rPr>
                <w:rFonts w:ascii="Times New Roman" w:hAnsi="Times New Roman" w:cs="Times New Roman"/>
                <w:color w:val="000000"/>
                <w:sz w:val="20"/>
                <w:szCs w:val="20"/>
              </w:rPr>
              <w:t>-0.25</w:t>
            </w:r>
          </w:p>
        </w:tc>
        <w:tc>
          <w:tcPr>
            <w:tcW w:w="0" w:type="auto"/>
            <w:vAlign w:val="center"/>
          </w:tcPr>
          <w:p w14:paraId="041AC18A" w14:textId="11111876" w:rsidR="000419A4" w:rsidRPr="00B03142" w:rsidRDefault="000419A4" w:rsidP="000419A4">
            <w:pPr>
              <w:jc w:val="center"/>
              <w:rPr>
                <w:rFonts w:ascii="Times New Roman" w:hAnsi="Times New Roman" w:cs="Times New Roman"/>
                <w:b/>
                <w:sz w:val="20"/>
                <w:szCs w:val="20"/>
              </w:rPr>
            </w:pPr>
            <w:r w:rsidRPr="00B03142">
              <w:rPr>
                <w:rFonts w:ascii="Times New Roman" w:hAnsi="Times New Roman" w:cs="Times New Roman"/>
                <w:b/>
                <w:color w:val="000000"/>
                <w:sz w:val="20"/>
                <w:szCs w:val="20"/>
              </w:rPr>
              <w:t>-0.53</w:t>
            </w:r>
            <w:r w:rsidRPr="00B03142">
              <w:rPr>
                <w:rFonts w:ascii="Times New Roman" w:eastAsia="Times New Roman" w:hAnsi="Times New Roman" w:cs="Times New Roman"/>
                <w:b/>
                <w:color w:val="000000"/>
                <w:sz w:val="20"/>
                <w:szCs w:val="20"/>
                <w:vertAlign w:val="superscript"/>
              </w:rPr>
              <w:t>‡</w:t>
            </w:r>
          </w:p>
        </w:tc>
        <w:tc>
          <w:tcPr>
            <w:tcW w:w="0" w:type="auto"/>
            <w:vAlign w:val="center"/>
          </w:tcPr>
          <w:p w14:paraId="117F74E0" w14:textId="6A540D3C" w:rsidR="000419A4" w:rsidRPr="00B03142" w:rsidRDefault="000419A4" w:rsidP="000419A4">
            <w:pPr>
              <w:jc w:val="center"/>
              <w:rPr>
                <w:rFonts w:ascii="Times New Roman" w:hAnsi="Times New Roman" w:cs="Times New Roman"/>
                <w:sz w:val="20"/>
                <w:szCs w:val="20"/>
              </w:rPr>
            </w:pPr>
            <w:r w:rsidRPr="00B03142">
              <w:rPr>
                <w:rFonts w:ascii="Times New Roman" w:hAnsi="Times New Roman" w:cs="Times New Roman"/>
                <w:color w:val="000000"/>
                <w:sz w:val="20"/>
                <w:szCs w:val="20"/>
              </w:rPr>
              <w:t>-0.38</w:t>
            </w:r>
          </w:p>
        </w:tc>
        <w:tc>
          <w:tcPr>
            <w:tcW w:w="0" w:type="auto"/>
            <w:vAlign w:val="center"/>
          </w:tcPr>
          <w:p w14:paraId="61B36026" w14:textId="4E8BCFE9" w:rsidR="000419A4" w:rsidRPr="00B03142" w:rsidRDefault="000419A4" w:rsidP="000419A4">
            <w:pPr>
              <w:jc w:val="center"/>
              <w:rPr>
                <w:rFonts w:ascii="Times New Roman" w:hAnsi="Times New Roman" w:cs="Times New Roman"/>
                <w:sz w:val="20"/>
                <w:szCs w:val="20"/>
              </w:rPr>
            </w:pPr>
            <w:r w:rsidRPr="00B03142">
              <w:rPr>
                <w:rFonts w:ascii="Times New Roman" w:hAnsi="Times New Roman" w:cs="Times New Roman"/>
                <w:color w:val="000000"/>
                <w:sz w:val="20"/>
                <w:szCs w:val="20"/>
              </w:rPr>
              <w:t>0.16</w:t>
            </w:r>
          </w:p>
        </w:tc>
        <w:tc>
          <w:tcPr>
            <w:tcW w:w="0" w:type="auto"/>
            <w:vAlign w:val="center"/>
          </w:tcPr>
          <w:p w14:paraId="397C77E5" w14:textId="2B8CE2E3" w:rsidR="000419A4" w:rsidRPr="00B03142" w:rsidRDefault="000419A4" w:rsidP="000419A4">
            <w:pPr>
              <w:jc w:val="center"/>
              <w:rPr>
                <w:rFonts w:ascii="Times New Roman" w:hAnsi="Times New Roman" w:cs="Times New Roman"/>
                <w:b/>
                <w:bCs/>
                <w:sz w:val="20"/>
                <w:szCs w:val="20"/>
              </w:rPr>
            </w:pPr>
            <w:r w:rsidRPr="00B03142">
              <w:rPr>
                <w:rFonts w:ascii="Times New Roman" w:hAnsi="Times New Roman" w:cs="Times New Roman"/>
                <w:b/>
                <w:color w:val="000000"/>
                <w:sz w:val="20"/>
                <w:szCs w:val="20"/>
              </w:rPr>
              <w:t>0.51</w:t>
            </w:r>
            <w:r w:rsidRPr="00B03142">
              <w:rPr>
                <w:rFonts w:ascii="Times New Roman" w:eastAsia="Times New Roman" w:hAnsi="Times New Roman" w:cs="Times New Roman"/>
                <w:b/>
                <w:color w:val="000000"/>
                <w:sz w:val="20"/>
                <w:szCs w:val="20"/>
                <w:vertAlign w:val="superscript"/>
              </w:rPr>
              <w:t>‡</w:t>
            </w:r>
          </w:p>
        </w:tc>
      </w:tr>
      <w:tr w:rsidR="000419A4" w:rsidRPr="00B03142" w14:paraId="0E19FC2E" w14:textId="77777777" w:rsidTr="00411585">
        <w:trPr>
          <w:trHeight w:val="288"/>
          <w:jc w:val="center"/>
        </w:trPr>
        <w:tc>
          <w:tcPr>
            <w:tcW w:w="0" w:type="auto"/>
            <w:vAlign w:val="center"/>
          </w:tcPr>
          <w:p w14:paraId="4B12F37C" w14:textId="77777777" w:rsidR="000419A4" w:rsidRPr="00B03142" w:rsidRDefault="000419A4" w:rsidP="000419A4">
            <w:pPr>
              <w:rPr>
                <w:rFonts w:ascii="Times New Roman" w:hAnsi="Times New Roman" w:cs="Times New Roman"/>
                <w:sz w:val="20"/>
                <w:szCs w:val="20"/>
              </w:rPr>
            </w:pPr>
            <w:r w:rsidRPr="00B03142">
              <w:rPr>
                <w:rFonts w:ascii="Times New Roman" w:eastAsia="Times New Roman" w:hAnsi="Times New Roman" w:cs="Times New Roman"/>
                <w:b/>
                <w:bCs/>
                <w:color w:val="000000"/>
                <w:sz w:val="20"/>
                <w:szCs w:val="20"/>
              </w:rPr>
              <w:t>EGS</w:t>
            </w:r>
          </w:p>
        </w:tc>
        <w:tc>
          <w:tcPr>
            <w:tcW w:w="0" w:type="auto"/>
            <w:vAlign w:val="center"/>
          </w:tcPr>
          <w:p w14:paraId="3113ABFF" w14:textId="4CCD5895" w:rsidR="000419A4" w:rsidRPr="00B03142" w:rsidRDefault="000419A4" w:rsidP="000419A4">
            <w:pPr>
              <w:jc w:val="center"/>
              <w:rPr>
                <w:rFonts w:ascii="Times New Roman" w:hAnsi="Times New Roman" w:cs="Times New Roman"/>
                <w:b/>
                <w:bCs/>
                <w:sz w:val="20"/>
                <w:szCs w:val="20"/>
              </w:rPr>
            </w:pPr>
            <w:r w:rsidRPr="00B03142">
              <w:rPr>
                <w:rFonts w:ascii="Times New Roman" w:hAnsi="Times New Roman" w:cs="Times New Roman"/>
                <w:b/>
                <w:bCs/>
                <w:color w:val="000000"/>
                <w:sz w:val="20"/>
                <w:szCs w:val="20"/>
              </w:rPr>
              <w:t>0.81</w:t>
            </w:r>
            <w:r w:rsidRPr="00B03142">
              <w:rPr>
                <w:rFonts w:ascii="Times New Roman" w:hAnsi="Times New Roman" w:cs="Times New Roman"/>
                <w:b/>
                <w:bCs/>
                <w:color w:val="000000"/>
                <w:sz w:val="20"/>
                <w:szCs w:val="20"/>
                <w:vertAlign w:val="superscript"/>
              </w:rPr>
              <w:t>**</w:t>
            </w:r>
          </w:p>
        </w:tc>
        <w:tc>
          <w:tcPr>
            <w:tcW w:w="0" w:type="auto"/>
            <w:vAlign w:val="center"/>
          </w:tcPr>
          <w:p w14:paraId="5ABA2835" w14:textId="3DA72615" w:rsidR="000419A4" w:rsidRPr="00B03142" w:rsidRDefault="000419A4" w:rsidP="000419A4">
            <w:pPr>
              <w:jc w:val="center"/>
              <w:rPr>
                <w:rFonts w:ascii="Times New Roman" w:hAnsi="Times New Roman" w:cs="Times New Roman"/>
                <w:b/>
                <w:bCs/>
                <w:sz w:val="20"/>
                <w:szCs w:val="20"/>
              </w:rPr>
            </w:pPr>
            <w:r w:rsidRPr="00B03142">
              <w:rPr>
                <w:rFonts w:ascii="Times New Roman" w:hAnsi="Times New Roman" w:cs="Times New Roman"/>
                <w:b/>
                <w:bCs/>
                <w:sz w:val="20"/>
                <w:szCs w:val="20"/>
              </w:rPr>
              <w:t>0.9</w:t>
            </w:r>
            <w:r w:rsidRPr="00B03142">
              <w:rPr>
                <w:rFonts w:ascii="Times New Roman" w:hAnsi="Times New Roman" w:cs="Times New Roman"/>
                <w:b/>
                <w:bCs/>
                <w:color w:val="000000"/>
                <w:sz w:val="20"/>
                <w:szCs w:val="20"/>
                <w:vertAlign w:val="superscript"/>
              </w:rPr>
              <w:t>****</w:t>
            </w:r>
          </w:p>
        </w:tc>
        <w:tc>
          <w:tcPr>
            <w:tcW w:w="0" w:type="auto"/>
            <w:vAlign w:val="center"/>
          </w:tcPr>
          <w:p w14:paraId="32A5598A" w14:textId="53F99A29" w:rsidR="000419A4" w:rsidRPr="00B03142" w:rsidRDefault="000419A4" w:rsidP="000419A4">
            <w:pPr>
              <w:jc w:val="center"/>
              <w:rPr>
                <w:rFonts w:ascii="Times New Roman" w:hAnsi="Times New Roman" w:cs="Times New Roman"/>
                <w:b/>
                <w:bCs/>
                <w:sz w:val="20"/>
                <w:szCs w:val="20"/>
              </w:rPr>
            </w:pPr>
            <w:r w:rsidRPr="00B03142">
              <w:rPr>
                <w:rFonts w:ascii="Times New Roman" w:hAnsi="Times New Roman" w:cs="Times New Roman"/>
                <w:b/>
                <w:bCs/>
                <w:color w:val="000000"/>
                <w:sz w:val="20"/>
                <w:szCs w:val="20"/>
              </w:rPr>
              <w:t>0.93</w:t>
            </w:r>
            <w:r w:rsidRPr="00B03142">
              <w:rPr>
                <w:rFonts w:ascii="Times New Roman" w:hAnsi="Times New Roman" w:cs="Times New Roman"/>
                <w:b/>
                <w:bCs/>
                <w:color w:val="000000"/>
                <w:sz w:val="20"/>
                <w:szCs w:val="20"/>
                <w:vertAlign w:val="superscript"/>
              </w:rPr>
              <w:t>****</w:t>
            </w:r>
          </w:p>
        </w:tc>
        <w:tc>
          <w:tcPr>
            <w:tcW w:w="0" w:type="auto"/>
            <w:vAlign w:val="center"/>
          </w:tcPr>
          <w:p w14:paraId="0C68C646" w14:textId="7C4B7BAE" w:rsidR="000419A4" w:rsidRPr="00B03142" w:rsidRDefault="000419A4" w:rsidP="000419A4">
            <w:pPr>
              <w:jc w:val="center"/>
              <w:rPr>
                <w:rFonts w:ascii="Times New Roman" w:hAnsi="Times New Roman" w:cs="Times New Roman"/>
                <w:b/>
                <w:bCs/>
                <w:sz w:val="20"/>
                <w:szCs w:val="20"/>
              </w:rPr>
            </w:pPr>
            <w:r w:rsidRPr="00B03142">
              <w:rPr>
                <w:rFonts w:ascii="Times New Roman" w:hAnsi="Times New Roman" w:cs="Times New Roman"/>
                <w:b/>
                <w:bCs/>
                <w:color w:val="000000"/>
                <w:sz w:val="20"/>
                <w:szCs w:val="20"/>
              </w:rPr>
              <w:t>0.92</w:t>
            </w:r>
            <w:r w:rsidRPr="00B03142">
              <w:rPr>
                <w:rFonts w:ascii="Times New Roman" w:hAnsi="Times New Roman" w:cs="Times New Roman"/>
                <w:b/>
                <w:bCs/>
                <w:color w:val="000000"/>
                <w:sz w:val="20"/>
                <w:szCs w:val="20"/>
                <w:vertAlign w:val="superscript"/>
              </w:rPr>
              <w:t>****</w:t>
            </w:r>
          </w:p>
        </w:tc>
        <w:tc>
          <w:tcPr>
            <w:tcW w:w="0" w:type="auto"/>
            <w:vAlign w:val="center"/>
          </w:tcPr>
          <w:p w14:paraId="2A8B1551" w14:textId="265551DB" w:rsidR="000419A4" w:rsidRPr="00B03142" w:rsidRDefault="000419A4" w:rsidP="000419A4">
            <w:pPr>
              <w:jc w:val="center"/>
              <w:rPr>
                <w:rFonts w:ascii="Times New Roman" w:hAnsi="Times New Roman" w:cs="Times New Roman"/>
                <w:b/>
                <w:bCs/>
                <w:sz w:val="20"/>
                <w:szCs w:val="20"/>
              </w:rPr>
            </w:pPr>
            <w:r w:rsidRPr="00B03142">
              <w:rPr>
                <w:rFonts w:ascii="Times New Roman" w:hAnsi="Times New Roman" w:cs="Times New Roman"/>
                <w:b/>
                <w:bCs/>
                <w:color w:val="000000"/>
                <w:sz w:val="20"/>
                <w:szCs w:val="20"/>
              </w:rPr>
              <w:t>0.88</w:t>
            </w:r>
            <w:r w:rsidRPr="00B03142">
              <w:rPr>
                <w:rFonts w:ascii="Times New Roman" w:hAnsi="Times New Roman" w:cs="Times New Roman"/>
                <w:b/>
                <w:bCs/>
                <w:color w:val="000000"/>
                <w:sz w:val="20"/>
                <w:szCs w:val="20"/>
                <w:vertAlign w:val="superscript"/>
              </w:rPr>
              <w:t>***</w:t>
            </w:r>
          </w:p>
        </w:tc>
        <w:tc>
          <w:tcPr>
            <w:tcW w:w="0" w:type="auto"/>
            <w:vAlign w:val="center"/>
          </w:tcPr>
          <w:p w14:paraId="34BD8C82" w14:textId="180B627D" w:rsidR="000419A4" w:rsidRPr="00B03142" w:rsidRDefault="000419A4" w:rsidP="000419A4">
            <w:pPr>
              <w:jc w:val="center"/>
              <w:rPr>
                <w:rFonts w:ascii="Times New Roman" w:hAnsi="Times New Roman" w:cs="Times New Roman"/>
                <w:b/>
                <w:bCs/>
                <w:sz w:val="20"/>
                <w:szCs w:val="20"/>
              </w:rPr>
            </w:pPr>
            <w:r w:rsidRPr="00B03142">
              <w:rPr>
                <w:rFonts w:ascii="Times New Roman" w:hAnsi="Times New Roman" w:cs="Times New Roman"/>
                <w:b/>
                <w:bCs/>
                <w:color w:val="000000"/>
                <w:sz w:val="20"/>
                <w:szCs w:val="20"/>
              </w:rPr>
              <w:t>0.8</w:t>
            </w:r>
            <w:r w:rsidRPr="00B03142">
              <w:rPr>
                <w:rFonts w:ascii="Times New Roman" w:hAnsi="Times New Roman" w:cs="Times New Roman"/>
                <w:b/>
                <w:bCs/>
                <w:color w:val="000000"/>
                <w:sz w:val="20"/>
                <w:szCs w:val="20"/>
                <w:vertAlign w:val="superscript"/>
              </w:rPr>
              <w:t>**</w:t>
            </w:r>
          </w:p>
        </w:tc>
        <w:tc>
          <w:tcPr>
            <w:tcW w:w="0" w:type="auto"/>
            <w:vAlign w:val="center"/>
          </w:tcPr>
          <w:p w14:paraId="66C42706" w14:textId="17D1ECC6" w:rsidR="000419A4" w:rsidRPr="00B03142" w:rsidRDefault="000419A4" w:rsidP="000419A4">
            <w:pPr>
              <w:jc w:val="center"/>
              <w:rPr>
                <w:rFonts w:ascii="Times New Roman" w:hAnsi="Times New Roman" w:cs="Times New Roman"/>
                <w:b/>
                <w:bCs/>
                <w:sz w:val="20"/>
                <w:szCs w:val="20"/>
              </w:rPr>
            </w:pPr>
            <w:r w:rsidRPr="00B03142">
              <w:rPr>
                <w:rFonts w:ascii="Times New Roman" w:hAnsi="Times New Roman" w:cs="Times New Roman"/>
                <w:b/>
                <w:bCs/>
                <w:color w:val="000000"/>
                <w:sz w:val="20"/>
                <w:szCs w:val="20"/>
              </w:rPr>
              <w:t>0.72</w:t>
            </w:r>
            <w:r w:rsidRPr="00B03142">
              <w:rPr>
                <w:rFonts w:ascii="Times New Roman" w:hAnsi="Times New Roman" w:cs="Times New Roman"/>
                <w:b/>
                <w:bCs/>
                <w:color w:val="000000"/>
                <w:sz w:val="20"/>
                <w:szCs w:val="20"/>
                <w:vertAlign w:val="superscript"/>
              </w:rPr>
              <w:t>**</w:t>
            </w:r>
          </w:p>
        </w:tc>
      </w:tr>
      <w:tr w:rsidR="000419A4" w:rsidRPr="00B03142" w14:paraId="01E5F6FE" w14:textId="77777777" w:rsidTr="00411585">
        <w:trPr>
          <w:trHeight w:val="288"/>
          <w:jc w:val="center"/>
        </w:trPr>
        <w:tc>
          <w:tcPr>
            <w:tcW w:w="0" w:type="auto"/>
            <w:vAlign w:val="center"/>
          </w:tcPr>
          <w:p w14:paraId="15EC32E0" w14:textId="77777777" w:rsidR="000419A4" w:rsidRPr="00B03142" w:rsidRDefault="000419A4" w:rsidP="000419A4">
            <w:pPr>
              <w:rPr>
                <w:rFonts w:ascii="Times New Roman" w:hAnsi="Times New Roman" w:cs="Times New Roman"/>
                <w:sz w:val="20"/>
                <w:szCs w:val="20"/>
              </w:rPr>
            </w:pPr>
            <w:r w:rsidRPr="00B03142">
              <w:rPr>
                <w:rFonts w:ascii="Times New Roman" w:eastAsia="Times New Roman" w:hAnsi="Times New Roman" w:cs="Times New Roman"/>
                <w:b/>
                <w:bCs/>
                <w:color w:val="000000"/>
                <w:sz w:val="20"/>
                <w:szCs w:val="20"/>
              </w:rPr>
              <w:t>UHD</w:t>
            </w:r>
          </w:p>
        </w:tc>
        <w:tc>
          <w:tcPr>
            <w:tcW w:w="0" w:type="auto"/>
            <w:vAlign w:val="center"/>
          </w:tcPr>
          <w:p w14:paraId="21687DC3" w14:textId="5B38E841" w:rsidR="000419A4" w:rsidRPr="00B03142" w:rsidRDefault="000419A4" w:rsidP="000419A4">
            <w:pPr>
              <w:jc w:val="center"/>
              <w:rPr>
                <w:rFonts w:ascii="Times New Roman" w:hAnsi="Times New Roman" w:cs="Times New Roman"/>
                <w:b/>
                <w:bCs/>
                <w:sz w:val="20"/>
                <w:szCs w:val="20"/>
              </w:rPr>
            </w:pPr>
            <w:r w:rsidRPr="00B03142">
              <w:rPr>
                <w:rFonts w:ascii="Times New Roman" w:hAnsi="Times New Roman" w:cs="Times New Roman"/>
                <w:b/>
                <w:bCs/>
                <w:color w:val="000000"/>
                <w:sz w:val="20"/>
                <w:szCs w:val="20"/>
              </w:rPr>
              <w:t>0.72</w:t>
            </w:r>
            <w:r w:rsidRPr="00B03142">
              <w:rPr>
                <w:rFonts w:ascii="Times New Roman" w:hAnsi="Times New Roman" w:cs="Times New Roman"/>
                <w:b/>
                <w:bCs/>
                <w:color w:val="000000"/>
                <w:sz w:val="20"/>
                <w:szCs w:val="20"/>
                <w:vertAlign w:val="superscript"/>
              </w:rPr>
              <w:t>**</w:t>
            </w:r>
          </w:p>
        </w:tc>
        <w:tc>
          <w:tcPr>
            <w:tcW w:w="0" w:type="auto"/>
            <w:vAlign w:val="center"/>
          </w:tcPr>
          <w:p w14:paraId="40AD7922" w14:textId="506CB8DD" w:rsidR="000419A4" w:rsidRPr="00B03142" w:rsidRDefault="000419A4" w:rsidP="000419A4">
            <w:pPr>
              <w:jc w:val="center"/>
              <w:rPr>
                <w:rFonts w:ascii="Times New Roman" w:hAnsi="Times New Roman" w:cs="Times New Roman"/>
                <w:b/>
                <w:bCs/>
                <w:sz w:val="20"/>
                <w:szCs w:val="20"/>
              </w:rPr>
            </w:pPr>
            <w:r w:rsidRPr="00B03142">
              <w:rPr>
                <w:rFonts w:ascii="Times New Roman" w:hAnsi="Times New Roman" w:cs="Times New Roman"/>
                <w:b/>
                <w:bCs/>
                <w:sz w:val="20"/>
                <w:szCs w:val="20"/>
              </w:rPr>
              <w:t>0.9</w:t>
            </w:r>
            <w:r w:rsidRPr="00B03142">
              <w:rPr>
                <w:rFonts w:ascii="Times New Roman" w:hAnsi="Times New Roman" w:cs="Times New Roman"/>
                <w:b/>
                <w:bCs/>
                <w:color w:val="000000"/>
                <w:sz w:val="20"/>
                <w:szCs w:val="20"/>
                <w:vertAlign w:val="superscript"/>
              </w:rPr>
              <w:t>****</w:t>
            </w:r>
          </w:p>
        </w:tc>
        <w:tc>
          <w:tcPr>
            <w:tcW w:w="0" w:type="auto"/>
            <w:vAlign w:val="center"/>
          </w:tcPr>
          <w:p w14:paraId="5A0CD847" w14:textId="04388C20" w:rsidR="000419A4" w:rsidRPr="00B03142" w:rsidRDefault="000419A4" w:rsidP="000419A4">
            <w:pPr>
              <w:jc w:val="center"/>
              <w:rPr>
                <w:rFonts w:ascii="Times New Roman" w:hAnsi="Times New Roman" w:cs="Times New Roman"/>
                <w:sz w:val="20"/>
                <w:szCs w:val="20"/>
              </w:rPr>
            </w:pPr>
            <w:r w:rsidRPr="00B03142">
              <w:rPr>
                <w:rFonts w:ascii="Times New Roman" w:hAnsi="Times New Roman" w:cs="Times New Roman"/>
                <w:color w:val="000000"/>
                <w:sz w:val="20"/>
                <w:szCs w:val="20"/>
              </w:rPr>
              <w:t>0.44</w:t>
            </w:r>
          </w:p>
        </w:tc>
        <w:tc>
          <w:tcPr>
            <w:tcW w:w="0" w:type="auto"/>
            <w:vAlign w:val="center"/>
          </w:tcPr>
          <w:p w14:paraId="39D20E36" w14:textId="7E6C7CCE" w:rsidR="000419A4" w:rsidRPr="00B03142" w:rsidRDefault="000419A4" w:rsidP="000419A4">
            <w:pPr>
              <w:jc w:val="center"/>
              <w:rPr>
                <w:rFonts w:ascii="Times New Roman" w:hAnsi="Times New Roman" w:cs="Times New Roman"/>
                <w:sz w:val="20"/>
                <w:szCs w:val="20"/>
              </w:rPr>
            </w:pPr>
            <w:r w:rsidRPr="00B03142">
              <w:rPr>
                <w:rFonts w:ascii="Times New Roman" w:hAnsi="Times New Roman" w:cs="Times New Roman"/>
                <w:color w:val="000000"/>
                <w:sz w:val="20"/>
                <w:szCs w:val="20"/>
              </w:rPr>
              <w:t>0.13</w:t>
            </w:r>
          </w:p>
        </w:tc>
        <w:tc>
          <w:tcPr>
            <w:tcW w:w="0" w:type="auto"/>
            <w:vAlign w:val="center"/>
          </w:tcPr>
          <w:p w14:paraId="4A77EF1B" w14:textId="72BFA7E2" w:rsidR="000419A4" w:rsidRPr="00B03142" w:rsidRDefault="000419A4" w:rsidP="000419A4">
            <w:pPr>
              <w:jc w:val="center"/>
              <w:rPr>
                <w:rFonts w:ascii="Times New Roman" w:hAnsi="Times New Roman" w:cs="Times New Roman"/>
                <w:sz w:val="20"/>
                <w:szCs w:val="20"/>
              </w:rPr>
            </w:pPr>
            <w:r w:rsidRPr="00B03142">
              <w:rPr>
                <w:rFonts w:ascii="Times New Roman" w:hAnsi="Times New Roman" w:cs="Times New Roman"/>
                <w:color w:val="000000"/>
                <w:sz w:val="20"/>
                <w:szCs w:val="20"/>
              </w:rPr>
              <w:t>0.13</w:t>
            </w:r>
          </w:p>
        </w:tc>
        <w:tc>
          <w:tcPr>
            <w:tcW w:w="0" w:type="auto"/>
            <w:vAlign w:val="center"/>
          </w:tcPr>
          <w:p w14:paraId="761CAF34" w14:textId="6A0FC05A" w:rsidR="000419A4" w:rsidRPr="00B03142" w:rsidRDefault="000419A4" w:rsidP="000419A4">
            <w:pPr>
              <w:jc w:val="center"/>
              <w:rPr>
                <w:rFonts w:ascii="Times New Roman" w:hAnsi="Times New Roman" w:cs="Times New Roman"/>
                <w:sz w:val="20"/>
                <w:szCs w:val="20"/>
              </w:rPr>
            </w:pPr>
            <w:r w:rsidRPr="00B03142">
              <w:rPr>
                <w:rFonts w:ascii="Times New Roman" w:hAnsi="Times New Roman" w:cs="Times New Roman"/>
                <w:color w:val="000000"/>
                <w:sz w:val="20"/>
                <w:szCs w:val="20"/>
              </w:rPr>
              <w:t>-0.19</w:t>
            </w:r>
          </w:p>
        </w:tc>
        <w:tc>
          <w:tcPr>
            <w:tcW w:w="0" w:type="auto"/>
            <w:vAlign w:val="center"/>
          </w:tcPr>
          <w:p w14:paraId="457A5A46" w14:textId="4BEA49FE" w:rsidR="000419A4" w:rsidRPr="00B03142" w:rsidRDefault="000419A4" w:rsidP="000419A4">
            <w:pPr>
              <w:jc w:val="center"/>
              <w:rPr>
                <w:rFonts w:ascii="Times New Roman" w:hAnsi="Times New Roman" w:cs="Times New Roman"/>
                <w:sz w:val="20"/>
                <w:szCs w:val="20"/>
              </w:rPr>
            </w:pPr>
            <w:r w:rsidRPr="00B03142">
              <w:rPr>
                <w:rFonts w:ascii="Times New Roman" w:hAnsi="Times New Roman" w:cs="Times New Roman"/>
                <w:color w:val="000000"/>
                <w:sz w:val="20"/>
                <w:szCs w:val="20"/>
              </w:rPr>
              <w:t>-0.1</w:t>
            </w:r>
          </w:p>
        </w:tc>
      </w:tr>
      <w:tr w:rsidR="000419A4" w:rsidRPr="00B03142" w14:paraId="540C5EC9" w14:textId="77777777" w:rsidTr="00411585">
        <w:trPr>
          <w:trHeight w:val="288"/>
          <w:jc w:val="center"/>
        </w:trPr>
        <w:tc>
          <w:tcPr>
            <w:tcW w:w="0" w:type="auto"/>
            <w:vAlign w:val="center"/>
          </w:tcPr>
          <w:p w14:paraId="6E410D4B" w14:textId="77777777" w:rsidR="000419A4" w:rsidRPr="00B03142" w:rsidRDefault="000419A4" w:rsidP="000419A4">
            <w:pPr>
              <w:rPr>
                <w:rFonts w:ascii="Times New Roman" w:hAnsi="Times New Roman" w:cs="Times New Roman"/>
                <w:sz w:val="20"/>
                <w:szCs w:val="20"/>
              </w:rPr>
            </w:pPr>
            <w:r w:rsidRPr="00B03142">
              <w:rPr>
                <w:rFonts w:ascii="Times New Roman" w:eastAsia="Times New Roman" w:hAnsi="Times New Roman" w:cs="Times New Roman"/>
                <w:b/>
                <w:bCs/>
                <w:color w:val="000000"/>
                <w:sz w:val="20"/>
                <w:szCs w:val="20"/>
              </w:rPr>
              <w:t>TİC</w:t>
            </w:r>
          </w:p>
        </w:tc>
        <w:tc>
          <w:tcPr>
            <w:tcW w:w="0" w:type="auto"/>
            <w:vAlign w:val="center"/>
          </w:tcPr>
          <w:p w14:paraId="50A7D7BB" w14:textId="482202E3" w:rsidR="000419A4" w:rsidRPr="00B03142" w:rsidRDefault="000419A4" w:rsidP="000419A4">
            <w:pPr>
              <w:jc w:val="center"/>
              <w:rPr>
                <w:rFonts w:ascii="Times New Roman" w:hAnsi="Times New Roman" w:cs="Times New Roman"/>
                <w:sz w:val="20"/>
                <w:szCs w:val="20"/>
              </w:rPr>
            </w:pPr>
            <w:r w:rsidRPr="00B03142">
              <w:rPr>
                <w:rFonts w:ascii="Times New Roman" w:hAnsi="Times New Roman" w:cs="Times New Roman"/>
                <w:color w:val="000000"/>
                <w:sz w:val="20"/>
                <w:szCs w:val="20"/>
              </w:rPr>
              <w:t>0.07</w:t>
            </w:r>
          </w:p>
        </w:tc>
        <w:tc>
          <w:tcPr>
            <w:tcW w:w="0" w:type="auto"/>
            <w:vAlign w:val="center"/>
          </w:tcPr>
          <w:p w14:paraId="520BF77A" w14:textId="523C765C" w:rsidR="000419A4" w:rsidRPr="00B03142" w:rsidRDefault="000419A4" w:rsidP="000419A4">
            <w:pPr>
              <w:jc w:val="center"/>
              <w:rPr>
                <w:rFonts w:ascii="Times New Roman" w:hAnsi="Times New Roman" w:cs="Times New Roman"/>
                <w:sz w:val="20"/>
                <w:szCs w:val="20"/>
              </w:rPr>
            </w:pPr>
            <w:r w:rsidRPr="00B03142">
              <w:rPr>
                <w:rFonts w:ascii="Times New Roman" w:hAnsi="Times New Roman" w:cs="Times New Roman"/>
                <w:sz w:val="20"/>
                <w:szCs w:val="20"/>
              </w:rPr>
              <w:t>0</w:t>
            </w:r>
          </w:p>
        </w:tc>
        <w:tc>
          <w:tcPr>
            <w:tcW w:w="0" w:type="auto"/>
            <w:vAlign w:val="center"/>
          </w:tcPr>
          <w:p w14:paraId="3021D54B" w14:textId="086456C2" w:rsidR="000419A4" w:rsidRPr="00B03142" w:rsidRDefault="000419A4" w:rsidP="000419A4">
            <w:pPr>
              <w:jc w:val="center"/>
              <w:rPr>
                <w:rFonts w:ascii="Times New Roman" w:hAnsi="Times New Roman" w:cs="Times New Roman"/>
                <w:sz w:val="20"/>
                <w:szCs w:val="20"/>
              </w:rPr>
            </w:pPr>
            <w:r w:rsidRPr="00B03142">
              <w:rPr>
                <w:rFonts w:ascii="Times New Roman" w:hAnsi="Times New Roman" w:cs="Times New Roman"/>
                <w:color w:val="000000"/>
                <w:sz w:val="20"/>
                <w:szCs w:val="20"/>
              </w:rPr>
              <w:t>0.04</w:t>
            </w:r>
          </w:p>
        </w:tc>
        <w:tc>
          <w:tcPr>
            <w:tcW w:w="0" w:type="auto"/>
            <w:vAlign w:val="center"/>
          </w:tcPr>
          <w:p w14:paraId="1D006D26" w14:textId="22FCF920" w:rsidR="000419A4" w:rsidRPr="00B03142" w:rsidRDefault="000419A4" w:rsidP="000419A4">
            <w:pPr>
              <w:jc w:val="center"/>
              <w:rPr>
                <w:rFonts w:ascii="Times New Roman" w:hAnsi="Times New Roman" w:cs="Times New Roman"/>
                <w:sz w:val="20"/>
                <w:szCs w:val="20"/>
              </w:rPr>
            </w:pPr>
            <w:r w:rsidRPr="00B03142">
              <w:rPr>
                <w:rFonts w:ascii="Times New Roman" w:hAnsi="Times New Roman" w:cs="Times New Roman"/>
                <w:color w:val="000000"/>
                <w:sz w:val="20"/>
                <w:szCs w:val="20"/>
              </w:rPr>
              <w:t>-0.06</w:t>
            </w:r>
          </w:p>
        </w:tc>
        <w:tc>
          <w:tcPr>
            <w:tcW w:w="0" w:type="auto"/>
            <w:vAlign w:val="center"/>
          </w:tcPr>
          <w:p w14:paraId="3468088C" w14:textId="3D9889D4" w:rsidR="000419A4" w:rsidRPr="00B03142" w:rsidRDefault="000419A4" w:rsidP="000419A4">
            <w:pPr>
              <w:jc w:val="center"/>
              <w:rPr>
                <w:rFonts w:ascii="Times New Roman" w:hAnsi="Times New Roman" w:cs="Times New Roman"/>
                <w:sz w:val="20"/>
                <w:szCs w:val="20"/>
              </w:rPr>
            </w:pPr>
            <w:r w:rsidRPr="00B03142">
              <w:rPr>
                <w:rFonts w:ascii="Times New Roman" w:hAnsi="Times New Roman" w:cs="Times New Roman"/>
                <w:color w:val="000000"/>
                <w:sz w:val="20"/>
                <w:szCs w:val="20"/>
              </w:rPr>
              <w:t>-0.1</w:t>
            </w:r>
          </w:p>
        </w:tc>
        <w:tc>
          <w:tcPr>
            <w:tcW w:w="0" w:type="auto"/>
            <w:vAlign w:val="center"/>
          </w:tcPr>
          <w:p w14:paraId="161CB01D" w14:textId="79532105" w:rsidR="000419A4" w:rsidRPr="00B03142" w:rsidRDefault="000419A4" w:rsidP="000419A4">
            <w:pPr>
              <w:jc w:val="center"/>
              <w:rPr>
                <w:rFonts w:ascii="Times New Roman" w:hAnsi="Times New Roman" w:cs="Times New Roman"/>
                <w:sz w:val="20"/>
                <w:szCs w:val="20"/>
              </w:rPr>
            </w:pPr>
            <w:r w:rsidRPr="00B03142">
              <w:rPr>
                <w:rFonts w:ascii="Times New Roman" w:hAnsi="Times New Roman" w:cs="Times New Roman"/>
                <w:color w:val="000000"/>
                <w:sz w:val="20"/>
                <w:szCs w:val="20"/>
              </w:rPr>
              <w:t>-0.18</w:t>
            </w:r>
          </w:p>
        </w:tc>
        <w:tc>
          <w:tcPr>
            <w:tcW w:w="0" w:type="auto"/>
            <w:vAlign w:val="center"/>
          </w:tcPr>
          <w:p w14:paraId="659D066D" w14:textId="762571D8" w:rsidR="000419A4" w:rsidRPr="00B03142" w:rsidRDefault="000419A4" w:rsidP="000419A4">
            <w:pPr>
              <w:jc w:val="center"/>
              <w:rPr>
                <w:rFonts w:ascii="Times New Roman" w:hAnsi="Times New Roman" w:cs="Times New Roman"/>
                <w:sz w:val="20"/>
                <w:szCs w:val="20"/>
              </w:rPr>
            </w:pPr>
            <w:r w:rsidRPr="00B03142">
              <w:rPr>
                <w:rFonts w:ascii="Times New Roman" w:hAnsi="Times New Roman" w:cs="Times New Roman"/>
                <w:color w:val="000000"/>
                <w:sz w:val="20"/>
                <w:szCs w:val="20"/>
              </w:rPr>
              <w:t>-0.27</w:t>
            </w:r>
          </w:p>
        </w:tc>
      </w:tr>
    </w:tbl>
    <w:p w14:paraId="799D2107" w14:textId="77777777" w:rsidR="00B96085" w:rsidRPr="00B03142" w:rsidRDefault="00B96085" w:rsidP="00411585">
      <w:pPr>
        <w:ind w:left="720" w:firstLine="720"/>
      </w:pPr>
      <w:r w:rsidRPr="00B03142">
        <w:rPr>
          <w:rFonts w:ascii="Times New Roman" w:hAnsi="Times New Roman" w:cs="Times New Roman"/>
          <w:sz w:val="20"/>
          <w:szCs w:val="20"/>
          <w:shd w:val="clear" w:color="auto" w:fill="FFFFFF"/>
        </w:rPr>
        <w:t>Not: p &lt; ,0001 ‘****’; p &lt; ,001 ‘***’; p &lt; ,01 ‘**’; p &lt; ,05 ‘*’; p &lt;0,10 ‘</w:t>
      </w:r>
      <w:r w:rsidRPr="00B03142">
        <w:rPr>
          <w:rFonts w:ascii="Dreaming Outloud Pro" w:eastAsia="Times New Roman" w:hAnsi="Dreaming Outloud Pro" w:cs="Dreaming Outloud Pro"/>
          <w:color w:val="000000"/>
          <w:szCs w:val="24"/>
          <w:vertAlign w:val="superscript"/>
        </w:rPr>
        <w:t>‡</w:t>
      </w:r>
      <w:r w:rsidRPr="00B03142">
        <w:rPr>
          <w:rFonts w:ascii="Times New Roman" w:hAnsi="Times New Roman" w:cs="Times New Roman"/>
          <w:sz w:val="20"/>
          <w:szCs w:val="20"/>
          <w:shd w:val="clear" w:color="auto" w:fill="FFFFFF"/>
        </w:rPr>
        <w:t>’</w:t>
      </w:r>
    </w:p>
    <w:p w14:paraId="3F3562BC" w14:textId="77777777" w:rsidR="00B96085" w:rsidRPr="00B03142" w:rsidRDefault="00B96085" w:rsidP="00B96085"/>
    <w:sectPr w:rsidR="00B96085" w:rsidRPr="00B03142" w:rsidSect="00BF78E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ED340" w14:textId="77777777" w:rsidR="0066441B" w:rsidRDefault="0066441B" w:rsidP="00593E20">
      <w:pPr>
        <w:spacing w:after="0" w:line="240" w:lineRule="auto"/>
      </w:pPr>
      <w:r>
        <w:separator/>
      </w:r>
    </w:p>
  </w:endnote>
  <w:endnote w:type="continuationSeparator" w:id="0">
    <w:p w14:paraId="741B47B8" w14:textId="77777777" w:rsidR="0066441B" w:rsidRDefault="0066441B" w:rsidP="00593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2AFF" w:usb1="4000ACFF"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A0002AEF" w:usb1="4000207B" w:usb2="00000000" w:usb3="00000000" w:csb0="000001FF" w:csb1="00000000"/>
  </w:font>
  <w:font w:name="Segoe UI">
    <w:panose1 w:val="020B0502040204020203"/>
    <w:charset w:val="A2"/>
    <w:family w:val="swiss"/>
    <w:pitch w:val="variable"/>
    <w:sig w:usb0="E4002EFF" w:usb1="C000E47F" w:usb2="00000009" w:usb3="00000000" w:csb0="000001FF" w:csb1="00000000"/>
  </w:font>
  <w:font w:name="Cambria Math">
    <w:panose1 w:val="02040503050406030204"/>
    <w:charset w:val="A2"/>
    <w:family w:val="roman"/>
    <w:pitch w:val="variable"/>
    <w:sig w:usb0="E00002FF" w:usb1="420024FF" w:usb2="00000000" w:usb3="00000000" w:csb0="0000019F" w:csb1="00000000"/>
  </w:font>
  <w:font w:name="Calibri-Light">
    <w:altName w:val="Calibri"/>
    <w:panose1 w:val="00000000000000000000"/>
    <w:charset w:val="00"/>
    <w:family w:val="auto"/>
    <w:notTrueType/>
    <w:pitch w:val="default"/>
    <w:sig w:usb0="00000003" w:usb1="00000000" w:usb2="00000000" w:usb3="00000000" w:csb0="00000001" w:csb1="00000000"/>
  </w:font>
  <w:font w:name="Dreaming Outloud Pro">
    <w:altName w:val="Ink Free"/>
    <w:charset w:val="00"/>
    <w:family w:val="script"/>
    <w:pitch w:val="variable"/>
    <w:sig w:usb0="800000EF" w:usb1="0000000A" w:usb2="00000008"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E06BA" w14:textId="77777777" w:rsidR="004F7BBE" w:rsidRDefault="004F7BB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000624"/>
      <w:docPartObj>
        <w:docPartGallery w:val="Page Numbers (Bottom of Page)"/>
        <w:docPartUnique/>
      </w:docPartObj>
    </w:sdtPr>
    <w:sdtEndPr>
      <w:rPr>
        <w:noProof/>
      </w:rPr>
    </w:sdtEndPr>
    <w:sdtContent>
      <w:p w14:paraId="079D51DA" w14:textId="42E318FA" w:rsidR="004F7BBE" w:rsidRDefault="004F7BBE">
        <w:pPr>
          <w:pStyle w:val="Footer"/>
          <w:jc w:val="center"/>
        </w:pPr>
        <w:r>
          <w:fldChar w:fldCharType="begin"/>
        </w:r>
        <w:r>
          <w:instrText xml:space="preserve"> PAGE   \* MERGEFORMAT </w:instrText>
        </w:r>
        <w:r>
          <w:fldChar w:fldCharType="separate"/>
        </w:r>
        <w:r w:rsidR="0018211A">
          <w:rPr>
            <w:noProof/>
          </w:rPr>
          <w:t>28</w:t>
        </w:r>
        <w:r>
          <w:rPr>
            <w:noProof/>
          </w:rPr>
          <w:fldChar w:fldCharType="end"/>
        </w:r>
      </w:p>
    </w:sdtContent>
  </w:sdt>
  <w:p w14:paraId="24DCE29D" w14:textId="77777777" w:rsidR="0057441E" w:rsidRPr="006A0E9E" w:rsidRDefault="0057441E">
    <w:pPr>
      <w:pStyle w:val="Foote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B8C15" w14:textId="77777777" w:rsidR="004F7BBE" w:rsidRDefault="004F7BB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83339" w14:textId="77777777" w:rsidR="0066441B" w:rsidRDefault="0066441B" w:rsidP="00593E20">
      <w:pPr>
        <w:spacing w:after="0" w:line="240" w:lineRule="auto"/>
      </w:pPr>
      <w:r>
        <w:separator/>
      </w:r>
    </w:p>
  </w:footnote>
  <w:footnote w:type="continuationSeparator" w:id="0">
    <w:p w14:paraId="0B702B7A" w14:textId="77777777" w:rsidR="0066441B" w:rsidRDefault="0066441B" w:rsidP="00593E20">
      <w:pPr>
        <w:spacing w:after="0" w:line="240" w:lineRule="auto"/>
      </w:pPr>
      <w:r>
        <w:continuationSeparator/>
      </w:r>
    </w:p>
  </w:footnote>
  <w:footnote w:id="1">
    <w:p w14:paraId="69D562B4" w14:textId="2D9591E1" w:rsidR="0057441E" w:rsidRPr="005C7637" w:rsidRDefault="0057441E">
      <w:pPr>
        <w:pStyle w:val="FootnoteText"/>
        <w:rPr>
          <w:rFonts w:ascii="Times New Roman" w:hAnsi="Times New Roman" w:cs="Times New Roman"/>
          <w:sz w:val="18"/>
          <w:szCs w:val="18"/>
          <w:lang w:val="en-US"/>
        </w:rPr>
      </w:pPr>
      <w:r w:rsidRPr="000C4D84">
        <w:rPr>
          <w:rFonts w:ascii="Times New Roman" w:hAnsi="Times New Roman" w:cs="Times New Roman"/>
          <w:sz w:val="18"/>
          <w:szCs w:val="18"/>
          <w:vertAlign w:val="superscript"/>
          <w:lang w:val="en-US"/>
        </w:rPr>
        <w:t>*</w:t>
      </w:r>
      <w:r>
        <w:rPr>
          <w:rFonts w:ascii="Times New Roman" w:hAnsi="Times New Roman" w:cs="Times New Roman"/>
          <w:sz w:val="18"/>
          <w:szCs w:val="18"/>
          <w:lang w:val="en-US"/>
        </w:rPr>
        <w:t xml:space="preserve"> </w:t>
      </w:r>
      <w:r w:rsidRPr="005C7637">
        <w:rPr>
          <w:rFonts w:ascii="Times New Roman" w:hAnsi="Times New Roman" w:cs="Times New Roman"/>
          <w:sz w:val="18"/>
          <w:szCs w:val="18"/>
          <w:lang w:val="en-US"/>
        </w:rPr>
        <w:t xml:space="preserve">Çalışmayla ilgili </w:t>
      </w:r>
      <w:r>
        <w:rPr>
          <w:rFonts w:ascii="Times New Roman" w:hAnsi="Times New Roman" w:cs="Times New Roman"/>
          <w:sz w:val="18"/>
          <w:szCs w:val="18"/>
          <w:lang w:val="en-US"/>
        </w:rPr>
        <w:t xml:space="preserve">paylaştığı </w:t>
      </w:r>
      <w:r w:rsidRPr="005C7637">
        <w:rPr>
          <w:rFonts w:ascii="Times New Roman" w:hAnsi="Times New Roman" w:cs="Times New Roman"/>
          <w:sz w:val="18"/>
          <w:szCs w:val="18"/>
          <w:lang w:val="en-US"/>
        </w:rPr>
        <w:t xml:space="preserve">detaylı </w:t>
      </w:r>
      <w:r>
        <w:rPr>
          <w:rFonts w:ascii="Times New Roman" w:hAnsi="Times New Roman" w:cs="Times New Roman"/>
          <w:sz w:val="18"/>
          <w:szCs w:val="18"/>
          <w:lang w:val="en-US"/>
        </w:rPr>
        <w:t>yorumları ve önerileri</w:t>
      </w:r>
      <w:r w:rsidRPr="005C7637">
        <w:rPr>
          <w:rFonts w:ascii="Times New Roman" w:hAnsi="Times New Roman" w:cs="Times New Roman"/>
          <w:sz w:val="18"/>
          <w:szCs w:val="18"/>
          <w:lang w:val="en-US"/>
        </w:rPr>
        <w:t xml:space="preserve"> için </w:t>
      </w:r>
      <w:r>
        <w:rPr>
          <w:rFonts w:ascii="Times New Roman" w:hAnsi="Times New Roman" w:cs="Times New Roman"/>
          <w:sz w:val="18"/>
          <w:szCs w:val="18"/>
          <w:lang w:val="en-US"/>
        </w:rPr>
        <w:t xml:space="preserve">değerli hocalarım </w:t>
      </w:r>
      <w:r w:rsidRPr="005C7637">
        <w:rPr>
          <w:rFonts w:ascii="Times New Roman" w:hAnsi="Times New Roman" w:cs="Times New Roman"/>
          <w:sz w:val="18"/>
          <w:szCs w:val="18"/>
          <w:lang w:val="en-US"/>
        </w:rPr>
        <w:t>Ayça Akarçay’a</w:t>
      </w:r>
      <w:r>
        <w:rPr>
          <w:rFonts w:ascii="Times New Roman" w:hAnsi="Times New Roman" w:cs="Times New Roman"/>
          <w:sz w:val="18"/>
          <w:szCs w:val="18"/>
          <w:lang w:val="en-US"/>
        </w:rPr>
        <w:t xml:space="preserve"> ve Seyfettin Gürsel’e</w:t>
      </w:r>
      <w:r w:rsidRPr="005C7637">
        <w:rPr>
          <w:rFonts w:ascii="Times New Roman" w:hAnsi="Times New Roman" w:cs="Times New Roman"/>
          <w:sz w:val="18"/>
          <w:szCs w:val="18"/>
          <w:lang w:val="en-US"/>
        </w:rPr>
        <w:t xml:space="preserve"> teşekkür ederim.</w:t>
      </w:r>
    </w:p>
  </w:footnote>
  <w:footnote w:id="2">
    <w:p w14:paraId="5EDA549F" w14:textId="719F3E15" w:rsidR="0057441E" w:rsidRDefault="0057441E">
      <w:pPr>
        <w:pStyle w:val="FootnoteText"/>
        <w:rPr>
          <w:rFonts w:ascii="Times New Roman" w:hAnsi="Times New Roman" w:cs="Times New Roman"/>
          <w:sz w:val="18"/>
          <w:szCs w:val="18"/>
        </w:rPr>
      </w:pPr>
      <w:r>
        <w:rPr>
          <w:rStyle w:val="FootnoteReference"/>
        </w:rPr>
        <w:t>**</w:t>
      </w:r>
      <w:r w:rsidRPr="00CE506A">
        <w:rPr>
          <w:rFonts w:ascii="Times New Roman" w:hAnsi="Times New Roman" w:cs="Times New Roman"/>
          <w:sz w:val="18"/>
          <w:szCs w:val="18"/>
        </w:rPr>
        <w:t xml:space="preserve"> Bahçeşehir Üniversitesi</w:t>
      </w:r>
      <w:r>
        <w:rPr>
          <w:rFonts w:ascii="Times New Roman" w:hAnsi="Times New Roman" w:cs="Times New Roman"/>
          <w:sz w:val="18"/>
          <w:szCs w:val="18"/>
        </w:rPr>
        <w:t xml:space="preserve"> </w:t>
      </w:r>
      <w:r w:rsidRPr="00CE506A">
        <w:rPr>
          <w:rFonts w:ascii="Times New Roman" w:hAnsi="Times New Roman" w:cs="Times New Roman"/>
          <w:sz w:val="18"/>
          <w:szCs w:val="18"/>
        </w:rPr>
        <w:t xml:space="preserve">Ekonomi Bölümü öğretim üyesi, </w:t>
      </w:r>
      <w:hyperlink r:id="rId1" w:history="1">
        <w:r w:rsidRPr="00824169">
          <w:rPr>
            <w:rStyle w:val="Hyperlink"/>
            <w:rFonts w:ascii="Times New Roman" w:hAnsi="Times New Roman" w:cs="Times New Roman"/>
            <w:sz w:val="18"/>
            <w:szCs w:val="18"/>
          </w:rPr>
          <w:t>eminezeren.taspinar@bau.edu.tr</w:t>
        </w:r>
      </w:hyperlink>
      <w:r>
        <w:rPr>
          <w:rFonts w:ascii="Times New Roman" w:hAnsi="Times New Roman" w:cs="Times New Roman"/>
          <w:sz w:val="18"/>
          <w:szCs w:val="18"/>
        </w:rPr>
        <w:t xml:space="preserve"> </w:t>
      </w:r>
    </w:p>
    <w:p w14:paraId="34F3B114" w14:textId="77777777" w:rsidR="0057441E" w:rsidRPr="00CE506A" w:rsidRDefault="0057441E">
      <w:pPr>
        <w:pStyle w:val="FootnoteText"/>
        <w:rPr>
          <w:rFonts w:ascii="Times New Roman" w:hAnsi="Times New Roman" w:cs="Times New Roman"/>
          <w:sz w:val="18"/>
          <w:szCs w:val="18"/>
        </w:rPr>
      </w:pPr>
    </w:p>
  </w:footnote>
  <w:footnote w:id="3">
    <w:p w14:paraId="50900089" w14:textId="7B62AEE6" w:rsidR="0057441E" w:rsidRPr="006D0CD2" w:rsidRDefault="0057441E">
      <w:pPr>
        <w:pStyle w:val="FootnoteText"/>
        <w:rPr>
          <w:rFonts w:ascii="Times New Roman" w:hAnsi="Times New Roman" w:cs="Times New Roman"/>
        </w:rPr>
      </w:pPr>
      <w:r w:rsidRPr="006D0CD2">
        <w:rPr>
          <w:rStyle w:val="FootnoteReference"/>
          <w:rFonts w:ascii="Times New Roman" w:hAnsi="Times New Roman" w:cs="Times New Roman"/>
          <w:sz w:val="18"/>
          <w:szCs w:val="18"/>
        </w:rPr>
        <w:footnoteRef/>
      </w:r>
      <w:r w:rsidRPr="006D0CD2">
        <w:rPr>
          <w:rFonts w:ascii="Times New Roman" w:hAnsi="Times New Roman" w:cs="Times New Roman"/>
          <w:sz w:val="18"/>
          <w:szCs w:val="18"/>
        </w:rPr>
        <w:t xml:space="preserve"> İlgili yazın taraması için b</w:t>
      </w:r>
      <w:r>
        <w:rPr>
          <w:rFonts w:ascii="Times New Roman" w:hAnsi="Times New Roman" w:cs="Times New Roman"/>
          <w:sz w:val="18"/>
          <w:szCs w:val="18"/>
        </w:rPr>
        <w:t>akınız Müller (2022</w:t>
      </w:r>
      <w:r w:rsidRPr="006D0CD2">
        <w:rPr>
          <w:rFonts w:ascii="Times New Roman" w:hAnsi="Times New Roman" w:cs="Times New Roman"/>
          <w:sz w:val="18"/>
          <w:szCs w:val="18"/>
        </w:rPr>
        <w:t>).</w:t>
      </w:r>
    </w:p>
  </w:footnote>
  <w:footnote w:id="4">
    <w:p w14:paraId="58628900" w14:textId="43869ADF" w:rsidR="0057441E" w:rsidRPr="006D0CD2" w:rsidRDefault="0057441E">
      <w:pPr>
        <w:pStyle w:val="FootnoteText"/>
        <w:rPr>
          <w:rFonts w:ascii="Times New Roman" w:hAnsi="Times New Roman" w:cs="Times New Roman"/>
          <w:sz w:val="18"/>
          <w:szCs w:val="18"/>
        </w:rPr>
      </w:pPr>
      <w:r w:rsidRPr="006D0CD2">
        <w:rPr>
          <w:rStyle w:val="FootnoteReference"/>
          <w:rFonts w:ascii="Times New Roman" w:hAnsi="Times New Roman" w:cs="Times New Roman"/>
          <w:sz w:val="18"/>
          <w:szCs w:val="18"/>
        </w:rPr>
        <w:footnoteRef/>
      </w:r>
      <w:r w:rsidRPr="006D0CD2">
        <w:rPr>
          <w:rFonts w:ascii="Times New Roman" w:hAnsi="Times New Roman" w:cs="Times New Roman"/>
          <w:sz w:val="18"/>
          <w:szCs w:val="18"/>
        </w:rPr>
        <w:t xml:space="preserve"> </w:t>
      </w:r>
      <w:hyperlink r:id="rId2" w:history="1">
        <w:r w:rsidRPr="006D0CD2">
          <w:rPr>
            <w:rStyle w:val="Hyperlink"/>
            <w:rFonts w:ascii="Times New Roman" w:hAnsi="Times New Roman" w:cs="Times New Roman"/>
            <w:sz w:val="18"/>
            <w:szCs w:val="18"/>
          </w:rPr>
          <w:t>https://www.tcmb.gov.tr/wps/wcm/connect/TR/TCMB+TR/Main+Menu/Yayinlar/Raporlar/Finansal+Istikrar+Raporu</w:t>
        </w:r>
      </w:hyperlink>
      <w:r w:rsidRPr="006D0CD2">
        <w:rPr>
          <w:rFonts w:ascii="Times New Roman" w:hAnsi="Times New Roman" w:cs="Times New Roman"/>
          <w:sz w:val="18"/>
          <w:szCs w:val="18"/>
        </w:rPr>
        <w:t xml:space="preserve"> </w:t>
      </w:r>
    </w:p>
  </w:footnote>
  <w:footnote w:id="5">
    <w:p w14:paraId="612577C3" w14:textId="489CEBB6" w:rsidR="0057441E" w:rsidRPr="006D0CD2" w:rsidRDefault="0057441E" w:rsidP="00C817D8">
      <w:pPr>
        <w:pStyle w:val="FootnoteText"/>
        <w:jc w:val="both"/>
        <w:rPr>
          <w:rFonts w:ascii="Times New Roman" w:hAnsi="Times New Roman" w:cs="Times New Roman"/>
        </w:rPr>
      </w:pPr>
      <w:r w:rsidRPr="006D0CD2">
        <w:rPr>
          <w:rStyle w:val="FootnoteReference"/>
          <w:rFonts w:ascii="Times New Roman" w:hAnsi="Times New Roman" w:cs="Times New Roman"/>
          <w:sz w:val="18"/>
          <w:szCs w:val="18"/>
        </w:rPr>
        <w:footnoteRef/>
      </w:r>
      <w:r w:rsidRPr="006D0CD2">
        <w:rPr>
          <w:rFonts w:ascii="Times New Roman" w:hAnsi="Times New Roman" w:cs="Times New Roman"/>
          <w:sz w:val="18"/>
          <w:szCs w:val="18"/>
        </w:rPr>
        <w:t xml:space="preserve"> Sektör isimleri kısaltmaları için Bakış, Acar (2020) çalışmasındaki kısaltmalar kullanılmıştır.</w:t>
      </w:r>
    </w:p>
  </w:footnote>
  <w:footnote w:id="6">
    <w:p w14:paraId="77D233F7" w14:textId="375F4D1C" w:rsidR="0057441E" w:rsidRPr="006D0CD2" w:rsidRDefault="0057441E" w:rsidP="00C44ADF">
      <w:pPr>
        <w:pStyle w:val="FootnoteText"/>
        <w:jc w:val="both"/>
        <w:rPr>
          <w:rFonts w:ascii="Times New Roman" w:hAnsi="Times New Roman" w:cs="Times New Roman"/>
        </w:rPr>
      </w:pPr>
      <w:r w:rsidRPr="006D0CD2">
        <w:rPr>
          <w:rStyle w:val="FootnoteReference"/>
          <w:rFonts w:ascii="Times New Roman" w:hAnsi="Times New Roman" w:cs="Times New Roman"/>
          <w:sz w:val="18"/>
          <w:szCs w:val="18"/>
        </w:rPr>
        <w:footnoteRef/>
      </w:r>
      <w:r w:rsidRPr="006D0CD2">
        <w:rPr>
          <w:rFonts w:ascii="Times New Roman" w:hAnsi="Times New Roman" w:cs="Times New Roman"/>
          <w:sz w:val="18"/>
          <w:szCs w:val="18"/>
        </w:rPr>
        <w:t xml:space="preserve"> </w:t>
      </w:r>
      <w:r w:rsidRPr="006D0CD2">
        <w:rPr>
          <w:rFonts w:ascii="Times New Roman" w:hAnsi="Times New Roman" w:cs="Times New Roman"/>
          <w:i/>
          <w:iCs/>
          <w:sz w:val="18"/>
          <w:szCs w:val="18"/>
        </w:rPr>
        <w:t>Tüm finansal kurumlar:</w:t>
      </w:r>
      <w:r w:rsidRPr="006D0CD2">
        <w:rPr>
          <w:rFonts w:ascii="Times New Roman" w:hAnsi="Times New Roman" w:cs="Times New Roman"/>
          <w:sz w:val="18"/>
          <w:szCs w:val="18"/>
        </w:rPr>
        <w:t xml:space="preserve"> yerli bankalar, yerli banka dışı finansal kurumlar, finansal olmayan kurumlar ve yerleşik olmayanlar. </w:t>
      </w:r>
      <w:r w:rsidRPr="006D0CD2">
        <w:rPr>
          <w:rFonts w:ascii="Times New Roman" w:hAnsi="Times New Roman" w:cs="Times New Roman"/>
          <w:i/>
          <w:iCs/>
          <w:sz w:val="18"/>
          <w:szCs w:val="18"/>
        </w:rPr>
        <w:t>Finansal olmayan özel sektör:</w:t>
      </w:r>
      <w:r w:rsidRPr="006D0CD2">
        <w:rPr>
          <w:rFonts w:ascii="Times New Roman" w:hAnsi="Times New Roman" w:cs="Times New Roman"/>
          <w:sz w:val="18"/>
          <w:szCs w:val="18"/>
        </w:rPr>
        <w:t xml:space="preserve"> </w:t>
      </w:r>
      <w:r>
        <w:rPr>
          <w:rFonts w:ascii="Times New Roman" w:hAnsi="Times New Roman" w:cs="Times New Roman"/>
          <w:sz w:val="18"/>
          <w:szCs w:val="18"/>
        </w:rPr>
        <w:t>f</w:t>
      </w:r>
      <w:r w:rsidRPr="006D0CD2">
        <w:rPr>
          <w:rFonts w:ascii="Times New Roman" w:hAnsi="Times New Roman" w:cs="Times New Roman"/>
          <w:sz w:val="18"/>
          <w:szCs w:val="18"/>
        </w:rPr>
        <w:t xml:space="preserve">inansal olmayan firmalar ve hanehalkları. </w:t>
      </w:r>
      <w:r w:rsidRPr="006D0CD2">
        <w:rPr>
          <w:rFonts w:ascii="Times New Roman" w:hAnsi="Times New Roman" w:cs="Times New Roman"/>
          <w:i/>
          <w:iCs/>
          <w:sz w:val="18"/>
          <w:szCs w:val="18"/>
        </w:rPr>
        <w:t>Finansal olmayan firmalar:</w:t>
      </w:r>
      <w:r w:rsidRPr="006D0CD2">
        <w:rPr>
          <w:rFonts w:ascii="Times New Roman" w:hAnsi="Times New Roman" w:cs="Times New Roman"/>
          <w:sz w:val="18"/>
          <w:szCs w:val="18"/>
        </w:rPr>
        <w:t xml:space="preserve"> finansal olmayan özel ve kamu işletmeleri. </w:t>
      </w:r>
      <w:r w:rsidRPr="006D0CD2">
        <w:rPr>
          <w:rFonts w:ascii="Times New Roman" w:hAnsi="Times New Roman" w:cs="Times New Roman"/>
          <w:i/>
          <w:iCs/>
          <w:sz w:val="18"/>
          <w:szCs w:val="18"/>
        </w:rPr>
        <w:t>Hanehalkları:</w:t>
      </w:r>
      <w:r w:rsidRPr="006D0CD2">
        <w:rPr>
          <w:rFonts w:ascii="Times New Roman" w:hAnsi="Times New Roman" w:cs="Times New Roman"/>
          <w:sz w:val="18"/>
          <w:szCs w:val="18"/>
        </w:rPr>
        <w:t xml:space="preserve"> </w:t>
      </w:r>
      <w:r>
        <w:rPr>
          <w:rFonts w:ascii="Times New Roman" w:hAnsi="Times New Roman" w:cs="Times New Roman"/>
          <w:sz w:val="18"/>
          <w:szCs w:val="18"/>
        </w:rPr>
        <w:t>h</w:t>
      </w:r>
      <w:r w:rsidRPr="006D0CD2">
        <w:rPr>
          <w:rFonts w:ascii="Times New Roman" w:hAnsi="Times New Roman" w:cs="Times New Roman"/>
          <w:sz w:val="18"/>
          <w:szCs w:val="18"/>
        </w:rPr>
        <w:t xml:space="preserve">anehalkları ve onlara hizmet sağlayan, kar amacı gütmeyen kurumlar. </w:t>
      </w:r>
      <w:r w:rsidRPr="006D0CD2">
        <w:rPr>
          <w:rFonts w:ascii="Times New Roman" w:hAnsi="Times New Roman" w:cs="Times New Roman"/>
          <w:i/>
          <w:iCs/>
          <w:sz w:val="18"/>
          <w:szCs w:val="18"/>
        </w:rPr>
        <w:t>Krediler:</w:t>
      </w:r>
      <w:r w:rsidRPr="006D0CD2">
        <w:rPr>
          <w:rFonts w:ascii="Times New Roman" w:hAnsi="Times New Roman" w:cs="Times New Roman"/>
          <w:sz w:val="18"/>
          <w:szCs w:val="18"/>
        </w:rPr>
        <w:t xml:space="preserve"> </w:t>
      </w:r>
      <w:r>
        <w:rPr>
          <w:rFonts w:ascii="Times New Roman" w:hAnsi="Times New Roman" w:cs="Times New Roman"/>
          <w:sz w:val="18"/>
          <w:szCs w:val="18"/>
        </w:rPr>
        <w:t>k</w:t>
      </w:r>
      <w:r w:rsidRPr="006D0CD2">
        <w:rPr>
          <w:rFonts w:ascii="Times New Roman" w:hAnsi="Times New Roman" w:cs="Times New Roman"/>
          <w:sz w:val="18"/>
          <w:szCs w:val="18"/>
        </w:rPr>
        <w:t>rediler ve borç senetleri. (BIS, 2022)</w:t>
      </w:r>
    </w:p>
  </w:footnote>
  <w:footnote w:id="7">
    <w:p w14:paraId="3378782B" w14:textId="1CA5A269" w:rsidR="0057441E" w:rsidRPr="006D0CD2" w:rsidRDefault="0057441E" w:rsidP="008646E7">
      <w:pPr>
        <w:pStyle w:val="FootnoteText"/>
        <w:jc w:val="both"/>
        <w:rPr>
          <w:rFonts w:ascii="Times New Roman" w:hAnsi="Times New Roman" w:cs="Times New Roman"/>
          <w:sz w:val="18"/>
          <w:szCs w:val="18"/>
        </w:rPr>
      </w:pPr>
      <w:r w:rsidRPr="006D0CD2">
        <w:rPr>
          <w:rStyle w:val="FootnoteReference"/>
          <w:rFonts w:ascii="Times New Roman" w:hAnsi="Times New Roman" w:cs="Times New Roman"/>
          <w:sz w:val="18"/>
          <w:szCs w:val="18"/>
        </w:rPr>
        <w:footnoteRef/>
      </w:r>
      <w:r w:rsidRPr="006D0CD2">
        <w:rPr>
          <w:rFonts w:ascii="Times New Roman" w:hAnsi="Times New Roman" w:cs="Times New Roman"/>
          <w:sz w:val="18"/>
          <w:szCs w:val="18"/>
        </w:rPr>
        <w:t xml:space="preserve"> İlgili seri Ocak 1999 – Mayıs 2013 arasında TCMB tarafından oluşturulup yayınlanmıştır, Haziran 2013 itibariyle serinin takibi ve yayınlanması TBB Risk Merkezi’ne devredilmiştir. Bu çalışmada iki kaynaktan alınan seri birleştirilerek kullanılmıştır. </w:t>
      </w:r>
      <w:r>
        <w:rPr>
          <w:rFonts w:ascii="Times New Roman" w:hAnsi="Times New Roman" w:cs="Times New Roman"/>
          <w:sz w:val="18"/>
          <w:szCs w:val="18"/>
        </w:rPr>
        <w:t>Bu devir sonrasında verinin kapsamında yapılan tek değişikliğin aracılık edilen kredilerin hesaba katılmaması olduğu TBB kurum yetkililerinden öğrenilmiştir.</w:t>
      </w:r>
    </w:p>
  </w:footnote>
  <w:footnote w:id="8">
    <w:p w14:paraId="6D51D5D4" w14:textId="099FC532" w:rsidR="0057441E" w:rsidRDefault="0057441E" w:rsidP="008646E7">
      <w:pPr>
        <w:pStyle w:val="FootnoteText"/>
        <w:jc w:val="both"/>
      </w:pPr>
      <w:r w:rsidRPr="006D0CD2">
        <w:rPr>
          <w:rStyle w:val="FootnoteReference"/>
          <w:rFonts w:ascii="Times New Roman" w:hAnsi="Times New Roman" w:cs="Times New Roman"/>
          <w:sz w:val="18"/>
          <w:szCs w:val="18"/>
        </w:rPr>
        <w:footnoteRef/>
      </w:r>
      <w:r w:rsidRPr="006D0CD2">
        <w:rPr>
          <w:rFonts w:ascii="Times New Roman" w:hAnsi="Times New Roman" w:cs="Times New Roman"/>
          <w:sz w:val="18"/>
          <w:szCs w:val="18"/>
        </w:rPr>
        <w:t xml:space="preserve"> Bu veri setinde hanehalkı kredi verisi 2003 yılı itibariyle mevcuttur.</w:t>
      </w:r>
    </w:p>
  </w:footnote>
  <w:footnote w:id="9">
    <w:p w14:paraId="77DD993C" w14:textId="3D5860DF" w:rsidR="0057441E" w:rsidRPr="006D0CD2" w:rsidRDefault="0057441E" w:rsidP="008646E7">
      <w:pPr>
        <w:pStyle w:val="FootnoteText"/>
        <w:jc w:val="both"/>
        <w:rPr>
          <w:rFonts w:ascii="Times New Roman" w:hAnsi="Times New Roman" w:cs="Times New Roman"/>
          <w:sz w:val="18"/>
          <w:szCs w:val="18"/>
        </w:rPr>
      </w:pPr>
      <w:r w:rsidRPr="006D0CD2">
        <w:rPr>
          <w:rStyle w:val="FootnoteReference"/>
          <w:rFonts w:ascii="Times New Roman" w:hAnsi="Times New Roman" w:cs="Times New Roman"/>
          <w:sz w:val="18"/>
          <w:szCs w:val="18"/>
        </w:rPr>
        <w:footnoteRef/>
      </w:r>
      <w:r w:rsidRPr="006D0CD2">
        <w:rPr>
          <w:rFonts w:ascii="Times New Roman" w:hAnsi="Times New Roman" w:cs="Times New Roman"/>
          <w:sz w:val="18"/>
          <w:szCs w:val="18"/>
        </w:rPr>
        <w:t xml:space="preserve"> İlgili veri setinde finans sektörü finansal aracılık hizmetlerini kapsamaktadır. Finansal aracılık hizme</w:t>
      </w:r>
      <w:r>
        <w:rPr>
          <w:rFonts w:ascii="Times New Roman" w:hAnsi="Times New Roman" w:cs="Times New Roman"/>
          <w:sz w:val="18"/>
          <w:szCs w:val="18"/>
        </w:rPr>
        <w:t>t</w:t>
      </w:r>
      <w:r w:rsidRPr="006D0CD2">
        <w:rPr>
          <w:rFonts w:ascii="Times New Roman" w:hAnsi="Times New Roman" w:cs="Times New Roman"/>
          <w:sz w:val="18"/>
          <w:szCs w:val="18"/>
        </w:rPr>
        <w:t>leri ise leasing, faktoring, finansman şirketleri vd. ile aracı kurumlar, GYO, RSYO, sig</w:t>
      </w:r>
      <w:r>
        <w:rPr>
          <w:rFonts w:ascii="Times New Roman" w:hAnsi="Times New Roman" w:cs="Times New Roman"/>
          <w:sz w:val="18"/>
          <w:szCs w:val="18"/>
        </w:rPr>
        <w:t xml:space="preserve">orta </w:t>
      </w:r>
      <w:r w:rsidRPr="006D0CD2">
        <w:rPr>
          <w:rFonts w:ascii="Times New Roman" w:hAnsi="Times New Roman" w:cs="Times New Roman"/>
          <w:sz w:val="18"/>
          <w:szCs w:val="18"/>
        </w:rPr>
        <w:t>ve emeklilik kuruluşları vd. kapsamaktadır.</w:t>
      </w:r>
    </w:p>
  </w:footnote>
  <w:footnote w:id="10">
    <w:p w14:paraId="48FE0249" w14:textId="261A2AD9" w:rsidR="0057441E" w:rsidRPr="008720FE" w:rsidRDefault="0057441E" w:rsidP="008720FE">
      <w:pPr>
        <w:pStyle w:val="FootnoteText"/>
        <w:jc w:val="both"/>
        <w:rPr>
          <w:rFonts w:ascii="Times New Roman" w:hAnsi="Times New Roman" w:cs="Times New Roman"/>
          <w:sz w:val="18"/>
          <w:szCs w:val="18"/>
        </w:rPr>
      </w:pPr>
      <w:r w:rsidRPr="008720FE">
        <w:rPr>
          <w:rStyle w:val="FootnoteReference"/>
          <w:rFonts w:ascii="Times New Roman" w:hAnsi="Times New Roman" w:cs="Times New Roman"/>
          <w:sz w:val="18"/>
          <w:szCs w:val="18"/>
        </w:rPr>
        <w:footnoteRef/>
      </w:r>
      <w:r w:rsidRPr="008720FE">
        <w:rPr>
          <w:rFonts w:ascii="Times New Roman" w:hAnsi="Times New Roman" w:cs="Times New Roman"/>
          <w:sz w:val="18"/>
          <w:szCs w:val="18"/>
        </w:rPr>
        <w:t xml:space="preserve"> Kredileri milli gelir deflatörüne (cari milli gelir serisi/zincirlenmiş hacim endeksi) bölerek elde ettiğimiz reel kredilerin gelişimine baktığımızda da benzer bir eğilim görmekteyiz. </w:t>
      </w:r>
      <w:r w:rsidRPr="008720FE">
        <w:rPr>
          <w:rFonts w:ascii="Times New Roman" w:hAnsi="Times New Roman" w:cs="Times New Roman"/>
          <w:bCs/>
          <w:sz w:val="18"/>
          <w:szCs w:val="18"/>
        </w:rPr>
        <w:t xml:space="preserve">1999-2003 yılları arasında bankalarca firmalara sağlanan krediler reel olarak yüzde 18 azalmıştır. 2004 yılı itibariyle artmaya başlayan reel krediler 2021 sonu itibariyle 2003 seviyesine göre 11 kat artmıştır. </w:t>
      </w:r>
    </w:p>
  </w:footnote>
  <w:footnote w:id="11">
    <w:p w14:paraId="6F027560" w14:textId="4B44DB8E" w:rsidR="0057441E" w:rsidRPr="007904C7" w:rsidRDefault="0057441E" w:rsidP="00AA35B1">
      <w:pPr>
        <w:pStyle w:val="FootnoteText"/>
        <w:jc w:val="both"/>
        <w:rPr>
          <w:rFonts w:ascii="Times New Roman" w:hAnsi="Times New Roman" w:cs="Times New Roman"/>
          <w:sz w:val="18"/>
          <w:szCs w:val="18"/>
        </w:rPr>
      </w:pPr>
      <w:r w:rsidRPr="007904C7">
        <w:rPr>
          <w:rStyle w:val="FootnoteReference"/>
          <w:rFonts w:ascii="Times New Roman" w:hAnsi="Times New Roman" w:cs="Times New Roman"/>
          <w:sz w:val="18"/>
          <w:szCs w:val="18"/>
        </w:rPr>
        <w:footnoteRef/>
      </w:r>
      <w:r w:rsidRPr="007904C7">
        <w:rPr>
          <w:rFonts w:ascii="Times New Roman" w:hAnsi="Times New Roman" w:cs="Times New Roman"/>
          <w:sz w:val="18"/>
          <w:szCs w:val="18"/>
        </w:rPr>
        <w:t xml:space="preserve"> 2009 yılı itibariyle yayınlanan TCMB Sektör Bilançoları verilerine göre 2010-2021 döneminde tüm sektörler için yabancı para borçlanma oranı yıllık ortalama yüzde 55 iken bu oran İMA sektörü için yüzde 60’tır.</w:t>
      </w:r>
      <w:r>
        <w:rPr>
          <w:rFonts w:ascii="Times New Roman" w:hAnsi="Times New Roman" w:cs="Times New Roman"/>
          <w:sz w:val="18"/>
          <w:szCs w:val="18"/>
        </w:rPr>
        <w:t xml:space="preserve"> 2016 sonrasında bu oran tüm sektörler için yüzde 57, İMA sektörü için yüzde 61 olmuştur. </w:t>
      </w:r>
    </w:p>
  </w:footnote>
  <w:footnote w:id="12">
    <w:p w14:paraId="71652EAA" w14:textId="08D0BED0" w:rsidR="0057441E" w:rsidRPr="00221F2F" w:rsidRDefault="0057441E">
      <w:pPr>
        <w:pStyle w:val="FootnoteText"/>
      </w:pPr>
      <w:r w:rsidRPr="00221F2F">
        <w:rPr>
          <w:rStyle w:val="FootnoteReference"/>
          <w:rFonts w:ascii="Times New Roman" w:hAnsi="Times New Roman" w:cs="Times New Roman"/>
          <w:sz w:val="18"/>
          <w:szCs w:val="18"/>
        </w:rPr>
        <w:footnoteRef/>
      </w:r>
      <w:r>
        <w:t xml:space="preserve"> </w:t>
      </w:r>
      <m:oMath>
        <m:sSub>
          <m:sSubPr>
            <m:ctrlPr>
              <w:rPr>
                <w:rFonts w:ascii="Cambria Math" w:hAnsi="Cambria Math"/>
                <w:i/>
                <w:sz w:val="18"/>
              </w:rPr>
            </m:ctrlPr>
          </m:sSubPr>
          <m:e>
            <m:r>
              <w:rPr>
                <w:rFonts w:ascii="Cambria Math" w:hAnsi="Cambria Math"/>
                <w:sz w:val="18"/>
              </w:rPr>
              <m:t>K</m:t>
            </m:r>
          </m:e>
          <m:sub>
            <m:r>
              <w:rPr>
                <w:rFonts w:ascii="Cambria Math" w:hAnsi="Cambria Math"/>
                <w:sz w:val="18"/>
              </w:rPr>
              <m:t>t</m:t>
            </m:r>
          </m:sub>
        </m:sSub>
        <m:r>
          <w:rPr>
            <w:rFonts w:ascii="Cambria Math" w:hAnsi="Cambria Math"/>
            <w:sz w:val="18"/>
          </w:rPr>
          <m:t>=</m:t>
        </m:r>
        <m:r>
          <w:rPr>
            <w:rFonts w:ascii="Cambria Math" w:eastAsiaTheme="minorEastAsia" w:hAnsi="Cambria Math" w:cs="Times New Roman"/>
            <w:sz w:val="18"/>
          </w:rPr>
          <m:t>t</m:t>
        </m:r>
      </m:oMath>
      <w:r w:rsidRPr="00221F2F">
        <w:rPr>
          <w:rFonts w:ascii="Times New Roman" w:eastAsiaTheme="minorEastAsia" w:hAnsi="Times New Roman" w:cs="Times New Roman"/>
          <w:sz w:val="18"/>
        </w:rPr>
        <w:t xml:space="preserve"> zamanındaki nominal stok kredi, </w:t>
      </w:r>
      <m:oMath>
        <m:sSub>
          <m:sSubPr>
            <m:ctrlPr>
              <w:rPr>
                <w:rFonts w:ascii="Cambria Math" w:hAnsi="Cambria Math"/>
                <w:i/>
                <w:sz w:val="18"/>
              </w:rPr>
            </m:ctrlPr>
          </m:sSubPr>
          <m:e>
            <m:r>
              <w:rPr>
                <w:rFonts w:ascii="Cambria Math" w:hAnsi="Cambria Math"/>
                <w:sz w:val="18"/>
              </w:rPr>
              <m:t>def</m:t>
            </m:r>
          </m:e>
          <m:sub>
            <m:r>
              <w:rPr>
                <w:rFonts w:ascii="Cambria Math" w:hAnsi="Cambria Math"/>
                <w:sz w:val="18"/>
              </w:rPr>
              <m:t>t</m:t>
            </m:r>
          </m:sub>
        </m:sSub>
        <m:r>
          <w:rPr>
            <w:rFonts w:ascii="Cambria Math" w:hAnsi="Cambria Math"/>
            <w:sz w:val="18"/>
          </w:rPr>
          <m:t>=t</m:t>
        </m:r>
      </m:oMath>
      <w:r w:rsidRPr="00221F2F">
        <w:rPr>
          <w:rFonts w:ascii="Times New Roman" w:eastAsiaTheme="minorEastAsia" w:hAnsi="Times New Roman" w:cs="Times New Roman"/>
          <w:sz w:val="18"/>
        </w:rPr>
        <w:t xml:space="preserve"> zamanındaki milli gelir deflatörü iken </w:t>
      </w:r>
      <m:oMath>
        <m:sSub>
          <m:sSubPr>
            <m:ctrlPr>
              <w:rPr>
                <w:rFonts w:ascii="Cambria Math" w:hAnsi="Cambria Math"/>
                <w:i/>
                <w:sz w:val="18"/>
              </w:rPr>
            </m:ctrlPr>
          </m:sSubPr>
          <m:e>
            <m:r>
              <w:rPr>
                <w:rFonts w:ascii="Cambria Math" w:hAnsi="Cambria Math"/>
                <w:sz w:val="18"/>
              </w:rPr>
              <m:t>RK</m:t>
            </m:r>
          </m:e>
          <m:sub>
            <m:r>
              <w:rPr>
                <w:rFonts w:ascii="Cambria Math" w:hAnsi="Cambria Math"/>
                <w:sz w:val="18"/>
              </w:rPr>
              <m:t>t</m:t>
            </m:r>
          </m:sub>
        </m:sSub>
        <m:r>
          <w:rPr>
            <w:rFonts w:ascii="Cambria Math" w:hAnsi="Cambria Math"/>
            <w:sz w:val="18"/>
          </w:rPr>
          <m:t>=</m:t>
        </m:r>
        <m:f>
          <m:fPr>
            <m:ctrlPr>
              <w:rPr>
                <w:rFonts w:ascii="Cambria Math" w:hAnsi="Cambria Math"/>
                <w:i/>
                <w:sz w:val="18"/>
              </w:rPr>
            </m:ctrlPr>
          </m:fPr>
          <m:num>
            <m:sSub>
              <m:sSubPr>
                <m:ctrlPr>
                  <w:rPr>
                    <w:rFonts w:ascii="Cambria Math" w:hAnsi="Cambria Math"/>
                    <w:i/>
                    <w:sz w:val="18"/>
                  </w:rPr>
                </m:ctrlPr>
              </m:sSubPr>
              <m:e>
                <m:r>
                  <w:rPr>
                    <w:rFonts w:ascii="Cambria Math" w:hAnsi="Cambria Math"/>
                    <w:sz w:val="18"/>
                  </w:rPr>
                  <m:t>K</m:t>
                </m:r>
              </m:e>
              <m:sub>
                <m:r>
                  <w:rPr>
                    <w:rFonts w:ascii="Cambria Math" w:hAnsi="Cambria Math"/>
                    <w:sz w:val="18"/>
                  </w:rPr>
                  <m:t>t</m:t>
                </m:r>
              </m:sub>
            </m:sSub>
          </m:num>
          <m:den>
            <m:sSub>
              <m:sSubPr>
                <m:ctrlPr>
                  <w:rPr>
                    <w:rFonts w:ascii="Cambria Math" w:hAnsi="Cambria Math"/>
                    <w:i/>
                    <w:sz w:val="18"/>
                  </w:rPr>
                </m:ctrlPr>
              </m:sSubPr>
              <m:e>
                <m:r>
                  <w:rPr>
                    <w:rFonts w:ascii="Cambria Math" w:hAnsi="Cambria Math"/>
                    <w:sz w:val="18"/>
                  </w:rPr>
                  <m:t>def</m:t>
                </m:r>
              </m:e>
              <m:sub>
                <m:r>
                  <w:rPr>
                    <w:rFonts w:ascii="Cambria Math" w:hAnsi="Cambria Math"/>
                    <w:sz w:val="18"/>
                  </w:rPr>
                  <m:t>t</m:t>
                </m:r>
              </m:sub>
            </m:sSub>
          </m:den>
        </m:f>
      </m:oMath>
      <w:r w:rsidRPr="00221F2F">
        <w:rPr>
          <w:rFonts w:ascii="Times New Roman" w:eastAsiaTheme="minorEastAsia" w:hAnsi="Times New Roman" w:cs="Times New Roman"/>
          <w:sz w:val="18"/>
        </w:rPr>
        <w:t xml:space="preserve">, </w:t>
      </w:r>
      <m:oMath>
        <m:r>
          <w:rPr>
            <w:rFonts w:ascii="Cambria Math" w:eastAsiaTheme="minorEastAsia" w:hAnsi="Cambria Math" w:cs="Times New Roman"/>
            <w:sz w:val="18"/>
          </w:rPr>
          <m:t>t</m:t>
        </m:r>
      </m:oMath>
      <w:r w:rsidRPr="00221F2F">
        <w:rPr>
          <w:rFonts w:ascii="Times New Roman" w:eastAsiaTheme="minorEastAsia" w:hAnsi="Times New Roman" w:cs="Times New Roman"/>
          <w:sz w:val="18"/>
        </w:rPr>
        <w:t xml:space="preserve"> zamanındaki reel kredi, ve </w:t>
      </w:r>
      <m:oMath>
        <m:r>
          <w:rPr>
            <w:rFonts w:ascii="Cambria Math" w:hAnsi="Cambria Math"/>
            <w:sz w:val="18"/>
          </w:rPr>
          <m:t>Reel kredi değişimi=</m:t>
        </m:r>
        <m:r>
          <m:rPr>
            <m:sty m:val="p"/>
          </m:rPr>
          <w:rPr>
            <w:rFonts w:ascii="Cambria Math" w:eastAsiaTheme="minorEastAsia" w:hAnsi="Cambria Math"/>
            <w:sz w:val="18"/>
          </w:rPr>
          <m:t xml:space="preserve"> </m:t>
        </m:r>
        <m:f>
          <m:fPr>
            <m:ctrlPr>
              <w:rPr>
                <w:rFonts w:ascii="Cambria Math" w:hAnsi="Cambria Math"/>
                <w:i/>
                <w:sz w:val="18"/>
              </w:rPr>
            </m:ctrlPr>
          </m:fPr>
          <m:num>
            <m:sSub>
              <m:sSubPr>
                <m:ctrlPr>
                  <w:rPr>
                    <w:rFonts w:ascii="Cambria Math" w:hAnsi="Cambria Math"/>
                    <w:i/>
                    <w:sz w:val="18"/>
                  </w:rPr>
                </m:ctrlPr>
              </m:sSubPr>
              <m:e>
                <m:r>
                  <w:rPr>
                    <w:rFonts w:ascii="Cambria Math" w:hAnsi="Cambria Math"/>
                    <w:sz w:val="18"/>
                  </w:rPr>
                  <m:t>RK</m:t>
                </m:r>
              </m:e>
              <m:sub>
                <m:r>
                  <w:rPr>
                    <w:rFonts w:ascii="Cambria Math" w:hAnsi="Cambria Math"/>
                    <w:sz w:val="18"/>
                  </w:rPr>
                  <m:t>t</m:t>
                </m:r>
              </m:sub>
            </m:sSub>
            <m:r>
              <w:rPr>
                <w:rFonts w:ascii="Cambria Math" w:hAnsi="Cambria Math"/>
                <w:sz w:val="18"/>
              </w:rPr>
              <m:t>-</m:t>
            </m:r>
            <m:sSub>
              <m:sSubPr>
                <m:ctrlPr>
                  <w:rPr>
                    <w:rFonts w:ascii="Cambria Math" w:hAnsi="Cambria Math"/>
                    <w:i/>
                    <w:sz w:val="18"/>
                  </w:rPr>
                </m:ctrlPr>
              </m:sSubPr>
              <m:e>
                <m:r>
                  <w:rPr>
                    <w:rFonts w:ascii="Cambria Math" w:hAnsi="Cambria Math"/>
                    <w:sz w:val="18"/>
                  </w:rPr>
                  <m:t>RK</m:t>
                </m:r>
              </m:e>
              <m:sub>
                <m:r>
                  <w:rPr>
                    <w:rFonts w:ascii="Cambria Math" w:hAnsi="Cambria Math"/>
                    <w:sz w:val="18"/>
                  </w:rPr>
                  <m:t>t-1</m:t>
                </m:r>
              </m:sub>
            </m:sSub>
          </m:num>
          <m:den>
            <m:sSub>
              <m:sSubPr>
                <m:ctrlPr>
                  <w:rPr>
                    <w:rFonts w:ascii="Cambria Math" w:hAnsi="Cambria Math"/>
                    <w:i/>
                    <w:sz w:val="18"/>
                  </w:rPr>
                </m:ctrlPr>
              </m:sSubPr>
              <m:e>
                <m:r>
                  <w:rPr>
                    <w:rFonts w:ascii="Cambria Math" w:hAnsi="Cambria Math"/>
                    <w:sz w:val="18"/>
                  </w:rPr>
                  <m:t>RK</m:t>
                </m:r>
              </m:e>
              <m:sub>
                <m:r>
                  <w:rPr>
                    <w:rFonts w:ascii="Cambria Math" w:hAnsi="Cambria Math"/>
                    <w:sz w:val="18"/>
                  </w:rPr>
                  <m:t>t-1</m:t>
                </m:r>
              </m:sub>
            </m:sSub>
          </m:den>
        </m:f>
      </m:oMath>
      <w:r w:rsidRPr="00221F2F">
        <w:rPr>
          <w:rFonts w:ascii="Times New Roman" w:eastAsiaTheme="minorEastAsia" w:hAnsi="Times New Roman" w:cs="Times New Roman"/>
          <w:sz w:val="18"/>
        </w:rPr>
        <w:t xml:space="preserve"> olarak tanımlanmaktadır.</w:t>
      </w:r>
    </w:p>
  </w:footnote>
  <w:footnote w:id="13">
    <w:p w14:paraId="21544856" w14:textId="4D8A6564" w:rsidR="0057441E" w:rsidRPr="00221F2F" w:rsidRDefault="0057441E">
      <w:pPr>
        <w:pStyle w:val="FootnoteText"/>
        <w:rPr>
          <w:sz w:val="18"/>
          <w:szCs w:val="18"/>
        </w:rPr>
      </w:pPr>
      <w:r w:rsidRPr="00221F2F">
        <w:rPr>
          <w:rStyle w:val="FootnoteReference"/>
          <w:rFonts w:ascii="Times New Roman" w:hAnsi="Times New Roman" w:cs="Times New Roman"/>
          <w:sz w:val="18"/>
          <w:szCs w:val="18"/>
        </w:rPr>
        <w:footnoteRef/>
      </w:r>
      <w:r w:rsidRPr="00221F2F">
        <w:rPr>
          <w:sz w:val="18"/>
          <w:szCs w:val="18"/>
        </w:rPr>
        <w:t xml:space="preserve"> </w:t>
      </w:r>
      <m:oMath>
        <m:sSub>
          <m:sSubPr>
            <m:ctrlPr>
              <w:rPr>
                <w:rFonts w:ascii="Cambria Math" w:hAnsi="Cambria Math"/>
                <w:i/>
                <w:sz w:val="18"/>
                <w:szCs w:val="18"/>
              </w:rPr>
            </m:ctrlPr>
          </m:sSubPr>
          <m:e>
            <m:r>
              <w:rPr>
                <w:rFonts w:ascii="Cambria Math" w:hAnsi="Cambria Math"/>
                <w:sz w:val="18"/>
                <w:szCs w:val="18"/>
              </w:rPr>
              <m:t>Y</m:t>
            </m:r>
          </m:e>
          <m:sub>
            <m:r>
              <w:rPr>
                <w:rFonts w:ascii="Cambria Math" w:hAnsi="Cambria Math"/>
                <w:sz w:val="18"/>
                <w:szCs w:val="18"/>
              </w:rPr>
              <m:t>t</m:t>
            </m:r>
          </m:sub>
        </m:sSub>
        <m:r>
          <w:rPr>
            <w:rFonts w:ascii="Cambria Math" w:hAnsi="Cambria Math"/>
            <w:sz w:val="18"/>
            <w:szCs w:val="18"/>
          </w:rPr>
          <m:t>=t</m:t>
        </m:r>
      </m:oMath>
      <w:r w:rsidRPr="00221F2F">
        <w:rPr>
          <w:rFonts w:ascii="Times New Roman" w:eastAsiaTheme="minorEastAsia" w:hAnsi="Times New Roman" w:cs="Times New Roman"/>
          <w:sz w:val="18"/>
          <w:szCs w:val="18"/>
        </w:rPr>
        <w:t xml:space="preserve"> zamanındaki nominal GSYH iken </w:t>
      </w:r>
      <m:oMath>
        <m:f>
          <m:fPr>
            <m:ctrlPr>
              <w:rPr>
                <w:rFonts w:ascii="Cambria Math" w:hAnsi="Cambria Math"/>
                <w:i/>
                <w:sz w:val="18"/>
                <w:szCs w:val="18"/>
              </w:rPr>
            </m:ctrlPr>
          </m:fPr>
          <m:num>
            <m:r>
              <w:rPr>
                <w:rFonts w:ascii="Cambria Math" w:hAnsi="Cambria Math"/>
                <w:sz w:val="18"/>
                <w:szCs w:val="18"/>
              </w:rPr>
              <m:t>NKK</m:t>
            </m:r>
          </m:num>
          <m:den>
            <m:r>
              <w:rPr>
                <w:rFonts w:ascii="Cambria Math" w:hAnsi="Cambria Math"/>
                <w:sz w:val="18"/>
                <w:szCs w:val="18"/>
              </w:rPr>
              <m:t>GSYH</m:t>
            </m:r>
          </m:den>
        </m:f>
        <m:r>
          <w:rPr>
            <w:rFonts w:ascii="Cambria Math" w:hAnsi="Cambria Math"/>
            <w:sz w:val="18"/>
            <w:szCs w:val="18"/>
          </w:rPr>
          <m:t>=</m:t>
        </m:r>
      </m:oMath>
      <w:r w:rsidRPr="00221F2F">
        <w:rPr>
          <w:rFonts w:eastAsiaTheme="minorEastAsia"/>
          <w:sz w:val="18"/>
          <w:szCs w:val="18"/>
        </w:rPr>
        <w:t xml:space="preserve"> </w:t>
      </w:r>
      <m:oMath>
        <m:f>
          <m:fPr>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K</m:t>
                </m:r>
              </m:e>
              <m:sub>
                <m:r>
                  <w:rPr>
                    <w:rFonts w:ascii="Cambria Math" w:hAnsi="Cambria Math"/>
                    <w:sz w:val="18"/>
                    <w:szCs w:val="18"/>
                  </w:rPr>
                  <m:t>t</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K</m:t>
                </m:r>
              </m:e>
              <m:sub>
                <m:r>
                  <w:rPr>
                    <w:rFonts w:ascii="Cambria Math" w:hAnsi="Cambria Math"/>
                    <w:sz w:val="18"/>
                    <w:szCs w:val="18"/>
                  </w:rPr>
                  <m:t>t-1</m:t>
                </m:r>
              </m:sub>
            </m:sSub>
          </m:num>
          <m:den>
            <m:sSub>
              <m:sSubPr>
                <m:ctrlPr>
                  <w:rPr>
                    <w:rFonts w:ascii="Cambria Math" w:hAnsi="Cambria Math"/>
                    <w:i/>
                    <w:sz w:val="18"/>
                    <w:szCs w:val="18"/>
                  </w:rPr>
                </m:ctrlPr>
              </m:sSubPr>
              <m:e>
                <m:r>
                  <w:rPr>
                    <w:rFonts w:ascii="Cambria Math" w:hAnsi="Cambria Math"/>
                    <w:sz w:val="18"/>
                    <w:szCs w:val="18"/>
                  </w:rPr>
                  <m:t>Y</m:t>
                </m:r>
              </m:e>
              <m:sub>
                <m:r>
                  <w:rPr>
                    <w:rFonts w:ascii="Cambria Math" w:hAnsi="Cambria Math"/>
                    <w:sz w:val="18"/>
                    <w:szCs w:val="18"/>
                  </w:rPr>
                  <m:t>t-1</m:t>
                </m:r>
              </m:sub>
            </m:sSub>
          </m:den>
        </m:f>
      </m:oMath>
      <w:r w:rsidRPr="00221F2F">
        <w:rPr>
          <w:rFonts w:eastAsiaTheme="minorEastAsia"/>
          <w:sz w:val="18"/>
          <w:szCs w:val="18"/>
        </w:rPr>
        <w:t xml:space="preserve"> </w:t>
      </w:r>
      <w:r w:rsidRPr="00221F2F">
        <w:rPr>
          <w:rFonts w:ascii="Times New Roman" w:eastAsiaTheme="minorEastAsia" w:hAnsi="Times New Roman" w:cs="Times New Roman"/>
          <w:sz w:val="18"/>
          <w:szCs w:val="18"/>
        </w:rPr>
        <w:t>olarak tanımlanmaktadır.</w:t>
      </w:r>
    </w:p>
  </w:footnote>
  <w:footnote w:id="14">
    <w:p w14:paraId="41812753" w14:textId="1D9E97D0" w:rsidR="0057441E" w:rsidRPr="001224FB" w:rsidRDefault="0057441E">
      <w:pPr>
        <w:pStyle w:val="FootnoteText"/>
        <w:rPr>
          <w:rFonts w:ascii="Times New Roman" w:hAnsi="Times New Roman" w:cs="Times New Roman"/>
        </w:rPr>
      </w:pPr>
      <w:r w:rsidRPr="001224FB">
        <w:rPr>
          <w:rStyle w:val="FootnoteReference"/>
          <w:rFonts w:ascii="Times New Roman" w:hAnsi="Times New Roman" w:cs="Times New Roman"/>
          <w:sz w:val="18"/>
          <w:szCs w:val="18"/>
        </w:rPr>
        <w:footnoteRef/>
      </w:r>
      <w:r w:rsidRPr="001224FB">
        <w:rPr>
          <w:rFonts w:ascii="Times New Roman" w:hAnsi="Times New Roman" w:cs="Times New Roman"/>
          <w:sz w:val="18"/>
          <w:szCs w:val="18"/>
        </w:rPr>
        <w:t xml:space="preserve"> Söz konusu çalışmada çeyreklik veriler kullanılmıştır.</w:t>
      </w:r>
    </w:p>
  </w:footnote>
  <w:footnote w:id="15">
    <w:p w14:paraId="21ABAA0D" w14:textId="77777777" w:rsidR="0057441E" w:rsidRPr="00CA6FCF" w:rsidRDefault="0057441E" w:rsidP="000A5532">
      <w:pPr>
        <w:pStyle w:val="FootnoteText"/>
        <w:jc w:val="both"/>
        <w:rPr>
          <w:rFonts w:ascii="Times New Roman" w:hAnsi="Times New Roman" w:cs="Times New Roman"/>
        </w:rPr>
      </w:pPr>
      <w:r w:rsidRPr="00CA6FCF">
        <w:rPr>
          <w:rStyle w:val="FootnoteReference"/>
          <w:rFonts w:ascii="Times New Roman" w:hAnsi="Times New Roman" w:cs="Times New Roman"/>
        </w:rPr>
        <w:footnoteRef/>
      </w:r>
      <w:r w:rsidRPr="00CA6FCF">
        <w:rPr>
          <w:rFonts w:ascii="Times New Roman" w:hAnsi="Times New Roman" w:cs="Times New Roman"/>
        </w:rPr>
        <w:t xml:space="preserve"> Bahsi geçen oran, Hazine ve Maliye Bakanlığı Finansal Piyasalar ve Kambiyo Genel Müdürlüğü</w:t>
      </w:r>
      <w:r>
        <w:rPr>
          <w:rFonts w:ascii="Times New Roman" w:hAnsi="Times New Roman" w:cs="Times New Roman"/>
        </w:rPr>
        <w:t xml:space="preserve"> </w:t>
      </w:r>
      <w:r w:rsidRPr="00CA6FCF">
        <w:rPr>
          <w:rFonts w:ascii="Times New Roman" w:hAnsi="Times New Roman" w:cs="Times New Roman"/>
        </w:rPr>
        <w:t xml:space="preserve">Hazine Destekli Kefalet Sistemi Ocak 2019 Raporu’na göre hesaplanmıştır. Bu rapora göre 2017 yılında KGF aracılığıyla yaklaşık 208 milyar TL tutarında kredi KGF aracılığıyla kullandırılırken 2018 yılında bu tutar yaklaşık 79 milyar TL’dir. </w:t>
      </w:r>
      <w:hyperlink r:id="rId3" w:history="1">
        <w:r w:rsidRPr="00CA6FCF">
          <w:rPr>
            <w:rStyle w:val="Hyperlink"/>
            <w:rFonts w:ascii="Times New Roman" w:hAnsi="Times New Roman" w:cs="Times New Roman"/>
          </w:rPr>
          <w:t>https://ms.hmb.gov.tr/uploads/2020/01/Ocak-Ayl%C4%B1k-Raporu_Internet.pdf</w:t>
        </w:r>
      </w:hyperlink>
      <w:r w:rsidRPr="00CA6FCF">
        <w:rPr>
          <w:rFonts w:ascii="Times New Roman" w:hAnsi="Times New Roman" w:cs="Times New Roman"/>
        </w:rPr>
        <w:t xml:space="preserve"> (Son erişim tarihi: 27/12/2022)</w:t>
      </w:r>
    </w:p>
  </w:footnote>
  <w:footnote w:id="16">
    <w:p w14:paraId="59DC29D0" w14:textId="77777777" w:rsidR="0057441E" w:rsidRPr="00A94EB4" w:rsidRDefault="0057441E" w:rsidP="00066AC0">
      <w:pPr>
        <w:pStyle w:val="FootnoteText"/>
        <w:jc w:val="both"/>
        <w:rPr>
          <w:rFonts w:ascii="Times New Roman" w:hAnsi="Times New Roman" w:cs="Times New Roman"/>
        </w:rPr>
      </w:pPr>
      <w:r w:rsidRPr="00A94EB4">
        <w:rPr>
          <w:rStyle w:val="FootnoteReference"/>
          <w:rFonts w:ascii="Times New Roman" w:hAnsi="Times New Roman" w:cs="Times New Roman"/>
        </w:rPr>
        <w:footnoteRef/>
      </w:r>
      <w:r w:rsidRPr="00A94EB4">
        <w:rPr>
          <w:rFonts w:ascii="Times New Roman" w:hAnsi="Times New Roman" w:cs="Times New Roman"/>
        </w:rPr>
        <w:t xml:space="preserve"> Müller ve Verner (2023) çalışması takip edilerek TAR, İMA ve MAD ticarete konu olan sektörler olarak toplulaştırılırken diğer altı sektör ticarete konu olmayan sektörler altında toplulaştırılmıştır.</w:t>
      </w:r>
    </w:p>
  </w:footnote>
  <w:footnote w:id="17">
    <w:p w14:paraId="73568B98" w14:textId="24381FCA" w:rsidR="0057441E" w:rsidRPr="00BF562C" w:rsidRDefault="0057441E" w:rsidP="00BF562C">
      <w:pPr>
        <w:pStyle w:val="FootnoteText"/>
        <w:jc w:val="both"/>
        <w:rPr>
          <w:rFonts w:ascii="Times New Roman" w:hAnsi="Times New Roman" w:cs="Times New Roman"/>
        </w:rPr>
      </w:pPr>
      <w:r w:rsidRPr="00BF562C">
        <w:rPr>
          <w:rStyle w:val="FootnoteReference"/>
          <w:rFonts w:ascii="Times New Roman" w:hAnsi="Times New Roman" w:cs="Times New Roman"/>
        </w:rPr>
        <w:footnoteRef/>
      </w:r>
      <w:r w:rsidRPr="00BF562C">
        <w:rPr>
          <w:rFonts w:ascii="Times New Roman" w:hAnsi="Times New Roman" w:cs="Times New Roman"/>
        </w:rPr>
        <w:t xml:space="preserve"> Kısaltılmış bu dönemde tüm sektörlerin kredi, üretim ve istihdam paylarıyla ilgili korelasyonlar Ekler bölümünde Tablo B.1 ve Tablo B.2’de okuyucuya sunulmaktadır.</w:t>
      </w:r>
    </w:p>
  </w:footnote>
  <w:footnote w:id="18">
    <w:p w14:paraId="71CA0FE5" w14:textId="55015FE2" w:rsidR="0057441E" w:rsidRPr="00C30D3E" w:rsidRDefault="0057441E">
      <w:pPr>
        <w:pStyle w:val="FootnoteText"/>
        <w:rPr>
          <w:rFonts w:ascii="Times New Roman" w:hAnsi="Times New Roman" w:cs="Times New Roman"/>
          <w:sz w:val="18"/>
          <w:szCs w:val="18"/>
        </w:rPr>
      </w:pPr>
      <w:r w:rsidRPr="00C30D3E">
        <w:rPr>
          <w:rStyle w:val="FootnoteReference"/>
          <w:rFonts w:ascii="Times New Roman" w:hAnsi="Times New Roman" w:cs="Times New Roman"/>
          <w:sz w:val="18"/>
          <w:szCs w:val="18"/>
        </w:rPr>
        <w:footnoteRef/>
      </w:r>
      <w:r w:rsidRPr="00C30D3E">
        <w:rPr>
          <w:rFonts w:ascii="Times New Roman" w:hAnsi="Times New Roman" w:cs="Times New Roman"/>
          <w:sz w:val="18"/>
          <w:szCs w:val="18"/>
        </w:rPr>
        <w:t xml:space="preserve"> Bu kalem sadece 1999 ve 2000 yılları için</w:t>
      </w:r>
      <w:r>
        <w:rPr>
          <w:rFonts w:ascii="Times New Roman" w:hAnsi="Times New Roman" w:cs="Times New Roman"/>
          <w:sz w:val="18"/>
          <w:szCs w:val="18"/>
        </w:rPr>
        <w:t xml:space="preserve"> mevcuttur.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C1102" w14:textId="77777777" w:rsidR="004F7BBE" w:rsidRDefault="004F7BB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4F292" w14:textId="77777777" w:rsidR="004F7BBE" w:rsidRDefault="004F7BB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2C994" w14:textId="77777777" w:rsidR="004F7BBE" w:rsidRDefault="004F7BB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0199"/>
    <w:multiLevelType w:val="multilevel"/>
    <w:tmpl w:val="E9086A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125DDA"/>
    <w:multiLevelType w:val="hybridMultilevel"/>
    <w:tmpl w:val="361C1F7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D71AB"/>
    <w:multiLevelType w:val="hybridMultilevel"/>
    <w:tmpl w:val="5838CDD6"/>
    <w:lvl w:ilvl="0" w:tplc="58EA9E82">
      <w:start w:val="5"/>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B3154"/>
    <w:multiLevelType w:val="hybridMultilevel"/>
    <w:tmpl w:val="E0ACCCE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5674F4"/>
    <w:multiLevelType w:val="hybridMultilevel"/>
    <w:tmpl w:val="2FBC8D8E"/>
    <w:lvl w:ilvl="0" w:tplc="C33686CE">
      <w:start w:val="1"/>
      <w:numFmt w:val="upperLetter"/>
      <w:pStyle w:val="Heading3"/>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95698B"/>
    <w:multiLevelType w:val="hybridMultilevel"/>
    <w:tmpl w:val="4DF06D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2B4441"/>
    <w:multiLevelType w:val="multilevel"/>
    <w:tmpl w:val="70780A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F604CA7"/>
    <w:multiLevelType w:val="hybridMultilevel"/>
    <w:tmpl w:val="CE14704E"/>
    <w:lvl w:ilvl="0" w:tplc="24A89C92">
      <w:start w:val="4"/>
      <w:numFmt w:val="bullet"/>
      <w:lvlText w:val="-"/>
      <w:lvlJc w:val="left"/>
      <w:pPr>
        <w:ind w:left="1512" w:hanging="720"/>
      </w:pPr>
      <w:rPr>
        <w:rFonts w:ascii="Calibri" w:eastAsiaTheme="minorHAnsi" w:hAnsi="Calibri" w:cs="Calibri" w:hint="default"/>
      </w:rPr>
    </w:lvl>
    <w:lvl w:ilvl="1" w:tplc="FFFFFFFF" w:tentative="1">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8" w15:restartNumberingAfterBreak="0">
    <w:nsid w:val="20AC1EE2"/>
    <w:multiLevelType w:val="hybridMultilevel"/>
    <w:tmpl w:val="0004F482"/>
    <w:lvl w:ilvl="0" w:tplc="24A89C92">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CB5B54"/>
    <w:multiLevelType w:val="hybridMultilevel"/>
    <w:tmpl w:val="1EF854E4"/>
    <w:lvl w:ilvl="0" w:tplc="D30602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567A8B"/>
    <w:multiLevelType w:val="hybridMultilevel"/>
    <w:tmpl w:val="10DAF032"/>
    <w:lvl w:ilvl="0" w:tplc="C7A6C2B2">
      <w:start w:val="1"/>
      <w:numFmt w:val="decimal"/>
      <w:lvlText w:val="%1.1."/>
      <w:lvlJc w:val="left"/>
      <w:pPr>
        <w:ind w:left="72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9390888"/>
    <w:multiLevelType w:val="hybridMultilevel"/>
    <w:tmpl w:val="1910F48E"/>
    <w:lvl w:ilvl="0" w:tplc="B470E3EE">
      <w:start w:val="1"/>
      <w:numFmt w:val="decimal"/>
      <w:lvlText w:val="%1.1. "/>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3D7D21"/>
    <w:multiLevelType w:val="hybridMultilevel"/>
    <w:tmpl w:val="49CEC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B626B7"/>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2667948"/>
    <w:multiLevelType w:val="multilevel"/>
    <w:tmpl w:val="FD6E3242"/>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4A8102CD"/>
    <w:multiLevelType w:val="hybridMultilevel"/>
    <w:tmpl w:val="147E90AC"/>
    <w:lvl w:ilvl="0" w:tplc="24A89C92">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1D4553"/>
    <w:multiLevelType w:val="hybridMultilevel"/>
    <w:tmpl w:val="8B8C1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2E1E17"/>
    <w:multiLevelType w:val="hybridMultilevel"/>
    <w:tmpl w:val="311C8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587258"/>
    <w:multiLevelType w:val="multilevel"/>
    <w:tmpl w:val="0ECE44AC"/>
    <w:lvl w:ilvl="0">
      <w:start w:val="1"/>
      <w:numFmt w:val="decimal"/>
      <w:suff w:val="space"/>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8596A36"/>
    <w:multiLevelType w:val="hybridMultilevel"/>
    <w:tmpl w:val="52CA8A04"/>
    <w:lvl w:ilvl="0" w:tplc="BE6A89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0325BC"/>
    <w:multiLevelType w:val="hybridMultilevel"/>
    <w:tmpl w:val="97C02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4F0796"/>
    <w:multiLevelType w:val="multilevel"/>
    <w:tmpl w:val="CBEA8EF4"/>
    <w:lvl w:ilvl="0">
      <w:start w:val="1"/>
      <w:numFmt w:val="decimal"/>
      <w:pStyle w:val="Heading1"/>
      <w:lvlText w:val="%1"/>
      <w:lvlJc w:val="left"/>
      <w:pPr>
        <w:ind w:left="432" w:hanging="432"/>
      </w:pPr>
      <w:rPr>
        <w:rFonts w:hint="default"/>
        <w:b/>
        <w:i w:val="0"/>
      </w:rPr>
    </w:lvl>
    <w:lvl w:ilvl="1">
      <w:start w:val="1"/>
      <w:numFmt w:val="decimal"/>
      <w:pStyle w:val="Heading2"/>
      <w:lvlText w:val="%1.%2"/>
      <w:lvlJc w:val="left"/>
      <w:pPr>
        <w:ind w:left="1001" w:hanging="576"/>
      </w:pPr>
      <w:rPr>
        <w:b/>
        <w:strike w:val="0"/>
        <w:color w:val="000000" w:themeColor="text1"/>
      </w:r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734D2FB8"/>
    <w:multiLevelType w:val="hybridMultilevel"/>
    <w:tmpl w:val="37F89024"/>
    <w:lvl w:ilvl="0" w:tplc="2968D898">
      <w:start w:val="4"/>
      <w:numFmt w:val="bullet"/>
      <w:lvlText w:val="-"/>
      <w:lvlJc w:val="left"/>
      <w:pPr>
        <w:ind w:left="720" w:hanging="360"/>
      </w:pPr>
      <w:rPr>
        <w:rFonts w:ascii="Calibri" w:eastAsiaTheme="minorHAnsi" w:hAnsi="Calibri" w:cs="Calibri"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AF35C5"/>
    <w:multiLevelType w:val="hybridMultilevel"/>
    <w:tmpl w:val="223C985E"/>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0"/>
  </w:num>
  <w:num w:numId="4">
    <w:abstractNumId w:val="6"/>
  </w:num>
  <w:num w:numId="5">
    <w:abstractNumId w:val="14"/>
  </w:num>
  <w:num w:numId="6">
    <w:abstractNumId w:val="21"/>
  </w:num>
  <w:num w:numId="7">
    <w:abstractNumId w:val="11"/>
  </w:num>
  <w:num w:numId="8">
    <w:abstractNumId w:val="10"/>
  </w:num>
  <w:num w:numId="9">
    <w:abstractNumId w:val="21"/>
  </w:num>
  <w:num w:numId="10">
    <w:abstractNumId w:val="21"/>
  </w:num>
  <w:num w:numId="11">
    <w:abstractNumId w:val="3"/>
  </w:num>
  <w:num w:numId="12">
    <w:abstractNumId w:val="4"/>
  </w:num>
  <w:num w:numId="13">
    <w:abstractNumId w:val="20"/>
  </w:num>
  <w:num w:numId="14">
    <w:abstractNumId w:val="15"/>
  </w:num>
  <w:num w:numId="15">
    <w:abstractNumId w:val="5"/>
  </w:num>
  <w:num w:numId="16">
    <w:abstractNumId w:val="1"/>
  </w:num>
  <w:num w:numId="17">
    <w:abstractNumId w:val="16"/>
  </w:num>
  <w:num w:numId="18">
    <w:abstractNumId w:val="22"/>
  </w:num>
  <w:num w:numId="19">
    <w:abstractNumId w:val="19"/>
  </w:num>
  <w:num w:numId="20">
    <w:abstractNumId w:val="9"/>
  </w:num>
  <w:num w:numId="21">
    <w:abstractNumId w:val="7"/>
  </w:num>
  <w:num w:numId="22">
    <w:abstractNumId w:val="23"/>
  </w:num>
  <w:num w:numId="23">
    <w:abstractNumId w:val="8"/>
  </w:num>
  <w:num w:numId="24">
    <w:abstractNumId w:val="17"/>
  </w:num>
  <w:num w:numId="25">
    <w:abstractNumId w:val="2"/>
  </w:num>
  <w:num w:numId="26">
    <w:abstractNumId w:val="21"/>
    <w:lvlOverride w:ilvl="0">
      <w:startOverride w:val="2"/>
    </w:lvlOverride>
    <w:lvlOverride w:ilvl="1">
      <w:startOverride w:val="4"/>
    </w:lvlOverride>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C98"/>
    <w:rsid w:val="00001472"/>
    <w:rsid w:val="00001E81"/>
    <w:rsid w:val="000028A5"/>
    <w:rsid w:val="00003414"/>
    <w:rsid w:val="0000407B"/>
    <w:rsid w:val="0000439E"/>
    <w:rsid w:val="00005CA6"/>
    <w:rsid w:val="00006FA1"/>
    <w:rsid w:val="00007DDC"/>
    <w:rsid w:val="000111D6"/>
    <w:rsid w:val="00011DE9"/>
    <w:rsid w:val="00012D10"/>
    <w:rsid w:val="00015F94"/>
    <w:rsid w:val="00015FF7"/>
    <w:rsid w:val="0001715F"/>
    <w:rsid w:val="000172EC"/>
    <w:rsid w:val="00020727"/>
    <w:rsid w:val="00020FBF"/>
    <w:rsid w:val="0002415B"/>
    <w:rsid w:val="00025077"/>
    <w:rsid w:val="00025347"/>
    <w:rsid w:val="000254E9"/>
    <w:rsid w:val="00026032"/>
    <w:rsid w:val="0002631D"/>
    <w:rsid w:val="000265A9"/>
    <w:rsid w:val="00030079"/>
    <w:rsid w:val="00030423"/>
    <w:rsid w:val="00030DE5"/>
    <w:rsid w:val="00032F50"/>
    <w:rsid w:val="00034F6B"/>
    <w:rsid w:val="00035838"/>
    <w:rsid w:val="00036EA5"/>
    <w:rsid w:val="00037B35"/>
    <w:rsid w:val="00037EA6"/>
    <w:rsid w:val="0004055F"/>
    <w:rsid w:val="00041590"/>
    <w:rsid w:val="000419A4"/>
    <w:rsid w:val="00043175"/>
    <w:rsid w:val="00043609"/>
    <w:rsid w:val="00043F57"/>
    <w:rsid w:val="000440FB"/>
    <w:rsid w:val="000444FB"/>
    <w:rsid w:val="0004470E"/>
    <w:rsid w:val="000453B2"/>
    <w:rsid w:val="0004567F"/>
    <w:rsid w:val="00046109"/>
    <w:rsid w:val="00046CF4"/>
    <w:rsid w:val="00046F82"/>
    <w:rsid w:val="00050221"/>
    <w:rsid w:val="00050DC2"/>
    <w:rsid w:val="00051075"/>
    <w:rsid w:val="00051364"/>
    <w:rsid w:val="00052332"/>
    <w:rsid w:val="000524C0"/>
    <w:rsid w:val="000527E0"/>
    <w:rsid w:val="00052978"/>
    <w:rsid w:val="00052C72"/>
    <w:rsid w:val="00053658"/>
    <w:rsid w:val="00054436"/>
    <w:rsid w:val="00054C44"/>
    <w:rsid w:val="00055F65"/>
    <w:rsid w:val="00056E40"/>
    <w:rsid w:val="00056FC9"/>
    <w:rsid w:val="00057367"/>
    <w:rsid w:val="00057959"/>
    <w:rsid w:val="00057D92"/>
    <w:rsid w:val="00060377"/>
    <w:rsid w:val="00060723"/>
    <w:rsid w:val="00062D9A"/>
    <w:rsid w:val="00063873"/>
    <w:rsid w:val="00063C42"/>
    <w:rsid w:val="00064178"/>
    <w:rsid w:val="000643A4"/>
    <w:rsid w:val="00064E6F"/>
    <w:rsid w:val="00065016"/>
    <w:rsid w:val="00066AC0"/>
    <w:rsid w:val="000676DB"/>
    <w:rsid w:val="000711C9"/>
    <w:rsid w:val="000717E9"/>
    <w:rsid w:val="00074E2A"/>
    <w:rsid w:val="00077A06"/>
    <w:rsid w:val="00081413"/>
    <w:rsid w:val="0008172E"/>
    <w:rsid w:val="00081791"/>
    <w:rsid w:val="00082210"/>
    <w:rsid w:val="00082287"/>
    <w:rsid w:val="0008242D"/>
    <w:rsid w:val="00082F28"/>
    <w:rsid w:val="00083187"/>
    <w:rsid w:val="00083D7C"/>
    <w:rsid w:val="00083F0C"/>
    <w:rsid w:val="00085D45"/>
    <w:rsid w:val="00085DDB"/>
    <w:rsid w:val="00086AA9"/>
    <w:rsid w:val="00087832"/>
    <w:rsid w:val="00094AC0"/>
    <w:rsid w:val="00096613"/>
    <w:rsid w:val="00096ED9"/>
    <w:rsid w:val="000972C7"/>
    <w:rsid w:val="000A0017"/>
    <w:rsid w:val="000A0BDE"/>
    <w:rsid w:val="000A23A8"/>
    <w:rsid w:val="000A27F9"/>
    <w:rsid w:val="000A48E2"/>
    <w:rsid w:val="000A5532"/>
    <w:rsid w:val="000A6E10"/>
    <w:rsid w:val="000B1AF6"/>
    <w:rsid w:val="000B1D20"/>
    <w:rsid w:val="000B1DCF"/>
    <w:rsid w:val="000B26F1"/>
    <w:rsid w:val="000B2870"/>
    <w:rsid w:val="000B40C8"/>
    <w:rsid w:val="000B53D6"/>
    <w:rsid w:val="000B6520"/>
    <w:rsid w:val="000B7052"/>
    <w:rsid w:val="000B7EAA"/>
    <w:rsid w:val="000B7FE6"/>
    <w:rsid w:val="000C051B"/>
    <w:rsid w:val="000C0874"/>
    <w:rsid w:val="000C1149"/>
    <w:rsid w:val="000C4D84"/>
    <w:rsid w:val="000C4DA0"/>
    <w:rsid w:val="000C7C22"/>
    <w:rsid w:val="000D0E59"/>
    <w:rsid w:val="000D1310"/>
    <w:rsid w:val="000D139E"/>
    <w:rsid w:val="000D332C"/>
    <w:rsid w:val="000D39F5"/>
    <w:rsid w:val="000D4BA8"/>
    <w:rsid w:val="000D5763"/>
    <w:rsid w:val="000D6682"/>
    <w:rsid w:val="000D6C01"/>
    <w:rsid w:val="000D75A2"/>
    <w:rsid w:val="000D7968"/>
    <w:rsid w:val="000E0FED"/>
    <w:rsid w:val="000E1A6B"/>
    <w:rsid w:val="000E5587"/>
    <w:rsid w:val="000E5ADA"/>
    <w:rsid w:val="000E5D41"/>
    <w:rsid w:val="000E5FC0"/>
    <w:rsid w:val="000E5FE9"/>
    <w:rsid w:val="000E6B2A"/>
    <w:rsid w:val="000F0A79"/>
    <w:rsid w:val="000F1B89"/>
    <w:rsid w:val="000F2273"/>
    <w:rsid w:val="000F27EF"/>
    <w:rsid w:val="000F3FCE"/>
    <w:rsid w:val="000F55DB"/>
    <w:rsid w:val="00100B66"/>
    <w:rsid w:val="00101885"/>
    <w:rsid w:val="00102449"/>
    <w:rsid w:val="00103A4A"/>
    <w:rsid w:val="001041B8"/>
    <w:rsid w:val="00104A61"/>
    <w:rsid w:val="00106FD4"/>
    <w:rsid w:val="0011144F"/>
    <w:rsid w:val="00111923"/>
    <w:rsid w:val="00115D2B"/>
    <w:rsid w:val="00116AAD"/>
    <w:rsid w:val="00116E52"/>
    <w:rsid w:val="00117233"/>
    <w:rsid w:val="001214A1"/>
    <w:rsid w:val="001224FB"/>
    <w:rsid w:val="00122B66"/>
    <w:rsid w:val="0012354E"/>
    <w:rsid w:val="00124BE5"/>
    <w:rsid w:val="00126733"/>
    <w:rsid w:val="00130A76"/>
    <w:rsid w:val="00130EAF"/>
    <w:rsid w:val="0013145D"/>
    <w:rsid w:val="00132A25"/>
    <w:rsid w:val="001335A0"/>
    <w:rsid w:val="00133B4E"/>
    <w:rsid w:val="0013424D"/>
    <w:rsid w:val="00134651"/>
    <w:rsid w:val="00140CCB"/>
    <w:rsid w:val="001421B8"/>
    <w:rsid w:val="00142249"/>
    <w:rsid w:val="001432E2"/>
    <w:rsid w:val="001504E0"/>
    <w:rsid w:val="0015070F"/>
    <w:rsid w:val="001509B2"/>
    <w:rsid w:val="001519DD"/>
    <w:rsid w:val="00151ABF"/>
    <w:rsid w:val="00151BBF"/>
    <w:rsid w:val="001524A8"/>
    <w:rsid w:val="001528A7"/>
    <w:rsid w:val="00152AA3"/>
    <w:rsid w:val="00153502"/>
    <w:rsid w:val="00153D95"/>
    <w:rsid w:val="0015507B"/>
    <w:rsid w:val="00155658"/>
    <w:rsid w:val="00155A59"/>
    <w:rsid w:val="001565F4"/>
    <w:rsid w:val="00156F59"/>
    <w:rsid w:val="00160C06"/>
    <w:rsid w:val="00160E2F"/>
    <w:rsid w:val="0016184F"/>
    <w:rsid w:val="00161ACB"/>
    <w:rsid w:val="00162777"/>
    <w:rsid w:val="00163FF9"/>
    <w:rsid w:val="0016557C"/>
    <w:rsid w:val="001672AE"/>
    <w:rsid w:val="00171051"/>
    <w:rsid w:val="001723CB"/>
    <w:rsid w:val="0017271F"/>
    <w:rsid w:val="00172C44"/>
    <w:rsid w:val="001735ED"/>
    <w:rsid w:val="00173762"/>
    <w:rsid w:val="0017446C"/>
    <w:rsid w:val="00174742"/>
    <w:rsid w:val="00174C92"/>
    <w:rsid w:val="00175BE1"/>
    <w:rsid w:val="00175EDE"/>
    <w:rsid w:val="001776F4"/>
    <w:rsid w:val="001818FC"/>
    <w:rsid w:val="00181B83"/>
    <w:rsid w:val="0018211A"/>
    <w:rsid w:val="0018231B"/>
    <w:rsid w:val="001824D1"/>
    <w:rsid w:val="001826B4"/>
    <w:rsid w:val="00182A15"/>
    <w:rsid w:val="001837ED"/>
    <w:rsid w:val="001859F2"/>
    <w:rsid w:val="00185C03"/>
    <w:rsid w:val="00187B1F"/>
    <w:rsid w:val="00190899"/>
    <w:rsid w:val="001931D0"/>
    <w:rsid w:val="00193690"/>
    <w:rsid w:val="001954C7"/>
    <w:rsid w:val="0019563A"/>
    <w:rsid w:val="00196ABB"/>
    <w:rsid w:val="001A0D20"/>
    <w:rsid w:val="001A1A4F"/>
    <w:rsid w:val="001A2006"/>
    <w:rsid w:val="001A2A81"/>
    <w:rsid w:val="001A4355"/>
    <w:rsid w:val="001A57FD"/>
    <w:rsid w:val="001A60C0"/>
    <w:rsid w:val="001B093F"/>
    <w:rsid w:val="001B1083"/>
    <w:rsid w:val="001B16FA"/>
    <w:rsid w:val="001B2C4D"/>
    <w:rsid w:val="001B53FA"/>
    <w:rsid w:val="001B5F2B"/>
    <w:rsid w:val="001B65E9"/>
    <w:rsid w:val="001C00F6"/>
    <w:rsid w:val="001C31FF"/>
    <w:rsid w:val="001C41C5"/>
    <w:rsid w:val="001C467E"/>
    <w:rsid w:val="001C4F7D"/>
    <w:rsid w:val="001C58F7"/>
    <w:rsid w:val="001C5A2E"/>
    <w:rsid w:val="001C5FC8"/>
    <w:rsid w:val="001C6CDF"/>
    <w:rsid w:val="001C7384"/>
    <w:rsid w:val="001C7664"/>
    <w:rsid w:val="001C7A41"/>
    <w:rsid w:val="001D000E"/>
    <w:rsid w:val="001D0A6F"/>
    <w:rsid w:val="001D0D82"/>
    <w:rsid w:val="001D208D"/>
    <w:rsid w:val="001D301A"/>
    <w:rsid w:val="001D40A9"/>
    <w:rsid w:val="001D4C33"/>
    <w:rsid w:val="001D5970"/>
    <w:rsid w:val="001D62D3"/>
    <w:rsid w:val="001D6B20"/>
    <w:rsid w:val="001D744D"/>
    <w:rsid w:val="001D76B0"/>
    <w:rsid w:val="001E00C3"/>
    <w:rsid w:val="001E355D"/>
    <w:rsid w:val="001E45A4"/>
    <w:rsid w:val="001E4D64"/>
    <w:rsid w:val="001E7553"/>
    <w:rsid w:val="001E757B"/>
    <w:rsid w:val="001E7C55"/>
    <w:rsid w:val="001F0025"/>
    <w:rsid w:val="001F02BF"/>
    <w:rsid w:val="001F15B5"/>
    <w:rsid w:val="001F1703"/>
    <w:rsid w:val="001F2909"/>
    <w:rsid w:val="001F2E60"/>
    <w:rsid w:val="001F2F8C"/>
    <w:rsid w:val="001F3269"/>
    <w:rsid w:val="001F35AA"/>
    <w:rsid w:val="001F45EF"/>
    <w:rsid w:val="001F5C91"/>
    <w:rsid w:val="002007CB"/>
    <w:rsid w:val="00200E53"/>
    <w:rsid w:val="0020432F"/>
    <w:rsid w:val="0020441E"/>
    <w:rsid w:val="00205942"/>
    <w:rsid w:val="00205D8F"/>
    <w:rsid w:val="00206E85"/>
    <w:rsid w:val="00207230"/>
    <w:rsid w:val="00207362"/>
    <w:rsid w:val="002103DD"/>
    <w:rsid w:val="00210776"/>
    <w:rsid w:val="0021438A"/>
    <w:rsid w:val="00214DD2"/>
    <w:rsid w:val="00214F14"/>
    <w:rsid w:val="00215DD6"/>
    <w:rsid w:val="002163EB"/>
    <w:rsid w:val="002164D0"/>
    <w:rsid w:val="0021744E"/>
    <w:rsid w:val="00217470"/>
    <w:rsid w:val="00217860"/>
    <w:rsid w:val="002206B2"/>
    <w:rsid w:val="00221F2F"/>
    <w:rsid w:val="0022512B"/>
    <w:rsid w:val="00225513"/>
    <w:rsid w:val="002260DD"/>
    <w:rsid w:val="002272C2"/>
    <w:rsid w:val="00231484"/>
    <w:rsid w:val="002345FB"/>
    <w:rsid w:val="00234756"/>
    <w:rsid w:val="00235447"/>
    <w:rsid w:val="002358BB"/>
    <w:rsid w:val="00235FF6"/>
    <w:rsid w:val="00236042"/>
    <w:rsid w:val="00236ABF"/>
    <w:rsid w:val="00240217"/>
    <w:rsid w:val="00251976"/>
    <w:rsid w:val="002519FC"/>
    <w:rsid w:val="00252157"/>
    <w:rsid w:val="002524A7"/>
    <w:rsid w:val="002525C4"/>
    <w:rsid w:val="00255413"/>
    <w:rsid w:val="00255720"/>
    <w:rsid w:val="00256702"/>
    <w:rsid w:val="0025680B"/>
    <w:rsid w:val="0025723E"/>
    <w:rsid w:val="00257244"/>
    <w:rsid w:val="002574F0"/>
    <w:rsid w:val="0026056B"/>
    <w:rsid w:val="00260A98"/>
    <w:rsid w:val="00261936"/>
    <w:rsid w:val="00262DB8"/>
    <w:rsid w:val="00263541"/>
    <w:rsid w:val="00263C66"/>
    <w:rsid w:val="00263D19"/>
    <w:rsid w:val="00263DF4"/>
    <w:rsid w:val="00263EA0"/>
    <w:rsid w:val="002646CA"/>
    <w:rsid w:val="0026498C"/>
    <w:rsid w:val="002649B2"/>
    <w:rsid w:val="00265876"/>
    <w:rsid w:val="0026604E"/>
    <w:rsid w:val="00266192"/>
    <w:rsid w:val="00266E6A"/>
    <w:rsid w:val="00267B7E"/>
    <w:rsid w:val="00270035"/>
    <w:rsid w:val="00271CA8"/>
    <w:rsid w:val="00272364"/>
    <w:rsid w:val="00273D65"/>
    <w:rsid w:val="00273E9B"/>
    <w:rsid w:val="00273F3C"/>
    <w:rsid w:val="00277252"/>
    <w:rsid w:val="0027726A"/>
    <w:rsid w:val="002775F2"/>
    <w:rsid w:val="00277F95"/>
    <w:rsid w:val="00281496"/>
    <w:rsid w:val="002816AF"/>
    <w:rsid w:val="00281E42"/>
    <w:rsid w:val="0028210A"/>
    <w:rsid w:val="00282864"/>
    <w:rsid w:val="002859DB"/>
    <w:rsid w:val="00287219"/>
    <w:rsid w:val="00290148"/>
    <w:rsid w:val="00291BAB"/>
    <w:rsid w:val="00292A2D"/>
    <w:rsid w:val="002930B0"/>
    <w:rsid w:val="002933D5"/>
    <w:rsid w:val="0029431E"/>
    <w:rsid w:val="00294546"/>
    <w:rsid w:val="00294FAF"/>
    <w:rsid w:val="002951FF"/>
    <w:rsid w:val="00295D8C"/>
    <w:rsid w:val="00295E3C"/>
    <w:rsid w:val="002967ED"/>
    <w:rsid w:val="0029764C"/>
    <w:rsid w:val="00297E71"/>
    <w:rsid w:val="002A153A"/>
    <w:rsid w:val="002A1D8F"/>
    <w:rsid w:val="002A2048"/>
    <w:rsid w:val="002A40FD"/>
    <w:rsid w:val="002A5B90"/>
    <w:rsid w:val="002A5EF2"/>
    <w:rsid w:val="002B27AF"/>
    <w:rsid w:val="002B32CA"/>
    <w:rsid w:val="002B3A1F"/>
    <w:rsid w:val="002B4030"/>
    <w:rsid w:val="002B4BD6"/>
    <w:rsid w:val="002B58A7"/>
    <w:rsid w:val="002B5DC6"/>
    <w:rsid w:val="002B60E8"/>
    <w:rsid w:val="002B749C"/>
    <w:rsid w:val="002B7BAF"/>
    <w:rsid w:val="002C0766"/>
    <w:rsid w:val="002C1CB9"/>
    <w:rsid w:val="002C221A"/>
    <w:rsid w:val="002C39CD"/>
    <w:rsid w:val="002C574B"/>
    <w:rsid w:val="002C6474"/>
    <w:rsid w:val="002C7CF7"/>
    <w:rsid w:val="002D0271"/>
    <w:rsid w:val="002D02B7"/>
    <w:rsid w:val="002D07B3"/>
    <w:rsid w:val="002D10AD"/>
    <w:rsid w:val="002D1CF7"/>
    <w:rsid w:val="002D3640"/>
    <w:rsid w:val="002D4020"/>
    <w:rsid w:val="002D506C"/>
    <w:rsid w:val="002D754A"/>
    <w:rsid w:val="002D7749"/>
    <w:rsid w:val="002D7BFE"/>
    <w:rsid w:val="002D7DD1"/>
    <w:rsid w:val="002E031D"/>
    <w:rsid w:val="002E1290"/>
    <w:rsid w:val="002E21A2"/>
    <w:rsid w:val="002E38DF"/>
    <w:rsid w:val="002E49A0"/>
    <w:rsid w:val="002E5383"/>
    <w:rsid w:val="002E5693"/>
    <w:rsid w:val="002E5E8E"/>
    <w:rsid w:val="002E68D4"/>
    <w:rsid w:val="002E7E5B"/>
    <w:rsid w:val="002F0B02"/>
    <w:rsid w:val="002F21F4"/>
    <w:rsid w:val="002F2876"/>
    <w:rsid w:val="002F2EA2"/>
    <w:rsid w:val="002F33FA"/>
    <w:rsid w:val="002F402F"/>
    <w:rsid w:val="002F438D"/>
    <w:rsid w:val="002F5251"/>
    <w:rsid w:val="002F5D72"/>
    <w:rsid w:val="002F60E5"/>
    <w:rsid w:val="002F7AE1"/>
    <w:rsid w:val="00302684"/>
    <w:rsid w:val="00302A5B"/>
    <w:rsid w:val="00303229"/>
    <w:rsid w:val="003038FD"/>
    <w:rsid w:val="00304287"/>
    <w:rsid w:val="0030439D"/>
    <w:rsid w:val="0030525F"/>
    <w:rsid w:val="003065C6"/>
    <w:rsid w:val="003073B0"/>
    <w:rsid w:val="0031091B"/>
    <w:rsid w:val="003122CD"/>
    <w:rsid w:val="00312836"/>
    <w:rsid w:val="00312F17"/>
    <w:rsid w:val="00313573"/>
    <w:rsid w:val="00314C11"/>
    <w:rsid w:val="003150BA"/>
    <w:rsid w:val="00316DB8"/>
    <w:rsid w:val="00317CB6"/>
    <w:rsid w:val="003205E8"/>
    <w:rsid w:val="00321181"/>
    <w:rsid w:val="00321B67"/>
    <w:rsid w:val="0032254C"/>
    <w:rsid w:val="00322566"/>
    <w:rsid w:val="00323F3E"/>
    <w:rsid w:val="00324F0B"/>
    <w:rsid w:val="00324FB0"/>
    <w:rsid w:val="00325134"/>
    <w:rsid w:val="0032544E"/>
    <w:rsid w:val="00325534"/>
    <w:rsid w:val="00326E08"/>
    <w:rsid w:val="00327190"/>
    <w:rsid w:val="00327939"/>
    <w:rsid w:val="00330A21"/>
    <w:rsid w:val="00331AF4"/>
    <w:rsid w:val="003326FA"/>
    <w:rsid w:val="00332B67"/>
    <w:rsid w:val="00332D55"/>
    <w:rsid w:val="00332E32"/>
    <w:rsid w:val="00334895"/>
    <w:rsid w:val="00334B10"/>
    <w:rsid w:val="0033500B"/>
    <w:rsid w:val="0033662C"/>
    <w:rsid w:val="00336F50"/>
    <w:rsid w:val="00341F29"/>
    <w:rsid w:val="00342CCA"/>
    <w:rsid w:val="003448AD"/>
    <w:rsid w:val="00344B3A"/>
    <w:rsid w:val="0034574C"/>
    <w:rsid w:val="003459B3"/>
    <w:rsid w:val="003474B0"/>
    <w:rsid w:val="0034776F"/>
    <w:rsid w:val="00350E32"/>
    <w:rsid w:val="003536A7"/>
    <w:rsid w:val="003536E1"/>
    <w:rsid w:val="00355422"/>
    <w:rsid w:val="00356547"/>
    <w:rsid w:val="00356E57"/>
    <w:rsid w:val="0035740A"/>
    <w:rsid w:val="003574AC"/>
    <w:rsid w:val="00357570"/>
    <w:rsid w:val="00357636"/>
    <w:rsid w:val="003576F0"/>
    <w:rsid w:val="00360020"/>
    <w:rsid w:val="003613F0"/>
    <w:rsid w:val="00361B53"/>
    <w:rsid w:val="003643B9"/>
    <w:rsid w:val="003701FC"/>
    <w:rsid w:val="00370A7B"/>
    <w:rsid w:val="00371483"/>
    <w:rsid w:val="003717FC"/>
    <w:rsid w:val="003726B6"/>
    <w:rsid w:val="00372EBC"/>
    <w:rsid w:val="00373141"/>
    <w:rsid w:val="00373398"/>
    <w:rsid w:val="0037394F"/>
    <w:rsid w:val="00374392"/>
    <w:rsid w:val="0037576F"/>
    <w:rsid w:val="00376C1D"/>
    <w:rsid w:val="00381357"/>
    <w:rsid w:val="003814AE"/>
    <w:rsid w:val="00382797"/>
    <w:rsid w:val="00382BF7"/>
    <w:rsid w:val="00383819"/>
    <w:rsid w:val="00383F73"/>
    <w:rsid w:val="00384F67"/>
    <w:rsid w:val="003859BE"/>
    <w:rsid w:val="003878C7"/>
    <w:rsid w:val="003879C0"/>
    <w:rsid w:val="00387BD0"/>
    <w:rsid w:val="003906C8"/>
    <w:rsid w:val="00391B0C"/>
    <w:rsid w:val="00393C4B"/>
    <w:rsid w:val="00394C00"/>
    <w:rsid w:val="00394EDA"/>
    <w:rsid w:val="00395450"/>
    <w:rsid w:val="003960E7"/>
    <w:rsid w:val="0039716A"/>
    <w:rsid w:val="00397A40"/>
    <w:rsid w:val="00397BD1"/>
    <w:rsid w:val="003A25CB"/>
    <w:rsid w:val="003A3A2E"/>
    <w:rsid w:val="003A4C23"/>
    <w:rsid w:val="003A5434"/>
    <w:rsid w:val="003A5794"/>
    <w:rsid w:val="003A75B1"/>
    <w:rsid w:val="003A7E83"/>
    <w:rsid w:val="003B0251"/>
    <w:rsid w:val="003B0881"/>
    <w:rsid w:val="003B24CF"/>
    <w:rsid w:val="003B2A43"/>
    <w:rsid w:val="003B3690"/>
    <w:rsid w:val="003B36AA"/>
    <w:rsid w:val="003B3D7E"/>
    <w:rsid w:val="003B56E5"/>
    <w:rsid w:val="003B7187"/>
    <w:rsid w:val="003C02C0"/>
    <w:rsid w:val="003C03A9"/>
    <w:rsid w:val="003C11E7"/>
    <w:rsid w:val="003C1732"/>
    <w:rsid w:val="003C29F9"/>
    <w:rsid w:val="003C2CDA"/>
    <w:rsid w:val="003C383B"/>
    <w:rsid w:val="003C422C"/>
    <w:rsid w:val="003C423A"/>
    <w:rsid w:val="003C5B34"/>
    <w:rsid w:val="003C606C"/>
    <w:rsid w:val="003C667F"/>
    <w:rsid w:val="003C6D51"/>
    <w:rsid w:val="003C6F9E"/>
    <w:rsid w:val="003C6FF9"/>
    <w:rsid w:val="003C724E"/>
    <w:rsid w:val="003D10E5"/>
    <w:rsid w:val="003D22A8"/>
    <w:rsid w:val="003D3C1B"/>
    <w:rsid w:val="003D623D"/>
    <w:rsid w:val="003D66C6"/>
    <w:rsid w:val="003D6D81"/>
    <w:rsid w:val="003E15AA"/>
    <w:rsid w:val="003E1F75"/>
    <w:rsid w:val="003E3D8E"/>
    <w:rsid w:val="003E54AC"/>
    <w:rsid w:val="003E58E8"/>
    <w:rsid w:val="003E5CFB"/>
    <w:rsid w:val="003E7E1E"/>
    <w:rsid w:val="003F14D0"/>
    <w:rsid w:val="003F1BB7"/>
    <w:rsid w:val="003F2879"/>
    <w:rsid w:val="003F3E46"/>
    <w:rsid w:val="003F58BF"/>
    <w:rsid w:val="003F5DD8"/>
    <w:rsid w:val="003F7B81"/>
    <w:rsid w:val="004037ED"/>
    <w:rsid w:val="004104EE"/>
    <w:rsid w:val="00410A12"/>
    <w:rsid w:val="00410AE5"/>
    <w:rsid w:val="00411585"/>
    <w:rsid w:val="00415E26"/>
    <w:rsid w:val="004161D5"/>
    <w:rsid w:val="0041621B"/>
    <w:rsid w:val="004172E5"/>
    <w:rsid w:val="004174F2"/>
    <w:rsid w:val="00421EFC"/>
    <w:rsid w:val="004225EB"/>
    <w:rsid w:val="0042317F"/>
    <w:rsid w:val="00423988"/>
    <w:rsid w:val="0042424A"/>
    <w:rsid w:val="00430AD1"/>
    <w:rsid w:val="0043153D"/>
    <w:rsid w:val="00433029"/>
    <w:rsid w:val="00433DD5"/>
    <w:rsid w:val="00434863"/>
    <w:rsid w:val="0043528E"/>
    <w:rsid w:val="004357C6"/>
    <w:rsid w:val="0043739A"/>
    <w:rsid w:val="00437D74"/>
    <w:rsid w:val="0044266E"/>
    <w:rsid w:val="004439A5"/>
    <w:rsid w:val="00443E4F"/>
    <w:rsid w:val="00444411"/>
    <w:rsid w:val="004455F1"/>
    <w:rsid w:val="0044729B"/>
    <w:rsid w:val="004475A8"/>
    <w:rsid w:val="00451382"/>
    <w:rsid w:val="00451C68"/>
    <w:rsid w:val="00452897"/>
    <w:rsid w:val="00453D38"/>
    <w:rsid w:val="00453F79"/>
    <w:rsid w:val="00455493"/>
    <w:rsid w:val="004555A2"/>
    <w:rsid w:val="00456FD4"/>
    <w:rsid w:val="0045763C"/>
    <w:rsid w:val="00461573"/>
    <w:rsid w:val="00461688"/>
    <w:rsid w:val="004620F8"/>
    <w:rsid w:val="0046251E"/>
    <w:rsid w:val="00462759"/>
    <w:rsid w:val="004640A1"/>
    <w:rsid w:val="0046573F"/>
    <w:rsid w:val="00465DD2"/>
    <w:rsid w:val="004713EC"/>
    <w:rsid w:val="00471DF6"/>
    <w:rsid w:val="0047267B"/>
    <w:rsid w:val="00476466"/>
    <w:rsid w:val="004764A3"/>
    <w:rsid w:val="004773E4"/>
    <w:rsid w:val="00480124"/>
    <w:rsid w:val="0048114C"/>
    <w:rsid w:val="00481733"/>
    <w:rsid w:val="00481D24"/>
    <w:rsid w:val="004835F3"/>
    <w:rsid w:val="0048363F"/>
    <w:rsid w:val="00484694"/>
    <w:rsid w:val="004849A4"/>
    <w:rsid w:val="0048501B"/>
    <w:rsid w:val="004939D2"/>
    <w:rsid w:val="00494162"/>
    <w:rsid w:val="00494879"/>
    <w:rsid w:val="0049498D"/>
    <w:rsid w:val="00496232"/>
    <w:rsid w:val="00496AE9"/>
    <w:rsid w:val="00497580"/>
    <w:rsid w:val="00497A01"/>
    <w:rsid w:val="004A008C"/>
    <w:rsid w:val="004A0340"/>
    <w:rsid w:val="004A22E4"/>
    <w:rsid w:val="004A2D16"/>
    <w:rsid w:val="004A60DA"/>
    <w:rsid w:val="004B0329"/>
    <w:rsid w:val="004B12F0"/>
    <w:rsid w:val="004B1698"/>
    <w:rsid w:val="004B2394"/>
    <w:rsid w:val="004B2DC3"/>
    <w:rsid w:val="004B353B"/>
    <w:rsid w:val="004B6A00"/>
    <w:rsid w:val="004B7231"/>
    <w:rsid w:val="004C127A"/>
    <w:rsid w:val="004C1736"/>
    <w:rsid w:val="004C2C00"/>
    <w:rsid w:val="004C4769"/>
    <w:rsid w:val="004C4E35"/>
    <w:rsid w:val="004C538D"/>
    <w:rsid w:val="004C6E22"/>
    <w:rsid w:val="004C74B9"/>
    <w:rsid w:val="004D1C59"/>
    <w:rsid w:val="004D2034"/>
    <w:rsid w:val="004D344F"/>
    <w:rsid w:val="004D3464"/>
    <w:rsid w:val="004D474F"/>
    <w:rsid w:val="004D4B64"/>
    <w:rsid w:val="004E0663"/>
    <w:rsid w:val="004E0909"/>
    <w:rsid w:val="004E183A"/>
    <w:rsid w:val="004E1872"/>
    <w:rsid w:val="004E2A54"/>
    <w:rsid w:val="004E2CB2"/>
    <w:rsid w:val="004E2DA7"/>
    <w:rsid w:val="004E3E01"/>
    <w:rsid w:val="004E476F"/>
    <w:rsid w:val="004E5CC1"/>
    <w:rsid w:val="004E672D"/>
    <w:rsid w:val="004E67FE"/>
    <w:rsid w:val="004E7953"/>
    <w:rsid w:val="004F00EC"/>
    <w:rsid w:val="004F0C21"/>
    <w:rsid w:val="004F1887"/>
    <w:rsid w:val="004F290C"/>
    <w:rsid w:val="004F29FA"/>
    <w:rsid w:val="004F39CC"/>
    <w:rsid w:val="004F6AA5"/>
    <w:rsid w:val="004F7BBE"/>
    <w:rsid w:val="00500AEA"/>
    <w:rsid w:val="00500EF1"/>
    <w:rsid w:val="00500F3B"/>
    <w:rsid w:val="00504F84"/>
    <w:rsid w:val="00505A6E"/>
    <w:rsid w:val="00506F47"/>
    <w:rsid w:val="00507EFC"/>
    <w:rsid w:val="00510705"/>
    <w:rsid w:val="00510FD8"/>
    <w:rsid w:val="00511FC1"/>
    <w:rsid w:val="00514207"/>
    <w:rsid w:val="00514663"/>
    <w:rsid w:val="00515345"/>
    <w:rsid w:val="00515448"/>
    <w:rsid w:val="00515FB8"/>
    <w:rsid w:val="00516550"/>
    <w:rsid w:val="00516F1D"/>
    <w:rsid w:val="0051766A"/>
    <w:rsid w:val="005178B9"/>
    <w:rsid w:val="00517CDB"/>
    <w:rsid w:val="00520EE3"/>
    <w:rsid w:val="005210C3"/>
    <w:rsid w:val="005216D2"/>
    <w:rsid w:val="005246C4"/>
    <w:rsid w:val="00525B23"/>
    <w:rsid w:val="005307EE"/>
    <w:rsid w:val="005308BF"/>
    <w:rsid w:val="00533BC7"/>
    <w:rsid w:val="005344DE"/>
    <w:rsid w:val="0053531F"/>
    <w:rsid w:val="00536232"/>
    <w:rsid w:val="00537241"/>
    <w:rsid w:val="00541AC3"/>
    <w:rsid w:val="00543A6E"/>
    <w:rsid w:val="00543B04"/>
    <w:rsid w:val="00546237"/>
    <w:rsid w:val="005475BA"/>
    <w:rsid w:val="0054764A"/>
    <w:rsid w:val="00547731"/>
    <w:rsid w:val="00547949"/>
    <w:rsid w:val="00550100"/>
    <w:rsid w:val="0055138B"/>
    <w:rsid w:val="00554026"/>
    <w:rsid w:val="0055561D"/>
    <w:rsid w:val="005557FA"/>
    <w:rsid w:val="00555B0A"/>
    <w:rsid w:val="00556C9D"/>
    <w:rsid w:val="00556D10"/>
    <w:rsid w:val="00556D88"/>
    <w:rsid w:val="00557856"/>
    <w:rsid w:val="00557DCA"/>
    <w:rsid w:val="00560B8A"/>
    <w:rsid w:val="00562C82"/>
    <w:rsid w:val="005634DA"/>
    <w:rsid w:val="005647F7"/>
    <w:rsid w:val="00564D7D"/>
    <w:rsid w:val="00565144"/>
    <w:rsid w:val="005709AA"/>
    <w:rsid w:val="00570B9B"/>
    <w:rsid w:val="0057172C"/>
    <w:rsid w:val="00572A7C"/>
    <w:rsid w:val="0057441E"/>
    <w:rsid w:val="0057633F"/>
    <w:rsid w:val="0058021E"/>
    <w:rsid w:val="00582890"/>
    <w:rsid w:val="0058289C"/>
    <w:rsid w:val="00582FFB"/>
    <w:rsid w:val="00583826"/>
    <w:rsid w:val="00583C1B"/>
    <w:rsid w:val="00586BF5"/>
    <w:rsid w:val="0058705D"/>
    <w:rsid w:val="00590725"/>
    <w:rsid w:val="0059212C"/>
    <w:rsid w:val="00593E20"/>
    <w:rsid w:val="0059423A"/>
    <w:rsid w:val="005955EC"/>
    <w:rsid w:val="00595FEB"/>
    <w:rsid w:val="005A0A24"/>
    <w:rsid w:val="005A0DCE"/>
    <w:rsid w:val="005A0FB5"/>
    <w:rsid w:val="005A20CF"/>
    <w:rsid w:val="005A447B"/>
    <w:rsid w:val="005A4A49"/>
    <w:rsid w:val="005A5CB6"/>
    <w:rsid w:val="005A6898"/>
    <w:rsid w:val="005B39FB"/>
    <w:rsid w:val="005B662C"/>
    <w:rsid w:val="005B7A34"/>
    <w:rsid w:val="005C27C8"/>
    <w:rsid w:val="005C330C"/>
    <w:rsid w:val="005C3650"/>
    <w:rsid w:val="005C4A4B"/>
    <w:rsid w:val="005C4F62"/>
    <w:rsid w:val="005C639B"/>
    <w:rsid w:val="005C74D6"/>
    <w:rsid w:val="005C7637"/>
    <w:rsid w:val="005C7FF6"/>
    <w:rsid w:val="005D0474"/>
    <w:rsid w:val="005D096E"/>
    <w:rsid w:val="005D0C62"/>
    <w:rsid w:val="005D0F84"/>
    <w:rsid w:val="005D32F5"/>
    <w:rsid w:val="005D3406"/>
    <w:rsid w:val="005D37AC"/>
    <w:rsid w:val="005D3D6F"/>
    <w:rsid w:val="005E03B1"/>
    <w:rsid w:val="005E090A"/>
    <w:rsid w:val="005E18E9"/>
    <w:rsid w:val="005E4E43"/>
    <w:rsid w:val="005E560D"/>
    <w:rsid w:val="005E5DDF"/>
    <w:rsid w:val="005E7BA9"/>
    <w:rsid w:val="005F04F2"/>
    <w:rsid w:val="005F1BD0"/>
    <w:rsid w:val="005F1C14"/>
    <w:rsid w:val="005F1E60"/>
    <w:rsid w:val="005F3059"/>
    <w:rsid w:val="005F39C8"/>
    <w:rsid w:val="005F3F29"/>
    <w:rsid w:val="005F4544"/>
    <w:rsid w:val="005F5407"/>
    <w:rsid w:val="005F58BF"/>
    <w:rsid w:val="005F7752"/>
    <w:rsid w:val="0060099E"/>
    <w:rsid w:val="00601E53"/>
    <w:rsid w:val="0060440B"/>
    <w:rsid w:val="00604ACC"/>
    <w:rsid w:val="00607D08"/>
    <w:rsid w:val="006114A2"/>
    <w:rsid w:val="00613927"/>
    <w:rsid w:val="00614FFD"/>
    <w:rsid w:val="006174DD"/>
    <w:rsid w:val="00620CEA"/>
    <w:rsid w:val="00625DE4"/>
    <w:rsid w:val="006302EE"/>
    <w:rsid w:val="006307DD"/>
    <w:rsid w:val="00632205"/>
    <w:rsid w:val="00633538"/>
    <w:rsid w:val="006349E7"/>
    <w:rsid w:val="00635EB1"/>
    <w:rsid w:val="00636453"/>
    <w:rsid w:val="0063665E"/>
    <w:rsid w:val="006416FC"/>
    <w:rsid w:val="00641839"/>
    <w:rsid w:val="00641C7B"/>
    <w:rsid w:val="00641EFC"/>
    <w:rsid w:val="006428E5"/>
    <w:rsid w:val="00642BCE"/>
    <w:rsid w:val="0064345F"/>
    <w:rsid w:val="00643EF7"/>
    <w:rsid w:val="00644572"/>
    <w:rsid w:val="00644996"/>
    <w:rsid w:val="00645F41"/>
    <w:rsid w:val="00646254"/>
    <w:rsid w:val="00646C89"/>
    <w:rsid w:val="00646FA9"/>
    <w:rsid w:val="00650508"/>
    <w:rsid w:val="00650EC6"/>
    <w:rsid w:val="006514C5"/>
    <w:rsid w:val="00654AB0"/>
    <w:rsid w:val="00656A1E"/>
    <w:rsid w:val="0065714E"/>
    <w:rsid w:val="006603FE"/>
    <w:rsid w:val="00660C73"/>
    <w:rsid w:val="0066441B"/>
    <w:rsid w:val="006648F2"/>
    <w:rsid w:val="00665F23"/>
    <w:rsid w:val="00667B59"/>
    <w:rsid w:val="00671359"/>
    <w:rsid w:val="00671371"/>
    <w:rsid w:val="006718A6"/>
    <w:rsid w:val="0067216D"/>
    <w:rsid w:val="00673706"/>
    <w:rsid w:val="00675A14"/>
    <w:rsid w:val="00676CE4"/>
    <w:rsid w:val="00677277"/>
    <w:rsid w:val="006776C2"/>
    <w:rsid w:val="00680E6D"/>
    <w:rsid w:val="00681498"/>
    <w:rsid w:val="00681753"/>
    <w:rsid w:val="006817CE"/>
    <w:rsid w:val="00682BEF"/>
    <w:rsid w:val="00682D7A"/>
    <w:rsid w:val="006837F0"/>
    <w:rsid w:val="0068486E"/>
    <w:rsid w:val="006858B8"/>
    <w:rsid w:val="006878BC"/>
    <w:rsid w:val="00690822"/>
    <w:rsid w:val="00692BF9"/>
    <w:rsid w:val="00693722"/>
    <w:rsid w:val="00697859"/>
    <w:rsid w:val="006A0E9E"/>
    <w:rsid w:val="006A1E18"/>
    <w:rsid w:val="006A2E77"/>
    <w:rsid w:val="006A320E"/>
    <w:rsid w:val="006A3374"/>
    <w:rsid w:val="006A345E"/>
    <w:rsid w:val="006A6ADD"/>
    <w:rsid w:val="006A6FB6"/>
    <w:rsid w:val="006A76C1"/>
    <w:rsid w:val="006B1F67"/>
    <w:rsid w:val="006B33EE"/>
    <w:rsid w:val="006B3605"/>
    <w:rsid w:val="006B5015"/>
    <w:rsid w:val="006B695D"/>
    <w:rsid w:val="006B72C9"/>
    <w:rsid w:val="006C1B18"/>
    <w:rsid w:val="006C39A1"/>
    <w:rsid w:val="006C495C"/>
    <w:rsid w:val="006C4CE1"/>
    <w:rsid w:val="006C54DE"/>
    <w:rsid w:val="006C5E8C"/>
    <w:rsid w:val="006C6B7B"/>
    <w:rsid w:val="006C7CA4"/>
    <w:rsid w:val="006D0CD2"/>
    <w:rsid w:val="006D26A6"/>
    <w:rsid w:val="006D356C"/>
    <w:rsid w:val="006D366A"/>
    <w:rsid w:val="006D4C9E"/>
    <w:rsid w:val="006D60E0"/>
    <w:rsid w:val="006D7D05"/>
    <w:rsid w:val="006E03A1"/>
    <w:rsid w:val="006E19CC"/>
    <w:rsid w:val="006E36D0"/>
    <w:rsid w:val="006E411A"/>
    <w:rsid w:val="006E496C"/>
    <w:rsid w:val="006E62D1"/>
    <w:rsid w:val="006E6435"/>
    <w:rsid w:val="006E7C01"/>
    <w:rsid w:val="006E7CF0"/>
    <w:rsid w:val="006F00E8"/>
    <w:rsid w:val="006F2B8A"/>
    <w:rsid w:val="00701284"/>
    <w:rsid w:val="00701BDF"/>
    <w:rsid w:val="00701E1A"/>
    <w:rsid w:val="007031F1"/>
    <w:rsid w:val="007051BE"/>
    <w:rsid w:val="007067ED"/>
    <w:rsid w:val="00706884"/>
    <w:rsid w:val="00707160"/>
    <w:rsid w:val="00711202"/>
    <w:rsid w:val="00711E6D"/>
    <w:rsid w:val="00715127"/>
    <w:rsid w:val="00716B1A"/>
    <w:rsid w:val="00717E80"/>
    <w:rsid w:val="00717F36"/>
    <w:rsid w:val="0072012C"/>
    <w:rsid w:val="00721B2E"/>
    <w:rsid w:val="00723C9D"/>
    <w:rsid w:val="00725114"/>
    <w:rsid w:val="0072572B"/>
    <w:rsid w:val="00725AAB"/>
    <w:rsid w:val="00726C1C"/>
    <w:rsid w:val="00726EFA"/>
    <w:rsid w:val="00727450"/>
    <w:rsid w:val="00731BF8"/>
    <w:rsid w:val="0073322D"/>
    <w:rsid w:val="007335F6"/>
    <w:rsid w:val="0073502C"/>
    <w:rsid w:val="007368E2"/>
    <w:rsid w:val="00740FF2"/>
    <w:rsid w:val="00741445"/>
    <w:rsid w:val="007425A8"/>
    <w:rsid w:val="007425C4"/>
    <w:rsid w:val="00742C6C"/>
    <w:rsid w:val="00744BE2"/>
    <w:rsid w:val="00746D30"/>
    <w:rsid w:val="0074779F"/>
    <w:rsid w:val="00750586"/>
    <w:rsid w:val="00750B26"/>
    <w:rsid w:val="0075267F"/>
    <w:rsid w:val="007532EA"/>
    <w:rsid w:val="00754D55"/>
    <w:rsid w:val="00755244"/>
    <w:rsid w:val="0075684F"/>
    <w:rsid w:val="0075795F"/>
    <w:rsid w:val="0076127D"/>
    <w:rsid w:val="00761905"/>
    <w:rsid w:val="00761E07"/>
    <w:rsid w:val="0076227D"/>
    <w:rsid w:val="00762B1E"/>
    <w:rsid w:val="00763515"/>
    <w:rsid w:val="007648B3"/>
    <w:rsid w:val="00764950"/>
    <w:rsid w:val="00765454"/>
    <w:rsid w:val="0076592B"/>
    <w:rsid w:val="0076674A"/>
    <w:rsid w:val="00766EB2"/>
    <w:rsid w:val="00766F87"/>
    <w:rsid w:val="00771F15"/>
    <w:rsid w:val="00772086"/>
    <w:rsid w:val="0077347E"/>
    <w:rsid w:val="007751FA"/>
    <w:rsid w:val="00775891"/>
    <w:rsid w:val="007762AD"/>
    <w:rsid w:val="00776EB8"/>
    <w:rsid w:val="0077757D"/>
    <w:rsid w:val="00780BDE"/>
    <w:rsid w:val="00780CF0"/>
    <w:rsid w:val="00780D5E"/>
    <w:rsid w:val="00781D18"/>
    <w:rsid w:val="007822AA"/>
    <w:rsid w:val="00783F7F"/>
    <w:rsid w:val="007904C7"/>
    <w:rsid w:val="00790D5A"/>
    <w:rsid w:val="00790DD5"/>
    <w:rsid w:val="00790F29"/>
    <w:rsid w:val="00792831"/>
    <w:rsid w:val="00793902"/>
    <w:rsid w:val="007944E9"/>
    <w:rsid w:val="007945B5"/>
    <w:rsid w:val="00794EEF"/>
    <w:rsid w:val="007953A3"/>
    <w:rsid w:val="0079557B"/>
    <w:rsid w:val="00795F62"/>
    <w:rsid w:val="00797C7D"/>
    <w:rsid w:val="00797E29"/>
    <w:rsid w:val="007A0CD9"/>
    <w:rsid w:val="007A12F7"/>
    <w:rsid w:val="007A1726"/>
    <w:rsid w:val="007A340A"/>
    <w:rsid w:val="007A3ED3"/>
    <w:rsid w:val="007A4587"/>
    <w:rsid w:val="007A5A9F"/>
    <w:rsid w:val="007A5D3E"/>
    <w:rsid w:val="007A75D2"/>
    <w:rsid w:val="007B05E4"/>
    <w:rsid w:val="007B1037"/>
    <w:rsid w:val="007B133F"/>
    <w:rsid w:val="007B1EEA"/>
    <w:rsid w:val="007B262C"/>
    <w:rsid w:val="007B3C2A"/>
    <w:rsid w:val="007B3C53"/>
    <w:rsid w:val="007B3CDD"/>
    <w:rsid w:val="007B3F2B"/>
    <w:rsid w:val="007B48E4"/>
    <w:rsid w:val="007B4995"/>
    <w:rsid w:val="007B6717"/>
    <w:rsid w:val="007B6CA6"/>
    <w:rsid w:val="007B7230"/>
    <w:rsid w:val="007B7F2E"/>
    <w:rsid w:val="007C087F"/>
    <w:rsid w:val="007C1C5F"/>
    <w:rsid w:val="007C1D4D"/>
    <w:rsid w:val="007C2052"/>
    <w:rsid w:val="007C3A72"/>
    <w:rsid w:val="007C4274"/>
    <w:rsid w:val="007C6FAB"/>
    <w:rsid w:val="007D02BA"/>
    <w:rsid w:val="007D2CC5"/>
    <w:rsid w:val="007D2D22"/>
    <w:rsid w:val="007D33FB"/>
    <w:rsid w:val="007D353A"/>
    <w:rsid w:val="007D3AEF"/>
    <w:rsid w:val="007D636F"/>
    <w:rsid w:val="007D7682"/>
    <w:rsid w:val="007D7ED8"/>
    <w:rsid w:val="007E02F7"/>
    <w:rsid w:val="007E087F"/>
    <w:rsid w:val="007E2211"/>
    <w:rsid w:val="007E317C"/>
    <w:rsid w:val="007E47C7"/>
    <w:rsid w:val="007E4ED1"/>
    <w:rsid w:val="007E5A69"/>
    <w:rsid w:val="007E64EA"/>
    <w:rsid w:val="007E6736"/>
    <w:rsid w:val="007E756C"/>
    <w:rsid w:val="007E7D01"/>
    <w:rsid w:val="007F0A5F"/>
    <w:rsid w:val="007F0C18"/>
    <w:rsid w:val="007F1C62"/>
    <w:rsid w:val="007F31F4"/>
    <w:rsid w:val="007F322B"/>
    <w:rsid w:val="007F39EA"/>
    <w:rsid w:val="007F3D59"/>
    <w:rsid w:val="007F6880"/>
    <w:rsid w:val="007F6F7A"/>
    <w:rsid w:val="0080110A"/>
    <w:rsid w:val="0080126A"/>
    <w:rsid w:val="008020D3"/>
    <w:rsid w:val="00804F96"/>
    <w:rsid w:val="008052EC"/>
    <w:rsid w:val="00805EF6"/>
    <w:rsid w:val="008062AD"/>
    <w:rsid w:val="008079A7"/>
    <w:rsid w:val="00807EED"/>
    <w:rsid w:val="00810B47"/>
    <w:rsid w:val="0081202C"/>
    <w:rsid w:val="00814679"/>
    <w:rsid w:val="00814C04"/>
    <w:rsid w:val="00816DAD"/>
    <w:rsid w:val="00816FA6"/>
    <w:rsid w:val="00817B1D"/>
    <w:rsid w:val="008218BB"/>
    <w:rsid w:val="00822278"/>
    <w:rsid w:val="0082275D"/>
    <w:rsid w:val="008236EC"/>
    <w:rsid w:val="008248B4"/>
    <w:rsid w:val="00826465"/>
    <w:rsid w:val="0082678E"/>
    <w:rsid w:val="008267D6"/>
    <w:rsid w:val="008301C6"/>
    <w:rsid w:val="00831142"/>
    <w:rsid w:val="008311EC"/>
    <w:rsid w:val="00831B10"/>
    <w:rsid w:val="008328A2"/>
    <w:rsid w:val="00833BDE"/>
    <w:rsid w:val="00837049"/>
    <w:rsid w:val="008400E4"/>
    <w:rsid w:val="00840387"/>
    <w:rsid w:val="008406F6"/>
    <w:rsid w:val="00840EFC"/>
    <w:rsid w:val="00841740"/>
    <w:rsid w:val="00842C28"/>
    <w:rsid w:val="0084306F"/>
    <w:rsid w:val="00843EA1"/>
    <w:rsid w:val="0084471B"/>
    <w:rsid w:val="00845EF6"/>
    <w:rsid w:val="00846512"/>
    <w:rsid w:val="00846A65"/>
    <w:rsid w:val="008471DF"/>
    <w:rsid w:val="00847254"/>
    <w:rsid w:val="00851246"/>
    <w:rsid w:val="008517B7"/>
    <w:rsid w:val="008528EF"/>
    <w:rsid w:val="008532CB"/>
    <w:rsid w:val="008535CE"/>
    <w:rsid w:val="00853748"/>
    <w:rsid w:val="0085490E"/>
    <w:rsid w:val="008560A2"/>
    <w:rsid w:val="00856AB7"/>
    <w:rsid w:val="00860BC9"/>
    <w:rsid w:val="00861608"/>
    <w:rsid w:val="008626A9"/>
    <w:rsid w:val="0086279E"/>
    <w:rsid w:val="00863D61"/>
    <w:rsid w:val="008644D6"/>
    <w:rsid w:val="008646E7"/>
    <w:rsid w:val="00870620"/>
    <w:rsid w:val="00870DF4"/>
    <w:rsid w:val="008720FE"/>
    <w:rsid w:val="00872C96"/>
    <w:rsid w:val="0087321C"/>
    <w:rsid w:val="00874D99"/>
    <w:rsid w:val="00876B43"/>
    <w:rsid w:val="00881883"/>
    <w:rsid w:val="00881B54"/>
    <w:rsid w:val="00882162"/>
    <w:rsid w:val="00882A36"/>
    <w:rsid w:val="00883866"/>
    <w:rsid w:val="00885E79"/>
    <w:rsid w:val="008870BD"/>
    <w:rsid w:val="0088760C"/>
    <w:rsid w:val="00890DB8"/>
    <w:rsid w:val="00891596"/>
    <w:rsid w:val="00893A89"/>
    <w:rsid w:val="00894B18"/>
    <w:rsid w:val="00894D63"/>
    <w:rsid w:val="00894F8D"/>
    <w:rsid w:val="0089782F"/>
    <w:rsid w:val="008A2282"/>
    <w:rsid w:val="008A407D"/>
    <w:rsid w:val="008A44C7"/>
    <w:rsid w:val="008A5CBB"/>
    <w:rsid w:val="008B03A8"/>
    <w:rsid w:val="008B043F"/>
    <w:rsid w:val="008B0AE4"/>
    <w:rsid w:val="008B10B2"/>
    <w:rsid w:val="008B1F66"/>
    <w:rsid w:val="008B2727"/>
    <w:rsid w:val="008B2D33"/>
    <w:rsid w:val="008B2D68"/>
    <w:rsid w:val="008B3D4A"/>
    <w:rsid w:val="008B4069"/>
    <w:rsid w:val="008B7110"/>
    <w:rsid w:val="008C23DE"/>
    <w:rsid w:val="008C25B5"/>
    <w:rsid w:val="008C446E"/>
    <w:rsid w:val="008C48E5"/>
    <w:rsid w:val="008C5B57"/>
    <w:rsid w:val="008C6678"/>
    <w:rsid w:val="008C6701"/>
    <w:rsid w:val="008C7E0C"/>
    <w:rsid w:val="008D0002"/>
    <w:rsid w:val="008D0759"/>
    <w:rsid w:val="008D0B37"/>
    <w:rsid w:val="008D1FD8"/>
    <w:rsid w:val="008D23FB"/>
    <w:rsid w:val="008D2B1B"/>
    <w:rsid w:val="008D3154"/>
    <w:rsid w:val="008D316B"/>
    <w:rsid w:val="008D6B1A"/>
    <w:rsid w:val="008E161D"/>
    <w:rsid w:val="008E19EB"/>
    <w:rsid w:val="008E1D84"/>
    <w:rsid w:val="008E4EA2"/>
    <w:rsid w:val="008E4EC9"/>
    <w:rsid w:val="008E5E74"/>
    <w:rsid w:val="008E7F30"/>
    <w:rsid w:val="008F0AC1"/>
    <w:rsid w:val="008F1E57"/>
    <w:rsid w:val="008F20CF"/>
    <w:rsid w:val="008F2AA6"/>
    <w:rsid w:val="008F359A"/>
    <w:rsid w:val="008F3957"/>
    <w:rsid w:val="008F3F99"/>
    <w:rsid w:val="008F6932"/>
    <w:rsid w:val="008F695E"/>
    <w:rsid w:val="008F73B3"/>
    <w:rsid w:val="009008CD"/>
    <w:rsid w:val="00900F97"/>
    <w:rsid w:val="009012AC"/>
    <w:rsid w:val="00902A35"/>
    <w:rsid w:val="00904A5E"/>
    <w:rsid w:val="00904DD9"/>
    <w:rsid w:val="009051FA"/>
    <w:rsid w:val="009067A9"/>
    <w:rsid w:val="00906A4F"/>
    <w:rsid w:val="00907C64"/>
    <w:rsid w:val="009103ED"/>
    <w:rsid w:val="00910C3C"/>
    <w:rsid w:val="009110BE"/>
    <w:rsid w:val="00911415"/>
    <w:rsid w:val="00913EB6"/>
    <w:rsid w:val="009166E1"/>
    <w:rsid w:val="00916B6D"/>
    <w:rsid w:val="00917AB4"/>
    <w:rsid w:val="00920FB4"/>
    <w:rsid w:val="00924545"/>
    <w:rsid w:val="009262CA"/>
    <w:rsid w:val="0092712E"/>
    <w:rsid w:val="00930F45"/>
    <w:rsid w:val="00932860"/>
    <w:rsid w:val="009338F7"/>
    <w:rsid w:val="00936AD6"/>
    <w:rsid w:val="00937ED6"/>
    <w:rsid w:val="009407C5"/>
    <w:rsid w:val="0094168F"/>
    <w:rsid w:val="00941E0A"/>
    <w:rsid w:val="00944182"/>
    <w:rsid w:val="00945964"/>
    <w:rsid w:val="0094653A"/>
    <w:rsid w:val="00947739"/>
    <w:rsid w:val="00947B3B"/>
    <w:rsid w:val="00950760"/>
    <w:rsid w:val="009507A2"/>
    <w:rsid w:val="00950E2D"/>
    <w:rsid w:val="009512A3"/>
    <w:rsid w:val="0095183D"/>
    <w:rsid w:val="00951F10"/>
    <w:rsid w:val="009528E7"/>
    <w:rsid w:val="00954562"/>
    <w:rsid w:val="00954A76"/>
    <w:rsid w:val="00955100"/>
    <w:rsid w:val="00955A14"/>
    <w:rsid w:val="00956994"/>
    <w:rsid w:val="00956B89"/>
    <w:rsid w:val="00961629"/>
    <w:rsid w:val="009628F6"/>
    <w:rsid w:val="00963E89"/>
    <w:rsid w:val="0096552E"/>
    <w:rsid w:val="0096603B"/>
    <w:rsid w:val="00966662"/>
    <w:rsid w:val="00966996"/>
    <w:rsid w:val="00966CA1"/>
    <w:rsid w:val="00970C70"/>
    <w:rsid w:val="00971964"/>
    <w:rsid w:val="00972233"/>
    <w:rsid w:val="0097289E"/>
    <w:rsid w:val="009734EB"/>
    <w:rsid w:val="0097390E"/>
    <w:rsid w:val="00973E54"/>
    <w:rsid w:val="00974CBF"/>
    <w:rsid w:val="00975810"/>
    <w:rsid w:val="00975DA9"/>
    <w:rsid w:val="00982CF9"/>
    <w:rsid w:val="00984EDD"/>
    <w:rsid w:val="0098635E"/>
    <w:rsid w:val="009868F5"/>
    <w:rsid w:val="00992397"/>
    <w:rsid w:val="009946E4"/>
    <w:rsid w:val="00995EA4"/>
    <w:rsid w:val="00997CF2"/>
    <w:rsid w:val="00997E96"/>
    <w:rsid w:val="009A06E1"/>
    <w:rsid w:val="009A115F"/>
    <w:rsid w:val="009A14D1"/>
    <w:rsid w:val="009A1673"/>
    <w:rsid w:val="009A1D22"/>
    <w:rsid w:val="009A3C07"/>
    <w:rsid w:val="009A5110"/>
    <w:rsid w:val="009A7628"/>
    <w:rsid w:val="009B0230"/>
    <w:rsid w:val="009B0E7D"/>
    <w:rsid w:val="009B1E7B"/>
    <w:rsid w:val="009B4AD1"/>
    <w:rsid w:val="009B5921"/>
    <w:rsid w:val="009B6066"/>
    <w:rsid w:val="009B676E"/>
    <w:rsid w:val="009B6C47"/>
    <w:rsid w:val="009B6E92"/>
    <w:rsid w:val="009B718F"/>
    <w:rsid w:val="009C0090"/>
    <w:rsid w:val="009C0ADF"/>
    <w:rsid w:val="009C0BB2"/>
    <w:rsid w:val="009C116B"/>
    <w:rsid w:val="009C2194"/>
    <w:rsid w:val="009C3939"/>
    <w:rsid w:val="009C4858"/>
    <w:rsid w:val="009C57C8"/>
    <w:rsid w:val="009C6000"/>
    <w:rsid w:val="009C6E6C"/>
    <w:rsid w:val="009C75F9"/>
    <w:rsid w:val="009C7F31"/>
    <w:rsid w:val="009D0D43"/>
    <w:rsid w:val="009D2D71"/>
    <w:rsid w:val="009D36F6"/>
    <w:rsid w:val="009D3CB4"/>
    <w:rsid w:val="009D4E18"/>
    <w:rsid w:val="009D6B17"/>
    <w:rsid w:val="009D6FCE"/>
    <w:rsid w:val="009D7943"/>
    <w:rsid w:val="009E0514"/>
    <w:rsid w:val="009E0C1D"/>
    <w:rsid w:val="009E39B5"/>
    <w:rsid w:val="009E40C1"/>
    <w:rsid w:val="009E573C"/>
    <w:rsid w:val="009E5F11"/>
    <w:rsid w:val="009F11BD"/>
    <w:rsid w:val="009F1269"/>
    <w:rsid w:val="009F2D49"/>
    <w:rsid w:val="009F415C"/>
    <w:rsid w:val="009F453F"/>
    <w:rsid w:val="009F4D2E"/>
    <w:rsid w:val="009F51FC"/>
    <w:rsid w:val="009F527E"/>
    <w:rsid w:val="009F6CF4"/>
    <w:rsid w:val="009F6DAD"/>
    <w:rsid w:val="009F71C3"/>
    <w:rsid w:val="009F73B2"/>
    <w:rsid w:val="00A00965"/>
    <w:rsid w:val="00A01216"/>
    <w:rsid w:val="00A01972"/>
    <w:rsid w:val="00A034E6"/>
    <w:rsid w:val="00A034F5"/>
    <w:rsid w:val="00A03C8E"/>
    <w:rsid w:val="00A05CC1"/>
    <w:rsid w:val="00A110CD"/>
    <w:rsid w:val="00A11DDA"/>
    <w:rsid w:val="00A12297"/>
    <w:rsid w:val="00A12D85"/>
    <w:rsid w:val="00A1410C"/>
    <w:rsid w:val="00A14964"/>
    <w:rsid w:val="00A16A1A"/>
    <w:rsid w:val="00A16AD9"/>
    <w:rsid w:val="00A16CA4"/>
    <w:rsid w:val="00A17DFA"/>
    <w:rsid w:val="00A205B4"/>
    <w:rsid w:val="00A234DD"/>
    <w:rsid w:val="00A2409D"/>
    <w:rsid w:val="00A24C61"/>
    <w:rsid w:val="00A26688"/>
    <w:rsid w:val="00A27CA0"/>
    <w:rsid w:val="00A27D45"/>
    <w:rsid w:val="00A317D3"/>
    <w:rsid w:val="00A31E24"/>
    <w:rsid w:val="00A33584"/>
    <w:rsid w:val="00A3488C"/>
    <w:rsid w:val="00A35471"/>
    <w:rsid w:val="00A355B4"/>
    <w:rsid w:val="00A3724D"/>
    <w:rsid w:val="00A37333"/>
    <w:rsid w:val="00A412B4"/>
    <w:rsid w:val="00A41DD8"/>
    <w:rsid w:val="00A42750"/>
    <w:rsid w:val="00A428D5"/>
    <w:rsid w:val="00A42945"/>
    <w:rsid w:val="00A44018"/>
    <w:rsid w:val="00A44E96"/>
    <w:rsid w:val="00A514B9"/>
    <w:rsid w:val="00A515BC"/>
    <w:rsid w:val="00A5185A"/>
    <w:rsid w:val="00A51B9D"/>
    <w:rsid w:val="00A51F02"/>
    <w:rsid w:val="00A5225E"/>
    <w:rsid w:val="00A52C22"/>
    <w:rsid w:val="00A54267"/>
    <w:rsid w:val="00A543AA"/>
    <w:rsid w:val="00A54473"/>
    <w:rsid w:val="00A54ABF"/>
    <w:rsid w:val="00A54CF3"/>
    <w:rsid w:val="00A54F6A"/>
    <w:rsid w:val="00A56D06"/>
    <w:rsid w:val="00A57A55"/>
    <w:rsid w:val="00A60235"/>
    <w:rsid w:val="00A60EB5"/>
    <w:rsid w:val="00A617DE"/>
    <w:rsid w:val="00A61E78"/>
    <w:rsid w:val="00A6232B"/>
    <w:rsid w:val="00A635A8"/>
    <w:rsid w:val="00A63A5B"/>
    <w:rsid w:val="00A674F3"/>
    <w:rsid w:val="00A70EAB"/>
    <w:rsid w:val="00A71533"/>
    <w:rsid w:val="00A72FDC"/>
    <w:rsid w:val="00A733C6"/>
    <w:rsid w:val="00A77185"/>
    <w:rsid w:val="00A805B1"/>
    <w:rsid w:val="00A80CB7"/>
    <w:rsid w:val="00A81AD6"/>
    <w:rsid w:val="00A824DE"/>
    <w:rsid w:val="00A85F18"/>
    <w:rsid w:val="00A86DDD"/>
    <w:rsid w:val="00A87753"/>
    <w:rsid w:val="00A9007F"/>
    <w:rsid w:val="00A92BAA"/>
    <w:rsid w:val="00A94EB4"/>
    <w:rsid w:val="00A96E11"/>
    <w:rsid w:val="00A9768D"/>
    <w:rsid w:val="00AA2F66"/>
    <w:rsid w:val="00AA35B1"/>
    <w:rsid w:val="00AA3ED8"/>
    <w:rsid w:val="00AA470B"/>
    <w:rsid w:val="00AA49EF"/>
    <w:rsid w:val="00AA4F27"/>
    <w:rsid w:val="00AA51EC"/>
    <w:rsid w:val="00AA5310"/>
    <w:rsid w:val="00AA7275"/>
    <w:rsid w:val="00AB1010"/>
    <w:rsid w:val="00AB1FC5"/>
    <w:rsid w:val="00AB2D79"/>
    <w:rsid w:val="00AB3301"/>
    <w:rsid w:val="00AB420C"/>
    <w:rsid w:val="00AB772E"/>
    <w:rsid w:val="00AB7B60"/>
    <w:rsid w:val="00AC2105"/>
    <w:rsid w:val="00AC2A16"/>
    <w:rsid w:val="00AC30B8"/>
    <w:rsid w:val="00AC356A"/>
    <w:rsid w:val="00AC3D41"/>
    <w:rsid w:val="00AC3E22"/>
    <w:rsid w:val="00AC3FBF"/>
    <w:rsid w:val="00AC42E1"/>
    <w:rsid w:val="00AC51B5"/>
    <w:rsid w:val="00AC5C01"/>
    <w:rsid w:val="00AD0446"/>
    <w:rsid w:val="00AD0461"/>
    <w:rsid w:val="00AD06FE"/>
    <w:rsid w:val="00AD09AA"/>
    <w:rsid w:val="00AD6107"/>
    <w:rsid w:val="00AD771A"/>
    <w:rsid w:val="00AE3FE3"/>
    <w:rsid w:val="00AE438D"/>
    <w:rsid w:val="00AE4B49"/>
    <w:rsid w:val="00AE4F21"/>
    <w:rsid w:val="00AE69F5"/>
    <w:rsid w:val="00AF0020"/>
    <w:rsid w:val="00AF063E"/>
    <w:rsid w:val="00AF0ED3"/>
    <w:rsid w:val="00AF1893"/>
    <w:rsid w:val="00AF50B1"/>
    <w:rsid w:val="00AF562E"/>
    <w:rsid w:val="00AF640D"/>
    <w:rsid w:val="00AF65CE"/>
    <w:rsid w:val="00AF6797"/>
    <w:rsid w:val="00AF682B"/>
    <w:rsid w:val="00AF6D1B"/>
    <w:rsid w:val="00AF795A"/>
    <w:rsid w:val="00B00BE4"/>
    <w:rsid w:val="00B00FF4"/>
    <w:rsid w:val="00B0304E"/>
    <w:rsid w:val="00B03142"/>
    <w:rsid w:val="00B03FE7"/>
    <w:rsid w:val="00B04C41"/>
    <w:rsid w:val="00B0522C"/>
    <w:rsid w:val="00B06A66"/>
    <w:rsid w:val="00B06CEC"/>
    <w:rsid w:val="00B11571"/>
    <w:rsid w:val="00B11C2D"/>
    <w:rsid w:val="00B12F8D"/>
    <w:rsid w:val="00B13D77"/>
    <w:rsid w:val="00B14679"/>
    <w:rsid w:val="00B15E3F"/>
    <w:rsid w:val="00B1604B"/>
    <w:rsid w:val="00B201F5"/>
    <w:rsid w:val="00B21A10"/>
    <w:rsid w:val="00B21B81"/>
    <w:rsid w:val="00B21F78"/>
    <w:rsid w:val="00B2248A"/>
    <w:rsid w:val="00B22557"/>
    <w:rsid w:val="00B227F3"/>
    <w:rsid w:val="00B25477"/>
    <w:rsid w:val="00B25B83"/>
    <w:rsid w:val="00B26504"/>
    <w:rsid w:val="00B26EDC"/>
    <w:rsid w:val="00B30210"/>
    <w:rsid w:val="00B305B6"/>
    <w:rsid w:val="00B313B8"/>
    <w:rsid w:val="00B31834"/>
    <w:rsid w:val="00B31B9A"/>
    <w:rsid w:val="00B330E6"/>
    <w:rsid w:val="00B33769"/>
    <w:rsid w:val="00B3382E"/>
    <w:rsid w:val="00B341C7"/>
    <w:rsid w:val="00B34993"/>
    <w:rsid w:val="00B3534F"/>
    <w:rsid w:val="00B3548F"/>
    <w:rsid w:val="00B36098"/>
    <w:rsid w:val="00B366B7"/>
    <w:rsid w:val="00B36E5B"/>
    <w:rsid w:val="00B37923"/>
    <w:rsid w:val="00B40D68"/>
    <w:rsid w:val="00B410D0"/>
    <w:rsid w:val="00B411D7"/>
    <w:rsid w:val="00B41707"/>
    <w:rsid w:val="00B42960"/>
    <w:rsid w:val="00B4455D"/>
    <w:rsid w:val="00B46163"/>
    <w:rsid w:val="00B466C1"/>
    <w:rsid w:val="00B47AC7"/>
    <w:rsid w:val="00B47E89"/>
    <w:rsid w:val="00B50379"/>
    <w:rsid w:val="00B5240F"/>
    <w:rsid w:val="00B53A43"/>
    <w:rsid w:val="00B54786"/>
    <w:rsid w:val="00B55CFD"/>
    <w:rsid w:val="00B57345"/>
    <w:rsid w:val="00B57527"/>
    <w:rsid w:val="00B60345"/>
    <w:rsid w:val="00B61546"/>
    <w:rsid w:val="00B61D23"/>
    <w:rsid w:val="00B62D0A"/>
    <w:rsid w:val="00B64A14"/>
    <w:rsid w:val="00B6685E"/>
    <w:rsid w:val="00B66FCE"/>
    <w:rsid w:val="00B678F5"/>
    <w:rsid w:val="00B67A52"/>
    <w:rsid w:val="00B70B3A"/>
    <w:rsid w:val="00B72F94"/>
    <w:rsid w:val="00B73B1D"/>
    <w:rsid w:val="00B74786"/>
    <w:rsid w:val="00B74B15"/>
    <w:rsid w:val="00B750C0"/>
    <w:rsid w:val="00B75628"/>
    <w:rsid w:val="00B763B7"/>
    <w:rsid w:val="00B81D09"/>
    <w:rsid w:val="00B8293B"/>
    <w:rsid w:val="00B82E49"/>
    <w:rsid w:val="00B841C8"/>
    <w:rsid w:val="00B84CCC"/>
    <w:rsid w:val="00B85EA8"/>
    <w:rsid w:val="00B91EF6"/>
    <w:rsid w:val="00B91FF7"/>
    <w:rsid w:val="00B92387"/>
    <w:rsid w:val="00B94ED9"/>
    <w:rsid w:val="00B95CAD"/>
    <w:rsid w:val="00B96085"/>
    <w:rsid w:val="00B96DC6"/>
    <w:rsid w:val="00B9721E"/>
    <w:rsid w:val="00B97C42"/>
    <w:rsid w:val="00BA0DFF"/>
    <w:rsid w:val="00BA12E0"/>
    <w:rsid w:val="00BA1306"/>
    <w:rsid w:val="00BA2249"/>
    <w:rsid w:val="00BA28E5"/>
    <w:rsid w:val="00BA364E"/>
    <w:rsid w:val="00BA5742"/>
    <w:rsid w:val="00BA5DA0"/>
    <w:rsid w:val="00BA620C"/>
    <w:rsid w:val="00BA6D4E"/>
    <w:rsid w:val="00BA7ADD"/>
    <w:rsid w:val="00BB01FB"/>
    <w:rsid w:val="00BB0590"/>
    <w:rsid w:val="00BB0EF5"/>
    <w:rsid w:val="00BB1625"/>
    <w:rsid w:val="00BB1D53"/>
    <w:rsid w:val="00BB1FFD"/>
    <w:rsid w:val="00BB21BA"/>
    <w:rsid w:val="00BB233A"/>
    <w:rsid w:val="00BB2AC0"/>
    <w:rsid w:val="00BB2E48"/>
    <w:rsid w:val="00BB3341"/>
    <w:rsid w:val="00BB4588"/>
    <w:rsid w:val="00BB5421"/>
    <w:rsid w:val="00BB6508"/>
    <w:rsid w:val="00BB6990"/>
    <w:rsid w:val="00BB7861"/>
    <w:rsid w:val="00BC059C"/>
    <w:rsid w:val="00BC08DA"/>
    <w:rsid w:val="00BC2AC5"/>
    <w:rsid w:val="00BC308A"/>
    <w:rsid w:val="00BC4F42"/>
    <w:rsid w:val="00BC6A1E"/>
    <w:rsid w:val="00BC764B"/>
    <w:rsid w:val="00BC7A87"/>
    <w:rsid w:val="00BD0653"/>
    <w:rsid w:val="00BD07C2"/>
    <w:rsid w:val="00BD130D"/>
    <w:rsid w:val="00BD340F"/>
    <w:rsid w:val="00BD5F99"/>
    <w:rsid w:val="00BD70B4"/>
    <w:rsid w:val="00BE03A2"/>
    <w:rsid w:val="00BE0B6F"/>
    <w:rsid w:val="00BE1FE1"/>
    <w:rsid w:val="00BE3C84"/>
    <w:rsid w:val="00BE4627"/>
    <w:rsid w:val="00BE485E"/>
    <w:rsid w:val="00BE544D"/>
    <w:rsid w:val="00BE581D"/>
    <w:rsid w:val="00BE6094"/>
    <w:rsid w:val="00BE6098"/>
    <w:rsid w:val="00BF0457"/>
    <w:rsid w:val="00BF053B"/>
    <w:rsid w:val="00BF1A98"/>
    <w:rsid w:val="00BF21EC"/>
    <w:rsid w:val="00BF3E4B"/>
    <w:rsid w:val="00BF53B8"/>
    <w:rsid w:val="00BF5444"/>
    <w:rsid w:val="00BF562C"/>
    <w:rsid w:val="00BF585A"/>
    <w:rsid w:val="00BF5AB9"/>
    <w:rsid w:val="00BF60A9"/>
    <w:rsid w:val="00BF78E3"/>
    <w:rsid w:val="00C01043"/>
    <w:rsid w:val="00C0489A"/>
    <w:rsid w:val="00C07BD0"/>
    <w:rsid w:val="00C07C16"/>
    <w:rsid w:val="00C10488"/>
    <w:rsid w:val="00C10575"/>
    <w:rsid w:val="00C1190B"/>
    <w:rsid w:val="00C14340"/>
    <w:rsid w:val="00C1475D"/>
    <w:rsid w:val="00C161EF"/>
    <w:rsid w:val="00C1653E"/>
    <w:rsid w:val="00C224D1"/>
    <w:rsid w:val="00C2264C"/>
    <w:rsid w:val="00C23589"/>
    <w:rsid w:val="00C23D12"/>
    <w:rsid w:val="00C23FBC"/>
    <w:rsid w:val="00C26A3A"/>
    <w:rsid w:val="00C30D3E"/>
    <w:rsid w:val="00C31BF4"/>
    <w:rsid w:val="00C32317"/>
    <w:rsid w:val="00C32A5F"/>
    <w:rsid w:val="00C33242"/>
    <w:rsid w:val="00C34B1D"/>
    <w:rsid w:val="00C363F8"/>
    <w:rsid w:val="00C404C7"/>
    <w:rsid w:val="00C404DE"/>
    <w:rsid w:val="00C40B4C"/>
    <w:rsid w:val="00C4124A"/>
    <w:rsid w:val="00C4177B"/>
    <w:rsid w:val="00C41813"/>
    <w:rsid w:val="00C43994"/>
    <w:rsid w:val="00C443C5"/>
    <w:rsid w:val="00C44ADF"/>
    <w:rsid w:val="00C4516F"/>
    <w:rsid w:val="00C45354"/>
    <w:rsid w:val="00C45AAF"/>
    <w:rsid w:val="00C45BFE"/>
    <w:rsid w:val="00C466D6"/>
    <w:rsid w:val="00C46C98"/>
    <w:rsid w:val="00C50170"/>
    <w:rsid w:val="00C50463"/>
    <w:rsid w:val="00C506EE"/>
    <w:rsid w:val="00C51410"/>
    <w:rsid w:val="00C52F16"/>
    <w:rsid w:val="00C53053"/>
    <w:rsid w:val="00C541F6"/>
    <w:rsid w:val="00C55A32"/>
    <w:rsid w:val="00C55E22"/>
    <w:rsid w:val="00C56D81"/>
    <w:rsid w:val="00C57917"/>
    <w:rsid w:val="00C6353A"/>
    <w:rsid w:val="00C640E0"/>
    <w:rsid w:val="00C64B4C"/>
    <w:rsid w:val="00C6558D"/>
    <w:rsid w:val="00C672C9"/>
    <w:rsid w:val="00C70318"/>
    <w:rsid w:val="00C71077"/>
    <w:rsid w:val="00C73279"/>
    <w:rsid w:val="00C733C3"/>
    <w:rsid w:val="00C7516C"/>
    <w:rsid w:val="00C758E1"/>
    <w:rsid w:val="00C75CC2"/>
    <w:rsid w:val="00C807E9"/>
    <w:rsid w:val="00C809AB"/>
    <w:rsid w:val="00C80C5B"/>
    <w:rsid w:val="00C80C6A"/>
    <w:rsid w:val="00C80E8A"/>
    <w:rsid w:val="00C81138"/>
    <w:rsid w:val="00C817D8"/>
    <w:rsid w:val="00C82BF3"/>
    <w:rsid w:val="00C83E3D"/>
    <w:rsid w:val="00C8671C"/>
    <w:rsid w:val="00C86810"/>
    <w:rsid w:val="00C902CE"/>
    <w:rsid w:val="00C90862"/>
    <w:rsid w:val="00C91747"/>
    <w:rsid w:val="00C91894"/>
    <w:rsid w:val="00C9220A"/>
    <w:rsid w:val="00C92DD8"/>
    <w:rsid w:val="00C93E27"/>
    <w:rsid w:val="00C94A8A"/>
    <w:rsid w:val="00C94BFC"/>
    <w:rsid w:val="00C94F03"/>
    <w:rsid w:val="00C95D3A"/>
    <w:rsid w:val="00C95FD6"/>
    <w:rsid w:val="00C96736"/>
    <w:rsid w:val="00C96A43"/>
    <w:rsid w:val="00C96B14"/>
    <w:rsid w:val="00CA0864"/>
    <w:rsid w:val="00CA0E06"/>
    <w:rsid w:val="00CA14A8"/>
    <w:rsid w:val="00CA451E"/>
    <w:rsid w:val="00CA6340"/>
    <w:rsid w:val="00CA6BD3"/>
    <w:rsid w:val="00CA6FCF"/>
    <w:rsid w:val="00CA7F83"/>
    <w:rsid w:val="00CB0378"/>
    <w:rsid w:val="00CB2A99"/>
    <w:rsid w:val="00CB57AA"/>
    <w:rsid w:val="00CB5EDD"/>
    <w:rsid w:val="00CB73D3"/>
    <w:rsid w:val="00CB7A19"/>
    <w:rsid w:val="00CC1123"/>
    <w:rsid w:val="00CC14A7"/>
    <w:rsid w:val="00CC2F9F"/>
    <w:rsid w:val="00CC3A07"/>
    <w:rsid w:val="00CC44B8"/>
    <w:rsid w:val="00CC4583"/>
    <w:rsid w:val="00CC45FF"/>
    <w:rsid w:val="00CC4AB8"/>
    <w:rsid w:val="00CC6FE0"/>
    <w:rsid w:val="00CC7CCD"/>
    <w:rsid w:val="00CD02F8"/>
    <w:rsid w:val="00CD128E"/>
    <w:rsid w:val="00CD159E"/>
    <w:rsid w:val="00CD294B"/>
    <w:rsid w:val="00CD29D6"/>
    <w:rsid w:val="00CD3416"/>
    <w:rsid w:val="00CD52F5"/>
    <w:rsid w:val="00CD5F00"/>
    <w:rsid w:val="00CD5F84"/>
    <w:rsid w:val="00CD68AC"/>
    <w:rsid w:val="00CD6D12"/>
    <w:rsid w:val="00CE05B5"/>
    <w:rsid w:val="00CE1C85"/>
    <w:rsid w:val="00CE506A"/>
    <w:rsid w:val="00CE67E9"/>
    <w:rsid w:val="00CE7F8D"/>
    <w:rsid w:val="00CF0BAA"/>
    <w:rsid w:val="00CF1013"/>
    <w:rsid w:val="00CF2417"/>
    <w:rsid w:val="00CF253D"/>
    <w:rsid w:val="00CF36D7"/>
    <w:rsid w:val="00CF6D07"/>
    <w:rsid w:val="00CF7CC2"/>
    <w:rsid w:val="00D00A97"/>
    <w:rsid w:val="00D0162D"/>
    <w:rsid w:val="00D03DE9"/>
    <w:rsid w:val="00D03EE3"/>
    <w:rsid w:val="00D04381"/>
    <w:rsid w:val="00D05C82"/>
    <w:rsid w:val="00D0692B"/>
    <w:rsid w:val="00D06E21"/>
    <w:rsid w:val="00D072C6"/>
    <w:rsid w:val="00D07C9A"/>
    <w:rsid w:val="00D10002"/>
    <w:rsid w:val="00D109B8"/>
    <w:rsid w:val="00D11840"/>
    <w:rsid w:val="00D12D16"/>
    <w:rsid w:val="00D15A3B"/>
    <w:rsid w:val="00D16358"/>
    <w:rsid w:val="00D16AF3"/>
    <w:rsid w:val="00D16FBF"/>
    <w:rsid w:val="00D21DA0"/>
    <w:rsid w:val="00D22C57"/>
    <w:rsid w:val="00D22EA2"/>
    <w:rsid w:val="00D23482"/>
    <w:rsid w:val="00D23599"/>
    <w:rsid w:val="00D23CCC"/>
    <w:rsid w:val="00D24427"/>
    <w:rsid w:val="00D24B7D"/>
    <w:rsid w:val="00D25C7D"/>
    <w:rsid w:val="00D2671D"/>
    <w:rsid w:val="00D327A4"/>
    <w:rsid w:val="00D338E3"/>
    <w:rsid w:val="00D340B3"/>
    <w:rsid w:val="00D3459A"/>
    <w:rsid w:val="00D34B19"/>
    <w:rsid w:val="00D351A1"/>
    <w:rsid w:val="00D36427"/>
    <w:rsid w:val="00D36CAC"/>
    <w:rsid w:val="00D36F07"/>
    <w:rsid w:val="00D37AB7"/>
    <w:rsid w:val="00D40840"/>
    <w:rsid w:val="00D4129A"/>
    <w:rsid w:val="00D43044"/>
    <w:rsid w:val="00D459AB"/>
    <w:rsid w:val="00D46876"/>
    <w:rsid w:val="00D47E8C"/>
    <w:rsid w:val="00D50006"/>
    <w:rsid w:val="00D5126C"/>
    <w:rsid w:val="00D51F95"/>
    <w:rsid w:val="00D521BB"/>
    <w:rsid w:val="00D5579E"/>
    <w:rsid w:val="00D57120"/>
    <w:rsid w:val="00D6081E"/>
    <w:rsid w:val="00D61C40"/>
    <w:rsid w:val="00D625E9"/>
    <w:rsid w:val="00D6519F"/>
    <w:rsid w:val="00D6787F"/>
    <w:rsid w:val="00D72832"/>
    <w:rsid w:val="00D72C2A"/>
    <w:rsid w:val="00D72CCB"/>
    <w:rsid w:val="00D7330E"/>
    <w:rsid w:val="00D73B59"/>
    <w:rsid w:val="00D74A38"/>
    <w:rsid w:val="00D766B4"/>
    <w:rsid w:val="00D773FF"/>
    <w:rsid w:val="00D77711"/>
    <w:rsid w:val="00D77AF5"/>
    <w:rsid w:val="00D80177"/>
    <w:rsid w:val="00D843A0"/>
    <w:rsid w:val="00D84B95"/>
    <w:rsid w:val="00D85B9A"/>
    <w:rsid w:val="00D85FCC"/>
    <w:rsid w:val="00D868EF"/>
    <w:rsid w:val="00D874A1"/>
    <w:rsid w:val="00D87CC8"/>
    <w:rsid w:val="00D87CF4"/>
    <w:rsid w:val="00D90AE2"/>
    <w:rsid w:val="00D90FB7"/>
    <w:rsid w:val="00D9272D"/>
    <w:rsid w:val="00D92E5D"/>
    <w:rsid w:val="00D93C9E"/>
    <w:rsid w:val="00D949BC"/>
    <w:rsid w:val="00D95081"/>
    <w:rsid w:val="00D9551E"/>
    <w:rsid w:val="00D958D7"/>
    <w:rsid w:val="00D96A9A"/>
    <w:rsid w:val="00D974D5"/>
    <w:rsid w:val="00DA099B"/>
    <w:rsid w:val="00DA3C13"/>
    <w:rsid w:val="00DA531F"/>
    <w:rsid w:val="00DA5878"/>
    <w:rsid w:val="00DA6623"/>
    <w:rsid w:val="00DA6829"/>
    <w:rsid w:val="00DB1449"/>
    <w:rsid w:val="00DB1596"/>
    <w:rsid w:val="00DB36AE"/>
    <w:rsid w:val="00DB3EFE"/>
    <w:rsid w:val="00DB7BA5"/>
    <w:rsid w:val="00DC2B07"/>
    <w:rsid w:val="00DC2EBC"/>
    <w:rsid w:val="00DC40F2"/>
    <w:rsid w:val="00DC40F9"/>
    <w:rsid w:val="00DC44DD"/>
    <w:rsid w:val="00DC4698"/>
    <w:rsid w:val="00DC522A"/>
    <w:rsid w:val="00DD2530"/>
    <w:rsid w:val="00DD3E61"/>
    <w:rsid w:val="00DD497F"/>
    <w:rsid w:val="00DD5658"/>
    <w:rsid w:val="00DD6C2B"/>
    <w:rsid w:val="00DE069A"/>
    <w:rsid w:val="00DE3390"/>
    <w:rsid w:val="00DE579C"/>
    <w:rsid w:val="00DE5E8A"/>
    <w:rsid w:val="00DE7D50"/>
    <w:rsid w:val="00DF033F"/>
    <w:rsid w:val="00DF0783"/>
    <w:rsid w:val="00DF0D85"/>
    <w:rsid w:val="00DF2FE8"/>
    <w:rsid w:val="00DF3289"/>
    <w:rsid w:val="00DF3996"/>
    <w:rsid w:val="00DF4A90"/>
    <w:rsid w:val="00DF6EDD"/>
    <w:rsid w:val="00DF7674"/>
    <w:rsid w:val="00E019E2"/>
    <w:rsid w:val="00E01BB6"/>
    <w:rsid w:val="00E022FB"/>
    <w:rsid w:val="00E02594"/>
    <w:rsid w:val="00E03F10"/>
    <w:rsid w:val="00E04DBF"/>
    <w:rsid w:val="00E05403"/>
    <w:rsid w:val="00E05AFF"/>
    <w:rsid w:val="00E05D11"/>
    <w:rsid w:val="00E07332"/>
    <w:rsid w:val="00E07F0D"/>
    <w:rsid w:val="00E10EBA"/>
    <w:rsid w:val="00E15E41"/>
    <w:rsid w:val="00E16167"/>
    <w:rsid w:val="00E16262"/>
    <w:rsid w:val="00E2068B"/>
    <w:rsid w:val="00E20B9A"/>
    <w:rsid w:val="00E21164"/>
    <w:rsid w:val="00E2127D"/>
    <w:rsid w:val="00E216B1"/>
    <w:rsid w:val="00E224AB"/>
    <w:rsid w:val="00E22BFF"/>
    <w:rsid w:val="00E22ED9"/>
    <w:rsid w:val="00E24772"/>
    <w:rsid w:val="00E25B79"/>
    <w:rsid w:val="00E26132"/>
    <w:rsid w:val="00E27CE7"/>
    <w:rsid w:val="00E32191"/>
    <w:rsid w:val="00E323A6"/>
    <w:rsid w:val="00E33ABA"/>
    <w:rsid w:val="00E35112"/>
    <w:rsid w:val="00E35872"/>
    <w:rsid w:val="00E35968"/>
    <w:rsid w:val="00E35D90"/>
    <w:rsid w:val="00E36FC0"/>
    <w:rsid w:val="00E408DC"/>
    <w:rsid w:val="00E40A7E"/>
    <w:rsid w:val="00E42A86"/>
    <w:rsid w:val="00E42CD2"/>
    <w:rsid w:val="00E43125"/>
    <w:rsid w:val="00E43D3D"/>
    <w:rsid w:val="00E4616A"/>
    <w:rsid w:val="00E46931"/>
    <w:rsid w:val="00E47404"/>
    <w:rsid w:val="00E512F6"/>
    <w:rsid w:val="00E51A25"/>
    <w:rsid w:val="00E51DFB"/>
    <w:rsid w:val="00E52270"/>
    <w:rsid w:val="00E52A75"/>
    <w:rsid w:val="00E52AC5"/>
    <w:rsid w:val="00E53D91"/>
    <w:rsid w:val="00E56644"/>
    <w:rsid w:val="00E57653"/>
    <w:rsid w:val="00E576CD"/>
    <w:rsid w:val="00E57A68"/>
    <w:rsid w:val="00E60225"/>
    <w:rsid w:val="00E62F5B"/>
    <w:rsid w:val="00E635A1"/>
    <w:rsid w:val="00E63F57"/>
    <w:rsid w:val="00E64841"/>
    <w:rsid w:val="00E6567F"/>
    <w:rsid w:val="00E67627"/>
    <w:rsid w:val="00E67842"/>
    <w:rsid w:val="00E70162"/>
    <w:rsid w:val="00E70B99"/>
    <w:rsid w:val="00E7106E"/>
    <w:rsid w:val="00E71853"/>
    <w:rsid w:val="00E72694"/>
    <w:rsid w:val="00E72E3D"/>
    <w:rsid w:val="00E73660"/>
    <w:rsid w:val="00E73888"/>
    <w:rsid w:val="00E73C0D"/>
    <w:rsid w:val="00E746AC"/>
    <w:rsid w:val="00E75C90"/>
    <w:rsid w:val="00E76D2D"/>
    <w:rsid w:val="00E775D7"/>
    <w:rsid w:val="00E8023C"/>
    <w:rsid w:val="00E805CA"/>
    <w:rsid w:val="00E80BD1"/>
    <w:rsid w:val="00E81174"/>
    <w:rsid w:val="00E836F0"/>
    <w:rsid w:val="00E83D7A"/>
    <w:rsid w:val="00E84180"/>
    <w:rsid w:val="00E86865"/>
    <w:rsid w:val="00E86CCA"/>
    <w:rsid w:val="00E87293"/>
    <w:rsid w:val="00E9064C"/>
    <w:rsid w:val="00E9446B"/>
    <w:rsid w:val="00E95624"/>
    <w:rsid w:val="00E956B1"/>
    <w:rsid w:val="00E96013"/>
    <w:rsid w:val="00E972AE"/>
    <w:rsid w:val="00EA0154"/>
    <w:rsid w:val="00EA03A3"/>
    <w:rsid w:val="00EA0EBD"/>
    <w:rsid w:val="00EA1EB7"/>
    <w:rsid w:val="00EA2167"/>
    <w:rsid w:val="00EA24EA"/>
    <w:rsid w:val="00EA42F2"/>
    <w:rsid w:val="00EA5250"/>
    <w:rsid w:val="00EA5618"/>
    <w:rsid w:val="00EA5678"/>
    <w:rsid w:val="00EA60CD"/>
    <w:rsid w:val="00EA6C4F"/>
    <w:rsid w:val="00EA7458"/>
    <w:rsid w:val="00EB09E3"/>
    <w:rsid w:val="00EB10F6"/>
    <w:rsid w:val="00EB1E8C"/>
    <w:rsid w:val="00EB1FD8"/>
    <w:rsid w:val="00EB24EB"/>
    <w:rsid w:val="00EB2695"/>
    <w:rsid w:val="00EB492A"/>
    <w:rsid w:val="00EB49CB"/>
    <w:rsid w:val="00EB562C"/>
    <w:rsid w:val="00EB6637"/>
    <w:rsid w:val="00EB7DAA"/>
    <w:rsid w:val="00EC02E0"/>
    <w:rsid w:val="00EC26C1"/>
    <w:rsid w:val="00EC3B52"/>
    <w:rsid w:val="00EC3F2A"/>
    <w:rsid w:val="00EC4969"/>
    <w:rsid w:val="00EC4A34"/>
    <w:rsid w:val="00EC50F8"/>
    <w:rsid w:val="00EC544A"/>
    <w:rsid w:val="00EC5FCA"/>
    <w:rsid w:val="00EC6645"/>
    <w:rsid w:val="00EC72D4"/>
    <w:rsid w:val="00ED08B2"/>
    <w:rsid w:val="00ED1544"/>
    <w:rsid w:val="00ED2D49"/>
    <w:rsid w:val="00ED4D4A"/>
    <w:rsid w:val="00ED6196"/>
    <w:rsid w:val="00ED698B"/>
    <w:rsid w:val="00EE01A1"/>
    <w:rsid w:val="00EE201C"/>
    <w:rsid w:val="00EE33BB"/>
    <w:rsid w:val="00EE3FF0"/>
    <w:rsid w:val="00EE4301"/>
    <w:rsid w:val="00EE710B"/>
    <w:rsid w:val="00EE7AEB"/>
    <w:rsid w:val="00EF0537"/>
    <w:rsid w:val="00EF1EE1"/>
    <w:rsid w:val="00EF3B35"/>
    <w:rsid w:val="00EF409E"/>
    <w:rsid w:val="00EF554B"/>
    <w:rsid w:val="00EF5756"/>
    <w:rsid w:val="00EF59BC"/>
    <w:rsid w:val="00EF6619"/>
    <w:rsid w:val="00EF6A90"/>
    <w:rsid w:val="00EF71C6"/>
    <w:rsid w:val="00EF73A6"/>
    <w:rsid w:val="00F0058D"/>
    <w:rsid w:val="00F025F1"/>
    <w:rsid w:val="00F02BE3"/>
    <w:rsid w:val="00F03445"/>
    <w:rsid w:val="00F06359"/>
    <w:rsid w:val="00F077D3"/>
    <w:rsid w:val="00F1114B"/>
    <w:rsid w:val="00F12279"/>
    <w:rsid w:val="00F12816"/>
    <w:rsid w:val="00F12DBE"/>
    <w:rsid w:val="00F15593"/>
    <w:rsid w:val="00F15F2D"/>
    <w:rsid w:val="00F16F72"/>
    <w:rsid w:val="00F221CF"/>
    <w:rsid w:val="00F24002"/>
    <w:rsid w:val="00F2601A"/>
    <w:rsid w:val="00F26BB4"/>
    <w:rsid w:val="00F277A2"/>
    <w:rsid w:val="00F277A4"/>
    <w:rsid w:val="00F304A3"/>
    <w:rsid w:val="00F3585D"/>
    <w:rsid w:val="00F36F29"/>
    <w:rsid w:val="00F37167"/>
    <w:rsid w:val="00F411F1"/>
    <w:rsid w:val="00F4131D"/>
    <w:rsid w:val="00F43924"/>
    <w:rsid w:val="00F4422D"/>
    <w:rsid w:val="00F4439C"/>
    <w:rsid w:val="00F44B2B"/>
    <w:rsid w:val="00F45F20"/>
    <w:rsid w:val="00F46F7B"/>
    <w:rsid w:val="00F46FD4"/>
    <w:rsid w:val="00F4721B"/>
    <w:rsid w:val="00F472AC"/>
    <w:rsid w:val="00F51B2C"/>
    <w:rsid w:val="00F53077"/>
    <w:rsid w:val="00F544AB"/>
    <w:rsid w:val="00F55266"/>
    <w:rsid w:val="00F56338"/>
    <w:rsid w:val="00F565B0"/>
    <w:rsid w:val="00F57BC2"/>
    <w:rsid w:val="00F61488"/>
    <w:rsid w:val="00F63AA4"/>
    <w:rsid w:val="00F64475"/>
    <w:rsid w:val="00F65086"/>
    <w:rsid w:val="00F655A5"/>
    <w:rsid w:val="00F6563F"/>
    <w:rsid w:val="00F659D8"/>
    <w:rsid w:val="00F72369"/>
    <w:rsid w:val="00F7290F"/>
    <w:rsid w:val="00F7342D"/>
    <w:rsid w:val="00F740C9"/>
    <w:rsid w:val="00F74279"/>
    <w:rsid w:val="00F75BB4"/>
    <w:rsid w:val="00F762BD"/>
    <w:rsid w:val="00F77DB1"/>
    <w:rsid w:val="00F77DEB"/>
    <w:rsid w:val="00F80203"/>
    <w:rsid w:val="00F80EE8"/>
    <w:rsid w:val="00F819AF"/>
    <w:rsid w:val="00F84421"/>
    <w:rsid w:val="00F8492C"/>
    <w:rsid w:val="00F9106B"/>
    <w:rsid w:val="00F9164E"/>
    <w:rsid w:val="00F917D8"/>
    <w:rsid w:val="00F91EE6"/>
    <w:rsid w:val="00F933DA"/>
    <w:rsid w:val="00F941AB"/>
    <w:rsid w:val="00F9457B"/>
    <w:rsid w:val="00F94E89"/>
    <w:rsid w:val="00F96253"/>
    <w:rsid w:val="00F96E08"/>
    <w:rsid w:val="00F97C51"/>
    <w:rsid w:val="00FA04EE"/>
    <w:rsid w:val="00FA0540"/>
    <w:rsid w:val="00FA0EEF"/>
    <w:rsid w:val="00FA15FA"/>
    <w:rsid w:val="00FA53F3"/>
    <w:rsid w:val="00FA6675"/>
    <w:rsid w:val="00FA6B8D"/>
    <w:rsid w:val="00FA7D58"/>
    <w:rsid w:val="00FA7E99"/>
    <w:rsid w:val="00FB13E8"/>
    <w:rsid w:val="00FB1977"/>
    <w:rsid w:val="00FB20DB"/>
    <w:rsid w:val="00FB2371"/>
    <w:rsid w:val="00FB3DCA"/>
    <w:rsid w:val="00FB405F"/>
    <w:rsid w:val="00FB4217"/>
    <w:rsid w:val="00FB438B"/>
    <w:rsid w:val="00FB52C6"/>
    <w:rsid w:val="00FB5B07"/>
    <w:rsid w:val="00FB71AA"/>
    <w:rsid w:val="00FB7651"/>
    <w:rsid w:val="00FC18E4"/>
    <w:rsid w:val="00FC1F5F"/>
    <w:rsid w:val="00FC1F94"/>
    <w:rsid w:val="00FC3D49"/>
    <w:rsid w:val="00FC5245"/>
    <w:rsid w:val="00FC668A"/>
    <w:rsid w:val="00FC7EF1"/>
    <w:rsid w:val="00FD1FE4"/>
    <w:rsid w:val="00FD30C7"/>
    <w:rsid w:val="00FD44B7"/>
    <w:rsid w:val="00FD4659"/>
    <w:rsid w:val="00FD50A8"/>
    <w:rsid w:val="00FD5238"/>
    <w:rsid w:val="00FD55D6"/>
    <w:rsid w:val="00FD5953"/>
    <w:rsid w:val="00FD6A84"/>
    <w:rsid w:val="00FD7096"/>
    <w:rsid w:val="00FD7B98"/>
    <w:rsid w:val="00FE21D0"/>
    <w:rsid w:val="00FE2C51"/>
    <w:rsid w:val="00FE5E7E"/>
    <w:rsid w:val="00FE6115"/>
    <w:rsid w:val="00FE6A69"/>
    <w:rsid w:val="00FE7FF6"/>
    <w:rsid w:val="00FF018C"/>
    <w:rsid w:val="00FF1089"/>
    <w:rsid w:val="00FF4DA8"/>
    <w:rsid w:val="00FF54AB"/>
    <w:rsid w:val="00FF595E"/>
    <w:rsid w:val="00FF5FE0"/>
    <w:rsid w:val="00FF6075"/>
    <w:rsid w:val="00FF6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8CE287"/>
  <w15:docId w15:val="{A7A408CB-7150-4B82-B4F8-2E6B431F5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rPr>
  </w:style>
  <w:style w:type="paragraph" w:styleId="Heading1">
    <w:name w:val="heading 1"/>
    <w:basedOn w:val="Normal"/>
    <w:next w:val="Normal"/>
    <w:link w:val="Heading1Char"/>
    <w:uiPriority w:val="9"/>
    <w:qFormat/>
    <w:rsid w:val="00E8023C"/>
    <w:pPr>
      <w:keepNext/>
      <w:keepLines/>
      <w:numPr>
        <w:numId w:val="6"/>
      </w:numPr>
      <w:spacing w:before="240" w:after="0"/>
      <w:outlineLvl w:val="0"/>
    </w:pPr>
    <w:rPr>
      <w:rFonts w:ascii="Times New Roman" w:eastAsiaTheme="majorEastAsia" w:hAnsi="Times New Roman" w:cstheme="majorBidi"/>
      <w:b/>
      <w:sz w:val="24"/>
      <w:szCs w:val="32"/>
    </w:rPr>
  </w:style>
  <w:style w:type="paragraph" w:styleId="Heading2">
    <w:name w:val="heading 2"/>
    <w:basedOn w:val="Heading1"/>
    <w:next w:val="Normal"/>
    <w:link w:val="Heading2Char"/>
    <w:uiPriority w:val="9"/>
    <w:unhideWhenUsed/>
    <w:qFormat/>
    <w:rsid w:val="00E8023C"/>
    <w:pPr>
      <w:numPr>
        <w:ilvl w:val="1"/>
      </w:numPr>
      <w:spacing w:before="40"/>
      <w:outlineLvl w:val="1"/>
    </w:pPr>
    <w:rPr>
      <w:szCs w:val="26"/>
    </w:rPr>
  </w:style>
  <w:style w:type="paragraph" w:styleId="Heading3">
    <w:name w:val="heading 3"/>
    <w:basedOn w:val="Normal"/>
    <w:next w:val="Normal"/>
    <w:link w:val="Heading3Char"/>
    <w:uiPriority w:val="9"/>
    <w:unhideWhenUsed/>
    <w:qFormat/>
    <w:rsid w:val="00E67842"/>
    <w:pPr>
      <w:keepNext/>
      <w:keepLines/>
      <w:numPr>
        <w:numId w:val="12"/>
      </w:numPr>
      <w:spacing w:before="40" w:after="0"/>
      <w:outlineLvl w:val="2"/>
    </w:pPr>
    <w:rPr>
      <w:rFonts w:ascii="Times New Roman" w:eastAsiaTheme="majorEastAsia" w:hAnsi="Times New Roman" w:cstheme="majorBidi"/>
      <w:b/>
      <w:sz w:val="24"/>
      <w:szCs w:val="24"/>
    </w:rPr>
  </w:style>
  <w:style w:type="paragraph" w:styleId="Heading4">
    <w:name w:val="heading 4"/>
    <w:basedOn w:val="Normal"/>
    <w:next w:val="Normal"/>
    <w:link w:val="Heading4Char"/>
    <w:uiPriority w:val="9"/>
    <w:semiHidden/>
    <w:unhideWhenUsed/>
    <w:qFormat/>
    <w:rsid w:val="00840EFC"/>
    <w:pPr>
      <w:keepNext/>
      <w:keepLines/>
      <w:numPr>
        <w:ilvl w:val="3"/>
        <w:numId w:val="6"/>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40EFC"/>
    <w:pPr>
      <w:keepNext/>
      <w:keepLines/>
      <w:numPr>
        <w:ilvl w:val="4"/>
        <w:numId w:val="6"/>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40EFC"/>
    <w:pPr>
      <w:keepNext/>
      <w:keepLines/>
      <w:numPr>
        <w:ilvl w:val="5"/>
        <w:numId w:val="6"/>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40EFC"/>
    <w:pPr>
      <w:keepNext/>
      <w:keepLines/>
      <w:numPr>
        <w:ilvl w:val="6"/>
        <w:numId w:val="6"/>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40EFC"/>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40EFC"/>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C98"/>
    <w:pPr>
      <w:ind w:left="720"/>
      <w:contextualSpacing/>
    </w:pPr>
  </w:style>
  <w:style w:type="paragraph" w:styleId="Caption">
    <w:name w:val="caption"/>
    <w:basedOn w:val="Normal"/>
    <w:next w:val="Normal"/>
    <w:uiPriority w:val="35"/>
    <w:unhideWhenUsed/>
    <w:qFormat/>
    <w:rsid w:val="00327190"/>
    <w:pPr>
      <w:spacing w:after="200" w:line="240" w:lineRule="auto"/>
    </w:pPr>
    <w:rPr>
      <w:i/>
      <w:iCs/>
      <w:color w:val="44546A" w:themeColor="text2"/>
      <w:sz w:val="18"/>
      <w:szCs w:val="18"/>
    </w:rPr>
  </w:style>
  <w:style w:type="paragraph" w:styleId="FootnoteText">
    <w:name w:val="footnote text"/>
    <w:basedOn w:val="Normal"/>
    <w:link w:val="FootnoteTextChar"/>
    <w:uiPriority w:val="99"/>
    <w:semiHidden/>
    <w:unhideWhenUsed/>
    <w:rsid w:val="00593E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3E20"/>
    <w:rPr>
      <w:sz w:val="20"/>
      <w:szCs w:val="20"/>
    </w:rPr>
  </w:style>
  <w:style w:type="character" w:styleId="FootnoteReference">
    <w:name w:val="footnote reference"/>
    <w:basedOn w:val="DefaultParagraphFont"/>
    <w:uiPriority w:val="99"/>
    <w:semiHidden/>
    <w:unhideWhenUsed/>
    <w:rsid w:val="00593E20"/>
    <w:rPr>
      <w:vertAlign w:val="superscript"/>
    </w:rPr>
  </w:style>
  <w:style w:type="character" w:styleId="Hyperlink">
    <w:name w:val="Hyperlink"/>
    <w:basedOn w:val="DefaultParagraphFont"/>
    <w:uiPriority w:val="99"/>
    <w:unhideWhenUsed/>
    <w:rsid w:val="00593E20"/>
    <w:rPr>
      <w:color w:val="0000FF"/>
      <w:u w:val="single"/>
    </w:rPr>
  </w:style>
  <w:style w:type="character" w:customStyle="1" w:styleId="UnresolvedMention1">
    <w:name w:val="Unresolved Mention1"/>
    <w:basedOn w:val="DefaultParagraphFont"/>
    <w:uiPriority w:val="99"/>
    <w:semiHidden/>
    <w:unhideWhenUsed/>
    <w:rsid w:val="002F60E5"/>
    <w:rPr>
      <w:color w:val="605E5C"/>
      <w:shd w:val="clear" w:color="auto" w:fill="E1DFDD"/>
    </w:rPr>
  </w:style>
  <w:style w:type="character" w:styleId="PlaceholderText">
    <w:name w:val="Placeholder Text"/>
    <w:basedOn w:val="DefaultParagraphFont"/>
    <w:uiPriority w:val="99"/>
    <w:semiHidden/>
    <w:rsid w:val="001D744D"/>
    <w:rPr>
      <w:color w:val="808080"/>
    </w:rPr>
  </w:style>
  <w:style w:type="table" w:styleId="TableGrid">
    <w:name w:val="Table Grid"/>
    <w:basedOn w:val="TableNormal"/>
    <w:uiPriority w:val="39"/>
    <w:rsid w:val="00096613"/>
    <w:pPr>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F73A6"/>
    <w:rPr>
      <w:sz w:val="16"/>
      <w:szCs w:val="16"/>
    </w:rPr>
  </w:style>
  <w:style w:type="paragraph" w:styleId="CommentText">
    <w:name w:val="annotation text"/>
    <w:basedOn w:val="Normal"/>
    <w:link w:val="CommentTextChar"/>
    <w:uiPriority w:val="99"/>
    <w:unhideWhenUsed/>
    <w:rsid w:val="00EF73A6"/>
    <w:pPr>
      <w:spacing w:line="240" w:lineRule="auto"/>
    </w:pPr>
    <w:rPr>
      <w:sz w:val="20"/>
      <w:szCs w:val="20"/>
    </w:rPr>
  </w:style>
  <w:style w:type="character" w:customStyle="1" w:styleId="CommentTextChar">
    <w:name w:val="Comment Text Char"/>
    <w:basedOn w:val="DefaultParagraphFont"/>
    <w:link w:val="CommentText"/>
    <w:uiPriority w:val="99"/>
    <w:rsid w:val="00EF73A6"/>
    <w:rPr>
      <w:sz w:val="20"/>
      <w:szCs w:val="20"/>
    </w:rPr>
  </w:style>
  <w:style w:type="paragraph" w:styleId="CommentSubject">
    <w:name w:val="annotation subject"/>
    <w:basedOn w:val="CommentText"/>
    <w:next w:val="CommentText"/>
    <w:link w:val="CommentSubjectChar"/>
    <w:uiPriority w:val="99"/>
    <w:semiHidden/>
    <w:unhideWhenUsed/>
    <w:rsid w:val="00EF73A6"/>
    <w:rPr>
      <w:b/>
      <w:bCs/>
    </w:rPr>
  </w:style>
  <w:style w:type="character" w:customStyle="1" w:styleId="CommentSubjectChar">
    <w:name w:val="Comment Subject Char"/>
    <w:basedOn w:val="CommentTextChar"/>
    <w:link w:val="CommentSubject"/>
    <w:uiPriority w:val="99"/>
    <w:semiHidden/>
    <w:rsid w:val="00EF73A6"/>
    <w:rPr>
      <w:b/>
      <w:bCs/>
      <w:sz w:val="20"/>
      <w:szCs w:val="20"/>
    </w:rPr>
  </w:style>
  <w:style w:type="character" w:styleId="FollowedHyperlink">
    <w:name w:val="FollowedHyperlink"/>
    <w:basedOn w:val="DefaultParagraphFont"/>
    <w:uiPriority w:val="99"/>
    <w:semiHidden/>
    <w:unhideWhenUsed/>
    <w:rsid w:val="00057D92"/>
    <w:rPr>
      <w:color w:val="954F72" w:themeColor="followedHyperlink"/>
      <w:u w:val="single"/>
    </w:rPr>
  </w:style>
  <w:style w:type="character" w:customStyle="1" w:styleId="UnresolvedMention2">
    <w:name w:val="Unresolved Mention2"/>
    <w:basedOn w:val="DefaultParagraphFont"/>
    <w:uiPriority w:val="99"/>
    <w:semiHidden/>
    <w:unhideWhenUsed/>
    <w:rsid w:val="001837ED"/>
    <w:rPr>
      <w:color w:val="605E5C"/>
      <w:shd w:val="clear" w:color="auto" w:fill="E1DFDD"/>
    </w:rPr>
  </w:style>
  <w:style w:type="character" w:customStyle="1" w:styleId="Heading1Char">
    <w:name w:val="Heading 1 Char"/>
    <w:basedOn w:val="DefaultParagraphFont"/>
    <w:link w:val="Heading1"/>
    <w:uiPriority w:val="9"/>
    <w:rsid w:val="00E8023C"/>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E8023C"/>
    <w:rPr>
      <w:rFonts w:ascii="Times New Roman" w:eastAsiaTheme="majorEastAsia" w:hAnsi="Times New Roman" w:cstheme="majorBidi"/>
      <w:b/>
      <w:sz w:val="24"/>
      <w:szCs w:val="26"/>
    </w:rPr>
  </w:style>
  <w:style w:type="paragraph" w:styleId="Title">
    <w:name w:val="Title"/>
    <w:basedOn w:val="Normal"/>
    <w:next w:val="Normal"/>
    <w:link w:val="TitleChar"/>
    <w:uiPriority w:val="10"/>
    <w:qFormat/>
    <w:rsid w:val="00E8023C"/>
    <w:pPr>
      <w:spacing w:after="0" w:line="240" w:lineRule="auto"/>
      <w:contextualSpacing/>
    </w:pPr>
    <w:rPr>
      <w:rFonts w:ascii="Times New Roman" w:eastAsiaTheme="majorEastAsia" w:hAnsi="Times New Roman" w:cstheme="majorBidi"/>
      <w:b/>
      <w:spacing w:val="-10"/>
      <w:kern w:val="28"/>
      <w:sz w:val="24"/>
      <w:szCs w:val="56"/>
    </w:rPr>
  </w:style>
  <w:style w:type="character" w:customStyle="1" w:styleId="TitleChar">
    <w:name w:val="Title Char"/>
    <w:basedOn w:val="DefaultParagraphFont"/>
    <w:link w:val="Title"/>
    <w:uiPriority w:val="10"/>
    <w:rsid w:val="00E8023C"/>
    <w:rPr>
      <w:rFonts w:ascii="Times New Roman" w:eastAsiaTheme="majorEastAsia" w:hAnsi="Times New Roman" w:cstheme="majorBidi"/>
      <w:b/>
      <w:spacing w:val="-10"/>
      <w:kern w:val="28"/>
      <w:sz w:val="24"/>
      <w:szCs w:val="56"/>
    </w:rPr>
  </w:style>
  <w:style w:type="character" w:customStyle="1" w:styleId="Heading3Char">
    <w:name w:val="Heading 3 Char"/>
    <w:basedOn w:val="DefaultParagraphFont"/>
    <w:link w:val="Heading3"/>
    <w:uiPriority w:val="9"/>
    <w:rsid w:val="00E67842"/>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semiHidden/>
    <w:rsid w:val="00840EF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840EF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40EF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40EF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40EF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40EFC"/>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324F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F0B"/>
  </w:style>
  <w:style w:type="paragraph" w:styleId="Footer">
    <w:name w:val="footer"/>
    <w:basedOn w:val="Normal"/>
    <w:link w:val="FooterChar"/>
    <w:uiPriority w:val="99"/>
    <w:unhideWhenUsed/>
    <w:rsid w:val="00324F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F0B"/>
  </w:style>
  <w:style w:type="character" w:customStyle="1" w:styleId="UnresolvedMention3">
    <w:name w:val="Unresolved Mention3"/>
    <w:basedOn w:val="DefaultParagraphFont"/>
    <w:uiPriority w:val="99"/>
    <w:semiHidden/>
    <w:unhideWhenUsed/>
    <w:rsid w:val="00CA6FCF"/>
    <w:rPr>
      <w:color w:val="605E5C"/>
      <w:shd w:val="clear" w:color="auto" w:fill="E1DFDD"/>
    </w:rPr>
  </w:style>
  <w:style w:type="paragraph" w:styleId="BalloonText">
    <w:name w:val="Balloon Text"/>
    <w:basedOn w:val="Normal"/>
    <w:link w:val="BalloonTextChar"/>
    <w:uiPriority w:val="99"/>
    <w:semiHidden/>
    <w:unhideWhenUsed/>
    <w:rsid w:val="006B1F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F67"/>
    <w:rPr>
      <w:rFonts w:ascii="Segoe UI" w:hAnsi="Segoe UI" w:cs="Segoe UI"/>
      <w:sz w:val="18"/>
      <w:szCs w:val="18"/>
      <w:lang w:val="tr-TR"/>
    </w:rPr>
  </w:style>
  <w:style w:type="paragraph" w:styleId="Revision">
    <w:name w:val="Revision"/>
    <w:hidden/>
    <w:uiPriority w:val="99"/>
    <w:semiHidden/>
    <w:rsid w:val="009C0BB2"/>
    <w:pPr>
      <w:spacing w:after="0" w:line="240" w:lineRule="auto"/>
    </w:pPr>
    <w:rPr>
      <w:lang w:val="tr-TR"/>
    </w:rPr>
  </w:style>
  <w:style w:type="character" w:styleId="Emphasis">
    <w:name w:val="Emphasis"/>
    <w:basedOn w:val="DefaultParagraphFont"/>
    <w:uiPriority w:val="20"/>
    <w:qFormat/>
    <w:rsid w:val="001D62D3"/>
    <w:rPr>
      <w:i/>
      <w:iCs/>
    </w:rPr>
  </w:style>
  <w:style w:type="character" w:customStyle="1" w:styleId="author">
    <w:name w:val="author"/>
    <w:basedOn w:val="DefaultParagraphFont"/>
    <w:rsid w:val="00995EA4"/>
  </w:style>
  <w:style w:type="character" w:customStyle="1" w:styleId="pubyear">
    <w:name w:val="pubyear"/>
    <w:basedOn w:val="DefaultParagraphFont"/>
    <w:rsid w:val="00995EA4"/>
  </w:style>
  <w:style w:type="character" w:customStyle="1" w:styleId="booktitle">
    <w:name w:val="booktitle"/>
    <w:basedOn w:val="DefaultParagraphFont"/>
    <w:rsid w:val="00995EA4"/>
  </w:style>
  <w:style w:type="paragraph" w:styleId="NoSpacing">
    <w:name w:val="No Spacing"/>
    <w:link w:val="NoSpacingChar"/>
    <w:uiPriority w:val="1"/>
    <w:qFormat/>
    <w:rsid w:val="00D72CCB"/>
    <w:pPr>
      <w:spacing w:after="0" w:line="240" w:lineRule="auto"/>
    </w:pPr>
    <w:rPr>
      <w:rFonts w:eastAsiaTheme="minorEastAsia"/>
    </w:rPr>
  </w:style>
  <w:style w:type="character" w:customStyle="1" w:styleId="NoSpacingChar">
    <w:name w:val="No Spacing Char"/>
    <w:basedOn w:val="DefaultParagraphFont"/>
    <w:link w:val="NoSpacing"/>
    <w:uiPriority w:val="1"/>
    <w:rsid w:val="00D72CCB"/>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8008">
      <w:bodyDiv w:val="1"/>
      <w:marLeft w:val="0"/>
      <w:marRight w:val="0"/>
      <w:marTop w:val="0"/>
      <w:marBottom w:val="0"/>
      <w:divBdr>
        <w:top w:val="none" w:sz="0" w:space="0" w:color="auto"/>
        <w:left w:val="none" w:sz="0" w:space="0" w:color="auto"/>
        <w:bottom w:val="none" w:sz="0" w:space="0" w:color="auto"/>
        <w:right w:val="none" w:sz="0" w:space="0" w:color="auto"/>
      </w:divBdr>
    </w:div>
    <w:div w:id="54164657">
      <w:bodyDiv w:val="1"/>
      <w:marLeft w:val="0"/>
      <w:marRight w:val="0"/>
      <w:marTop w:val="0"/>
      <w:marBottom w:val="0"/>
      <w:divBdr>
        <w:top w:val="none" w:sz="0" w:space="0" w:color="auto"/>
        <w:left w:val="none" w:sz="0" w:space="0" w:color="auto"/>
        <w:bottom w:val="none" w:sz="0" w:space="0" w:color="auto"/>
        <w:right w:val="none" w:sz="0" w:space="0" w:color="auto"/>
      </w:divBdr>
    </w:div>
    <w:div w:id="157886669">
      <w:bodyDiv w:val="1"/>
      <w:marLeft w:val="0"/>
      <w:marRight w:val="0"/>
      <w:marTop w:val="0"/>
      <w:marBottom w:val="0"/>
      <w:divBdr>
        <w:top w:val="none" w:sz="0" w:space="0" w:color="auto"/>
        <w:left w:val="none" w:sz="0" w:space="0" w:color="auto"/>
        <w:bottom w:val="none" w:sz="0" w:space="0" w:color="auto"/>
        <w:right w:val="none" w:sz="0" w:space="0" w:color="auto"/>
      </w:divBdr>
    </w:div>
    <w:div w:id="451441434">
      <w:bodyDiv w:val="1"/>
      <w:marLeft w:val="0"/>
      <w:marRight w:val="0"/>
      <w:marTop w:val="0"/>
      <w:marBottom w:val="0"/>
      <w:divBdr>
        <w:top w:val="none" w:sz="0" w:space="0" w:color="auto"/>
        <w:left w:val="none" w:sz="0" w:space="0" w:color="auto"/>
        <w:bottom w:val="none" w:sz="0" w:space="0" w:color="auto"/>
        <w:right w:val="none" w:sz="0" w:space="0" w:color="auto"/>
      </w:divBdr>
    </w:div>
    <w:div w:id="483930759">
      <w:bodyDiv w:val="1"/>
      <w:marLeft w:val="0"/>
      <w:marRight w:val="0"/>
      <w:marTop w:val="0"/>
      <w:marBottom w:val="0"/>
      <w:divBdr>
        <w:top w:val="none" w:sz="0" w:space="0" w:color="auto"/>
        <w:left w:val="none" w:sz="0" w:space="0" w:color="auto"/>
        <w:bottom w:val="none" w:sz="0" w:space="0" w:color="auto"/>
        <w:right w:val="none" w:sz="0" w:space="0" w:color="auto"/>
      </w:divBdr>
    </w:div>
    <w:div w:id="655500813">
      <w:bodyDiv w:val="1"/>
      <w:marLeft w:val="0"/>
      <w:marRight w:val="0"/>
      <w:marTop w:val="0"/>
      <w:marBottom w:val="0"/>
      <w:divBdr>
        <w:top w:val="none" w:sz="0" w:space="0" w:color="auto"/>
        <w:left w:val="none" w:sz="0" w:space="0" w:color="auto"/>
        <w:bottom w:val="none" w:sz="0" w:space="0" w:color="auto"/>
        <w:right w:val="none" w:sz="0" w:space="0" w:color="auto"/>
      </w:divBdr>
    </w:div>
    <w:div w:id="7340144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bis.org/statistics/totcredit/credpriv_doc.pdf" TargetMode="Externa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7.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6.png"/><Relationship Id="rId28" Type="http://schemas.openxmlformats.org/officeDocument/2006/relationships/hyperlink" Target="https://ssrn.com/abstract=3781981" TargetMode="External"/><Relationship Id="rId10" Type="http://schemas.openxmlformats.org/officeDocument/2006/relationships/endnotes" Target="endnotes.xml"/><Relationship Id="rId19" Type="http://schemas.openxmlformats.org/officeDocument/2006/relationships/chart" Target="charts/chart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5.png"/><Relationship Id="rId27" Type="http://schemas.openxmlformats.org/officeDocument/2006/relationships/hyperlink" Target="https://press.uchicago.edu/ucp/books/book/chicago/L/bo154076466.html" TargetMode="External"/><Relationship Id="rId30"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ms.hmb.gov.tr/uploads/2020/01/Ocak-Ayl%C4%B1k-Raporu_Internet.pdf" TargetMode="External"/><Relationship Id="rId2" Type="http://schemas.openxmlformats.org/officeDocument/2006/relationships/hyperlink" Target="https://www.tcmb.gov.tr/wps/wcm/connect/TR/TCMB+TR/Main+Menu/Yayinlar/Raporlar/Finansal+Istikrar+Raporu" TargetMode="External"/><Relationship Id="rId1" Type="http://schemas.openxmlformats.org/officeDocument/2006/relationships/hyperlink" Target="mailto:eminezeren.taspinar@bau.edu.tr"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eminezeren.taspinar\Dropbox\SectoralCredits-Productivity\data\processed_data\BIS_TotCredit_Comparative2.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107909806728711E-2"/>
          <c:y val="5.0343249427917618E-2"/>
          <c:w val="0.89464209019327134"/>
          <c:h val="0.70067929151876618"/>
        </c:manualLayout>
      </c:layout>
      <c:areaChart>
        <c:grouping val="stacked"/>
        <c:varyColors val="0"/>
        <c:ser>
          <c:idx val="1"/>
          <c:order val="1"/>
          <c:tx>
            <c:v>Hanehalkı</c:v>
          </c:tx>
          <c:spPr>
            <a:solidFill>
              <a:schemeClr val="accent2"/>
            </a:solidFill>
            <a:ln>
              <a:noFill/>
            </a:ln>
            <a:effectLst/>
          </c:spPr>
          <c:cat>
            <c:strRef>
              <c:f>'TR-BIS_GDPsharesUpdated18112022'!$BN$5:$ET$5</c:f>
              <c:strCache>
                <c:ptCount val="85"/>
                <c:pt idx="0">
                  <c:v>2001-Ç1</c:v>
                </c:pt>
                <c:pt idx="1">
                  <c:v>2001-Ç2</c:v>
                </c:pt>
                <c:pt idx="2">
                  <c:v>2001-Ç3</c:v>
                </c:pt>
                <c:pt idx="3">
                  <c:v>2001-Ç4</c:v>
                </c:pt>
                <c:pt idx="4">
                  <c:v>2002-Ç1</c:v>
                </c:pt>
                <c:pt idx="5">
                  <c:v>2002-Ç2</c:v>
                </c:pt>
                <c:pt idx="6">
                  <c:v>2002-Ç3</c:v>
                </c:pt>
                <c:pt idx="7">
                  <c:v>2002-Ç4</c:v>
                </c:pt>
                <c:pt idx="8">
                  <c:v>2003-Ç1</c:v>
                </c:pt>
                <c:pt idx="9">
                  <c:v>2003-Ç2</c:v>
                </c:pt>
                <c:pt idx="10">
                  <c:v>2003-Ç3</c:v>
                </c:pt>
                <c:pt idx="11">
                  <c:v>2003-Ç4</c:v>
                </c:pt>
                <c:pt idx="12">
                  <c:v>2004-Ç1</c:v>
                </c:pt>
                <c:pt idx="13">
                  <c:v>2004-Ç2</c:v>
                </c:pt>
                <c:pt idx="14">
                  <c:v>2004-Ç3</c:v>
                </c:pt>
                <c:pt idx="15">
                  <c:v>2004-Ç4</c:v>
                </c:pt>
                <c:pt idx="16">
                  <c:v>2005-Ç1</c:v>
                </c:pt>
                <c:pt idx="17">
                  <c:v>2005-Ç2</c:v>
                </c:pt>
                <c:pt idx="18">
                  <c:v>2005-Ç3</c:v>
                </c:pt>
                <c:pt idx="19">
                  <c:v>2005-Ç4</c:v>
                </c:pt>
                <c:pt idx="20">
                  <c:v>2006-Ç1</c:v>
                </c:pt>
                <c:pt idx="21">
                  <c:v>2006-Ç2</c:v>
                </c:pt>
                <c:pt idx="22">
                  <c:v>2006-Ç3</c:v>
                </c:pt>
                <c:pt idx="23">
                  <c:v>2006-Ç4</c:v>
                </c:pt>
                <c:pt idx="24">
                  <c:v>2007-Ç1</c:v>
                </c:pt>
                <c:pt idx="25">
                  <c:v>2007-Ç2</c:v>
                </c:pt>
                <c:pt idx="26">
                  <c:v>2007-Ç3</c:v>
                </c:pt>
                <c:pt idx="27">
                  <c:v>2007-Ç4</c:v>
                </c:pt>
                <c:pt idx="28">
                  <c:v>2008-Ç1</c:v>
                </c:pt>
                <c:pt idx="29">
                  <c:v>2008-Ç2</c:v>
                </c:pt>
                <c:pt idx="30">
                  <c:v>2008-Ç3</c:v>
                </c:pt>
                <c:pt idx="31">
                  <c:v>2008-Ç4</c:v>
                </c:pt>
                <c:pt idx="32">
                  <c:v>2009-Ç1</c:v>
                </c:pt>
                <c:pt idx="33">
                  <c:v>2009-Ç2</c:v>
                </c:pt>
                <c:pt idx="34">
                  <c:v>2009-Ç3</c:v>
                </c:pt>
                <c:pt idx="35">
                  <c:v>2009-Ç4</c:v>
                </c:pt>
                <c:pt idx="36">
                  <c:v>2010-Ç1</c:v>
                </c:pt>
                <c:pt idx="37">
                  <c:v>2010-Ç2</c:v>
                </c:pt>
                <c:pt idx="38">
                  <c:v>2010-Ç3</c:v>
                </c:pt>
                <c:pt idx="39">
                  <c:v>2010-Ç4</c:v>
                </c:pt>
                <c:pt idx="40">
                  <c:v>2011-Ç1</c:v>
                </c:pt>
                <c:pt idx="41">
                  <c:v>2011-Ç2</c:v>
                </c:pt>
                <c:pt idx="42">
                  <c:v>2011-Ç3</c:v>
                </c:pt>
                <c:pt idx="43">
                  <c:v>2011-Ç4</c:v>
                </c:pt>
                <c:pt idx="44">
                  <c:v>2012-Ç1</c:v>
                </c:pt>
                <c:pt idx="45">
                  <c:v>2012-Ç2</c:v>
                </c:pt>
                <c:pt idx="46">
                  <c:v>2012-Ç3</c:v>
                </c:pt>
                <c:pt idx="47">
                  <c:v>2012-Ç4</c:v>
                </c:pt>
                <c:pt idx="48">
                  <c:v>2013-Ç1</c:v>
                </c:pt>
                <c:pt idx="49">
                  <c:v>2013-Ç2</c:v>
                </c:pt>
                <c:pt idx="50">
                  <c:v>2013-Ç3</c:v>
                </c:pt>
                <c:pt idx="51">
                  <c:v>2013-Ç4</c:v>
                </c:pt>
                <c:pt idx="52">
                  <c:v>2014-Ç1</c:v>
                </c:pt>
                <c:pt idx="53">
                  <c:v>2014-Ç2</c:v>
                </c:pt>
                <c:pt idx="54">
                  <c:v>2014-Ç3</c:v>
                </c:pt>
                <c:pt idx="55">
                  <c:v>2014-Ç4</c:v>
                </c:pt>
                <c:pt idx="56">
                  <c:v>2015-Ç1</c:v>
                </c:pt>
                <c:pt idx="57">
                  <c:v>2015-Ç2</c:v>
                </c:pt>
                <c:pt idx="58">
                  <c:v>2015-Ç3</c:v>
                </c:pt>
                <c:pt idx="59">
                  <c:v>2015-Ç4</c:v>
                </c:pt>
                <c:pt idx="60">
                  <c:v>2016-Ç1</c:v>
                </c:pt>
                <c:pt idx="61">
                  <c:v>2016-Ç2</c:v>
                </c:pt>
                <c:pt idx="62">
                  <c:v>2016-Ç3</c:v>
                </c:pt>
                <c:pt idx="63">
                  <c:v>2016-Ç4</c:v>
                </c:pt>
                <c:pt idx="64">
                  <c:v>2017-Ç1</c:v>
                </c:pt>
                <c:pt idx="65">
                  <c:v>2017-Ç2</c:v>
                </c:pt>
                <c:pt idx="66">
                  <c:v>2017-Ç3</c:v>
                </c:pt>
                <c:pt idx="67">
                  <c:v>2017-Ç4</c:v>
                </c:pt>
                <c:pt idx="68">
                  <c:v>2018-Ç1</c:v>
                </c:pt>
                <c:pt idx="69">
                  <c:v>2018-Ç2</c:v>
                </c:pt>
                <c:pt idx="70">
                  <c:v>2018-Ç3</c:v>
                </c:pt>
                <c:pt idx="71">
                  <c:v>2018-Ç4</c:v>
                </c:pt>
                <c:pt idx="72">
                  <c:v>2019-Ç1</c:v>
                </c:pt>
                <c:pt idx="73">
                  <c:v>2019-Ç2</c:v>
                </c:pt>
                <c:pt idx="74">
                  <c:v>2019-Ç3</c:v>
                </c:pt>
                <c:pt idx="75">
                  <c:v>2019-Ç4</c:v>
                </c:pt>
                <c:pt idx="76">
                  <c:v>2020-Ç1</c:v>
                </c:pt>
                <c:pt idx="77">
                  <c:v>2020-Ç2</c:v>
                </c:pt>
                <c:pt idx="78">
                  <c:v>2020-Ç3</c:v>
                </c:pt>
                <c:pt idx="79">
                  <c:v>2020-Ç4</c:v>
                </c:pt>
                <c:pt idx="80">
                  <c:v>2021-Ç1</c:v>
                </c:pt>
                <c:pt idx="81">
                  <c:v>2021-Ç2</c:v>
                </c:pt>
                <c:pt idx="82">
                  <c:v>2021-Ç3</c:v>
                </c:pt>
                <c:pt idx="83">
                  <c:v>2021-Ç4</c:v>
                </c:pt>
                <c:pt idx="84">
                  <c:v>2022-Ç1</c:v>
                </c:pt>
              </c:strCache>
            </c:strRef>
          </c:cat>
          <c:val>
            <c:numRef>
              <c:f>'TR-BIS_GDPsharesUpdated18112022'!$BN$9:$ET$9</c:f>
              <c:numCache>
                <c:formatCode>General</c:formatCode>
                <c:ptCount val="85"/>
                <c:pt idx="0">
                  <c:v>3.3</c:v>
                </c:pt>
                <c:pt idx="1">
                  <c:v>2.8</c:v>
                </c:pt>
                <c:pt idx="2">
                  <c:v>2.2999999999999998</c:v>
                </c:pt>
                <c:pt idx="3">
                  <c:v>2</c:v>
                </c:pt>
                <c:pt idx="4">
                  <c:v>1.8</c:v>
                </c:pt>
                <c:pt idx="5">
                  <c:v>1.9</c:v>
                </c:pt>
                <c:pt idx="6">
                  <c:v>1.9</c:v>
                </c:pt>
                <c:pt idx="7">
                  <c:v>1.8</c:v>
                </c:pt>
                <c:pt idx="8">
                  <c:v>1.8</c:v>
                </c:pt>
                <c:pt idx="9">
                  <c:v>2</c:v>
                </c:pt>
                <c:pt idx="10">
                  <c:v>2.2000000000000002</c:v>
                </c:pt>
                <c:pt idx="11">
                  <c:v>2.8</c:v>
                </c:pt>
                <c:pt idx="12">
                  <c:v>3.3</c:v>
                </c:pt>
                <c:pt idx="13">
                  <c:v>4.0999999999999996</c:v>
                </c:pt>
                <c:pt idx="14">
                  <c:v>4.4000000000000004</c:v>
                </c:pt>
                <c:pt idx="15">
                  <c:v>4.7</c:v>
                </c:pt>
                <c:pt idx="16">
                  <c:v>5.0999999999999996</c:v>
                </c:pt>
                <c:pt idx="17">
                  <c:v>5.7</c:v>
                </c:pt>
                <c:pt idx="18">
                  <c:v>6.3</c:v>
                </c:pt>
                <c:pt idx="19">
                  <c:v>7.1</c:v>
                </c:pt>
                <c:pt idx="20">
                  <c:v>7.8</c:v>
                </c:pt>
                <c:pt idx="21">
                  <c:v>8.8000000000000007</c:v>
                </c:pt>
                <c:pt idx="22">
                  <c:v>8.8000000000000007</c:v>
                </c:pt>
                <c:pt idx="23">
                  <c:v>9</c:v>
                </c:pt>
                <c:pt idx="24">
                  <c:v>9</c:v>
                </c:pt>
                <c:pt idx="25">
                  <c:v>9.6</c:v>
                </c:pt>
                <c:pt idx="26">
                  <c:v>10.1</c:v>
                </c:pt>
                <c:pt idx="27">
                  <c:v>11.2</c:v>
                </c:pt>
                <c:pt idx="28">
                  <c:v>11.5</c:v>
                </c:pt>
                <c:pt idx="29">
                  <c:v>12</c:v>
                </c:pt>
                <c:pt idx="30">
                  <c:v>12.5</c:v>
                </c:pt>
                <c:pt idx="31">
                  <c:v>12.3</c:v>
                </c:pt>
                <c:pt idx="32">
                  <c:v>12.3</c:v>
                </c:pt>
                <c:pt idx="33">
                  <c:v>13.1</c:v>
                </c:pt>
                <c:pt idx="34">
                  <c:v>13.4</c:v>
                </c:pt>
                <c:pt idx="35">
                  <c:v>13.9</c:v>
                </c:pt>
                <c:pt idx="36">
                  <c:v>14.3</c:v>
                </c:pt>
                <c:pt idx="37">
                  <c:v>15</c:v>
                </c:pt>
                <c:pt idx="38">
                  <c:v>15.3</c:v>
                </c:pt>
                <c:pt idx="39">
                  <c:v>16</c:v>
                </c:pt>
                <c:pt idx="40">
                  <c:v>16.3</c:v>
                </c:pt>
                <c:pt idx="41">
                  <c:v>17.2</c:v>
                </c:pt>
                <c:pt idx="42">
                  <c:v>17.2</c:v>
                </c:pt>
                <c:pt idx="43">
                  <c:v>17</c:v>
                </c:pt>
                <c:pt idx="44">
                  <c:v>17.100000000000001</c:v>
                </c:pt>
                <c:pt idx="45">
                  <c:v>17.399999999999999</c:v>
                </c:pt>
                <c:pt idx="46">
                  <c:v>17.7</c:v>
                </c:pt>
                <c:pt idx="47">
                  <c:v>18.100000000000001</c:v>
                </c:pt>
                <c:pt idx="48">
                  <c:v>18.3</c:v>
                </c:pt>
                <c:pt idx="49">
                  <c:v>19</c:v>
                </c:pt>
                <c:pt idx="50">
                  <c:v>19.399999999999999</c:v>
                </c:pt>
                <c:pt idx="51">
                  <c:v>19.5</c:v>
                </c:pt>
                <c:pt idx="52">
                  <c:v>18.7</c:v>
                </c:pt>
                <c:pt idx="53">
                  <c:v>18.600000000000001</c:v>
                </c:pt>
                <c:pt idx="54">
                  <c:v>18.600000000000001</c:v>
                </c:pt>
                <c:pt idx="55">
                  <c:v>18.600000000000001</c:v>
                </c:pt>
                <c:pt idx="56">
                  <c:v>18.600000000000001</c:v>
                </c:pt>
                <c:pt idx="57">
                  <c:v>18.5</c:v>
                </c:pt>
                <c:pt idx="58">
                  <c:v>18.2</c:v>
                </c:pt>
                <c:pt idx="59">
                  <c:v>17.8</c:v>
                </c:pt>
                <c:pt idx="60">
                  <c:v>17.399999999999999</c:v>
                </c:pt>
                <c:pt idx="61">
                  <c:v>17.399999999999999</c:v>
                </c:pt>
                <c:pt idx="62">
                  <c:v>17.399999999999999</c:v>
                </c:pt>
                <c:pt idx="63">
                  <c:v>17.5</c:v>
                </c:pt>
                <c:pt idx="64">
                  <c:v>17.399999999999999</c:v>
                </c:pt>
                <c:pt idx="65">
                  <c:v>17.3</c:v>
                </c:pt>
                <c:pt idx="66">
                  <c:v>17.2</c:v>
                </c:pt>
                <c:pt idx="67">
                  <c:v>16.899999999999999</c:v>
                </c:pt>
                <c:pt idx="68">
                  <c:v>16.5</c:v>
                </c:pt>
                <c:pt idx="69">
                  <c:v>16.2</c:v>
                </c:pt>
                <c:pt idx="70">
                  <c:v>15.4</c:v>
                </c:pt>
                <c:pt idx="71">
                  <c:v>14.6</c:v>
                </c:pt>
                <c:pt idx="72">
                  <c:v>14.1</c:v>
                </c:pt>
                <c:pt idx="73">
                  <c:v>13.8</c:v>
                </c:pt>
                <c:pt idx="74">
                  <c:v>14.1</c:v>
                </c:pt>
                <c:pt idx="75">
                  <c:v>14.7</c:v>
                </c:pt>
                <c:pt idx="76">
                  <c:v>15.1</c:v>
                </c:pt>
                <c:pt idx="77">
                  <c:v>16.7</c:v>
                </c:pt>
                <c:pt idx="78">
                  <c:v>18.100000000000001</c:v>
                </c:pt>
                <c:pt idx="79">
                  <c:v>17.5</c:v>
                </c:pt>
                <c:pt idx="80">
                  <c:v>16.899999999999999</c:v>
                </c:pt>
                <c:pt idx="81">
                  <c:v>15.9</c:v>
                </c:pt>
                <c:pt idx="82">
                  <c:v>15.4</c:v>
                </c:pt>
                <c:pt idx="83">
                  <c:v>14.7</c:v>
                </c:pt>
                <c:pt idx="84">
                  <c:v>13.3</c:v>
                </c:pt>
              </c:numCache>
            </c:numRef>
          </c:val>
          <c:extLst>
            <c:ext xmlns:c16="http://schemas.microsoft.com/office/drawing/2014/chart" uri="{C3380CC4-5D6E-409C-BE32-E72D297353CC}">
              <c16:uniqueId val="{00000000-487D-402C-9B3F-280BB5B29F1F}"/>
            </c:ext>
          </c:extLst>
        </c:ser>
        <c:ser>
          <c:idx val="2"/>
          <c:order val="2"/>
          <c:tx>
            <c:v>Finansal olmayan Firmalar</c:v>
          </c:tx>
          <c:spPr>
            <a:solidFill>
              <a:schemeClr val="accent4">
                <a:lumMod val="40000"/>
                <a:lumOff val="60000"/>
              </a:schemeClr>
            </a:solidFill>
            <a:ln>
              <a:solidFill>
                <a:schemeClr val="accent4">
                  <a:lumMod val="40000"/>
                  <a:lumOff val="60000"/>
                </a:schemeClr>
              </a:solidFill>
            </a:ln>
            <a:effectLst/>
          </c:spPr>
          <c:cat>
            <c:strRef>
              <c:f>'TR-BIS_GDPsharesUpdated18112022'!$BN$5:$ET$5</c:f>
              <c:strCache>
                <c:ptCount val="85"/>
                <c:pt idx="0">
                  <c:v>2001-Ç1</c:v>
                </c:pt>
                <c:pt idx="1">
                  <c:v>2001-Ç2</c:v>
                </c:pt>
                <c:pt idx="2">
                  <c:v>2001-Ç3</c:v>
                </c:pt>
                <c:pt idx="3">
                  <c:v>2001-Ç4</c:v>
                </c:pt>
                <c:pt idx="4">
                  <c:v>2002-Ç1</c:v>
                </c:pt>
                <c:pt idx="5">
                  <c:v>2002-Ç2</c:v>
                </c:pt>
                <c:pt idx="6">
                  <c:v>2002-Ç3</c:v>
                </c:pt>
                <c:pt idx="7">
                  <c:v>2002-Ç4</c:v>
                </c:pt>
                <c:pt idx="8">
                  <c:v>2003-Ç1</c:v>
                </c:pt>
                <c:pt idx="9">
                  <c:v>2003-Ç2</c:v>
                </c:pt>
                <c:pt idx="10">
                  <c:v>2003-Ç3</c:v>
                </c:pt>
                <c:pt idx="11">
                  <c:v>2003-Ç4</c:v>
                </c:pt>
                <c:pt idx="12">
                  <c:v>2004-Ç1</c:v>
                </c:pt>
                <c:pt idx="13">
                  <c:v>2004-Ç2</c:v>
                </c:pt>
                <c:pt idx="14">
                  <c:v>2004-Ç3</c:v>
                </c:pt>
                <c:pt idx="15">
                  <c:v>2004-Ç4</c:v>
                </c:pt>
                <c:pt idx="16">
                  <c:v>2005-Ç1</c:v>
                </c:pt>
                <c:pt idx="17">
                  <c:v>2005-Ç2</c:v>
                </c:pt>
                <c:pt idx="18">
                  <c:v>2005-Ç3</c:v>
                </c:pt>
                <c:pt idx="19">
                  <c:v>2005-Ç4</c:v>
                </c:pt>
                <c:pt idx="20">
                  <c:v>2006-Ç1</c:v>
                </c:pt>
                <c:pt idx="21">
                  <c:v>2006-Ç2</c:v>
                </c:pt>
                <c:pt idx="22">
                  <c:v>2006-Ç3</c:v>
                </c:pt>
                <c:pt idx="23">
                  <c:v>2006-Ç4</c:v>
                </c:pt>
                <c:pt idx="24">
                  <c:v>2007-Ç1</c:v>
                </c:pt>
                <c:pt idx="25">
                  <c:v>2007-Ç2</c:v>
                </c:pt>
                <c:pt idx="26">
                  <c:v>2007-Ç3</c:v>
                </c:pt>
                <c:pt idx="27">
                  <c:v>2007-Ç4</c:v>
                </c:pt>
                <c:pt idx="28">
                  <c:v>2008-Ç1</c:v>
                </c:pt>
                <c:pt idx="29">
                  <c:v>2008-Ç2</c:v>
                </c:pt>
                <c:pt idx="30">
                  <c:v>2008-Ç3</c:v>
                </c:pt>
                <c:pt idx="31">
                  <c:v>2008-Ç4</c:v>
                </c:pt>
                <c:pt idx="32">
                  <c:v>2009-Ç1</c:v>
                </c:pt>
                <c:pt idx="33">
                  <c:v>2009-Ç2</c:v>
                </c:pt>
                <c:pt idx="34">
                  <c:v>2009-Ç3</c:v>
                </c:pt>
                <c:pt idx="35">
                  <c:v>2009-Ç4</c:v>
                </c:pt>
                <c:pt idx="36">
                  <c:v>2010-Ç1</c:v>
                </c:pt>
                <c:pt idx="37">
                  <c:v>2010-Ç2</c:v>
                </c:pt>
                <c:pt idx="38">
                  <c:v>2010-Ç3</c:v>
                </c:pt>
                <c:pt idx="39">
                  <c:v>2010-Ç4</c:v>
                </c:pt>
                <c:pt idx="40">
                  <c:v>2011-Ç1</c:v>
                </c:pt>
                <c:pt idx="41">
                  <c:v>2011-Ç2</c:v>
                </c:pt>
                <c:pt idx="42">
                  <c:v>2011-Ç3</c:v>
                </c:pt>
                <c:pt idx="43">
                  <c:v>2011-Ç4</c:v>
                </c:pt>
                <c:pt idx="44">
                  <c:v>2012-Ç1</c:v>
                </c:pt>
                <c:pt idx="45">
                  <c:v>2012-Ç2</c:v>
                </c:pt>
                <c:pt idx="46">
                  <c:v>2012-Ç3</c:v>
                </c:pt>
                <c:pt idx="47">
                  <c:v>2012-Ç4</c:v>
                </c:pt>
                <c:pt idx="48">
                  <c:v>2013-Ç1</c:v>
                </c:pt>
                <c:pt idx="49">
                  <c:v>2013-Ç2</c:v>
                </c:pt>
                <c:pt idx="50">
                  <c:v>2013-Ç3</c:v>
                </c:pt>
                <c:pt idx="51">
                  <c:v>2013-Ç4</c:v>
                </c:pt>
                <c:pt idx="52">
                  <c:v>2014-Ç1</c:v>
                </c:pt>
                <c:pt idx="53">
                  <c:v>2014-Ç2</c:v>
                </c:pt>
                <c:pt idx="54">
                  <c:v>2014-Ç3</c:v>
                </c:pt>
                <c:pt idx="55">
                  <c:v>2014-Ç4</c:v>
                </c:pt>
                <c:pt idx="56">
                  <c:v>2015-Ç1</c:v>
                </c:pt>
                <c:pt idx="57">
                  <c:v>2015-Ç2</c:v>
                </c:pt>
                <c:pt idx="58">
                  <c:v>2015-Ç3</c:v>
                </c:pt>
                <c:pt idx="59">
                  <c:v>2015-Ç4</c:v>
                </c:pt>
                <c:pt idx="60">
                  <c:v>2016-Ç1</c:v>
                </c:pt>
                <c:pt idx="61">
                  <c:v>2016-Ç2</c:v>
                </c:pt>
                <c:pt idx="62">
                  <c:v>2016-Ç3</c:v>
                </c:pt>
                <c:pt idx="63">
                  <c:v>2016-Ç4</c:v>
                </c:pt>
                <c:pt idx="64">
                  <c:v>2017-Ç1</c:v>
                </c:pt>
                <c:pt idx="65">
                  <c:v>2017-Ç2</c:v>
                </c:pt>
                <c:pt idx="66">
                  <c:v>2017-Ç3</c:v>
                </c:pt>
                <c:pt idx="67">
                  <c:v>2017-Ç4</c:v>
                </c:pt>
                <c:pt idx="68">
                  <c:v>2018-Ç1</c:v>
                </c:pt>
                <c:pt idx="69">
                  <c:v>2018-Ç2</c:v>
                </c:pt>
                <c:pt idx="70">
                  <c:v>2018-Ç3</c:v>
                </c:pt>
                <c:pt idx="71">
                  <c:v>2018-Ç4</c:v>
                </c:pt>
                <c:pt idx="72">
                  <c:v>2019-Ç1</c:v>
                </c:pt>
                <c:pt idx="73">
                  <c:v>2019-Ç2</c:v>
                </c:pt>
                <c:pt idx="74">
                  <c:v>2019-Ç3</c:v>
                </c:pt>
                <c:pt idx="75">
                  <c:v>2019-Ç4</c:v>
                </c:pt>
                <c:pt idx="76">
                  <c:v>2020-Ç1</c:v>
                </c:pt>
                <c:pt idx="77">
                  <c:v>2020-Ç2</c:v>
                </c:pt>
                <c:pt idx="78">
                  <c:v>2020-Ç3</c:v>
                </c:pt>
                <c:pt idx="79">
                  <c:v>2020-Ç4</c:v>
                </c:pt>
                <c:pt idx="80">
                  <c:v>2021-Ç1</c:v>
                </c:pt>
                <c:pt idx="81">
                  <c:v>2021-Ç2</c:v>
                </c:pt>
                <c:pt idx="82">
                  <c:v>2021-Ç3</c:v>
                </c:pt>
                <c:pt idx="83">
                  <c:v>2021-Ç4</c:v>
                </c:pt>
                <c:pt idx="84">
                  <c:v>2022-Ç1</c:v>
                </c:pt>
              </c:strCache>
            </c:strRef>
          </c:cat>
          <c:val>
            <c:numRef>
              <c:f>'TR-BIS_GDPsharesUpdated18112022'!$BN$10:$ET$10</c:f>
              <c:numCache>
                <c:formatCode>General</c:formatCode>
                <c:ptCount val="85"/>
                <c:pt idx="0">
                  <c:v>26.8</c:v>
                </c:pt>
                <c:pt idx="1">
                  <c:v>27.2</c:v>
                </c:pt>
                <c:pt idx="2">
                  <c:v>29.9</c:v>
                </c:pt>
                <c:pt idx="3">
                  <c:v>26.4</c:v>
                </c:pt>
                <c:pt idx="4">
                  <c:v>23</c:v>
                </c:pt>
                <c:pt idx="5">
                  <c:v>21.9</c:v>
                </c:pt>
                <c:pt idx="6">
                  <c:v>21.5</c:v>
                </c:pt>
                <c:pt idx="7">
                  <c:v>20.7</c:v>
                </c:pt>
                <c:pt idx="8">
                  <c:v>21</c:v>
                </c:pt>
                <c:pt idx="9">
                  <c:v>17.600000000000001</c:v>
                </c:pt>
                <c:pt idx="10">
                  <c:v>17.5</c:v>
                </c:pt>
                <c:pt idx="11">
                  <c:v>17.600000000000001</c:v>
                </c:pt>
                <c:pt idx="12">
                  <c:v>17.8</c:v>
                </c:pt>
                <c:pt idx="13">
                  <c:v>19.8</c:v>
                </c:pt>
                <c:pt idx="14">
                  <c:v>19.100000000000001</c:v>
                </c:pt>
                <c:pt idx="15">
                  <c:v>17.7</c:v>
                </c:pt>
                <c:pt idx="16">
                  <c:v>17.600000000000001</c:v>
                </c:pt>
                <c:pt idx="17">
                  <c:v>17.899999999999999</c:v>
                </c:pt>
                <c:pt idx="18">
                  <c:v>17.899999999999999</c:v>
                </c:pt>
                <c:pt idx="19">
                  <c:v>22.3</c:v>
                </c:pt>
                <c:pt idx="20">
                  <c:v>23.8</c:v>
                </c:pt>
                <c:pt idx="21">
                  <c:v>27.4</c:v>
                </c:pt>
                <c:pt idx="22">
                  <c:v>27</c:v>
                </c:pt>
                <c:pt idx="23">
                  <c:v>27.2</c:v>
                </c:pt>
                <c:pt idx="24">
                  <c:v>26.5</c:v>
                </c:pt>
                <c:pt idx="25">
                  <c:v>27.4</c:v>
                </c:pt>
                <c:pt idx="26">
                  <c:v>28.6</c:v>
                </c:pt>
                <c:pt idx="27">
                  <c:v>29.5</c:v>
                </c:pt>
                <c:pt idx="28">
                  <c:v>33.1</c:v>
                </c:pt>
                <c:pt idx="29">
                  <c:v>33.6</c:v>
                </c:pt>
                <c:pt idx="30">
                  <c:v>34.1</c:v>
                </c:pt>
                <c:pt idx="31">
                  <c:v>35.299999999999997</c:v>
                </c:pt>
                <c:pt idx="32">
                  <c:v>35.1</c:v>
                </c:pt>
                <c:pt idx="33">
                  <c:v>33.700000000000003</c:v>
                </c:pt>
                <c:pt idx="34">
                  <c:v>34.6</c:v>
                </c:pt>
                <c:pt idx="35">
                  <c:v>35</c:v>
                </c:pt>
                <c:pt idx="36">
                  <c:v>35.700000000000003</c:v>
                </c:pt>
                <c:pt idx="37">
                  <c:v>37.799999999999997</c:v>
                </c:pt>
                <c:pt idx="38">
                  <c:v>37.6</c:v>
                </c:pt>
                <c:pt idx="39">
                  <c:v>39.799999999999997</c:v>
                </c:pt>
                <c:pt idx="40">
                  <c:v>41.3</c:v>
                </c:pt>
                <c:pt idx="41">
                  <c:v>43.9</c:v>
                </c:pt>
                <c:pt idx="42">
                  <c:v>44.7</c:v>
                </c:pt>
                <c:pt idx="43">
                  <c:v>44.1</c:v>
                </c:pt>
                <c:pt idx="44">
                  <c:v>43.4</c:v>
                </c:pt>
                <c:pt idx="45">
                  <c:v>44.3</c:v>
                </c:pt>
                <c:pt idx="46">
                  <c:v>43.8</c:v>
                </c:pt>
                <c:pt idx="47">
                  <c:v>44.5</c:v>
                </c:pt>
                <c:pt idx="48">
                  <c:v>45.2</c:v>
                </c:pt>
                <c:pt idx="49">
                  <c:v>48.9</c:v>
                </c:pt>
                <c:pt idx="50">
                  <c:v>50.8</c:v>
                </c:pt>
                <c:pt idx="51">
                  <c:v>52</c:v>
                </c:pt>
                <c:pt idx="52">
                  <c:v>52.2</c:v>
                </c:pt>
                <c:pt idx="53">
                  <c:v>53.1</c:v>
                </c:pt>
                <c:pt idx="54">
                  <c:v>54.9</c:v>
                </c:pt>
                <c:pt idx="55">
                  <c:v>56</c:v>
                </c:pt>
                <c:pt idx="56">
                  <c:v>58.4</c:v>
                </c:pt>
                <c:pt idx="57">
                  <c:v>60.9</c:v>
                </c:pt>
                <c:pt idx="58">
                  <c:v>63.7</c:v>
                </c:pt>
                <c:pt idx="59">
                  <c:v>61.7</c:v>
                </c:pt>
                <c:pt idx="60">
                  <c:v>61</c:v>
                </c:pt>
                <c:pt idx="61">
                  <c:v>61.9</c:v>
                </c:pt>
                <c:pt idx="62">
                  <c:v>63</c:v>
                </c:pt>
                <c:pt idx="63">
                  <c:v>67.099999999999994</c:v>
                </c:pt>
                <c:pt idx="64">
                  <c:v>67.400000000000006</c:v>
                </c:pt>
                <c:pt idx="65">
                  <c:v>67.3</c:v>
                </c:pt>
                <c:pt idx="66">
                  <c:v>66</c:v>
                </c:pt>
                <c:pt idx="67">
                  <c:v>67.099999999999994</c:v>
                </c:pt>
                <c:pt idx="68">
                  <c:v>67.8</c:v>
                </c:pt>
                <c:pt idx="69">
                  <c:v>70.599999999999994</c:v>
                </c:pt>
                <c:pt idx="70">
                  <c:v>78.2</c:v>
                </c:pt>
                <c:pt idx="71">
                  <c:v>68.099999999999994</c:v>
                </c:pt>
                <c:pt idx="72">
                  <c:v>69.400000000000006</c:v>
                </c:pt>
                <c:pt idx="73">
                  <c:v>68.2</c:v>
                </c:pt>
                <c:pt idx="74">
                  <c:v>65.3</c:v>
                </c:pt>
                <c:pt idx="75">
                  <c:v>65.2</c:v>
                </c:pt>
                <c:pt idx="76">
                  <c:v>68.400000000000006</c:v>
                </c:pt>
                <c:pt idx="77">
                  <c:v>75</c:v>
                </c:pt>
                <c:pt idx="78">
                  <c:v>77</c:v>
                </c:pt>
                <c:pt idx="79">
                  <c:v>71.900000000000006</c:v>
                </c:pt>
                <c:pt idx="80">
                  <c:v>72</c:v>
                </c:pt>
                <c:pt idx="81">
                  <c:v>68.5</c:v>
                </c:pt>
                <c:pt idx="82">
                  <c:v>64.7</c:v>
                </c:pt>
                <c:pt idx="83">
                  <c:v>74.900000000000006</c:v>
                </c:pt>
                <c:pt idx="84">
                  <c:v>72.599999999999994</c:v>
                </c:pt>
              </c:numCache>
            </c:numRef>
          </c:val>
          <c:extLst>
            <c:ext xmlns:c16="http://schemas.microsoft.com/office/drawing/2014/chart" uri="{C3380CC4-5D6E-409C-BE32-E72D297353CC}">
              <c16:uniqueId val="{00000001-487D-402C-9B3F-280BB5B29F1F}"/>
            </c:ext>
          </c:extLst>
        </c:ser>
        <c:dLbls>
          <c:showLegendKey val="0"/>
          <c:showVal val="0"/>
          <c:showCatName val="0"/>
          <c:showSerName val="0"/>
          <c:showPercent val="0"/>
          <c:showBubbleSize val="0"/>
        </c:dLbls>
        <c:axId val="1724992688"/>
        <c:axId val="1724977296"/>
      </c:areaChart>
      <c:lineChart>
        <c:grouping val="standard"/>
        <c:varyColors val="0"/>
        <c:ser>
          <c:idx val="0"/>
          <c:order val="0"/>
          <c:tx>
            <c:v>Genel Hükümet</c:v>
          </c:tx>
          <c:spPr>
            <a:ln w="28575" cap="rnd">
              <a:solidFill>
                <a:srgbClr val="C00000"/>
              </a:solidFill>
              <a:prstDash val="sysDot"/>
              <a:round/>
            </a:ln>
            <a:effectLst/>
          </c:spPr>
          <c:marker>
            <c:symbol val="none"/>
          </c:marker>
          <c:cat>
            <c:strRef>
              <c:f>'TR-BIS_GDPsharesUpdated18112022'!$BN$5:$ET$5</c:f>
              <c:strCache>
                <c:ptCount val="85"/>
                <c:pt idx="0">
                  <c:v>2001-Ç1</c:v>
                </c:pt>
                <c:pt idx="1">
                  <c:v>2001-Ç2</c:v>
                </c:pt>
                <c:pt idx="2">
                  <c:v>2001-Ç3</c:v>
                </c:pt>
                <c:pt idx="3">
                  <c:v>2001-Ç4</c:v>
                </c:pt>
                <c:pt idx="4">
                  <c:v>2002-Ç1</c:v>
                </c:pt>
                <c:pt idx="5">
                  <c:v>2002-Ç2</c:v>
                </c:pt>
                <c:pt idx="6">
                  <c:v>2002-Ç3</c:v>
                </c:pt>
                <c:pt idx="7">
                  <c:v>2002-Ç4</c:v>
                </c:pt>
                <c:pt idx="8">
                  <c:v>2003-Ç1</c:v>
                </c:pt>
                <c:pt idx="9">
                  <c:v>2003-Ç2</c:v>
                </c:pt>
                <c:pt idx="10">
                  <c:v>2003-Ç3</c:v>
                </c:pt>
                <c:pt idx="11">
                  <c:v>2003-Ç4</c:v>
                </c:pt>
                <c:pt idx="12">
                  <c:v>2004-Ç1</c:v>
                </c:pt>
                <c:pt idx="13">
                  <c:v>2004-Ç2</c:v>
                </c:pt>
                <c:pt idx="14">
                  <c:v>2004-Ç3</c:v>
                </c:pt>
                <c:pt idx="15">
                  <c:v>2004-Ç4</c:v>
                </c:pt>
                <c:pt idx="16">
                  <c:v>2005-Ç1</c:v>
                </c:pt>
                <c:pt idx="17">
                  <c:v>2005-Ç2</c:v>
                </c:pt>
                <c:pt idx="18">
                  <c:v>2005-Ç3</c:v>
                </c:pt>
                <c:pt idx="19">
                  <c:v>2005-Ç4</c:v>
                </c:pt>
                <c:pt idx="20">
                  <c:v>2006-Ç1</c:v>
                </c:pt>
                <c:pt idx="21">
                  <c:v>2006-Ç2</c:v>
                </c:pt>
                <c:pt idx="22">
                  <c:v>2006-Ç3</c:v>
                </c:pt>
                <c:pt idx="23">
                  <c:v>2006-Ç4</c:v>
                </c:pt>
                <c:pt idx="24">
                  <c:v>2007-Ç1</c:v>
                </c:pt>
                <c:pt idx="25">
                  <c:v>2007-Ç2</c:v>
                </c:pt>
                <c:pt idx="26">
                  <c:v>2007-Ç3</c:v>
                </c:pt>
                <c:pt idx="27">
                  <c:v>2007-Ç4</c:v>
                </c:pt>
                <c:pt idx="28">
                  <c:v>2008-Ç1</c:v>
                </c:pt>
                <c:pt idx="29">
                  <c:v>2008-Ç2</c:v>
                </c:pt>
                <c:pt idx="30">
                  <c:v>2008-Ç3</c:v>
                </c:pt>
                <c:pt idx="31">
                  <c:v>2008-Ç4</c:v>
                </c:pt>
                <c:pt idx="32">
                  <c:v>2009-Ç1</c:v>
                </c:pt>
                <c:pt idx="33">
                  <c:v>2009-Ç2</c:v>
                </c:pt>
                <c:pt idx="34">
                  <c:v>2009-Ç3</c:v>
                </c:pt>
                <c:pt idx="35">
                  <c:v>2009-Ç4</c:v>
                </c:pt>
                <c:pt idx="36">
                  <c:v>2010-Ç1</c:v>
                </c:pt>
                <c:pt idx="37">
                  <c:v>2010-Ç2</c:v>
                </c:pt>
                <c:pt idx="38">
                  <c:v>2010-Ç3</c:v>
                </c:pt>
                <c:pt idx="39">
                  <c:v>2010-Ç4</c:v>
                </c:pt>
                <c:pt idx="40">
                  <c:v>2011-Ç1</c:v>
                </c:pt>
                <c:pt idx="41">
                  <c:v>2011-Ç2</c:v>
                </c:pt>
                <c:pt idx="42">
                  <c:v>2011-Ç3</c:v>
                </c:pt>
                <c:pt idx="43">
                  <c:v>2011-Ç4</c:v>
                </c:pt>
                <c:pt idx="44">
                  <c:v>2012-Ç1</c:v>
                </c:pt>
                <c:pt idx="45">
                  <c:v>2012-Ç2</c:v>
                </c:pt>
                <c:pt idx="46">
                  <c:v>2012-Ç3</c:v>
                </c:pt>
                <c:pt idx="47">
                  <c:v>2012-Ç4</c:v>
                </c:pt>
                <c:pt idx="48">
                  <c:v>2013-Ç1</c:v>
                </c:pt>
                <c:pt idx="49">
                  <c:v>2013-Ç2</c:v>
                </c:pt>
                <c:pt idx="50">
                  <c:v>2013-Ç3</c:v>
                </c:pt>
                <c:pt idx="51">
                  <c:v>2013-Ç4</c:v>
                </c:pt>
                <c:pt idx="52">
                  <c:v>2014-Ç1</c:v>
                </c:pt>
                <c:pt idx="53">
                  <c:v>2014-Ç2</c:v>
                </c:pt>
                <c:pt idx="54">
                  <c:v>2014-Ç3</c:v>
                </c:pt>
                <c:pt idx="55">
                  <c:v>2014-Ç4</c:v>
                </c:pt>
                <c:pt idx="56">
                  <c:v>2015-Ç1</c:v>
                </c:pt>
                <c:pt idx="57">
                  <c:v>2015-Ç2</c:v>
                </c:pt>
                <c:pt idx="58">
                  <c:v>2015-Ç3</c:v>
                </c:pt>
                <c:pt idx="59">
                  <c:v>2015-Ç4</c:v>
                </c:pt>
                <c:pt idx="60">
                  <c:v>2016-Ç1</c:v>
                </c:pt>
                <c:pt idx="61">
                  <c:v>2016-Ç2</c:v>
                </c:pt>
                <c:pt idx="62">
                  <c:v>2016-Ç3</c:v>
                </c:pt>
                <c:pt idx="63">
                  <c:v>2016-Ç4</c:v>
                </c:pt>
                <c:pt idx="64">
                  <c:v>2017-Ç1</c:v>
                </c:pt>
                <c:pt idx="65">
                  <c:v>2017-Ç2</c:v>
                </c:pt>
                <c:pt idx="66">
                  <c:v>2017-Ç3</c:v>
                </c:pt>
                <c:pt idx="67">
                  <c:v>2017-Ç4</c:v>
                </c:pt>
                <c:pt idx="68">
                  <c:v>2018-Ç1</c:v>
                </c:pt>
                <c:pt idx="69">
                  <c:v>2018-Ç2</c:v>
                </c:pt>
                <c:pt idx="70">
                  <c:v>2018-Ç3</c:v>
                </c:pt>
                <c:pt idx="71">
                  <c:v>2018-Ç4</c:v>
                </c:pt>
                <c:pt idx="72">
                  <c:v>2019-Ç1</c:v>
                </c:pt>
                <c:pt idx="73">
                  <c:v>2019-Ç2</c:v>
                </c:pt>
                <c:pt idx="74">
                  <c:v>2019-Ç3</c:v>
                </c:pt>
                <c:pt idx="75">
                  <c:v>2019-Ç4</c:v>
                </c:pt>
                <c:pt idx="76">
                  <c:v>2020-Ç1</c:v>
                </c:pt>
                <c:pt idx="77">
                  <c:v>2020-Ç2</c:v>
                </c:pt>
                <c:pt idx="78">
                  <c:v>2020-Ç3</c:v>
                </c:pt>
                <c:pt idx="79">
                  <c:v>2020-Ç4</c:v>
                </c:pt>
                <c:pt idx="80">
                  <c:v>2021-Ç1</c:v>
                </c:pt>
                <c:pt idx="81">
                  <c:v>2021-Ç2</c:v>
                </c:pt>
                <c:pt idx="82">
                  <c:v>2021-Ç3</c:v>
                </c:pt>
                <c:pt idx="83">
                  <c:v>2021-Ç4</c:v>
                </c:pt>
                <c:pt idx="84">
                  <c:v>2022-Ç1</c:v>
                </c:pt>
              </c:strCache>
            </c:strRef>
          </c:cat>
          <c:val>
            <c:numRef>
              <c:f>'TR-BIS_GDPsharesUpdated18112022'!$BN$8:$ET$8</c:f>
              <c:numCache>
                <c:formatCode>General</c:formatCode>
                <c:ptCount val="85"/>
                <c:pt idx="0">
                  <c:v>53.9</c:v>
                </c:pt>
                <c:pt idx="1">
                  <c:v>75.7</c:v>
                </c:pt>
                <c:pt idx="2">
                  <c:v>84.4</c:v>
                </c:pt>
                <c:pt idx="3">
                  <c:v>81.599999999999994</c:v>
                </c:pt>
                <c:pt idx="4">
                  <c:v>76.5</c:v>
                </c:pt>
                <c:pt idx="5">
                  <c:v>79.8</c:v>
                </c:pt>
                <c:pt idx="6">
                  <c:v>80</c:v>
                </c:pt>
                <c:pt idx="7">
                  <c:v>77.2</c:v>
                </c:pt>
                <c:pt idx="8">
                  <c:v>76.900000000000006</c:v>
                </c:pt>
                <c:pt idx="9">
                  <c:v>71.900000000000006</c:v>
                </c:pt>
                <c:pt idx="10">
                  <c:v>68.5</c:v>
                </c:pt>
                <c:pt idx="11">
                  <c:v>70.099999999999994</c:v>
                </c:pt>
                <c:pt idx="12">
                  <c:v>66.7</c:v>
                </c:pt>
                <c:pt idx="13">
                  <c:v>66.599999999999994</c:v>
                </c:pt>
                <c:pt idx="14">
                  <c:v>65.400000000000006</c:v>
                </c:pt>
                <c:pt idx="15">
                  <c:v>61.6</c:v>
                </c:pt>
                <c:pt idx="16">
                  <c:v>60.6</c:v>
                </c:pt>
                <c:pt idx="17">
                  <c:v>57.3</c:v>
                </c:pt>
                <c:pt idx="18">
                  <c:v>56</c:v>
                </c:pt>
                <c:pt idx="19">
                  <c:v>54</c:v>
                </c:pt>
                <c:pt idx="20">
                  <c:v>52.5</c:v>
                </c:pt>
                <c:pt idx="21">
                  <c:v>52.5</c:v>
                </c:pt>
                <c:pt idx="22">
                  <c:v>49.8</c:v>
                </c:pt>
                <c:pt idx="23">
                  <c:v>47.6</c:v>
                </c:pt>
                <c:pt idx="24">
                  <c:v>47</c:v>
                </c:pt>
                <c:pt idx="25">
                  <c:v>43.5</c:v>
                </c:pt>
                <c:pt idx="26">
                  <c:v>42.4</c:v>
                </c:pt>
                <c:pt idx="27">
                  <c:v>40.6</c:v>
                </c:pt>
                <c:pt idx="28">
                  <c:v>41.6</c:v>
                </c:pt>
                <c:pt idx="29">
                  <c:v>39.6</c:v>
                </c:pt>
                <c:pt idx="30">
                  <c:v>38.700000000000003</c:v>
                </c:pt>
                <c:pt idx="31">
                  <c:v>40.5</c:v>
                </c:pt>
                <c:pt idx="32">
                  <c:v>43.9</c:v>
                </c:pt>
                <c:pt idx="33">
                  <c:v>44.2</c:v>
                </c:pt>
                <c:pt idx="34">
                  <c:v>46.3</c:v>
                </c:pt>
                <c:pt idx="35">
                  <c:v>46.7</c:v>
                </c:pt>
                <c:pt idx="36">
                  <c:v>46.4</c:v>
                </c:pt>
                <c:pt idx="37">
                  <c:v>44.8</c:v>
                </c:pt>
                <c:pt idx="38">
                  <c:v>43.2</c:v>
                </c:pt>
                <c:pt idx="39">
                  <c:v>42.7</c:v>
                </c:pt>
                <c:pt idx="40">
                  <c:v>41.3</c:v>
                </c:pt>
                <c:pt idx="41">
                  <c:v>39.700000000000003</c:v>
                </c:pt>
                <c:pt idx="42">
                  <c:v>38.799999999999997</c:v>
                </c:pt>
                <c:pt idx="43">
                  <c:v>36.6</c:v>
                </c:pt>
                <c:pt idx="44">
                  <c:v>36.200000000000003</c:v>
                </c:pt>
                <c:pt idx="45">
                  <c:v>35.700000000000003</c:v>
                </c:pt>
                <c:pt idx="46">
                  <c:v>35.700000000000003</c:v>
                </c:pt>
                <c:pt idx="47">
                  <c:v>35.6</c:v>
                </c:pt>
                <c:pt idx="48">
                  <c:v>33.799999999999997</c:v>
                </c:pt>
                <c:pt idx="49">
                  <c:v>32.9</c:v>
                </c:pt>
                <c:pt idx="50">
                  <c:v>32.299999999999997</c:v>
                </c:pt>
                <c:pt idx="51">
                  <c:v>31.3</c:v>
                </c:pt>
                <c:pt idx="52">
                  <c:v>31.3</c:v>
                </c:pt>
                <c:pt idx="53">
                  <c:v>30.6</c:v>
                </c:pt>
                <c:pt idx="54">
                  <c:v>30.6</c:v>
                </c:pt>
                <c:pt idx="55">
                  <c:v>30.5</c:v>
                </c:pt>
                <c:pt idx="56">
                  <c:v>30.7</c:v>
                </c:pt>
                <c:pt idx="57">
                  <c:v>30.4</c:v>
                </c:pt>
                <c:pt idx="58">
                  <c:v>30.9</c:v>
                </c:pt>
                <c:pt idx="59">
                  <c:v>28</c:v>
                </c:pt>
                <c:pt idx="60">
                  <c:v>27.7</c:v>
                </c:pt>
                <c:pt idx="61">
                  <c:v>28.2</c:v>
                </c:pt>
                <c:pt idx="62">
                  <c:v>28.2</c:v>
                </c:pt>
                <c:pt idx="63">
                  <c:v>28.2</c:v>
                </c:pt>
                <c:pt idx="64">
                  <c:v>28.9</c:v>
                </c:pt>
                <c:pt idx="65">
                  <c:v>29</c:v>
                </c:pt>
                <c:pt idx="66">
                  <c:v>28.4</c:v>
                </c:pt>
                <c:pt idx="67">
                  <c:v>28.5</c:v>
                </c:pt>
                <c:pt idx="68">
                  <c:v>27.9</c:v>
                </c:pt>
                <c:pt idx="69">
                  <c:v>27.3</c:v>
                </c:pt>
                <c:pt idx="70">
                  <c:v>29.7</c:v>
                </c:pt>
                <c:pt idx="71">
                  <c:v>28.9</c:v>
                </c:pt>
                <c:pt idx="72">
                  <c:v>29.4</c:v>
                </c:pt>
                <c:pt idx="73">
                  <c:v>29.2</c:v>
                </c:pt>
                <c:pt idx="74">
                  <c:v>29.9</c:v>
                </c:pt>
                <c:pt idx="75">
                  <c:v>31.7</c:v>
                </c:pt>
                <c:pt idx="76">
                  <c:v>32.5</c:v>
                </c:pt>
                <c:pt idx="77">
                  <c:v>38.4</c:v>
                </c:pt>
                <c:pt idx="78">
                  <c:v>40.9</c:v>
                </c:pt>
                <c:pt idx="79">
                  <c:v>39.299999999999997</c:v>
                </c:pt>
                <c:pt idx="80">
                  <c:v>37.799999999999997</c:v>
                </c:pt>
                <c:pt idx="81">
                  <c:v>36.700000000000003</c:v>
                </c:pt>
                <c:pt idx="82">
                  <c:v>35</c:v>
                </c:pt>
                <c:pt idx="83">
                  <c:v>39.6</c:v>
                </c:pt>
                <c:pt idx="84">
                  <c:v>41.3</c:v>
                </c:pt>
              </c:numCache>
            </c:numRef>
          </c:val>
          <c:smooth val="0"/>
          <c:extLst>
            <c:ext xmlns:c16="http://schemas.microsoft.com/office/drawing/2014/chart" uri="{C3380CC4-5D6E-409C-BE32-E72D297353CC}">
              <c16:uniqueId val="{00000002-487D-402C-9B3F-280BB5B29F1F}"/>
            </c:ext>
          </c:extLst>
        </c:ser>
        <c:ser>
          <c:idx val="3"/>
          <c:order val="3"/>
          <c:tx>
            <c:v>Yerli Bankalar</c:v>
          </c:tx>
          <c:spPr>
            <a:ln w="28575" cap="rnd">
              <a:solidFill>
                <a:schemeClr val="accent1"/>
              </a:solidFill>
              <a:round/>
            </a:ln>
            <a:effectLst/>
          </c:spPr>
          <c:marker>
            <c:symbol val="none"/>
          </c:marker>
          <c:cat>
            <c:strRef>
              <c:f>'TR-BIS_GDPsharesUpdated18112022'!$BN$5:$ET$5</c:f>
              <c:strCache>
                <c:ptCount val="85"/>
                <c:pt idx="0">
                  <c:v>2001-Ç1</c:v>
                </c:pt>
                <c:pt idx="1">
                  <c:v>2001-Ç2</c:v>
                </c:pt>
                <c:pt idx="2">
                  <c:v>2001-Ç3</c:v>
                </c:pt>
                <c:pt idx="3">
                  <c:v>2001-Ç4</c:v>
                </c:pt>
                <c:pt idx="4">
                  <c:v>2002-Ç1</c:v>
                </c:pt>
                <c:pt idx="5">
                  <c:v>2002-Ç2</c:v>
                </c:pt>
                <c:pt idx="6">
                  <c:v>2002-Ç3</c:v>
                </c:pt>
                <c:pt idx="7">
                  <c:v>2002-Ç4</c:v>
                </c:pt>
                <c:pt idx="8">
                  <c:v>2003-Ç1</c:v>
                </c:pt>
                <c:pt idx="9">
                  <c:v>2003-Ç2</c:v>
                </c:pt>
                <c:pt idx="10">
                  <c:v>2003-Ç3</c:v>
                </c:pt>
                <c:pt idx="11">
                  <c:v>2003-Ç4</c:v>
                </c:pt>
                <c:pt idx="12">
                  <c:v>2004-Ç1</c:v>
                </c:pt>
                <c:pt idx="13">
                  <c:v>2004-Ç2</c:v>
                </c:pt>
                <c:pt idx="14">
                  <c:v>2004-Ç3</c:v>
                </c:pt>
                <c:pt idx="15">
                  <c:v>2004-Ç4</c:v>
                </c:pt>
                <c:pt idx="16">
                  <c:v>2005-Ç1</c:v>
                </c:pt>
                <c:pt idx="17">
                  <c:v>2005-Ç2</c:v>
                </c:pt>
                <c:pt idx="18">
                  <c:v>2005-Ç3</c:v>
                </c:pt>
                <c:pt idx="19">
                  <c:v>2005-Ç4</c:v>
                </c:pt>
                <c:pt idx="20">
                  <c:v>2006-Ç1</c:v>
                </c:pt>
                <c:pt idx="21">
                  <c:v>2006-Ç2</c:v>
                </c:pt>
                <c:pt idx="22">
                  <c:v>2006-Ç3</c:v>
                </c:pt>
                <c:pt idx="23">
                  <c:v>2006-Ç4</c:v>
                </c:pt>
                <c:pt idx="24">
                  <c:v>2007-Ç1</c:v>
                </c:pt>
                <c:pt idx="25">
                  <c:v>2007-Ç2</c:v>
                </c:pt>
                <c:pt idx="26">
                  <c:v>2007-Ç3</c:v>
                </c:pt>
                <c:pt idx="27">
                  <c:v>2007-Ç4</c:v>
                </c:pt>
                <c:pt idx="28">
                  <c:v>2008-Ç1</c:v>
                </c:pt>
                <c:pt idx="29">
                  <c:v>2008-Ç2</c:v>
                </c:pt>
                <c:pt idx="30">
                  <c:v>2008-Ç3</c:v>
                </c:pt>
                <c:pt idx="31">
                  <c:v>2008-Ç4</c:v>
                </c:pt>
                <c:pt idx="32">
                  <c:v>2009-Ç1</c:v>
                </c:pt>
                <c:pt idx="33">
                  <c:v>2009-Ç2</c:v>
                </c:pt>
                <c:pt idx="34">
                  <c:v>2009-Ç3</c:v>
                </c:pt>
                <c:pt idx="35">
                  <c:v>2009-Ç4</c:v>
                </c:pt>
                <c:pt idx="36">
                  <c:v>2010-Ç1</c:v>
                </c:pt>
                <c:pt idx="37">
                  <c:v>2010-Ç2</c:v>
                </c:pt>
                <c:pt idx="38">
                  <c:v>2010-Ç3</c:v>
                </c:pt>
                <c:pt idx="39">
                  <c:v>2010-Ç4</c:v>
                </c:pt>
                <c:pt idx="40">
                  <c:v>2011-Ç1</c:v>
                </c:pt>
                <c:pt idx="41">
                  <c:v>2011-Ç2</c:v>
                </c:pt>
                <c:pt idx="42">
                  <c:v>2011-Ç3</c:v>
                </c:pt>
                <c:pt idx="43">
                  <c:v>2011-Ç4</c:v>
                </c:pt>
                <c:pt idx="44">
                  <c:v>2012-Ç1</c:v>
                </c:pt>
                <c:pt idx="45">
                  <c:v>2012-Ç2</c:v>
                </c:pt>
                <c:pt idx="46">
                  <c:v>2012-Ç3</c:v>
                </c:pt>
                <c:pt idx="47">
                  <c:v>2012-Ç4</c:v>
                </c:pt>
                <c:pt idx="48">
                  <c:v>2013-Ç1</c:v>
                </c:pt>
                <c:pt idx="49">
                  <c:v>2013-Ç2</c:v>
                </c:pt>
                <c:pt idx="50">
                  <c:v>2013-Ç3</c:v>
                </c:pt>
                <c:pt idx="51">
                  <c:v>2013-Ç4</c:v>
                </c:pt>
                <c:pt idx="52">
                  <c:v>2014-Ç1</c:v>
                </c:pt>
                <c:pt idx="53">
                  <c:v>2014-Ç2</c:v>
                </c:pt>
                <c:pt idx="54">
                  <c:v>2014-Ç3</c:v>
                </c:pt>
                <c:pt idx="55">
                  <c:v>2014-Ç4</c:v>
                </c:pt>
                <c:pt idx="56">
                  <c:v>2015-Ç1</c:v>
                </c:pt>
                <c:pt idx="57">
                  <c:v>2015-Ç2</c:v>
                </c:pt>
                <c:pt idx="58">
                  <c:v>2015-Ç3</c:v>
                </c:pt>
                <c:pt idx="59">
                  <c:v>2015-Ç4</c:v>
                </c:pt>
                <c:pt idx="60">
                  <c:v>2016-Ç1</c:v>
                </c:pt>
                <c:pt idx="61">
                  <c:v>2016-Ç2</c:v>
                </c:pt>
                <c:pt idx="62">
                  <c:v>2016-Ç3</c:v>
                </c:pt>
                <c:pt idx="63">
                  <c:v>2016-Ç4</c:v>
                </c:pt>
                <c:pt idx="64">
                  <c:v>2017-Ç1</c:v>
                </c:pt>
                <c:pt idx="65">
                  <c:v>2017-Ç2</c:v>
                </c:pt>
                <c:pt idx="66">
                  <c:v>2017-Ç3</c:v>
                </c:pt>
                <c:pt idx="67">
                  <c:v>2017-Ç4</c:v>
                </c:pt>
                <c:pt idx="68">
                  <c:v>2018-Ç1</c:v>
                </c:pt>
                <c:pt idx="69">
                  <c:v>2018-Ç2</c:v>
                </c:pt>
                <c:pt idx="70">
                  <c:v>2018-Ç3</c:v>
                </c:pt>
                <c:pt idx="71">
                  <c:v>2018-Ç4</c:v>
                </c:pt>
                <c:pt idx="72">
                  <c:v>2019-Ç1</c:v>
                </c:pt>
                <c:pt idx="73">
                  <c:v>2019-Ç2</c:v>
                </c:pt>
                <c:pt idx="74">
                  <c:v>2019-Ç3</c:v>
                </c:pt>
                <c:pt idx="75">
                  <c:v>2019-Ç4</c:v>
                </c:pt>
                <c:pt idx="76">
                  <c:v>2020-Ç1</c:v>
                </c:pt>
                <c:pt idx="77">
                  <c:v>2020-Ç2</c:v>
                </c:pt>
                <c:pt idx="78">
                  <c:v>2020-Ç3</c:v>
                </c:pt>
                <c:pt idx="79">
                  <c:v>2020-Ç4</c:v>
                </c:pt>
                <c:pt idx="80">
                  <c:v>2021-Ç1</c:v>
                </c:pt>
                <c:pt idx="81">
                  <c:v>2021-Ç2</c:v>
                </c:pt>
                <c:pt idx="82">
                  <c:v>2021-Ç3</c:v>
                </c:pt>
                <c:pt idx="83">
                  <c:v>2021-Ç4</c:v>
                </c:pt>
                <c:pt idx="84">
                  <c:v>2022-Ç1</c:v>
                </c:pt>
              </c:strCache>
            </c:strRef>
          </c:cat>
          <c:val>
            <c:numRef>
              <c:f>'TR-BIS_GDPsharesUpdated18112022'!$BN$12:$ET$12</c:f>
              <c:numCache>
                <c:formatCode>General</c:formatCode>
                <c:ptCount val="85"/>
                <c:pt idx="0">
                  <c:v>17.100000000000001</c:v>
                </c:pt>
                <c:pt idx="1">
                  <c:v>16.2</c:v>
                </c:pt>
                <c:pt idx="2">
                  <c:v>15.4</c:v>
                </c:pt>
                <c:pt idx="3">
                  <c:v>14.4</c:v>
                </c:pt>
                <c:pt idx="4">
                  <c:v>12.1</c:v>
                </c:pt>
                <c:pt idx="5">
                  <c:v>10.5</c:v>
                </c:pt>
                <c:pt idx="6">
                  <c:v>10.5</c:v>
                </c:pt>
                <c:pt idx="7">
                  <c:v>10.7</c:v>
                </c:pt>
                <c:pt idx="8">
                  <c:v>11.2</c:v>
                </c:pt>
                <c:pt idx="9">
                  <c:v>10.6</c:v>
                </c:pt>
                <c:pt idx="10">
                  <c:v>10.7</c:v>
                </c:pt>
                <c:pt idx="11">
                  <c:v>11.9</c:v>
                </c:pt>
                <c:pt idx="12">
                  <c:v>12.4</c:v>
                </c:pt>
                <c:pt idx="13">
                  <c:v>14.2</c:v>
                </c:pt>
                <c:pt idx="14">
                  <c:v>14.5</c:v>
                </c:pt>
                <c:pt idx="15">
                  <c:v>14.7</c:v>
                </c:pt>
                <c:pt idx="16">
                  <c:v>15.4</c:v>
                </c:pt>
                <c:pt idx="17">
                  <c:v>16.600000000000001</c:v>
                </c:pt>
                <c:pt idx="18">
                  <c:v>17.3</c:v>
                </c:pt>
                <c:pt idx="19">
                  <c:v>19</c:v>
                </c:pt>
                <c:pt idx="20">
                  <c:v>20</c:v>
                </c:pt>
                <c:pt idx="21">
                  <c:v>22.4</c:v>
                </c:pt>
                <c:pt idx="22">
                  <c:v>22.3</c:v>
                </c:pt>
                <c:pt idx="23">
                  <c:v>22.8</c:v>
                </c:pt>
                <c:pt idx="24">
                  <c:v>22.9</c:v>
                </c:pt>
                <c:pt idx="25">
                  <c:v>23.8</c:v>
                </c:pt>
                <c:pt idx="26">
                  <c:v>24.7</c:v>
                </c:pt>
                <c:pt idx="27">
                  <c:v>26.1</c:v>
                </c:pt>
                <c:pt idx="28">
                  <c:v>27.7</c:v>
                </c:pt>
                <c:pt idx="29">
                  <c:v>28.9</c:v>
                </c:pt>
                <c:pt idx="30">
                  <c:v>29.5</c:v>
                </c:pt>
                <c:pt idx="31">
                  <c:v>28.5</c:v>
                </c:pt>
                <c:pt idx="32">
                  <c:v>28.4</c:v>
                </c:pt>
                <c:pt idx="33">
                  <c:v>29.3</c:v>
                </c:pt>
                <c:pt idx="34">
                  <c:v>30.3</c:v>
                </c:pt>
                <c:pt idx="35">
                  <c:v>31.6</c:v>
                </c:pt>
                <c:pt idx="36">
                  <c:v>33.1</c:v>
                </c:pt>
                <c:pt idx="37">
                  <c:v>35.799999999999997</c:v>
                </c:pt>
                <c:pt idx="38">
                  <c:v>36.4</c:v>
                </c:pt>
                <c:pt idx="39">
                  <c:v>39</c:v>
                </c:pt>
                <c:pt idx="40">
                  <c:v>40.5</c:v>
                </c:pt>
                <c:pt idx="41">
                  <c:v>43</c:v>
                </c:pt>
                <c:pt idx="42">
                  <c:v>43.9</c:v>
                </c:pt>
                <c:pt idx="43">
                  <c:v>43.6</c:v>
                </c:pt>
                <c:pt idx="44">
                  <c:v>43.6</c:v>
                </c:pt>
                <c:pt idx="45">
                  <c:v>44.9</c:v>
                </c:pt>
                <c:pt idx="46">
                  <c:v>45.1</c:v>
                </c:pt>
                <c:pt idx="47">
                  <c:v>46.2</c:v>
                </c:pt>
                <c:pt idx="48">
                  <c:v>47.1</c:v>
                </c:pt>
                <c:pt idx="49">
                  <c:v>50.5</c:v>
                </c:pt>
                <c:pt idx="50">
                  <c:v>52.3</c:v>
                </c:pt>
                <c:pt idx="51">
                  <c:v>53.6</c:v>
                </c:pt>
                <c:pt idx="52">
                  <c:v>53.6</c:v>
                </c:pt>
                <c:pt idx="53">
                  <c:v>54.3</c:v>
                </c:pt>
                <c:pt idx="54">
                  <c:v>55.8</c:v>
                </c:pt>
                <c:pt idx="55">
                  <c:v>56.6</c:v>
                </c:pt>
                <c:pt idx="56">
                  <c:v>58.9</c:v>
                </c:pt>
                <c:pt idx="57">
                  <c:v>60.1</c:v>
                </c:pt>
                <c:pt idx="58">
                  <c:v>61.4</c:v>
                </c:pt>
                <c:pt idx="59">
                  <c:v>59.2</c:v>
                </c:pt>
                <c:pt idx="60">
                  <c:v>58.4</c:v>
                </c:pt>
                <c:pt idx="61">
                  <c:v>58.9</c:v>
                </c:pt>
                <c:pt idx="62">
                  <c:v>59.5</c:v>
                </c:pt>
                <c:pt idx="63">
                  <c:v>61.3</c:v>
                </c:pt>
                <c:pt idx="64">
                  <c:v>62.5</c:v>
                </c:pt>
                <c:pt idx="65">
                  <c:v>63.2</c:v>
                </c:pt>
                <c:pt idx="66">
                  <c:v>62.1</c:v>
                </c:pt>
                <c:pt idx="67">
                  <c:v>62.1</c:v>
                </c:pt>
                <c:pt idx="68">
                  <c:v>61.7</c:v>
                </c:pt>
                <c:pt idx="69">
                  <c:v>62.7</c:v>
                </c:pt>
                <c:pt idx="70">
                  <c:v>64.8</c:v>
                </c:pt>
                <c:pt idx="71">
                  <c:v>58</c:v>
                </c:pt>
                <c:pt idx="72">
                  <c:v>58.6</c:v>
                </c:pt>
                <c:pt idx="73">
                  <c:v>57.3</c:v>
                </c:pt>
                <c:pt idx="74">
                  <c:v>55.4</c:v>
                </c:pt>
                <c:pt idx="75">
                  <c:v>55.9</c:v>
                </c:pt>
                <c:pt idx="76">
                  <c:v>58.9</c:v>
                </c:pt>
                <c:pt idx="77">
                  <c:v>66.5</c:v>
                </c:pt>
                <c:pt idx="78">
                  <c:v>68.7</c:v>
                </c:pt>
                <c:pt idx="79">
                  <c:v>65.2</c:v>
                </c:pt>
                <c:pt idx="80">
                  <c:v>64.3</c:v>
                </c:pt>
                <c:pt idx="81">
                  <c:v>60.1</c:v>
                </c:pt>
                <c:pt idx="82">
                  <c:v>57.4</c:v>
                </c:pt>
                <c:pt idx="83">
                  <c:v>61.6</c:v>
                </c:pt>
                <c:pt idx="84">
                  <c:v>59.1</c:v>
                </c:pt>
              </c:numCache>
            </c:numRef>
          </c:val>
          <c:smooth val="0"/>
          <c:extLst>
            <c:ext xmlns:c16="http://schemas.microsoft.com/office/drawing/2014/chart" uri="{C3380CC4-5D6E-409C-BE32-E72D297353CC}">
              <c16:uniqueId val="{00000003-487D-402C-9B3F-280BB5B29F1F}"/>
            </c:ext>
          </c:extLst>
        </c:ser>
        <c:dLbls>
          <c:showLegendKey val="0"/>
          <c:showVal val="0"/>
          <c:showCatName val="0"/>
          <c:showSerName val="0"/>
          <c:showPercent val="0"/>
          <c:showBubbleSize val="0"/>
        </c:dLbls>
        <c:marker val="1"/>
        <c:smooth val="0"/>
        <c:axId val="1724992688"/>
        <c:axId val="1724977296"/>
      </c:lineChart>
      <c:catAx>
        <c:axId val="1724992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tr-TR"/>
          </a:p>
        </c:txPr>
        <c:crossAx val="1724977296"/>
        <c:crosses val="autoZero"/>
        <c:auto val="1"/>
        <c:lblAlgn val="ctr"/>
        <c:lblOffset val="100"/>
        <c:noMultiLvlLbl val="0"/>
      </c:catAx>
      <c:valAx>
        <c:axId val="1724977296"/>
        <c:scaling>
          <c:orientation val="minMax"/>
        </c:scaling>
        <c:delete val="0"/>
        <c:axPos val="l"/>
        <c:majorGridlines>
          <c:spPr>
            <a:ln w="9525" cap="flat" cmpd="sng" algn="ctr">
              <a:solidFill>
                <a:schemeClr val="tx1">
                  <a:lumMod val="15000"/>
                  <a:lumOff val="85000"/>
                </a:schemeClr>
              </a:solidFill>
              <a:prstDash val="sysDot"/>
              <a:round/>
            </a:ln>
            <a:effectLst/>
          </c:spPr>
        </c:majorGridlines>
        <c:numFmt formatCode="General" sourceLinked="1"/>
        <c:majorTickMark val="none"/>
        <c:minorTickMark val="none"/>
        <c:tickLblPos val="nextTo"/>
        <c:spPr>
          <a:noFill/>
          <a:ln>
            <a:solidFill>
              <a:schemeClr val="tx1">
                <a:lumMod val="15000"/>
                <a:lumOff val="85000"/>
              </a:schemeClr>
            </a:solid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tr-TR"/>
          </a:p>
        </c:txPr>
        <c:crossAx val="1724992688"/>
        <c:crosses val="autoZero"/>
        <c:crossBetween val="between"/>
      </c:valAx>
      <c:spPr>
        <a:noFill/>
        <a:ln>
          <a:noFill/>
        </a:ln>
        <a:effectLst/>
      </c:spPr>
    </c:plotArea>
    <c:legend>
      <c:legendPos val="b"/>
      <c:layout>
        <c:manualLayout>
          <c:xMode val="edge"/>
          <c:yMode val="edge"/>
          <c:x val="2.6788654259126708E-2"/>
          <c:y val="0.90922358961422711"/>
          <c:w val="0.95494541875447392"/>
          <c:h val="8.6199751346871106E-2"/>
        </c:manualLayout>
      </c:layout>
      <c:overlay val="0"/>
      <c:spPr>
        <a:noFill/>
        <a:ln>
          <a:noFill/>
        </a:ln>
        <a:effectLst/>
      </c:spPr>
      <c:txPr>
        <a:bodyPr rot="0" spcFirstLastPara="1" vertOverflow="ellipsis" vert="horz" wrap="square" anchor="t" anchorCtr="0"/>
        <a:lstStyle/>
        <a:p>
          <a:pPr>
            <a:defRPr sz="7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no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2AFF" w:usb1="4000ACFF"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A0002AEF" w:usb1="4000207B" w:usb2="00000000" w:usb3="00000000" w:csb0="000001FF" w:csb1="00000000"/>
  </w:font>
  <w:font w:name="Segoe UI">
    <w:panose1 w:val="020B0502040204020203"/>
    <w:charset w:val="A2"/>
    <w:family w:val="swiss"/>
    <w:pitch w:val="variable"/>
    <w:sig w:usb0="E4002EFF" w:usb1="C000E47F" w:usb2="00000009" w:usb3="00000000" w:csb0="000001FF" w:csb1="00000000"/>
  </w:font>
  <w:font w:name="Cambria Math">
    <w:panose1 w:val="02040503050406030204"/>
    <w:charset w:val="A2"/>
    <w:family w:val="roman"/>
    <w:pitch w:val="variable"/>
    <w:sig w:usb0="E00002FF" w:usb1="420024FF" w:usb2="00000000" w:usb3="00000000" w:csb0="0000019F" w:csb1="00000000"/>
  </w:font>
  <w:font w:name="Calibri-Light">
    <w:altName w:val="Calibri"/>
    <w:panose1 w:val="00000000000000000000"/>
    <w:charset w:val="00"/>
    <w:family w:val="auto"/>
    <w:notTrueType/>
    <w:pitch w:val="default"/>
    <w:sig w:usb0="00000003" w:usb1="00000000" w:usb2="00000000" w:usb3="00000000" w:csb0="00000001" w:csb1="00000000"/>
  </w:font>
  <w:font w:name="Dreaming Outloud Pro">
    <w:altName w:val="Ink Free"/>
    <w:charset w:val="00"/>
    <w:family w:val="script"/>
    <w:pitch w:val="variable"/>
    <w:sig w:usb0="800000EF" w:usb1="0000000A" w:usb2="00000008"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4AF"/>
    <w:rsid w:val="00284B8D"/>
    <w:rsid w:val="008574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58B362289B46739DED1B613A41FD12">
    <w:name w:val="2E58B362289B46739DED1B613A41FD12"/>
    <w:rsid w:val="008574AF"/>
  </w:style>
  <w:style w:type="paragraph" w:customStyle="1" w:styleId="94DE0AAB671A4424910854D57F88155B">
    <w:name w:val="94DE0AAB671A4424910854D57F88155B"/>
    <w:rsid w:val="008574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2AB2B1986AF21249ADF9B37B98AC252B" ma:contentTypeVersion="13" ma:contentTypeDescription="Yeni belge oluşturun." ma:contentTypeScope="" ma:versionID="035b82f000d0e16a1dc618d3dd157900">
  <xsd:schema xmlns:xsd="http://www.w3.org/2001/XMLSchema" xmlns:xs="http://www.w3.org/2001/XMLSchema" xmlns:p="http://schemas.microsoft.com/office/2006/metadata/properties" xmlns:ns3="49b86751-2b2d-4fa8-ae7c-991eb52466d5" xmlns:ns4="163c94ba-444c-4896-b447-5df991cfffbe" targetNamespace="http://schemas.microsoft.com/office/2006/metadata/properties" ma:root="true" ma:fieldsID="118ac688eaa671763daefca949041c5f" ns3:_="" ns4:_="">
    <xsd:import namespace="49b86751-2b2d-4fa8-ae7c-991eb52466d5"/>
    <xsd:import namespace="163c94ba-444c-4896-b447-5df991cfffb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b86751-2b2d-4fa8-ae7c-991eb52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3c94ba-444c-4896-b447-5df991cfffbe" elementFormDefault="qualified">
    <xsd:import namespace="http://schemas.microsoft.com/office/2006/documentManagement/types"/>
    <xsd:import namespace="http://schemas.microsoft.com/office/infopath/2007/PartnerControls"/>
    <xsd:element name="SharedWithUsers" ma:index="12"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Ayrıntıları ile Paylaşıldı" ma:internalName="SharedWithDetails" ma:readOnly="true">
      <xsd:simpleType>
        <xsd:restriction base="dms:Note">
          <xsd:maxLength value="255"/>
        </xsd:restriction>
      </xsd:simpleType>
    </xsd:element>
    <xsd:element name="SharingHintHash" ma:index="14"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4D6D1-81FC-44FC-B65D-F5943B6D4326}">
  <ds:schemaRefs>
    <ds:schemaRef ds:uri="http://schemas.microsoft.com/sharepoint/v3/contenttype/forms"/>
  </ds:schemaRefs>
</ds:datastoreItem>
</file>

<file path=customXml/itemProps2.xml><?xml version="1.0" encoding="utf-8"?>
<ds:datastoreItem xmlns:ds="http://schemas.openxmlformats.org/officeDocument/2006/customXml" ds:itemID="{4527848E-0B23-4840-BA5B-104E99306B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FF155E-938A-4C40-97EC-E7AEEA4C7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b86751-2b2d-4fa8-ae7c-991eb52466d5"/>
    <ds:schemaRef ds:uri="163c94ba-444c-4896-b447-5df991cfff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6CF0BA-BA84-4D7B-815D-7F63B4C3D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29</Pages>
  <Words>11312</Words>
  <Characters>64483</Characters>
  <Application>Microsoft Office Word</Application>
  <DocSecurity>0</DocSecurity>
  <Lines>537</Lines>
  <Paragraphs>151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75644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Zeren TASPINAR</dc:creator>
  <cp:keywords/>
  <dc:description/>
  <cp:lastModifiedBy>merve.akgul</cp:lastModifiedBy>
  <cp:revision>8</cp:revision>
  <cp:lastPrinted>2023-10-03T08:19:00Z</cp:lastPrinted>
  <dcterms:created xsi:type="dcterms:W3CDTF">2023-10-03T08:19:00Z</dcterms:created>
  <dcterms:modified xsi:type="dcterms:W3CDTF">2023-10-03T08:57:00Z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0x0101002AB2B1986AF21249ADF9B37B98AC252B</vt:lpwstr>
  </property>
  <property fmtid="{D5CDD505-2E9C-101B-9397-08002B2CF9AE}" pid="3" name="GrammarlyDocumentId">
    <vt:lpwstr>7f8f3c96897b5f3043a170e06cdb33c56b7d92bb4762b24cde8356b1432baeb9</vt:lpwstr>
  </property>
</Properties>
</file>