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AB786" w14:textId="2032B6CE" w:rsidR="00667FE8" w:rsidRPr="002B102D" w:rsidRDefault="00CA76FE" w:rsidP="007C3CD9">
      <w:pPr>
        <w:pStyle w:val="Balk4"/>
        <w:spacing w:line="276" w:lineRule="auto"/>
        <w:rPr>
          <w:rFonts w:ascii="Arial" w:hAnsi="Arial" w:cs="Arial"/>
          <w:lang w:val="en-US"/>
        </w:rPr>
      </w:pPr>
      <w:r w:rsidRPr="002B102D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2C273DC6" wp14:editId="6B061C1D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F1B90" w14:textId="77777777" w:rsidR="009F0904" w:rsidRPr="00F31F20" w:rsidRDefault="009F0904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Labor Market Outlook:</w:t>
                            </w:r>
                          </w:p>
                          <w:p w14:paraId="73A11B48" w14:textId="0DF7A1E1" w:rsidR="009F0904" w:rsidRPr="00F31F20" w:rsidRDefault="0003473E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May</w:t>
                            </w:r>
                            <w:r w:rsidR="009F0904"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202</w:t>
                            </w:r>
                            <w:r w:rsidR="006B7BBC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14:paraId="517AB707" w14:textId="77777777" w:rsidR="009F0904" w:rsidRPr="00526178" w:rsidRDefault="009F09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3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" stroked="f">
                <v:fill opacity="0"/>
                <v:textbox inset="0,0,0,0">
                  <w:txbxContent>
                    <w:p w14:paraId="190F1B90" w14:textId="77777777" w:rsidR="009F0904" w:rsidRPr="00F31F20" w:rsidRDefault="009F0904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Labor Market Outlook:</w:t>
                      </w:r>
                    </w:p>
                    <w:p w14:paraId="73A11B48" w14:textId="0DF7A1E1" w:rsidR="009F0904" w:rsidRPr="00F31F20" w:rsidRDefault="0003473E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May</w:t>
                      </w:r>
                      <w:r w:rsidR="009F0904"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 xml:space="preserve"> 202</w:t>
                      </w:r>
                      <w:r w:rsidR="006B7BBC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14:paraId="517AB707" w14:textId="77777777" w:rsidR="009F0904" w:rsidRPr="00526178" w:rsidRDefault="009F0904"/>
                  </w:txbxContent>
                </v:textbox>
              </v:shape>
            </w:pict>
          </mc:Fallback>
        </mc:AlternateContent>
      </w:r>
      <w:r w:rsidR="00A3249B" w:rsidRPr="002B102D"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3A303D0C" wp14:editId="07C8EF8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EDF4E8B" w14:textId="77777777" w:rsidR="00667FE8" w:rsidRPr="002B102D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07D5138D" w14:textId="273802C1" w:rsidR="00667FE8" w:rsidRPr="002B102D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45BAED0" w14:textId="77777777" w:rsidR="00667FE8" w:rsidRPr="002B102D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C4E29F2" w14:textId="77777777" w:rsidR="00887B3E" w:rsidRPr="002B102D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  <w:lang w:val="en-US"/>
        </w:rPr>
      </w:pPr>
      <w:r w:rsidRPr="002B102D">
        <w:rPr>
          <w:rFonts w:ascii="Arial" w:hAnsi="Arial" w:cs="Arial"/>
          <w:b/>
          <w:bCs/>
          <w:lang w:val="en-US"/>
        </w:rPr>
        <w:tab/>
      </w:r>
    </w:p>
    <w:p w14:paraId="78FE8AE4" w14:textId="641A4DD4" w:rsidR="00B03ED6" w:rsidRDefault="005F5860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HUGE MONTHLY SWINGS IN MALE AND FEMALE EMPLOYMENT AND UNEMPLOYMENT</w:t>
      </w:r>
    </w:p>
    <w:p w14:paraId="1B56AC8D" w14:textId="77777777" w:rsidR="0074445A" w:rsidRPr="002B102D" w:rsidRDefault="0074445A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4B8CDD5E" w14:textId="0B34827B" w:rsidR="004A3731" w:rsidRPr="00C20CA1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CA1">
        <w:rPr>
          <w:rFonts w:ascii="Arial" w:hAnsi="Arial" w:cs="Arial"/>
          <w:b/>
          <w:bCs/>
          <w:sz w:val="20"/>
          <w:szCs w:val="20"/>
        </w:rPr>
        <w:t>Seyfettin Gürsel</w:t>
      </w:r>
      <w:r w:rsidRPr="00C20CA1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20CA1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20CA1">
        <w:rPr>
          <w:rFonts w:ascii="Arial" w:hAnsi="Arial" w:cs="Arial"/>
          <w:b/>
          <w:bCs/>
          <w:sz w:val="20"/>
          <w:szCs w:val="20"/>
        </w:rPr>
        <w:t>Hamza Mutluay</w:t>
      </w:r>
      <w:r w:rsidRPr="00C20CA1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20CA1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A76FE" w:rsidRPr="00C20CA1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20CA1">
        <w:rPr>
          <w:rFonts w:ascii="Arial" w:hAnsi="Arial" w:cs="Arial"/>
          <w:b/>
          <w:bCs/>
          <w:sz w:val="20"/>
          <w:szCs w:val="20"/>
        </w:rPr>
        <w:t>Mehmet Cem Şahin</w:t>
      </w:r>
      <w:r w:rsidRPr="00C20CA1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761539CF" w14:textId="77777777" w:rsidR="00BF75F8" w:rsidRPr="002B102D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5AA163" w14:textId="3E002114" w:rsidR="0032627B" w:rsidRPr="002B102D" w:rsidRDefault="0073183E" w:rsidP="00321CA0">
      <w:pPr>
        <w:spacing w:after="6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B102D">
        <w:rPr>
          <w:rFonts w:ascii="Arial" w:hAnsi="Arial" w:cs="Arial"/>
          <w:b/>
          <w:bCs/>
          <w:sz w:val="20"/>
          <w:szCs w:val="20"/>
          <w:lang w:val="en-US"/>
        </w:rPr>
        <w:t>Executive Summary</w:t>
      </w:r>
    </w:p>
    <w:p w14:paraId="1C0A4B1E" w14:textId="77777777" w:rsidR="006B226E" w:rsidRPr="002B102D" w:rsidRDefault="006B226E" w:rsidP="00321CA0">
      <w:pPr>
        <w:spacing w:after="6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27FCD2A" w14:textId="5C7FD19B" w:rsidR="002B3BCA" w:rsidRPr="002B102D" w:rsidRDefault="002B3BCA" w:rsidP="002B3BCA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Since the number of employed persons </w:t>
      </w:r>
      <w:r w:rsidR="004A4548">
        <w:rPr>
          <w:rFonts w:ascii="Arial" w:hAnsi="Arial" w:cs="Arial"/>
          <w:sz w:val="20"/>
          <w:szCs w:val="20"/>
          <w:lang w:val="en-US"/>
        </w:rPr>
        <w:t>increased by 37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 and the number of unemployed persons</w:t>
      </w:r>
      <w:r w:rsidR="00D512D6">
        <w:rPr>
          <w:rFonts w:ascii="Arial" w:hAnsi="Arial" w:cs="Arial"/>
          <w:sz w:val="20"/>
          <w:szCs w:val="20"/>
          <w:lang w:val="en-US"/>
        </w:rPr>
        <w:t xml:space="preserve"> </w:t>
      </w:r>
      <w:r w:rsidR="000F42EB">
        <w:rPr>
          <w:rFonts w:ascii="Arial" w:hAnsi="Arial" w:cs="Arial"/>
          <w:sz w:val="20"/>
          <w:szCs w:val="20"/>
          <w:lang w:val="en-US"/>
        </w:rPr>
        <w:t>in</w:t>
      </w:r>
      <w:r w:rsidR="0057101C" w:rsidRPr="002B102D">
        <w:rPr>
          <w:rFonts w:ascii="Arial" w:hAnsi="Arial" w:cs="Arial"/>
          <w:sz w:val="20"/>
          <w:szCs w:val="20"/>
          <w:lang w:val="en-US"/>
        </w:rPr>
        <w:t>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4A4548">
        <w:rPr>
          <w:rFonts w:ascii="Arial" w:hAnsi="Arial" w:cs="Arial"/>
          <w:sz w:val="20"/>
          <w:szCs w:val="20"/>
          <w:lang w:val="en-US"/>
        </w:rPr>
        <w:t>4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thousand, the labor force </w:t>
      </w:r>
      <w:r w:rsidR="004A4548">
        <w:rPr>
          <w:rFonts w:ascii="Arial" w:hAnsi="Arial" w:cs="Arial"/>
          <w:sz w:val="20"/>
          <w:szCs w:val="20"/>
          <w:lang w:val="en-US"/>
        </w:rPr>
        <w:t>in</w:t>
      </w:r>
      <w:r w:rsidR="00BC5CF5">
        <w:rPr>
          <w:rFonts w:ascii="Arial" w:hAnsi="Arial" w:cs="Arial"/>
          <w:sz w:val="20"/>
          <w:szCs w:val="20"/>
          <w:lang w:val="en-US"/>
        </w:rPr>
        <w:t>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4A4548">
        <w:rPr>
          <w:rFonts w:ascii="Arial" w:hAnsi="Arial" w:cs="Arial"/>
          <w:sz w:val="20"/>
          <w:szCs w:val="20"/>
          <w:lang w:val="en-US"/>
        </w:rPr>
        <w:t>41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5E7366" w:rsidRPr="002B102D">
        <w:rPr>
          <w:rFonts w:ascii="Arial" w:hAnsi="Arial" w:cs="Arial"/>
          <w:sz w:val="20"/>
          <w:szCs w:val="20"/>
          <w:lang w:val="en-US"/>
        </w:rPr>
        <w:t xml:space="preserve"> from </w:t>
      </w:r>
      <w:r w:rsidR="004A4548">
        <w:rPr>
          <w:rFonts w:ascii="Arial" w:hAnsi="Arial" w:cs="Arial"/>
          <w:sz w:val="20"/>
          <w:szCs w:val="20"/>
          <w:lang w:val="en-US"/>
        </w:rPr>
        <w:t>February to March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. As a result, the unemployment rate </w:t>
      </w:r>
      <w:r w:rsidR="004A4548">
        <w:rPr>
          <w:rFonts w:ascii="Arial" w:hAnsi="Arial" w:cs="Arial"/>
          <w:sz w:val="20"/>
          <w:szCs w:val="20"/>
          <w:lang w:val="en-US"/>
        </w:rPr>
        <w:t>remained unchanged at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1</w:t>
      </w:r>
      <w:r w:rsidR="0057101C" w:rsidRPr="002B102D">
        <w:rPr>
          <w:rFonts w:ascii="Arial" w:hAnsi="Arial" w:cs="Arial"/>
          <w:sz w:val="20"/>
          <w:szCs w:val="20"/>
          <w:lang w:val="en-US"/>
        </w:rPr>
        <w:t>0.</w:t>
      </w:r>
      <w:r w:rsidR="005B779B">
        <w:rPr>
          <w:rFonts w:ascii="Arial" w:hAnsi="Arial" w:cs="Arial"/>
          <w:sz w:val="20"/>
          <w:szCs w:val="20"/>
          <w:lang w:val="en-US"/>
        </w:rPr>
        <w:t>0</w:t>
      </w:r>
      <w:r w:rsidRPr="002B102D">
        <w:rPr>
          <w:rFonts w:ascii="Arial" w:hAnsi="Arial" w:cs="Arial"/>
          <w:sz w:val="20"/>
          <w:szCs w:val="20"/>
          <w:lang w:val="en-US"/>
        </w:rPr>
        <w:t>%</w:t>
      </w:r>
      <w:r w:rsidR="005E7366" w:rsidRPr="002B102D">
        <w:rPr>
          <w:rFonts w:ascii="Arial" w:hAnsi="Arial" w:cs="Arial"/>
          <w:sz w:val="20"/>
          <w:szCs w:val="20"/>
          <w:lang w:val="en-US"/>
        </w:rPr>
        <w:t>.</w:t>
      </w:r>
      <w:r w:rsidR="002F5778">
        <w:rPr>
          <w:rFonts w:ascii="Arial" w:hAnsi="Arial" w:cs="Arial"/>
          <w:sz w:val="20"/>
          <w:szCs w:val="20"/>
          <w:lang w:val="en-US"/>
        </w:rPr>
        <w:t xml:space="preserve"> </w:t>
      </w:r>
      <w:r w:rsidR="005C2C67">
        <w:rPr>
          <w:rFonts w:ascii="Arial" w:hAnsi="Arial" w:cs="Arial"/>
          <w:sz w:val="20"/>
          <w:szCs w:val="20"/>
          <w:lang w:val="en-US"/>
        </w:rPr>
        <w:t>We infer that Turkstat has been able to implement surveys in the 3 (Gaziantep, Kilis and Malatya) of 7 provinces which were affected by the tragic earthquake.</w:t>
      </w:r>
      <w:r w:rsidR="008D69A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0FD3375" w14:textId="266EEEAD" w:rsidR="00C44E66" w:rsidRPr="002B102D" w:rsidRDefault="00601F3D" w:rsidP="00404C0E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CA359B">
        <w:rPr>
          <w:rFonts w:ascii="Arial" w:hAnsi="Arial" w:cs="Arial"/>
          <w:sz w:val="20"/>
          <w:szCs w:val="20"/>
          <w:lang w:val="en-US"/>
        </w:rPr>
        <w:t>The s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easonally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adjusted female unemployment rate</w:t>
      </w:r>
      <w:r w:rsidR="00D512D6">
        <w:rPr>
          <w:rFonts w:ascii="Arial" w:hAnsi="Arial" w:cs="Arial"/>
          <w:sz w:val="20"/>
          <w:szCs w:val="20"/>
          <w:lang w:val="en-US"/>
        </w:rPr>
        <w:t xml:space="preserve"> </w:t>
      </w:r>
      <w:r w:rsidR="00DD18E9">
        <w:rPr>
          <w:rFonts w:ascii="Arial" w:hAnsi="Arial" w:cs="Arial"/>
          <w:sz w:val="20"/>
          <w:szCs w:val="20"/>
          <w:lang w:val="en-US"/>
        </w:rPr>
        <w:t>in</w:t>
      </w:r>
      <w:r w:rsidR="005F4D87">
        <w:rPr>
          <w:rFonts w:ascii="Arial" w:hAnsi="Arial" w:cs="Arial"/>
          <w:sz w:val="20"/>
          <w:szCs w:val="20"/>
          <w:lang w:val="en-US"/>
        </w:rPr>
        <w:t>creased</w:t>
      </w:r>
      <w:r w:rsidR="00482407">
        <w:rPr>
          <w:rFonts w:ascii="Arial" w:hAnsi="Arial" w:cs="Arial"/>
          <w:sz w:val="20"/>
          <w:szCs w:val="20"/>
          <w:lang w:val="en-US"/>
        </w:rPr>
        <w:t xml:space="preserve"> by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DD18E9">
        <w:rPr>
          <w:rFonts w:ascii="Arial" w:hAnsi="Arial" w:cs="Arial"/>
          <w:sz w:val="20"/>
          <w:szCs w:val="20"/>
          <w:lang w:val="en-US"/>
        </w:rPr>
        <w:t>1</w:t>
      </w:r>
      <w:r w:rsidR="00482407">
        <w:rPr>
          <w:rFonts w:ascii="Arial" w:hAnsi="Arial" w:cs="Arial"/>
          <w:sz w:val="20"/>
          <w:szCs w:val="20"/>
          <w:lang w:val="en-US"/>
        </w:rPr>
        <w:t>.</w:t>
      </w:r>
      <w:r w:rsidR="00DD18E9">
        <w:rPr>
          <w:rFonts w:ascii="Arial" w:hAnsi="Arial" w:cs="Arial"/>
          <w:sz w:val="20"/>
          <w:szCs w:val="20"/>
          <w:lang w:val="en-US"/>
        </w:rPr>
        <w:t>0</w:t>
      </w:r>
      <w:r w:rsidR="00482407">
        <w:rPr>
          <w:rFonts w:ascii="Arial" w:hAnsi="Arial" w:cs="Arial"/>
          <w:sz w:val="20"/>
          <w:szCs w:val="20"/>
          <w:lang w:val="en-US"/>
        </w:rPr>
        <w:t xml:space="preserve"> pp to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1</w:t>
      </w:r>
      <w:r w:rsidR="00DD18E9">
        <w:rPr>
          <w:rFonts w:ascii="Arial" w:hAnsi="Arial" w:cs="Arial"/>
          <w:sz w:val="20"/>
          <w:szCs w:val="20"/>
          <w:lang w:val="en-US"/>
        </w:rPr>
        <w:t>3</w:t>
      </w:r>
      <w:r w:rsidR="00DD4B63" w:rsidRPr="002B102D">
        <w:rPr>
          <w:rFonts w:ascii="Arial" w:hAnsi="Arial" w:cs="Arial"/>
          <w:sz w:val="20"/>
          <w:szCs w:val="20"/>
          <w:lang w:val="en-US"/>
        </w:rPr>
        <w:t>.</w:t>
      </w:r>
      <w:r w:rsidR="00DD18E9">
        <w:rPr>
          <w:rFonts w:ascii="Arial" w:hAnsi="Arial" w:cs="Arial"/>
          <w:sz w:val="20"/>
          <w:szCs w:val="20"/>
          <w:lang w:val="en-US"/>
        </w:rPr>
        <w:t>8</w:t>
      </w:r>
      <w:r w:rsidR="002B3BCA" w:rsidRPr="002B102D">
        <w:rPr>
          <w:rFonts w:ascii="Arial" w:hAnsi="Arial" w:cs="Arial"/>
          <w:sz w:val="20"/>
          <w:szCs w:val="20"/>
          <w:lang w:val="en-US"/>
        </w:rPr>
        <w:t>%</w:t>
      </w:r>
      <w:r w:rsidR="00482407">
        <w:rPr>
          <w:rFonts w:ascii="Arial" w:hAnsi="Arial" w:cs="Arial"/>
          <w:sz w:val="20"/>
          <w:szCs w:val="20"/>
          <w:lang w:val="en-US"/>
        </w:rPr>
        <w:t xml:space="preserve"> from </w:t>
      </w:r>
      <w:r w:rsidR="00DD18E9">
        <w:rPr>
          <w:rFonts w:ascii="Arial" w:hAnsi="Arial" w:cs="Arial"/>
          <w:sz w:val="20"/>
          <w:szCs w:val="20"/>
          <w:lang w:val="en-US"/>
        </w:rPr>
        <w:t>February to March</w:t>
      </w:r>
      <w:r w:rsidR="002009FA">
        <w:rPr>
          <w:rFonts w:ascii="Arial" w:hAnsi="Arial" w:cs="Arial"/>
          <w:sz w:val="20"/>
          <w:szCs w:val="20"/>
          <w:lang w:val="en-US"/>
        </w:rPr>
        <w:t>,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as female employment </w:t>
      </w:r>
      <w:r w:rsidR="00DD18E9">
        <w:rPr>
          <w:rFonts w:ascii="Arial" w:hAnsi="Arial" w:cs="Arial"/>
          <w:sz w:val="20"/>
          <w:szCs w:val="20"/>
          <w:lang w:val="en-US"/>
        </w:rPr>
        <w:t>dropped</w:t>
      </w:r>
      <w:r w:rsidR="00AB339F">
        <w:rPr>
          <w:rFonts w:ascii="Arial" w:hAnsi="Arial" w:cs="Arial"/>
          <w:sz w:val="20"/>
          <w:szCs w:val="20"/>
          <w:lang w:val="en-US"/>
        </w:rPr>
        <w:t xml:space="preserve"> by </w:t>
      </w:r>
      <w:r w:rsidR="00DD18E9">
        <w:rPr>
          <w:rFonts w:ascii="Arial" w:hAnsi="Arial" w:cs="Arial"/>
          <w:sz w:val="20"/>
          <w:szCs w:val="20"/>
          <w:lang w:val="en-US"/>
        </w:rPr>
        <w:t>313</w:t>
      </w:r>
      <w:r w:rsidR="00AB339F">
        <w:rPr>
          <w:rFonts w:ascii="Arial" w:hAnsi="Arial" w:cs="Arial"/>
          <w:sz w:val="20"/>
          <w:szCs w:val="20"/>
          <w:lang w:val="en-US"/>
        </w:rPr>
        <w:t xml:space="preserve"> thousand </w:t>
      </w:r>
      <w:r w:rsidR="005F4D87">
        <w:rPr>
          <w:rFonts w:ascii="Arial" w:hAnsi="Arial" w:cs="Arial"/>
          <w:sz w:val="20"/>
          <w:szCs w:val="20"/>
          <w:lang w:val="en-US"/>
        </w:rPr>
        <w:t xml:space="preserve">and </w:t>
      </w:r>
      <w:r w:rsidR="00AB339F">
        <w:rPr>
          <w:rFonts w:ascii="Arial" w:hAnsi="Arial" w:cs="Arial"/>
          <w:sz w:val="20"/>
          <w:szCs w:val="20"/>
          <w:lang w:val="en-US"/>
        </w:rPr>
        <w:t xml:space="preserve">female </w:t>
      </w:r>
      <w:r w:rsidR="005F4D87">
        <w:rPr>
          <w:rFonts w:ascii="Arial" w:hAnsi="Arial" w:cs="Arial"/>
          <w:sz w:val="20"/>
          <w:szCs w:val="20"/>
          <w:lang w:val="en-US"/>
        </w:rPr>
        <w:t xml:space="preserve">unemployment </w:t>
      </w:r>
      <w:r w:rsidR="00DD18E9">
        <w:rPr>
          <w:rFonts w:ascii="Arial" w:hAnsi="Arial" w:cs="Arial"/>
          <w:sz w:val="20"/>
          <w:szCs w:val="20"/>
          <w:lang w:val="en-US"/>
        </w:rPr>
        <w:t>in</w:t>
      </w:r>
      <w:r w:rsidR="00266383">
        <w:rPr>
          <w:rFonts w:ascii="Arial" w:hAnsi="Arial" w:cs="Arial"/>
          <w:sz w:val="20"/>
          <w:szCs w:val="20"/>
          <w:lang w:val="en-US"/>
        </w:rPr>
        <w:t>creased</w:t>
      </w:r>
      <w:r w:rsidR="005F4D87">
        <w:rPr>
          <w:rFonts w:ascii="Arial" w:hAnsi="Arial" w:cs="Arial"/>
          <w:sz w:val="20"/>
          <w:szCs w:val="20"/>
          <w:lang w:val="en-US"/>
        </w:rPr>
        <w:t xml:space="preserve"> by 9</w:t>
      </w:r>
      <w:r w:rsidR="00883998">
        <w:rPr>
          <w:rFonts w:ascii="Arial" w:hAnsi="Arial" w:cs="Arial"/>
          <w:sz w:val="20"/>
          <w:szCs w:val="20"/>
          <w:lang w:val="en-US"/>
        </w:rPr>
        <w:t>5</w:t>
      </w:r>
      <w:r w:rsidR="005F4D87">
        <w:rPr>
          <w:rFonts w:ascii="Arial" w:hAnsi="Arial" w:cs="Arial"/>
          <w:sz w:val="20"/>
          <w:szCs w:val="20"/>
          <w:lang w:val="en-US"/>
        </w:rPr>
        <w:t xml:space="preserve"> thousand.</w:t>
      </w:r>
      <w:r w:rsidR="00883998">
        <w:rPr>
          <w:rFonts w:ascii="Arial" w:hAnsi="Arial" w:cs="Arial"/>
          <w:sz w:val="20"/>
          <w:szCs w:val="20"/>
          <w:lang w:val="en-US"/>
        </w:rPr>
        <w:t xml:space="preserve"> It is worthwhile to note that female employment rose by 210 thousand and the unemployment rate fell to 12.8% from January to February (previous period).</w:t>
      </w:r>
      <w:r w:rsidR="005F4D87">
        <w:rPr>
          <w:rFonts w:ascii="Arial" w:hAnsi="Arial" w:cs="Arial"/>
          <w:sz w:val="20"/>
          <w:szCs w:val="20"/>
          <w:lang w:val="en-US"/>
        </w:rPr>
        <w:t xml:space="preserve"> </w:t>
      </w:r>
      <w:r w:rsidR="00405602">
        <w:rPr>
          <w:rFonts w:ascii="Arial" w:hAnsi="Arial" w:cs="Arial"/>
          <w:sz w:val="20"/>
          <w:szCs w:val="20"/>
          <w:lang w:val="en-US"/>
        </w:rPr>
        <w:t>As for male</w:t>
      </w:r>
      <w:r w:rsidR="003A14F7">
        <w:rPr>
          <w:rFonts w:ascii="Arial" w:hAnsi="Arial" w:cs="Arial"/>
          <w:sz w:val="20"/>
          <w:szCs w:val="20"/>
          <w:lang w:val="en-US"/>
        </w:rPr>
        <w:t>s</w:t>
      </w:r>
      <w:r w:rsidR="002B3BCA" w:rsidRPr="002B102D">
        <w:rPr>
          <w:rFonts w:ascii="Arial" w:hAnsi="Arial" w:cs="Arial"/>
          <w:sz w:val="20"/>
          <w:szCs w:val="20"/>
          <w:lang w:val="en-US"/>
        </w:rPr>
        <w:t>,</w:t>
      </w:r>
      <w:r w:rsidR="00D512D6" w:rsidRPr="00D512D6">
        <w:t xml:space="preserve"> </w:t>
      </w:r>
      <w:r w:rsidR="004525D3">
        <w:t xml:space="preserve">the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seasonally adjusted </w:t>
      </w:r>
      <w:r w:rsidR="005D35CA">
        <w:rPr>
          <w:rFonts w:ascii="Arial" w:hAnsi="Arial" w:cs="Arial"/>
          <w:sz w:val="20"/>
          <w:szCs w:val="20"/>
          <w:lang w:val="en-US"/>
        </w:rPr>
        <w:t xml:space="preserve">unemployment rate </w:t>
      </w:r>
      <w:r w:rsidR="003A14F7">
        <w:rPr>
          <w:rFonts w:ascii="Arial" w:hAnsi="Arial" w:cs="Arial"/>
          <w:sz w:val="20"/>
          <w:szCs w:val="20"/>
          <w:lang w:val="en-US"/>
        </w:rPr>
        <w:t xml:space="preserve">went </w:t>
      </w:r>
      <w:r w:rsidR="00D668D7">
        <w:rPr>
          <w:rFonts w:ascii="Arial" w:hAnsi="Arial" w:cs="Arial"/>
          <w:sz w:val="20"/>
          <w:szCs w:val="20"/>
          <w:lang w:val="en-US"/>
        </w:rPr>
        <w:t>down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by 0.</w:t>
      </w:r>
      <w:r w:rsidR="00D668D7">
        <w:rPr>
          <w:rFonts w:ascii="Arial" w:hAnsi="Arial" w:cs="Arial"/>
          <w:sz w:val="20"/>
          <w:szCs w:val="20"/>
          <w:lang w:val="en-US"/>
        </w:rPr>
        <w:t>5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pp to </w:t>
      </w:r>
      <w:r w:rsidR="0044729B">
        <w:rPr>
          <w:rFonts w:ascii="Arial" w:hAnsi="Arial" w:cs="Arial"/>
          <w:sz w:val="20"/>
          <w:szCs w:val="20"/>
          <w:lang w:val="en-US"/>
        </w:rPr>
        <w:t>8</w:t>
      </w:r>
      <w:r w:rsidR="007F7BCE" w:rsidRPr="002B102D">
        <w:rPr>
          <w:rFonts w:ascii="Arial" w:hAnsi="Arial" w:cs="Arial"/>
          <w:sz w:val="20"/>
          <w:szCs w:val="20"/>
          <w:lang w:val="en-US"/>
        </w:rPr>
        <w:t>.</w:t>
      </w:r>
      <w:r w:rsidR="00D668D7">
        <w:rPr>
          <w:rFonts w:ascii="Arial" w:hAnsi="Arial" w:cs="Arial"/>
          <w:sz w:val="20"/>
          <w:szCs w:val="20"/>
          <w:lang w:val="en-US"/>
        </w:rPr>
        <w:t>1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% following the </w:t>
      </w:r>
      <w:r w:rsidR="00B25E97">
        <w:rPr>
          <w:rFonts w:ascii="Arial" w:hAnsi="Arial" w:cs="Arial"/>
          <w:sz w:val="20"/>
          <w:szCs w:val="20"/>
          <w:lang w:val="en-US"/>
        </w:rPr>
        <w:t>strong increase</w:t>
      </w:r>
      <w:r w:rsidR="0044729B">
        <w:rPr>
          <w:rFonts w:ascii="Arial" w:hAnsi="Arial" w:cs="Arial"/>
          <w:sz w:val="20"/>
          <w:szCs w:val="20"/>
          <w:lang w:val="en-US"/>
        </w:rPr>
        <w:t xml:space="preserve"> 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in male employment by </w:t>
      </w:r>
      <w:r w:rsidR="00B25E97">
        <w:rPr>
          <w:rFonts w:ascii="Arial" w:hAnsi="Arial" w:cs="Arial"/>
          <w:sz w:val="20"/>
          <w:szCs w:val="20"/>
          <w:lang w:val="en-US"/>
        </w:rPr>
        <w:t>351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thousand and the </w:t>
      </w:r>
      <w:r w:rsidR="00F5268B">
        <w:rPr>
          <w:rFonts w:ascii="Arial" w:hAnsi="Arial" w:cs="Arial"/>
          <w:sz w:val="20"/>
          <w:szCs w:val="20"/>
          <w:lang w:val="en-US"/>
        </w:rPr>
        <w:t>de</w:t>
      </w:r>
      <w:r w:rsidR="005D35CA">
        <w:rPr>
          <w:rFonts w:ascii="Arial" w:hAnsi="Arial" w:cs="Arial"/>
          <w:sz w:val="20"/>
          <w:szCs w:val="20"/>
          <w:lang w:val="en-US"/>
        </w:rPr>
        <w:t>crease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in the number of unemployed males by </w:t>
      </w:r>
      <w:r w:rsidR="00F5268B">
        <w:rPr>
          <w:rFonts w:ascii="Arial" w:hAnsi="Arial" w:cs="Arial"/>
          <w:sz w:val="20"/>
          <w:szCs w:val="20"/>
          <w:lang w:val="en-US"/>
        </w:rPr>
        <w:t>92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thousand. </w:t>
      </w:r>
      <w:r w:rsidR="00794740">
        <w:rPr>
          <w:rFonts w:ascii="Arial" w:hAnsi="Arial" w:cs="Arial"/>
          <w:sz w:val="20"/>
          <w:szCs w:val="20"/>
          <w:lang w:val="en-US"/>
        </w:rPr>
        <w:t>Similar to what happened for female labor force statistics,</w:t>
      </w:r>
      <w:r w:rsidR="00C47758">
        <w:rPr>
          <w:rFonts w:ascii="Arial" w:hAnsi="Arial" w:cs="Arial"/>
          <w:sz w:val="20"/>
          <w:szCs w:val="20"/>
          <w:lang w:val="en-US"/>
        </w:rPr>
        <w:t xml:space="preserve"> the number of </w:t>
      </w:r>
      <w:proofErr w:type="gramStart"/>
      <w:r w:rsidR="00C47758">
        <w:rPr>
          <w:rFonts w:ascii="Arial" w:hAnsi="Arial" w:cs="Arial"/>
          <w:sz w:val="20"/>
          <w:szCs w:val="20"/>
          <w:lang w:val="en-US"/>
        </w:rPr>
        <w:t>male</w:t>
      </w:r>
      <w:proofErr w:type="gramEnd"/>
      <w:r w:rsidR="00C47758">
        <w:rPr>
          <w:rFonts w:ascii="Arial" w:hAnsi="Arial" w:cs="Arial"/>
          <w:sz w:val="20"/>
          <w:szCs w:val="20"/>
          <w:lang w:val="en-US"/>
        </w:rPr>
        <w:t xml:space="preserve"> employed fell by 571 thousand in the previous period. This </w:t>
      </w:r>
      <w:proofErr w:type="gramStart"/>
      <w:r w:rsidR="00C47758">
        <w:rPr>
          <w:rFonts w:ascii="Arial" w:hAnsi="Arial" w:cs="Arial"/>
          <w:sz w:val="20"/>
          <w:szCs w:val="20"/>
          <w:lang w:val="en-US"/>
        </w:rPr>
        <w:t>amount</w:t>
      </w:r>
      <w:proofErr w:type="gramEnd"/>
      <w:r w:rsidR="00C47758">
        <w:rPr>
          <w:rFonts w:ascii="Arial" w:hAnsi="Arial" w:cs="Arial"/>
          <w:sz w:val="20"/>
          <w:szCs w:val="20"/>
          <w:lang w:val="en-US"/>
        </w:rPr>
        <w:t xml:space="preserve"> of swings</w:t>
      </w:r>
      <w:r w:rsidR="00176849">
        <w:rPr>
          <w:rFonts w:ascii="Arial" w:hAnsi="Arial" w:cs="Arial"/>
          <w:sz w:val="20"/>
          <w:szCs w:val="20"/>
          <w:lang w:val="en-US"/>
        </w:rPr>
        <w:t xml:space="preserve"> in male and female labor force statistics can’t be explained without further details regarding the sectoral </w:t>
      </w:r>
      <w:proofErr w:type="spellStart"/>
      <w:r w:rsidR="00176849">
        <w:rPr>
          <w:rFonts w:ascii="Arial" w:hAnsi="Arial" w:cs="Arial"/>
          <w:sz w:val="20"/>
          <w:szCs w:val="20"/>
          <w:lang w:val="en-US"/>
        </w:rPr>
        <w:t xml:space="preserve">employment. </w:t>
      </w:r>
      <w:proofErr w:type="spellEnd"/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Following these developments, the gender gap in the unemployment rates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of females and males </w:t>
      </w:r>
      <w:r w:rsidR="00144E11">
        <w:rPr>
          <w:rFonts w:ascii="Arial" w:hAnsi="Arial" w:cs="Arial"/>
          <w:sz w:val="20"/>
          <w:szCs w:val="20"/>
          <w:lang w:val="en-US"/>
        </w:rPr>
        <w:t>increased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386C6F">
        <w:rPr>
          <w:rFonts w:ascii="Arial" w:hAnsi="Arial" w:cs="Arial"/>
          <w:sz w:val="20"/>
          <w:szCs w:val="20"/>
          <w:lang w:val="en-US"/>
        </w:rPr>
        <w:t xml:space="preserve">by </w:t>
      </w:r>
      <w:r w:rsidR="00295A8F">
        <w:rPr>
          <w:rFonts w:ascii="Arial" w:hAnsi="Arial" w:cs="Arial"/>
          <w:sz w:val="20"/>
          <w:szCs w:val="20"/>
          <w:lang w:val="en-US"/>
        </w:rPr>
        <w:t>1</w:t>
      </w:r>
      <w:r w:rsidR="00386C6F">
        <w:rPr>
          <w:rFonts w:ascii="Arial" w:hAnsi="Arial" w:cs="Arial"/>
          <w:sz w:val="20"/>
          <w:szCs w:val="20"/>
          <w:lang w:val="en-US"/>
        </w:rPr>
        <w:t>.</w:t>
      </w:r>
      <w:r w:rsidR="00144E11">
        <w:rPr>
          <w:rFonts w:ascii="Arial" w:hAnsi="Arial" w:cs="Arial"/>
          <w:sz w:val="20"/>
          <w:szCs w:val="20"/>
          <w:lang w:val="en-US"/>
        </w:rPr>
        <w:t>5</w:t>
      </w:r>
      <w:r w:rsidR="00386C6F">
        <w:rPr>
          <w:rFonts w:ascii="Arial" w:hAnsi="Arial" w:cs="Arial"/>
          <w:sz w:val="20"/>
          <w:szCs w:val="20"/>
          <w:lang w:val="en-US"/>
        </w:rPr>
        <w:t xml:space="preserve"> pp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to </w:t>
      </w:r>
      <w:r w:rsidR="00144E11">
        <w:rPr>
          <w:rFonts w:ascii="Arial" w:hAnsi="Arial" w:cs="Arial"/>
          <w:sz w:val="20"/>
          <w:szCs w:val="20"/>
          <w:lang w:val="en-US"/>
        </w:rPr>
        <w:t>5</w:t>
      </w:r>
      <w:r w:rsidR="00386C6F">
        <w:rPr>
          <w:rFonts w:ascii="Arial" w:hAnsi="Arial" w:cs="Arial"/>
          <w:sz w:val="20"/>
          <w:szCs w:val="20"/>
          <w:lang w:val="en-US"/>
        </w:rPr>
        <w:t>.</w:t>
      </w:r>
      <w:r w:rsidR="00144E11">
        <w:rPr>
          <w:rFonts w:ascii="Arial" w:hAnsi="Arial" w:cs="Arial"/>
          <w:sz w:val="20"/>
          <w:szCs w:val="20"/>
          <w:lang w:val="en-US"/>
        </w:rPr>
        <w:t>7</w:t>
      </w:r>
      <w:r w:rsidR="002B3BCA" w:rsidRPr="002B102D">
        <w:rPr>
          <w:rFonts w:ascii="Arial" w:hAnsi="Arial" w:cs="Arial"/>
          <w:sz w:val="20"/>
          <w:szCs w:val="20"/>
          <w:lang w:val="en-US"/>
        </w:rPr>
        <w:t>%.</w:t>
      </w:r>
    </w:p>
    <w:p w14:paraId="5E083A6A" w14:textId="1A711E97" w:rsidR="00C96208" w:rsidRPr="002B102D" w:rsidRDefault="00C96208" w:rsidP="004866AC">
      <w:pPr>
        <w:pStyle w:val="ResimYazs"/>
        <w:keepNext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1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Seasonally adjusted labor force, employment, and unemployment</w:t>
      </w:r>
    </w:p>
    <w:p w14:paraId="1380B379" w14:textId="4030D4C0" w:rsidR="005E139A" w:rsidRPr="002B102D" w:rsidRDefault="0003473E" w:rsidP="007C3CD9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2C5EA431" wp14:editId="45CDA87E">
            <wp:extent cx="6180271" cy="2689931"/>
            <wp:effectExtent l="0" t="0" r="5080" b="2540"/>
            <wp:docPr id="18686180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12074700-3855-4F9E-9080-7B51D6428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211E1" w14:textId="2926C640" w:rsidR="00191C06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bookmarkStart w:id="1" w:name="_Hlk79581063"/>
      <w:r w:rsidRPr="002B102D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bookmarkEnd w:id="1"/>
    <w:p w14:paraId="33D81EF5" w14:textId="77777777" w:rsidR="00144E11" w:rsidRDefault="00144E11" w:rsidP="00144E11">
      <w:pPr>
        <w:pStyle w:val="Balk1"/>
        <w:ind w:left="539" w:right="408" w:hanging="431"/>
        <w:jc w:val="both"/>
        <w:rPr>
          <w:rFonts w:cs="Calibri"/>
          <w:sz w:val="22"/>
          <w:szCs w:val="22"/>
          <w:lang w:val="en-US"/>
        </w:rPr>
      </w:pPr>
    </w:p>
    <w:p w14:paraId="476B087F" w14:textId="5088A7E6" w:rsidR="00144E11" w:rsidRPr="002B102D" w:rsidRDefault="00144E11" w:rsidP="00144E11">
      <w:pPr>
        <w:pStyle w:val="Balk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>The limited increase in employment</w:t>
      </w:r>
    </w:p>
    <w:p w14:paraId="7CE0F081" w14:textId="1D4FBB60" w:rsidR="00D103D6" w:rsidRDefault="00144E11" w:rsidP="009716BA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666E98">
        <w:rPr>
          <w:rFonts w:ascii="Arial" w:hAnsi="Arial" w:cs="Arial"/>
          <w:sz w:val="20"/>
          <w:szCs w:val="20"/>
          <w:lang w:val="en-US"/>
        </w:rPr>
        <w:t xml:space="preserve">According to the monthly seasonally adjusted data, the number of employed persons </w:t>
      </w:r>
      <w:r w:rsidR="00065260">
        <w:rPr>
          <w:rFonts w:ascii="Arial" w:hAnsi="Arial" w:cs="Arial"/>
          <w:sz w:val="20"/>
          <w:szCs w:val="20"/>
          <w:lang w:val="en-US"/>
        </w:rPr>
        <w:t>increased mildly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by </w:t>
      </w:r>
      <w:r w:rsidR="00065260">
        <w:rPr>
          <w:rFonts w:ascii="Arial" w:hAnsi="Arial" w:cs="Arial"/>
          <w:sz w:val="20"/>
          <w:szCs w:val="20"/>
          <w:lang w:val="en-US"/>
        </w:rPr>
        <w:t>37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 MoM to 3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million </w:t>
      </w:r>
      <w:r>
        <w:rPr>
          <w:rFonts w:ascii="Arial" w:hAnsi="Arial" w:cs="Arial"/>
          <w:sz w:val="20"/>
          <w:szCs w:val="20"/>
          <w:lang w:val="en-US"/>
        </w:rPr>
        <w:t>46</w:t>
      </w:r>
      <w:r w:rsidR="00065260">
        <w:rPr>
          <w:rFonts w:ascii="Arial" w:hAnsi="Arial" w:cs="Arial"/>
          <w:sz w:val="20"/>
          <w:szCs w:val="20"/>
          <w:lang w:val="en-US"/>
        </w:rPr>
        <w:t>2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thousand, and the number of unemployed persons increased by </w:t>
      </w:r>
      <w:r w:rsidR="00065260">
        <w:rPr>
          <w:rFonts w:ascii="Arial" w:hAnsi="Arial" w:cs="Arial"/>
          <w:sz w:val="20"/>
          <w:szCs w:val="20"/>
          <w:lang w:val="en-US"/>
        </w:rPr>
        <w:t>4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 to </w:t>
      </w:r>
      <w:r w:rsidRPr="00666E98">
        <w:rPr>
          <w:rFonts w:ascii="Arial" w:hAnsi="Arial" w:cs="Arial"/>
          <w:sz w:val="20"/>
          <w:szCs w:val="20"/>
          <w:lang w:val="en-US"/>
        </w:rPr>
        <w:lastRenderedPageBreak/>
        <w:t xml:space="preserve">3 million </w:t>
      </w:r>
      <w:r>
        <w:rPr>
          <w:rFonts w:ascii="Arial" w:hAnsi="Arial" w:cs="Arial"/>
          <w:sz w:val="20"/>
          <w:szCs w:val="20"/>
          <w:lang w:val="en-US"/>
        </w:rPr>
        <w:t>5</w:t>
      </w:r>
      <w:r w:rsidR="00065260">
        <w:rPr>
          <w:rFonts w:ascii="Arial" w:hAnsi="Arial" w:cs="Arial"/>
          <w:sz w:val="20"/>
          <w:szCs w:val="20"/>
          <w:lang w:val="en-US"/>
        </w:rPr>
        <w:t>08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Therefore, the total labor force </w:t>
      </w:r>
      <w:r w:rsidR="00065260">
        <w:rPr>
          <w:rFonts w:ascii="Arial" w:hAnsi="Arial" w:cs="Arial"/>
          <w:sz w:val="20"/>
          <w:szCs w:val="20"/>
          <w:lang w:val="en-US"/>
        </w:rPr>
        <w:t>in</w:t>
      </w:r>
      <w:r>
        <w:rPr>
          <w:rFonts w:ascii="Arial" w:hAnsi="Arial" w:cs="Arial"/>
          <w:sz w:val="20"/>
          <w:szCs w:val="20"/>
          <w:lang w:val="en-US"/>
        </w:rPr>
        <w:t xml:space="preserve">creased by </w:t>
      </w:r>
      <w:r w:rsidR="00065260">
        <w:rPr>
          <w:rFonts w:ascii="Arial" w:hAnsi="Arial" w:cs="Arial"/>
          <w:sz w:val="20"/>
          <w:szCs w:val="20"/>
          <w:lang w:val="en-US"/>
        </w:rPr>
        <w:t>41</w:t>
      </w:r>
      <w:r>
        <w:rPr>
          <w:rFonts w:ascii="Arial" w:hAnsi="Arial" w:cs="Arial"/>
          <w:sz w:val="20"/>
          <w:szCs w:val="20"/>
          <w:lang w:val="en-US"/>
        </w:rPr>
        <w:t xml:space="preserve"> thousand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to 34 million </w:t>
      </w:r>
      <w:r>
        <w:rPr>
          <w:rFonts w:ascii="Arial" w:hAnsi="Arial" w:cs="Arial"/>
          <w:sz w:val="20"/>
          <w:szCs w:val="20"/>
          <w:lang w:val="en-US"/>
        </w:rPr>
        <w:t>97</w:t>
      </w:r>
      <w:r w:rsidR="00065260">
        <w:rPr>
          <w:rFonts w:ascii="Arial" w:hAnsi="Arial" w:cs="Arial"/>
          <w:sz w:val="20"/>
          <w:szCs w:val="20"/>
          <w:lang w:val="en-US"/>
        </w:rPr>
        <w:t>0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 (Figure 1, Table 1). From </w:t>
      </w:r>
      <w:r w:rsidR="00AB49B4">
        <w:rPr>
          <w:rFonts w:ascii="Arial" w:hAnsi="Arial" w:cs="Arial"/>
          <w:sz w:val="20"/>
          <w:szCs w:val="20"/>
          <w:lang w:val="en-US"/>
        </w:rPr>
        <w:t>February to March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, the unemployment rate </w:t>
      </w:r>
      <w:r>
        <w:rPr>
          <w:rFonts w:ascii="Arial" w:hAnsi="Arial" w:cs="Arial"/>
          <w:sz w:val="20"/>
          <w:szCs w:val="20"/>
          <w:lang w:val="en-US"/>
        </w:rPr>
        <w:t>r</w:t>
      </w:r>
      <w:r w:rsidR="009716BA">
        <w:rPr>
          <w:rFonts w:ascii="Arial" w:hAnsi="Arial" w:cs="Arial"/>
          <w:sz w:val="20"/>
          <w:szCs w:val="20"/>
          <w:lang w:val="en-US"/>
        </w:rPr>
        <w:t>emained unchanged at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10.</w:t>
      </w:r>
      <w:r>
        <w:rPr>
          <w:rFonts w:ascii="Arial" w:hAnsi="Arial" w:cs="Arial"/>
          <w:sz w:val="20"/>
          <w:szCs w:val="20"/>
          <w:lang w:val="en-US"/>
        </w:rPr>
        <w:t>0</w:t>
      </w:r>
      <w:r w:rsidRPr="002B102D">
        <w:rPr>
          <w:rFonts w:ascii="Arial" w:hAnsi="Arial" w:cs="Arial"/>
          <w:sz w:val="20"/>
          <w:szCs w:val="20"/>
          <w:lang w:val="en-US"/>
        </w:rPr>
        <w:t>%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D6992E6" w14:textId="77777777" w:rsidR="00AB49B4" w:rsidRPr="009716BA" w:rsidRDefault="00AB49B4" w:rsidP="009716BA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19B149EA" w14:textId="744342C3" w:rsidR="00AB48F0" w:rsidRPr="00AB49B4" w:rsidRDefault="004F67C7" w:rsidP="00AB49B4">
      <w:pPr>
        <w:pStyle w:val="Balk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 w:rsidRPr="002B102D">
        <w:rPr>
          <w:rFonts w:cs="Calibri"/>
          <w:sz w:val="22"/>
          <w:szCs w:val="22"/>
          <w:lang w:val="en-US"/>
        </w:rPr>
        <w:t xml:space="preserve">Developments in the alternative unemployment rates </w:t>
      </w:r>
    </w:p>
    <w:p w14:paraId="0D4A0305" w14:textId="77777777" w:rsidR="00987C86" w:rsidRPr="00987C86" w:rsidRDefault="00987C86" w:rsidP="00987C86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987C86">
        <w:rPr>
          <w:rFonts w:ascii="Arial" w:hAnsi="Arial" w:cs="Arial"/>
          <w:sz w:val="20"/>
          <w:szCs w:val="20"/>
          <w:lang w:val="en-US"/>
        </w:rPr>
        <w:t>Box 1 reports the methods Turkstat used to calculate the alternative unemployment rates. These measures consider both the time-related underemployment (those who are employed for less than 40 hours a week but would like to increase their working hours but fail to do so) and the potential labor force (the individuals who are neither employed nor looking for a job but wish to work).</w:t>
      </w:r>
    </w:p>
    <w:p w14:paraId="64C3CEE1" w14:textId="5F2CCB53" w:rsidR="00593BF9" w:rsidRPr="002B102D" w:rsidRDefault="00987C86" w:rsidP="00987C86">
      <w:pPr>
        <w:pStyle w:val="GvdeMetni"/>
        <w:spacing w:before="121" w:line="276" w:lineRule="auto"/>
        <w:ind w:left="107" w:right="409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987C86">
        <w:rPr>
          <w:rFonts w:ascii="Arial" w:hAnsi="Arial" w:cs="Arial"/>
          <w:sz w:val="20"/>
          <w:szCs w:val="20"/>
          <w:lang w:val="en-US"/>
        </w:rPr>
        <w:t xml:space="preserve">According to the seasonally adjusted data, the general unemployment rate </w:t>
      </w:r>
      <w:r w:rsidR="00984395">
        <w:rPr>
          <w:rFonts w:ascii="Arial" w:hAnsi="Arial" w:cs="Arial"/>
          <w:sz w:val="20"/>
          <w:szCs w:val="20"/>
          <w:lang w:val="en-US"/>
        </w:rPr>
        <w:t>remained at 10.0%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 from </w:t>
      </w:r>
      <w:r w:rsidR="00984395">
        <w:rPr>
          <w:rFonts w:ascii="Arial" w:hAnsi="Arial" w:cs="Arial"/>
          <w:sz w:val="20"/>
          <w:szCs w:val="20"/>
          <w:lang w:val="en-US"/>
        </w:rPr>
        <w:t>February to March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. 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At the same time, </w:t>
      </w:r>
      <w:r w:rsidR="001A1280">
        <w:rPr>
          <w:rFonts w:ascii="Arial" w:hAnsi="Arial" w:cs="Arial"/>
          <w:sz w:val="20"/>
          <w:szCs w:val="20"/>
          <w:lang w:val="en-US"/>
        </w:rPr>
        <w:t xml:space="preserve">following the </w:t>
      </w:r>
      <w:r w:rsidR="005C44C7">
        <w:rPr>
          <w:rFonts w:ascii="Arial" w:hAnsi="Arial" w:cs="Arial"/>
          <w:sz w:val="20"/>
          <w:szCs w:val="20"/>
          <w:lang w:val="en-US"/>
        </w:rPr>
        <w:t xml:space="preserve">striking </w:t>
      </w:r>
      <w:r w:rsidR="00B2145F">
        <w:rPr>
          <w:rFonts w:ascii="Arial" w:hAnsi="Arial" w:cs="Arial"/>
          <w:sz w:val="20"/>
          <w:szCs w:val="20"/>
          <w:lang w:val="en-US"/>
        </w:rPr>
        <w:t>de</w:t>
      </w:r>
      <w:r w:rsidR="001A1280">
        <w:rPr>
          <w:rFonts w:ascii="Arial" w:hAnsi="Arial" w:cs="Arial"/>
          <w:sz w:val="20"/>
          <w:szCs w:val="20"/>
          <w:lang w:val="en-US"/>
        </w:rPr>
        <w:t>crease of</w:t>
      </w:r>
      <w:r w:rsidR="005C44C7">
        <w:rPr>
          <w:rFonts w:ascii="Arial" w:hAnsi="Arial" w:cs="Arial"/>
          <w:sz w:val="20"/>
          <w:szCs w:val="20"/>
          <w:lang w:val="en-US"/>
        </w:rPr>
        <w:t xml:space="preserve"> 3</w:t>
      </w:r>
      <w:r w:rsidR="00B2145F">
        <w:rPr>
          <w:rFonts w:ascii="Arial" w:hAnsi="Arial" w:cs="Arial"/>
          <w:sz w:val="20"/>
          <w:szCs w:val="20"/>
          <w:lang w:val="en-US"/>
        </w:rPr>
        <w:t>12</w:t>
      </w:r>
      <w:r w:rsidR="005C44C7">
        <w:rPr>
          <w:rFonts w:ascii="Arial" w:hAnsi="Arial" w:cs="Arial"/>
          <w:sz w:val="20"/>
          <w:szCs w:val="20"/>
          <w:lang w:val="en-US"/>
        </w:rPr>
        <w:t xml:space="preserve"> thousand in the potential labor force, 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the combined rate of unemployment and the potential labor force increased by </w:t>
      </w:r>
      <w:r w:rsidR="00B2145F">
        <w:rPr>
          <w:rFonts w:ascii="Arial" w:hAnsi="Arial" w:cs="Arial"/>
          <w:sz w:val="20"/>
          <w:szCs w:val="20"/>
          <w:lang w:val="en-US"/>
        </w:rPr>
        <w:t>0</w:t>
      </w:r>
      <w:r w:rsidR="00550C97" w:rsidRPr="00550C97">
        <w:rPr>
          <w:rFonts w:ascii="Arial" w:hAnsi="Arial" w:cs="Arial"/>
          <w:sz w:val="20"/>
          <w:szCs w:val="20"/>
          <w:lang w:val="en-US"/>
        </w:rPr>
        <w:t>.</w:t>
      </w:r>
      <w:r w:rsidR="00B2145F">
        <w:rPr>
          <w:rFonts w:ascii="Arial" w:hAnsi="Arial" w:cs="Arial"/>
          <w:sz w:val="20"/>
          <w:szCs w:val="20"/>
          <w:lang w:val="en-US"/>
        </w:rPr>
        <w:t>7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 pp to 1</w:t>
      </w:r>
      <w:r w:rsidR="005C44C7">
        <w:rPr>
          <w:rFonts w:ascii="Arial" w:hAnsi="Arial" w:cs="Arial"/>
          <w:sz w:val="20"/>
          <w:szCs w:val="20"/>
          <w:lang w:val="en-US"/>
        </w:rPr>
        <w:t>7</w:t>
      </w:r>
      <w:r w:rsidR="00550C97" w:rsidRPr="00550C97">
        <w:rPr>
          <w:rFonts w:ascii="Arial" w:hAnsi="Arial" w:cs="Arial"/>
          <w:sz w:val="20"/>
          <w:szCs w:val="20"/>
          <w:lang w:val="en-US"/>
        </w:rPr>
        <w:t>.</w:t>
      </w:r>
      <w:r w:rsidR="00B2145F">
        <w:rPr>
          <w:rFonts w:ascii="Arial" w:hAnsi="Arial" w:cs="Arial"/>
          <w:sz w:val="20"/>
          <w:szCs w:val="20"/>
          <w:lang w:val="en-US"/>
        </w:rPr>
        <w:t>2</w:t>
      </w:r>
      <w:r w:rsidR="00550C97" w:rsidRPr="00550C97">
        <w:rPr>
          <w:rFonts w:ascii="Arial" w:hAnsi="Arial" w:cs="Arial"/>
          <w:sz w:val="20"/>
          <w:szCs w:val="20"/>
          <w:lang w:val="en-US"/>
        </w:rPr>
        <w:t>%</w:t>
      </w:r>
      <w:r w:rsidR="0019418D">
        <w:rPr>
          <w:rFonts w:ascii="Arial" w:hAnsi="Arial" w:cs="Arial"/>
          <w:sz w:val="20"/>
          <w:szCs w:val="20"/>
          <w:lang w:val="en-US"/>
        </w:rPr>
        <w:t>.</w:t>
      </w:r>
      <w:r w:rsidR="008B5142">
        <w:rPr>
          <w:rFonts w:ascii="Arial" w:hAnsi="Arial" w:cs="Arial"/>
          <w:sz w:val="20"/>
          <w:szCs w:val="20"/>
          <w:lang w:val="en-US"/>
        </w:rPr>
        <w:t xml:space="preserve"> </w:t>
      </w:r>
      <w:r w:rsidR="00B2145F">
        <w:rPr>
          <w:rFonts w:ascii="Arial" w:hAnsi="Arial" w:cs="Arial"/>
          <w:sz w:val="20"/>
          <w:szCs w:val="20"/>
          <w:lang w:val="en-US"/>
        </w:rPr>
        <w:t>We would like to remind that th</w:t>
      </w:r>
      <w:r w:rsidR="006931A9">
        <w:rPr>
          <w:rFonts w:ascii="Arial" w:hAnsi="Arial" w:cs="Arial"/>
          <w:sz w:val="20"/>
          <w:szCs w:val="20"/>
          <w:lang w:val="en-US"/>
        </w:rPr>
        <w:t xml:space="preserve">e potential labor force previously increased by 365 thousand from January to February. </w:t>
      </w:r>
      <w:r w:rsidR="0057303C">
        <w:rPr>
          <w:rFonts w:ascii="Arial" w:hAnsi="Arial" w:cs="Arial"/>
          <w:sz w:val="20"/>
          <w:szCs w:val="20"/>
          <w:lang w:val="en-US"/>
        </w:rPr>
        <w:t xml:space="preserve">In addition, 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the combined rate of time-related underemployment and unemployment </w:t>
      </w:r>
      <w:r w:rsidR="00D972ED">
        <w:rPr>
          <w:rFonts w:ascii="Arial" w:hAnsi="Arial" w:cs="Arial"/>
          <w:sz w:val="20"/>
          <w:szCs w:val="20"/>
          <w:lang w:val="en-US"/>
        </w:rPr>
        <w:t>de</w:t>
      </w:r>
      <w:r w:rsidRPr="00987C86">
        <w:rPr>
          <w:rFonts w:ascii="Arial" w:hAnsi="Arial" w:cs="Arial"/>
          <w:sz w:val="20"/>
          <w:szCs w:val="20"/>
          <w:lang w:val="en-US"/>
        </w:rPr>
        <w:t>creased by 0.</w:t>
      </w:r>
      <w:r w:rsidR="00D972ED">
        <w:rPr>
          <w:rFonts w:ascii="Arial" w:hAnsi="Arial" w:cs="Arial"/>
          <w:sz w:val="20"/>
          <w:szCs w:val="20"/>
          <w:lang w:val="en-US"/>
        </w:rPr>
        <w:t>9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 pp and reached 1</w:t>
      </w:r>
      <w:r w:rsidR="00CF7C6E">
        <w:rPr>
          <w:rFonts w:ascii="Arial" w:hAnsi="Arial" w:cs="Arial"/>
          <w:sz w:val="20"/>
          <w:szCs w:val="20"/>
          <w:lang w:val="en-US"/>
        </w:rPr>
        <w:t>6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.0% in </w:t>
      </w:r>
      <w:r w:rsidR="00CF7C6E">
        <w:rPr>
          <w:rFonts w:ascii="Arial" w:hAnsi="Arial" w:cs="Arial"/>
          <w:sz w:val="20"/>
          <w:szCs w:val="20"/>
          <w:lang w:val="en-US"/>
        </w:rPr>
        <w:t>February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. “The composite measure of labor underutilization” which combines the two previous alternative unemployment metrics, </w:t>
      </w:r>
      <w:r w:rsidR="00F34144">
        <w:rPr>
          <w:rFonts w:ascii="Arial" w:hAnsi="Arial" w:cs="Arial"/>
          <w:sz w:val="20"/>
          <w:szCs w:val="20"/>
          <w:lang w:val="en-US"/>
        </w:rPr>
        <w:t>fell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 by </w:t>
      </w:r>
      <w:r w:rsidR="00AC3A37">
        <w:rPr>
          <w:rFonts w:ascii="Arial" w:hAnsi="Arial" w:cs="Arial"/>
          <w:sz w:val="20"/>
          <w:szCs w:val="20"/>
          <w:lang w:val="en-US"/>
        </w:rPr>
        <w:t>1</w:t>
      </w:r>
      <w:r w:rsidRPr="00987C86">
        <w:rPr>
          <w:rFonts w:ascii="Arial" w:hAnsi="Arial" w:cs="Arial"/>
          <w:sz w:val="20"/>
          <w:szCs w:val="20"/>
          <w:lang w:val="en-US"/>
        </w:rPr>
        <w:t>.</w:t>
      </w:r>
      <w:r w:rsidR="00D972ED">
        <w:rPr>
          <w:rFonts w:ascii="Arial" w:hAnsi="Arial" w:cs="Arial"/>
          <w:sz w:val="20"/>
          <w:szCs w:val="20"/>
          <w:lang w:val="en-US"/>
        </w:rPr>
        <w:t>6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 pp from </w:t>
      </w:r>
      <w:r w:rsidR="00AC3A37">
        <w:rPr>
          <w:rFonts w:ascii="Arial" w:hAnsi="Arial" w:cs="Arial"/>
          <w:sz w:val="20"/>
          <w:szCs w:val="20"/>
          <w:lang w:val="en-US"/>
        </w:rPr>
        <w:t>23</w:t>
      </w:r>
      <w:r w:rsidRPr="00987C86">
        <w:rPr>
          <w:rFonts w:ascii="Arial" w:hAnsi="Arial" w:cs="Arial"/>
          <w:sz w:val="20"/>
          <w:szCs w:val="20"/>
          <w:lang w:val="en-US"/>
        </w:rPr>
        <w:t>.</w:t>
      </w:r>
      <w:r w:rsidR="00AC3A37">
        <w:rPr>
          <w:rFonts w:ascii="Arial" w:hAnsi="Arial" w:cs="Arial"/>
          <w:sz w:val="20"/>
          <w:szCs w:val="20"/>
          <w:lang w:val="en-US"/>
        </w:rPr>
        <w:t>4</w:t>
      </w:r>
      <w:r w:rsidRPr="00987C86">
        <w:rPr>
          <w:rFonts w:ascii="Arial" w:hAnsi="Arial" w:cs="Arial"/>
          <w:sz w:val="20"/>
          <w:szCs w:val="20"/>
          <w:lang w:val="en-US"/>
        </w:rPr>
        <w:t>% to 2</w:t>
      </w:r>
      <w:r w:rsidR="00F34144">
        <w:rPr>
          <w:rFonts w:ascii="Arial" w:hAnsi="Arial" w:cs="Arial"/>
          <w:sz w:val="20"/>
          <w:szCs w:val="20"/>
          <w:lang w:val="en-US"/>
        </w:rPr>
        <w:t>1</w:t>
      </w:r>
      <w:r w:rsidRPr="00987C86">
        <w:rPr>
          <w:rFonts w:ascii="Arial" w:hAnsi="Arial" w:cs="Arial"/>
          <w:sz w:val="20"/>
          <w:szCs w:val="20"/>
          <w:lang w:val="en-US"/>
        </w:rPr>
        <w:t>.</w:t>
      </w:r>
      <w:r w:rsidR="00F34144">
        <w:rPr>
          <w:rFonts w:ascii="Arial" w:hAnsi="Arial" w:cs="Arial"/>
          <w:sz w:val="20"/>
          <w:szCs w:val="20"/>
          <w:lang w:val="en-US"/>
        </w:rPr>
        <w:t>8</w:t>
      </w:r>
      <w:r w:rsidRPr="00987C86">
        <w:rPr>
          <w:rFonts w:ascii="Arial" w:hAnsi="Arial" w:cs="Arial"/>
          <w:sz w:val="20"/>
          <w:szCs w:val="20"/>
          <w:lang w:val="en-US"/>
        </w:rPr>
        <w:t>% (Figure 2, Table 4).</w:t>
      </w:r>
    </w:p>
    <w:p w14:paraId="2E31740A" w14:textId="43398858" w:rsidR="00C96208" w:rsidRPr="002B102D" w:rsidRDefault="00C96208" w:rsidP="00AB48F0">
      <w:pPr>
        <w:pStyle w:val="ResimYazs"/>
        <w:keepNext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2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Headline Unemployment Rate and Supplementary Indicators for Labor Force</w:t>
      </w:r>
    </w:p>
    <w:p w14:paraId="44B7DAA2" w14:textId="4F6FE907" w:rsidR="00167A6F" w:rsidRPr="002B102D" w:rsidRDefault="0003473E" w:rsidP="00167A6F">
      <w:pPr>
        <w:pStyle w:val="ResimYazs"/>
        <w:keepNext/>
        <w:spacing w:after="120" w:line="276" w:lineRule="auto"/>
        <w:rPr>
          <w:lang w:val="en-US"/>
        </w:rPr>
      </w:pPr>
      <w:r>
        <w:rPr>
          <w:noProof/>
        </w:rPr>
        <w:drawing>
          <wp:inline distT="0" distB="0" distL="0" distR="0" wp14:anchorId="134B84CB" wp14:editId="53320BA7">
            <wp:extent cx="6238200" cy="3188725"/>
            <wp:effectExtent l="0" t="0" r="10795" b="12065"/>
            <wp:docPr id="103795965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A1DD31E-A3A6-4535-A5FF-7581457A4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F4B0E8" w14:textId="77777777" w:rsidR="002B5A9E" w:rsidRPr="002B102D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2B102D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p w14:paraId="0325B7B6" w14:textId="77777777" w:rsidR="00132CAC" w:rsidRPr="002B102D" w:rsidRDefault="00132CAC" w:rsidP="00484307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2F463285" w14:textId="1F9AA33F" w:rsidR="002C4349" w:rsidRPr="002B102D" w:rsidRDefault="00D91E6C" w:rsidP="00AB48F0">
      <w:pPr>
        <w:pStyle w:val="Balk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 xml:space="preserve">Female and male labor force indicators moved in opposite </w:t>
      </w:r>
      <w:proofErr w:type="gramStart"/>
      <w:r>
        <w:rPr>
          <w:rFonts w:cs="Calibri"/>
          <w:sz w:val="22"/>
          <w:szCs w:val="22"/>
          <w:lang w:val="en-US"/>
        </w:rPr>
        <w:t>directions</w:t>
      </w:r>
      <w:proofErr w:type="gramEnd"/>
    </w:p>
    <w:p w14:paraId="330CE891" w14:textId="77777777" w:rsidR="00C62FB5" w:rsidRPr="002B102D" w:rsidRDefault="00C62FB5" w:rsidP="007C3CD9">
      <w:pPr>
        <w:spacing w:line="276" w:lineRule="auto"/>
        <w:rPr>
          <w:lang w:val="en-US"/>
        </w:rPr>
      </w:pPr>
    </w:p>
    <w:p w14:paraId="57FEBA44" w14:textId="594D1B7F" w:rsidR="006E15F8" w:rsidRPr="00CA359B" w:rsidRDefault="00006CD0" w:rsidP="0050009E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Figure </w:t>
      </w:r>
      <w:r w:rsidR="000739DC" w:rsidRPr="002B102D">
        <w:rPr>
          <w:rFonts w:ascii="Arial" w:hAnsi="Arial" w:cs="Arial"/>
          <w:sz w:val="20"/>
          <w:szCs w:val="20"/>
          <w:lang w:val="en-US"/>
        </w:rPr>
        <w:t>3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shows </w:t>
      </w:r>
      <w:r w:rsidR="00601F3D" w:rsidRPr="00CA359B">
        <w:rPr>
          <w:rFonts w:ascii="Arial" w:hAnsi="Arial" w:cs="Arial"/>
          <w:sz w:val="20"/>
          <w:szCs w:val="20"/>
          <w:lang w:val="en-US"/>
        </w:rPr>
        <w:t xml:space="preserve">the 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seasonally adjusted unemployment rate for males and females. </w:t>
      </w:r>
      <w:r w:rsidR="00D34611">
        <w:rPr>
          <w:rFonts w:ascii="Arial" w:hAnsi="Arial" w:cs="Arial"/>
          <w:sz w:val="20"/>
          <w:szCs w:val="20"/>
          <w:lang w:val="en-US"/>
        </w:rPr>
        <w:t xml:space="preserve">In the month of </w:t>
      </w:r>
      <w:r w:rsidR="00035879">
        <w:rPr>
          <w:rFonts w:ascii="Arial" w:hAnsi="Arial" w:cs="Arial"/>
          <w:sz w:val="20"/>
          <w:szCs w:val="20"/>
          <w:lang w:val="en-US"/>
        </w:rPr>
        <w:t>March</w:t>
      </w:r>
      <w:r w:rsidR="00D34611">
        <w:rPr>
          <w:rFonts w:ascii="Arial" w:hAnsi="Arial" w:cs="Arial"/>
          <w:sz w:val="20"/>
          <w:szCs w:val="20"/>
          <w:lang w:val="en-US"/>
        </w:rPr>
        <w:t>,</w:t>
      </w:r>
      <w:r w:rsidR="00B61960">
        <w:rPr>
          <w:rFonts w:ascii="Arial" w:hAnsi="Arial" w:cs="Arial"/>
          <w:sz w:val="20"/>
          <w:szCs w:val="20"/>
          <w:lang w:val="en-US"/>
        </w:rPr>
        <w:t xml:space="preserve"> t</w:t>
      </w:r>
      <w:r w:rsidR="007C47C3">
        <w:rPr>
          <w:rFonts w:ascii="Arial" w:hAnsi="Arial" w:cs="Arial"/>
          <w:sz w:val="20"/>
          <w:szCs w:val="20"/>
          <w:lang w:val="en-US"/>
        </w:rPr>
        <w:t xml:space="preserve">he level of female </w:t>
      </w:r>
      <w:r w:rsidR="00D31000">
        <w:rPr>
          <w:rFonts w:ascii="Arial" w:hAnsi="Arial" w:cs="Arial"/>
          <w:sz w:val="20"/>
          <w:szCs w:val="20"/>
          <w:lang w:val="en-US"/>
        </w:rPr>
        <w:t xml:space="preserve">employment </w:t>
      </w:r>
      <w:r w:rsidR="00035879">
        <w:rPr>
          <w:rFonts w:ascii="Arial" w:hAnsi="Arial" w:cs="Arial"/>
          <w:sz w:val="20"/>
          <w:szCs w:val="20"/>
          <w:lang w:val="en-US"/>
        </w:rPr>
        <w:t>de</w:t>
      </w:r>
      <w:r w:rsidR="00B61960">
        <w:rPr>
          <w:rFonts w:ascii="Arial" w:hAnsi="Arial" w:cs="Arial"/>
          <w:sz w:val="20"/>
          <w:szCs w:val="20"/>
          <w:lang w:val="en-US"/>
        </w:rPr>
        <w:t xml:space="preserve">creased </w:t>
      </w:r>
      <w:r w:rsidR="00035879">
        <w:rPr>
          <w:rFonts w:ascii="Arial" w:hAnsi="Arial" w:cs="Arial"/>
          <w:sz w:val="20"/>
          <w:szCs w:val="20"/>
          <w:lang w:val="en-US"/>
        </w:rPr>
        <w:t xml:space="preserve">severely </w:t>
      </w:r>
      <w:r w:rsidR="00B61960">
        <w:rPr>
          <w:rFonts w:ascii="Arial" w:hAnsi="Arial" w:cs="Arial"/>
          <w:sz w:val="20"/>
          <w:szCs w:val="20"/>
          <w:lang w:val="en-US"/>
        </w:rPr>
        <w:t xml:space="preserve">by </w:t>
      </w:r>
      <w:r w:rsidR="00035879">
        <w:rPr>
          <w:rFonts w:ascii="Arial" w:hAnsi="Arial" w:cs="Arial"/>
          <w:sz w:val="20"/>
          <w:szCs w:val="20"/>
          <w:lang w:val="en-US"/>
        </w:rPr>
        <w:t>313</w:t>
      </w:r>
      <w:r w:rsidR="00B61960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D34611">
        <w:rPr>
          <w:rFonts w:ascii="Arial" w:hAnsi="Arial" w:cs="Arial"/>
          <w:sz w:val="20"/>
          <w:szCs w:val="20"/>
          <w:lang w:val="en-US"/>
        </w:rPr>
        <w:t xml:space="preserve"> while the level of unemployed females </w:t>
      </w:r>
      <w:r w:rsidR="002D27E0">
        <w:rPr>
          <w:rFonts w:ascii="Arial" w:hAnsi="Arial" w:cs="Arial"/>
          <w:sz w:val="20"/>
          <w:szCs w:val="20"/>
          <w:lang w:val="en-US"/>
        </w:rPr>
        <w:t>went up</w:t>
      </w:r>
      <w:r w:rsidR="00D34611">
        <w:rPr>
          <w:rFonts w:ascii="Arial" w:hAnsi="Arial" w:cs="Arial"/>
          <w:sz w:val="20"/>
          <w:szCs w:val="20"/>
          <w:lang w:val="en-US"/>
        </w:rPr>
        <w:t xml:space="preserve"> by 95 thousand, </w:t>
      </w:r>
      <w:r w:rsidR="005A20B3">
        <w:rPr>
          <w:rFonts w:ascii="Arial" w:hAnsi="Arial" w:cs="Arial"/>
          <w:sz w:val="20"/>
          <w:szCs w:val="20"/>
          <w:lang w:val="en-US"/>
        </w:rPr>
        <w:t>implying</w:t>
      </w:r>
      <w:r w:rsidR="00EB51BC">
        <w:rPr>
          <w:rFonts w:ascii="Arial" w:hAnsi="Arial" w:cs="Arial"/>
          <w:sz w:val="20"/>
          <w:szCs w:val="20"/>
          <w:lang w:val="en-US"/>
        </w:rPr>
        <w:t xml:space="preserve"> a </w:t>
      </w:r>
      <w:r w:rsidR="002D27E0">
        <w:rPr>
          <w:rFonts w:ascii="Arial" w:hAnsi="Arial" w:cs="Arial"/>
          <w:sz w:val="20"/>
          <w:szCs w:val="20"/>
          <w:lang w:val="en-US"/>
        </w:rPr>
        <w:t>217</w:t>
      </w:r>
      <w:r w:rsidR="005A20B3">
        <w:rPr>
          <w:rFonts w:ascii="Arial" w:hAnsi="Arial" w:cs="Arial"/>
          <w:sz w:val="20"/>
          <w:szCs w:val="20"/>
          <w:lang w:val="en-US"/>
        </w:rPr>
        <w:t>-</w:t>
      </w:r>
      <w:r w:rsidR="00EB51BC">
        <w:rPr>
          <w:rFonts w:ascii="Arial" w:hAnsi="Arial" w:cs="Arial"/>
          <w:sz w:val="20"/>
          <w:szCs w:val="20"/>
          <w:lang w:val="en-US"/>
        </w:rPr>
        <w:t>thousand</w:t>
      </w:r>
      <w:r w:rsidR="005A20B3">
        <w:rPr>
          <w:rFonts w:ascii="Arial" w:hAnsi="Arial" w:cs="Arial"/>
          <w:sz w:val="20"/>
          <w:szCs w:val="20"/>
          <w:lang w:val="en-US"/>
        </w:rPr>
        <w:t>-</w:t>
      </w:r>
      <w:r w:rsidR="002D27E0">
        <w:rPr>
          <w:rFonts w:ascii="Arial" w:hAnsi="Arial" w:cs="Arial"/>
          <w:sz w:val="20"/>
          <w:szCs w:val="20"/>
          <w:lang w:val="en-US"/>
        </w:rPr>
        <w:t>de</w:t>
      </w:r>
      <w:r w:rsidR="00EB51BC">
        <w:rPr>
          <w:rFonts w:ascii="Arial" w:hAnsi="Arial" w:cs="Arial"/>
          <w:sz w:val="20"/>
          <w:szCs w:val="20"/>
          <w:lang w:val="en-US"/>
        </w:rPr>
        <w:t>crease in the labor force</w:t>
      </w:r>
      <w:r w:rsidR="00B61960">
        <w:rPr>
          <w:rFonts w:ascii="Arial" w:hAnsi="Arial" w:cs="Arial"/>
          <w:sz w:val="20"/>
          <w:szCs w:val="20"/>
          <w:lang w:val="en-US"/>
        </w:rPr>
        <w:t xml:space="preserve">. </w:t>
      </w:r>
      <w:r w:rsidR="005A20B3">
        <w:rPr>
          <w:rFonts w:ascii="Arial" w:hAnsi="Arial" w:cs="Arial"/>
          <w:sz w:val="20"/>
          <w:szCs w:val="20"/>
          <w:lang w:val="en-US"/>
        </w:rPr>
        <w:t>Consequently</w:t>
      </w:r>
      <w:r w:rsidR="00F9238B" w:rsidRPr="006601E9">
        <w:rPr>
          <w:rFonts w:ascii="Arial" w:hAnsi="Arial" w:cs="Arial"/>
          <w:sz w:val="20"/>
          <w:szCs w:val="20"/>
          <w:lang w:val="en-US"/>
        </w:rPr>
        <w:t xml:space="preserve">, </w:t>
      </w:r>
      <w:r w:rsidR="00320425" w:rsidRPr="006601E9">
        <w:rPr>
          <w:rFonts w:ascii="Arial" w:hAnsi="Arial" w:cs="Arial"/>
          <w:sz w:val="20"/>
          <w:szCs w:val="20"/>
          <w:lang w:val="en-US"/>
        </w:rPr>
        <w:t xml:space="preserve">the female unemployment rate </w:t>
      </w:r>
      <w:r w:rsidR="00212925">
        <w:rPr>
          <w:rFonts w:ascii="Arial" w:hAnsi="Arial" w:cs="Arial"/>
          <w:sz w:val="20"/>
          <w:szCs w:val="20"/>
          <w:lang w:val="en-US"/>
        </w:rPr>
        <w:t>increas</w:t>
      </w:r>
      <w:r w:rsidR="005A20B3">
        <w:rPr>
          <w:rFonts w:ascii="Arial" w:hAnsi="Arial" w:cs="Arial"/>
          <w:sz w:val="20"/>
          <w:szCs w:val="20"/>
          <w:lang w:val="en-US"/>
        </w:rPr>
        <w:t xml:space="preserve">ed by </w:t>
      </w:r>
      <w:r w:rsidR="00212925">
        <w:rPr>
          <w:rFonts w:ascii="Arial" w:hAnsi="Arial" w:cs="Arial"/>
          <w:sz w:val="20"/>
          <w:szCs w:val="20"/>
          <w:lang w:val="en-US"/>
        </w:rPr>
        <w:t>1</w:t>
      </w:r>
      <w:r w:rsidR="005A20B3">
        <w:rPr>
          <w:rFonts w:ascii="Arial" w:hAnsi="Arial" w:cs="Arial"/>
          <w:sz w:val="20"/>
          <w:szCs w:val="20"/>
          <w:lang w:val="en-US"/>
        </w:rPr>
        <w:t>.</w:t>
      </w:r>
      <w:r w:rsidR="00212925">
        <w:rPr>
          <w:rFonts w:ascii="Arial" w:hAnsi="Arial" w:cs="Arial"/>
          <w:sz w:val="20"/>
          <w:szCs w:val="20"/>
          <w:lang w:val="en-US"/>
        </w:rPr>
        <w:t>0</w:t>
      </w:r>
      <w:r w:rsidR="005A20B3">
        <w:rPr>
          <w:rFonts w:ascii="Arial" w:hAnsi="Arial" w:cs="Arial"/>
          <w:sz w:val="20"/>
          <w:szCs w:val="20"/>
          <w:lang w:val="en-US"/>
        </w:rPr>
        <w:t xml:space="preserve"> pp</w:t>
      </w:r>
      <w:r w:rsidR="00320425" w:rsidRPr="006601E9">
        <w:rPr>
          <w:rFonts w:ascii="Arial" w:hAnsi="Arial" w:cs="Arial"/>
          <w:sz w:val="20"/>
          <w:szCs w:val="20"/>
          <w:lang w:val="en-US"/>
        </w:rPr>
        <w:t xml:space="preserve"> from 1</w:t>
      </w:r>
      <w:r w:rsidR="00212925">
        <w:rPr>
          <w:rFonts w:ascii="Arial" w:hAnsi="Arial" w:cs="Arial"/>
          <w:sz w:val="20"/>
          <w:szCs w:val="20"/>
          <w:lang w:val="en-US"/>
        </w:rPr>
        <w:t>2</w:t>
      </w:r>
      <w:r w:rsidR="00320425" w:rsidRPr="006601E9">
        <w:rPr>
          <w:rFonts w:ascii="Arial" w:hAnsi="Arial" w:cs="Arial"/>
          <w:sz w:val="20"/>
          <w:szCs w:val="20"/>
          <w:lang w:val="en-US"/>
        </w:rPr>
        <w:t>.</w:t>
      </w:r>
      <w:r w:rsidR="00212925">
        <w:rPr>
          <w:rFonts w:ascii="Arial" w:hAnsi="Arial" w:cs="Arial"/>
          <w:sz w:val="20"/>
          <w:szCs w:val="20"/>
          <w:lang w:val="en-US"/>
        </w:rPr>
        <w:t>8</w:t>
      </w:r>
      <w:r w:rsidR="00320425" w:rsidRPr="006601E9">
        <w:rPr>
          <w:rFonts w:ascii="Arial" w:hAnsi="Arial" w:cs="Arial"/>
          <w:sz w:val="20"/>
          <w:szCs w:val="20"/>
          <w:lang w:val="en-US"/>
        </w:rPr>
        <w:t>% to 1</w:t>
      </w:r>
      <w:r w:rsidR="00212925">
        <w:rPr>
          <w:rFonts w:ascii="Arial" w:hAnsi="Arial" w:cs="Arial"/>
          <w:sz w:val="20"/>
          <w:szCs w:val="20"/>
          <w:lang w:val="en-US"/>
        </w:rPr>
        <w:t>3</w:t>
      </w:r>
      <w:r w:rsidR="00320425" w:rsidRPr="006601E9">
        <w:rPr>
          <w:rFonts w:ascii="Arial" w:hAnsi="Arial" w:cs="Arial"/>
          <w:sz w:val="20"/>
          <w:szCs w:val="20"/>
          <w:lang w:val="en-US"/>
        </w:rPr>
        <w:t>.</w:t>
      </w:r>
      <w:r w:rsidR="00212925">
        <w:rPr>
          <w:rFonts w:ascii="Arial" w:hAnsi="Arial" w:cs="Arial"/>
          <w:sz w:val="20"/>
          <w:szCs w:val="20"/>
          <w:lang w:val="en-US"/>
        </w:rPr>
        <w:t>8</w:t>
      </w:r>
      <w:r w:rsidR="00320425" w:rsidRPr="006601E9">
        <w:rPr>
          <w:rFonts w:ascii="Arial" w:hAnsi="Arial" w:cs="Arial"/>
          <w:sz w:val="20"/>
          <w:szCs w:val="20"/>
          <w:lang w:val="en-US"/>
        </w:rPr>
        <w:t>%.</w:t>
      </w:r>
      <w:r w:rsidR="00945832">
        <w:rPr>
          <w:rFonts w:ascii="Arial" w:hAnsi="Arial" w:cs="Arial"/>
          <w:sz w:val="20"/>
          <w:szCs w:val="20"/>
          <w:lang w:val="en-US"/>
        </w:rPr>
        <w:t xml:space="preserve"> </w:t>
      </w:r>
      <w:r w:rsidR="00AA6859">
        <w:rPr>
          <w:rFonts w:ascii="Arial" w:hAnsi="Arial" w:cs="Arial"/>
          <w:sz w:val="20"/>
          <w:szCs w:val="20"/>
          <w:lang w:val="en-US"/>
        </w:rPr>
        <w:t>The losses in the level of employment in this period out</w:t>
      </w:r>
      <w:r w:rsidR="00D23E32">
        <w:rPr>
          <w:rFonts w:ascii="Arial" w:hAnsi="Arial" w:cs="Arial"/>
          <w:sz w:val="20"/>
          <w:szCs w:val="20"/>
          <w:lang w:val="en-US"/>
        </w:rPr>
        <w:t>matched</w:t>
      </w:r>
      <w:r w:rsidR="00AA6859">
        <w:rPr>
          <w:rFonts w:ascii="Arial" w:hAnsi="Arial" w:cs="Arial"/>
          <w:sz w:val="20"/>
          <w:szCs w:val="20"/>
          <w:lang w:val="en-US"/>
        </w:rPr>
        <w:t xml:space="preserve"> the gains of the previous period. </w:t>
      </w:r>
      <w:r w:rsidR="00F9712C">
        <w:rPr>
          <w:rFonts w:ascii="Arial" w:hAnsi="Arial" w:cs="Arial"/>
          <w:sz w:val="20"/>
          <w:szCs w:val="20"/>
          <w:lang w:val="en-US"/>
        </w:rPr>
        <w:t>At the same time, t</w:t>
      </w:r>
      <w:r w:rsidR="00606468" w:rsidRPr="00CA359B">
        <w:rPr>
          <w:rFonts w:ascii="Arial" w:hAnsi="Arial" w:cs="Arial"/>
          <w:sz w:val="20"/>
          <w:szCs w:val="20"/>
          <w:lang w:val="en-US"/>
        </w:rPr>
        <w:t>he number of employed males</w:t>
      </w:r>
      <w:r w:rsidR="00E96E50">
        <w:rPr>
          <w:rFonts w:ascii="Arial" w:hAnsi="Arial" w:cs="Arial"/>
          <w:sz w:val="20"/>
          <w:szCs w:val="20"/>
          <w:lang w:val="en-US"/>
        </w:rPr>
        <w:t xml:space="preserve"> </w:t>
      </w:r>
      <w:r w:rsidR="00D23E32">
        <w:rPr>
          <w:rFonts w:ascii="Arial" w:hAnsi="Arial" w:cs="Arial"/>
          <w:sz w:val="20"/>
          <w:szCs w:val="20"/>
          <w:lang w:val="en-US"/>
        </w:rPr>
        <w:t>increas</w:t>
      </w:r>
      <w:r w:rsidR="00E96E50">
        <w:rPr>
          <w:rFonts w:ascii="Arial" w:hAnsi="Arial" w:cs="Arial"/>
          <w:sz w:val="20"/>
          <w:szCs w:val="20"/>
          <w:lang w:val="en-US"/>
        </w:rPr>
        <w:t>ed</w:t>
      </w:r>
      <w:r w:rsidR="00D23E32">
        <w:rPr>
          <w:rFonts w:ascii="Arial" w:hAnsi="Arial" w:cs="Arial"/>
          <w:sz w:val="20"/>
          <w:szCs w:val="20"/>
          <w:lang w:val="en-US"/>
        </w:rPr>
        <w:t xml:space="preserve"> </w:t>
      </w:r>
      <w:r w:rsidR="00E96E50">
        <w:rPr>
          <w:rFonts w:ascii="Arial" w:hAnsi="Arial" w:cs="Arial"/>
          <w:sz w:val="20"/>
          <w:szCs w:val="20"/>
          <w:lang w:val="en-US"/>
        </w:rPr>
        <w:t xml:space="preserve">by </w:t>
      </w:r>
      <w:r w:rsidR="00D23E32">
        <w:rPr>
          <w:rFonts w:ascii="Arial" w:hAnsi="Arial" w:cs="Arial"/>
          <w:sz w:val="20"/>
          <w:szCs w:val="20"/>
          <w:lang w:val="en-US"/>
        </w:rPr>
        <w:t>351</w:t>
      </w:r>
      <w:r w:rsidR="00E96E50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974F53">
        <w:rPr>
          <w:rFonts w:ascii="Arial" w:hAnsi="Arial" w:cs="Arial"/>
          <w:sz w:val="20"/>
          <w:szCs w:val="20"/>
          <w:lang w:val="en-US"/>
        </w:rPr>
        <w:t xml:space="preserve"> and </w:t>
      </w:r>
      <w:r w:rsidR="00F14B28">
        <w:rPr>
          <w:rFonts w:ascii="Arial" w:hAnsi="Arial" w:cs="Arial"/>
          <w:sz w:val="20"/>
          <w:szCs w:val="20"/>
          <w:lang w:val="en-US"/>
        </w:rPr>
        <w:t>the number of unemployed males</w:t>
      </w:r>
      <w:r w:rsidR="00606468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D23E32">
        <w:rPr>
          <w:rFonts w:ascii="Arial" w:hAnsi="Arial" w:cs="Arial"/>
          <w:sz w:val="20"/>
          <w:szCs w:val="20"/>
          <w:lang w:val="en-US"/>
        </w:rPr>
        <w:t>de</w:t>
      </w:r>
      <w:r w:rsidR="00F14B28">
        <w:rPr>
          <w:rFonts w:ascii="Arial" w:hAnsi="Arial" w:cs="Arial"/>
          <w:sz w:val="20"/>
          <w:szCs w:val="20"/>
          <w:lang w:val="en-US"/>
        </w:rPr>
        <w:t xml:space="preserve">creased by </w:t>
      </w:r>
      <w:r w:rsidR="00D23E32">
        <w:rPr>
          <w:rFonts w:ascii="Arial" w:hAnsi="Arial" w:cs="Arial"/>
          <w:sz w:val="20"/>
          <w:szCs w:val="20"/>
          <w:lang w:val="en-US"/>
        </w:rPr>
        <w:t>92</w:t>
      </w:r>
      <w:r w:rsidR="00F14B28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4510ED" w:rsidRPr="00CA359B">
        <w:rPr>
          <w:rFonts w:ascii="Arial" w:hAnsi="Arial" w:cs="Arial"/>
          <w:sz w:val="20"/>
          <w:szCs w:val="20"/>
          <w:lang w:val="en-US"/>
        </w:rPr>
        <w:t>.</w:t>
      </w:r>
      <w:r w:rsidR="00240966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F14B28">
        <w:rPr>
          <w:rFonts w:ascii="Arial" w:hAnsi="Arial" w:cs="Arial"/>
          <w:sz w:val="20"/>
          <w:szCs w:val="20"/>
          <w:lang w:val="en-US"/>
        </w:rPr>
        <w:t xml:space="preserve">As a </w:t>
      </w:r>
      <w:r w:rsidR="00972CB2">
        <w:rPr>
          <w:rFonts w:ascii="Arial" w:hAnsi="Arial" w:cs="Arial"/>
          <w:sz w:val="20"/>
          <w:szCs w:val="20"/>
          <w:lang w:val="en-US"/>
        </w:rPr>
        <w:t>result</w:t>
      </w:r>
      <w:r w:rsidR="00F14B28">
        <w:rPr>
          <w:rFonts w:ascii="Arial" w:hAnsi="Arial" w:cs="Arial"/>
          <w:sz w:val="20"/>
          <w:szCs w:val="20"/>
          <w:lang w:val="en-US"/>
        </w:rPr>
        <w:t>,</w:t>
      </w:r>
      <w:r w:rsidR="00C3412C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6135B6">
        <w:rPr>
          <w:rFonts w:ascii="Arial" w:hAnsi="Arial" w:cs="Arial"/>
          <w:sz w:val="20"/>
          <w:szCs w:val="20"/>
          <w:lang w:val="en-US"/>
        </w:rPr>
        <w:t xml:space="preserve">the </w:t>
      </w:r>
      <w:r w:rsidR="00C3412C" w:rsidRPr="00CA359B">
        <w:rPr>
          <w:rFonts w:ascii="Arial" w:hAnsi="Arial" w:cs="Arial"/>
          <w:sz w:val="20"/>
          <w:szCs w:val="20"/>
          <w:lang w:val="en-US"/>
        </w:rPr>
        <w:t xml:space="preserve">male unemployment rate </w:t>
      </w:r>
      <w:r w:rsidR="00654E73">
        <w:rPr>
          <w:rFonts w:ascii="Arial" w:hAnsi="Arial" w:cs="Arial"/>
          <w:sz w:val="20"/>
          <w:szCs w:val="20"/>
          <w:lang w:val="en-US"/>
        </w:rPr>
        <w:t>dropped</w:t>
      </w:r>
      <w:r w:rsidR="00972CB2">
        <w:rPr>
          <w:rFonts w:ascii="Arial" w:hAnsi="Arial" w:cs="Arial"/>
          <w:sz w:val="20"/>
          <w:szCs w:val="20"/>
          <w:lang w:val="en-US"/>
        </w:rPr>
        <w:t xml:space="preserve"> </w:t>
      </w:r>
      <w:r w:rsidR="00C3412C" w:rsidRPr="00CA359B">
        <w:rPr>
          <w:rFonts w:ascii="Arial" w:hAnsi="Arial" w:cs="Arial"/>
          <w:sz w:val="20"/>
          <w:szCs w:val="20"/>
          <w:lang w:val="en-US"/>
        </w:rPr>
        <w:t xml:space="preserve">from </w:t>
      </w:r>
      <w:r w:rsidR="00654E73">
        <w:rPr>
          <w:rFonts w:ascii="Arial" w:hAnsi="Arial" w:cs="Arial"/>
          <w:sz w:val="20"/>
          <w:szCs w:val="20"/>
          <w:lang w:val="en-US"/>
        </w:rPr>
        <w:t>8</w:t>
      </w:r>
      <w:r w:rsidR="00615FBC" w:rsidRPr="00CA359B">
        <w:rPr>
          <w:rFonts w:ascii="Arial" w:hAnsi="Arial" w:cs="Arial"/>
          <w:sz w:val="20"/>
          <w:szCs w:val="20"/>
          <w:lang w:val="en-US"/>
        </w:rPr>
        <w:t>.</w:t>
      </w:r>
      <w:r w:rsidR="00654E73">
        <w:rPr>
          <w:rFonts w:ascii="Arial" w:hAnsi="Arial" w:cs="Arial"/>
          <w:sz w:val="20"/>
          <w:szCs w:val="20"/>
          <w:lang w:val="en-US"/>
        </w:rPr>
        <w:t>6</w:t>
      </w:r>
      <w:r w:rsidR="00C3412C" w:rsidRPr="00CA359B">
        <w:rPr>
          <w:rFonts w:ascii="Arial" w:hAnsi="Arial" w:cs="Arial"/>
          <w:sz w:val="20"/>
          <w:szCs w:val="20"/>
          <w:lang w:val="en-US"/>
        </w:rPr>
        <w:t>% to 8.</w:t>
      </w:r>
      <w:r w:rsidR="00654E73">
        <w:rPr>
          <w:rFonts w:ascii="Arial" w:hAnsi="Arial" w:cs="Arial"/>
          <w:sz w:val="20"/>
          <w:szCs w:val="20"/>
          <w:lang w:val="en-US"/>
        </w:rPr>
        <w:t>1</w:t>
      </w:r>
      <w:r w:rsidR="00C3412C" w:rsidRPr="00CA359B">
        <w:rPr>
          <w:rFonts w:ascii="Arial" w:hAnsi="Arial" w:cs="Arial"/>
          <w:sz w:val="20"/>
          <w:szCs w:val="20"/>
          <w:lang w:val="en-US"/>
        </w:rPr>
        <w:t xml:space="preserve">% 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(Table </w:t>
      </w:r>
      <w:r w:rsidR="00BD34E9" w:rsidRPr="00CA359B">
        <w:rPr>
          <w:rFonts w:ascii="Arial" w:hAnsi="Arial" w:cs="Arial"/>
          <w:sz w:val="20"/>
          <w:szCs w:val="20"/>
          <w:lang w:val="en-US"/>
        </w:rPr>
        <w:t>3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1A850E64" w14:textId="299A5DC5" w:rsidR="00C96208" w:rsidRPr="002B102D" w:rsidRDefault="00C96208" w:rsidP="00C96208">
      <w:pPr>
        <w:pStyle w:val="ResimYazs"/>
        <w:keepNext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lastRenderedPageBreak/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3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Seasonally adjusted unemployment rate by gender (%)</w:t>
      </w:r>
    </w:p>
    <w:p w14:paraId="436D1C6D" w14:textId="0DCF4C2F" w:rsidR="001C6540" w:rsidRPr="002B102D" w:rsidRDefault="002A64C4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4AA64BD" wp14:editId="5FBA0F0F">
            <wp:extent cx="6645275" cy="3166110"/>
            <wp:effectExtent l="0" t="0" r="0" b="0"/>
            <wp:docPr id="46009022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0A2624C-75BE-465C-8AB4-1FEB088532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D43540" w14:textId="245AEDBF" w:rsidR="005947AB" w:rsidRPr="002B102D" w:rsidRDefault="002B5A9E" w:rsidP="005947AB">
      <w:pPr>
        <w:suppressAutoHyphens w:val="0"/>
        <w:spacing w:line="276" w:lineRule="auto"/>
        <w:rPr>
          <w:rFonts w:asciiTheme="minorHAnsi" w:hAnsiTheme="minorHAnsi" w:cs="Arial"/>
          <w:sz w:val="20"/>
          <w:szCs w:val="20"/>
          <w:lang w:val="en-US"/>
        </w:rPr>
      </w:pPr>
      <w:bookmarkStart w:id="2" w:name="_Ref448480503"/>
      <w:r w:rsidRPr="002B102D">
        <w:rPr>
          <w:rFonts w:asciiTheme="minorHAnsi" w:hAnsiTheme="minorHAnsi" w:cs="Arial"/>
          <w:sz w:val="20"/>
          <w:szCs w:val="20"/>
          <w:lang w:val="en-US"/>
        </w:rPr>
        <w:t>Source: Turkstat, Betam</w:t>
      </w:r>
      <w:bookmarkStart w:id="3" w:name="_Ref480193867"/>
    </w:p>
    <w:p w14:paraId="4F5F7261" w14:textId="77777777" w:rsidR="00771E0A" w:rsidRPr="002B102D" w:rsidRDefault="00771E0A" w:rsidP="005947AB">
      <w:pPr>
        <w:suppressAutoHyphens w:val="0"/>
        <w:spacing w:line="276" w:lineRule="auto"/>
        <w:rPr>
          <w:rFonts w:asciiTheme="minorHAnsi" w:hAnsiTheme="minorHAnsi" w:cs="Arial"/>
          <w:sz w:val="20"/>
          <w:szCs w:val="20"/>
          <w:lang w:val="en-US"/>
        </w:rPr>
      </w:pPr>
    </w:p>
    <w:p w14:paraId="78F418CE" w14:textId="5EEBF1B3" w:rsidR="00786402" w:rsidRPr="002B102D" w:rsidRDefault="00816552" w:rsidP="00465E4D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female</w:t>
      </w:r>
      <w:r w:rsidR="00B8447B" w:rsidRPr="002B102D">
        <w:rPr>
          <w:rFonts w:ascii="Arial" w:hAnsi="Arial" w:cs="Arial"/>
          <w:sz w:val="20"/>
          <w:szCs w:val="20"/>
          <w:lang w:val="en-US"/>
        </w:rPr>
        <w:t xml:space="preserve"> employment rate, </w:t>
      </w:r>
      <w:r w:rsidR="00BA03CC">
        <w:rPr>
          <w:rFonts w:ascii="Arial" w:hAnsi="Arial" w:cs="Arial"/>
          <w:sz w:val="20"/>
          <w:szCs w:val="20"/>
          <w:lang w:val="en-US"/>
        </w:rPr>
        <w:t xml:space="preserve">as a result, </w:t>
      </w:r>
      <w:r w:rsidR="00F45BFE">
        <w:rPr>
          <w:rFonts w:ascii="Arial" w:hAnsi="Arial" w:cs="Arial"/>
          <w:sz w:val="20"/>
          <w:szCs w:val="20"/>
          <w:lang w:val="en-US"/>
        </w:rPr>
        <w:t>dropped by 1.0 pp and retreated back to 31.7, while</w:t>
      </w:r>
      <w:r w:rsidR="00455BF5">
        <w:rPr>
          <w:rFonts w:ascii="Arial" w:hAnsi="Arial" w:cs="Arial"/>
          <w:sz w:val="20"/>
          <w:szCs w:val="20"/>
          <w:lang w:val="en-US"/>
        </w:rPr>
        <w:t xml:space="preserve"> </w:t>
      </w:r>
      <w:r w:rsidR="00F45BFE">
        <w:rPr>
          <w:rFonts w:ascii="Arial" w:hAnsi="Arial" w:cs="Arial"/>
          <w:sz w:val="20"/>
          <w:szCs w:val="20"/>
          <w:lang w:val="en-US"/>
        </w:rPr>
        <w:t>t</w:t>
      </w:r>
      <w:r w:rsidR="00455BF5">
        <w:rPr>
          <w:rFonts w:ascii="Arial" w:hAnsi="Arial" w:cs="Arial"/>
          <w:sz w:val="20"/>
          <w:szCs w:val="20"/>
          <w:lang w:val="en-US"/>
        </w:rPr>
        <w:t xml:space="preserve">he male employment rate, </w:t>
      </w:r>
      <w:r w:rsidR="00F45BFE">
        <w:rPr>
          <w:rFonts w:ascii="Arial" w:hAnsi="Arial" w:cs="Arial"/>
          <w:sz w:val="20"/>
          <w:szCs w:val="20"/>
          <w:lang w:val="en-US"/>
        </w:rPr>
        <w:t>partly offset its losses of the previous period and increased to</w:t>
      </w:r>
      <w:r w:rsidR="00455BF5">
        <w:rPr>
          <w:rFonts w:ascii="Arial" w:hAnsi="Arial" w:cs="Arial"/>
          <w:sz w:val="20"/>
          <w:szCs w:val="20"/>
          <w:lang w:val="en-US"/>
        </w:rPr>
        <w:t xml:space="preserve"> 6</w:t>
      </w:r>
      <w:r w:rsidR="00F45BFE">
        <w:rPr>
          <w:rFonts w:ascii="Arial" w:hAnsi="Arial" w:cs="Arial"/>
          <w:sz w:val="20"/>
          <w:szCs w:val="20"/>
          <w:lang w:val="en-US"/>
        </w:rPr>
        <w:t>6</w:t>
      </w:r>
      <w:r w:rsidR="00455BF5">
        <w:rPr>
          <w:rFonts w:ascii="Arial" w:hAnsi="Arial" w:cs="Arial"/>
          <w:sz w:val="20"/>
          <w:szCs w:val="20"/>
          <w:lang w:val="en-US"/>
        </w:rPr>
        <w:t>.0 percent.</w:t>
      </w:r>
      <w:r w:rsidR="00D825C8">
        <w:rPr>
          <w:rFonts w:ascii="Arial" w:hAnsi="Arial" w:cs="Arial"/>
          <w:sz w:val="20"/>
          <w:szCs w:val="20"/>
          <w:lang w:val="en-US"/>
        </w:rPr>
        <w:t xml:space="preserve"> </w:t>
      </w:r>
      <w:r w:rsidR="00B8447B" w:rsidRPr="00CA359B">
        <w:rPr>
          <w:rFonts w:ascii="Arial" w:hAnsi="Arial" w:cs="Arial"/>
          <w:sz w:val="20"/>
          <w:szCs w:val="20"/>
          <w:lang w:val="en-US"/>
        </w:rPr>
        <w:t>(Figure 4)</w:t>
      </w:r>
      <w:r w:rsidR="00786402" w:rsidRPr="00CA359B">
        <w:rPr>
          <w:rFonts w:ascii="Arial" w:hAnsi="Arial" w:cs="Arial"/>
          <w:sz w:val="20"/>
          <w:szCs w:val="20"/>
          <w:lang w:val="en-US"/>
        </w:rPr>
        <w:t>.</w:t>
      </w:r>
      <w:r w:rsidR="00766F17" w:rsidRPr="00CA359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F3362E1" w14:textId="77777777" w:rsidR="00771E0A" w:rsidRPr="002B102D" w:rsidRDefault="00771E0A" w:rsidP="00465E4D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6917BF9A" w14:textId="5AFEB764" w:rsidR="00E4390B" w:rsidRPr="002B102D" w:rsidRDefault="00E4390B" w:rsidP="00E4390B">
      <w:pPr>
        <w:pStyle w:val="ResimYazs"/>
        <w:keepNext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Pr="002B102D">
        <w:rPr>
          <w:rFonts w:ascii="Arial" w:hAnsi="Arial" w:cs="Arial"/>
          <w:lang w:val="en-US"/>
        </w:rPr>
        <w:fldChar w:fldCharType="begin"/>
      </w:r>
      <w:r w:rsidRPr="002B102D">
        <w:rPr>
          <w:rFonts w:ascii="Arial" w:hAnsi="Arial" w:cs="Arial"/>
          <w:lang w:val="en-US"/>
        </w:rPr>
        <w:instrText xml:space="preserve"> SEQ Figure \* ARABIC </w:instrText>
      </w:r>
      <w:r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4</w:t>
      </w:r>
      <w:r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Seasonally adjusted employment rate by gender (%)</w:t>
      </w:r>
    </w:p>
    <w:p w14:paraId="7C3ACF6A" w14:textId="4437D134" w:rsidR="002E1933" w:rsidRPr="002B102D" w:rsidRDefault="002A64C4" w:rsidP="002E1933">
      <w:pPr>
        <w:rPr>
          <w:lang w:val="en-US"/>
        </w:rPr>
      </w:pPr>
      <w:r>
        <w:rPr>
          <w:noProof/>
        </w:rPr>
        <w:drawing>
          <wp:inline distT="0" distB="0" distL="0" distR="0" wp14:anchorId="2C619C4C" wp14:editId="286520EB">
            <wp:extent cx="6645275" cy="2959100"/>
            <wp:effectExtent l="0" t="0" r="9525" b="12700"/>
            <wp:docPr id="189172732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5070F0E6-15EE-45DA-A2C7-5AEE29B10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AFCC61" w14:textId="66ACC564" w:rsidR="000B4A70" w:rsidRPr="002B102D" w:rsidRDefault="002B5A9E" w:rsidP="007C3CD9">
      <w:pPr>
        <w:spacing w:line="276" w:lineRule="auto"/>
        <w:rPr>
          <w:lang w:val="en-US"/>
        </w:rPr>
      </w:pPr>
      <w:r w:rsidRPr="002B102D">
        <w:rPr>
          <w:rFonts w:ascii="Arial" w:hAnsi="Arial" w:cs="Arial"/>
          <w:sz w:val="18"/>
          <w:szCs w:val="18"/>
          <w:lang w:val="en-US"/>
        </w:rPr>
        <w:t>Source: Turkstat, Betam</w:t>
      </w:r>
    </w:p>
    <w:bookmarkEnd w:id="2"/>
    <w:bookmarkEnd w:id="3"/>
    <w:p w14:paraId="505BB475" w14:textId="77777777" w:rsidR="000D1B1F" w:rsidRPr="002B102D" w:rsidRDefault="000D1B1F" w:rsidP="00DA68C8">
      <w:pPr>
        <w:pStyle w:val="ResimYazs"/>
        <w:keepNext/>
        <w:rPr>
          <w:rFonts w:asciiTheme="minorHAnsi" w:hAnsiTheme="minorHAnsi"/>
          <w:sz w:val="22"/>
          <w:szCs w:val="22"/>
          <w:lang w:val="en-US"/>
        </w:rPr>
      </w:pPr>
    </w:p>
    <w:p w14:paraId="11123E72" w14:textId="7EBAE516" w:rsidR="000D1B1F" w:rsidRPr="002B102D" w:rsidRDefault="000D1B1F">
      <w:pPr>
        <w:suppressAutoHyphens w:val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br w:type="page"/>
      </w:r>
    </w:p>
    <w:p w14:paraId="62F371CE" w14:textId="77777777" w:rsidR="000D1B1F" w:rsidRPr="002B102D" w:rsidRDefault="000D1B1F" w:rsidP="00DA68C8">
      <w:pPr>
        <w:pStyle w:val="ResimYazs"/>
        <w:keepNext/>
        <w:rPr>
          <w:rFonts w:asciiTheme="minorHAnsi" w:hAnsiTheme="minorHAnsi"/>
          <w:sz w:val="22"/>
          <w:szCs w:val="22"/>
          <w:lang w:val="en-US"/>
        </w:rPr>
      </w:pPr>
    </w:p>
    <w:p w14:paraId="6FD4B20D" w14:textId="78CE6BB0" w:rsidR="00DA68C8" w:rsidRPr="002B102D" w:rsidRDefault="00DA68C8" w:rsidP="00DA68C8">
      <w:pPr>
        <w:pStyle w:val="ResimYazs"/>
        <w:keepNext/>
        <w:rPr>
          <w:rFonts w:asciiTheme="minorHAnsi" w:hAnsiTheme="minorHAnsi"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2B102D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086CF7" w:rsidRPr="002B102D">
        <w:rPr>
          <w:rFonts w:asciiTheme="minorHAnsi" w:hAnsiTheme="minorHAnsi"/>
          <w:noProof/>
          <w:sz w:val="22"/>
          <w:szCs w:val="22"/>
          <w:lang w:val="en-US"/>
        </w:rPr>
        <w:t>1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2B102D">
        <w:rPr>
          <w:rFonts w:asciiTheme="minorHAnsi" w:hAnsiTheme="minorHAnsi"/>
          <w:sz w:val="22"/>
          <w:szCs w:val="22"/>
          <w:lang w:val="en-US"/>
        </w:rPr>
        <w:t>: Seasonally adjusted labor force indicators (in thousands)</w:t>
      </w:r>
    </w:p>
    <w:p w14:paraId="7C33B33F" w14:textId="77777777" w:rsidR="00DA68C8" w:rsidRPr="002B102D" w:rsidRDefault="00DA68C8" w:rsidP="00DA68C8">
      <w:pPr>
        <w:rPr>
          <w:lang w:val="en-US"/>
        </w:rPr>
      </w:pPr>
    </w:p>
    <w:tbl>
      <w:tblPr>
        <w:tblW w:w="10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060"/>
        <w:gridCol w:w="1141"/>
        <w:gridCol w:w="1380"/>
        <w:gridCol w:w="1760"/>
        <w:gridCol w:w="1060"/>
        <w:gridCol w:w="1140"/>
        <w:gridCol w:w="1380"/>
      </w:tblGrid>
      <w:tr w:rsidR="00E230F7" w:rsidRPr="002B102D" w14:paraId="3C995F3B" w14:textId="77777777" w:rsidTr="00671D62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835" w14:textId="77777777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22288" w14:textId="756D7674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Labor force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38DC1" w14:textId="0243FE60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Employment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1F07E" w14:textId="75A4D44A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Unemployment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3E145" w14:textId="77777777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 w:eastAsia="tr-TR"/>
              </w:rPr>
              <w:t>Unemployment rate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6098E" w14:textId="77777777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 w:eastAsia="tr-TR"/>
              </w:rPr>
              <w:t>Monthly changes</w:t>
            </w:r>
          </w:p>
        </w:tc>
      </w:tr>
      <w:tr w:rsidR="00AC1667" w:rsidRPr="002B102D" w14:paraId="64D86242" w14:textId="77777777" w:rsidTr="00077F0E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41AF" w14:textId="7958D49F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BBF3" w14:textId="74FBFDED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30282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5044" w14:textId="522A403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26351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0544" w14:textId="1A0208C7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BCE6" w14:textId="2EC39A4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8A10" w14:textId="331546C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870730">
              <w:rPr>
                <w:rFonts w:ascii="Arial" w:hAnsi="Arial" w:cs="Arial"/>
                <w:sz w:val="16"/>
                <w:szCs w:val="16"/>
                <w:lang w:val="en-US"/>
              </w:rPr>
              <w:t>Labor</w:t>
            </w:r>
            <w:r>
              <w:rPr>
                <w:rFonts w:ascii="Arial" w:hAnsi="Arial" w:cs="Arial"/>
                <w:sz w:val="16"/>
                <w:szCs w:val="16"/>
              </w:rPr>
              <w:t xml:space="preserve"> Force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05EBB" w14:textId="033BC6B2" w:rsidR="00AC1667" w:rsidRPr="00870730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870730">
              <w:rPr>
                <w:rFonts w:ascii="Arial" w:hAnsi="Arial" w:cs="Arial"/>
                <w:sz w:val="16"/>
                <w:szCs w:val="16"/>
                <w:lang w:val="en-US"/>
              </w:rPr>
              <w:t>Employment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FA63" w14:textId="359A0E4E" w:rsidR="00AC1667" w:rsidRPr="00870730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870730">
              <w:rPr>
                <w:rFonts w:ascii="Arial" w:hAnsi="Arial" w:cs="Arial"/>
                <w:sz w:val="16"/>
                <w:szCs w:val="16"/>
                <w:lang w:val="en-US"/>
              </w:rPr>
              <w:t>Unemployment</w:t>
            </w:r>
          </w:p>
        </w:tc>
      </w:tr>
      <w:tr w:rsidR="00AC1667" w:rsidRPr="002B102D" w14:paraId="4CCAC21D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63F4" w14:textId="51708AEB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9A5" w14:textId="1B77AE7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29003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CF43" w14:textId="55A4CE7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25077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FB88" w14:textId="49E8AEB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611B" w14:textId="6C437FC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1457" w14:textId="28252D84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04AD" w14:textId="540820F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4E19" w14:textId="26D0BBE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</w:tr>
      <w:tr w:rsidR="00AC1667" w:rsidRPr="002B102D" w14:paraId="68C5799D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B2BF" w14:textId="4ACC94C6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58E" w14:textId="7995185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29618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ECF5" w14:textId="5764FA9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25588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3AB5" w14:textId="03592D7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2B70" w14:textId="113520A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40ED" w14:textId="24901DC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AAC0" w14:textId="03F0AF8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5BBF" w14:textId="1F3667B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</w:tr>
      <w:tr w:rsidR="00AC1667" w:rsidRPr="002B102D" w14:paraId="352F089A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63F5" w14:textId="0EC1084A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June-20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BBC" w14:textId="0974B925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30592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D58" w14:textId="442B07F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26403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8ED7" w14:textId="6AF521AD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87B9" w14:textId="4FFE7FD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B833" w14:textId="77A40B2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36E6" w14:textId="1C152DF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DC23" w14:textId="05A4B8C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</w:tr>
      <w:tr w:rsidR="00AC1667" w:rsidRPr="002B102D" w14:paraId="5BBEFFAF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C646" w14:textId="4D863DE9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July-20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4C76" w14:textId="0D62925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30467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D53" w14:textId="0406A1D4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26124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968F" w14:textId="404E3E4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16B" w14:textId="6D90A7A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6275" w14:textId="7F1327F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D8E8" w14:textId="500316B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EACF" w14:textId="737E955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</w:tr>
      <w:tr w:rsidR="00AC1667" w:rsidRPr="002B102D" w14:paraId="6641C327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B969" w14:textId="7FC1E5D6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CD02" w14:textId="7967467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30968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93B9" w14:textId="5F35266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26959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23C9" w14:textId="320A649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8800" w14:textId="617EC9D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2166" w14:textId="2C83D5C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0A47" w14:textId="1627D95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1B37" w14:textId="76812BA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-334</w:t>
            </w:r>
          </w:p>
        </w:tc>
      </w:tr>
      <w:tr w:rsidR="00AC1667" w:rsidRPr="002B102D" w14:paraId="5B2E86EB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586" w14:textId="729B54B1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EDCE" w14:textId="26C6DD2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D2F" w14:textId="78A2B597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27173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A80" w14:textId="233F0B8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5F5" w14:textId="30D3ED4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E93C" w14:textId="2424596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633D" w14:textId="5DD5573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D6BB" w14:textId="52D83D5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-96</w:t>
            </w:r>
          </w:p>
        </w:tc>
      </w:tr>
      <w:tr w:rsidR="00AC1667" w:rsidRPr="002B102D" w14:paraId="67F40017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CE0C" w14:textId="1991F82D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72B0" w14:textId="33ECD2D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729F" w14:textId="1D01B894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2FCE" w14:textId="76B5789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B6FF" w14:textId="4F5F6E4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2137" w14:textId="053DDB9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06E2" w14:textId="4943C9F5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603" w14:textId="5F6BB9C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</w:tr>
      <w:tr w:rsidR="00AC1667" w:rsidRPr="002B102D" w14:paraId="65209C7C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6E11" w14:textId="241A15BD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3162" w14:textId="572600E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0B6" w14:textId="597910D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27024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643B" w14:textId="4C21F83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E44E" w14:textId="085F2984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5902" w14:textId="7292EB3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5EF2" w14:textId="7098CB3D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2CBF" w14:textId="65D2DE4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C1667" w:rsidRPr="002B102D" w14:paraId="12FC2116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400D" w14:textId="3530763A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07FF" w14:textId="360BC27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69E0" w14:textId="47BF50E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27115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7E9D" w14:textId="503A2B6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F50B" w14:textId="0D249CA4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A70C" w14:textId="30AC3B4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6188" w14:textId="68A7FB4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8701" w14:textId="1818217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-147</w:t>
            </w:r>
          </w:p>
        </w:tc>
      </w:tr>
      <w:tr w:rsidR="00AC1667" w:rsidRPr="002B102D" w14:paraId="3A42EAF3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F5CC" w14:textId="401C0E95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4C6" w14:textId="2CB12207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31603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8EE7" w14:textId="388B5785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27643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E7D7" w14:textId="7E3A2AA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1E96" w14:textId="653D93E5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4784" w14:textId="09FD9FB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89CA" w14:textId="09BD1B64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75E" w14:textId="7616881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AC1667" w:rsidRPr="002B102D" w14:paraId="244C7B59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3209" w14:textId="2100EE90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613C" w14:textId="3D486A2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31868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E5BB" w14:textId="3A3F651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27660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3D9" w14:textId="4D26FCF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284D" w14:textId="73D5C1E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DBD9" w14:textId="36900A2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17C8" w14:textId="2F778055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288E" w14:textId="3B79202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</w:tr>
      <w:tr w:rsidR="00AC1667" w:rsidRPr="002B102D" w14:paraId="658C8E85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BBCF" w14:textId="53FFE280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A9B4" w14:textId="333C0EF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32609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0607" w14:textId="4177393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28403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17C1" w14:textId="237571F7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F75" w14:textId="3B40F0C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84E6" w14:textId="16E0AEC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AA3" w14:textId="5EFD43C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3C50" w14:textId="55AE231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AC1667" w:rsidRPr="002B102D" w14:paraId="4726C628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CC4" w14:textId="5241C452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7CFC" w14:textId="105EEFAD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32680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AAF6" w14:textId="78B827F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28284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69ED" w14:textId="48F9E7C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5250" w14:textId="137778F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76CB" w14:textId="69E7C3A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1845" w14:textId="536E464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F6B2" w14:textId="2716A15D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AC1667" w:rsidRPr="002B102D" w14:paraId="7CBF4607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CEEA" w14:textId="709FAA0D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D70" w14:textId="46F38D1D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32292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9800" w14:textId="32FF8BB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28013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AA5" w14:textId="73D0BE8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4331" w14:textId="592BFD6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942D" w14:textId="6D27358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7955" w14:textId="2A9FDF2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9CCE" w14:textId="6AB9823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-119</w:t>
            </w:r>
          </w:p>
        </w:tc>
      </w:tr>
      <w:tr w:rsidR="00AC1667" w:rsidRPr="002B102D" w14:paraId="1D06D409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76A" w14:textId="3F954BA9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June-21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247F" w14:textId="3CBA65A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32172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17EC" w14:textId="383051E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28625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6EE8" w14:textId="3731FB5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A0A3" w14:textId="4EF4F7D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457C" w14:textId="7DC51D6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8FB3" w14:textId="334E8D5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7DD9" w14:textId="21568DB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-731</w:t>
            </w:r>
          </w:p>
        </w:tc>
      </w:tr>
      <w:tr w:rsidR="00AC1667" w:rsidRPr="002B102D" w14:paraId="1F0ABE1B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2DD2" w14:textId="7541BF5D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July-21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8EE2" w14:textId="0D8DB74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32596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336A" w14:textId="5D6A76A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28813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5601" w14:textId="76AE173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3ECD" w14:textId="2238C7A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2188" w14:textId="1CBB260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16D5" w14:textId="2ACB369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943D" w14:textId="2C3509E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</w:tr>
      <w:tr w:rsidR="00AC1667" w:rsidRPr="002B102D" w14:paraId="0A648905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D265" w14:textId="7C5CBBE4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C8E" w14:textId="19E9883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32919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BB22" w14:textId="73FCCC1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D175" w14:textId="275C3A8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41A2" w14:textId="00F0AAA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AC4F" w14:textId="1E3DEEE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1EFB" w14:textId="1E17FF8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3336" w14:textId="5043579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</w:tr>
      <w:tr w:rsidR="00AC1667" w:rsidRPr="002B102D" w14:paraId="2D395736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4C99" w14:textId="782D0FB9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63E0" w14:textId="52D9108D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33310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3721" w14:textId="3E853AE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29569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D403" w14:textId="20AF0C05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6DED" w14:textId="4BAECFF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FA3C" w14:textId="3679208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A12C" w14:textId="1D30F59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280" w14:textId="0C2C43E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-178</w:t>
            </w:r>
          </w:p>
        </w:tc>
      </w:tr>
      <w:tr w:rsidR="00AC1667" w:rsidRPr="002B102D" w14:paraId="10CB1C10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7CE0" w14:textId="0021CE56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113" w14:textId="027DD354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33256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2C7B" w14:textId="7D1FF70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29606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7B5" w14:textId="3DE6030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1077" w14:textId="2F1422F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8CC9" w14:textId="65A24C0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AF8B" w14:textId="3921D7C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4E00" w14:textId="2278196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-90</w:t>
            </w:r>
          </w:p>
        </w:tc>
      </w:tr>
      <w:tr w:rsidR="00AC1667" w:rsidRPr="002B102D" w14:paraId="4E12A966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3EEB" w14:textId="73611086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48C" w14:textId="0B1752F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33325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6D46" w14:textId="104BC9E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29612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4CF" w14:textId="14E7BD9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23C1" w14:textId="34B067E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5278" w14:textId="2ED0A79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97A3" w14:textId="77A80E9D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4472" w14:textId="5B37F8B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AC1667" w:rsidRPr="002B102D" w14:paraId="36626C29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7BAE" w14:textId="128E6A6E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A2F1" w14:textId="159129B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33752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480" w14:textId="7BAB8F2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30042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A06" w14:textId="152EC574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4281" w14:textId="13286CB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5641" w14:textId="553D696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0483" w14:textId="548AB55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3AC" w14:textId="35B112E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</w:tr>
      <w:tr w:rsidR="00AC1667" w:rsidRPr="002B102D" w14:paraId="6DF1BD4F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3017" w14:textId="0CD93F62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E256" w14:textId="7DF893E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33790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BA03" w14:textId="0C04793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29984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C47B" w14:textId="1B08989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6FCA" w14:textId="144082E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4855" w14:textId="2C6A9014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EEAB" w14:textId="468ADC67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17D3" w14:textId="324CDAA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AC1667" w:rsidRPr="002B102D" w14:paraId="19255963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80B9" w14:textId="6012C794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3150" w14:textId="706B20A4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33520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0DC" w14:textId="4223A21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29935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5911" w14:textId="6D28621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D684" w14:textId="577D1D6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4AA9" w14:textId="00001F9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24E3" w14:textId="0721A10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FD19" w14:textId="6EFCE16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-221</w:t>
            </w:r>
          </w:p>
        </w:tc>
      </w:tr>
      <w:tr w:rsidR="00AC1667" w:rsidRPr="002B102D" w14:paraId="7CFABDC1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F25F" w14:textId="367C36E5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12B0" w14:textId="4278384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33855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D6BC" w14:textId="7E6363E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30065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BA3F" w14:textId="2498F6F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D575" w14:textId="7F3F10A5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C9C9" w14:textId="64C7687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0D84" w14:textId="0082A9B7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791" w14:textId="60A0C95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</w:tr>
      <w:tr w:rsidR="00AC1667" w:rsidRPr="002B102D" w14:paraId="30A408C9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8B47" w14:textId="78ED1CA7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E780" w14:textId="006BCA2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34231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08FE" w14:textId="77E1FC7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30451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CE6" w14:textId="18048F45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6195" w14:textId="4BA746B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7F0D" w14:textId="6509C4B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DB1C" w14:textId="23D1A71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7C4B" w14:textId="2FFD07DD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</w:tr>
      <w:tr w:rsidR="00AC1667" w:rsidRPr="002B102D" w14:paraId="712D2B8C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E20F" w14:textId="6BFDEDC8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2787" w14:textId="6E038CE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34603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23DB" w14:textId="096DFBE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30865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324" w14:textId="73B5F12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DC37" w14:textId="1D7919D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DF2E" w14:textId="0145017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C034" w14:textId="5547D68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5238" w14:textId="2040FD6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-42</w:t>
            </w:r>
          </w:p>
        </w:tc>
      </w:tr>
      <w:tr w:rsidR="00AC1667" w:rsidRPr="002B102D" w14:paraId="1DFE8EE6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87C7" w14:textId="541D3120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June-22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C91D" w14:textId="35F8B29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34268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4610" w14:textId="7B8E3D2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30720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9633" w14:textId="49DC3BA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9D2" w14:textId="46872EF7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B838" w14:textId="1FADD7E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0865" w14:textId="203DBF5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F28B" w14:textId="57C8EA0D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-190</w:t>
            </w:r>
          </w:p>
        </w:tc>
      </w:tr>
      <w:tr w:rsidR="00AC1667" w:rsidRPr="002B102D" w14:paraId="49E522C4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BD35" w14:textId="615B02E4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July-22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882C" w14:textId="184AEF0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33991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EBBB" w14:textId="5EB31CA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30529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466B" w14:textId="3D2EB10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3669" w14:textId="2A58A01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3530" w14:textId="7AEA295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1A26" w14:textId="6411E1A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07FB" w14:textId="6CB3FCB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-86</w:t>
            </w:r>
          </w:p>
        </w:tc>
      </w:tr>
      <w:tr w:rsidR="00AC1667" w:rsidRPr="002B102D" w14:paraId="59464D8A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9955" w14:textId="11303CDA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53CE" w14:textId="1827FE7C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34420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DE7A" w14:textId="1A1A935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C397" w14:textId="2B2DB0A7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4674" w14:textId="06D2955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BEBC" w14:textId="4F84AB8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1008" w14:textId="423B759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E5BD" w14:textId="7DE601A5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-116</w:t>
            </w:r>
          </w:p>
        </w:tc>
      </w:tr>
      <w:tr w:rsidR="00AC1667" w:rsidRPr="002B102D" w14:paraId="5DA80360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84B7" w14:textId="4B3BA7D1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5BA9" w14:textId="3D9F100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34456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53E9" w14:textId="50FCBB9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F29A" w14:textId="00875E4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D970" w14:textId="0CF0332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48D9" w14:textId="7791856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784A" w14:textId="10E4EC7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6CA0" w14:textId="6EDD774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AC1667" w:rsidRPr="002B102D" w14:paraId="58E038D1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5E22" w14:textId="67122E50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F32D" w14:textId="4F7CFCD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34571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E15D" w14:textId="68482B3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625B" w14:textId="62DED63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3865" w14:textId="44050697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2D92" w14:textId="315572B7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FA54" w14:textId="519E742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3C82" w14:textId="2D23BF9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AC1667" w:rsidRPr="002B102D" w14:paraId="0FD7C4B0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1DA" w14:textId="510557AA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2F90" w14:textId="22019BE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35108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7935" w14:textId="1421D455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31558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D48C" w14:textId="31BA6E5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E716" w14:textId="62255BE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03DF" w14:textId="3839E63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436E" w14:textId="68C3B048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7607" w14:textId="044A98D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AC1667" w:rsidRPr="002B102D" w14:paraId="436EB0E2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4BC2" w14:textId="75D93A8F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37AE" w14:textId="416E5CB9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35045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DEC1" w14:textId="7D6992E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31443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9C6E" w14:textId="0D58BCF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DC9" w14:textId="7A225FE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D273" w14:textId="25023CF2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7E7D" w14:textId="3F4843B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4CCB" w14:textId="555562F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AC1667" w:rsidRPr="002B102D" w14:paraId="30DCBD4C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9D3B" w14:textId="41596E02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January-23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A3B8" w14:textId="4AEF0D5B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35222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A807" w14:textId="66AEB3A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31786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FABF" w14:textId="53791A4A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1EF" w14:textId="5AADAEC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51C8" w14:textId="75084455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24F9" w14:textId="7E402EC6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2A97" w14:textId="21AB7897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-166</w:t>
            </w:r>
          </w:p>
        </w:tc>
      </w:tr>
      <w:tr w:rsidR="00AC1667" w:rsidRPr="002B102D" w14:paraId="7BF48B64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C94E" w14:textId="797E43E2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February-23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6DC1" w14:textId="084DE747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34929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7CB3" w14:textId="4E44BF4D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31425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B4F9" w14:textId="4AE7468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750B" w14:textId="07B3974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16DE" w14:textId="4507C5E5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D65" w14:textId="66CF888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CEC0" w14:textId="77659453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AC1667" w:rsidRPr="002B102D" w14:paraId="410842D4" w14:textId="77777777" w:rsidTr="00077F0E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6DE4" w14:textId="0FF5FD00" w:rsidR="00AC1667" w:rsidRPr="002B102D" w:rsidRDefault="00AC1667" w:rsidP="00AC166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9B1" w14:textId="388582A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34970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A7F" w14:textId="6590BF41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2A1D" w14:textId="6AD03584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7DAB" w14:textId="7021397D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C883" w14:textId="62A71CAF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16B2" w14:textId="00435D30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5A9E" w14:textId="3B16416E" w:rsidR="00AC1667" w:rsidRPr="002B102D" w:rsidRDefault="00AC1667" w:rsidP="00AC166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1F7A61BA" w14:textId="77777777" w:rsidR="00FA2D67" w:rsidRPr="002B102D" w:rsidRDefault="00FA2D67" w:rsidP="007C3CD9">
      <w:pPr>
        <w:pStyle w:val="ResimYazs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  <w:lang w:val="en-US"/>
        </w:rPr>
      </w:pPr>
    </w:p>
    <w:p w14:paraId="311C7924" w14:textId="77777777" w:rsidR="00DA68C8" w:rsidRPr="002B102D" w:rsidRDefault="00DA68C8" w:rsidP="00DA68C8">
      <w:pPr>
        <w:spacing w:line="276" w:lineRule="auto"/>
        <w:rPr>
          <w:lang w:val="en-US"/>
        </w:rPr>
      </w:pPr>
      <w:r w:rsidRPr="002B102D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70A15363" w14:textId="77777777" w:rsidR="001C6540" w:rsidRPr="002B102D" w:rsidRDefault="001C6540" w:rsidP="007C3CD9">
      <w:pPr>
        <w:spacing w:line="276" w:lineRule="auto"/>
        <w:rPr>
          <w:color w:val="FF0000"/>
          <w:sz w:val="20"/>
          <w:szCs w:val="20"/>
          <w:lang w:val="en-US"/>
        </w:rPr>
      </w:pPr>
    </w:p>
    <w:p w14:paraId="7808F7C5" w14:textId="77777777" w:rsidR="00704BBB" w:rsidRPr="002B102D" w:rsidRDefault="00704BBB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4" w:name="_Ref374950055"/>
    </w:p>
    <w:p w14:paraId="0BC3C5C1" w14:textId="77777777" w:rsidR="00A94C8F" w:rsidRPr="002B102D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0864531" w14:textId="77777777" w:rsidR="00A94C8F" w:rsidRPr="002B102D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br w:type="page"/>
      </w:r>
    </w:p>
    <w:bookmarkEnd w:id="4"/>
    <w:p w14:paraId="6359727C" w14:textId="22064284" w:rsidR="006E6B65" w:rsidRPr="002B102D" w:rsidRDefault="006E6B65" w:rsidP="006E6B65">
      <w:pPr>
        <w:pStyle w:val="ResimYazs"/>
        <w:keepNext/>
        <w:rPr>
          <w:rFonts w:asciiTheme="minorHAnsi" w:hAnsiTheme="minorHAnsi"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lastRenderedPageBreak/>
        <w:t xml:space="preserve">Table 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2B102D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086CF7" w:rsidRPr="002B102D">
        <w:rPr>
          <w:rFonts w:asciiTheme="minorHAnsi" w:hAnsiTheme="minorHAnsi"/>
          <w:noProof/>
          <w:sz w:val="22"/>
          <w:szCs w:val="22"/>
          <w:lang w:val="en-US"/>
        </w:rPr>
        <w:t>2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2B102D">
        <w:rPr>
          <w:rFonts w:asciiTheme="minorHAnsi" w:hAnsiTheme="minorHAnsi"/>
          <w:sz w:val="22"/>
          <w:szCs w:val="22"/>
          <w:lang w:val="en-US"/>
        </w:rPr>
        <w:t>: Unemployment, alternative unemployment rates (%) levels (in thousand)</w:t>
      </w:r>
    </w:p>
    <w:p w14:paraId="1BAA340F" w14:textId="77777777" w:rsidR="006E6B65" w:rsidRPr="002B102D" w:rsidRDefault="006E6B65" w:rsidP="006E6B65">
      <w:pPr>
        <w:rPr>
          <w:lang w:val="en-US"/>
        </w:rPr>
      </w:pPr>
    </w:p>
    <w:tbl>
      <w:tblPr>
        <w:tblW w:w="1116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310"/>
        <w:gridCol w:w="1310"/>
        <w:gridCol w:w="1562"/>
        <w:gridCol w:w="1361"/>
        <w:gridCol w:w="1474"/>
        <w:gridCol w:w="975"/>
        <w:gridCol w:w="1358"/>
        <w:gridCol w:w="960"/>
      </w:tblGrid>
      <w:tr w:rsidR="006E6B65" w:rsidRPr="002B102D" w14:paraId="7ED802BD" w14:textId="77777777" w:rsidTr="00143E19">
        <w:trPr>
          <w:trHeight w:val="154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1799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val="en-US" w:eastAsia="tr-TR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433D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Unemployment Rate (%)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6256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Persons in Unemployment (in thousands)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5BBA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Combined Rate of Time-Related Underemployment and Unemployment (%)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CA48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Time-Related Underemployed (in thousands)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1296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Combined Rate of Unemployment and Potential Labor Force (%)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C394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Potential Labor Force (in thousands)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02B8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Composite Measure of Labor Underutilization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33B9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Total</w:t>
            </w:r>
          </w:p>
        </w:tc>
      </w:tr>
      <w:tr w:rsidR="00626126" w:rsidRPr="002B102D" w14:paraId="081E0298" w14:textId="77777777" w:rsidTr="0062612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1840" w14:textId="68029564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3860" w14:textId="54A56B2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8EA5" w14:textId="22A8057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2CA0" w14:textId="691209F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EA6A" w14:textId="6C37B18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BAC0" w14:textId="2888C31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3435" w14:textId="3DB57A6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DB00" w14:textId="29D3C29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1AD" w14:textId="3A2241D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7667</w:t>
            </w:r>
          </w:p>
        </w:tc>
      </w:tr>
      <w:tr w:rsidR="00626126" w:rsidRPr="002B102D" w14:paraId="0C2FCA02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47BB" w14:textId="04DEF315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817D" w14:textId="050EEB6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66DE" w14:textId="4FDFD08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FD95" w14:textId="6FF418E6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1A0A" w14:textId="0B8DB5E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D476" w14:textId="6BC15D4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A32F" w14:textId="51B9335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3777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26B3" w14:textId="5B594EC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9F0E" w14:textId="025C5ED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9114</w:t>
            </w:r>
          </w:p>
        </w:tc>
      </w:tr>
      <w:tr w:rsidR="00626126" w:rsidRPr="002B102D" w14:paraId="3E4E9A52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7430" w14:textId="521D1FFE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1786" w14:textId="282E7F2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5176" w14:textId="30642DB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4030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F75B" w14:textId="1C9CEFC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2F94" w14:textId="4A6A495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3296" w14:textId="19E56C7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5499" w14:textId="5CB10F0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4229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3C96" w14:textId="5F644D6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1983" w14:textId="112ADD5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9974</w:t>
            </w:r>
          </w:p>
        </w:tc>
      </w:tr>
      <w:tr w:rsidR="00626126" w:rsidRPr="002B102D" w14:paraId="17BED6EB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0C8F" w14:textId="4F2FF5C4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C2D0" w14:textId="1CF36EB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5883" w14:textId="73BE9DC6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4189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8736" w14:textId="0D47E41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F27E" w14:textId="1CAE89F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9760" w14:textId="090EE20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2248" w14:textId="0FB1041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3565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E6EA" w14:textId="6D1DAAA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9924" w14:textId="1A9733F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8888</w:t>
            </w:r>
          </w:p>
        </w:tc>
      </w:tr>
      <w:tr w:rsidR="00626126" w:rsidRPr="002B102D" w14:paraId="4CD6C4A7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AAE0" w14:textId="610A2365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FB03" w14:textId="699F2A9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7F4E" w14:textId="26DDF7A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4343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8550" w14:textId="602FF493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2DD3" w14:textId="1D8AC65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B060" w14:textId="2D0CE08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199D" w14:textId="0C51915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3241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46A2" w14:textId="39E25A9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8598" w14:textId="1B3BCC0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8817</w:t>
            </w:r>
          </w:p>
        </w:tc>
      </w:tr>
      <w:tr w:rsidR="00626126" w:rsidRPr="002B102D" w14:paraId="0EEC1E45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097E" w14:textId="5FC6920C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03E9" w14:textId="5B40F23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D305" w14:textId="3308761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4009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2455" w14:textId="513C989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AF96" w14:textId="439CE9A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FE1C" w14:textId="0093BCB3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523C" w14:textId="1CFA154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AE5F" w14:textId="69A9F2B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65E7" w14:textId="1EBF480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8608</w:t>
            </w:r>
          </w:p>
        </w:tc>
      </w:tr>
      <w:tr w:rsidR="00626126" w:rsidRPr="002B102D" w14:paraId="78742BB7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FE42" w14:textId="0F736784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DE80" w14:textId="762637E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BB02" w14:textId="6D34C1A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DB6B" w14:textId="2461A52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91B4" w14:textId="54F39D33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A491" w14:textId="2D7E522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4A62" w14:textId="7F52E17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3397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673F" w14:textId="745F9D8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6F8" w14:textId="2899AAB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8309</w:t>
            </w:r>
          </w:p>
        </w:tc>
      </w:tr>
      <w:tr w:rsidR="00626126" w:rsidRPr="002B102D" w14:paraId="1807C1F0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1174" w14:textId="35EF3BF4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6049" w14:textId="4B7E5486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C5DC" w14:textId="0EEA122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4DA2" w14:textId="11EFA36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08FB" w14:textId="63D42F0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69D0" w14:textId="19360F2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284D" w14:textId="28BDE5A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3487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06B6" w14:textId="35E72C96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4DCF" w14:textId="06A4073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8856</w:t>
            </w:r>
          </w:p>
        </w:tc>
      </w:tr>
      <w:tr w:rsidR="00626126" w:rsidRPr="002B102D" w14:paraId="7FD5EDC9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CF74" w14:textId="1D45432E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88FB" w14:textId="758F2B1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D821" w14:textId="17DC08C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4048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46C0" w14:textId="6E0ADB7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08A5" w14:textId="76D0E6C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7410" w14:textId="48AB3D9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66A5" w14:textId="60094F8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4024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CA2A" w14:textId="1CD1B57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A1C6" w14:textId="72939FB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9306</w:t>
            </w:r>
          </w:p>
        </w:tc>
      </w:tr>
      <w:tr w:rsidR="00626126" w:rsidRPr="002B102D" w14:paraId="0B361ADE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3573" w14:textId="6C230F28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5951" w14:textId="3AB3C99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3869" w14:textId="2F85143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18FE" w14:textId="10BC5F3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BAFE" w14:textId="394C6F0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5945" w14:textId="5FDA30C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9259" w14:textId="18C5EF5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4568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117B" w14:textId="2282CCD3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A1E2" w14:textId="6D7764B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10058</w:t>
            </w:r>
          </w:p>
        </w:tc>
      </w:tr>
      <w:tr w:rsidR="00626126" w:rsidRPr="002B102D" w14:paraId="566AC68C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803B" w14:textId="1E8EEB2C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1925" w14:textId="24A4E64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85BE" w14:textId="1E5C89E6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3959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BA0B" w14:textId="5B73282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00AD" w14:textId="70983F3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CE08" w14:textId="6CC3238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D2F0" w14:textId="5007989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4205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0659" w14:textId="7817CD96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50E9" w14:textId="0C12DB1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10526</w:t>
            </w:r>
          </w:p>
        </w:tc>
      </w:tr>
      <w:tr w:rsidR="00626126" w:rsidRPr="002B102D" w14:paraId="087A5A6E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C2C6" w14:textId="51E5CE18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FE91" w14:textId="0BBCEE6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FC50" w14:textId="6C7F55C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4208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314D" w14:textId="11EB6C6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1F35" w14:textId="3D1A86C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EBA1" w14:textId="06C53FB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3BE1" w14:textId="4E897D6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3730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1004" w14:textId="32C94D9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24DF" w14:textId="2D2138E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9977</w:t>
            </w:r>
          </w:p>
        </w:tc>
      </w:tr>
      <w:tr w:rsidR="00626126" w:rsidRPr="002B102D" w14:paraId="47CEF761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D226" w14:textId="5F60A18A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F1BD" w14:textId="4DDCDFD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DC1E" w14:textId="162871A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4207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396C" w14:textId="7F85303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CBDC" w14:textId="6C7B209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98C7" w14:textId="4C037BD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ECAC" w14:textId="14B9B6F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3297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6F48" w14:textId="0817887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ED1A" w14:textId="225ED68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9134</w:t>
            </w:r>
          </w:p>
        </w:tc>
      </w:tr>
      <w:tr w:rsidR="00626126" w:rsidRPr="002B102D" w14:paraId="4971557B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2485" w14:textId="19FB1D59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EBD0" w14:textId="4144617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812C" w14:textId="7F13F2E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4397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6381" w14:textId="288744D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22A2" w14:textId="2872F7C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615E" w14:textId="52FD1D8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15B0" w14:textId="2AF0D57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BFCE" w14:textId="5187304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486" w14:textId="3199B7E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9768</w:t>
            </w:r>
          </w:p>
        </w:tc>
      </w:tr>
      <w:tr w:rsidR="00626126" w:rsidRPr="002B102D" w14:paraId="66474719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307E" w14:textId="6E703FD7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1F53" w14:textId="441912D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8CEC" w14:textId="353A7B0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4278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DE13" w14:textId="595CB05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5C6A" w14:textId="3A5F585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1C5B" w14:textId="30752343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C4B2" w14:textId="7ABE946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3486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C166" w14:textId="0BEFDC0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2CA3" w14:textId="3D365F3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9718</w:t>
            </w:r>
          </w:p>
        </w:tc>
      </w:tr>
      <w:tr w:rsidR="00626126" w:rsidRPr="002B102D" w14:paraId="0BA8DBEA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7AC6" w14:textId="1940E6AC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DEF6" w14:textId="0A67C60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65D3" w14:textId="235384E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3547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1D0D" w14:textId="7D8B0C2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6DEA" w14:textId="4D3949B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1279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7CF5" w14:textId="07C1C8C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7967" w14:textId="4E44E4D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3951" w14:textId="74C6769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842F" w14:textId="7B7EC62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8037</w:t>
            </w:r>
          </w:p>
        </w:tc>
      </w:tr>
      <w:tr w:rsidR="00626126" w:rsidRPr="002B102D" w14:paraId="1BC04910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5581" w14:textId="1A36105F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2A3A" w14:textId="630E2F3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D048" w14:textId="41C4EBA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3783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3280" w14:textId="0C50981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11E5" w14:textId="747E620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5D46" w14:textId="47EB57C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387" w14:textId="7A1516A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8780" w14:textId="09E4455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21F3" w14:textId="39531F13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8323</w:t>
            </w:r>
          </w:p>
        </w:tc>
      </w:tr>
      <w:tr w:rsidR="00626126" w:rsidRPr="002B102D" w14:paraId="136054CC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9FDD" w14:textId="44CB7311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ABD6" w14:textId="3E119CC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26AF" w14:textId="4BD5183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B74D" w14:textId="7753775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F9DD" w14:textId="17279B5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548C" w14:textId="6BED36B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60B7" w14:textId="2D97BC0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2839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2EDC" w14:textId="0043FCB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9AB9" w14:textId="6C2CDCF3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7777</w:t>
            </w:r>
          </w:p>
        </w:tc>
      </w:tr>
      <w:tr w:rsidR="00626126" w:rsidRPr="002B102D" w14:paraId="3520A622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C250" w14:textId="7FF58692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7DB5" w14:textId="5C2394F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7255" w14:textId="49CE10F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3741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D7BB" w14:textId="7325276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0B41" w14:textId="22363A6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B327" w14:textId="6D9CCD7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A06E" w14:textId="6F315BD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2882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7DD1" w14:textId="30FF23E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9D4F" w14:textId="6BDC142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7845</w:t>
            </w:r>
          </w:p>
        </w:tc>
      </w:tr>
      <w:tr w:rsidR="00626126" w:rsidRPr="002B102D" w14:paraId="64C2F640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364D" w14:textId="6FE793E4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FA8B" w14:textId="7CB850F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86C7" w14:textId="2A6C1C0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3651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69CA" w14:textId="568E297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60FE" w14:textId="02BC379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DEB8" w14:textId="6E77E7D3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08CB" w14:textId="2FAC442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3069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2652" w14:textId="1E38257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D1B5" w14:textId="251D1F4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8224</w:t>
            </w:r>
          </w:p>
        </w:tc>
      </w:tr>
      <w:tr w:rsidR="00626126" w:rsidRPr="002B102D" w14:paraId="44A1D177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EBDD" w14:textId="39D29546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455D" w14:textId="73917833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F6F2" w14:textId="2C3A2A6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8CEA" w14:textId="2C38A29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AF2C" w14:textId="2F1BC25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1386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ED5F" w14:textId="21997DE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2CCE" w14:textId="7794610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2875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A5C4" w14:textId="7EC29FE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1C42" w14:textId="468467A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7974</w:t>
            </w:r>
          </w:p>
        </w:tc>
      </w:tr>
      <w:tr w:rsidR="00626126" w:rsidRPr="002B102D" w14:paraId="3BB21B60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92A2" w14:textId="2BF2548A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0081" w14:textId="04730F7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42C8" w14:textId="40D638F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DE68" w14:textId="2E12E3E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F70C" w14:textId="0CA3E53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7B33" w14:textId="7CCBACB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2652" w14:textId="7C80BA1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3155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0CFA" w14:textId="7FD3ADB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AFF5" w14:textId="0E42DE7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8285</w:t>
            </w:r>
          </w:p>
        </w:tc>
      </w:tr>
      <w:tr w:rsidR="00626126" w:rsidRPr="002B102D" w14:paraId="25F1F904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15C1" w14:textId="57B21C51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6BD4" w14:textId="69EBBCF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47E8" w14:textId="4E06EC6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3806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6959" w14:textId="4BDED24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528D" w14:textId="25DE1AC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AF2F" w14:textId="52DDD6D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6E3F" w14:textId="058FC63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3136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4E5E" w14:textId="797FC09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19B5" w14:textId="36C09086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8374</w:t>
            </w:r>
          </w:p>
        </w:tc>
      </w:tr>
      <w:tr w:rsidR="00626126" w:rsidRPr="002B102D" w14:paraId="69416D69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D423" w14:textId="71849F22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19B5" w14:textId="47BAF6F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0A2D" w14:textId="28625C2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3585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1685" w14:textId="4F98263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D2AB" w14:textId="657528D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C89B" w14:textId="0481816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BE05" w14:textId="77D44D56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3031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AC3F" w14:textId="11564C7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ABFB" w14:textId="5F6A4E4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7992</w:t>
            </w:r>
          </w:p>
        </w:tc>
      </w:tr>
      <w:tr w:rsidR="00626126" w:rsidRPr="002B102D" w14:paraId="33652B31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3BF3" w14:textId="6F89310C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A04E" w14:textId="080050E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D809" w14:textId="4A63F6B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3790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82F3" w14:textId="4818338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682A" w14:textId="6EC4CC3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DC76" w14:textId="66CD6AB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8678" w14:textId="0CED363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3035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56C6" w14:textId="383CE60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D814" w14:textId="5E4E769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8248</w:t>
            </w:r>
          </w:p>
        </w:tc>
      </w:tr>
      <w:tr w:rsidR="00626126" w:rsidRPr="002B102D" w14:paraId="16B842CE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CBEB" w14:textId="4EA31540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DD67" w14:textId="1A07DCD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6288" w14:textId="60A9F98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B207" w14:textId="1FEC267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A058" w14:textId="5F6344C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15BA" w14:textId="54B5CDB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5E87" w14:textId="000FFC3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3041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58B5" w14:textId="086731A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CE4D" w14:textId="572EA5A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8038</w:t>
            </w:r>
          </w:p>
        </w:tc>
      </w:tr>
      <w:tr w:rsidR="00626126" w:rsidRPr="002B102D" w14:paraId="70A809C1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A2B7" w14:textId="21C4ED74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412" w14:textId="27AA1F5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74FF" w14:textId="2F1636C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3738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25CB" w14:textId="50610D8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9757" w14:textId="052E547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C019" w14:textId="605A142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2A3D" w14:textId="25210DC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2855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57FA" w14:textId="03EDA20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E85D" w14:textId="7582BFF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8356</w:t>
            </w:r>
          </w:p>
        </w:tc>
      </w:tr>
      <w:tr w:rsidR="00626126" w:rsidRPr="002B102D" w14:paraId="38E0E7DF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265F" w14:textId="16472C42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150D" w14:textId="2937850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8E62" w14:textId="16CEFCD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3548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0656" w14:textId="727C01C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0F0B" w14:textId="0B93B50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184C" w14:textId="00301AC3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0CD3" w14:textId="430FA70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2833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E62D" w14:textId="7478D1C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1901" w14:textId="67BE6B6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7631</w:t>
            </w:r>
          </w:p>
        </w:tc>
      </w:tr>
      <w:tr w:rsidR="00626126" w:rsidRPr="002B102D" w14:paraId="769C0072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2BCE" w14:textId="232DCA2C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56D9" w14:textId="7160F926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AF1" w14:textId="1950BF8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3462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8FE9" w14:textId="48A2FBF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A7BF" w14:textId="0539D8D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3CE1" w14:textId="38037CB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4C33" w14:textId="0AD5FB5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E671" w14:textId="260B4B4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372" w14:textId="7C4C748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8406</w:t>
            </w:r>
          </w:p>
        </w:tc>
      </w:tr>
      <w:tr w:rsidR="00626126" w:rsidRPr="002B102D" w14:paraId="625ED781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12EB" w14:textId="5E3E8C0D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A4CD" w14:textId="43FFF9F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27BC" w14:textId="629095D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3A47" w14:textId="79EF44D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8D9C" w14:textId="253B244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6F05" w14:textId="50A0D08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C206" w14:textId="34CB2C8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2750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244B" w14:textId="3C8A7E2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8FE" w14:textId="06CC33E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7362</w:t>
            </w:r>
          </w:p>
        </w:tc>
      </w:tr>
      <w:tr w:rsidR="00626126" w:rsidRPr="002B102D" w14:paraId="5C2CE7F8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6AF8" w14:textId="4D3E2BDC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96A4" w14:textId="6AF8DCC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F6CF" w14:textId="1B49D61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3440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25F7" w14:textId="218513E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2222" w14:textId="4707ADF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7566" w14:textId="57D5F197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C9F6" w14:textId="77A0203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2733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983E" w14:textId="10DC12A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D01" w14:textId="1C4D52E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7488</w:t>
            </w:r>
          </w:p>
        </w:tc>
      </w:tr>
      <w:tr w:rsidR="00626126" w:rsidRPr="002B102D" w14:paraId="465FE5C1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EF4F" w14:textId="2FB461ED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77D9" w14:textId="251085E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AAFB" w14:textId="2F586EC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3482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2F49" w14:textId="46A79D5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BDAA" w14:textId="31CCE39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1393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FACD" w14:textId="5944D1C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4E5C" w14:textId="01A3444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2661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E8A0" w14:textId="1681C6F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2DB8" w14:textId="7146B12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7536</w:t>
            </w:r>
          </w:p>
        </w:tc>
      </w:tr>
      <w:tr w:rsidR="00626126" w:rsidRPr="002B102D" w14:paraId="25514B3F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E4E4" w14:textId="0DC747F5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FF7C" w14:textId="3E2BC4C6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E6CE" w14:textId="26D89BD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3551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2D80" w14:textId="14558E3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57F9" w14:textId="0F1DCD8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C871" w14:textId="0AE1FEC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80DA" w14:textId="568F723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2867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F0F5" w14:textId="2A70131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9E9B" w14:textId="3F69B46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7852</w:t>
            </w:r>
          </w:p>
        </w:tc>
      </w:tr>
      <w:tr w:rsidR="00626126" w:rsidRPr="002B102D" w14:paraId="29A30CDB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666F" w14:textId="3AA77DD0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9329" w14:textId="7A155D6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2F6A" w14:textId="4E9381A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ACBC" w14:textId="116EFFF3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6DC1" w14:textId="2884EBA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6D90" w14:textId="32C641A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0F17" w14:textId="71252CB0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2930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E722" w14:textId="6C12256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CDE7" w14:textId="0F174E2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8151</w:t>
            </w:r>
          </w:p>
        </w:tc>
      </w:tr>
      <w:tr w:rsidR="00626126" w:rsidRPr="002B102D" w14:paraId="286D5187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03A6" w14:textId="62E74F92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EC31" w14:textId="0032160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FB6D" w14:textId="2E2D9E8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3436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6675" w14:textId="4AA0766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5286" w14:textId="2552776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A51D" w14:textId="3781B8A4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197B" w14:textId="28D9BCE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2982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7C9D" w14:textId="4533959A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99D4" w14:textId="6365557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8371</w:t>
            </w:r>
          </w:p>
        </w:tc>
      </w:tr>
      <w:tr w:rsidR="00626126" w:rsidRPr="002B102D" w14:paraId="141EFEF7" w14:textId="77777777" w:rsidTr="0062612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7705" w14:textId="6F06387E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BF87" w14:textId="391703A5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672D" w14:textId="171141A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E79D" w14:textId="0504200E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49B3" w14:textId="7C62D098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45CC" w14:textId="14867381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80EB" w14:textId="646F8DC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A118" w14:textId="1F40811D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FAF3" w14:textId="616FD82C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8936</w:t>
            </w:r>
          </w:p>
        </w:tc>
      </w:tr>
      <w:tr w:rsidR="00626126" w:rsidRPr="002B102D" w14:paraId="6237683E" w14:textId="77777777" w:rsidTr="006261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1689" w14:textId="1178BC3D" w:rsidR="00626126" w:rsidRPr="002B102D" w:rsidRDefault="00626126" w:rsidP="006261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4038" w14:textId="4F706C0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4B88" w14:textId="1F481532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7A2C" w14:textId="66A083CB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B4B1" w14:textId="3CFBBCE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A173" w14:textId="334C3766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86A0" w14:textId="338A0706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DC3" w14:textId="0E7BEE7F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226C" w14:textId="1AECEBA9" w:rsidR="00626126" w:rsidRPr="002B102D" w:rsidRDefault="00626126" w:rsidP="006261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8308</w:t>
            </w:r>
          </w:p>
        </w:tc>
      </w:tr>
    </w:tbl>
    <w:p w14:paraId="6935DB7C" w14:textId="77777777" w:rsidR="00964EF8" w:rsidRPr="002B102D" w:rsidRDefault="00964EF8" w:rsidP="007C3CD9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  <w:lang w:val="en-US"/>
        </w:rPr>
      </w:pPr>
    </w:p>
    <w:p w14:paraId="64AE54F9" w14:textId="77777777" w:rsidR="006E6B65" w:rsidRPr="002B102D" w:rsidRDefault="006E6B65" w:rsidP="006E6B65">
      <w:pPr>
        <w:spacing w:line="276" w:lineRule="auto"/>
        <w:rPr>
          <w:lang w:val="en-US"/>
        </w:rPr>
      </w:pPr>
      <w:r w:rsidRPr="002B102D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67B407C8" w14:textId="77777777" w:rsidR="00964EF8" w:rsidRPr="002B102D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009B8450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92F9FD1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312FBF4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A589B9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45551BB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382D726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28A18AE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6E1A77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9E1B141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557EA09" w14:textId="653273EE" w:rsidR="006E6B65" w:rsidRPr="002B102D" w:rsidRDefault="006E6B65" w:rsidP="006E6B65">
      <w:pPr>
        <w:pStyle w:val="ResimYazs"/>
        <w:keepNext/>
        <w:rPr>
          <w:rFonts w:asciiTheme="minorHAnsi" w:hAnsiTheme="minorHAnsi"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lastRenderedPageBreak/>
        <w:t xml:space="preserve">Table 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2B102D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086CF7" w:rsidRPr="002B102D">
        <w:rPr>
          <w:rFonts w:asciiTheme="minorHAnsi" w:hAnsiTheme="minorHAnsi"/>
          <w:noProof/>
          <w:sz w:val="22"/>
          <w:szCs w:val="22"/>
          <w:lang w:val="en-US"/>
        </w:rPr>
        <w:t>3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2B102D">
        <w:rPr>
          <w:rFonts w:asciiTheme="minorHAnsi" w:hAnsiTheme="minorHAnsi"/>
          <w:sz w:val="22"/>
          <w:szCs w:val="22"/>
          <w:lang w:val="en-US"/>
        </w:rPr>
        <w:t>: Seasonally adjusted female and male labor market indicators (thousands)</w:t>
      </w:r>
    </w:p>
    <w:p w14:paraId="442158C1" w14:textId="77777777" w:rsidR="006E6B65" w:rsidRPr="002B102D" w:rsidRDefault="006E6B65" w:rsidP="006E6B65">
      <w:pPr>
        <w:rPr>
          <w:lang w:val="en-US"/>
        </w:rPr>
      </w:pPr>
    </w:p>
    <w:tbl>
      <w:tblPr>
        <w:tblW w:w="10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7"/>
        <w:gridCol w:w="1140"/>
        <w:gridCol w:w="1148"/>
        <w:gridCol w:w="879"/>
        <w:gridCol w:w="1140"/>
        <w:gridCol w:w="1148"/>
        <w:gridCol w:w="729"/>
        <w:gridCol w:w="1087"/>
        <w:gridCol w:w="549"/>
        <w:gridCol w:w="1087"/>
      </w:tblGrid>
      <w:tr w:rsidR="0096500B" w:rsidRPr="002B102D" w14:paraId="3940CAFC" w14:textId="77777777" w:rsidTr="00C81ADE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B74" w14:textId="13F3A5EE" w:rsidR="0096500B" w:rsidRPr="002B102D" w:rsidRDefault="0096500B" w:rsidP="0096500B">
            <w:pPr>
              <w:suppressAutoHyphens w:val="0"/>
              <w:rPr>
                <w:sz w:val="22"/>
                <w:szCs w:val="22"/>
                <w:lang w:val="en-US" w:eastAsia="tr-TR"/>
              </w:rPr>
            </w:pPr>
            <w:r w:rsidRPr="002B102D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87A" w14:textId="4EBF8998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labor force, Female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806" w14:textId="33E14576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Employment, Female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A7A6" w14:textId="7FF297F4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Unemployed, Female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3A23" w14:textId="1042A6A1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labor force, Male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1859" w14:textId="42A9E830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Employment, 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AAE" w14:textId="47D39D71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Unemployed, 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48F0" w14:textId="25F07049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Women LFPR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DF41" w14:textId="51AF8C98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Women Employment Rate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7FB3" w14:textId="708DABD6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Men LFPR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F3FA" w14:textId="34DE791D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Men Employment Rate</w:t>
            </w:r>
          </w:p>
        </w:tc>
      </w:tr>
      <w:tr w:rsidR="00691684" w:rsidRPr="002B102D" w14:paraId="48A1F429" w14:textId="77777777" w:rsidTr="00BF6EF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077B" w14:textId="0E951435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BCAC" w14:textId="742C98E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9418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4CC" w14:textId="454A8BE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8028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66F" w14:textId="0ACDC30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D34" w14:textId="593441F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20864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A9A8" w14:textId="738A150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18323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5A7D" w14:textId="63B90E3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39B0" w14:textId="14DE647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B54" w14:textId="3B674A9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DFEB" w14:textId="36D33B9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B26" w14:textId="1476A82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691684" w:rsidRPr="002B102D" w14:paraId="3FDB4B33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9D31" w14:textId="610D53E7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189" w14:textId="024A368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8294" w14:textId="5CC6E64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7862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A44" w14:textId="53AE269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8CE0" w14:textId="4225C3E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560D" w14:textId="3EB2F75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17215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010C" w14:textId="192BE86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2643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869" w14:textId="41189BC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9FD2" w14:textId="552CE9E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26AA" w14:textId="4AB50E8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666" w14:textId="440E082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</w:tr>
      <w:tr w:rsidR="00691684" w:rsidRPr="002B102D" w14:paraId="1FC03015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BCB1" w14:textId="205798F4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B1FB" w14:textId="43DF5EA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E8A9" w14:textId="58FB14F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8004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8C9D" w14:textId="680BB64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281F" w14:textId="0C5BCF1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20286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F2E0" w14:textId="52E0F7B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17584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250A" w14:textId="6943089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3CF" w14:textId="73D33D3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185D" w14:textId="0A7A196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6B4B" w14:textId="06C2EE9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0F56" w14:textId="6A9808F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691684" w:rsidRPr="002B102D" w14:paraId="0217781E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74D" w14:textId="6912A19D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CE5C" w14:textId="421EF2A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9403" w14:textId="4189AB0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8151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02D7" w14:textId="096BE7D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E472" w14:textId="12906AA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CA4C" w14:textId="4AB44E2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18253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9A21" w14:textId="12028D9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2692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9A1" w14:textId="78A769A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6EF" w14:textId="348B99F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273" w14:textId="0793C26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0563" w14:textId="6B2C124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</w:tr>
      <w:tr w:rsidR="00691684" w:rsidRPr="002B102D" w14:paraId="190DFFF9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BF82" w14:textId="134C70E3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C94C" w14:textId="1204235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9852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6F1C" w14:textId="0FABDF1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3A73" w14:textId="4CF6BDC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06DF" w14:textId="50D7E57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20615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8296" w14:textId="44F23A6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17825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8BB6" w14:textId="019FF1D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2790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914" w14:textId="3078672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9470" w14:textId="6E4B541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7429" w14:textId="187A09A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432E" w14:textId="1D766AF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</w:tr>
      <w:tr w:rsidR="00691684" w:rsidRPr="002B102D" w14:paraId="2EF2FDF1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B924" w14:textId="009AE2AA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7112" w14:textId="128AC0C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94F4" w14:textId="3933F20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8452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5789" w14:textId="717D182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2F8F" w14:textId="1F3D6CD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21054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67B" w14:textId="36D15CC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18507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34E2" w14:textId="34360E9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7E6C" w14:textId="0A261EF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B12D" w14:textId="758E3E7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12D" w14:textId="1907DE3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F7E" w14:textId="40C53BF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691684" w:rsidRPr="002B102D" w14:paraId="38877D1E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BFDF" w14:textId="476563FC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A621" w14:textId="473917B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9806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0AD8" w14:textId="363BB8C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C58D" w14:textId="28F1484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9E32" w14:textId="44E1ECA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B430" w14:textId="3B90923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18786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EFB" w14:textId="1629D98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2493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48FC" w14:textId="055D28F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F0E" w14:textId="4F4354A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AD90" w14:textId="278CF07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425A" w14:textId="1856011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691684" w:rsidRPr="002B102D" w14:paraId="3D9160CC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BCA5" w14:textId="15155F36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CA21" w14:textId="3D93C16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12B3" w14:textId="3651007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8229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E81" w14:textId="5B25C9F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4FE8" w14:textId="5A6C95F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5757" w14:textId="5BF6529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18770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7959" w14:textId="7A2DDA4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2594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5E1" w14:textId="62F8E8D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DD1" w14:textId="628C4C4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761E" w14:textId="1ED4501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28D" w14:textId="6B86DC9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</w:tr>
      <w:tr w:rsidR="00691684" w:rsidRPr="002B102D" w14:paraId="2AF6D0CC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4715" w14:textId="71A8983E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A35B" w14:textId="5B2335C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9562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B2C5" w14:textId="7A07E66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8162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322B" w14:textId="5922E74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6619" w14:textId="6DA2BDC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21509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BC0E" w14:textId="7282556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18862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8EF" w14:textId="0FB3B17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2647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7D57" w14:textId="2949CC5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776" w14:textId="4C1F317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A74D" w14:textId="5FCDB9B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EB25" w14:textId="0A6F3B3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691684" w:rsidRPr="002B102D" w14:paraId="16C6C531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DA3B" w14:textId="02EE8365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E526" w14:textId="3518718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A2DE" w14:textId="48780C7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041A" w14:textId="195EEB6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3109" w14:textId="00EFDBD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0D13" w14:textId="46228C1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18744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4D79" w14:textId="6E7575A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DDF3" w14:textId="6E6776B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ABA" w14:textId="4169C4B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08B" w14:textId="18E7692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6AEC" w14:textId="75578F7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</w:tr>
      <w:tr w:rsidR="00691684" w:rsidRPr="002B102D" w14:paraId="2761C8A0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9A2D" w14:textId="566229CA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A517" w14:textId="45C74CD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16AF" w14:textId="2601007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8601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FB4E" w14:textId="24B3990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E755" w14:textId="29C6DEF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21554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756D" w14:textId="7833E33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19042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D6BA" w14:textId="4CFF34D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86D" w14:textId="51CC39C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E2AF" w14:textId="3FB9E22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1930" w14:textId="3A44477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F01A" w14:textId="4BE44D2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</w:tr>
      <w:tr w:rsidR="00691684" w:rsidRPr="002B102D" w14:paraId="5C2BAE83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636C" w14:textId="6C2CDA87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1EC2" w14:textId="129BCF1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C5BA" w14:textId="06FF4F0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8690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54D2" w14:textId="619D0EC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FDD8" w14:textId="0199CD8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21594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FD32" w14:textId="2CD957E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18970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23B5" w14:textId="440CB04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79A" w14:textId="732A159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9869" w14:textId="7CD36BF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957" w14:textId="65A965C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D63E" w14:textId="701510C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691684" w:rsidRPr="002B102D" w14:paraId="3A3C1D16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B4F4" w14:textId="4C03DB11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B48E" w14:textId="2687E03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8319" w14:textId="5628F75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8564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5C47" w14:textId="6E50C51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F5EC" w14:textId="2485A7B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22409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2850" w14:textId="021B3D4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D24" w14:textId="1839597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BD06" w14:textId="6938619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279" w14:textId="753C5D7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4A4" w14:textId="6C60A39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266" w14:textId="4D6E310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</w:tr>
      <w:tr w:rsidR="00691684" w:rsidRPr="002B102D" w14:paraId="0D54867F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9A27" w14:textId="1A5B0F87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96BF" w14:textId="77530D9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10509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94B" w14:textId="7BA2535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8874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95CB" w14:textId="0F06030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8BBF" w14:textId="4FF49A2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22171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5A2" w14:textId="0D0DD71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19410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8C71" w14:textId="127D578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2762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E06" w14:textId="5B3E842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A980" w14:textId="2705DD2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DDC" w14:textId="13323FF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35F" w14:textId="76F747B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691684" w:rsidRPr="002B102D" w14:paraId="4A1B271B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6796" w14:textId="756DFC33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E134" w14:textId="69340C7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372C" w14:textId="7BA0FD7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8595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5E0F" w14:textId="3130E9C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65CD" w14:textId="744F5EA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22140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4929" w14:textId="30E8847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19419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BA5" w14:textId="37C447F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2722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A28" w14:textId="015A678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BFA" w14:textId="22C4774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11CB" w14:textId="29F281A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68C6" w14:textId="46A5D38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691684" w:rsidRPr="002B102D" w14:paraId="06EE0917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12F9" w14:textId="3585AC56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9DF8" w14:textId="4FF1A61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FFD2" w14:textId="6659CAB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F521" w14:textId="794BC4F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C4A8" w14:textId="3D07C38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21892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60C8" w14:textId="6C324C8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19796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CD51" w14:textId="1055B94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9582" w14:textId="7BA9F0A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8A72" w14:textId="65FFD12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8AC" w14:textId="49B1556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4F7B" w14:textId="7DB9BE5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</w:tr>
      <w:tr w:rsidR="00691684" w:rsidRPr="002B102D" w14:paraId="629E2D52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5DF1" w14:textId="59D130A5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D54C" w14:textId="51DEBAF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10791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8A11" w14:textId="06E8E87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9247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969F" w14:textId="599D239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9E9" w14:textId="23AF4E0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21805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F4C5" w14:textId="3B3FF08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19566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FB17" w14:textId="7D1FD80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CCE" w14:textId="482053C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7AA" w14:textId="4B58320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C647" w14:textId="7796A6B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C77" w14:textId="1EFA684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691684" w:rsidRPr="002B102D" w14:paraId="57990731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968D" w14:textId="515BAC9E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9169" w14:textId="484C567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10704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6275" w14:textId="437026D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8FB" w14:textId="70C2F74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CAAF" w14:textId="468A201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22214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6993" w14:textId="300666B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099D" w14:textId="743D327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461" w14:textId="655EDA7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D6A3" w14:textId="6C299C2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3F0" w14:textId="1924DC2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34EC" w14:textId="5E087E7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691684" w:rsidRPr="002B102D" w14:paraId="2DC2B3EC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CB41" w14:textId="2B53D5CA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3807" w14:textId="339B05D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6652" w14:textId="3FC565E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258" w14:textId="3D0A719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598C" w14:textId="4194F9B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FF97" w14:textId="16CD79C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20197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1261" w14:textId="5552966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2174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ADD" w14:textId="2E15E78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224" w14:textId="04F3538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9175" w14:textId="50B25EF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224E" w14:textId="203AF48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</w:tr>
      <w:tr w:rsidR="00691684" w:rsidRPr="002B102D" w14:paraId="329567B2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374F" w14:textId="3CAA4987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8B9E" w14:textId="2FE8A31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15E5" w14:textId="59B0BF8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9443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E8CE" w14:textId="3F5D193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EEB" w14:textId="39FA95D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7D2B" w14:textId="6D3DB72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20163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C59F" w14:textId="761DE4B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6ED" w14:textId="38BA39D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47B" w14:textId="5A9B796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B057" w14:textId="581C185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49B" w14:textId="3ACB75E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</w:tr>
      <w:tr w:rsidR="00691684" w:rsidRPr="002B102D" w14:paraId="70F9F352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D508" w14:textId="09050AE1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64AE" w14:textId="2424B1E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39B6" w14:textId="7CC7995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AE12" w14:textId="665F948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FCD" w14:textId="41FD884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22413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F4FC" w14:textId="605DBB7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20288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3327" w14:textId="44F2597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1D35" w14:textId="268BA21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6361" w14:textId="1B32456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415" w14:textId="744F554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D49" w14:textId="31E0CD6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691684" w:rsidRPr="002B102D" w14:paraId="0809476A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DC5" w14:textId="11732ECE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9782" w14:textId="7FE9D7A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11126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2102" w14:textId="7FB9F3B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07D8" w14:textId="7B58D2B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B333" w14:textId="177C118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7B2E" w14:textId="78998C6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20418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A68" w14:textId="34023DB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88D" w14:textId="51BB4C9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1DC" w14:textId="0CF9B10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108F" w14:textId="1566EF6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E656" w14:textId="2CE0915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</w:tr>
      <w:tr w:rsidR="00691684" w:rsidRPr="002B102D" w14:paraId="56893937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5CA3" w14:textId="22401EE1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CB8" w14:textId="7E2E7BA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11166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C112" w14:textId="5F9BAD6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4C4" w14:textId="18F32E1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152F" w14:textId="2897EF2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6578" w14:textId="3B11A1F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20334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8BAD" w14:textId="6513381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58F1" w14:textId="4D0B120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0160" w14:textId="2516D23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81F7" w14:textId="272656E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C27" w14:textId="51106EA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691684" w:rsidRPr="002B102D" w14:paraId="28502350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E3E5" w14:textId="71A37ADC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BE21" w14:textId="3C18D55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11066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CE15" w14:textId="5471D5A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9549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A27" w14:textId="4FB17DE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21CB" w14:textId="67B30D4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22454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4A9B" w14:textId="2185A34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20387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D854" w14:textId="09B5C30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2067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4F2" w14:textId="68B80AB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3E3A" w14:textId="78A8A38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9B7" w14:textId="5A48EE7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98BC" w14:textId="77E7AB6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</w:tr>
      <w:tr w:rsidR="00691684" w:rsidRPr="002B102D" w14:paraId="7CAB7B9E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84B0" w14:textId="62F412D1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880" w14:textId="5E6C195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A1B2" w14:textId="008CD10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9422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F02C" w14:textId="61A5417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9EE6" w14:textId="0F884E4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D25E" w14:textId="6849101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20644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0E2" w14:textId="3AB2AB1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E4AF" w14:textId="5391A89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EB75" w14:textId="2BB657A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D833" w14:textId="03AFDF4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D733" w14:textId="7FE2AF0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</w:tr>
      <w:tr w:rsidR="00691684" w:rsidRPr="002B102D" w14:paraId="30775046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029" w14:textId="02A0A2D3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2729" w14:textId="122535C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11373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29D0" w14:textId="1132C5D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C2D7" w14:textId="4CA788C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760" w14:textId="4C4AB58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3C7B" w14:textId="0A5442E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20710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DC8E" w14:textId="7ECCBBD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AF7" w14:textId="453A025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B2C4" w14:textId="148E3E6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C30B" w14:textId="24D5604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85E3" w14:textId="5A1DD44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</w:tr>
      <w:tr w:rsidR="00691684" w:rsidRPr="002B102D" w14:paraId="73D8E578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5C2D" w14:textId="494BF3FB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26E1" w14:textId="65AB62A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5B62" w14:textId="78D7213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89AD" w14:textId="6B14998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B234" w14:textId="51822FD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2E36" w14:textId="775120E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A5BC" w14:textId="7120C9D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827" w14:textId="2CBFAB0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E541" w14:textId="5D0D87E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B438" w14:textId="3451D30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EBC" w14:textId="74B4772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691684" w:rsidRPr="002B102D" w14:paraId="49993C59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2F1E" w14:textId="472D3C32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7BED" w14:textId="00C73DC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11458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E766" w14:textId="6261CBD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9885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05A7" w14:textId="14A903F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B87A" w14:textId="1A8ED50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EDE0" w14:textId="531810B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DC6" w14:textId="69E09F4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6600" w14:textId="73B6B67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D0C3" w14:textId="712072E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9C9D" w14:textId="4C67B16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E95B" w14:textId="5A9C300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</w:tr>
      <w:tr w:rsidR="00691684" w:rsidRPr="002B102D" w14:paraId="427C8A8E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F894" w14:textId="36713421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FBDE" w14:textId="30EBE22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11340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2CAC" w14:textId="4380146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9842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7EBA" w14:textId="386C06F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80E9" w14:textId="58CB5B5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2E3A" w14:textId="7B75195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20687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6120" w14:textId="5324700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04B5" w14:textId="3DF11B4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5CE" w14:textId="244271C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3F56" w14:textId="44F73FD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CC97" w14:textId="4E7CB20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</w:tr>
      <w:tr w:rsidR="00691684" w:rsidRPr="002B102D" w14:paraId="611289B8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5149" w14:textId="2E47B544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659" w14:textId="2F1E4E5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7C3A" w14:textId="6AA18EE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10092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AA3E" w14:textId="0F9CEA5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D907" w14:textId="6F0CCF4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A67B" w14:textId="781C89C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20982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745C" w14:textId="7C5291E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9F52" w14:textId="59CD6A9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BF2" w14:textId="02900FA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FFC2" w14:textId="4CC0D93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BD5" w14:textId="22F24B8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691684" w:rsidRPr="002B102D" w14:paraId="2FAAFC78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550D" w14:textId="05C6875B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9B35" w14:textId="30D08D2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FEAC" w14:textId="1512B9E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10082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CBBA" w14:textId="443EAE1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5DBC" w14:textId="1879171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22911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D3DC" w14:textId="3B62CEC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20935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5B3E" w14:textId="34EF65F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1578" w14:textId="37A4CD3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5C10" w14:textId="0168701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F84" w14:textId="3A63B70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E383" w14:textId="162DBFD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691684" w:rsidRPr="002B102D" w14:paraId="32D3FAE3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664D" w14:textId="475B278C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8897" w14:textId="653B1F3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11623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E2EC" w14:textId="75660D3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37F3" w14:textId="2A6E90D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324E" w14:textId="7236DDF9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22948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A9AF" w14:textId="03A6CFD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8621" w14:textId="4A5F0BB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482" w14:textId="497B418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0C17" w14:textId="2E39345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BAC7" w14:textId="20FD6A2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37D6" w14:textId="2211FF7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</w:tr>
      <w:tr w:rsidR="00691684" w:rsidRPr="002B102D" w14:paraId="102360AF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B0C2" w14:textId="661C13A2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B13B" w14:textId="0F05710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0B75" w14:textId="7054363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10413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7E56" w14:textId="62BF63D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AC98" w14:textId="7EC5523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23151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06BB" w14:textId="17E8343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21145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00AA" w14:textId="6507C9E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2D3C" w14:textId="128DD96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2878" w14:textId="42415F1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5CFC" w14:textId="707CEC2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DC6" w14:textId="450E29D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691684" w:rsidRPr="002B102D" w14:paraId="0D70D89B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E58D" w14:textId="0D9C6CF8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331B" w14:textId="2338E09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11913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6753" w14:textId="0C24069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10205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D728" w14:textId="6A78390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0B0B" w14:textId="5A457B27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AC51" w14:textId="29B16F1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21238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B10" w14:textId="08CA73E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445" w14:textId="316C0FF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4A4" w14:textId="2DB2EC4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EDF" w14:textId="6A57C3D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BBF1" w14:textId="4F62CBC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</w:tr>
      <w:tr w:rsidR="00691684" w:rsidRPr="002B102D" w14:paraId="3A727A26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73CC" w14:textId="0CCC3803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982" w14:textId="7DD2A01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3640" w14:textId="275D290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10231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672" w14:textId="3E2D770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98CD" w14:textId="4DBC8C7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23372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C299" w14:textId="2968B86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21555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1E0F" w14:textId="21912B3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AF3" w14:textId="5CD2236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6A47" w14:textId="76B5278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302" w14:textId="0CAA45D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15B4" w14:textId="2C6F4366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691684" w:rsidRPr="002B102D" w14:paraId="63F6E140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E2E3" w14:textId="2549233F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0B90" w14:textId="204AF33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58C5" w14:textId="25D5113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10441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605" w14:textId="70154342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8962" w14:textId="09061E3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22960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5DF3" w14:textId="1019289E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1BF5" w14:textId="6E3250E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FF6" w14:textId="000B1103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E5C8" w14:textId="475A415F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555" w14:textId="226DDA15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A940" w14:textId="14180704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691684" w:rsidRPr="002B102D" w14:paraId="771E25CC" w14:textId="77777777" w:rsidTr="00BF6EF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EC3" w14:textId="263B8CCA" w:rsidR="00691684" w:rsidRPr="002B102D" w:rsidRDefault="00691684" w:rsidP="0069168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41A4" w14:textId="4BFB737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11752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1044" w14:textId="23EC8CD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B287" w14:textId="0EAF5FC8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D3B" w14:textId="3133F9EC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E166" w14:textId="68103C2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CC0A" w14:textId="0C48D53D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822" w14:textId="0779BF5A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CBA7" w14:textId="1AD4B3B1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7D58" w14:textId="709AA8E0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4ADF" w14:textId="54710FDB" w:rsidR="00691684" w:rsidRPr="002B102D" w:rsidRDefault="00691684" w:rsidP="0069168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</w:tbl>
    <w:p w14:paraId="5A9D0CAD" w14:textId="77777777" w:rsidR="006E6B65" w:rsidRPr="002B102D" w:rsidRDefault="006E6B65" w:rsidP="006E6B65">
      <w:pPr>
        <w:spacing w:before="120" w:line="276" w:lineRule="auto"/>
        <w:rPr>
          <w:rFonts w:asciiTheme="minorHAnsi" w:hAnsiTheme="minorHAnsi" w:cs="Arial"/>
          <w:bCs/>
          <w:noProof/>
          <w:sz w:val="18"/>
          <w:szCs w:val="18"/>
          <w:lang w:val="en-US"/>
        </w:rPr>
      </w:pPr>
      <w:r w:rsidRPr="002B102D">
        <w:rPr>
          <w:rFonts w:asciiTheme="minorHAnsi" w:hAnsiTheme="minorHAnsi" w:cs="Arial"/>
          <w:bCs/>
          <w:sz w:val="18"/>
          <w:szCs w:val="18"/>
          <w:lang w:val="en-US"/>
        </w:rPr>
        <w:t>Source: Turkstat, Betam</w:t>
      </w:r>
    </w:p>
    <w:p w14:paraId="3A8B33E6" w14:textId="77777777" w:rsidR="00C36DDC" w:rsidRPr="002B102D" w:rsidRDefault="00C36DDC" w:rsidP="007C3CD9">
      <w:pPr>
        <w:pStyle w:val="ResimYazs"/>
        <w:keepNext/>
        <w:spacing w:line="276" w:lineRule="auto"/>
        <w:rPr>
          <w:rFonts w:ascii="Arial" w:hAnsi="Arial" w:cs="Arial"/>
          <w:lang w:val="en-US"/>
        </w:rPr>
      </w:pPr>
    </w:p>
    <w:p w14:paraId="0952D301" w14:textId="77777777" w:rsidR="004B24C7" w:rsidRPr="002B102D" w:rsidRDefault="004B24C7" w:rsidP="007C3CD9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97575AD" w14:textId="3747521B" w:rsidR="00136DF4" w:rsidRPr="002B102D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625ACF3" w14:textId="2E68C9A2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50C2026" w14:textId="3D3A128B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7E635EF" w14:textId="55B0110D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E8B0A0B" w14:textId="170D3E89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224CEE1" w14:textId="09218806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666C1270" w14:textId="5B0C3EBC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FCF8949" w14:textId="57D2B14D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8E8B382" w14:textId="223B6895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C27D440" w14:textId="7F0676F5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0EA1CC" w14:textId="6A61CE46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731C2BA" w14:textId="41241701" w:rsidR="00321CA0" w:rsidRPr="002B102D" w:rsidRDefault="00321CA0" w:rsidP="00321CA0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2B102D">
        <w:rPr>
          <w:rFonts w:asciiTheme="minorHAnsi" w:hAnsiTheme="minorHAnsi" w:cs="Arial"/>
          <w:b/>
          <w:sz w:val="22"/>
          <w:szCs w:val="22"/>
          <w:lang w:val="en-US"/>
        </w:rPr>
        <w:lastRenderedPageBreak/>
        <w:t>Box 1: Definitions of alternative unemployment rates</w:t>
      </w:r>
      <w:r w:rsidRPr="002B102D">
        <w:rPr>
          <w:rStyle w:val="DipnotBavurusu"/>
          <w:rFonts w:asciiTheme="minorHAnsi" w:hAnsiTheme="minorHAnsi" w:cs="Arial"/>
          <w:b/>
          <w:sz w:val="22"/>
          <w:szCs w:val="22"/>
          <w:lang w:val="en-US"/>
        </w:rPr>
        <w:footnoteReference w:id="4"/>
      </w:r>
    </w:p>
    <w:p w14:paraId="1B080747" w14:textId="0ED78988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The time-related underemployment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: </w:t>
      </w:r>
      <w:r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Persons employed in the reference week who </w:t>
      </w:r>
      <w:r w:rsidR="00A17CF3"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>worked</w:t>
      </w:r>
      <w:r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 less than 40 hours </w:t>
      </w:r>
      <w:r w:rsidR="00D463E3" w:rsidRPr="00A17CF3">
        <w:rPr>
          <w:rFonts w:asciiTheme="minorHAnsi" w:hAnsiTheme="minorHAnsi" w:cs="Arial"/>
          <w:bCs/>
          <w:sz w:val="22"/>
          <w:szCs w:val="22"/>
          <w:lang w:val="en-US" w:eastAsia="tr-TR"/>
        </w:rPr>
        <w:t>in</w:t>
      </w:r>
      <w:r w:rsidR="00A17CF3" w:rsidRPr="00A17CF3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 </w:t>
      </w:r>
      <w:r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total (in main job and additional job/s) were willing to work additional hours and were available to do so but could not find a job for the extra hours. </w:t>
      </w:r>
    </w:p>
    <w:p w14:paraId="1E0C00FE" w14:textId="77777777" w:rsidR="00321CA0" w:rsidRPr="002B102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4D8ECDB7" w14:textId="77777777" w:rsidR="00321CA0" w:rsidRPr="002B102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sz w:val="22"/>
          <w:szCs w:val="22"/>
          <w:lang w:val="en-US" w:eastAsia="tr-TR"/>
        </w:rPr>
        <w:t>The potential labor force: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P</w:t>
      </w:r>
      <w:r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>ersons not in employment who would like to work, but for whom the existing conditions limit active job search and/or availability.</w:t>
      </w:r>
    </w:p>
    <w:p w14:paraId="7A76BD38" w14:textId="77777777" w:rsidR="00321CA0" w:rsidRPr="002B102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en-US" w:eastAsia="tr-TR"/>
        </w:rPr>
      </w:pPr>
    </w:p>
    <w:p w14:paraId="38460215" w14:textId="17B23743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The unemployed: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The unemployed comprises all persons 15 years of age and over who were not employed during the reference period</w:t>
      </w:r>
      <w:r w:rsidR="008104C0">
        <w:rPr>
          <w:rFonts w:asciiTheme="minorHAnsi" w:hAnsiTheme="minorHAnsi" w:cs="Arial"/>
          <w:sz w:val="22"/>
          <w:szCs w:val="22"/>
          <w:lang w:val="en-US" w:eastAsia="tr-TR"/>
        </w:rPr>
        <w:t>,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had used at least one active channel for seeking a job during the last four weeks</w:t>
      </w:r>
      <w:r w:rsidR="008104C0">
        <w:rPr>
          <w:rFonts w:asciiTheme="minorHAnsi" w:hAnsiTheme="minorHAnsi" w:cs="Arial"/>
          <w:sz w:val="22"/>
          <w:szCs w:val="22"/>
          <w:lang w:val="en-US" w:eastAsia="tr-TR"/>
        </w:rPr>
        <w:t>,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and were available to start work within two weeks.</w:t>
      </w:r>
    </w:p>
    <w:p w14:paraId="70CAB977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1) Unemployment rate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= [persons in unemployment/labor force]x100</w:t>
      </w:r>
    </w:p>
    <w:p w14:paraId="2C3A0244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4875C43E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2) Combined rate of time-related underemployment and unemployment =</w:t>
      </w:r>
    </w:p>
    <w:p w14:paraId="68F65AAF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 [(persons in time-related underemployment + persons in unemployment) / labor force] * 100</w:t>
      </w:r>
    </w:p>
    <w:p w14:paraId="4E01D573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ab/>
      </w:r>
    </w:p>
    <w:p w14:paraId="37666981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sz w:val="22"/>
          <w:szCs w:val="22"/>
          <w:lang w:val="en-US" w:eastAsia="tr-TR"/>
        </w:rPr>
        <w:t>3) Combined rate of unemployment and potential labor force =</w:t>
      </w:r>
    </w:p>
    <w:p w14:paraId="6EEA53B3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   [(persons in unemployment + potential labor force)/ (labor force+ potential labor force)] x 100</w:t>
      </w:r>
    </w:p>
    <w:p w14:paraId="2E99F210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62E8295A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4) Composite measure of labor underutilization =</w:t>
      </w:r>
    </w:p>
    <w:p w14:paraId="7F873DDB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>[(persons in time-related underemployment + persons in unemployment + potential labor force) / (labor force+ potential labor force)] x 100</w:t>
      </w:r>
    </w:p>
    <w:p w14:paraId="453331FD" w14:textId="58119997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3E182A" w14:textId="46AF4994" w:rsidR="00573DFA" w:rsidRDefault="00573DFA">
      <w:pPr>
        <w:suppressAutoHyphens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0AEE16A8" w14:textId="5826CD94" w:rsidR="00573DFA" w:rsidRPr="00D869C0" w:rsidRDefault="00573DFA" w:rsidP="00573DFA">
      <w:pPr>
        <w:suppressAutoHyphens w:val="0"/>
        <w:spacing w:after="160" w:line="259" w:lineRule="auto"/>
        <w:rPr>
          <w:rFonts w:asciiTheme="minorHAnsi" w:hAnsiTheme="minorHAnsi" w:cs="Arial"/>
          <w:b/>
          <w:bCs/>
          <w:lang w:val="en-US"/>
        </w:rPr>
      </w:pPr>
      <w:r w:rsidRPr="00D869C0">
        <w:rPr>
          <w:rFonts w:asciiTheme="minorHAnsi" w:hAnsiTheme="minorHAnsi" w:cs="Arial"/>
          <w:b/>
          <w:bCs/>
          <w:lang w:val="en-US"/>
        </w:rPr>
        <w:lastRenderedPageBreak/>
        <w:t>Box</w:t>
      </w:r>
      <w:r w:rsidRPr="00D869C0">
        <w:rPr>
          <w:rFonts w:asciiTheme="minorHAnsi" w:hAnsiTheme="minorHAnsi" w:cs="Arial"/>
          <w:b/>
          <w:bCs/>
          <w:lang w:val="en-US"/>
        </w:rPr>
        <w:t xml:space="preserve"> 2: </w:t>
      </w:r>
      <w:r w:rsidRPr="00D869C0">
        <w:rPr>
          <w:rFonts w:asciiTheme="minorHAnsi" w:hAnsiTheme="minorHAnsi" w:cs="Arial"/>
          <w:b/>
          <w:bCs/>
          <w:lang w:val="en-US"/>
        </w:rPr>
        <w:t>The effects of the T</w:t>
      </w:r>
      <w:r w:rsidR="00870730">
        <w:rPr>
          <w:rFonts w:asciiTheme="minorHAnsi" w:hAnsiTheme="minorHAnsi" w:cs="Arial"/>
          <w:b/>
          <w:bCs/>
          <w:lang w:val="en-US"/>
        </w:rPr>
        <w:t>ü</w:t>
      </w:r>
      <w:r w:rsidRPr="00D869C0">
        <w:rPr>
          <w:rFonts w:asciiTheme="minorHAnsi" w:hAnsiTheme="minorHAnsi" w:cs="Arial"/>
          <w:b/>
          <w:bCs/>
          <w:lang w:val="en-US"/>
        </w:rPr>
        <w:t>rkiye-Syria earthquake</w:t>
      </w:r>
    </w:p>
    <w:p w14:paraId="6AE7CEEB" w14:textId="3833136C" w:rsidR="00573DFA" w:rsidRPr="00C50574" w:rsidRDefault="00BE4525" w:rsidP="008E3787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16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D7159">
        <w:rPr>
          <w:rFonts w:asciiTheme="minorHAnsi" w:hAnsiTheme="minorHAnsi" w:cs="Arial"/>
          <w:sz w:val="22"/>
          <w:szCs w:val="22"/>
          <w:lang w:val="en-US"/>
        </w:rPr>
        <w:t xml:space="preserve">In addition to the tragedies that it caused, the horrific earthquake </w:t>
      </w:r>
      <w:r w:rsidR="007D26D2" w:rsidRPr="002D7159">
        <w:rPr>
          <w:rFonts w:asciiTheme="minorHAnsi" w:hAnsiTheme="minorHAnsi" w:cs="Arial"/>
          <w:sz w:val="22"/>
          <w:szCs w:val="22"/>
          <w:lang w:val="en-US"/>
        </w:rPr>
        <w:t xml:space="preserve">that </w:t>
      </w:r>
      <w:r w:rsidR="008D36CE" w:rsidRPr="002D7159">
        <w:rPr>
          <w:rFonts w:asciiTheme="minorHAnsi" w:hAnsiTheme="minorHAnsi" w:cs="Arial"/>
          <w:sz w:val="22"/>
          <w:szCs w:val="22"/>
          <w:lang w:val="en-US"/>
        </w:rPr>
        <w:t>had been</w:t>
      </w:r>
      <w:r w:rsidR="007D26D2" w:rsidRPr="002D715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B7300C" w:rsidRPr="002D7159">
        <w:rPr>
          <w:rFonts w:asciiTheme="minorHAnsi" w:hAnsiTheme="minorHAnsi" w:cs="Arial"/>
          <w:sz w:val="22"/>
          <w:szCs w:val="22"/>
          <w:lang w:val="en-US"/>
        </w:rPr>
        <w:t xml:space="preserve">felt through Turkiye and Syria on </w:t>
      </w:r>
      <w:r w:rsidR="00573DFA" w:rsidRPr="002D7159">
        <w:rPr>
          <w:rFonts w:asciiTheme="minorHAnsi" w:hAnsiTheme="minorHAnsi" w:cs="Arial"/>
          <w:sz w:val="22"/>
          <w:szCs w:val="22"/>
          <w:lang w:val="en-US"/>
        </w:rPr>
        <w:t>6</w:t>
      </w:r>
      <w:r w:rsidR="00B7300C" w:rsidRPr="002D7159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B7300C" w:rsidRPr="002D715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B7300C" w:rsidRPr="00E47C91">
        <w:rPr>
          <w:rFonts w:asciiTheme="minorHAnsi" w:hAnsiTheme="minorHAnsi" w:cs="Arial"/>
          <w:sz w:val="22"/>
          <w:szCs w:val="22"/>
          <w:lang w:val="en-US"/>
        </w:rPr>
        <w:t xml:space="preserve">of </w:t>
      </w:r>
      <w:r w:rsidR="00D869C0" w:rsidRPr="00E47C91">
        <w:rPr>
          <w:rFonts w:asciiTheme="minorHAnsi" w:hAnsiTheme="minorHAnsi" w:cs="Arial"/>
          <w:sz w:val="22"/>
          <w:szCs w:val="22"/>
          <w:lang w:val="en-US"/>
        </w:rPr>
        <w:t>February</w:t>
      </w:r>
      <w:r w:rsidR="00B7300C" w:rsidRPr="00E47C91">
        <w:rPr>
          <w:rFonts w:asciiTheme="minorHAnsi" w:hAnsiTheme="minorHAnsi" w:cs="Arial"/>
          <w:sz w:val="22"/>
          <w:szCs w:val="22"/>
          <w:lang w:val="en-US"/>
        </w:rPr>
        <w:t xml:space="preserve"> 2023</w:t>
      </w:r>
      <w:r w:rsidR="00376A91" w:rsidRPr="00E47C91">
        <w:rPr>
          <w:rFonts w:asciiTheme="minorHAnsi" w:hAnsiTheme="minorHAnsi" w:cs="Arial"/>
          <w:sz w:val="22"/>
          <w:szCs w:val="22"/>
          <w:lang w:val="en-US"/>
        </w:rPr>
        <w:t xml:space="preserve"> disabled Turkstat to implement surveys in 7 provinces </w:t>
      </w:r>
      <w:r w:rsidR="003964AE" w:rsidRPr="00E47C91">
        <w:rPr>
          <w:rFonts w:asciiTheme="minorHAnsi" w:hAnsiTheme="minorHAnsi" w:cs="Arial"/>
          <w:sz w:val="22"/>
          <w:szCs w:val="22"/>
          <w:lang w:val="en-US"/>
        </w:rPr>
        <w:t>(Adıyaman, Gaziantep, Hatay, Kahramanmaraş, Kilis, Malatya and Osmaniye)</w:t>
      </w:r>
      <w:r w:rsidR="008D36CE" w:rsidRPr="00E47C91">
        <w:rPr>
          <w:rFonts w:asciiTheme="minorHAnsi" w:hAnsiTheme="minorHAnsi" w:cs="Arial"/>
          <w:sz w:val="22"/>
          <w:szCs w:val="22"/>
          <w:lang w:val="en-US"/>
        </w:rPr>
        <w:t xml:space="preserve"> of Turkiye</w:t>
      </w:r>
      <w:r w:rsidR="003964AE" w:rsidRPr="00E47C91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207019" w:rsidRPr="00E47C91">
        <w:rPr>
          <w:rFonts w:asciiTheme="minorHAnsi" w:hAnsiTheme="minorHAnsi" w:cs="Arial"/>
          <w:sz w:val="22"/>
          <w:szCs w:val="22"/>
          <w:lang w:val="en-US"/>
        </w:rPr>
        <w:t xml:space="preserve">Turkstat excluded these provinces </w:t>
      </w:r>
      <w:r w:rsidR="002D408C" w:rsidRPr="00E47C91">
        <w:rPr>
          <w:rFonts w:asciiTheme="minorHAnsi" w:hAnsiTheme="minorHAnsi" w:cs="Arial"/>
          <w:sz w:val="22"/>
          <w:szCs w:val="22"/>
          <w:lang w:val="en-US"/>
        </w:rPr>
        <w:t xml:space="preserve">from the sample and </w:t>
      </w:r>
      <w:r w:rsidR="002D408C" w:rsidRPr="00C50574">
        <w:rPr>
          <w:rFonts w:asciiTheme="minorHAnsi" w:hAnsiTheme="minorHAnsi" w:cs="Arial"/>
          <w:sz w:val="22"/>
          <w:szCs w:val="22"/>
          <w:lang w:val="en-US"/>
        </w:rPr>
        <w:t xml:space="preserve">used reweighting methods to analyze the </w:t>
      </w:r>
      <w:r w:rsidR="00D869C0" w:rsidRPr="00C50574">
        <w:rPr>
          <w:rFonts w:asciiTheme="minorHAnsi" w:hAnsiTheme="minorHAnsi" w:cs="Arial"/>
          <w:sz w:val="22"/>
          <w:szCs w:val="22"/>
          <w:lang w:val="en-US"/>
        </w:rPr>
        <w:t xml:space="preserve">overall </w:t>
      </w:r>
      <w:r w:rsidR="002D408C" w:rsidRPr="00C50574">
        <w:rPr>
          <w:rFonts w:asciiTheme="minorHAnsi" w:hAnsiTheme="minorHAnsi" w:cs="Arial"/>
          <w:sz w:val="22"/>
          <w:szCs w:val="22"/>
          <w:lang w:val="en-US"/>
        </w:rPr>
        <w:t>labor market</w:t>
      </w:r>
      <w:r w:rsidR="007C74BF" w:rsidRPr="00C50574">
        <w:rPr>
          <w:rStyle w:val="DipnotBavurusu"/>
          <w:rFonts w:asciiTheme="minorHAnsi" w:hAnsiTheme="minorHAnsi" w:cs="Arial"/>
          <w:sz w:val="22"/>
          <w:szCs w:val="22"/>
          <w:lang w:val="en-US"/>
        </w:rPr>
        <w:footnoteReference w:id="5"/>
      </w:r>
      <w:r w:rsidR="00D869C0" w:rsidRPr="00C50574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AD1AFC" w:rsidRPr="00C50574">
        <w:rPr>
          <w:rFonts w:asciiTheme="minorHAnsi" w:hAnsiTheme="minorHAnsi" w:cs="Arial"/>
          <w:sz w:val="22"/>
          <w:szCs w:val="22"/>
          <w:lang w:val="en-US"/>
        </w:rPr>
        <w:t>W</w:t>
      </w:r>
      <w:r w:rsidR="00C92CB8" w:rsidRPr="00C50574">
        <w:rPr>
          <w:rFonts w:asciiTheme="minorHAnsi" w:hAnsiTheme="minorHAnsi" w:cs="Arial"/>
          <w:sz w:val="22"/>
          <w:szCs w:val="22"/>
          <w:lang w:val="en-US"/>
        </w:rPr>
        <w:t>e used 2022 yearly labor market statistics to</w:t>
      </w:r>
      <w:r w:rsidR="00AD1AFC" w:rsidRPr="00C50574">
        <w:rPr>
          <w:rFonts w:asciiTheme="minorHAnsi" w:hAnsiTheme="minorHAnsi" w:cs="Arial"/>
          <w:sz w:val="22"/>
          <w:szCs w:val="22"/>
          <w:lang w:val="en-US"/>
        </w:rPr>
        <w:t xml:space="preserve"> give a brief information about the </w:t>
      </w:r>
      <w:r w:rsidR="00337F2C" w:rsidRPr="00C50574">
        <w:rPr>
          <w:rFonts w:asciiTheme="minorHAnsi" w:hAnsiTheme="minorHAnsi" w:cs="Arial"/>
          <w:sz w:val="22"/>
          <w:szCs w:val="22"/>
          <w:lang w:val="en-US"/>
        </w:rPr>
        <w:t>level of</w:t>
      </w:r>
      <w:r w:rsidR="00C92CB8" w:rsidRPr="00C5057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37F2C" w:rsidRPr="00C50574">
        <w:rPr>
          <w:rFonts w:asciiTheme="minorHAnsi" w:hAnsiTheme="minorHAnsi" w:cs="Arial"/>
          <w:sz w:val="22"/>
          <w:szCs w:val="22"/>
          <w:lang w:val="en-US"/>
        </w:rPr>
        <w:t xml:space="preserve">labor force </w:t>
      </w:r>
      <w:r w:rsidR="002D7159" w:rsidRPr="00C50574">
        <w:rPr>
          <w:rFonts w:asciiTheme="minorHAnsi" w:hAnsiTheme="minorHAnsi" w:cs="Arial"/>
          <w:sz w:val="22"/>
          <w:szCs w:val="22"/>
          <w:lang w:val="en-US"/>
        </w:rPr>
        <w:t xml:space="preserve">in those provinces </w:t>
      </w:r>
      <w:r w:rsidR="00337F2C" w:rsidRPr="00C50574">
        <w:rPr>
          <w:rFonts w:asciiTheme="minorHAnsi" w:hAnsiTheme="minorHAnsi" w:cs="Arial"/>
          <w:sz w:val="22"/>
          <w:szCs w:val="22"/>
          <w:lang w:val="en-US"/>
        </w:rPr>
        <w:t xml:space="preserve">and </w:t>
      </w:r>
      <w:r w:rsidR="002D7159" w:rsidRPr="00C50574">
        <w:rPr>
          <w:rFonts w:asciiTheme="minorHAnsi" w:hAnsiTheme="minorHAnsi" w:cs="Arial"/>
          <w:sz w:val="22"/>
          <w:szCs w:val="22"/>
          <w:lang w:val="en-US"/>
        </w:rPr>
        <w:t xml:space="preserve">estimate the size of shock in terms of the labor market. </w:t>
      </w:r>
    </w:p>
    <w:p w14:paraId="59FA0DCC" w14:textId="36A12DCB" w:rsidR="00573DFA" w:rsidRPr="00C50574" w:rsidRDefault="00A757D4" w:rsidP="008E3787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16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C50574">
        <w:rPr>
          <w:rFonts w:asciiTheme="minorHAnsi" w:hAnsiTheme="minorHAnsi" w:cs="Arial"/>
          <w:sz w:val="22"/>
          <w:szCs w:val="22"/>
          <w:lang w:val="en-US"/>
        </w:rPr>
        <w:t>The table below features the labor force levels by the NUTS-II regions</w:t>
      </w:r>
      <w:r w:rsidR="004E779A" w:rsidRPr="00C50574">
        <w:rPr>
          <w:rFonts w:asciiTheme="minorHAnsi" w:hAnsiTheme="minorHAnsi" w:cs="Arial"/>
          <w:sz w:val="22"/>
          <w:szCs w:val="22"/>
          <w:lang w:val="en-US"/>
        </w:rPr>
        <w:t>, which aggregates Gaziantep, Adıyaman</w:t>
      </w:r>
      <w:r w:rsidRPr="00C5057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E779A" w:rsidRPr="00C50574">
        <w:rPr>
          <w:rFonts w:asciiTheme="minorHAnsi" w:hAnsiTheme="minorHAnsi" w:cs="Arial"/>
          <w:sz w:val="22"/>
          <w:szCs w:val="22"/>
          <w:lang w:val="en-US"/>
        </w:rPr>
        <w:t>and Kilis in a region</w:t>
      </w:r>
      <w:r w:rsidR="00131DF5" w:rsidRPr="00C50574">
        <w:rPr>
          <w:rFonts w:asciiTheme="minorHAnsi" w:hAnsiTheme="minorHAnsi" w:cs="Arial"/>
          <w:sz w:val="22"/>
          <w:szCs w:val="22"/>
          <w:lang w:val="en-US"/>
        </w:rPr>
        <w:t xml:space="preserve"> (TRC1)</w:t>
      </w:r>
      <w:r w:rsidR="004E779A" w:rsidRPr="00C50574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131DF5" w:rsidRPr="00C50574">
        <w:rPr>
          <w:rFonts w:asciiTheme="minorHAnsi" w:hAnsiTheme="minorHAnsi" w:cs="Arial"/>
          <w:sz w:val="22"/>
          <w:szCs w:val="22"/>
          <w:lang w:val="en-US"/>
        </w:rPr>
        <w:t xml:space="preserve">and also aggregates Hatay, Kahramanmaraş and Osmaniye in another region (TR63). </w:t>
      </w:r>
      <w:r w:rsidR="0093360F" w:rsidRPr="00C50574">
        <w:rPr>
          <w:rFonts w:asciiTheme="minorHAnsi" w:hAnsiTheme="minorHAnsi" w:cs="Arial"/>
          <w:sz w:val="22"/>
          <w:szCs w:val="22"/>
          <w:lang w:val="en-US"/>
        </w:rPr>
        <w:t xml:space="preserve">As for Malatya, we assumed that </w:t>
      </w:r>
      <w:r w:rsidR="003F4182" w:rsidRPr="00C50574">
        <w:rPr>
          <w:rFonts w:asciiTheme="minorHAnsi" w:hAnsiTheme="minorHAnsi" w:cs="Arial"/>
          <w:sz w:val="22"/>
          <w:szCs w:val="22"/>
          <w:lang w:val="en-US"/>
        </w:rPr>
        <w:t>its</w:t>
      </w:r>
      <w:r w:rsidR="0093360F" w:rsidRPr="00C5057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E47C91" w:rsidRPr="00C50574">
        <w:rPr>
          <w:rFonts w:asciiTheme="minorHAnsi" w:hAnsiTheme="minorHAnsi" w:cs="Arial"/>
          <w:sz w:val="22"/>
          <w:szCs w:val="22"/>
          <w:lang w:val="en-US"/>
        </w:rPr>
        <w:t>share of employment and unemployment levels</w:t>
      </w:r>
      <w:r w:rsidR="009D0000" w:rsidRPr="00C50574">
        <w:rPr>
          <w:rFonts w:asciiTheme="minorHAnsi" w:hAnsiTheme="minorHAnsi" w:cs="Arial"/>
          <w:sz w:val="22"/>
          <w:szCs w:val="22"/>
          <w:lang w:val="en-US"/>
        </w:rPr>
        <w:t xml:space="preserve"> in the </w:t>
      </w:r>
      <w:r w:rsidR="003F4182" w:rsidRPr="00C50574">
        <w:rPr>
          <w:rFonts w:asciiTheme="minorHAnsi" w:hAnsiTheme="minorHAnsi" w:cs="Arial"/>
          <w:sz w:val="22"/>
          <w:szCs w:val="22"/>
          <w:lang w:val="en-US"/>
        </w:rPr>
        <w:t>TRB1 region, comprising of Malatya, Elazığ, Bingöl and Tunceli,</w:t>
      </w:r>
      <w:r w:rsidR="009D0000" w:rsidRPr="00C50574">
        <w:rPr>
          <w:rFonts w:asciiTheme="minorHAnsi" w:hAnsiTheme="minorHAnsi" w:cs="Arial"/>
          <w:sz w:val="22"/>
          <w:szCs w:val="22"/>
          <w:lang w:val="en-US"/>
        </w:rPr>
        <w:t xml:space="preserve"> is very similar to its population share in the</w:t>
      </w:r>
      <w:r w:rsidR="00685C68" w:rsidRPr="00C50574">
        <w:rPr>
          <w:rFonts w:asciiTheme="minorHAnsi" w:hAnsiTheme="minorHAnsi" w:cs="Arial"/>
          <w:sz w:val="22"/>
          <w:szCs w:val="22"/>
          <w:lang w:val="en-US"/>
        </w:rPr>
        <w:t xml:space="preserve"> TRB1 region. </w:t>
      </w:r>
    </w:p>
    <w:p w14:paraId="68F031AF" w14:textId="44E39B8B" w:rsidR="00573DFA" w:rsidRPr="00C50574" w:rsidRDefault="00573DFA" w:rsidP="00573DFA">
      <w:pPr>
        <w:pBdr>
          <w:left w:val="single" w:sz="4" w:space="4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b/>
          <w:bCs/>
          <w:lang w:val="en-US" w:eastAsia="en-US"/>
        </w:rPr>
      </w:pPr>
      <w:r w:rsidRPr="00C50574">
        <w:rPr>
          <w:rFonts w:ascii="Calibri" w:eastAsia="Calibri" w:hAnsi="Calibri"/>
          <w:b/>
          <w:bCs/>
          <w:lang w:val="en-US" w:eastAsia="en-US"/>
        </w:rPr>
        <w:t>Tabl</w:t>
      </w:r>
      <w:r w:rsidR="00536E64" w:rsidRPr="00C50574">
        <w:rPr>
          <w:rFonts w:ascii="Calibri" w:eastAsia="Calibri" w:hAnsi="Calibri"/>
          <w:b/>
          <w:bCs/>
          <w:lang w:val="en-US" w:eastAsia="en-US"/>
        </w:rPr>
        <w:t>e</w:t>
      </w:r>
      <w:r w:rsidRPr="00C50574">
        <w:rPr>
          <w:rFonts w:ascii="Calibri" w:eastAsia="Calibri" w:hAnsi="Calibri"/>
          <w:b/>
          <w:bCs/>
          <w:lang w:val="en-US" w:eastAsia="en-US"/>
        </w:rPr>
        <w:t xml:space="preserve">: </w:t>
      </w:r>
      <w:r w:rsidR="00536E64" w:rsidRPr="00C50574">
        <w:rPr>
          <w:rFonts w:ascii="Calibri" w:eastAsia="Calibri" w:hAnsi="Calibri"/>
          <w:b/>
          <w:bCs/>
          <w:lang w:val="en-US" w:eastAsia="en-US"/>
        </w:rPr>
        <w:t xml:space="preserve">The level of employment and unemployment in </w:t>
      </w:r>
      <w:r w:rsidR="00C50574" w:rsidRPr="00C50574">
        <w:rPr>
          <w:rFonts w:ascii="Calibri" w:eastAsia="Calibri" w:hAnsi="Calibri"/>
          <w:b/>
          <w:bCs/>
          <w:lang w:val="en-US" w:eastAsia="en-US"/>
        </w:rPr>
        <w:t xml:space="preserve">7 provinces </w:t>
      </w:r>
      <w:r w:rsidRPr="00C50574">
        <w:rPr>
          <w:rFonts w:ascii="Calibri" w:eastAsia="Calibri" w:hAnsi="Calibri"/>
          <w:b/>
          <w:bCs/>
          <w:lang w:val="en-US" w:eastAsia="en-US"/>
        </w:rPr>
        <w:t xml:space="preserve">(2022, </w:t>
      </w:r>
      <w:r w:rsidR="00536E64" w:rsidRPr="00C50574">
        <w:rPr>
          <w:rFonts w:ascii="Calibri" w:eastAsia="Calibri" w:hAnsi="Calibri"/>
          <w:b/>
          <w:bCs/>
          <w:lang w:val="en-US" w:eastAsia="en-US"/>
        </w:rPr>
        <w:t>thousand</w:t>
      </w:r>
      <w:r w:rsidRPr="00C50574">
        <w:rPr>
          <w:rFonts w:ascii="Calibri" w:eastAsia="Calibri" w:hAnsi="Calibri"/>
          <w:b/>
          <w:bCs/>
          <w:lang w:val="en-US" w:eastAsia="en-US"/>
        </w:rPr>
        <w:t>)</w:t>
      </w:r>
    </w:p>
    <w:tbl>
      <w:tblPr>
        <w:tblW w:w="10826" w:type="dxa"/>
        <w:tblInd w:w="-147" w:type="dxa"/>
        <w:tblLook w:val="04A0" w:firstRow="1" w:lastRow="0" w:firstColumn="1" w:lastColumn="0" w:noHBand="0" w:noVBand="1"/>
      </w:tblPr>
      <w:tblGrid>
        <w:gridCol w:w="3368"/>
        <w:gridCol w:w="1713"/>
        <w:gridCol w:w="1855"/>
        <w:gridCol w:w="1322"/>
        <w:gridCol w:w="896"/>
        <w:gridCol w:w="1672"/>
      </w:tblGrid>
      <w:tr w:rsidR="00B81A9A" w:rsidRPr="007D477D" w14:paraId="4DF30744" w14:textId="77777777" w:rsidTr="00B81A9A">
        <w:trPr>
          <w:trHeight w:val="90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9F6" w14:textId="77777777" w:rsidR="00573DFA" w:rsidRPr="007D477D" w:rsidRDefault="00573DFA" w:rsidP="00047D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47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4815" w14:textId="6093B1B0" w:rsidR="00573DFA" w:rsidRPr="007D477D" w:rsidRDefault="00B81A9A" w:rsidP="00047D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Gaziantep, Adıyaman, Kilis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ED2" w14:textId="77777777" w:rsidR="00573DFA" w:rsidRPr="007D477D" w:rsidRDefault="00573DFA" w:rsidP="00047D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4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Hatay, Kahramanmaraş, Osmaniye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42D1" w14:textId="77777777" w:rsidR="00573DFA" w:rsidRPr="007D477D" w:rsidRDefault="00573DFA" w:rsidP="00047D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4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Malatya</w:t>
            </w:r>
            <w:r w:rsidRPr="007D477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6"/>
            </w:r>
            <w:r w:rsidRPr="007D4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(TRB1*0,46)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C11" w14:textId="3B09E95B" w:rsidR="00573DFA" w:rsidRPr="007D477D" w:rsidRDefault="00573DFA" w:rsidP="00047D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4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B81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ü</w:t>
            </w:r>
            <w:r w:rsidRPr="007D4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rkiye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1B52AE3C" w14:textId="77777777" w:rsidR="00573DFA" w:rsidRPr="007D477D" w:rsidRDefault="00573DFA" w:rsidP="00047D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81A9A" w:rsidRPr="00C50574" w14:paraId="40612E50" w14:textId="77777777" w:rsidTr="00B81A9A">
        <w:trPr>
          <w:trHeight w:val="3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A2E0" w14:textId="55C55962" w:rsidR="00573DFA" w:rsidRPr="00C50574" w:rsidRDefault="003F4182" w:rsidP="00047D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Employed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7026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368D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8369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11DD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30752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6F0008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81A9A" w:rsidRPr="00C50574" w14:paraId="6D649EFE" w14:textId="77777777" w:rsidTr="00B81A9A">
        <w:trPr>
          <w:trHeight w:val="3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31E" w14:textId="57FB19E2" w:rsidR="00573DFA" w:rsidRPr="00C50574" w:rsidRDefault="003F4182" w:rsidP="00047D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Unemployed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E0DB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0E3F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54D0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85CF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3582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800C4D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81A9A" w:rsidRPr="00C50574" w14:paraId="35933D3A" w14:textId="77777777" w:rsidTr="00B81A9A">
        <w:trPr>
          <w:trHeight w:val="3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58E1" w14:textId="3CDAEBF2" w:rsidR="00573DFA" w:rsidRPr="00C50574" w:rsidRDefault="003F4182" w:rsidP="00047D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Employment share of T</w:t>
            </w:r>
            <w:r w:rsid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ü</w:t>
            </w:r>
            <w:r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rkiye</w:t>
            </w:r>
            <w:r w:rsidR="00573DFA"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(%)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8B14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41D9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1BE5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CF8B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11FFE9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81A9A" w:rsidRPr="00C50574" w14:paraId="7E0ECD50" w14:textId="77777777" w:rsidTr="00B81A9A">
        <w:trPr>
          <w:trHeight w:val="3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AA8" w14:textId="02912B36" w:rsidR="00573DFA" w:rsidRPr="00C50574" w:rsidRDefault="003F4182" w:rsidP="00047D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Unemployed</w:t>
            </w:r>
            <w:r w:rsidR="00B81A9A"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share of T</w:t>
            </w:r>
            <w:r w:rsid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ü</w:t>
            </w:r>
            <w:r w:rsidR="00B81A9A"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rkiye</w:t>
            </w:r>
            <w:r w:rsidR="00573DFA"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(%)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0EE6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6EBC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12B0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D575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4DDC72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8E77658" w14:textId="0B004AF0" w:rsidR="00573DFA" w:rsidRPr="00C50574" w:rsidRDefault="00B81A9A" w:rsidP="00573DFA">
      <w:pPr>
        <w:pBdr>
          <w:left w:val="single" w:sz="4" w:space="4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C50574">
        <w:rPr>
          <w:rFonts w:ascii="Calibri" w:eastAsia="Calibri" w:hAnsi="Calibri"/>
          <w:sz w:val="22"/>
          <w:szCs w:val="22"/>
          <w:lang w:val="en-US" w:eastAsia="en-US"/>
        </w:rPr>
        <w:t>Source</w:t>
      </w:r>
      <w:r w:rsidR="00573DFA" w:rsidRPr="00C50574">
        <w:rPr>
          <w:rFonts w:ascii="Calibri" w:eastAsia="Calibri" w:hAnsi="Calibri"/>
          <w:sz w:val="22"/>
          <w:szCs w:val="22"/>
          <w:lang w:val="en-US" w:eastAsia="en-US"/>
        </w:rPr>
        <w:t>: T</w:t>
      </w:r>
      <w:r w:rsidRPr="00C50574">
        <w:rPr>
          <w:rFonts w:ascii="Calibri" w:eastAsia="Calibri" w:hAnsi="Calibri"/>
          <w:sz w:val="22"/>
          <w:szCs w:val="22"/>
          <w:lang w:val="en-US" w:eastAsia="en-US"/>
        </w:rPr>
        <w:t>urkstat</w:t>
      </w:r>
    </w:p>
    <w:p w14:paraId="02B3C040" w14:textId="4E3E2181" w:rsidR="00573DFA" w:rsidRPr="007E703D" w:rsidRDefault="00001FBF" w:rsidP="00573DFA">
      <w:pPr>
        <w:pBdr>
          <w:left w:val="single" w:sz="4" w:space="4" w:color="auto"/>
          <w:right w:val="single" w:sz="4" w:space="4" w:color="auto"/>
        </w:pBd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7E703D">
        <w:rPr>
          <w:rFonts w:ascii="Calibri" w:eastAsia="Calibri" w:hAnsi="Calibri"/>
          <w:sz w:val="22"/>
          <w:szCs w:val="22"/>
          <w:lang w:val="en-US" w:eastAsia="en-US"/>
        </w:rPr>
        <w:t>Undoubtedly, the employment levels in those provinces at the time of the earthquake</w:t>
      </w:r>
      <w:r w:rsidR="004F12D2" w:rsidRPr="007E703D">
        <w:rPr>
          <w:rFonts w:ascii="Calibri" w:eastAsia="Calibri" w:hAnsi="Calibri"/>
          <w:sz w:val="22"/>
          <w:szCs w:val="22"/>
          <w:lang w:val="en-US" w:eastAsia="en-US"/>
        </w:rPr>
        <w:t xml:space="preserve"> would be higher than the </w:t>
      </w:r>
      <w:r w:rsidR="007E703D">
        <w:rPr>
          <w:rFonts w:ascii="Calibri" w:eastAsia="Calibri" w:hAnsi="Calibri"/>
          <w:sz w:val="22"/>
          <w:szCs w:val="22"/>
          <w:lang w:val="en-US" w:eastAsia="en-US"/>
        </w:rPr>
        <w:t>sum</w:t>
      </w:r>
      <w:r w:rsidR="004F12D2" w:rsidRPr="007E703D">
        <w:rPr>
          <w:rFonts w:ascii="Calibri" w:eastAsia="Calibri" w:hAnsi="Calibri"/>
          <w:sz w:val="22"/>
          <w:szCs w:val="22"/>
          <w:lang w:val="en-US" w:eastAsia="en-US"/>
        </w:rPr>
        <w:t xml:space="preserve"> of the first row and first-three columns (2 million 190 thousand).</w:t>
      </w:r>
      <w:r w:rsidR="00573DFA" w:rsidRPr="007E703D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BF2433" w:rsidRPr="007E703D">
        <w:rPr>
          <w:rFonts w:ascii="Calibri" w:eastAsia="Calibri" w:hAnsi="Calibri"/>
          <w:sz w:val="22"/>
          <w:szCs w:val="22"/>
          <w:lang w:val="en-US" w:eastAsia="en-US"/>
        </w:rPr>
        <w:t xml:space="preserve">Assuming that the share of employed people </w:t>
      </w:r>
      <w:r w:rsidR="00C465DF" w:rsidRPr="007E703D">
        <w:rPr>
          <w:rFonts w:ascii="Calibri" w:eastAsia="Calibri" w:hAnsi="Calibri"/>
          <w:sz w:val="22"/>
          <w:szCs w:val="22"/>
          <w:lang w:val="en-US" w:eastAsia="en-US"/>
        </w:rPr>
        <w:t>remains almost unchanged from 2022 to the time of the earthquake, it can be said that the level of employment before the earthquake was 7 percent</w:t>
      </w:r>
      <w:r w:rsidR="007E703D" w:rsidRPr="007E703D">
        <w:rPr>
          <w:rFonts w:ascii="Calibri" w:eastAsia="Calibri" w:hAnsi="Calibri"/>
          <w:sz w:val="22"/>
          <w:szCs w:val="22"/>
          <w:lang w:val="en-US" w:eastAsia="en-US"/>
        </w:rPr>
        <w:t xml:space="preserve"> of the employment level in Türkiye.</w:t>
      </w:r>
      <w:r w:rsidR="00C465DF" w:rsidRPr="007E703D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</w:p>
    <w:p w14:paraId="44E30628" w14:textId="28C838CF" w:rsidR="00573DFA" w:rsidRPr="00F24C44" w:rsidRDefault="005B3586" w:rsidP="00573DFA">
      <w:pPr>
        <w:pBdr>
          <w:left w:val="single" w:sz="4" w:space="4" w:color="auto"/>
          <w:right w:val="single" w:sz="4" w:space="4" w:color="auto"/>
        </w:pBd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The </w:t>
      </w:r>
      <w:r w:rsidR="00E70B28"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disastrous </w:t>
      </w:r>
      <w:r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effects of the earthquake </w:t>
      </w:r>
      <w:r w:rsidR="001356DD" w:rsidRPr="00F24C44">
        <w:rPr>
          <w:rFonts w:ascii="Calibri" w:eastAsia="Calibri" w:hAnsi="Calibri"/>
          <w:sz w:val="22"/>
          <w:szCs w:val="22"/>
          <w:lang w:val="en-US" w:eastAsia="en-US"/>
        </w:rPr>
        <w:t>were</w:t>
      </w:r>
      <w:r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 n</w:t>
      </w:r>
      <w:r w:rsidR="00F24C44">
        <w:rPr>
          <w:rFonts w:ascii="Calibri" w:eastAsia="Calibri" w:hAnsi="Calibri"/>
          <w:sz w:val="22"/>
          <w:szCs w:val="22"/>
          <w:lang w:val="en-US" w:eastAsia="en-US"/>
        </w:rPr>
        <w:t xml:space="preserve">ot </w:t>
      </w:r>
      <w:r w:rsidR="00E70B28" w:rsidRPr="00F24C44">
        <w:rPr>
          <w:rFonts w:ascii="Calibri" w:eastAsia="Calibri" w:hAnsi="Calibri"/>
          <w:sz w:val="22"/>
          <w:szCs w:val="22"/>
          <w:lang w:val="en-US" w:eastAsia="en-US"/>
        </w:rPr>
        <w:t>distributed</w:t>
      </w:r>
      <w:r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 uniformly in those 7 provinces</w:t>
      </w:r>
      <w:r w:rsidR="00E70B28" w:rsidRPr="00F24C44">
        <w:rPr>
          <w:rFonts w:ascii="Calibri" w:eastAsia="Calibri" w:hAnsi="Calibri"/>
          <w:sz w:val="22"/>
          <w:szCs w:val="22"/>
          <w:lang w:val="en-US" w:eastAsia="en-US"/>
        </w:rPr>
        <w:t>, namely that the effects were much more severe in Hatay and Kahramanmaraş</w:t>
      </w:r>
      <w:r w:rsidR="00020221"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. Assuming that the half of the employment in 7 </w:t>
      </w:r>
      <w:r w:rsidR="00EA466A" w:rsidRPr="00F24C44">
        <w:rPr>
          <w:rFonts w:ascii="Calibri" w:eastAsia="Calibri" w:hAnsi="Calibri"/>
          <w:sz w:val="22"/>
          <w:szCs w:val="22"/>
          <w:lang w:val="en-US" w:eastAsia="en-US"/>
        </w:rPr>
        <w:t>provinces</w:t>
      </w:r>
      <w:r w:rsidR="00020221"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 were </w:t>
      </w:r>
      <w:r w:rsidR="00D60B1F" w:rsidRPr="00F24C44">
        <w:rPr>
          <w:rFonts w:ascii="Calibri" w:eastAsia="Calibri" w:hAnsi="Calibri"/>
          <w:sz w:val="22"/>
          <w:szCs w:val="22"/>
          <w:lang w:val="en-US" w:eastAsia="en-US"/>
        </w:rPr>
        <w:t>lost due to the earthquake, the decrease in the number of employed people is calculated as 1</w:t>
      </w:r>
      <w:r w:rsidR="00F24C44" w:rsidRPr="00F24C44">
        <w:rPr>
          <w:rFonts w:ascii="Calibri" w:eastAsia="Calibri" w:hAnsi="Calibri"/>
          <w:sz w:val="22"/>
          <w:szCs w:val="22"/>
          <w:lang w:val="en-US" w:eastAsia="en-US"/>
        </w:rPr>
        <w:t>.1 million, equaling the 3.6 percent of total employment in Türkiye.</w:t>
      </w:r>
    </w:p>
    <w:p w14:paraId="546FFB22" w14:textId="1ED2A01E" w:rsidR="00573DFA" w:rsidRPr="003B422F" w:rsidRDefault="005913AA" w:rsidP="00573DF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We calculate that the number of unemployed people comprises 8.5 percent of the number of unemployed people in Türkiye. </w:t>
      </w:r>
      <w:r w:rsidR="00CF464E" w:rsidRPr="003B422F">
        <w:rPr>
          <w:rFonts w:ascii="Calibri" w:eastAsia="Calibri" w:hAnsi="Calibri"/>
          <w:sz w:val="22"/>
          <w:szCs w:val="22"/>
          <w:lang w:val="en-US" w:eastAsia="en-US"/>
        </w:rPr>
        <w:t>Due to the forced migration</w:t>
      </w:r>
      <w:r w:rsidR="00540757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 resulting from the earthquake, </w:t>
      </w:r>
      <w:r w:rsidR="009865B6" w:rsidRPr="003B422F">
        <w:rPr>
          <w:rFonts w:ascii="Calibri" w:eastAsia="Calibri" w:hAnsi="Calibri"/>
          <w:sz w:val="22"/>
          <w:szCs w:val="22"/>
          <w:lang w:val="en-US" w:eastAsia="en-US"/>
        </w:rPr>
        <w:t>it is difficult to estimate how much of the remaining residents in the provinces</w:t>
      </w:r>
      <w:r w:rsidR="001B6699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 are seeking for work. </w:t>
      </w:r>
      <w:r w:rsidR="008206C4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It is </w:t>
      </w:r>
      <w:r w:rsidR="001356DD">
        <w:rPr>
          <w:rFonts w:ascii="Calibri" w:eastAsia="Calibri" w:hAnsi="Calibri"/>
          <w:sz w:val="22"/>
          <w:szCs w:val="22"/>
          <w:lang w:val="en-US" w:eastAsia="en-US"/>
        </w:rPr>
        <w:t>not probable</w:t>
      </w:r>
      <w:r w:rsidR="008206C4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 that the forced migrants started looking for work in the regions </w:t>
      </w:r>
      <w:r w:rsidR="00F35FF8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that they </w:t>
      </w:r>
      <w:r w:rsidR="001356DD" w:rsidRPr="003B422F">
        <w:rPr>
          <w:rFonts w:ascii="Calibri" w:eastAsia="Calibri" w:hAnsi="Calibri"/>
          <w:sz w:val="22"/>
          <w:szCs w:val="22"/>
          <w:lang w:val="en-US" w:eastAsia="en-US"/>
        </w:rPr>
        <w:t>fled</w:t>
      </w:r>
      <w:r w:rsidR="00F35FF8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. </w:t>
      </w:r>
      <w:r w:rsidR="00F71B20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Therefore, it </w:t>
      </w:r>
      <w:r w:rsidR="00C80D21" w:rsidRPr="003B422F">
        <w:rPr>
          <w:rFonts w:ascii="Calibri" w:eastAsia="Calibri" w:hAnsi="Calibri"/>
          <w:sz w:val="22"/>
          <w:szCs w:val="22"/>
          <w:lang w:val="en-US" w:eastAsia="en-US"/>
        </w:rPr>
        <w:t>would be</w:t>
      </w:r>
      <w:r w:rsidR="00F71B20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 quite difficult to estimate the </w:t>
      </w:r>
      <w:r w:rsidR="00E52839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actual </w:t>
      </w:r>
      <w:r w:rsidR="00F71B20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unemployment rate </w:t>
      </w:r>
      <w:r w:rsidR="00C80D21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were Turkstat able to implement surveys in </w:t>
      </w:r>
      <w:r w:rsidR="00E52839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7 provinces. </w:t>
      </w:r>
      <w:r w:rsidR="003B422F" w:rsidRPr="003B422F">
        <w:rPr>
          <w:rFonts w:ascii="Calibri" w:eastAsia="Calibri" w:hAnsi="Calibri"/>
          <w:sz w:val="22"/>
          <w:szCs w:val="22"/>
          <w:lang w:val="en-US" w:eastAsia="en-US"/>
        </w:rPr>
        <w:t>It would be reasonable to think that the forced migrants have transitioned from labor force to the potential labor force due to them being displaced.</w:t>
      </w:r>
      <w:r w:rsidR="00573DFA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  </w:t>
      </w:r>
    </w:p>
    <w:p w14:paraId="67022695" w14:textId="77777777" w:rsidR="00573DFA" w:rsidRPr="00C460DB" w:rsidRDefault="00573DFA" w:rsidP="00573DFA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4DA696A5" w14:textId="77777777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sectPr w:rsidR="00321CA0" w:rsidRPr="002B102D" w:rsidSect="006B7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9B2D" w14:textId="77777777" w:rsidR="00874D39" w:rsidRDefault="00874D39">
      <w:r>
        <w:separator/>
      </w:r>
    </w:p>
  </w:endnote>
  <w:endnote w:type="continuationSeparator" w:id="0">
    <w:p w14:paraId="2FD42D2B" w14:textId="77777777" w:rsidR="00874D39" w:rsidRDefault="0087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Yu Gothic"/>
    <w:panose1 w:val="020B0604020202020204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3F64" w14:textId="77777777" w:rsidR="00F63792" w:rsidRDefault="00F637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850" w14:textId="01141ADE" w:rsidR="009F0904" w:rsidRDefault="009F0904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104C0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69511C34" w14:textId="77777777" w:rsidR="009F0904" w:rsidRDefault="009F0904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CCF" w14:textId="77777777" w:rsidR="00F63792" w:rsidRDefault="00F637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8C3F" w14:textId="77777777" w:rsidR="00874D39" w:rsidRDefault="00874D39">
      <w:r>
        <w:separator/>
      </w:r>
    </w:p>
  </w:footnote>
  <w:footnote w:type="continuationSeparator" w:id="0">
    <w:p w14:paraId="7A674D94" w14:textId="77777777" w:rsidR="00874D39" w:rsidRDefault="00874D39">
      <w:r>
        <w:continuationSeparator/>
      </w:r>
    </w:p>
  </w:footnote>
  <w:footnote w:id="1">
    <w:p w14:paraId="2A57D25B" w14:textId="06A8A3C0" w:rsidR="009F0904" w:rsidRPr="002379FE" w:rsidRDefault="009F0904">
      <w:pPr>
        <w:pStyle w:val="DipnotMetni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t>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Prof. Dr. Seyfettin Gürsel, Betam, Director, </w:t>
      </w:r>
      <w:hyperlink r:id="rId1" w:history="1">
        <w:r w:rsidRPr="002379FE">
          <w:rPr>
            <w:rStyle w:val="Kpr"/>
            <w:rFonts w:ascii="Arial" w:hAnsi="Arial" w:cs="Arial"/>
            <w:sz w:val="16"/>
            <w:szCs w:val="16"/>
            <w:lang w:val="en-US"/>
          </w:rPr>
          <w:t>seyfettin.gursel@eas.bau.edu.tr</w:t>
        </w:r>
      </w:hyperlink>
    </w:p>
  </w:footnote>
  <w:footnote w:id="2">
    <w:p w14:paraId="062DB85E" w14:textId="04522EE0" w:rsidR="009F0904" w:rsidRPr="002379FE" w:rsidRDefault="009F0904">
      <w:pPr>
        <w:pStyle w:val="DipnotMetni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t>**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Hamza Mutluay, Betam, Research Assistant, </w:t>
      </w:r>
      <w:hyperlink r:id="rId2" w:history="1">
        <w:r w:rsidRPr="002379FE">
          <w:rPr>
            <w:rStyle w:val="Kpr"/>
            <w:rFonts w:ascii="Arial" w:hAnsi="Arial" w:cs="Arial"/>
            <w:sz w:val="16"/>
            <w:szCs w:val="16"/>
            <w:lang w:val="en-US"/>
          </w:rPr>
          <w:t>hamza.mutluay@eas.bau.edu.tr</w:t>
        </w:r>
      </w:hyperlink>
    </w:p>
  </w:footnote>
  <w:footnote w:id="3">
    <w:p w14:paraId="23069051" w14:textId="5148F5F5" w:rsidR="009F0904" w:rsidRPr="002379FE" w:rsidRDefault="009F0904">
      <w:pPr>
        <w:pStyle w:val="DipnotMetni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t>***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Mehmet Cem Şahin, Betam, Research Assistant, </w:t>
      </w:r>
      <w:hyperlink r:id="rId3" w:history="1">
        <w:r w:rsidRPr="002379FE">
          <w:rPr>
            <w:rStyle w:val="Kpr"/>
            <w:rFonts w:ascii="Arial" w:hAnsi="Arial" w:cs="Arial"/>
            <w:sz w:val="16"/>
            <w:szCs w:val="16"/>
            <w:lang w:val="en-US"/>
          </w:rPr>
          <w:t>mehmetcem.sahin@eas.bau.edu.tr</w:t>
        </w:r>
      </w:hyperlink>
    </w:p>
  </w:footnote>
  <w:footnote w:id="4">
    <w:p w14:paraId="025CE470" w14:textId="77777777" w:rsidR="009F0904" w:rsidRPr="002379FE" w:rsidRDefault="009F0904" w:rsidP="00321CA0">
      <w:pPr>
        <w:pStyle w:val="DipnotMetni"/>
        <w:rPr>
          <w:rFonts w:asciiTheme="minorHAnsi" w:hAnsiTheme="minorHAnsi" w:cs="Arial"/>
          <w:sz w:val="16"/>
          <w:szCs w:val="16"/>
          <w:lang w:val="en-US"/>
        </w:rPr>
      </w:pPr>
      <w:r w:rsidRPr="002379FE">
        <w:rPr>
          <w:rStyle w:val="DipnotBavurusu"/>
          <w:rFonts w:asciiTheme="minorHAnsi" w:hAnsiTheme="minorHAnsi" w:cs="Arial"/>
          <w:sz w:val="16"/>
          <w:szCs w:val="16"/>
          <w:lang w:val="en-US"/>
        </w:rPr>
        <w:footnoteRef/>
      </w:r>
      <w:r w:rsidRPr="002379FE">
        <w:rPr>
          <w:rFonts w:asciiTheme="minorHAnsi" w:hAnsiTheme="minorHAnsi" w:cs="Arial"/>
          <w:sz w:val="16"/>
          <w:szCs w:val="16"/>
          <w:lang w:val="en-US"/>
        </w:rPr>
        <w:t xml:space="preserve"> Detailed information is available in the </w:t>
      </w:r>
      <w:r w:rsidRPr="002379FE">
        <w:rPr>
          <w:rFonts w:asciiTheme="minorHAnsi" w:hAnsiTheme="minorHAnsi" w:cs="Arial"/>
          <w:b/>
          <w:bCs/>
          <w:i/>
          <w:iCs/>
          <w:sz w:val="16"/>
          <w:szCs w:val="16"/>
          <w:lang w:val="en-US"/>
        </w:rPr>
        <w:t xml:space="preserve">Metadata </w:t>
      </w:r>
      <w:r w:rsidRPr="002379FE">
        <w:rPr>
          <w:rFonts w:asciiTheme="minorHAnsi" w:hAnsiTheme="minorHAnsi" w:cs="Arial"/>
          <w:sz w:val="16"/>
          <w:szCs w:val="16"/>
          <w:lang w:val="en-US"/>
        </w:rPr>
        <w:t xml:space="preserve">section of the link : </w:t>
      </w:r>
      <w:hyperlink r:id="rId4" w:history="1">
        <w:r w:rsidRPr="002379FE">
          <w:rPr>
            <w:rStyle w:val="Kpr"/>
            <w:rFonts w:asciiTheme="minorHAnsi" w:hAnsiTheme="minorHAnsi" w:cs="Arial"/>
            <w:sz w:val="16"/>
            <w:szCs w:val="16"/>
            <w:lang w:val="en-US"/>
          </w:rPr>
          <w:t>https://data.tuik.gov.tr/Kategori/GetKategori?p=istihdam-issizlik-ve-ucret-108&amp;dil=1</w:t>
        </w:r>
      </w:hyperlink>
    </w:p>
  </w:footnote>
  <w:footnote w:id="5">
    <w:p w14:paraId="0437DC5E" w14:textId="51D5FB34" w:rsidR="007C74BF" w:rsidRPr="002379FE" w:rsidRDefault="007C74BF" w:rsidP="007C74BF">
      <w:pPr>
        <w:pStyle w:val="DipnotMetni"/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footnoteRef/>
      </w:r>
      <w:r w:rsidRPr="002379FE">
        <w:rPr>
          <w:rFonts w:ascii="Arial" w:hAnsi="Arial" w:cs="Arial"/>
          <w:sz w:val="16"/>
          <w:szCs w:val="16"/>
          <w:lang w:val="en-US"/>
        </w:rPr>
        <w:t xml:space="preserve"> </w:t>
      </w:r>
      <w:r w:rsidR="00D82C21" w:rsidRPr="002379FE">
        <w:rPr>
          <w:rFonts w:ascii="Arial" w:hAnsi="Arial" w:cs="Arial"/>
          <w:sz w:val="16"/>
          <w:szCs w:val="16"/>
          <w:lang w:val="en-US"/>
        </w:rPr>
        <w:t xml:space="preserve">For </w:t>
      </w:r>
      <w:r w:rsidR="001E15E8" w:rsidRPr="002379FE">
        <w:rPr>
          <w:rFonts w:ascii="Arial" w:hAnsi="Arial" w:cs="Arial"/>
          <w:sz w:val="16"/>
          <w:szCs w:val="16"/>
          <w:lang w:val="en-US"/>
        </w:rPr>
        <w:t xml:space="preserve">greater detail, see the </w:t>
      </w:r>
      <w:r w:rsidR="00D71AF0" w:rsidRPr="002379FE">
        <w:rPr>
          <w:rFonts w:ascii="Arial" w:hAnsi="Arial" w:cs="Arial"/>
          <w:sz w:val="16"/>
          <w:szCs w:val="16"/>
          <w:lang w:val="en-US"/>
        </w:rPr>
        <w:t>Turkstat page (</w:t>
      </w:r>
      <w:hyperlink r:id="rId5" w:history="1">
        <w:r w:rsidR="00D71AF0" w:rsidRPr="002379FE">
          <w:rPr>
            <w:rStyle w:val="Kpr"/>
            <w:rFonts w:ascii="Arial" w:hAnsi="Arial" w:cs="Arial"/>
            <w:sz w:val="16"/>
            <w:szCs w:val="16"/>
            <w:lang w:val="en-US"/>
          </w:rPr>
          <w:t>Source</w:t>
        </w:r>
      </w:hyperlink>
      <w:r w:rsidR="00D71AF0" w:rsidRPr="002379FE">
        <w:rPr>
          <w:rFonts w:ascii="Arial" w:hAnsi="Arial" w:cs="Arial"/>
          <w:sz w:val="16"/>
          <w:szCs w:val="16"/>
          <w:lang w:val="en-US"/>
        </w:rPr>
        <w:t xml:space="preserve">) </w:t>
      </w:r>
    </w:p>
  </w:footnote>
  <w:footnote w:id="6">
    <w:p w14:paraId="055E917A" w14:textId="198667B0" w:rsidR="00573DFA" w:rsidRPr="002379FE" w:rsidRDefault="00573DFA" w:rsidP="00573DFA">
      <w:pPr>
        <w:pStyle w:val="DipnotMetni"/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footnoteRef/>
      </w:r>
      <w:r w:rsidRPr="002379FE">
        <w:rPr>
          <w:rFonts w:ascii="Arial" w:hAnsi="Arial" w:cs="Arial"/>
          <w:sz w:val="16"/>
          <w:szCs w:val="16"/>
          <w:lang w:val="en-US"/>
        </w:rPr>
        <w:t xml:space="preserve"> </w:t>
      </w:r>
      <w:r w:rsidR="002379FE" w:rsidRPr="002379FE">
        <w:rPr>
          <w:rFonts w:ascii="Arial" w:hAnsi="Arial" w:cs="Arial"/>
          <w:sz w:val="16"/>
          <w:szCs w:val="16"/>
          <w:lang w:val="en-US"/>
        </w:rPr>
        <w:t>The population share of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Malatya</w:t>
      </w:r>
      <w:r w:rsidR="002379FE" w:rsidRPr="002379FE">
        <w:rPr>
          <w:rFonts w:ascii="Arial" w:hAnsi="Arial" w:cs="Arial"/>
          <w:sz w:val="16"/>
          <w:szCs w:val="16"/>
          <w:lang w:val="en-US"/>
        </w:rPr>
        <w:t xml:space="preserve"> in TRB1 region is </w:t>
      </w:r>
      <w:r w:rsidRPr="002379FE">
        <w:rPr>
          <w:rFonts w:ascii="Arial" w:hAnsi="Arial" w:cs="Arial"/>
          <w:sz w:val="16"/>
          <w:szCs w:val="16"/>
          <w:lang w:val="en-US"/>
        </w:rPr>
        <w:t>46</w:t>
      </w:r>
      <w:r w:rsidR="002379FE" w:rsidRPr="002379FE">
        <w:rPr>
          <w:rFonts w:ascii="Arial" w:hAnsi="Arial" w:cs="Arial"/>
          <w:sz w:val="16"/>
          <w:szCs w:val="16"/>
          <w:lang w:val="en-US"/>
        </w:rPr>
        <w:t>.0%.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B910" w14:textId="77777777" w:rsidR="00F63792" w:rsidRDefault="00F637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A21A" w14:textId="77777777" w:rsidR="00F63792" w:rsidRDefault="00F6379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FE57" w14:textId="77777777" w:rsidR="00F63792" w:rsidRDefault="00F637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351686976">
    <w:abstractNumId w:val="0"/>
  </w:num>
  <w:num w:numId="2" w16cid:durableId="2049138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025"/>
    <w:rsid w:val="000011D2"/>
    <w:rsid w:val="000011D8"/>
    <w:rsid w:val="000016F1"/>
    <w:rsid w:val="00001FBF"/>
    <w:rsid w:val="00002384"/>
    <w:rsid w:val="0000377B"/>
    <w:rsid w:val="00003A5F"/>
    <w:rsid w:val="00003E9D"/>
    <w:rsid w:val="00004400"/>
    <w:rsid w:val="0000483E"/>
    <w:rsid w:val="00004864"/>
    <w:rsid w:val="00005881"/>
    <w:rsid w:val="000058A8"/>
    <w:rsid w:val="0000599E"/>
    <w:rsid w:val="00005B1F"/>
    <w:rsid w:val="00005C29"/>
    <w:rsid w:val="00005C6D"/>
    <w:rsid w:val="00006183"/>
    <w:rsid w:val="000065E2"/>
    <w:rsid w:val="000067B5"/>
    <w:rsid w:val="00006A87"/>
    <w:rsid w:val="00006CD0"/>
    <w:rsid w:val="000075C2"/>
    <w:rsid w:val="0000769B"/>
    <w:rsid w:val="00007918"/>
    <w:rsid w:val="0000798E"/>
    <w:rsid w:val="00007D73"/>
    <w:rsid w:val="00007E52"/>
    <w:rsid w:val="000100BE"/>
    <w:rsid w:val="00010129"/>
    <w:rsid w:val="00010B60"/>
    <w:rsid w:val="00010C15"/>
    <w:rsid w:val="000116C3"/>
    <w:rsid w:val="00012970"/>
    <w:rsid w:val="00012D2B"/>
    <w:rsid w:val="000130AF"/>
    <w:rsid w:val="00013265"/>
    <w:rsid w:val="000132F9"/>
    <w:rsid w:val="000135D5"/>
    <w:rsid w:val="000137EB"/>
    <w:rsid w:val="00013F84"/>
    <w:rsid w:val="000141AB"/>
    <w:rsid w:val="00015933"/>
    <w:rsid w:val="00015962"/>
    <w:rsid w:val="00015ABC"/>
    <w:rsid w:val="00015B9C"/>
    <w:rsid w:val="00015BCA"/>
    <w:rsid w:val="00015BDC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21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5E1E"/>
    <w:rsid w:val="000260BB"/>
    <w:rsid w:val="0002675E"/>
    <w:rsid w:val="00026C70"/>
    <w:rsid w:val="00027270"/>
    <w:rsid w:val="00027A9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1F11"/>
    <w:rsid w:val="000321A3"/>
    <w:rsid w:val="00032FCF"/>
    <w:rsid w:val="000331FA"/>
    <w:rsid w:val="0003390C"/>
    <w:rsid w:val="0003473E"/>
    <w:rsid w:val="00034C68"/>
    <w:rsid w:val="00035879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512"/>
    <w:rsid w:val="000456BD"/>
    <w:rsid w:val="00045BEF"/>
    <w:rsid w:val="00045EBA"/>
    <w:rsid w:val="00046082"/>
    <w:rsid w:val="000465C0"/>
    <w:rsid w:val="00046702"/>
    <w:rsid w:val="0004685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1C3C"/>
    <w:rsid w:val="00052CD0"/>
    <w:rsid w:val="00052F2E"/>
    <w:rsid w:val="0005303D"/>
    <w:rsid w:val="000534E3"/>
    <w:rsid w:val="000538B9"/>
    <w:rsid w:val="000539EB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814"/>
    <w:rsid w:val="00061E0B"/>
    <w:rsid w:val="0006219F"/>
    <w:rsid w:val="000621B1"/>
    <w:rsid w:val="000622B4"/>
    <w:rsid w:val="0006238C"/>
    <w:rsid w:val="000628A2"/>
    <w:rsid w:val="000629AF"/>
    <w:rsid w:val="00062B89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260"/>
    <w:rsid w:val="00065707"/>
    <w:rsid w:val="000659FA"/>
    <w:rsid w:val="00065B4B"/>
    <w:rsid w:val="00065DF7"/>
    <w:rsid w:val="00065EBC"/>
    <w:rsid w:val="000660FC"/>
    <w:rsid w:val="00066E59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39DC"/>
    <w:rsid w:val="000743ED"/>
    <w:rsid w:val="00074551"/>
    <w:rsid w:val="00074625"/>
    <w:rsid w:val="000755FE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77E54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4F"/>
    <w:rsid w:val="00084EAF"/>
    <w:rsid w:val="00085CB9"/>
    <w:rsid w:val="000867C5"/>
    <w:rsid w:val="00086A03"/>
    <w:rsid w:val="00086CF7"/>
    <w:rsid w:val="00087212"/>
    <w:rsid w:val="00087966"/>
    <w:rsid w:val="000916DB"/>
    <w:rsid w:val="0009215A"/>
    <w:rsid w:val="00092328"/>
    <w:rsid w:val="00092D00"/>
    <w:rsid w:val="00092FEA"/>
    <w:rsid w:val="000934D0"/>
    <w:rsid w:val="00093658"/>
    <w:rsid w:val="000938A1"/>
    <w:rsid w:val="000938A8"/>
    <w:rsid w:val="000939EB"/>
    <w:rsid w:val="00093A84"/>
    <w:rsid w:val="00093DFA"/>
    <w:rsid w:val="00094453"/>
    <w:rsid w:val="00094A2F"/>
    <w:rsid w:val="00094F10"/>
    <w:rsid w:val="00095783"/>
    <w:rsid w:val="00095B3F"/>
    <w:rsid w:val="00095C64"/>
    <w:rsid w:val="00096392"/>
    <w:rsid w:val="000964F4"/>
    <w:rsid w:val="00096A9B"/>
    <w:rsid w:val="00096D98"/>
    <w:rsid w:val="00097031"/>
    <w:rsid w:val="000A03B9"/>
    <w:rsid w:val="000A083B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2FC6"/>
    <w:rsid w:val="000A34A0"/>
    <w:rsid w:val="000A3A30"/>
    <w:rsid w:val="000A3DF0"/>
    <w:rsid w:val="000A41E5"/>
    <w:rsid w:val="000A4282"/>
    <w:rsid w:val="000A43C5"/>
    <w:rsid w:val="000A5490"/>
    <w:rsid w:val="000A5E4F"/>
    <w:rsid w:val="000A63B8"/>
    <w:rsid w:val="000A66BE"/>
    <w:rsid w:val="000A6C5D"/>
    <w:rsid w:val="000A6C99"/>
    <w:rsid w:val="000A7045"/>
    <w:rsid w:val="000A73D2"/>
    <w:rsid w:val="000A745B"/>
    <w:rsid w:val="000A78A0"/>
    <w:rsid w:val="000A7924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1F25"/>
    <w:rsid w:val="000B2638"/>
    <w:rsid w:val="000B2860"/>
    <w:rsid w:val="000B380D"/>
    <w:rsid w:val="000B408A"/>
    <w:rsid w:val="000B41E6"/>
    <w:rsid w:val="000B4230"/>
    <w:rsid w:val="000B45CA"/>
    <w:rsid w:val="000B46E9"/>
    <w:rsid w:val="000B479F"/>
    <w:rsid w:val="000B4818"/>
    <w:rsid w:val="000B4A70"/>
    <w:rsid w:val="000B5594"/>
    <w:rsid w:val="000B5992"/>
    <w:rsid w:val="000B5A69"/>
    <w:rsid w:val="000B6451"/>
    <w:rsid w:val="000B6658"/>
    <w:rsid w:val="000B74CB"/>
    <w:rsid w:val="000B75CD"/>
    <w:rsid w:val="000B7B24"/>
    <w:rsid w:val="000B7BC9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F9E"/>
    <w:rsid w:val="000D1454"/>
    <w:rsid w:val="000D17F0"/>
    <w:rsid w:val="000D183D"/>
    <w:rsid w:val="000D1940"/>
    <w:rsid w:val="000D1B1F"/>
    <w:rsid w:val="000D2238"/>
    <w:rsid w:val="000D2614"/>
    <w:rsid w:val="000D2C59"/>
    <w:rsid w:val="000D2CDB"/>
    <w:rsid w:val="000D39F8"/>
    <w:rsid w:val="000D4023"/>
    <w:rsid w:val="000D4567"/>
    <w:rsid w:val="000D45CE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9A6"/>
    <w:rsid w:val="000E5A57"/>
    <w:rsid w:val="000E5CF3"/>
    <w:rsid w:val="000E5EC5"/>
    <w:rsid w:val="000E6183"/>
    <w:rsid w:val="000E619E"/>
    <w:rsid w:val="000E61E1"/>
    <w:rsid w:val="000E6ADB"/>
    <w:rsid w:val="000E6E9E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2EB"/>
    <w:rsid w:val="000F43A5"/>
    <w:rsid w:val="000F46A7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3BA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0A4A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DF5"/>
    <w:rsid w:val="00131E19"/>
    <w:rsid w:val="00131EE0"/>
    <w:rsid w:val="00132059"/>
    <w:rsid w:val="00132399"/>
    <w:rsid w:val="00132CAC"/>
    <w:rsid w:val="00133019"/>
    <w:rsid w:val="001330A0"/>
    <w:rsid w:val="00133D75"/>
    <w:rsid w:val="00133F6D"/>
    <w:rsid w:val="00134486"/>
    <w:rsid w:val="00134F84"/>
    <w:rsid w:val="0013543D"/>
    <w:rsid w:val="00135564"/>
    <w:rsid w:val="001356DD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19"/>
    <w:rsid w:val="00143E5B"/>
    <w:rsid w:val="001442C3"/>
    <w:rsid w:val="00144376"/>
    <w:rsid w:val="00144CBA"/>
    <w:rsid w:val="00144E11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3DF9"/>
    <w:rsid w:val="001541B3"/>
    <w:rsid w:val="001541EA"/>
    <w:rsid w:val="001545E7"/>
    <w:rsid w:val="001549CD"/>
    <w:rsid w:val="00154F18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08EC"/>
    <w:rsid w:val="00161C29"/>
    <w:rsid w:val="0016238A"/>
    <w:rsid w:val="00162C1D"/>
    <w:rsid w:val="001636FB"/>
    <w:rsid w:val="00163CBF"/>
    <w:rsid w:val="00163EAE"/>
    <w:rsid w:val="0016401B"/>
    <w:rsid w:val="00164611"/>
    <w:rsid w:val="00164B58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19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474"/>
    <w:rsid w:val="00176849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6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18D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280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2232"/>
    <w:rsid w:val="001B2B8F"/>
    <w:rsid w:val="001B2CC2"/>
    <w:rsid w:val="001B2F39"/>
    <w:rsid w:val="001B3ED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269"/>
    <w:rsid w:val="001B6699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0FC"/>
    <w:rsid w:val="001C6379"/>
    <w:rsid w:val="001C6540"/>
    <w:rsid w:val="001C6675"/>
    <w:rsid w:val="001C6B01"/>
    <w:rsid w:val="001C6EE0"/>
    <w:rsid w:val="001C7077"/>
    <w:rsid w:val="001C7C14"/>
    <w:rsid w:val="001D0018"/>
    <w:rsid w:val="001D07AB"/>
    <w:rsid w:val="001D0A2A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2F7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1BE"/>
    <w:rsid w:val="001D77AA"/>
    <w:rsid w:val="001D78B9"/>
    <w:rsid w:val="001D7EA6"/>
    <w:rsid w:val="001E0867"/>
    <w:rsid w:val="001E0C39"/>
    <w:rsid w:val="001E1229"/>
    <w:rsid w:val="001E15E8"/>
    <w:rsid w:val="001E1754"/>
    <w:rsid w:val="001E2127"/>
    <w:rsid w:val="001E247A"/>
    <w:rsid w:val="001E2DFD"/>
    <w:rsid w:val="001E35D0"/>
    <w:rsid w:val="001E3E44"/>
    <w:rsid w:val="001E41AF"/>
    <w:rsid w:val="001E4C91"/>
    <w:rsid w:val="001E4E3C"/>
    <w:rsid w:val="001E58BD"/>
    <w:rsid w:val="001E5C49"/>
    <w:rsid w:val="001E5EBA"/>
    <w:rsid w:val="001E5F1E"/>
    <w:rsid w:val="001E6329"/>
    <w:rsid w:val="001E6B14"/>
    <w:rsid w:val="001E6BDD"/>
    <w:rsid w:val="001E7C1F"/>
    <w:rsid w:val="001E7CB9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4F3"/>
    <w:rsid w:val="001F45F6"/>
    <w:rsid w:val="001F4861"/>
    <w:rsid w:val="001F4886"/>
    <w:rsid w:val="001F4C7D"/>
    <w:rsid w:val="001F4EB6"/>
    <w:rsid w:val="001F4EF2"/>
    <w:rsid w:val="001F5017"/>
    <w:rsid w:val="001F56FA"/>
    <w:rsid w:val="001F5EF0"/>
    <w:rsid w:val="001F6099"/>
    <w:rsid w:val="001F6146"/>
    <w:rsid w:val="001F6582"/>
    <w:rsid w:val="001F672D"/>
    <w:rsid w:val="001F6B66"/>
    <w:rsid w:val="001F74C8"/>
    <w:rsid w:val="001F78EC"/>
    <w:rsid w:val="001F7BED"/>
    <w:rsid w:val="001F7E2B"/>
    <w:rsid w:val="002009FA"/>
    <w:rsid w:val="00200A76"/>
    <w:rsid w:val="00200AC4"/>
    <w:rsid w:val="00200B66"/>
    <w:rsid w:val="00200EE1"/>
    <w:rsid w:val="00201163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B82"/>
    <w:rsid w:val="00205DFC"/>
    <w:rsid w:val="00205E88"/>
    <w:rsid w:val="0020640A"/>
    <w:rsid w:val="002065EE"/>
    <w:rsid w:val="00206C9C"/>
    <w:rsid w:val="00206DCD"/>
    <w:rsid w:val="00207019"/>
    <w:rsid w:val="00207862"/>
    <w:rsid w:val="00207CF7"/>
    <w:rsid w:val="00210393"/>
    <w:rsid w:val="00210D99"/>
    <w:rsid w:val="00211BC1"/>
    <w:rsid w:val="00212075"/>
    <w:rsid w:val="002128B5"/>
    <w:rsid w:val="00212925"/>
    <w:rsid w:val="00212969"/>
    <w:rsid w:val="00212C5F"/>
    <w:rsid w:val="00212D35"/>
    <w:rsid w:val="00212ED7"/>
    <w:rsid w:val="002134E7"/>
    <w:rsid w:val="00213DE8"/>
    <w:rsid w:val="002140DA"/>
    <w:rsid w:val="00214350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608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3E71"/>
    <w:rsid w:val="002343C3"/>
    <w:rsid w:val="002344C7"/>
    <w:rsid w:val="0023452F"/>
    <w:rsid w:val="00234955"/>
    <w:rsid w:val="00234C28"/>
    <w:rsid w:val="00234D07"/>
    <w:rsid w:val="00234DBA"/>
    <w:rsid w:val="002357C8"/>
    <w:rsid w:val="00236195"/>
    <w:rsid w:val="002365E0"/>
    <w:rsid w:val="002366C7"/>
    <w:rsid w:val="002366D9"/>
    <w:rsid w:val="0023776A"/>
    <w:rsid w:val="002379FE"/>
    <w:rsid w:val="00240642"/>
    <w:rsid w:val="00240801"/>
    <w:rsid w:val="00240966"/>
    <w:rsid w:val="00240C4F"/>
    <w:rsid w:val="0024115D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642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024"/>
    <w:rsid w:val="00250311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6FC5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95E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383"/>
    <w:rsid w:val="0026684A"/>
    <w:rsid w:val="0026685A"/>
    <w:rsid w:val="00266ACE"/>
    <w:rsid w:val="00266D29"/>
    <w:rsid w:val="0026702F"/>
    <w:rsid w:val="00267455"/>
    <w:rsid w:val="002677FC"/>
    <w:rsid w:val="00267F1C"/>
    <w:rsid w:val="00270100"/>
    <w:rsid w:val="002709A4"/>
    <w:rsid w:val="002713BB"/>
    <w:rsid w:val="0027204A"/>
    <w:rsid w:val="002720BA"/>
    <w:rsid w:val="00272779"/>
    <w:rsid w:val="00272979"/>
    <w:rsid w:val="0027312B"/>
    <w:rsid w:val="00273954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5FBE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6790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A8F"/>
    <w:rsid w:val="00295CCD"/>
    <w:rsid w:val="002963EE"/>
    <w:rsid w:val="0029660A"/>
    <w:rsid w:val="0029690B"/>
    <w:rsid w:val="00296CB5"/>
    <w:rsid w:val="002979D6"/>
    <w:rsid w:val="00297DC7"/>
    <w:rsid w:val="002A0246"/>
    <w:rsid w:val="002A026E"/>
    <w:rsid w:val="002A0303"/>
    <w:rsid w:val="002A099D"/>
    <w:rsid w:val="002A0FE0"/>
    <w:rsid w:val="002A125A"/>
    <w:rsid w:val="002A1290"/>
    <w:rsid w:val="002A13FA"/>
    <w:rsid w:val="002A1488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7C0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4C4"/>
    <w:rsid w:val="002A6697"/>
    <w:rsid w:val="002A6ABF"/>
    <w:rsid w:val="002A6F88"/>
    <w:rsid w:val="002A74DA"/>
    <w:rsid w:val="002A762A"/>
    <w:rsid w:val="002A7C09"/>
    <w:rsid w:val="002A7D5C"/>
    <w:rsid w:val="002A7E57"/>
    <w:rsid w:val="002B0304"/>
    <w:rsid w:val="002B0926"/>
    <w:rsid w:val="002B0B46"/>
    <w:rsid w:val="002B102D"/>
    <w:rsid w:val="002B16FF"/>
    <w:rsid w:val="002B1B4B"/>
    <w:rsid w:val="002B220B"/>
    <w:rsid w:val="002B25E4"/>
    <w:rsid w:val="002B2661"/>
    <w:rsid w:val="002B28C0"/>
    <w:rsid w:val="002B2A2F"/>
    <w:rsid w:val="002B2A35"/>
    <w:rsid w:val="002B2CC4"/>
    <w:rsid w:val="002B2EF7"/>
    <w:rsid w:val="002B3267"/>
    <w:rsid w:val="002B3348"/>
    <w:rsid w:val="002B3BCA"/>
    <w:rsid w:val="002B3F74"/>
    <w:rsid w:val="002B42C1"/>
    <w:rsid w:val="002B4454"/>
    <w:rsid w:val="002B446E"/>
    <w:rsid w:val="002B4C30"/>
    <w:rsid w:val="002B4F02"/>
    <w:rsid w:val="002B51AE"/>
    <w:rsid w:val="002B5240"/>
    <w:rsid w:val="002B5A9E"/>
    <w:rsid w:val="002B5EED"/>
    <w:rsid w:val="002B6496"/>
    <w:rsid w:val="002B6954"/>
    <w:rsid w:val="002B6C6D"/>
    <w:rsid w:val="002B7426"/>
    <w:rsid w:val="002B7CCF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847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1"/>
    <w:rsid w:val="002D1ACE"/>
    <w:rsid w:val="002D1AF9"/>
    <w:rsid w:val="002D1CDB"/>
    <w:rsid w:val="002D205D"/>
    <w:rsid w:val="002D26D6"/>
    <w:rsid w:val="002D27E0"/>
    <w:rsid w:val="002D29ED"/>
    <w:rsid w:val="002D2BAD"/>
    <w:rsid w:val="002D2EE8"/>
    <w:rsid w:val="002D3230"/>
    <w:rsid w:val="002D3258"/>
    <w:rsid w:val="002D3360"/>
    <w:rsid w:val="002D34BD"/>
    <w:rsid w:val="002D35D5"/>
    <w:rsid w:val="002D3F24"/>
    <w:rsid w:val="002D408C"/>
    <w:rsid w:val="002D42EB"/>
    <w:rsid w:val="002D4343"/>
    <w:rsid w:val="002D4580"/>
    <w:rsid w:val="002D4B17"/>
    <w:rsid w:val="002D4D8E"/>
    <w:rsid w:val="002D4FD9"/>
    <w:rsid w:val="002D55FE"/>
    <w:rsid w:val="002D56B8"/>
    <w:rsid w:val="002D59C6"/>
    <w:rsid w:val="002D5AEB"/>
    <w:rsid w:val="002D5B43"/>
    <w:rsid w:val="002D6505"/>
    <w:rsid w:val="002D6A89"/>
    <w:rsid w:val="002D70DC"/>
    <w:rsid w:val="002D7159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933"/>
    <w:rsid w:val="002E296C"/>
    <w:rsid w:val="002E2A70"/>
    <w:rsid w:val="002E369F"/>
    <w:rsid w:val="002E3C31"/>
    <w:rsid w:val="002E44DA"/>
    <w:rsid w:val="002E47D6"/>
    <w:rsid w:val="002E51DF"/>
    <w:rsid w:val="002E524E"/>
    <w:rsid w:val="002E5428"/>
    <w:rsid w:val="002E548A"/>
    <w:rsid w:val="002E5793"/>
    <w:rsid w:val="002E5B1D"/>
    <w:rsid w:val="002E5B24"/>
    <w:rsid w:val="002E5BAC"/>
    <w:rsid w:val="002E66FD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390"/>
    <w:rsid w:val="002F347A"/>
    <w:rsid w:val="002F38A5"/>
    <w:rsid w:val="002F3A43"/>
    <w:rsid w:val="002F4487"/>
    <w:rsid w:val="002F4601"/>
    <w:rsid w:val="002F5778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7FD"/>
    <w:rsid w:val="00317A72"/>
    <w:rsid w:val="00317F92"/>
    <w:rsid w:val="003202DD"/>
    <w:rsid w:val="00320425"/>
    <w:rsid w:val="00320D1B"/>
    <w:rsid w:val="0032119A"/>
    <w:rsid w:val="0032183A"/>
    <w:rsid w:val="003218FF"/>
    <w:rsid w:val="003219B3"/>
    <w:rsid w:val="00321CA0"/>
    <w:rsid w:val="00322E75"/>
    <w:rsid w:val="003230F3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2B3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75AA"/>
    <w:rsid w:val="00337F2C"/>
    <w:rsid w:val="00340089"/>
    <w:rsid w:val="003406D9"/>
    <w:rsid w:val="00340751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70C2"/>
    <w:rsid w:val="0034741E"/>
    <w:rsid w:val="00347740"/>
    <w:rsid w:val="00347C9B"/>
    <w:rsid w:val="00347FDA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62"/>
    <w:rsid w:val="003541F8"/>
    <w:rsid w:val="0035446C"/>
    <w:rsid w:val="00354559"/>
    <w:rsid w:val="003545AF"/>
    <w:rsid w:val="0035497A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E0E"/>
    <w:rsid w:val="00363FDB"/>
    <w:rsid w:val="00363FFB"/>
    <w:rsid w:val="00364606"/>
    <w:rsid w:val="0036478C"/>
    <w:rsid w:val="00364C1D"/>
    <w:rsid w:val="00364F38"/>
    <w:rsid w:val="00365212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396"/>
    <w:rsid w:val="00374467"/>
    <w:rsid w:val="003747F8"/>
    <w:rsid w:val="00374EC4"/>
    <w:rsid w:val="0037523E"/>
    <w:rsid w:val="00375945"/>
    <w:rsid w:val="00375A47"/>
    <w:rsid w:val="003760BD"/>
    <w:rsid w:val="0037634B"/>
    <w:rsid w:val="00376436"/>
    <w:rsid w:val="00376A91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669"/>
    <w:rsid w:val="00382C32"/>
    <w:rsid w:val="0038346F"/>
    <w:rsid w:val="0038459B"/>
    <w:rsid w:val="00384BC1"/>
    <w:rsid w:val="00385BA7"/>
    <w:rsid w:val="00385DA9"/>
    <w:rsid w:val="00385E28"/>
    <w:rsid w:val="00386082"/>
    <w:rsid w:val="0038625A"/>
    <w:rsid w:val="00386C6F"/>
    <w:rsid w:val="003879E0"/>
    <w:rsid w:val="00387BC1"/>
    <w:rsid w:val="00387C59"/>
    <w:rsid w:val="003903F4"/>
    <w:rsid w:val="0039089B"/>
    <w:rsid w:val="00390A1E"/>
    <w:rsid w:val="00390D59"/>
    <w:rsid w:val="00390F60"/>
    <w:rsid w:val="00391573"/>
    <w:rsid w:val="0039166F"/>
    <w:rsid w:val="00391A66"/>
    <w:rsid w:val="00391E8C"/>
    <w:rsid w:val="00391EF7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4AE"/>
    <w:rsid w:val="00396EB8"/>
    <w:rsid w:val="00396F19"/>
    <w:rsid w:val="00397901"/>
    <w:rsid w:val="00397A5C"/>
    <w:rsid w:val="003A00A0"/>
    <w:rsid w:val="003A0AB6"/>
    <w:rsid w:val="003A0AC8"/>
    <w:rsid w:val="003A0D55"/>
    <w:rsid w:val="003A14F7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E8"/>
    <w:rsid w:val="003B10CC"/>
    <w:rsid w:val="003B137C"/>
    <w:rsid w:val="003B1427"/>
    <w:rsid w:val="003B146B"/>
    <w:rsid w:val="003B14DE"/>
    <w:rsid w:val="003B1979"/>
    <w:rsid w:val="003B1E8F"/>
    <w:rsid w:val="003B1EE4"/>
    <w:rsid w:val="003B2227"/>
    <w:rsid w:val="003B23A4"/>
    <w:rsid w:val="003B23E4"/>
    <w:rsid w:val="003B3336"/>
    <w:rsid w:val="003B3D5A"/>
    <w:rsid w:val="003B3F4D"/>
    <w:rsid w:val="003B3F6F"/>
    <w:rsid w:val="003B4044"/>
    <w:rsid w:val="003B40F7"/>
    <w:rsid w:val="003B422F"/>
    <w:rsid w:val="003B4813"/>
    <w:rsid w:val="003B484C"/>
    <w:rsid w:val="003B4891"/>
    <w:rsid w:val="003B5005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248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C7C70"/>
    <w:rsid w:val="003D0023"/>
    <w:rsid w:val="003D0173"/>
    <w:rsid w:val="003D0175"/>
    <w:rsid w:val="003D028B"/>
    <w:rsid w:val="003D049E"/>
    <w:rsid w:val="003D090F"/>
    <w:rsid w:val="003D0AEA"/>
    <w:rsid w:val="003D103F"/>
    <w:rsid w:val="003D1728"/>
    <w:rsid w:val="003D1AF7"/>
    <w:rsid w:val="003D1B3B"/>
    <w:rsid w:val="003D33A3"/>
    <w:rsid w:val="003D39C8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A5D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3BC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182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D86"/>
    <w:rsid w:val="003F5E38"/>
    <w:rsid w:val="003F5F46"/>
    <w:rsid w:val="003F5FA4"/>
    <w:rsid w:val="003F6086"/>
    <w:rsid w:val="003F60E5"/>
    <w:rsid w:val="003F6806"/>
    <w:rsid w:val="003F71F2"/>
    <w:rsid w:val="003F7684"/>
    <w:rsid w:val="0040063D"/>
    <w:rsid w:val="004010D1"/>
    <w:rsid w:val="004011F9"/>
    <w:rsid w:val="004012FC"/>
    <w:rsid w:val="0040148A"/>
    <w:rsid w:val="004016B9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0E"/>
    <w:rsid w:val="00404C20"/>
    <w:rsid w:val="00404FAA"/>
    <w:rsid w:val="00405602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34F9"/>
    <w:rsid w:val="004136DA"/>
    <w:rsid w:val="00413E46"/>
    <w:rsid w:val="004140D9"/>
    <w:rsid w:val="00414272"/>
    <w:rsid w:val="004145C8"/>
    <w:rsid w:val="004146F2"/>
    <w:rsid w:val="00414AB8"/>
    <w:rsid w:val="004154AF"/>
    <w:rsid w:val="00416B54"/>
    <w:rsid w:val="00416FC5"/>
    <w:rsid w:val="00417338"/>
    <w:rsid w:val="00417933"/>
    <w:rsid w:val="00417D09"/>
    <w:rsid w:val="00417EEE"/>
    <w:rsid w:val="00417F7E"/>
    <w:rsid w:val="004201A2"/>
    <w:rsid w:val="004207F8"/>
    <w:rsid w:val="00420D66"/>
    <w:rsid w:val="004213F7"/>
    <w:rsid w:val="00421919"/>
    <w:rsid w:val="00421A41"/>
    <w:rsid w:val="00421B6A"/>
    <w:rsid w:val="0042247B"/>
    <w:rsid w:val="00422613"/>
    <w:rsid w:val="00422EE7"/>
    <w:rsid w:val="004233C8"/>
    <w:rsid w:val="004237CE"/>
    <w:rsid w:val="004239AB"/>
    <w:rsid w:val="00423ED5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6D4F"/>
    <w:rsid w:val="00427B72"/>
    <w:rsid w:val="00427CC3"/>
    <w:rsid w:val="00430209"/>
    <w:rsid w:val="004305A7"/>
    <w:rsid w:val="00430C71"/>
    <w:rsid w:val="00430F9C"/>
    <w:rsid w:val="00431111"/>
    <w:rsid w:val="00431833"/>
    <w:rsid w:val="004319DD"/>
    <w:rsid w:val="00431CD3"/>
    <w:rsid w:val="00432445"/>
    <w:rsid w:val="00432A71"/>
    <w:rsid w:val="00432E6F"/>
    <w:rsid w:val="00433266"/>
    <w:rsid w:val="00433652"/>
    <w:rsid w:val="00433699"/>
    <w:rsid w:val="004339CB"/>
    <w:rsid w:val="00433E47"/>
    <w:rsid w:val="00433FA2"/>
    <w:rsid w:val="004344A9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4013F"/>
    <w:rsid w:val="0044036D"/>
    <w:rsid w:val="00440940"/>
    <w:rsid w:val="00440B08"/>
    <w:rsid w:val="00441213"/>
    <w:rsid w:val="00441A86"/>
    <w:rsid w:val="00441E7E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29B"/>
    <w:rsid w:val="00447361"/>
    <w:rsid w:val="004473B4"/>
    <w:rsid w:val="00447F18"/>
    <w:rsid w:val="00450383"/>
    <w:rsid w:val="004506D5"/>
    <w:rsid w:val="004508EF"/>
    <w:rsid w:val="00450C08"/>
    <w:rsid w:val="00450CDC"/>
    <w:rsid w:val="004510ED"/>
    <w:rsid w:val="00451382"/>
    <w:rsid w:val="004514BD"/>
    <w:rsid w:val="00451822"/>
    <w:rsid w:val="00451EDC"/>
    <w:rsid w:val="00451F6E"/>
    <w:rsid w:val="00452405"/>
    <w:rsid w:val="004525D3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46B"/>
    <w:rsid w:val="00455BF5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799"/>
    <w:rsid w:val="004625F7"/>
    <w:rsid w:val="00462F37"/>
    <w:rsid w:val="004630B3"/>
    <w:rsid w:val="004631E2"/>
    <w:rsid w:val="004632A5"/>
    <w:rsid w:val="00463CE0"/>
    <w:rsid w:val="00463EB1"/>
    <w:rsid w:val="00464269"/>
    <w:rsid w:val="004643A6"/>
    <w:rsid w:val="00464757"/>
    <w:rsid w:val="00464BEE"/>
    <w:rsid w:val="00465DB9"/>
    <w:rsid w:val="00465E4D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255"/>
    <w:rsid w:val="00471B53"/>
    <w:rsid w:val="00471FB2"/>
    <w:rsid w:val="00472075"/>
    <w:rsid w:val="004723C8"/>
    <w:rsid w:val="004725FA"/>
    <w:rsid w:val="00472A16"/>
    <w:rsid w:val="004740D3"/>
    <w:rsid w:val="00474634"/>
    <w:rsid w:val="00474918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90C"/>
    <w:rsid w:val="00477F6F"/>
    <w:rsid w:val="0048026B"/>
    <w:rsid w:val="004802B7"/>
    <w:rsid w:val="004805C9"/>
    <w:rsid w:val="0048065F"/>
    <w:rsid w:val="004808E7"/>
    <w:rsid w:val="00480970"/>
    <w:rsid w:val="004811AE"/>
    <w:rsid w:val="0048122E"/>
    <w:rsid w:val="00482407"/>
    <w:rsid w:val="00482C3D"/>
    <w:rsid w:val="00482D1B"/>
    <w:rsid w:val="00483E55"/>
    <w:rsid w:val="0048402E"/>
    <w:rsid w:val="00484307"/>
    <w:rsid w:val="00484334"/>
    <w:rsid w:val="004847EE"/>
    <w:rsid w:val="00484E28"/>
    <w:rsid w:val="00484FE2"/>
    <w:rsid w:val="00486054"/>
    <w:rsid w:val="004861B0"/>
    <w:rsid w:val="00486374"/>
    <w:rsid w:val="004866AC"/>
    <w:rsid w:val="00486CF7"/>
    <w:rsid w:val="00486DC3"/>
    <w:rsid w:val="004876D1"/>
    <w:rsid w:val="00487D2B"/>
    <w:rsid w:val="0049007D"/>
    <w:rsid w:val="0049064C"/>
    <w:rsid w:val="00490784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0B5"/>
    <w:rsid w:val="004965BE"/>
    <w:rsid w:val="0049664A"/>
    <w:rsid w:val="0049683C"/>
    <w:rsid w:val="00496852"/>
    <w:rsid w:val="0049754C"/>
    <w:rsid w:val="00497551"/>
    <w:rsid w:val="004A03F8"/>
    <w:rsid w:val="004A0409"/>
    <w:rsid w:val="004A05B1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4548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BC7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2B63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727"/>
    <w:rsid w:val="004D274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0BA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9A"/>
    <w:rsid w:val="004E7C14"/>
    <w:rsid w:val="004E7F16"/>
    <w:rsid w:val="004F0234"/>
    <w:rsid w:val="004F02C2"/>
    <w:rsid w:val="004F0313"/>
    <w:rsid w:val="004F0C9A"/>
    <w:rsid w:val="004F12D2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6E0"/>
    <w:rsid w:val="004F3D50"/>
    <w:rsid w:val="004F3E6A"/>
    <w:rsid w:val="004F3F3F"/>
    <w:rsid w:val="004F4A4B"/>
    <w:rsid w:val="004F4C1A"/>
    <w:rsid w:val="004F5343"/>
    <w:rsid w:val="004F5535"/>
    <w:rsid w:val="004F58F2"/>
    <w:rsid w:val="004F5D43"/>
    <w:rsid w:val="004F5DE5"/>
    <w:rsid w:val="004F6093"/>
    <w:rsid w:val="004F67C7"/>
    <w:rsid w:val="004F71A5"/>
    <w:rsid w:val="004F73AA"/>
    <w:rsid w:val="004F7B25"/>
    <w:rsid w:val="004F7E27"/>
    <w:rsid w:val="004F7EC2"/>
    <w:rsid w:val="0050009E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233"/>
    <w:rsid w:val="00503323"/>
    <w:rsid w:val="00503565"/>
    <w:rsid w:val="0050360D"/>
    <w:rsid w:val="0050371E"/>
    <w:rsid w:val="00503E38"/>
    <w:rsid w:val="00503FEB"/>
    <w:rsid w:val="005042B9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E91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841"/>
    <w:rsid w:val="00515DC0"/>
    <w:rsid w:val="00516221"/>
    <w:rsid w:val="00516305"/>
    <w:rsid w:val="005169AA"/>
    <w:rsid w:val="00516A85"/>
    <w:rsid w:val="00516C3B"/>
    <w:rsid w:val="005178CE"/>
    <w:rsid w:val="00517979"/>
    <w:rsid w:val="00517A7E"/>
    <w:rsid w:val="00517AF1"/>
    <w:rsid w:val="005202BF"/>
    <w:rsid w:val="00520459"/>
    <w:rsid w:val="0052057B"/>
    <w:rsid w:val="00520D03"/>
    <w:rsid w:val="00520FFB"/>
    <w:rsid w:val="00521686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973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0E0A"/>
    <w:rsid w:val="0053180D"/>
    <w:rsid w:val="005324CD"/>
    <w:rsid w:val="005328D5"/>
    <w:rsid w:val="00532F4B"/>
    <w:rsid w:val="00533119"/>
    <w:rsid w:val="0053349C"/>
    <w:rsid w:val="005337FF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6E64"/>
    <w:rsid w:val="005374BF"/>
    <w:rsid w:val="00537780"/>
    <w:rsid w:val="005377EB"/>
    <w:rsid w:val="005379DB"/>
    <w:rsid w:val="00540168"/>
    <w:rsid w:val="005404BA"/>
    <w:rsid w:val="00540757"/>
    <w:rsid w:val="00540BA0"/>
    <w:rsid w:val="0054117F"/>
    <w:rsid w:val="00541579"/>
    <w:rsid w:val="005416C9"/>
    <w:rsid w:val="00542501"/>
    <w:rsid w:val="0054296F"/>
    <w:rsid w:val="00542C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BE6"/>
    <w:rsid w:val="00545CE5"/>
    <w:rsid w:val="00545E0D"/>
    <w:rsid w:val="00545EAD"/>
    <w:rsid w:val="0054613B"/>
    <w:rsid w:val="0054623C"/>
    <w:rsid w:val="00547305"/>
    <w:rsid w:val="0054743F"/>
    <w:rsid w:val="0054746A"/>
    <w:rsid w:val="005474CD"/>
    <w:rsid w:val="00547845"/>
    <w:rsid w:val="00550C97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5AC"/>
    <w:rsid w:val="00557CC4"/>
    <w:rsid w:val="00557E51"/>
    <w:rsid w:val="0056049F"/>
    <w:rsid w:val="00560874"/>
    <w:rsid w:val="00560B9C"/>
    <w:rsid w:val="0056110B"/>
    <w:rsid w:val="00561E6E"/>
    <w:rsid w:val="00561F70"/>
    <w:rsid w:val="005622CF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01C"/>
    <w:rsid w:val="005713C8"/>
    <w:rsid w:val="0057191C"/>
    <w:rsid w:val="00572059"/>
    <w:rsid w:val="00572324"/>
    <w:rsid w:val="00572554"/>
    <w:rsid w:val="0057290B"/>
    <w:rsid w:val="0057303C"/>
    <w:rsid w:val="00573913"/>
    <w:rsid w:val="00573A6E"/>
    <w:rsid w:val="00573CEF"/>
    <w:rsid w:val="00573DFA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C7A"/>
    <w:rsid w:val="00576D96"/>
    <w:rsid w:val="00576DE0"/>
    <w:rsid w:val="00576EC5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9C7"/>
    <w:rsid w:val="00585B2C"/>
    <w:rsid w:val="00585BE6"/>
    <w:rsid w:val="00586247"/>
    <w:rsid w:val="00586324"/>
    <w:rsid w:val="005864AC"/>
    <w:rsid w:val="00586DBF"/>
    <w:rsid w:val="00587464"/>
    <w:rsid w:val="00590376"/>
    <w:rsid w:val="00590769"/>
    <w:rsid w:val="00590BD9"/>
    <w:rsid w:val="005910B0"/>
    <w:rsid w:val="0059126B"/>
    <w:rsid w:val="005913AA"/>
    <w:rsid w:val="0059155A"/>
    <w:rsid w:val="00592162"/>
    <w:rsid w:val="0059240D"/>
    <w:rsid w:val="00592515"/>
    <w:rsid w:val="005930BE"/>
    <w:rsid w:val="00593BF9"/>
    <w:rsid w:val="005947AB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10"/>
    <w:rsid w:val="00597B35"/>
    <w:rsid w:val="005A04F8"/>
    <w:rsid w:val="005A0A5A"/>
    <w:rsid w:val="005A0B54"/>
    <w:rsid w:val="005A14C4"/>
    <w:rsid w:val="005A1588"/>
    <w:rsid w:val="005A1983"/>
    <w:rsid w:val="005A199F"/>
    <w:rsid w:val="005A1B37"/>
    <w:rsid w:val="005A1DD3"/>
    <w:rsid w:val="005A1F3E"/>
    <w:rsid w:val="005A20B3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4BB5"/>
    <w:rsid w:val="005A62FF"/>
    <w:rsid w:val="005A632F"/>
    <w:rsid w:val="005A635C"/>
    <w:rsid w:val="005A6681"/>
    <w:rsid w:val="005A6BA5"/>
    <w:rsid w:val="005A7105"/>
    <w:rsid w:val="005A73BA"/>
    <w:rsid w:val="005A7D39"/>
    <w:rsid w:val="005A7DBC"/>
    <w:rsid w:val="005B01E2"/>
    <w:rsid w:val="005B0341"/>
    <w:rsid w:val="005B0D3C"/>
    <w:rsid w:val="005B181F"/>
    <w:rsid w:val="005B1A36"/>
    <w:rsid w:val="005B1A72"/>
    <w:rsid w:val="005B1BCA"/>
    <w:rsid w:val="005B2033"/>
    <w:rsid w:val="005B20F1"/>
    <w:rsid w:val="005B255F"/>
    <w:rsid w:val="005B2742"/>
    <w:rsid w:val="005B2A6A"/>
    <w:rsid w:val="005B3164"/>
    <w:rsid w:val="005B3231"/>
    <w:rsid w:val="005B3586"/>
    <w:rsid w:val="005B38B5"/>
    <w:rsid w:val="005B39D2"/>
    <w:rsid w:val="005B3AFD"/>
    <w:rsid w:val="005B4510"/>
    <w:rsid w:val="005B4A03"/>
    <w:rsid w:val="005B4E2E"/>
    <w:rsid w:val="005B5139"/>
    <w:rsid w:val="005B5978"/>
    <w:rsid w:val="005B5B62"/>
    <w:rsid w:val="005B6143"/>
    <w:rsid w:val="005B72BC"/>
    <w:rsid w:val="005B76F0"/>
    <w:rsid w:val="005B779B"/>
    <w:rsid w:val="005C0422"/>
    <w:rsid w:val="005C0826"/>
    <w:rsid w:val="005C0D1B"/>
    <w:rsid w:val="005C18E1"/>
    <w:rsid w:val="005C1900"/>
    <w:rsid w:val="005C1CDA"/>
    <w:rsid w:val="005C1D8D"/>
    <w:rsid w:val="005C1F52"/>
    <w:rsid w:val="005C2060"/>
    <w:rsid w:val="005C224A"/>
    <w:rsid w:val="005C225A"/>
    <w:rsid w:val="005C247E"/>
    <w:rsid w:val="005C2C67"/>
    <w:rsid w:val="005C2CCA"/>
    <w:rsid w:val="005C2EC1"/>
    <w:rsid w:val="005C387F"/>
    <w:rsid w:val="005C44C7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C7DBD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B8E"/>
    <w:rsid w:val="005D2ED0"/>
    <w:rsid w:val="005D3328"/>
    <w:rsid w:val="005D35CA"/>
    <w:rsid w:val="005D36B4"/>
    <w:rsid w:val="005D3A5F"/>
    <w:rsid w:val="005D4273"/>
    <w:rsid w:val="005D4EEA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0CB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4EE7"/>
    <w:rsid w:val="005E4F4C"/>
    <w:rsid w:val="005E51E1"/>
    <w:rsid w:val="005E52A8"/>
    <w:rsid w:val="005E5DFB"/>
    <w:rsid w:val="005E6062"/>
    <w:rsid w:val="005E60D4"/>
    <w:rsid w:val="005E64A4"/>
    <w:rsid w:val="005E6558"/>
    <w:rsid w:val="005E65C1"/>
    <w:rsid w:val="005E6CF2"/>
    <w:rsid w:val="005E6DB6"/>
    <w:rsid w:val="005E736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7C8"/>
    <w:rsid w:val="005F4847"/>
    <w:rsid w:val="005F48C6"/>
    <w:rsid w:val="005F49C0"/>
    <w:rsid w:val="005F4C97"/>
    <w:rsid w:val="005F4D06"/>
    <w:rsid w:val="005F4D87"/>
    <w:rsid w:val="005F4E6A"/>
    <w:rsid w:val="005F4F40"/>
    <w:rsid w:val="005F5860"/>
    <w:rsid w:val="005F5886"/>
    <w:rsid w:val="005F600A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F3D"/>
    <w:rsid w:val="0060202A"/>
    <w:rsid w:val="00602749"/>
    <w:rsid w:val="00602819"/>
    <w:rsid w:val="00602938"/>
    <w:rsid w:val="0060299F"/>
    <w:rsid w:val="006030C8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4FAB"/>
    <w:rsid w:val="0060508F"/>
    <w:rsid w:val="00605162"/>
    <w:rsid w:val="00605703"/>
    <w:rsid w:val="00605DE0"/>
    <w:rsid w:val="00606468"/>
    <w:rsid w:val="00606626"/>
    <w:rsid w:val="00606E24"/>
    <w:rsid w:val="00607036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5B6"/>
    <w:rsid w:val="00613A25"/>
    <w:rsid w:val="0061466E"/>
    <w:rsid w:val="00614DC6"/>
    <w:rsid w:val="0061511B"/>
    <w:rsid w:val="00615586"/>
    <w:rsid w:val="00615FBC"/>
    <w:rsid w:val="006160FC"/>
    <w:rsid w:val="00616D07"/>
    <w:rsid w:val="00617BE2"/>
    <w:rsid w:val="00617C9B"/>
    <w:rsid w:val="0062018F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56E6"/>
    <w:rsid w:val="00625AA4"/>
    <w:rsid w:val="00625FB9"/>
    <w:rsid w:val="00626126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0E3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309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0DBC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7F1"/>
    <w:rsid w:val="00644856"/>
    <w:rsid w:val="00644E1C"/>
    <w:rsid w:val="0064503D"/>
    <w:rsid w:val="00645090"/>
    <w:rsid w:val="0064571D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49A"/>
    <w:rsid w:val="00652768"/>
    <w:rsid w:val="006528F3"/>
    <w:rsid w:val="00653720"/>
    <w:rsid w:val="00653D0F"/>
    <w:rsid w:val="00653EA2"/>
    <w:rsid w:val="0065431E"/>
    <w:rsid w:val="00654C97"/>
    <w:rsid w:val="00654E73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1E9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6E98"/>
    <w:rsid w:val="006671B9"/>
    <w:rsid w:val="00667B8F"/>
    <w:rsid w:val="00667FE8"/>
    <w:rsid w:val="00670490"/>
    <w:rsid w:val="006704B1"/>
    <w:rsid w:val="00670843"/>
    <w:rsid w:val="0067093B"/>
    <w:rsid w:val="0067098A"/>
    <w:rsid w:val="00670A5C"/>
    <w:rsid w:val="006713A5"/>
    <w:rsid w:val="006714BC"/>
    <w:rsid w:val="006716F7"/>
    <w:rsid w:val="00671793"/>
    <w:rsid w:val="0067192F"/>
    <w:rsid w:val="00671952"/>
    <w:rsid w:val="00671D6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B79"/>
    <w:rsid w:val="00676F0F"/>
    <w:rsid w:val="00677466"/>
    <w:rsid w:val="00677EF4"/>
    <w:rsid w:val="00680D8C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3E7C"/>
    <w:rsid w:val="00684500"/>
    <w:rsid w:val="0068461B"/>
    <w:rsid w:val="006846FE"/>
    <w:rsid w:val="00684817"/>
    <w:rsid w:val="00684E8E"/>
    <w:rsid w:val="00685145"/>
    <w:rsid w:val="006856F0"/>
    <w:rsid w:val="00685935"/>
    <w:rsid w:val="00685C68"/>
    <w:rsid w:val="00685CE0"/>
    <w:rsid w:val="00685EAC"/>
    <w:rsid w:val="00685F85"/>
    <w:rsid w:val="006863CF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684"/>
    <w:rsid w:val="006919D8"/>
    <w:rsid w:val="00692392"/>
    <w:rsid w:val="006925D7"/>
    <w:rsid w:val="00692C9B"/>
    <w:rsid w:val="006930E0"/>
    <w:rsid w:val="006931A9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DA1"/>
    <w:rsid w:val="006A1EEB"/>
    <w:rsid w:val="006A22F6"/>
    <w:rsid w:val="006A257A"/>
    <w:rsid w:val="006A2D9F"/>
    <w:rsid w:val="006A2EB3"/>
    <w:rsid w:val="006A3821"/>
    <w:rsid w:val="006A39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A33"/>
    <w:rsid w:val="006B6E1C"/>
    <w:rsid w:val="006B7220"/>
    <w:rsid w:val="006B72BD"/>
    <w:rsid w:val="006B7BBC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C6C"/>
    <w:rsid w:val="006C3DA9"/>
    <w:rsid w:val="006C414C"/>
    <w:rsid w:val="006C4643"/>
    <w:rsid w:val="006C4927"/>
    <w:rsid w:val="006C49CA"/>
    <w:rsid w:val="006C4BB4"/>
    <w:rsid w:val="006C4FA0"/>
    <w:rsid w:val="006C560F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4DB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15F8"/>
    <w:rsid w:val="006E26F0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4B30"/>
    <w:rsid w:val="006E516C"/>
    <w:rsid w:val="006E52E7"/>
    <w:rsid w:val="006E530C"/>
    <w:rsid w:val="006E5460"/>
    <w:rsid w:val="006E564E"/>
    <w:rsid w:val="006E58BB"/>
    <w:rsid w:val="006E61F1"/>
    <w:rsid w:val="006E6264"/>
    <w:rsid w:val="006E6B65"/>
    <w:rsid w:val="006E6CEA"/>
    <w:rsid w:val="006E6D7B"/>
    <w:rsid w:val="006E6EE5"/>
    <w:rsid w:val="006E725D"/>
    <w:rsid w:val="006E731A"/>
    <w:rsid w:val="006E7503"/>
    <w:rsid w:val="006F082A"/>
    <w:rsid w:val="006F0B1D"/>
    <w:rsid w:val="006F0B7E"/>
    <w:rsid w:val="006F0D05"/>
    <w:rsid w:val="006F0DE9"/>
    <w:rsid w:val="006F1208"/>
    <w:rsid w:val="006F1626"/>
    <w:rsid w:val="006F18C3"/>
    <w:rsid w:val="006F1A97"/>
    <w:rsid w:val="006F1DFB"/>
    <w:rsid w:val="006F2197"/>
    <w:rsid w:val="006F2FA8"/>
    <w:rsid w:val="006F34E8"/>
    <w:rsid w:val="006F39CE"/>
    <w:rsid w:val="006F3BB5"/>
    <w:rsid w:val="006F3D2F"/>
    <w:rsid w:val="006F3FB2"/>
    <w:rsid w:val="006F401E"/>
    <w:rsid w:val="006F4675"/>
    <w:rsid w:val="006F49A1"/>
    <w:rsid w:val="006F4BC3"/>
    <w:rsid w:val="006F4D52"/>
    <w:rsid w:val="006F62A5"/>
    <w:rsid w:val="006F65D4"/>
    <w:rsid w:val="006F69C1"/>
    <w:rsid w:val="006F6A79"/>
    <w:rsid w:val="006F705E"/>
    <w:rsid w:val="006F7434"/>
    <w:rsid w:val="006F7C0E"/>
    <w:rsid w:val="007002BF"/>
    <w:rsid w:val="00700706"/>
    <w:rsid w:val="00700A0B"/>
    <w:rsid w:val="00700DD8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3EB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7A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DB5"/>
    <w:rsid w:val="00721F23"/>
    <w:rsid w:val="00722AE6"/>
    <w:rsid w:val="00722E6E"/>
    <w:rsid w:val="007231C5"/>
    <w:rsid w:val="007241DE"/>
    <w:rsid w:val="007242C8"/>
    <w:rsid w:val="00724357"/>
    <w:rsid w:val="00724650"/>
    <w:rsid w:val="00724D1E"/>
    <w:rsid w:val="00724E99"/>
    <w:rsid w:val="007250DA"/>
    <w:rsid w:val="007251D1"/>
    <w:rsid w:val="0072540A"/>
    <w:rsid w:val="007258E5"/>
    <w:rsid w:val="00725E2F"/>
    <w:rsid w:val="00726545"/>
    <w:rsid w:val="00727427"/>
    <w:rsid w:val="00727C74"/>
    <w:rsid w:val="00730A9C"/>
    <w:rsid w:val="00731506"/>
    <w:rsid w:val="00731719"/>
    <w:rsid w:val="0073183E"/>
    <w:rsid w:val="007318F6"/>
    <w:rsid w:val="00731D97"/>
    <w:rsid w:val="00731FD8"/>
    <w:rsid w:val="007329EC"/>
    <w:rsid w:val="00732BE6"/>
    <w:rsid w:val="007330A1"/>
    <w:rsid w:val="007332DB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76F"/>
    <w:rsid w:val="00735B29"/>
    <w:rsid w:val="00736835"/>
    <w:rsid w:val="007368CA"/>
    <w:rsid w:val="00736D2F"/>
    <w:rsid w:val="00736FA9"/>
    <w:rsid w:val="007379B4"/>
    <w:rsid w:val="00737FAF"/>
    <w:rsid w:val="00737FCB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45A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82C"/>
    <w:rsid w:val="00751B9D"/>
    <w:rsid w:val="007521CB"/>
    <w:rsid w:val="007523EF"/>
    <w:rsid w:val="00752E9B"/>
    <w:rsid w:val="00753114"/>
    <w:rsid w:val="00753116"/>
    <w:rsid w:val="0075328D"/>
    <w:rsid w:val="007533FF"/>
    <w:rsid w:val="007534B1"/>
    <w:rsid w:val="00753AFA"/>
    <w:rsid w:val="007542A9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19B2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556"/>
    <w:rsid w:val="00765D36"/>
    <w:rsid w:val="00766E9F"/>
    <w:rsid w:val="00766F17"/>
    <w:rsid w:val="00767246"/>
    <w:rsid w:val="007672E0"/>
    <w:rsid w:val="00767464"/>
    <w:rsid w:val="007677AC"/>
    <w:rsid w:val="00770084"/>
    <w:rsid w:val="00770111"/>
    <w:rsid w:val="0077062E"/>
    <w:rsid w:val="007708CB"/>
    <w:rsid w:val="00770EE0"/>
    <w:rsid w:val="0077165A"/>
    <w:rsid w:val="0077172E"/>
    <w:rsid w:val="00771ABD"/>
    <w:rsid w:val="00771E0A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6CD6"/>
    <w:rsid w:val="007779B2"/>
    <w:rsid w:val="00777AE6"/>
    <w:rsid w:val="00777CC7"/>
    <w:rsid w:val="00777E7F"/>
    <w:rsid w:val="007803EF"/>
    <w:rsid w:val="00780D00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2FE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402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5D0"/>
    <w:rsid w:val="007938E3"/>
    <w:rsid w:val="00793B63"/>
    <w:rsid w:val="00793C2A"/>
    <w:rsid w:val="00793F0F"/>
    <w:rsid w:val="00793FA0"/>
    <w:rsid w:val="0079404F"/>
    <w:rsid w:val="0079415C"/>
    <w:rsid w:val="00794740"/>
    <w:rsid w:val="00794863"/>
    <w:rsid w:val="00794923"/>
    <w:rsid w:val="00794FF8"/>
    <w:rsid w:val="00795059"/>
    <w:rsid w:val="00795C3F"/>
    <w:rsid w:val="00795E40"/>
    <w:rsid w:val="007965DB"/>
    <w:rsid w:val="00796848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210"/>
    <w:rsid w:val="007A4412"/>
    <w:rsid w:val="007A4AFA"/>
    <w:rsid w:val="007A4BE9"/>
    <w:rsid w:val="007A4DE6"/>
    <w:rsid w:val="007A57BB"/>
    <w:rsid w:val="007A5C07"/>
    <w:rsid w:val="007A5E1D"/>
    <w:rsid w:val="007A5E2A"/>
    <w:rsid w:val="007A621E"/>
    <w:rsid w:val="007A6433"/>
    <w:rsid w:val="007A7351"/>
    <w:rsid w:val="007A79AF"/>
    <w:rsid w:val="007A7C2B"/>
    <w:rsid w:val="007B00C5"/>
    <w:rsid w:val="007B0491"/>
    <w:rsid w:val="007B062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3E33"/>
    <w:rsid w:val="007B4B2C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3F23"/>
    <w:rsid w:val="007C47C3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4BF"/>
    <w:rsid w:val="007C7AE4"/>
    <w:rsid w:val="007C7B07"/>
    <w:rsid w:val="007D000D"/>
    <w:rsid w:val="007D04E6"/>
    <w:rsid w:val="007D0F5E"/>
    <w:rsid w:val="007D1796"/>
    <w:rsid w:val="007D2318"/>
    <w:rsid w:val="007D26D2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00A"/>
    <w:rsid w:val="007D512A"/>
    <w:rsid w:val="007D53BE"/>
    <w:rsid w:val="007D556E"/>
    <w:rsid w:val="007D5645"/>
    <w:rsid w:val="007D5FA3"/>
    <w:rsid w:val="007D5FFB"/>
    <w:rsid w:val="007D6606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284"/>
    <w:rsid w:val="007E169A"/>
    <w:rsid w:val="007E1DCB"/>
    <w:rsid w:val="007E2175"/>
    <w:rsid w:val="007E2258"/>
    <w:rsid w:val="007E3157"/>
    <w:rsid w:val="007E355D"/>
    <w:rsid w:val="007E38F5"/>
    <w:rsid w:val="007E3D8B"/>
    <w:rsid w:val="007E4301"/>
    <w:rsid w:val="007E4379"/>
    <w:rsid w:val="007E497C"/>
    <w:rsid w:val="007E5721"/>
    <w:rsid w:val="007E5CF2"/>
    <w:rsid w:val="007E62F8"/>
    <w:rsid w:val="007E65F9"/>
    <w:rsid w:val="007E6934"/>
    <w:rsid w:val="007E6B1A"/>
    <w:rsid w:val="007E703D"/>
    <w:rsid w:val="007E72ED"/>
    <w:rsid w:val="007E7337"/>
    <w:rsid w:val="007E7906"/>
    <w:rsid w:val="007E7CD9"/>
    <w:rsid w:val="007E7E8A"/>
    <w:rsid w:val="007F0824"/>
    <w:rsid w:val="007F0C7E"/>
    <w:rsid w:val="007F1340"/>
    <w:rsid w:val="007F18E0"/>
    <w:rsid w:val="007F1B6A"/>
    <w:rsid w:val="007F24A8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BCE"/>
    <w:rsid w:val="007F7CCA"/>
    <w:rsid w:val="008000E0"/>
    <w:rsid w:val="00800163"/>
    <w:rsid w:val="00800263"/>
    <w:rsid w:val="00800351"/>
    <w:rsid w:val="00800A1E"/>
    <w:rsid w:val="00800DA5"/>
    <w:rsid w:val="00800DBB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F4C"/>
    <w:rsid w:val="008104C0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4474"/>
    <w:rsid w:val="00815473"/>
    <w:rsid w:val="00815821"/>
    <w:rsid w:val="00816097"/>
    <w:rsid w:val="00816552"/>
    <w:rsid w:val="008176F8"/>
    <w:rsid w:val="00817852"/>
    <w:rsid w:val="00817B54"/>
    <w:rsid w:val="00817F1B"/>
    <w:rsid w:val="00820147"/>
    <w:rsid w:val="00820581"/>
    <w:rsid w:val="008206C4"/>
    <w:rsid w:val="00820D35"/>
    <w:rsid w:val="00822243"/>
    <w:rsid w:val="00822EE5"/>
    <w:rsid w:val="00822F4B"/>
    <w:rsid w:val="00823022"/>
    <w:rsid w:val="008232EE"/>
    <w:rsid w:val="00823862"/>
    <w:rsid w:val="008247D4"/>
    <w:rsid w:val="00824BAF"/>
    <w:rsid w:val="00824DC0"/>
    <w:rsid w:val="00824E03"/>
    <w:rsid w:val="00824F1B"/>
    <w:rsid w:val="0082537E"/>
    <w:rsid w:val="00825A48"/>
    <w:rsid w:val="00825BF0"/>
    <w:rsid w:val="00826346"/>
    <w:rsid w:val="008267EF"/>
    <w:rsid w:val="00826EE8"/>
    <w:rsid w:val="00827050"/>
    <w:rsid w:val="008279C4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2C"/>
    <w:rsid w:val="008373AA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2F5D"/>
    <w:rsid w:val="008435EE"/>
    <w:rsid w:val="00843647"/>
    <w:rsid w:val="008437B1"/>
    <w:rsid w:val="00843BDC"/>
    <w:rsid w:val="00843D47"/>
    <w:rsid w:val="008440E4"/>
    <w:rsid w:val="008445B2"/>
    <w:rsid w:val="00844854"/>
    <w:rsid w:val="00844B24"/>
    <w:rsid w:val="00844BF0"/>
    <w:rsid w:val="00844C58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433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39C"/>
    <w:rsid w:val="008705A2"/>
    <w:rsid w:val="0087063A"/>
    <w:rsid w:val="00870730"/>
    <w:rsid w:val="008709B5"/>
    <w:rsid w:val="00870BD6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4D39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9AC"/>
    <w:rsid w:val="00876AD9"/>
    <w:rsid w:val="008770BE"/>
    <w:rsid w:val="008775D0"/>
    <w:rsid w:val="0087777C"/>
    <w:rsid w:val="008778A2"/>
    <w:rsid w:val="008779A0"/>
    <w:rsid w:val="00877E92"/>
    <w:rsid w:val="00877EAA"/>
    <w:rsid w:val="00880060"/>
    <w:rsid w:val="00880635"/>
    <w:rsid w:val="00880972"/>
    <w:rsid w:val="00880A1B"/>
    <w:rsid w:val="00880EC2"/>
    <w:rsid w:val="0088134A"/>
    <w:rsid w:val="008813E0"/>
    <w:rsid w:val="0088177C"/>
    <w:rsid w:val="008817A5"/>
    <w:rsid w:val="00881A5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998"/>
    <w:rsid w:val="00883D98"/>
    <w:rsid w:val="00883DC8"/>
    <w:rsid w:val="0088468F"/>
    <w:rsid w:val="008846F8"/>
    <w:rsid w:val="00884897"/>
    <w:rsid w:val="00885666"/>
    <w:rsid w:val="00885886"/>
    <w:rsid w:val="0088691E"/>
    <w:rsid w:val="00886CA6"/>
    <w:rsid w:val="00887605"/>
    <w:rsid w:val="00887B3E"/>
    <w:rsid w:val="0089089E"/>
    <w:rsid w:val="00890D30"/>
    <w:rsid w:val="00890F08"/>
    <w:rsid w:val="0089157B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F01"/>
    <w:rsid w:val="008A0080"/>
    <w:rsid w:val="008A0307"/>
    <w:rsid w:val="008A0DA4"/>
    <w:rsid w:val="008A0DA8"/>
    <w:rsid w:val="008A1266"/>
    <w:rsid w:val="008A195B"/>
    <w:rsid w:val="008A1E53"/>
    <w:rsid w:val="008A209C"/>
    <w:rsid w:val="008A2676"/>
    <w:rsid w:val="008A312B"/>
    <w:rsid w:val="008A3372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B72"/>
    <w:rsid w:val="008B0C34"/>
    <w:rsid w:val="008B1848"/>
    <w:rsid w:val="008B19DD"/>
    <w:rsid w:val="008B1AA9"/>
    <w:rsid w:val="008B1AF2"/>
    <w:rsid w:val="008B1B63"/>
    <w:rsid w:val="008B1DAB"/>
    <w:rsid w:val="008B1EEA"/>
    <w:rsid w:val="008B1FBE"/>
    <w:rsid w:val="008B209F"/>
    <w:rsid w:val="008B28A8"/>
    <w:rsid w:val="008B2C27"/>
    <w:rsid w:val="008B2FA6"/>
    <w:rsid w:val="008B38FD"/>
    <w:rsid w:val="008B3C56"/>
    <w:rsid w:val="008B4933"/>
    <w:rsid w:val="008B4BE0"/>
    <w:rsid w:val="008B4DB4"/>
    <w:rsid w:val="008B5142"/>
    <w:rsid w:val="008B563F"/>
    <w:rsid w:val="008B5915"/>
    <w:rsid w:val="008B5B64"/>
    <w:rsid w:val="008B5D85"/>
    <w:rsid w:val="008B65F1"/>
    <w:rsid w:val="008B689A"/>
    <w:rsid w:val="008B6D72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2DBC"/>
    <w:rsid w:val="008C41E5"/>
    <w:rsid w:val="008C47F8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36CE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69A6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2F1"/>
    <w:rsid w:val="008E26DE"/>
    <w:rsid w:val="008E368F"/>
    <w:rsid w:val="008E3787"/>
    <w:rsid w:val="008E3853"/>
    <w:rsid w:val="008E39B6"/>
    <w:rsid w:val="008E3A1A"/>
    <w:rsid w:val="008E3AAC"/>
    <w:rsid w:val="008E3EDD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92"/>
    <w:rsid w:val="008E79C8"/>
    <w:rsid w:val="008F0273"/>
    <w:rsid w:val="008F0A35"/>
    <w:rsid w:val="008F0ED3"/>
    <w:rsid w:val="008F10D1"/>
    <w:rsid w:val="008F1818"/>
    <w:rsid w:val="008F1928"/>
    <w:rsid w:val="008F1D01"/>
    <w:rsid w:val="008F35DB"/>
    <w:rsid w:val="008F38CC"/>
    <w:rsid w:val="008F3D30"/>
    <w:rsid w:val="008F4FAD"/>
    <w:rsid w:val="008F517D"/>
    <w:rsid w:val="008F5923"/>
    <w:rsid w:val="008F593E"/>
    <w:rsid w:val="008F65C2"/>
    <w:rsid w:val="008F6719"/>
    <w:rsid w:val="008F7008"/>
    <w:rsid w:val="008F71C6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CAD"/>
    <w:rsid w:val="00901E19"/>
    <w:rsid w:val="00901EBC"/>
    <w:rsid w:val="0090212B"/>
    <w:rsid w:val="00902374"/>
    <w:rsid w:val="00902755"/>
    <w:rsid w:val="00903C69"/>
    <w:rsid w:val="00903EE6"/>
    <w:rsid w:val="009040C2"/>
    <w:rsid w:val="00904300"/>
    <w:rsid w:val="009044AD"/>
    <w:rsid w:val="00904603"/>
    <w:rsid w:val="00904775"/>
    <w:rsid w:val="00904D9F"/>
    <w:rsid w:val="00904F68"/>
    <w:rsid w:val="0090505C"/>
    <w:rsid w:val="00905BC3"/>
    <w:rsid w:val="00905D51"/>
    <w:rsid w:val="00905FBA"/>
    <w:rsid w:val="00906211"/>
    <w:rsid w:val="009067BE"/>
    <w:rsid w:val="00906913"/>
    <w:rsid w:val="00906DCC"/>
    <w:rsid w:val="00906E21"/>
    <w:rsid w:val="00907592"/>
    <w:rsid w:val="009077DD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2090"/>
    <w:rsid w:val="009120FC"/>
    <w:rsid w:val="009121A5"/>
    <w:rsid w:val="00912231"/>
    <w:rsid w:val="009122A5"/>
    <w:rsid w:val="009126FE"/>
    <w:rsid w:val="00912721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E06"/>
    <w:rsid w:val="00914FC2"/>
    <w:rsid w:val="009156F6"/>
    <w:rsid w:val="00915855"/>
    <w:rsid w:val="009158B9"/>
    <w:rsid w:val="009160B5"/>
    <w:rsid w:val="0091618C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B06"/>
    <w:rsid w:val="00924D36"/>
    <w:rsid w:val="00925114"/>
    <w:rsid w:val="009251A1"/>
    <w:rsid w:val="009253F2"/>
    <w:rsid w:val="00925BDB"/>
    <w:rsid w:val="0092649A"/>
    <w:rsid w:val="009264BD"/>
    <w:rsid w:val="0092663D"/>
    <w:rsid w:val="00926942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CD6"/>
    <w:rsid w:val="00932E01"/>
    <w:rsid w:val="009331BE"/>
    <w:rsid w:val="0093331B"/>
    <w:rsid w:val="0093341E"/>
    <w:rsid w:val="0093360F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D03"/>
    <w:rsid w:val="00937E18"/>
    <w:rsid w:val="00940161"/>
    <w:rsid w:val="00940698"/>
    <w:rsid w:val="00940CAA"/>
    <w:rsid w:val="00940E56"/>
    <w:rsid w:val="009415CE"/>
    <w:rsid w:val="009415D7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832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28C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837"/>
    <w:rsid w:val="0095590D"/>
    <w:rsid w:val="00955C4D"/>
    <w:rsid w:val="00955F40"/>
    <w:rsid w:val="00956DC0"/>
    <w:rsid w:val="009574F1"/>
    <w:rsid w:val="00957A72"/>
    <w:rsid w:val="009608FE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00B"/>
    <w:rsid w:val="009653DA"/>
    <w:rsid w:val="00965C02"/>
    <w:rsid w:val="00965D01"/>
    <w:rsid w:val="00966C4E"/>
    <w:rsid w:val="009676C1"/>
    <w:rsid w:val="00967788"/>
    <w:rsid w:val="009679DB"/>
    <w:rsid w:val="00970125"/>
    <w:rsid w:val="00970134"/>
    <w:rsid w:val="00970302"/>
    <w:rsid w:val="0097039E"/>
    <w:rsid w:val="009703C3"/>
    <w:rsid w:val="0097070B"/>
    <w:rsid w:val="00970DE9"/>
    <w:rsid w:val="009711A5"/>
    <w:rsid w:val="009716BA"/>
    <w:rsid w:val="00971817"/>
    <w:rsid w:val="00971906"/>
    <w:rsid w:val="0097219F"/>
    <w:rsid w:val="0097231E"/>
    <w:rsid w:val="00972CB2"/>
    <w:rsid w:val="00972DAC"/>
    <w:rsid w:val="00973153"/>
    <w:rsid w:val="009731A6"/>
    <w:rsid w:val="0097389C"/>
    <w:rsid w:val="00973AC2"/>
    <w:rsid w:val="009746A1"/>
    <w:rsid w:val="00974D10"/>
    <w:rsid w:val="00974E82"/>
    <w:rsid w:val="00974E9D"/>
    <w:rsid w:val="00974F53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0DB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4DF"/>
    <w:rsid w:val="00983695"/>
    <w:rsid w:val="009837B5"/>
    <w:rsid w:val="00983A6E"/>
    <w:rsid w:val="00984395"/>
    <w:rsid w:val="00984AF9"/>
    <w:rsid w:val="00984CC2"/>
    <w:rsid w:val="009858DD"/>
    <w:rsid w:val="009858F7"/>
    <w:rsid w:val="00985CE7"/>
    <w:rsid w:val="009865B6"/>
    <w:rsid w:val="009865C9"/>
    <w:rsid w:val="00986705"/>
    <w:rsid w:val="0098680D"/>
    <w:rsid w:val="00986A6B"/>
    <w:rsid w:val="00986E79"/>
    <w:rsid w:val="00987263"/>
    <w:rsid w:val="009872F5"/>
    <w:rsid w:val="009872F6"/>
    <w:rsid w:val="009875D2"/>
    <w:rsid w:val="009877D9"/>
    <w:rsid w:val="00987C86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74"/>
    <w:rsid w:val="009965A9"/>
    <w:rsid w:val="00996953"/>
    <w:rsid w:val="0099707B"/>
    <w:rsid w:val="00997372"/>
    <w:rsid w:val="0099755F"/>
    <w:rsid w:val="00997658"/>
    <w:rsid w:val="009979A3"/>
    <w:rsid w:val="009979DF"/>
    <w:rsid w:val="00997CD8"/>
    <w:rsid w:val="00997E2E"/>
    <w:rsid w:val="009A00AE"/>
    <w:rsid w:val="009A034A"/>
    <w:rsid w:val="009A06D8"/>
    <w:rsid w:val="009A0D5C"/>
    <w:rsid w:val="009A20A2"/>
    <w:rsid w:val="009A21AB"/>
    <w:rsid w:val="009A3802"/>
    <w:rsid w:val="009A38D1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621"/>
    <w:rsid w:val="009B3764"/>
    <w:rsid w:val="009B3A21"/>
    <w:rsid w:val="009B3CDF"/>
    <w:rsid w:val="009B3D14"/>
    <w:rsid w:val="009B3F78"/>
    <w:rsid w:val="009B4346"/>
    <w:rsid w:val="009B452B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39"/>
    <w:rsid w:val="009B7582"/>
    <w:rsid w:val="009B7B84"/>
    <w:rsid w:val="009B7EDA"/>
    <w:rsid w:val="009B7F68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5C5"/>
    <w:rsid w:val="009C1A43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461"/>
    <w:rsid w:val="009C5702"/>
    <w:rsid w:val="009C598B"/>
    <w:rsid w:val="009C5A94"/>
    <w:rsid w:val="009C5D0E"/>
    <w:rsid w:val="009C5DEB"/>
    <w:rsid w:val="009C61A8"/>
    <w:rsid w:val="009C6236"/>
    <w:rsid w:val="009C6661"/>
    <w:rsid w:val="009C67EF"/>
    <w:rsid w:val="009C69A4"/>
    <w:rsid w:val="009C7142"/>
    <w:rsid w:val="009C72E7"/>
    <w:rsid w:val="009D0000"/>
    <w:rsid w:val="009D01B5"/>
    <w:rsid w:val="009D034A"/>
    <w:rsid w:val="009D07F3"/>
    <w:rsid w:val="009D17A5"/>
    <w:rsid w:val="009D1931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177"/>
    <w:rsid w:val="009D6897"/>
    <w:rsid w:val="009D6BF6"/>
    <w:rsid w:val="009D6F03"/>
    <w:rsid w:val="009D73DC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2D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0904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4B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213"/>
    <w:rsid w:val="00A114DD"/>
    <w:rsid w:val="00A116F1"/>
    <w:rsid w:val="00A11CE1"/>
    <w:rsid w:val="00A11D0E"/>
    <w:rsid w:val="00A11DAA"/>
    <w:rsid w:val="00A11F98"/>
    <w:rsid w:val="00A12629"/>
    <w:rsid w:val="00A1292C"/>
    <w:rsid w:val="00A12A5F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8EE"/>
    <w:rsid w:val="00A1590B"/>
    <w:rsid w:val="00A159F5"/>
    <w:rsid w:val="00A15ED3"/>
    <w:rsid w:val="00A15F79"/>
    <w:rsid w:val="00A160E6"/>
    <w:rsid w:val="00A161BA"/>
    <w:rsid w:val="00A16335"/>
    <w:rsid w:val="00A16733"/>
    <w:rsid w:val="00A168BF"/>
    <w:rsid w:val="00A16BA5"/>
    <w:rsid w:val="00A16F40"/>
    <w:rsid w:val="00A17193"/>
    <w:rsid w:val="00A172CF"/>
    <w:rsid w:val="00A176D5"/>
    <w:rsid w:val="00A17CF3"/>
    <w:rsid w:val="00A17EBC"/>
    <w:rsid w:val="00A20FA8"/>
    <w:rsid w:val="00A21214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4A5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290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38"/>
    <w:rsid w:val="00A3368F"/>
    <w:rsid w:val="00A33E72"/>
    <w:rsid w:val="00A3412A"/>
    <w:rsid w:val="00A342E2"/>
    <w:rsid w:val="00A34DAD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772"/>
    <w:rsid w:val="00A41F2E"/>
    <w:rsid w:val="00A42996"/>
    <w:rsid w:val="00A42E8B"/>
    <w:rsid w:val="00A42EBA"/>
    <w:rsid w:val="00A431F7"/>
    <w:rsid w:val="00A437D1"/>
    <w:rsid w:val="00A4382E"/>
    <w:rsid w:val="00A43CCB"/>
    <w:rsid w:val="00A43FC6"/>
    <w:rsid w:val="00A44173"/>
    <w:rsid w:val="00A44866"/>
    <w:rsid w:val="00A44A12"/>
    <w:rsid w:val="00A44C00"/>
    <w:rsid w:val="00A455E8"/>
    <w:rsid w:val="00A45CB0"/>
    <w:rsid w:val="00A45EB0"/>
    <w:rsid w:val="00A461FD"/>
    <w:rsid w:val="00A46AAD"/>
    <w:rsid w:val="00A47017"/>
    <w:rsid w:val="00A472A4"/>
    <w:rsid w:val="00A47357"/>
    <w:rsid w:val="00A47691"/>
    <w:rsid w:val="00A47C33"/>
    <w:rsid w:val="00A50651"/>
    <w:rsid w:val="00A5076F"/>
    <w:rsid w:val="00A50798"/>
    <w:rsid w:val="00A507CC"/>
    <w:rsid w:val="00A50F08"/>
    <w:rsid w:val="00A50F5C"/>
    <w:rsid w:val="00A516EA"/>
    <w:rsid w:val="00A51B11"/>
    <w:rsid w:val="00A51BC1"/>
    <w:rsid w:val="00A51E21"/>
    <w:rsid w:val="00A51EA5"/>
    <w:rsid w:val="00A52608"/>
    <w:rsid w:val="00A52732"/>
    <w:rsid w:val="00A527E1"/>
    <w:rsid w:val="00A52DD6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C89"/>
    <w:rsid w:val="00A56F2F"/>
    <w:rsid w:val="00A57556"/>
    <w:rsid w:val="00A57610"/>
    <w:rsid w:val="00A577AA"/>
    <w:rsid w:val="00A60057"/>
    <w:rsid w:val="00A6020E"/>
    <w:rsid w:val="00A605DC"/>
    <w:rsid w:val="00A60727"/>
    <w:rsid w:val="00A609B3"/>
    <w:rsid w:val="00A60A76"/>
    <w:rsid w:val="00A6107D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4FC6"/>
    <w:rsid w:val="00A650FA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9A0"/>
    <w:rsid w:val="00A72E0A"/>
    <w:rsid w:val="00A72FCE"/>
    <w:rsid w:val="00A730DC"/>
    <w:rsid w:val="00A73631"/>
    <w:rsid w:val="00A743CC"/>
    <w:rsid w:val="00A7459F"/>
    <w:rsid w:val="00A7495C"/>
    <w:rsid w:val="00A74C89"/>
    <w:rsid w:val="00A757D4"/>
    <w:rsid w:val="00A76227"/>
    <w:rsid w:val="00A76764"/>
    <w:rsid w:val="00A76BA8"/>
    <w:rsid w:val="00A771E0"/>
    <w:rsid w:val="00A7781E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4BF4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9EE"/>
    <w:rsid w:val="00A90F19"/>
    <w:rsid w:val="00A9120B"/>
    <w:rsid w:val="00A91485"/>
    <w:rsid w:val="00A91D1D"/>
    <w:rsid w:val="00A92522"/>
    <w:rsid w:val="00A92B4E"/>
    <w:rsid w:val="00A92D1E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080"/>
    <w:rsid w:val="00A97D45"/>
    <w:rsid w:val="00AA02FA"/>
    <w:rsid w:val="00AA1159"/>
    <w:rsid w:val="00AA1532"/>
    <w:rsid w:val="00AA1B43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84B"/>
    <w:rsid w:val="00AA6859"/>
    <w:rsid w:val="00AA6DCE"/>
    <w:rsid w:val="00AA74EB"/>
    <w:rsid w:val="00AA75A5"/>
    <w:rsid w:val="00AB0099"/>
    <w:rsid w:val="00AB00A3"/>
    <w:rsid w:val="00AB0303"/>
    <w:rsid w:val="00AB053C"/>
    <w:rsid w:val="00AB07A7"/>
    <w:rsid w:val="00AB0C69"/>
    <w:rsid w:val="00AB0E3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339F"/>
    <w:rsid w:val="00AB4500"/>
    <w:rsid w:val="00AB48F0"/>
    <w:rsid w:val="00AB49B4"/>
    <w:rsid w:val="00AB4F74"/>
    <w:rsid w:val="00AB4FDE"/>
    <w:rsid w:val="00AB531B"/>
    <w:rsid w:val="00AB55F2"/>
    <w:rsid w:val="00AB5BA0"/>
    <w:rsid w:val="00AB5CD1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66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49F"/>
    <w:rsid w:val="00AC3642"/>
    <w:rsid w:val="00AC3A37"/>
    <w:rsid w:val="00AC3ABC"/>
    <w:rsid w:val="00AC3ABE"/>
    <w:rsid w:val="00AC4C23"/>
    <w:rsid w:val="00AC52FF"/>
    <w:rsid w:val="00AC57FD"/>
    <w:rsid w:val="00AC586B"/>
    <w:rsid w:val="00AC5DA1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1AFC"/>
    <w:rsid w:val="00AD1EB3"/>
    <w:rsid w:val="00AD2341"/>
    <w:rsid w:val="00AD35A0"/>
    <w:rsid w:val="00AD366F"/>
    <w:rsid w:val="00AD3D34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4"/>
    <w:rsid w:val="00AD6672"/>
    <w:rsid w:val="00AD6891"/>
    <w:rsid w:val="00AD6EEA"/>
    <w:rsid w:val="00AD6F63"/>
    <w:rsid w:val="00AD6FEF"/>
    <w:rsid w:val="00AD7CBF"/>
    <w:rsid w:val="00AD7DB8"/>
    <w:rsid w:val="00AE0012"/>
    <w:rsid w:val="00AE01B0"/>
    <w:rsid w:val="00AE0CEB"/>
    <w:rsid w:val="00AE0DAF"/>
    <w:rsid w:val="00AE11DB"/>
    <w:rsid w:val="00AE1580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AF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1CA"/>
    <w:rsid w:val="00B0651E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7F5"/>
    <w:rsid w:val="00B1490F"/>
    <w:rsid w:val="00B14965"/>
    <w:rsid w:val="00B14B0C"/>
    <w:rsid w:val="00B14BAA"/>
    <w:rsid w:val="00B14BE5"/>
    <w:rsid w:val="00B162C2"/>
    <w:rsid w:val="00B1633B"/>
    <w:rsid w:val="00B1645B"/>
    <w:rsid w:val="00B16745"/>
    <w:rsid w:val="00B1692F"/>
    <w:rsid w:val="00B16EB6"/>
    <w:rsid w:val="00B17276"/>
    <w:rsid w:val="00B17310"/>
    <w:rsid w:val="00B174A3"/>
    <w:rsid w:val="00B17939"/>
    <w:rsid w:val="00B17C39"/>
    <w:rsid w:val="00B20313"/>
    <w:rsid w:val="00B20D10"/>
    <w:rsid w:val="00B2145F"/>
    <w:rsid w:val="00B2191E"/>
    <w:rsid w:val="00B21A90"/>
    <w:rsid w:val="00B21FDE"/>
    <w:rsid w:val="00B224CC"/>
    <w:rsid w:val="00B225CE"/>
    <w:rsid w:val="00B22CB5"/>
    <w:rsid w:val="00B23121"/>
    <w:rsid w:val="00B2358B"/>
    <w:rsid w:val="00B23652"/>
    <w:rsid w:val="00B244AA"/>
    <w:rsid w:val="00B246B2"/>
    <w:rsid w:val="00B247EB"/>
    <w:rsid w:val="00B24BC1"/>
    <w:rsid w:val="00B25856"/>
    <w:rsid w:val="00B25E97"/>
    <w:rsid w:val="00B25F8B"/>
    <w:rsid w:val="00B261FA"/>
    <w:rsid w:val="00B262B7"/>
    <w:rsid w:val="00B26CC9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09D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6268"/>
    <w:rsid w:val="00B36518"/>
    <w:rsid w:val="00B36EF7"/>
    <w:rsid w:val="00B3729A"/>
    <w:rsid w:val="00B3732E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07"/>
    <w:rsid w:val="00B4645D"/>
    <w:rsid w:val="00B464DD"/>
    <w:rsid w:val="00B467BE"/>
    <w:rsid w:val="00B46A02"/>
    <w:rsid w:val="00B472B0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233"/>
    <w:rsid w:val="00B52403"/>
    <w:rsid w:val="00B52460"/>
    <w:rsid w:val="00B5247C"/>
    <w:rsid w:val="00B53638"/>
    <w:rsid w:val="00B53878"/>
    <w:rsid w:val="00B539DD"/>
    <w:rsid w:val="00B53C06"/>
    <w:rsid w:val="00B53CE1"/>
    <w:rsid w:val="00B53DAF"/>
    <w:rsid w:val="00B53F1D"/>
    <w:rsid w:val="00B54088"/>
    <w:rsid w:val="00B5497C"/>
    <w:rsid w:val="00B54D73"/>
    <w:rsid w:val="00B55406"/>
    <w:rsid w:val="00B5608E"/>
    <w:rsid w:val="00B5668C"/>
    <w:rsid w:val="00B56E26"/>
    <w:rsid w:val="00B5752F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960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00C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A9A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47B"/>
    <w:rsid w:val="00B8454D"/>
    <w:rsid w:val="00B84BEA"/>
    <w:rsid w:val="00B84C99"/>
    <w:rsid w:val="00B85340"/>
    <w:rsid w:val="00B855F6"/>
    <w:rsid w:val="00B85764"/>
    <w:rsid w:val="00B86096"/>
    <w:rsid w:val="00B860F3"/>
    <w:rsid w:val="00B86F99"/>
    <w:rsid w:val="00B870E9"/>
    <w:rsid w:val="00B8790D"/>
    <w:rsid w:val="00B90510"/>
    <w:rsid w:val="00B909DC"/>
    <w:rsid w:val="00B90B7D"/>
    <w:rsid w:val="00B91197"/>
    <w:rsid w:val="00B91383"/>
    <w:rsid w:val="00B91668"/>
    <w:rsid w:val="00B91BCD"/>
    <w:rsid w:val="00B91E2C"/>
    <w:rsid w:val="00B91EE5"/>
    <w:rsid w:val="00B937A3"/>
    <w:rsid w:val="00B93F5B"/>
    <w:rsid w:val="00B942CB"/>
    <w:rsid w:val="00B944BD"/>
    <w:rsid w:val="00B94E2C"/>
    <w:rsid w:val="00B94F6F"/>
    <w:rsid w:val="00B95112"/>
    <w:rsid w:val="00B95812"/>
    <w:rsid w:val="00B95EA3"/>
    <w:rsid w:val="00B95FA4"/>
    <w:rsid w:val="00B96052"/>
    <w:rsid w:val="00B96320"/>
    <w:rsid w:val="00B96465"/>
    <w:rsid w:val="00B964DD"/>
    <w:rsid w:val="00B964E5"/>
    <w:rsid w:val="00B96960"/>
    <w:rsid w:val="00B9699C"/>
    <w:rsid w:val="00B969F4"/>
    <w:rsid w:val="00B96CE8"/>
    <w:rsid w:val="00B96FA4"/>
    <w:rsid w:val="00B97108"/>
    <w:rsid w:val="00B97FC5"/>
    <w:rsid w:val="00BA03CC"/>
    <w:rsid w:val="00BA0E60"/>
    <w:rsid w:val="00BA0EBA"/>
    <w:rsid w:val="00BA103E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4E2C"/>
    <w:rsid w:val="00BA508C"/>
    <w:rsid w:val="00BA5390"/>
    <w:rsid w:val="00BA55C7"/>
    <w:rsid w:val="00BA5673"/>
    <w:rsid w:val="00BA5704"/>
    <w:rsid w:val="00BA5A47"/>
    <w:rsid w:val="00BA65ED"/>
    <w:rsid w:val="00BA6760"/>
    <w:rsid w:val="00BA6CB2"/>
    <w:rsid w:val="00BA70B5"/>
    <w:rsid w:val="00BA763A"/>
    <w:rsid w:val="00BA7A29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67D"/>
    <w:rsid w:val="00BB4223"/>
    <w:rsid w:val="00BB4E26"/>
    <w:rsid w:val="00BB4F02"/>
    <w:rsid w:val="00BB5533"/>
    <w:rsid w:val="00BB5D31"/>
    <w:rsid w:val="00BB6043"/>
    <w:rsid w:val="00BB6107"/>
    <w:rsid w:val="00BB619C"/>
    <w:rsid w:val="00BB62A8"/>
    <w:rsid w:val="00BB64E7"/>
    <w:rsid w:val="00BB65DE"/>
    <w:rsid w:val="00BB6FB5"/>
    <w:rsid w:val="00BB7080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CF5"/>
    <w:rsid w:val="00BC5DDC"/>
    <w:rsid w:val="00BC5EFA"/>
    <w:rsid w:val="00BC6202"/>
    <w:rsid w:val="00BC6394"/>
    <w:rsid w:val="00BC642F"/>
    <w:rsid w:val="00BC69A3"/>
    <w:rsid w:val="00BC6B5C"/>
    <w:rsid w:val="00BC6E0C"/>
    <w:rsid w:val="00BC6FC2"/>
    <w:rsid w:val="00BC6FF7"/>
    <w:rsid w:val="00BC7182"/>
    <w:rsid w:val="00BC74A0"/>
    <w:rsid w:val="00BC758F"/>
    <w:rsid w:val="00BC7848"/>
    <w:rsid w:val="00BD001C"/>
    <w:rsid w:val="00BD05E8"/>
    <w:rsid w:val="00BD09A0"/>
    <w:rsid w:val="00BD0E02"/>
    <w:rsid w:val="00BD0ED0"/>
    <w:rsid w:val="00BD13CC"/>
    <w:rsid w:val="00BD1467"/>
    <w:rsid w:val="00BD200C"/>
    <w:rsid w:val="00BD2198"/>
    <w:rsid w:val="00BD26AA"/>
    <w:rsid w:val="00BD27E8"/>
    <w:rsid w:val="00BD30FB"/>
    <w:rsid w:val="00BD34E9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7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04E"/>
    <w:rsid w:val="00BE3905"/>
    <w:rsid w:val="00BE3A20"/>
    <w:rsid w:val="00BE3DCF"/>
    <w:rsid w:val="00BE4180"/>
    <w:rsid w:val="00BE4525"/>
    <w:rsid w:val="00BE454E"/>
    <w:rsid w:val="00BE45A7"/>
    <w:rsid w:val="00BE49FA"/>
    <w:rsid w:val="00BE4BE0"/>
    <w:rsid w:val="00BE5164"/>
    <w:rsid w:val="00BE5516"/>
    <w:rsid w:val="00BE5633"/>
    <w:rsid w:val="00BE59AE"/>
    <w:rsid w:val="00BE69F2"/>
    <w:rsid w:val="00BE69F8"/>
    <w:rsid w:val="00BE6B3D"/>
    <w:rsid w:val="00BE6D48"/>
    <w:rsid w:val="00BE6FBF"/>
    <w:rsid w:val="00BE7521"/>
    <w:rsid w:val="00BE75D9"/>
    <w:rsid w:val="00BE7EEE"/>
    <w:rsid w:val="00BF025A"/>
    <w:rsid w:val="00BF0416"/>
    <w:rsid w:val="00BF0714"/>
    <w:rsid w:val="00BF1005"/>
    <w:rsid w:val="00BF199C"/>
    <w:rsid w:val="00BF1B2C"/>
    <w:rsid w:val="00BF2433"/>
    <w:rsid w:val="00BF27C2"/>
    <w:rsid w:val="00BF367C"/>
    <w:rsid w:val="00BF3A66"/>
    <w:rsid w:val="00BF40FE"/>
    <w:rsid w:val="00BF440A"/>
    <w:rsid w:val="00BF464D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6C7D"/>
    <w:rsid w:val="00BF75F8"/>
    <w:rsid w:val="00BF776A"/>
    <w:rsid w:val="00BF7F4C"/>
    <w:rsid w:val="00C0032A"/>
    <w:rsid w:val="00C0049E"/>
    <w:rsid w:val="00C0103D"/>
    <w:rsid w:val="00C0122B"/>
    <w:rsid w:val="00C01642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3ED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0CA1"/>
    <w:rsid w:val="00C21F73"/>
    <w:rsid w:val="00C22488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76D"/>
    <w:rsid w:val="00C30BE6"/>
    <w:rsid w:val="00C30C1C"/>
    <w:rsid w:val="00C30C39"/>
    <w:rsid w:val="00C30F20"/>
    <w:rsid w:val="00C31B1D"/>
    <w:rsid w:val="00C320ED"/>
    <w:rsid w:val="00C3211B"/>
    <w:rsid w:val="00C32398"/>
    <w:rsid w:val="00C32AC9"/>
    <w:rsid w:val="00C32FC4"/>
    <w:rsid w:val="00C33CA7"/>
    <w:rsid w:val="00C33EC4"/>
    <w:rsid w:val="00C3412C"/>
    <w:rsid w:val="00C35155"/>
    <w:rsid w:val="00C35533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66"/>
    <w:rsid w:val="00C44EF8"/>
    <w:rsid w:val="00C4531D"/>
    <w:rsid w:val="00C4555D"/>
    <w:rsid w:val="00C4641D"/>
    <w:rsid w:val="00C465DF"/>
    <w:rsid w:val="00C471D8"/>
    <w:rsid w:val="00C47758"/>
    <w:rsid w:val="00C47807"/>
    <w:rsid w:val="00C50574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416"/>
    <w:rsid w:val="00C57484"/>
    <w:rsid w:val="00C5764D"/>
    <w:rsid w:val="00C57804"/>
    <w:rsid w:val="00C5780D"/>
    <w:rsid w:val="00C57A1E"/>
    <w:rsid w:val="00C57EAA"/>
    <w:rsid w:val="00C600A2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B9B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4EF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277"/>
    <w:rsid w:val="00C745E5"/>
    <w:rsid w:val="00C7487E"/>
    <w:rsid w:val="00C74DFC"/>
    <w:rsid w:val="00C75D39"/>
    <w:rsid w:val="00C763E9"/>
    <w:rsid w:val="00C76544"/>
    <w:rsid w:val="00C769BB"/>
    <w:rsid w:val="00C772BB"/>
    <w:rsid w:val="00C7748D"/>
    <w:rsid w:val="00C77BA3"/>
    <w:rsid w:val="00C805CC"/>
    <w:rsid w:val="00C80D21"/>
    <w:rsid w:val="00C8104D"/>
    <w:rsid w:val="00C81324"/>
    <w:rsid w:val="00C815C7"/>
    <w:rsid w:val="00C81ADE"/>
    <w:rsid w:val="00C82050"/>
    <w:rsid w:val="00C824B9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CAE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CB8"/>
    <w:rsid w:val="00C92F47"/>
    <w:rsid w:val="00C93008"/>
    <w:rsid w:val="00C94326"/>
    <w:rsid w:val="00C94515"/>
    <w:rsid w:val="00C949F4"/>
    <w:rsid w:val="00C94E70"/>
    <w:rsid w:val="00C94F53"/>
    <w:rsid w:val="00C9502D"/>
    <w:rsid w:val="00C95D9F"/>
    <w:rsid w:val="00C95EB3"/>
    <w:rsid w:val="00C95F20"/>
    <w:rsid w:val="00C960DE"/>
    <w:rsid w:val="00C96208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1F13"/>
    <w:rsid w:val="00CA225B"/>
    <w:rsid w:val="00CA24AF"/>
    <w:rsid w:val="00CA26A1"/>
    <w:rsid w:val="00CA2909"/>
    <w:rsid w:val="00CA359B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7D2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2DF1"/>
    <w:rsid w:val="00CB308E"/>
    <w:rsid w:val="00CB3242"/>
    <w:rsid w:val="00CB387D"/>
    <w:rsid w:val="00CB3C33"/>
    <w:rsid w:val="00CB42CA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B8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BFF"/>
    <w:rsid w:val="00CC3DF0"/>
    <w:rsid w:val="00CC484D"/>
    <w:rsid w:val="00CC4CA9"/>
    <w:rsid w:val="00CC5284"/>
    <w:rsid w:val="00CC531B"/>
    <w:rsid w:val="00CC557F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9EC"/>
    <w:rsid w:val="00CD0AD7"/>
    <w:rsid w:val="00CD108D"/>
    <w:rsid w:val="00CD150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B94"/>
    <w:rsid w:val="00CD3CAE"/>
    <w:rsid w:val="00CD3D7C"/>
    <w:rsid w:val="00CD42C6"/>
    <w:rsid w:val="00CD42D2"/>
    <w:rsid w:val="00CD4852"/>
    <w:rsid w:val="00CD4C14"/>
    <w:rsid w:val="00CD4DFC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3CF"/>
    <w:rsid w:val="00CE1484"/>
    <w:rsid w:val="00CE1D1D"/>
    <w:rsid w:val="00CE2107"/>
    <w:rsid w:val="00CE2843"/>
    <w:rsid w:val="00CE28A7"/>
    <w:rsid w:val="00CE2910"/>
    <w:rsid w:val="00CE29EF"/>
    <w:rsid w:val="00CE2C0B"/>
    <w:rsid w:val="00CE2C92"/>
    <w:rsid w:val="00CE2EC7"/>
    <w:rsid w:val="00CE32DC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7D9"/>
    <w:rsid w:val="00CE785A"/>
    <w:rsid w:val="00CE7A3E"/>
    <w:rsid w:val="00CE7D2B"/>
    <w:rsid w:val="00CE7F51"/>
    <w:rsid w:val="00CF0151"/>
    <w:rsid w:val="00CF0733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64E"/>
    <w:rsid w:val="00CF4A11"/>
    <w:rsid w:val="00CF4A1F"/>
    <w:rsid w:val="00CF4DA4"/>
    <w:rsid w:val="00CF4FDC"/>
    <w:rsid w:val="00CF598E"/>
    <w:rsid w:val="00CF65FB"/>
    <w:rsid w:val="00CF6D57"/>
    <w:rsid w:val="00CF7408"/>
    <w:rsid w:val="00CF7B9C"/>
    <w:rsid w:val="00CF7C6E"/>
    <w:rsid w:val="00D00699"/>
    <w:rsid w:val="00D00CB3"/>
    <w:rsid w:val="00D00F28"/>
    <w:rsid w:val="00D0113A"/>
    <w:rsid w:val="00D014A0"/>
    <w:rsid w:val="00D022EE"/>
    <w:rsid w:val="00D02510"/>
    <w:rsid w:val="00D02640"/>
    <w:rsid w:val="00D0335B"/>
    <w:rsid w:val="00D0396D"/>
    <w:rsid w:val="00D03CBD"/>
    <w:rsid w:val="00D040F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76F"/>
    <w:rsid w:val="00D07A00"/>
    <w:rsid w:val="00D07BEA"/>
    <w:rsid w:val="00D07E8C"/>
    <w:rsid w:val="00D103D6"/>
    <w:rsid w:val="00D10409"/>
    <w:rsid w:val="00D10421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96C"/>
    <w:rsid w:val="00D15ADF"/>
    <w:rsid w:val="00D161B0"/>
    <w:rsid w:val="00D167FF"/>
    <w:rsid w:val="00D16E1E"/>
    <w:rsid w:val="00D17237"/>
    <w:rsid w:val="00D17239"/>
    <w:rsid w:val="00D17BA7"/>
    <w:rsid w:val="00D17D44"/>
    <w:rsid w:val="00D2057D"/>
    <w:rsid w:val="00D206AF"/>
    <w:rsid w:val="00D20761"/>
    <w:rsid w:val="00D20ABD"/>
    <w:rsid w:val="00D20DF2"/>
    <w:rsid w:val="00D20E88"/>
    <w:rsid w:val="00D20F88"/>
    <w:rsid w:val="00D21238"/>
    <w:rsid w:val="00D2147F"/>
    <w:rsid w:val="00D21B7C"/>
    <w:rsid w:val="00D21DF1"/>
    <w:rsid w:val="00D21F90"/>
    <w:rsid w:val="00D22C67"/>
    <w:rsid w:val="00D22FAC"/>
    <w:rsid w:val="00D22FFB"/>
    <w:rsid w:val="00D23163"/>
    <w:rsid w:val="00D23BA3"/>
    <w:rsid w:val="00D23E12"/>
    <w:rsid w:val="00D23E32"/>
    <w:rsid w:val="00D251F3"/>
    <w:rsid w:val="00D252A7"/>
    <w:rsid w:val="00D25451"/>
    <w:rsid w:val="00D25602"/>
    <w:rsid w:val="00D25813"/>
    <w:rsid w:val="00D25D78"/>
    <w:rsid w:val="00D265B8"/>
    <w:rsid w:val="00D26A3E"/>
    <w:rsid w:val="00D26AAB"/>
    <w:rsid w:val="00D26E08"/>
    <w:rsid w:val="00D270D3"/>
    <w:rsid w:val="00D271A2"/>
    <w:rsid w:val="00D27578"/>
    <w:rsid w:val="00D30548"/>
    <w:rsid w:val="00D306A7"/>
    <w:rsid w:val="00D30772"/>
    <w:rsid w:val="00D30B7A"/>
    <w:rsid w:val="00D30F99"/>
    <w:rsid w:val="00D31000"/>
    <w:rsid w:val="00D31337"/>
    <w:rsid w:val="00D313B1"/>
    <w:rsid w:val="00D31531"/>
    <w:rsid w:val="00D316D7"/>
    <w:rsid w:val="00D319B9"/>
    <w:rsid w:val="00D3211C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611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864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13"/>
    <w:rsid w:val="00D4478C"/>
    <w:rsid w:val="00D449D4"/>
    <w:rsid w:val="00D44A40"/>
    <w:rsid w:val="00D44AD6"/>
    <w:rsid w:val="00D44D6E"/>
    <w:rsid w:val="00D45444"/>
    <w:rsid w:val="00D45518"/>
    <w:rsid w:val="00D4589A"/>
    <w:rsid w:val="00D45B02"/>
    <w:rsid w:val="00D45B3C"/>
    <w:rsid w:val="00D4604D"/>
    <w:rsid w:val="00D460F4"/>
    <w:rsid w:val="00D463E3"/>
    <w:rsid w:val="00D46599"/>
    <w:rsid w:val="00D46D0A"/>
    <w:rsid w:val="00D47310"/>
    <w:rsid w:val="00D4784A"/>
    <w:rsid w:val="00D4791A"/>
    <w:rsid w:val="00D5017C"/>
    <w:rsid w:val="00D509E0"/>
    <w:rsid w:val="00D50E84"/>
    <w:rsid w:val="00D512D6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5E0"/>
    <w:rsid w:val="00D57726"/>
    <w:rsid w:val="00D578CB"/>
    <w:rsid w:val="00D6029A"/>
    <w:rsid w:val="00D605EC"/>
    <w:rsid w:val="00D606D2"/>
    <w:rsid w:val="00D60B1F"/>
    <w:rsid w:val="00D60EB1"/>
    <w:rsid w:val="00D61188"/>
    <w:rsid w:val="00D611BB"/>
    <w:rsid w:val="00D612BD"/>
    <w:rsid w:val="00D612EA"/>
    <w:rsid w:val="00D61454"/>
    <w:rsid w:val="00D614E7"/>
    <w:rsid w:val="00D61EF9"/>
    <w:rsid w:val="00D61F8D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D77"/>
    <w:rsid w:val="00D64E1E"/>
    <w:rsid w:val="00D652F8"/>
    <w:rsid w:val="00D657C7"/>
    <w:rsid w:val="00D6638B"/>
    <w:rsid w:val="00D667AE"/>
    <w:rsid w:val="00D668D7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7C8"/>
    <w:rsid w:val="00D719A5"/>
    <w:rsid w:val="00D71AF0"/>
    <w:rsid w:val="00D72423"/>
    <w:rsid w:val="00D72691"/>
    <w:rsid w:val="00D72D3C"/>
    <w:rsid w:val="00D74DE6"/>
    <w:rsid w:val="00D751C2"/>
    <w:rsid w:val="00D75289"/>
    <w:rsid w:val="00D761D1"/>
    <w:rsid w:val="00D762AC"/>
    <w:rsid w:val="00D766C1"/>
    <w:rsid w:val="00D766ED"/>
    <w:rsid w:val="00D76FE7"/>
    <w:rsid w:val="00D77029"/>
    <w:rsid w:val="00D7729C"/>
    <w:rsid w:val="00D7770B"/>
    <w:rsid w:val="00D77749"/>
    <w:rsid w:val="00D778FF"/>
    <w:rsid w:val="00D77C94"/>
    <w:rsid w:val="00D77D2D"/>
    <w:rsid w:val="00D77D71"/>
    <w:rsid w:val="00D77F6C"/>
    <w:rsid w:val="00D80870"/>
    <w:rsid w:val="00D80CCB"/>
    <w:rsid w:val="00D80E89"/>
    <w:rsid w:val="00D8132E"/>
    <w:rsid w:val="00D81BB1"/>
    <w:rsid w:val="00D81CA9"/>
    <w:rsid w:val="00D82497"/>
    <w:rsid w:val="00D825C8"/>
    <w:rsid w:val="00D82870"/>
    <w:rsid w:val="00D829ED"/>
    <w:rsid w:val="00D82B69"/>
    <w:rsid w:val="00D82C21"/>
    <w:rsid w:val="00D82F9E"/>
    <w:rsid w:val="00D83226"/>
    <w:rsid w:val="00D8341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59"/>
    <w:rsid w:val="00D84EDE"/>
    <w:rsid w:val="00D8521C"/>
    <w:rsid w:val="00D852EE"/>
    <w:rsid w:val="00D853CD"/>
    <w:rsid w:val="00D8569B"/>
    <w:rsid w:val="00D85AF4"/>
    <w:rsid w:val="00D85C65"/>
    <w:rsid w:val="00D85FA5"/>
    <w:rsid w:val="00D86487"/>
    <w:rsid w:val="00D86748"/>
    <w:rsid w:val="00D86940"/>
    <w:rsid w:val="00D869C0"/>
    <w:rsid w:val="00D86B29"/>
    <w:rsid w:val="00D86CB6"/>
    <w:rsid w:val="00D86D50"/>
    <w:rsid w:val="00D87585"/>
    <w:rsid w:val="00D87653"/>
    <w:rsid w:val="00D87C6C"/>
    <w:rsid w:val="00D87D2C"/>
    <w:rsid w:val="00D87DE7"/>
    <w:rsid w:val="00D9018D"/>
    <w:rsid w:val="00D90367"/>
    <w:rsid w:val="00D907EA"/>
    <w:rsid w:val="00D9094E"/>
    <w:rsid w:val="00D90D4A"/>
    <w:rsid w:val="00D90F95"/>
    <w:rsid w:val="00D91888"/>
    <w:rsid w:val="00D918E4"/>
    <w:rsid w:val="00D91A85"/>
    <w:rsid w:val="00D91E1A"/>
    <w:rsid w:val="00D91E6C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48"/>
    <w:rsid w:val="00D95270"/>
    <w:rsid w:val="00D95339"/>
    <w:rsid w:val="00D95363"/>
    <w:rsid w:val="00D95447"/>
    <w:rsid w:val="00D95665"/>
    <w:rsid w:val="00D960E7"/>
    <w:rsid w:val="00D96131"/>
    <w:rsid w:val="00D962AA"/>
    <w:rsid w:val="00D9719B"/>
    <w:rsid w:val="00D97269"/>
    <w:rsid w:val="00D972ED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C8"/>
    <w:rsid w:val="00DA71AB"/>
    <w:rsid w:val="00DA74BA"/>
    <w:rsid w:val="00DA75F6"/>
    <w:rsid w:val="00DB055C"/>
    <w:rsid w:val="00DB06E9"/>
    <w:rsid w:val="00DB1867"/>
    <w:rsid w:val="00DB233D"/>
    <w:rsid w:val="00DB25BA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46"/>
    <w:rsid w:val="00DB67CC"/>
    <w:rsid w:val="00DB6865"/>
    <w:rsid w:val="00DB6D4E"/>
    <w:rsid w:val="00DB7118"/>
    <w:rsid w:val="00DB75C4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2A1"/>
    <w:rsid w:val="00DC6870"/>
    <w:rsid w:val="00DC6F54"/>
    <w:rsid w:val="00DC7287"/>
    <w:rsid w:val="00DC73E3"/>
    <w:rsid w:val="00DC7EC0"/>
    <w:rsid w:val="00DD00B3"/>
    <w:rsid w:val="00DD03B2"/>
    <w:rsid w:val="00DD067F"/>
    <w:rsid w:val="00DD077C"/>
    <w:rsid w:val="00DD07A6"/>
    <w:rsid w:val="00DD08BF"/>
    <w:rsid w:val="00DD099F"/>
    <w:rsid w:val="00DD0A45"/>
    <w:rsid w:val="00DD0A9A"/>
    <w:rsid w:val="00DD0B57"/>
    <w:rsid w:val="00DD0DA1"/>
    <w:rsid w:val="00DD18E9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819"/>
    <w:rsid w:val="00DD3E1C"/>
    <w:rsid w:val="00DD3FD6"/>
    <w:rsid w:val="00DD42C2"/>
    <w:rsid w:val="00DD45B6"/>
    <w:rsid w:val="00DD4B63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3A3"/>
    <w:rsid w:val="00DE156F"/>
    <w:rsid w:val="00DE19B3"/>
    <w:rsid w:val="00DE1C51"/>
    <w:rsid w:val="00DE2F0B"/>
    <w:rsid w:val="00DE3477"/>
    <w:rsid w:val="00DE3868"/>
    <w:rsid w:val="00DE3D98"/>
    <w:rsid w:val="00DE4AD5"/>
    <w:rsid w:val="00DE4E29"/>
    <w:rsid w:val="00DE5626"/>
    <w:rsid w:val="00DE58E6"/>
    <w:rsid w:val="00DE5C7C"/>
    <w:rsid w:val="00DE6239"/>
    <w:rsid w:val="00DE6549"/>
    <w:rsid w:val="00DE6678"/>
    <w:rsid w:val="00DE6C9A"/>
    <w:rsid w:val="00DE7010"/>
    <w:rsid w:val="00DE7052"/>
    <w:rsid w:val="00DE7299"/>
    <w:rsid w:val="00DE7555"/>
    <w:rsid w:val="00DE764F"/>
    <w:rsid w:val="00DE7654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2E1B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38AF"/>
    <w:rsid w:val="00E03DB0"/>
    <w:rsid w:val="00E03EA8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5ED"/>
    <w:rsid w:val="00E07A97"/>
    <w:rsid w:val="00E07C11"/>
    <w:rsid w:val="00E07C39"/>
    <w:rsid w:val="00E10042"/>
    <w:rsid w:val="00E10983"/>
    <w:rsid w:val="00E10E37"/>
    <w:rsid w:val="00E1177E"/>
    <w:rsid w:val="00E11954"/>
    <w:rsid w:val="00E119FB"/>
    <w:rsid w:val="00E11A9B"/>
    <w:rsid w:val="00E11F15"/>
    <w:rsid w:val="00E12210"/>
    <w:rsid w:val="00E1352B"/>
    <w:rsid w:val="00E1393E"/>
    <w:rsid w:val="00E13B2A"/>
    <w:rsid w:val="00E13EB0"/>
    <w:rsid w:val="00E14BD0"/>
    <w:rsid w:val="00E14F05"/>
    <w:rsid w:val="00E150ED"/>
    <w:rsid w:val="00E15620"/>
    <w:rsid w:val="00E15831"/>
    <w:rsid w:val="00E159A0"/>
    <w:rsid w:val="00E15BDA"/>
    <w:rsid w:val="00E15E8E"/>
    <w:rsid w:val="00E16058"/>
    <w:rsid w:val="00E16BB5"/>
    <w:rsid w:val="00E16F1B"/>
    <w:rsid w:val="00E172CE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0F7"/>
    <w:rsid w:val="00E23422"/>
    <w:rsid w:val="00E23FA2"/>
    <w:rsid w:val="00E24294"/>
    <w:rsid w:val="00E24FDC"/>
    <w:rsid w:val="00E251DE"/>
    <w:rsid w:val="00E256AB"/>
    <w:rsid w:val="00E25ABF"/>
    <w:rsid w:val="00E26ABF"/>
    <w:rsid w:val="00E300CB"/>
    <w:rsid w:val="00E305B9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7AF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C4"/>
    <w:rsid w:val="00E411D0"/>
    <w:rsid w:val="00E4130D"/>
    <w:rsid w:val="00E4177B"/>
    <w:rsid w:val="00E41D5E"/>
    <w:rsid w:val="00E41FBA"/>
    <w:rsid w:val="00E42498"/>
    <w:rsid w:val="00E424EB"/>
    <w:rsid w:val="00E42F9A"/>
    <w:rsid w:val="00E43084"/>
    <w:rsid w:val="00E431BC"/>
    <w:rsid w:val="00E43371"/>
    <w:rsid w:val="00E4390B"/>
    <w:rsid w:val="00E44175"/>
    <w:rsid w:val="00E443C5"/>
    <w:rsid w:val="00E447B6"/>
    <w:rsid w:val="00E44F03"/>
    <w:rsid w:val="00E44F68"/>
    <w:rsid w:val="00E45139"/>
    <w:rsid w:val="00E45651"/>
    <w:rsid w:val="00E461EE"/>
    <w:rsid w:val="00E465D1"/>
    <w:rsid w:val="00E46B8E"/>
    <w:rsid w:val="00E46E30"/>
    <w:rsid w:val="00E47A6D"/>
    <w:rsid w:val="00E47C91"/>
    <w:rsid w:val="00E47FEE"/>
    <w:rsid w:val="00E5068A"/>
    <w:rsid w:val="00E509B6"/>
    <w:rsid w:val="00E51666"/>
    <w:rsid w:val="00E51E7B"/>
    <w:rsid w:val="00E52839"/>
    <w:rsid w:val="00E52B15"/>
    <w:rsid w:val="00E52F19"/>
    <w:rsid w:val="00E52F1B"/>
    <w:rsid w:val="00E53064"/>
    <w:rsid w:val="00E531B7"/>
    <w:rsid w:val="00E5391B"/>
    <w:rsid w:val="00E53DAC"/>
    <w:rsid w:val="00E53E0B"/>
    <w:rsid w:val="00E53FFA"/>
    <w:rsid w:val="00E54B00"/>
    <w:rsid w:val="00E55249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E6B"/>
    <w:rsid w:val="00E6020C"/>
    <w:rsid w:val="00E60490"/>
    <w:rsid w:val="00E60D84"/>
    <w:rsid w:val="00E610C8"/>
    <w:rsid w:val="00E61153"/>
    <w:rsid w:val="00E61325"/>
    <w:rsid w:val="00E61422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345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B28"/>
    <w:rsid w:val="00E70E0C"/>
    <w:rsid w:val="00E712A4"/>
    <w:rsid w:val="00E7187A"/>
    <w:rsid w:val="00E71A51"/>
    <w:rsid w:val="00E71BF9"/>
    <w:rsid w:val="00E72283"/>
    <w:rsid w:val="00E7239F"/>
    <w:rsid w:val="00E73261"/>
    <w:rsid w:val="00E733CA"/>
    <w:rsid w:val="00E7366C"/>
    <w:rsid w:val="00E73781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6FD7"/>
    <w:rsid w:val="00E770B8"/>
    <w:rsid w:val="00E772C5"/>
    <w:rsid w:val="00E77816"/>
    <w:rsid w:val="00E77DAB"/>
    <w:rsid w:val="00E77E7F"/>
    <w:rsid w:val="00E80172"/>
    <w:rsid w:val="00E8047B"/>
    <w:rsid w:val="00E805CB"/>
    <w:rsid w:val="00E805E4"/>
    <w:rsid w:val="00E809BA"/>
    <w:rsid w:val="00E80A63"/>
    <w:rsid w:val="00E80AF0"/>
    <w:rsid w:val="00E80B38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377"/>
    <w:rsid w:val="00E87726"/>
    <w:rsid w:val="00E8790B"/>
    <w:rsid w:val="00E87A99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6E50"/>
    <w:rsid w:val="00E9702A"/>
    <w:rsid w:val="00E97310"/>
    <w:rsid w:val="00E974F8"/>
    <w:rsid w:val="00E9759B"/>
    <w:rsid w:val="00E97BCE"/>
    <w:rsid w:val="00E97C70"/>
    <w:rsid w:val="00EA0394"/>
    <w:rsid w:val="00EA0FB4"/>
    <w:rsid w:val="00EA23EA"/>
    <w:rsid w:val="00EA3A57"/>
    <w:rsid w:val="00EA3B15"/>
    <w:rsid w:val="00EA3BF5"/>
    <w:rsid w:val="00EA3F0A"/>
    <w:rsid w:val="00EA466A"/>
    <w:rsid w:val="00EA46AD"/>
    <w:rsid w:val="00EA4AA9"/>
    <w:rsid w:val="00EA52B8"/>
    <w:rsid w:val="00EA5695"/>
    <w:rsid w:val="00EA56C8"/>
    <w:rsid w:val="00EA5993"/>
    <w:rsid w:val="00EA5D4F"/>
    <w:rsid w:val="00EA5F2B"/>
    <w:rsid w:val="00EA6362"/>
    <w:rsid w:val="00EA6CE8"/>
    <w:rsid w:val="00EA6E42"/>
    <w:rsid w:val="00EA706D"/>
    <w:rsid w:val="00EA7185"/>
    <w:rsid w:val="00EA748D"/>
    <w:rsid w:val="00EA7A42"/>
    <w:rsid w:val="00EA7E57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544"/>
    <w:rsid w:val="00EB383D"/>
    <w:rsid w:val="00EB3EFC"/>
    <w:rsid w:val="00EB4070"/>
    <w:rsid w:val="00EB453F"/>
    <w:rsid w:val="00EB4841"/>
    <w:rsid w:val="00EB4B52"/>
    <w:rsid w:val="00EB4BF6"/>
    <w:rsid w:val="00EB51BC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7FB"/>
    <w:rsid w:val="00EC6B33"/>
    <w:rsid w:val="00EC6B85"/>
    <w:rsid w:val="00EC6D6A"/>
    <w:rsid w:val="00EC73A4"/>
    <w:rsid w:val="00EC7710"/>
    <w:rsid w:val="00EC7AE1"/>
    <w:rsid w:val="00ED0322"/>
    <w:rsid w:val="00ED1CE2"/>
    <w:rsid w:val="00ED268B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646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2CB1"/>
    <w:rsid w:val="00EE31D2"/>
    <w:rsid w:val="00EE3BC2"/>
    <w:rsid w:val="00EE3EB5"/>
    <w:rsid w:val="00EE4254"/>
    <w:rsid w:val="00EE533A"/>
    <w:rsid w:val="00EE5459"/>
    <w:rsid w:val="00EE59FE"/>
    <w:rsid w:val="00EE5A2D"/>
    <w:rsid w:val="00EE5BBC"/>
    <w:rsid w:val="00EE5DB1"/>
    <w:rsid w:val="00EE5DDE"/>
    <w:rsid w:val="00EE697C"/>
    <w:rsid w:val="00EE6DA0"/>
    <w:rsid w:val="00EE79E0"/>
    <w:rsid w:val="00EE7D43"/>
    <w:rsid w:val="00EE7F59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EF780D"/>
    <w:rsid w:val="00F01150"/>
    <w:rsid w:val="00F0122E"/>
    <w:rsid w:val="00F012C7"/>
    <w:rsid w:val="00F01381"/>
    <w:rsid w:val="00F01636"/>
    <w:rsid w:val="00F032DB"/>
    <w:rsid w:val="00F04D8D"/>
    <w:rsid w:val="00F06464"/>
    <w:rsid w:val="00F06A3B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3852"/>
    <w:rsid w:val="00F144EA"/>
    <w:rsid w:val="00F1458E"/>
    <w:rsid w:val="00F146EB"/>
    <w:rsid w:val="00F14800"/>
    <w:rsid w:val="00F14B02"/>
    <w:rsid w:val="00F14B28"/>
    <w:rsid w:val="00F159A1"/>
    <w:rsid w:val="00F15EE5"/>
    <w:rsid w:val="00F15FC6"/>
    <w:rsid w:val="00F1678F"/>
    <w:rsid w:val="00F16892"/>
    <w:rsid w:val="00F16F61"/>
    <w:rsid w:val="00F1723B"/>
    <w:rsid w:val="00F17363"/>
    <w:rsid w:val="00F17A2C"/>
    <w:rsid w:val="00F17CEC"/>
    <w:rsid w:val="00F17D5E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4C44"/>
    <w:rsid w:val="00F25C62"/>
    <w:rsid w:val="00F261C2"/>
    <w:rsid w:val="00F2638F"/>
    <w:rsid w:val="00F2676C"/>
    <w:rsid w:val="00F273B9"/>
    <w:rsid w:val="00F276BF"/>
    <w:rsid w:val="00F27762"/>
    <w:rsid w:val="00F279F9"/>
    <w:rsid w:val="00F27C83"/>
    <w:rsid w:val="00F27DFE"/>
    <w:rsid w:val="00F3040B"/>
    <w:rsid w:val="00F30B50"/>
    <w:rsid w:val="00F30DDC"/>
    <w:rsid w:val="00F30F21"/>
    <w:rsid w:val="00F3100A"/>
    <w:rsid w:val="00F3124B"/>
    <w:rsid w:val="00F312D1"/>
    <w:rsid w:val="00F31A22"/>
    <w:rsid w:val="00F31B5A"/>
    <w:rsid w:val="00F31CE5"/>
    <w:rsid w:val="00F31EAD"/>
    <w:rsid w:val="00F31F20"/>
    <w:rsid w:val="00F322EE"/>
    <w:rsid w:val="00F323B8"/>
    <w:rsid w:val="00F327D9"/>
    <w:rsid w:val="00F3324F"/>
    <w:rsid w:val="00F34144"/>
    <w:rsid w:val="00F341E9"/>
    <w:rsid w:val="00F34AA6"/>
    <w:rsid w:val="00F34FC2"/>
    <w:rsid w:val="00F3533B"/>
    <w:rsid w:val="00F35540"/>
    <w:rsid w:val="00F35576"/>
    <w:rsid w:val="00F35782"/>
    <w:rsid w:val="00F35987"/>
    <w:rsid w:val="00F35E28"/>
    <w:rsid w:val="00F35FF8"/>
    <w:rsid w:val="00F36976"/>
    <w:rsid w:val="00F36AC0"/>
    <w:rsid w:val="00F37155"/>
    <w:rsid w:val="00F37259"/>
    <w:rsid w:val="00F37CD8"/>
    <w:rsid w:val="00F4089A"/>
    <w:rsid w:val="00F41140"/>
    <w:rsid w:val="00F41723"/>
    <w:rsid w:val="00F419A4"/>
    <w:rsid w:val="00F42341"/>
    <w:rsid w:val="00F42D5F"/>
    <w:rsid w:val="00F431C9"/>
    <w:rsid w:val="00F432B6"/>
    <w:rsid w:val="00F438A9"/>
    <w:rsid w:val="00F43B03"/>
    <w:rsid w:val="00F43EEC"/>
    <w:rsid w:val="00F4401C"/>
    <w:rsid w:val="00F445DD"/>
    <w:rsid w:val="00F44BE9"/>
    <w:rsid w:val="00F44F36"/>
    <w:rsid w:val="00F45BFE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722"/>
    <w:rsid w:val="00F478FE"/>
    <w:rsid w:val="00F5018C"/>
    <w:rsid w:val="00F50D00"/>
    <w:rsid w:val="00F513B3"/>
    <w:rsid w:val="00F5157D"/>
    <w:rsid w:val="00F51605"/>
    <w:rsid w:val="00F5173A"/>
    <w:rsid w:val="00F5268B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3E3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792"/>
    <w:rsid w:val="00F63EAE"/>
    <w:rsid w:val="00F642C4"/>
    <w:rsid w:val="00F64B1C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20"/>
    <w:rsid w:val="00F71BBD"/>
    <w:rsid w:val="00F722F1"/>
    <w:rsid w:val="00F72C03"/>
    <w:rsid w:val="00F737BD"/>
    <w:rsid w:val="00F73A70"/>
    <w:rsid w:val="00F7520D"/>
    <w:rsid w:val="00F7545E"/>
    <w:rsid w:val="00F7587E"/>
    <w:rsid w:val="00F75C91"/>
    <w:rsid w:val="00F760CA"/>
    <w:rsid w:val="00F76174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107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36"/>
    <w:rsid w:val="00F83983"/>
    <w:rsid w:val="00F83BC8"/>
    <w:rsid w:val="00F83DE9"/>
    <w:rsid w:val="00F840FD"/>
    <w:rsid w:val="00F84392"/>
    <w:rsid w:val="00F8458A"/>
    <w:rsid w:val="00F84A77"/>
    <w:rsid w:val="00F84B96"/>
    <w:rsid w:val="00F84D17"/>
    <w:rsid w:val="00F84FD3"/>
    <w:rsid w:val="00F853ED"/>
    <w:rsid w:val="00F859B5"/>
    <w:rsid w:val="00F85C0E"/>
    <w:rsid w:val="00F85D51"/>
    <w:rsid w:val="00F86623"/>
    <w:rsid w:val="00F8689F"/>
    <w:rsid w:val="00F86B40"/>
    <w:rsid w:val="00F86B73"/>
    <w:rsid w:val="00F86C60"/>
    <w:rsid w:val="00F87376"/>
    <w:rsid w:val="00F87386"/>
    <w:rsid w:val="00F873E1"/>
    <w:rsid w:val="00F8768C"/>
    <w:rsid w:val="00F90169"/>
    <w:rsid w:val="00F902A7"/>
    <w:rsid w:val="00F9101C"/>
    <w:rsid w:val="00F915F0"/>
    <w:rsid w:val="00F91AC4"/>
    <w:rsid w:val="00F92338"/>
    <w:rsid w:val="00F9238B"/>
    <w:rsid w:val="00F92DAE"/>
    <w:rsid w:val="00F9330F"/>
    <w:rsid w:val="00F93502"/>
    <w:rsid w:val="00F939C5"/>
    <w:rsid w:val="00F93C2E"/>
    <w:rsid w:val="00F93C56"/>
    <w:rsid w:val="00F93C7B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12C"/>
    <w:rsid w:val="00F978D1"/>
    <w:rsid w:val="00F97FF4"/>
    <w:rsid w:val="00FA0001"/>
    <w:rsid w:val="00FA0A68"/>
    <w:rsid w:val="00FA1545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AA3"/>
    <w:rsid w:val="00FA5C2D"/>
    <w:rsid w:val="00FA6688"/>
    <w:rsid w:val="00FA6B8B"/>
    <w:rsid w:val="00FA76B5"/>
    <w:rsid w:val="00FA7820"/>
    <w:rsid w:val="00FA78C2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4C57"/>
    <w:rsid w:val="00FB5A28"/>
    <w:rsid w:val="00FB5D09"/>
    <w:rsid w:val="00FB6150"/>
    <w:rsid w:val="00FB626B"/>
    <w:rsid w:val="00FB6718"/>
    <w:rsid w:val="00FB67CE"/>
    <w:rsid w:val="00FB6A0E"/>
    <w:rsid w:val="00FB7098"/>
    <w:rsid w:val="00FC01A9"/>
    <w:rsid w:val="00FC029E"/>
    <w:rsid w:val="00FC02B0"/>
    <w:rsid w:val="00FC02F7"/>
    <w:rsid w:val="00FC0B95"/>
    <w:rsid w:val="00FC12AE"/>
    <w:rsid w:val="00FC1308"/>
    <w:rsid w:val="00FC1773"/>
    <w:rsid w:val="00FC2485"/>
    <w:rsid w:val="00FC2C6B"/>
    <w:rsid w:val="00FC2FFA"/>
    <w:rsid w:val="00FC373C"/>
    <w:rsid w:val="00FC37AB"/>
    <w:rsid w:val="00FC37D3"/>
    <w:rsid w:val="00FC3DEB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893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934"/>
    <w:rsid w:val="00FD5A05"/>
    <w:rsid w:val="00FD5CA9"/>
    <w:rsid w:val="00FD5F19"/>
    <w:rsid w:val="00FD5FC7"/>
    <w:rsid w:val="00FD615C"/>
    <w:rsid w:val="00FD64A3"/>
    <w:rsid w:val="00FD671C"/>
    <w:rsid w:val="00FD6738"/>
    <w:rsid w:val="00FD6AB6"/>
    <w:rsid w:val="00FD6C8C"/>
    <w:rsid w:val="00FD71E6"/>
    <w:rsid w:val="00FD75B3"/>
    <w:rsid w:val="00FD7BCE"/>
    <w:rsid w:val="00FE0485"/>
    <w:rsid w:val="00FE0C0A"/>
    <w:rsid w:val="00FE10FA"/>
    <w:rsid w:val="00FE1483"/>
    <w:rsid w:val="00FE169D"/>
    <w:rsid w:val="00FE16AA"/>
    <w:rsid w:val="00FE1B80"/>
    <w:rsid w:val="00FE1BB6"/>
    <w:rsid w:val="00FE1D47"/>
    <w:rsid w:val="00FE21C0"/>
    <w:rsid w:val="00FE2C95"/>
    <w:rsid w:val="00FE32A0"/>
    <w:rsid w:val="00FE33AC"/>
    <w:rsid w:val="00FE3D4A"/>
    <w:rsid w:val="00FE424B"/>
    <w:rsid w:val="00FE458D"/>
    <w:rsid w:val="00FE5479"/>
    <w:rsid w:val="00FE58D0"/>
    <w:rsid w:val="00FE5A34"/>
    <w:rsid w:val="00FE5B2F"/>
    <w:rsid w:val="00FE5BEB"/>
    <w:rsid w:val="00FE5C72"/>
    <w:rsid w:val="00FE5EB7"/>
    <w:rsid w:val="00FE66CC"/>
    <w:rsid w:val="00FE695E"/>
    <w:rsid w:val="00FE6B2E"/>
    <w:rsid w:val="00FE6E5A"/>
    <w:rsid w:val="00FE7038"/>
    <w:rsid w:val="00FE704E"/>
    <w:rsid w:val="00FE733E"/>
    <w:rsid w:val="00FE7594"/>
    <w:rsid w:val="00FE75F0"/>
    <w:rsid w:val="00FE7A17"/>
    <w:rsid w:val="00FE7B1A"/>
    <w:rsid w:val="00FF0053"/>
    <w:rsid w:val="00FF02F2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683"/>
    <w:rsid w:val="00FF4923"/>
    <w:rsid w:val="00FF5541"/>
    <w:rsid w:val="00FF5557"/>
    <w:rsid w:val="00FF564D"/>
    <w:rsid w:val="00FF5DFA"/>
    <w:rsid w:val="00FF5E25"/>
    <w:rsid w:val="00FF65BA"/>
    <w:rsid w:val="00FF6853"/>
    <w:rsid w:val="00FF766E"/>
    <w:rsid w:val="00FF7AA5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BEAAA"/>
  <w15:docId w15:val="{5C7EF367-D6B0-4D26-B1F4-23F66B4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D512D6"/>
    <w:rPr>
      <w:sz w:val="24"/>
      <w:szCs w:val="24"/>
      <w:lang w:eastAsia="ar-SA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5" Type="http://schemas.openxmlformats.org/officeDocument/2006/relationships/hyperlink" Target="mailto:https://data.tuik.gov.tr/Bulten/Index?p=Labour-Force-Statistics-February-2023-49371" TargetMode="External"/><Relationship Id="rId4" Type="http://schemas.openxmlformats.org/officeDocument/2006/relationships/hyperlink" Target="https://data.tuik.gov.tr/Kategori/GetKategori?p=istihdam-issizlik-ve-ucret-108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bahcesehir-my.sharepoint.com/personal/mehmetcem_sahin_bau_edu_tr/Documents/Masau&#776;stu&#776;/BetamCalismalari/LABOR%20MARKET%20OUTLOOK/ARASTIRMA%20NOTU/2023/05.2023/AN%20I&#775;s&#807;sizlik%20(EN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bau_edu_tr/Documents/Masau&#776;stu&#776;/BetamCalismalari/LABOR%20MARKET%20OUTLOOK/ARASTIRMA%20NOTU/2023/05.2023/AN%20I&#775;s&#807;sizlik%20(EN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bahcesehir-my.sharepoint.com/personal/mehmetcem_sahin_bau_edu_tr/Documents/Masau&#776;stu&#776;/BetamCalismalari/LABOR%20MARKET%20OUTLOOK/ARASTIRMA%20NOTU/2023/05.2023/AN%20I&#775;s&#807;sizlik%20(EN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bau_edu_tr/Documents/Masau&#776;stu&#776;/BetamCalismalari/LABOR%20MARKET%20OUTLOOK/ARASTIRMA%20NOTU/2023/05.2023/AN%20I&#775;s&#807;sizlik%20(EN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54893935880805222"/>
          <c:h val="0.74943174656359501"/>
        </c:manualLayout>
      </c:layout>
      <c:lineChart>
        <c:grouping val="standard"/>
        <c:varyColors val="0"/>
        <c:ser>
          <c:idx val="1"/>
          <c:order val="0"/>
          <c:tx>
            <c:strRef>
              <c:f>'FIGURE 1'!$B$1</c:f>
              <c:strCache>
                <c:ptCount val="1"/>
                <c:pt idx="0">
                  <c:v>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'FIGURE 1'!$A$76:$A$112</c:f>
              <c:numCache>
                <c:formatCode>[$-409]mmm\-yy;@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'FIGURE 1'!$B$76:$B$112</c:f>
              <c:numCache>
                <c:formatCode>###\ ###</c:formatCode>
                <c:ptCount val="37"/>
                <c:pt idx="0">
                  <c:v>30282</c:v>
                </c:pt>
                <c:pt idx="1">
                  <c:v>29003</c:v>
                </c:pt>
                <c:pt idx="2">
                  <c:v>29618</c:v>
                </c:pt>
                <c:pt idx="3">
                  <c:v>30592</c:v>
                </c:pt>
                <c:pt idx="4">
                  <c:v>30467</c:v>
                </c:pt>
                <c:pt idx="5">
                  <c:v>30968</c:v>
                </c:pt>
                <c:pt idx="6">
                  <c:v>31085</c:v>
                </c:pt>
                <c:pt idx="7">
                  <c:v>31039</c:v>
                </c:pt>
                <c:pt idx="8">
                  <c:v>31072</c:v>
                </c:pt>
                <c:pt idx="9">
                  <c:v>31016</c:v>
                </c:pt>
                <c:pt idx="10">
                  <c:v>31603</c:v>
                </c:pt>
                <c:pt idx="11">
                  <c:v>31868</c:v>
                </c:pt>
                <c:pt idx="12">
                  <c:v>32609</c:v>
                </c:pt>
                <c:pt idx="13">
                  <c:v>32680</c:v>
                </c:pt>
                <c:pt idx="14">
                  <c:v>32292</c:v>
                </c:pt>
                <c:pt idx="15">
                  <c:v>32172</c:v>
                </c:pt>
                <c:pt idx="16">
                  <c:v>32596</c:v>
                </c:pt>
                <c:pt idx="17">
                  <c:v>32919</c:v>
                </c:pt>
                <c:pt idx="18">
                  <c:v>33310</c:v>
                </c:pt>
                <c:pt idx="19">
                  <c:v>33256</c:v>
                </c:pt>
                <c:pt idx="20">
                  <c:v>33325</c:v>
                </c:pt>
                <c:pt idx="21">
                  <c:v>33752</c:v>
                </c:pt>
                <c:pt idx="22">
                  <c:v>33790</c:v>
                </c:pt>
                <c:pt idx="23">
                  <c:v>33520</c:v>
                </c:pt>
                <c:pt idx="24">
                  <c:v>33855</c:v>
                </c:pt>
                <c:pt idx="25">
                  <c:v>34231</c:v>
                </c:pt>
                <c:pt idx="26">
                  <c:v>34603</c:v>
                </c:pt>
                <c:pt idx="27">
                  <c:v>34268</c:v>
                </c:pt>
                <c:pt idx="28">
                  <c:v>33991</c:v>
                </c:pt>
                <c:pt idx="29">
                  <c:v>34420</c:v>
                </c:pt>
                <c:pt idx="30">
                  <c:v>34456</c:v>
                </c:pt>
                <c:pt idx="31">
                  <c:v>34571</c:v>
                </c:pt>
                <c:pt idx="32">
                  <c:v>35108</c:v>
                </c:pt>
                <c:pt idx="33">
                  <c:v>35045</c:v>
                </c:pt>
                <c:pt idx="34">
                  <c:v>35222</c:v>
                </c:pt>
                <c:pt idx="35">
                  <c:v>34929</c:v>
                </c:pt>
                <c:pt idx="36">
                  <c:v>34970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CA-C74A-B587-FDCBF4DE4FDB}"/>
            </c:ext>
          </c:extLst>
        </c:ser>
        <c:ser>
          <c:idx val="0"/>
          <c:order val="1"/>
          <c:tx>
            <c:strRef>
              <c:f>'FIGURE 1'!$C$1</c:f>
              <c:strCache>
                <c:ptCount val="1"/>
                <c:pt idx="0">
                  <c:v>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'FIGURE 1'!$A$76:$A$112</c:f>
              <c:numCache>
                <c:formatCode>[$-409]mmm\-yy;@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'FIGURE 1'!$C$76:$C$112</c:f>
              <c:numCache>
                <c:formatCode>###\ ###</c:formatCode>
                <c:ptCount val="37"/>
                <c:pt idx="0">
                  <c:v>26351</c:v>
                </c:pt>
                <c:pt idx="1">
                  <c:v>25077</c:v>
                </c:pt>
                <c:pt idx="2">
                  <c:v>25588</c:v>
                </c:pt>
                <c:pt idx="3">
                  <c:v>26403</c:v>
                </c:pt>
                <c:pt idx="4">
                  <c:v>26124</c:v>
                </c:pt>
                <c:pt idx="5">
                  <c:v>26959</c:v>
                </c:pt>
                <c:pt idx="6">
                  <c:v>27173</c:v>
                </c:pt>
                <c:pt idx="7">
                  <c:v>26999</c:v>
                </c:pt>
                <c:pt idx="8">
                  <c:v>27024</c:v>
                </c:pt>
                <c:pt idx="9">
                  <c:v>27115</c:v>
                </c:pt>
                <c:pt idx="10">
                  <c:v>27643</c:v>
                </c:pt>
                <c:pt idx="11">
                  <c:v>27660</c:v>
                </c:pt>
                <c:pt idx="12">
                  <c:v>28403</c:v>
                </c:pt>
                <c:pt idx="13">
                  <c:v>28284</c:v>
                </c:pt>
                <c:pt idx="14">
                  <c:v>28013</c:v>
                </c:pt>
                <c:pt idx="15">
                  <c:v>28625</c:v>
                </c:pt>
                <c:pt idx="16">
                  <c:v>28813</c:v>
                </c:pt>
                <c:pt idx="17">
                  <c:v>28999</c:v>
                </c:pt>
                <c:pt idx="18">
                  <c:v>29569</c:v>
                </c:pt>
                <c:pt idx="19">
                  <c:v>29606</c:v>
                </c:pt>
                <c:pt idx="20">
                  <c:v>29612</c:v>
                </c:pt>
                <c:pt idx="21">
                  <c:v>30042</c:v>
                </c:pt>
                <c:pt idx="22">
                  <c:v>29984</c:v>
                </c:pt>
                <c:pt idx="23">
                  <c:v>29935</c:v>
                </c:pt>
                <c:pt idx="24">
                  <c:v>30065</c:v>
                </c:pt>
                <c:pt idx="25">
                  <c:v>30451</c:v>
                </c:pt>
                <c:pt idx="26">
                  <c:v>30865</c:v>
                </c:pt>
                <c:pt idx="27">
                  <c:v>30720</c:v>
                </c:pt>
                <c:pt idx="28">
                  <c:v>30529</c:v>
                </c:pt>
                <c:pt idx="29">
                  <c:v>31074</c:v>
                </c:pt>
                <c:pt idx="30">
                  <c:v>31017</c:v>
                </c:pt>
                <c:pt idx="31">
                  <c:v>31089</c:v>
                </c:pt>
                <c:pt idx="32">
                  <c:v>31558</c:v>
                </c:pt>
                <c:pt idx="33">
                  <c:v>31443</c:v>
                </c:pt>
                <c:pt idx="34">
                  <c:v>31786</c:v>
                </c:pt>
                <c:pt idx="35">
                  <c:v>31425</c:v>
                </c:pt>
                <c:pt idx="36">
                  <c:v>31462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CA-C74A-B587-FDCBF4DE4F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691200"/>
        <c:axId val="1"/>
      </c:lineChart>
      <c:lineChart>
        <c:grouping val="standard"/>
        <c:varyColors val="0"/>
        <c:ser>
          <c:idx val="2"/>
          <c:order val="2"/>
          <c:tx>
            <c:strRef>
              <c:f>'FIGURE 1'!$E$1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'FIGURE 1'!$A$76:$A$112</c:f>
              <c:numCache>
                <c:formatCode>[$-409]mmm\-yy;@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'FIGURE 1'!$E$76:$E$112</c:f>
              <c:numCache>
                <c:formatCode>###.0\ ###</c:formatCode>
                <c:ptCount val="37"/>
                <c:pt idx="0">
                  <c:v>13</c:v>
                </c:pt>
                <c:pt idx="1">
                  <c:v>13.5</c:v>
                </c:pt>
                <c:pt idx="2">
                  <c:v>13.6</c:v>
                </c:pt>
                <c:pt idx="3">
                  <c:v>13.7</c:v>
                </c:pt>
                <c:pt idx="4">
                  <c:v>14.3</c:v>
                </c:pt>
                <c:pt idx="5">
                  <c:v>12.9</c:v>
                </c:pt>
                <c:pt idx="6">
                  <c:v>12.6</c:v>
                </c:pt>
                <c:pt idx="7">
                  <c:v>13</c:v>
                </c:pt>
                <c:pt idx="8">
                  <c:v>13</c:v>
                </c:pt>
                <c:pt idx="9">
                  <c:v>12.6</c:v>
                </c:pt>
                <c:pt idx="10">
                  <c:v>12.5</c:v>
                </c:pt>
                <c:pt idx="11">
                  <c:v>13.2</c:v>
                </c:pt>
                <c:pt idx="12">
                  <c:v>12.9</c:v>
                </c:pt>
                <c:pt idx="13">
                  <c:v>13.5</c:v>
                </c:pt>
                <c:pt idx="14">
                  <c:v>13.2</c:v>
                </c:pt>
                <c:pt idx="15">
                  <c:v>11</c:v>
                </c:pt>
                <c:pt idx="16">
                  <c:v>11.6</c:v>
                </c:pt>
                <c:pt idx="17">
                  <c:v>11.9</c:v>
                </c:pt>
                <c:pt idx="18">
                  <c:v>11.2</c:v>
                </c:pt>
                <c:pt idx="19">
                  <c:v>11</c:v>
                </c:pt>
                <c:pt idx="20">
                  <c:v>11.1</c:v>
                </c:pt>
                <c:pt idx="21">
                  <c:v>11</c:v>
                </c:pt>
                <c:pt idx="22">
                  <c:v>11.3</c:v>
                </c:pt>
                <c:pt idx="23">
                  <c:v>10.7</c:v>
                </c:pt>
                <c:pt idx="24">
                  <c:v>11.2</c:v>
                </c:pt>
                <c:pt idx="25">
                  <c:v>11</c:v>
                </c:pt>
                <c:pt idx="26">
                  <c:v>10.8</c:v>
                </c:pt>
                <c:pt idx="27">
                  <c:v>10.4</c:v>
                </c:pt>
                <c:pt idx="28">
                  <c:v>10.199999999999999</c:v>
                </c:pt>
                <c:pt idx="29">
                  <c:v>9.6999999999999993</c:v>
                </c:pt>
                <c:pt idx="30">
                  <c:v>10</c:v>
                </c:pt>
                <c:pt idx="31">
                  <c:v>10.1</c:v>
                </c:pt>
                <c:pt idx="32">
                  <c:v>10.1</c:v>
                </c:pt>
                <c:pt idx="33">
                  <c:v>10.3</c:v>
                </c:pt>
                <c:pt idx="34">
                  <c:v>9.8000000000000007</c:v>
                </c:pt>
                <c:pt idx="35">
                  <c:v>10</c:v>
                </c:pt>
                <c:pt idx="36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8CA-C74A-B587-FDCBF4DE4F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9326912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0"/>
        <c:lblAlgn val="ctr"/>
        <c:lblOffset val="100"/>
        <c:tickLblSkip val="3"/>
        <c:tickMarkSkip val="4"/>
        <c:noMultiLvlLbl val="0"/>
      </c:catAx>
      <c:valAx>
        <c:axId val="1"/>
        <c:scaling>
          <c:orientation val="minMax"/>
          <c:min val="24000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###\ ###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932691200"/>
        <c:crosses val="autoZero"/>
        <c:crossBetween val="midCat"/>
      </c:valAx>
      <c:catAx>
        <c:axId val="3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in val="8"/>
        </c:scaling>
        <c:delete val="0"/>
        <c:axPos val="r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Unemployment rate</a:t>
                </a:r>
              </a:p>
            </c:rich>
          </c:tx>
          <c:layout>
            <c:manualLayout>
              <c:xMode val="edge"/>
              <c:yMode val="edge"/>
              <c:x val="0.74018226708828783"/>
              <c:y val="0.2252299408423487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670731590896257"/>
          <c:y val="0.25322471096842258"/>
          <c:w val="0.2205972844880103"/>
          <c:h val="0.3519112572032516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'FIGURE 2'!$C$2</c:f>
              <c:strCache>
                <c:ptCount val="1"/>
                <c:pt idx="0">
                  <c:v>Unemployment Rate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'FIGURE 2'!$A$77:$A$113</c:f>
              <c:numCache>
                <c:formatCode>[$-409]mmm\-yy;@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'FIGURE 2'!$C$77:$C$113</c:f>
              <c:numCache>
                <c:formatCode>0.0</c:formatCode>
                <c:ptCount val="37"/>
                <c:pt idx="0">
                  <c:v>13</c:v>
                </c:pt>
                <c:pt idx="1">
                  <c:v>13.5</c:v>
                </c:pt>
                <c:pt idx="2">
                  <c:v>13.6</c:v>
                </c:pt>
                <c:pt idx="3">
                  <c:v>13.7</c:v>
                </c:pt>
                <c:pt idx="4">
                  <c:v>14.3</c:v>
                </c:pt>
                <c:pt idx="5">
                  <c:v>12.9</c:v>
                </c:pt>
                <c:pt idx="6">
                  <c:v>12.6</c:v>
                </c:pt>
                <c:pt idx="7">
                  <c:v>13</c:v>
                </c:pt>
                <c:pt idx="8">
                  <c:v>13</c:v>
                </c:pt>
                <c:pt idx="9">
                  <c:v>12.6</c:v>
                </c:pt>
                <c:pt idx="10">
                  <c:v>12.5</c:v>
                </c:pt>
                <c:pt idx="11">
                  <c:v>13.2</c:v>
                </c:pt>
                <c:pt idx="12">
                  <c:v>12.9</c:v>
                </c:pt>
                <c:pt idx="13">
                  <c:v>13.5</c:v>
                </c:pt>
                <c:pt idx="14">
                  <c:v>13.2</c:v>
                </c:pt>
                <c:pt idx="15">
                  <c:v>11</c:v>
                </c:pt>
                <c:pt idx="16">
                  <c:v>11.6</c:v>
                </c:pt>
                <c:pt idx="17">
                  <c:v>11.9</c:v>
                </c:pt>
                <c:pt idx="18">
                  <c:v>11.2</c:v>
                </c:pt>
                <c:pt idx="19">
                  <c:v>11</c:v>
                </c:pt>
                <c:pt idx="20">
                  <c:v>11.1</c:v>
                </c:pt>
                <c:pt idx="21">
                  <c:v>11</c:v>
                </c:pt>
                <c:pt idx="22">
                  <c:v>11.3</c:v>
                </c:pt>
                <c:pt idx="23">
                  <c:v>10.7</c:v>
                </c:pt>
                <c:pt idx="24">
                  <c:v>11.2</c:v>
                </c:pt>
                <c:pt idx="25">
                  <c:v>11</c:v>
                </c:pt>
                <c:pt idx="26">
                  <c:v>10.8</c:v>
                </c:pt>
                <c:pt idx="27">
                  <c:v>10.4</c:v>
                </c:pt>
                <c:pt idx="28">
                  <c:v>10.199999999999999</c:v>
                </c:pt>
                <c:pt idx="29">
                  <c:v>9.6999999999999993</c:v>
                </c:pt>
                <c:pt idx="30">
                  <c:v>10</c:v>
                </c:pt>
                <c:pt idx="31">
                  <c:v>10.1</c:v>
                </c:pt>
                <c:pt idx="32">
                  <c:v>10.1</c:v>
                </c:pt>
                <c:pt idx="33">
                  <c:v>10.3</c:v>
                </c:pt>
                <c:pt idx="34">
                  <c:v>9.8000000000000007</c:v>
                </c:pt>
                <c:pt idx="35">
                  <c:v>10</c:v>
                </c:pt>
                <c:pt idx="36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AA-9F41-B238-25A1F383426E}"/>
            </c:ext>
          </c:extLst>
        </c:ser>
        <c:ser>
          <c:idx val="1"/>
          <c:order val="1"/>
          <c:tx>
            <c:strRef>
              <c:f>'FIGURE 2'!$E$2</c:f>
              <c:strCache>
                <c:ptCount val="1"/>
                <c:pt idx="0">
                  <c:v>Combined Rate of Time-Related Underemployment and Unemployment (%)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'FIGURE 2'!$A$77:$A$113</c:f>
              <c:numCache>
                <c:formatCode>[$-409]mmm\-yy;@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'FIGURE 2'!$E$77:$E$113</c:f>
              <c:numCache>
                <c:formatCode>0.0</c:formatCode>
                <c:ptCount val="37"/>
                <c:pt idx="0">
                  <c:v>16</c:v>
                </c:pt>
                <c:pt idx="1">
                  <c:v>18.399999999999999</c:v>
                </c:pt>
                <c:pt idx="2">
                  <c:v>19.399999999999999</c:v>
                </c:pt>
                <c:pt idx="3">
                  <c:v>17.399999999999999</c:v>
                </c:pt>
                <c:pt idx="4">
                  <c:v>18.3</c:v>
                </c:pt>
                <c:pt idx="5">
                  <c:v>16.899999999999999</c:v>
                </c:pt>
                <c:pt idx="6">
                  <c:v>15.8</c:v>
                </c:pt>
                <c:pt idx="7">
                  <c:v>17.3</c:v>
                </c:pt>
                <c:pt idx="8">
                  <c:v>17</c:v>
                </c:pt>
                <c:pt idx="9">
                  <c:v>17.7</c:v>
                </c:pt>
                <c:pt idx="10">
                  <c:v>20</c:v>
                </c:pt>
                <c:pt idx="11">
                  <c:v>19.600000000000001</c:v>
                </c:pt>
                <c:pt idx="12">
                  <c:v>17.899999999999999</c:v>
                </c:pt>
                <c:pt idx="13">
                  <c:v>19.5</c:v>
                </c:pt>
                <c:pt idx="14">
                  <c:v>19.3</c:v>
                </c:pt>
                <c:pt idx="15">
                  <c:v>15</c:v>
                </c:pt>
                <c:pt idx="16">
                  <c:v>16</c:v>
                </c:pt>
                <c:pt idx="17">
                  <c:v>15</c:v>
                </c:pt>
                <c:pt idx="18">
                  <c:v>14.9</c:v>
                </c:pt>
                <c:pt idx="19">
                  <c:v>15.5</c:v>
                </c:pt>
                <c:pt idx="20">
                  <c:v>15.3</c:v>
                </c:pt>
                <c:pt idx="21">
                  <c:v>15.2</c:v>
                </c:pt>
                <c:pt idx="22">
                  <c:v>15.5</c:v>
                </c:pt>
                <c:pt idx="23">
                  <c:v>14.8</c:v>
                </c:pt>
                <c:pt idx="24">
                  <c:v>15.4</c:v>
                </c:pt>
                <c:pt idx="25">
                  <c:v>14.6</c:v>
                </c:pt>
                <c:pt idx="26">
                  <c:v>15.9</c:v>
                </c:pt>
                <c:pt idx="27">
                  <c:v>14</c:v>
                </c:pt>
                <c:pt idx="28">
                  <c:v>15.2</c:v>
                </c:pt>
                <c:pt idx="29">
                  <c:v>13.4</c:v>
                </c:pt>
                <c:pt idx="30">
                  <c:v>13.8</c:v>
                </c:pt>
                <c:pt idx="31">
                  <c:v>14.1</c:v>
                </c:pt>
                <c:pt idx="32">
                  <c:v>14.2</c:v>
                </c:pt>
                <c:pt idx="33">
                  <c:v>14.9</c:v>
                </c:pt>
                <c:pt idx="34">
                  <c:v>15.3</c:v>
                </c:pt>
                <c:pt idx="35">
                  <c:v>16</c:v>
                </c:pt>
                <c:pt idx="36">
                  <c:v>15.1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AA-9F41-B238-25A1F383426E}"/>
            </c:ext>
          </c:extLst>
        </c:ser>
        <c:ser>
          <c:idx val="2"/>
          <c:order val="2"/>
          <c:tx>
            <c:strRef>
              <c:f>'FIGURE 2'!$G$2</c:f>
              <c:strCache>
                <c:ptCount val="1"/>
                <c:pt idx="0">
                  <c:v>Combined Rate of Unemployment and Potential Labor Force (%)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'FIGURE 2'!$A$77:$A$113</c:f>
              <c:numCache>
                <c:formatCode>[$-409]mmm\-yy;@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'FIGURE 2'!$G$77:$G$113</c:f>
              <c:numCache>
                <c:formatCode>0.0</c:formatCode>
                <c:ptCount val="37"/>
                <c:pt idx="0">
                  <c:v>20.399999999999999</c:v>
                </c:pt>
                <c:pt idx="1">
                  <c:v>23.5</c:v>
                </c:pt>
                <c:pt idx="2">
                  <c:v>24.4</c:v>
                </c:pt>
                <c:pt idx="3">
                  <c:v>22.7</c:v>
                </c:pt>
                <c:pt idx="4">
                  <c:v>22.5</c:v>
                </c:pt>
                <c:pt idx="5">
                  <c:v>21.5</c:v>
                </c:pt>
                <c:pt idx="6">
                  <c:v>21.2</c:v>
                </c:pt>
                <c:pt idx="7">
                  <c:v>21.8</c:v>
                </c:pt>
                <c:pt idx="8">
                  <c:v>23</c:v>
                </c:pt>
                <c:pt idx="9">
                  <c:v>23.8</c:v>
                </c:pt>
                <c:pt idx="10">
                  <c:v>22.8</c:v>
                </c:pt>
                <c:pt idx="11">
                  <c:v>22.3</c:v>
                </c:pt>
                <c:pt idx="12">
                  <c:v>20.9</c:v>
                </c:pt>
                <c:pt idx="13">
                  <c:v>21.6</c:v>
                </c:pt>
                <c:pt idx="14">
                  <c:v>21.7</c:v>
                </c:pt>
                <c:pt idx="15">
                  <c:v>19.100000000000001</c:v>
                </c:pt>
                <c:pt idx="16">
                  <c:v>19.3</c:v>
                </c:pt>
                <c:pt idx="17">
                  <c:v>18.899999999999999</c:v>
                </c:pt>
                <c:pt idx="18">
                  <c:v>18.3</c:v>
                </c:pt>
                <c:pt idx="19">
                  <c:v>18.5</c:v>
                </c:pt>
                <c:pt idx="20">
                  <c:v>18.2</c:v>
                </c:pt>
                <c:pt idx="21">
                  <c:v>18.600000000000001</c:v>
                </c:pt>
                <c:pt idx="22">
                  <c:v>18.8</c:v>
                </c:pt>
                <c:pt idx="23">
                  <c:v>18.100000000000001</c:v>
                </c:pt>
                <c:pt idx="24">
                  <c:v>18.5</c:v>
                </c:pt>
                <c:pt idx="25">
                  <c:v>18.3</c:v>
                </c:pt>
                <c:pt idx="26">
                  <c:v>17.600000000000001</c:v>
                </c:pt>
                <c:pt idx="27">
                  <c:v>17.2</c:v>
                </c:pt>
                <c:pt idx="28">
                  <c:v>18</c:v>
                </c:pt>
                <c:pt idx="29">
                  <c:v>16.399999999999999</c:v>
                </c:pt>
                <c:pt idx="30">
                  <c:v>16.600000000000001</c:v>
                </c:pt>
                <c:pt idx="31">
                  <c:v>16.5</c:v>
                </c:pt>
                <c:pt idx="32">
                  <c:v>16.899999999999999</c:v>
                </c:pt>
                <c:pt idx="33">
                  <c:v>17.2</c:v>
                </c:pt>
                <c:pt idx="34">
                  <c:v>16.8</c:v>
                </c:pt>
                <c:pt idx="35">
                  <c:v>17.899999999999999</c:v>
                </c:pt>
                <c:pt idx="36">
                  <c:v>17.2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AA-9F41-B238-25A1F383426E}"/>
            </c:ext>
          </c:extLst>
        </c:ser>
        <c:ser>
          <c:idx val="3"/>
          <c:order val="3"/>
          <c:tx>
            <c:strRef>
              <c:f>'FIGURE 2'!$J$2</c:f>
              <c:strCache>
                <c:ptCount val="1"/>
                <c:pt idx="0">
                  <c:v>Composite Measure of Labor Underutilization (%)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'FIGURE 2'!$A$77:$A$113</c:f>
              <c:numCache>
                <c:formatCode>[$-409]mmm\-yy;@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'FIGURE 2'!$J$77:$J$113</c:f>
              <c:numCache>
                <c:formatCode>0.0</c:formatCode>
                <c:ptCount val="37"/>
                <c:pt idx="0">
                  <c:v>23.2</c:v>
                </c:pt>
                <c:pt idx="1">
                  <c:v>27.8</c:v>
                </c:pt>
                <c:pt idx="2">
                  <c:v>29.4</c:v>
                </c:pt>
                <c:pt idx="3">
                  <c:v>26.1</c:v>
                </c:pt>
                <c:pt idx="4">
                  <c:v>26.2</c:v>
                </c:pt>
                <c:pt idx="5">
                  <c:v>25.1</c:v>
                </c:pt>
                <c:pt idx="6">
                  <c:v>24.1</c:v>
                </c:pt>
                <c:pt idx="7">
                  <c:v>25.7</c:v>
                </c:pt>
                <c:pt idx="8">
                  <c:v>26.6</c:v>
                </c:pt>
                <c:pt idx="9">
                  <c:v>28.3</c:v>
                </c:pt>
                <c:pt idx="10">
                  <c:v>29.3</c:v>
                </c:pt>
                <c:pt idx="11">
                  <c:v>28.1</c:v>
                </c:pt>
                <c:pt idx="12">
                  <c:v>25.5</c:v>
                </c:pt>
                <c:pt idx="13">
                  <c:v>27</c:v>
                </c:pt>
                <c:pt idx="14">
                  <c:v>27.2</c:v>
                </c:pt>
                <c:pt idx="15">
                  <c:v>22.7</c:v>
                </c:pt>
                <c:pt idx="16">
                  <c:v>23.3</c:v>
                </c:pt>
                <c:pt idx="17">
                  <c:v>21.8</c:v>
                </c:pt>
                <c:pt idx="18">
                  <c:v>21.6</c:v>
                </c:pt>
                <c:pt idx="19">
                  <c:v>22.6</c:v>
                </c:pt>
                <c:pt idx="20">
                  <c:v>22.1</c:v>
                </c:pt>
                <c:pt idx="21">
                  <c:v>22.5</c:v>
                </c:pt>
                <c:pt idx="22">
                  <c:v>22.7</c:v>
                </c:pt>
                <c:pt idx="23">
                  <c:v>21.9</c:v>
                </c:pt>
                <c:pt idx="24">
                  <c:v>22.4</c:v>
                </c:pt>
                <c:pt idx="25">
                  <c:v>21.5</c:v>
                </c:pt>
                <c:pt idx="26">
                  <c:v>22.3</c:v>
                </c:pt>
                <c:pt idx="27">
                  <c:v>20.5</c:v>
                </c:pt>
                <c:pt idx="28">
                  <c:v>22.6</c:v>
                </c:pt>
                <c:pt idx="29">
                  <c:v>19.8</c:v>
                </c:pt>
                <c:pt idx="30">
                  <c:v>20.2</c:v>
                </c:pt>
                <c:pt idx="31">
                  <c:v>20.3</c:v>
                </c:pt>
                <c:pt idx="32">
                  <c:v>20.7</c:v>
                </c:pt>
                <c:pt idx="33">
                  <c:v>21.4</c:v>
                </c:pt>
                <c:pt idx="34">
                  <c:v>21.9</c:v>
                </c:pt>
                <c:pt idx="35">
                  <c:v>23.4</c:v>
                </c:pt>
                <c:pt idx="36">
                  <c:v>21.8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0AA-9F41-B238-25A1F3834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906864"/>
        <c:axId val="956771632"/>
      </c:lineChart>
      <c:dateAx>
        <c:axId val="1728906864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56771632"/>
        <c:crosses val="autoZero"/>
        <c:auto val="1"/>
        <c:lblOffset val="100"/>
        <c:baseTimeUnit val="months"/>
        <c:majorUnit val="3"/>
        <c:majorTimeUnit val="months"/>
      </c:dateAx>
      <c:valAx>
        <c:axId val="956771632"/>
        <c:scaling>
          <c:orientation val="minMax"/>
          <c:min val="5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2890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10446058536136E-2"/>
          <c:y val="1.9470258448517262E-2"/>
          <c:w val="0.93088055814159798"/>
          <c:h val="0.79528186996989292"/>
        </c:manualLayout>
      </c:layout>
      <c:lineChart>
        <c:grouping val="standard"/>
        <c:varyColors val="0"/>
        <c:ser>
          <c:idx val="0"/>
          <c:order val="0"/>
          <c:tx>
            <c:strRef>
              <c:f>'FIGURE 3'!$U$2</c:f>
              <c:strCache>
                <c:ptCount val="1"/>
                <c:pt idx="0">
                  <c:v>Female unemployment rate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3'!$T$8:$T$44</c:f>
              <c:numCache>
                <c:formatCode>[$-409]mmm\-yy;@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'FIGURE 3'!$U$8:$U$44</c:f>
              <c:numCache>
                <c:formatCode>0.0</c:formatCode>
                <c:ptCount val="37"/>
                <c:pt idx="0">
                  <c:v>14.758972180930133</c:v>
                </c:pt>
                <c:pt idx="1">
                  <c:v>14.029524330235102</c:v>
                </c:pt>
                <c:pt idx="2">
                  <c:v>14.239794278367086</c:v>
                </c:pt>
                <c:pt idx="3">
                  <c:v>15.517777547424069</c:v>
                </c:pt>
                <c:pt idx="4">
                  <c:v>15.763296792529434</c:v>
                </c:pt>
                <c:pt idx="5">
                  <c:v>14.738222536063756</c:v>
                </c:pt>
                <c:pt idx="6">
                  <c:v>14.48093004283092</c:v>
                </c:pt>
                <c:pt idx="7">
                  <c:v>14.945736434108529</c:v>
                </c:pt>
                <c:pt idx="8">
                  <c:v>14.641288433382138</c:v>
                </c:pt>
                <c:pt idx="9">
                  <c:v>13.887460137845901</c:v>
                </c:pt>
                <c:pt idx="10">
                  <c:v>14.399442730619963</c:v>
                </c:pt>
                <c:pt idx="11">
                  <c:v>15.417558886509635</c:v>
                </c:pt>
                <c:pt idx="12">
                  <c:v>16.03921568627451</c:v>
                </c:pt>
                <c:pt idx="13">
                  <c:v>15.558093063088782</c:v>
                </c:pt>
                <c:pt idx="14">
                  <c:v>15.328539060191115</c:v>
                </c:pt>
                <c:pt idx="15">
                  <c:v>14.114785992217898</c:v>
                </c:pt>
                <c:pt idx="16">
                  <c:v>14.30821981280697</c:v>
                </c:pt>
                <c:pt idx="17">
                  <c:v>14.891629297458895</c:v>
                </c:pt>
                <c:pt idx="18">
                  <c:v>14.324892586159613</c:v>
                </c:pt>
                <c:pt idx="19">
                  <c:v>13.778305332359386</c:v>
                </c:pt>
                <c:pt idx="20">
                  <c:v>14.554119695719917</c:v>
                </c:pt>
                <c:pt idx="21">
                  <c:v>13.490922164299837</c:v>
                </c:pt>
                <c:pt idx="22">
                  <c:v>13.585885724520866</c:v>
                </c:pt>
                <c:pt idx="23">
                  <c:v>13.717693836978132</c:v>
                </c:pt>
                <c:pt idx="24">
                  <c:v>14.034127201386987</c:v>
                </c:pt>
                <c:pt idx="25">
                  <c:v>14.349775784753364</c:v>
                </c:pt>
                <c:pt idx="26">
                  <c:v>13.654897197883232</c:v>
                </c:pt>
                <c:pt idx="27">
                  <c:v>13.719671844999127</c:v>
                </c:pt>
                <c:pt idx="28">
                  <c:v>13.209876543209875</c:v>
                </c:pt>
                <c:pt idx="29">
                  <c:v>12.486992715920914</c:v>
                </c:pt>
                <c:pt idx="30">
                  <c:v>12.672152446946731</c:v>
                </c:pt>
                <c:pt idx="31">
                  <c:v>13.197969543147209</c:v>
                </c:pt>
                <c:pt idx="32">
                  <c:v>12.912938027933428</c:v>
                </c:pt>
                <c:pt idx="33">
                  <c:v>14.337278603206583</c:v>
                </c:pt>
                <c:pt idx="34">
                  <c:v>13.662447257383967</c:v>
                </c:pt>
                <c:pt idx="35">
                  <c:v>12.774667892054476</c:v>
                </c:pt>
                <c:pt idx="36">
                  <c:v>13.818924438393465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77-F844-BBF4-DA1CACD4ECFE}"/>
            </c:ext>
          </c:extLst>
        </c:ser>
        <c:ser>
          <c:idx val="1"/>
          <c:order val="1"/>
          <c:tx>
            <c:strRef>
              <c:f>'FIGURE 3'!$V$2</c:f>
              <c:strCache>
                <c:ptCount val="1"/>
                <c:pt idx="0">
                  <c:v>Male unemployment rate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3'!$T$8:$T$44</c:f>
              <c:numCache>
                <c:formatCode>[$-409]mmm\-yy;@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'FIGURE 3'!$V$8:$V$44</c:f>
              <c:numCache>
                <c:formatCode>0.0</c:formatCode>
                <c:ptCount val="37"/>
                <c:pt idx="0">
                  <c:v>12.178872699386503</c:v>
                </c:pt>
                <c:pt idx="1">
                  <c:v>13.309497431765536</c:v>
                </c:pt>
                <c:pt idx="2">
                  <c:v>13.319530710835059</c:v>
                </c:pt>
                <c:pt idx="3">
                  <c:v>12.852709477202195</c:v>
                </c:pt>
                <c:pt idx="4">
                  <c:v>13.533834586466165</c:v>
                </c:pt>
                <c:pt idx="5">
                  <c:v>12.10221335613185</c:v>
                </c:pt>
                <c:pt idx="6">
                  <c:v>11.715225563909774</c:v>
                </c:pt>
                <c:pt idx="7">
                  <c:v>12.141920988578917</c:v>
                </c:pt>
                <c:pt idx="8">
                  <c:v>12.306476358733553</c:v>
                </c:pt>
                <c:pt idx="9">
                  <c:v>11.974641934726462</c:v>
                </c:pt>
                <c:pt idx="10">
                  <c:v>11.654449290154959</c:v>
                </c:pt>
                <c:pt idx="11">
                  <c:v>12.151523571362416</c:v>
                </c:pt>
                <c:pt idx="12">
                  <c:v>11.46860636351466</c:v>
                </c:pt>
                <c:pt idx="13">
                  <c:v>12.457715033151413</c:v>
                </c:pt>
                <c:pt idx="14">
                  <c:v>12.294489611562783</c:v>
                </c:pt>
                <c:pt idx="15">
                  <c:v>9.5742737072903346</c:v>
                </c:pt>
                <c:pt idx="16">
                  <c:v>10.268287090116946</c:v>
                </c:pt>
                <c:pt idx="17">
                  <c:v>10.466372557846402</c:v>
                </c:pt>
                <c:pt idx="18">
                  <c:v>9.7179384023959585</c:v>
                </c:pt>
                <c:pt idx="19">
                  <c:v>9.6032279757901815</c:v>
                </c:pt>
                <c:pt idx="20">
                  <c:v>9.4811047160130286</c:v>
                </c:pt>
                <c:pt idx="21">
                  <c:v>9.7626729128916772</c:v>
                </c:pt>
                <c:pt idx="22">
                  <c:v>10.117574257425744</c:v>
                </c:pt>
                <c:pt idx="23">
                  <c:v>9.2054867729580483</c:v>
                </c:pt>
                <c:pt idx="24">
                  <c:v>9.8357791754018162</c:v>
                </c:pt>
                <c:pt idx="25">
                  <c:v>9.397558734742093</c:v>
                </c:pt>
                <c:pt idx="26">
                  <c:v>9.3781148429035746</c:v>
                </c:pt>
                <c:pt idx="27">
                  <c:v>8.6628671635247692</c:v>
                </c:pt>
                <c:pt idx="28">
                  <c:v>8.6706988653922572</c:v>
                </c:pt>
                <c:pt idx="29">
                  <c:v>8.3275078643830831</c:v>
                </c:pt>
                <c:pt idx="30">
                  <c:v>8.6246781022216403</c:v>
                </c:pt>
                <c:pt idx="31">
                  <c:v>8.4887571901690766</c:v>
                </c:pt>
                <c:pt idx="32">
                  <c:v>8.6691719580147719</c:v>
                </c:pt>
                <c:pt idx="33">
                  <c:v>8.1877918035621651</c:v>
                </c:pt>
                <c:pt idx="34">
                  <c:v>7.7742597980489476</c:v>
                </c:pt>
                <c:pt idx="35">
                  <c:v>8.6062717770034833</c:v>
                </c:pt>
                <c:pt idx="36">
                  <c:v>8.1140445324949386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77-F844-BBF4-DA1CACD4EC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715600"/>
        <c:axId val="1"/>
      </c:lineChart>
      <c:dateAx>
        <c:axId val="19327156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0"/>
        <c:lblOffset val="100"/>
        <c:baseTimeUnit val="months"/>
        <c:minorUnit val="2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800"/>
                  <a:t>The unemployment rate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32715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192943905267656E-2"/>
          <c:y val="0.93418554524259889"/>
          <c:w val="0.80561411218946466"/>
          <c:h val="5.836419888854671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'FIGURE 4'!$D$3</c:f>
              <c:strCache>
                <c:ptCount val="1"/>
                <c:pt idx="0">
                  <c:v>Male Employment Rate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4'!$B$78:$B$114</c:f>
              <c:numCache>
                <c:formatCode>[$-409]mmmm\-yy;@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'FIGURE 4'!$D$78:$D$114</c:f>
              <c:numCache>
                <c:formatCode>0.0</c:formatCode>
                <c:ptCount val="37"/>
                <c:pt idx="0">
                  <c:v>59.6</c:v>
                </c:pt>
                <c:pt idx="1">
                  <c:v>55.9</c:v>
                </c:pt>
                <c:pt idx="2">
                  <c:v>57</c:v>
                </c:pt>
                <c:pt idx="3">
                  <c:v>59</c:v>
                </c:pt>
                <c:pt idx="4">
                  <c:v>57.5</c:v>
                </c:pt>
                <c:pt idx="5">
                  <c:v>59.6</c:v>
                </c:pt>
                <c:pt idx="6">
                  <c:v>60.4</c:v>
                </c:pt>
                <c:pt idx="7">
                  <c:v>60.2</c:v>
                </c:pt>
                <c:pt idx="8">
                  <c:v>60.4</c:v>
                </c:pt>
                <c:pt idx="9">
                  <c:v>59.9</c:v>
                </c:pt>
                <c:pt idx="10">
                  <c:v>60.8</c:v>
                </c:pt>
                <c:pt idx="11">
                  <c:v>60.5</c:v>
                </c:pt>
                <c:pt idx="12">
                  <c:v>63.2</c:v>
                </c:pt>
                <c:pt idx="13">
                  <c:v>61.7</c:v>
                </c:pt>
                <c:pt idx="14">
                  <c:v>61.7</c:v>
                </c:pt>
                <c:pt idx="15">
                  <c:v>62.8</c:v>
                </c:pt>
                <c:pt idx="16">
                  <c:v>62</c:v>
                </c:pt>
                <c:pt idx="17">
                  <c:v>63</c:v>
                </c:pt>
                <c:pt idx="18">
                  <c:v>63.9</c:v>
                </c:pt>
                <c:pt idx="19">
                  <c:v>63.7</c:v>
                </c:pt>
                <c:pt idx="20">
                  <c:v>64</c:v>
                </c:pt>
                <c:pt idx="21">
                  <c:v>64.3</c:v>
                </c:pt>
                <c:pt idx="22">
                  <c:v>64</c:v>
                </c:pt>
                <c:pt idx="23">
                  <c:v>64.099999999999994</c:v>
                </c:pt>
                <c:pt idx="24">
                  <c:v>64.8</c:v>
                </c:pt>
                <c:pt idx="25">
                  <c:v>64.900000000000006</c:v>
                </c:pt>
                <c:pt idx="26">
                  <c:v>65.5</c:v>
                </c:pt>
                <c:pt idx="27">
                  <c:v>65.099999999999994</c:v>
                </c:pt>
                <c:pt idx="28">
                  <c:v>64.599999999999994</c:v>
                </c:pt>
                <c:pt idx="29">
                  <c:v>65.400000000000006</c:v>
                </c:pt>
                <c:pt idx="30">
                  <c:v>65.2</c:v>
                </c:pt>
                <c:pt idx="31">
                  <c:v>65.3</c:v>
                </c:pt>
                <c:pt idx="32">
                  <c:v>65.7</c:v>
                </c:pt>
                <c:pt idx="33">
                  <c:v>65.900000000000006</c:v>
                </c:pt>
                <c:pt idx="34">
                  <c:v>66.8</c:v>
                </c:pt>
                <c:pt idx="35">
                  <c:v>65</c:v>
                </c:pt>
                <c:pt idx="36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1C-A94F-A7F2-F8171F52CC60}"/>
            </c:ext>
          </c:extLst>
        </c:ser>
        <c:ser>
          <c:idx val="1"/>
          <c:order val="1"/>
          <c:tx>
            <c:strRef>
              <c:f>'FIGURE 4'!$F$3</c:f>
              <c:strCache>
                <c:ptCount val="1"/>
                <c:pt idx="0">
                  <c:v>Female Employment Rate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4'!$B$78:$B$114</c:f>
              <c:numCache>
                <c:formatCode>[$-409]mmmm\-yy;@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'FIGURE 4'!$F$78:$F$114</c:f>
              <c:numCache>
                <c:formatCode>0.0</c:formatCode>
                <c:ptCount val="37"/>
                <c:pt idx="0">
                  <c:v>25.5</c:v>
                </c:pt>
                <c:pt idx="1">
                  <c:v>25</c:v>
                </c:pt>
                <c:pt idx="2">
                  <c:v>25.4</c:v>
                </c:pt>
                <c:pt idx="3">
                  <c:v>25.8</c:v>
                </c:pt>
                <c:pt idx="4">
                  <c:v>26.2</c:v>
                </c:pt>
                <c:pt idx="5">
                  <c:v>26.7</c:v>
                </c:pt>
                <c:pt idx="6">
                  <c:v>26.4</c:v>
                </c:pt>
                <c:pt idx="7">
                  <c:v>25.9</c:v>
                </c:pt>
                <c:pt idx="8">
                  <c:v>25.6</c:v>
                </c:pt>
                <c:pt idx="9">
                  <c:v>26.3</c:v>
                </c:pt>
                <c:pt idx="10">
                  <c:v>26.9</c:v>
                </c:pt>
                <c:pt idx="11">
                  <c:v>27.2</c:v>
                </c:pt>
                <c:pt idx="12">
                  <c:v>26.8</c:v>
                </c:pt>
                <c:pt idx="13">
                  <c:v>27.7</c:v>
                </c:pt>
                <c:pt idx="14">
                  <c:v>26.8</c:v>
                </c:pt>
                <c:pt idx="15">
                  <c:v>27.5</c:v>
                </c:pt>
                <c:pt idx="16">
                  <c:v>28.7</c:v>
                </c:pt>
                <c:pt idx="17">
                  <c:v>28.3</c:v>
                </c:pt>
                <c:pt idx="18">
                  <c:v>29</c:v>
                </c:pt>
                <c:pt idx="19">
                  <c:v>29.2</c:v>
                </c:pt>
                <c:pt idx="20">
                  <c:v>28.8</c:v>
                </c:pt>
                <c:pt idx="21">
                  <c:v>29.7</c:v>
                </c:pt>
                <c:pt idx="22">
                  <c:v>29.7</c:v>
                </c:pt>
                <c:pt idx="23">
                  <c:v>29.4</c:v>
                </c:pt>
                <c:pt idx="24">
                  <c:v>29</c:v>
                </c:pt>
                <c:pt idx="25">
                  <c:v>29.9</c:v>
                </c:pt>
                <c:pt idx="26">
                  <c:v>30.5</c:v>
                </c:pt>
                <c:pt idx="27">
                  <c:v>30.3</c:v>
                </c:pt>
                <c:pt idx="28">
                  <c:v>30.1</c:v>
                </c:pt>
                <c:pt idx="29">
                  <c:v>30.8</c:v>
                </c:pt>
                <c:pt idx="30">
                  <c:v>30.8</c:v>
                </c:pt>
                <c:pt idx="31">
                  <c:v>30.8</c:v>
                </c:pt>
                <c:pt idx="32">
                  <c:v>31.7</c:v>
                </c:pt>
                <c:pt idx="33">
                  <c:v>31</c:v>
                </c:pt>
                <c:pt idx="34">
                  <c:v>31.1</c:v>
                </c:pt>
                <c:pt idx="35">
                  <c:v>31.7</c:v>
                </c:pt>
                <c:pt idx="36">
                  <c:v>30.7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1C-A94F-A7F2-F8171F52CC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09]m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0.8864</cdr:x>
      <cdr:y>0.91581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796108" y="2353988"/>
          <a:ext cx="614691" cy="2108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0.91846</cdr:x>
      <cdr:y>0.92778</cdr:y>
    </cdr:from>
    <cdr:to>
      <cdr:x>1</cdr:x>
      <cdr:y>0.99951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B81A9444-932F-47FA-8EEE-231B41343F2E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640792" y="3157200"/>
          <a:ext cx="500808" cy="252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897B-B77A-4C32-A6B7-15DCB79C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2528</Words>
  <Characters>13025</Characters>
  <Application>Microsoft Office Word</Application>
  <DocSecurity>0</DocSecurity>
  <Lines>1628</Lines>
  <Paragraphs>1555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gokce.kolasin</dc:creator>
  <cp:keywords/>
  <dc:description/>
  <cp:lastModifiedBy>Mehmet Cem SAHIN</cp:lastModifiedBy>
  <cp:revision>35</cp:revision>
  <cp:lastPrinted>2022-03-14T14:09:00Z</cp:lastPrinted>
  <dcterms:created xsi:type="dcterms:W3CDTF">2023-06-23T16:54:00Z</dcterms:created>
  <dcterms:modified xsi:type="dcterms:W3CDTF">2023-06-23T17:23:00Z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ec461c2d10f8e2118b1ae582bfce1136fc64946ac449542c77a627e9e212530c</vt:lpwstr>
  </property>
</Properties>
</file>