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2032B6CE" w:rsidR="00667FE8" w:rsidRPr="002B102D" w:rsidRDefault="00CA76FE" w:rsidP="007C3CD9">
      <w:pPr>
        <w:pStyle w:val="Balk4"/>
        <w:spacing w:line="276" w:lineRule="auto"/>
        <w:rPr>
          <w:rFonts w:ascii="Arial" w:hAnsi="Arial" w:cs="Arial"/>
          <w:lang w:val="en-US"/>
        </w:rPr>
      </w:pPr>
      <w:r w:rsidRPr="002B102D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C273DC6" wp14:editId="6B061C1D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9F0904" w:rsidRPr="00F31F20" w:rsidRDefault="009F0904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72B4CBB0" w:rsidR="009F0904" w:rsidRPr="00F31F20" w:rsidRDefault="006D04DB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April</w:t>
                            </w:r>
                            <w:r w:rsidR="009F0904"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 w:rsidR="006B7BBC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  <w:p w14:paraId="517AB707" w14:textId="77777777" w:rsidR="009F0904" w:rsidRPr="00526178" w:rsidRDefault="009F09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58.8pt;margin-top:-35.65pt;width:285.75pt;height:4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" stroked="f">
                <v:fill opacity="0"/>
                <v:textbox inset="0,0,0,0">
                  <w:txbxContent>
                    <w:p w14:paraId="190F1B90" w14:textId="77777777" w:rsidR="009F0904" w:rsidRPr="00F31F20" w:rsidRDefault="009F0904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72B4CBB0" w:rsidR="009F0904" w:rsidRPr="00F31F20" w:rsidRDefault="006D04DB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April</w:t>
                      </w:r>
                      <w:r w:rsidR="009F0904"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 w:rsidR="006B7BBC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  <w:p w14:paraId="517AB707" w14:textId="77777777" w:rsidR="009F0904" w:rsidRPr="00526178" w:rsidRDefault="009F0904"/>
                  </w:txbxContent>
                </v:textbox>
              </v:shape>
            </w:pict>
          </mc:Fallback>
        </mc:AlternateContent>
      </w:r>
      <w:r w:rsidR="00A3249B" w:rsidRPr="002B102D">
        <w:rPr>
          <w:noProof/>
          <w:lang w:val="en-GB" w:eastAsia="en-GB"/>
        </w:rPr>
        <w:drawing>
          <wp:anchor distT="0" distB="0" distL="114300" distR="114300" simplePos="0" relativeHeight="251658241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Resim 4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7D5138D" w14:textId="273802C1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45BAED0" w14:textId="77777777" w:rsidR="00667FE8" w:rsidRPr="002B102D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2B102D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2B102D">
        <w:rPr>
          <w:rFonts w:ascii="Arial" w:hAnsi="Arial" w:cs="Arial"/>
          <w:b/>
          <w:bCs/>
          <w:lang w:val="en-US"/>
        </w:rPr>
        <w:tab/>
      </w:r>
    </w:p>
    <w:p w14:paraId="78FE8AE4" w14:textId="2AD52D89" w:rsidR="00B03ED6" w:rsidRDefault="0074445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 w:rsidRPr="0074445A">
        <w:rPr>
          <w:rFonts w:ascii="Arial" w:hAnsi="Arial" w:cs="Arial"/>
          <w:b/>
          <w:bCs/>
          <w:lang w:val="en-US"/>
        </w:rPr>
        <w:t xml:space="preserve">THE </w:t>
      </w:r>
      <w:r w:rsidR="006B7BBC">
        <w:rPr>
          <w:rFonts w:ascii="Arial" w:hAnsi="Arial" w:cs="Arial"/>
          <w:b/>
          <w:bCs/>
          <w:lang w:val="en-US"/>
        </w:rPr>
        <w:t xml:space="preserve">SEVERE DECREASE IN </w:t>
      </w:r>
      <w:r w:rsidR="00C949F4">
        <w:rPr>
          <w:rFonts w:ascii="Arial" w:hAnsi="Arial" w:cs="Arial"/>
          <w:b/>
          <w:bCs/>
          <w:lang w:val="en-US"/>
        </w:rPr>
        <w:t>MALE EMPLOYMENT</w:t>
      </w:r>
    </w:p>
    <w:p w14:paraId="1B56AC8D" w14:textId="77777777" w:rsidR="0074445A" w:rsidRPr="002B102D" w:rsidRDefault="0074445A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0B34827B" w:rsidR="004A3731" w:rsidRPr="00C20CA1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0CA1">
        <w:rPr>
          <w:rFonts w:ascii="Arial" w:hAnsi="Arial" w:cs="Arial"/>
          <w:b/>
          <w:bCs/>
          <w:sz w:val="20"/>
          <w:szCs w:val="20"/>
        </w:rPr>
        <w:t>Seyfettin Gürsel</w:t>
      </w:r>
      <w:r w:rsidRPr="00C20CA1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>*</w:t>
      </w:r>
      <w:r w:rsidRPr="00C20CA1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20CA1">
        <w:rPr>
          <w:rFonts w:ascii="Arial" w:hAnsi="Arial" w:cs="Arial"/>
          <w:b/>
          <w:bCs/>
          <w:sz w:val="20"/>
          <w:szCs w:val="20"/>
        </w:rPr>
        <w:t>Hamza Mutluay</w:t>
      </w:r>
      <w:r w:rsidRPr="00C20CA1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 xml:space="preserve">** </w:t>
      </w:r>
      <w:r w:rsidRPr="00C20CA1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A76FE" w:rsidRPr="00C20CA1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20CA1">
        <w:rPr>
          <w:rFonts w:ascii="Arial" w:hAnsi="Arial" w:cs="Arial"/>
          <w:b/>
          <w:bCs/>
          <w:sz w:val="20"/>
          <w:szCs w:val="20"/>
        </w:rPr>
        <w:t>Mehmet Cem Şahin</w:t>
      </w:r>
      <w:r w:rsidRPr="00C20CA1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4"/>
        <w:t>***</w:t>
      </w:r>
      <w:bookmarkEnd w:id="0"/>
    </w:p>
    <w:p w14:paraId="761539CF" w14:textId="77777777" w:rsidR="00BF75F8" w:rsidRPr="002B102D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2B102D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B102D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2B102D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27FCD2A" w14:textId="27761869" w:rsidR="002B3BCA" w:rsidRPr="002B102D" w:rsidRDefault="002B3BCA" w:rsidP="002B3BCA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trike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Since the number of employed persons </w:t>
      </w:r>
      <w:r w:rsidR="007D6606" w:rsidRPr="002B102D">
        <w:rPr>
          <w:rFonts w:ascii="Arial" w:hAnsi="Arial" w:cs="Arial"/>
          <w:sz w:val="20"/>
          <w:szCs w:val="20"/>
          <w:lang w:val="en-US"/>
        </w:rPr>
        <w:t>decreased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0F42EB">
        <w:rPr>
          <w:rFonts w:ascii="Arial" w:hAnsi="Arial" w:cs="Arial"/>
          <w:sz w:val="20"/>
          <w:szCs w:val="20"/>
          <w:lang w:val="en-US"/>
        </w:rPr>
        <w:t>361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 and the number of unemployed persons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0F42EB">
        <w:rPr>
          <w:rFonts w:ascii="Arial" w:hAnsi="Arial" w:cs="Arial"/>
          <w:sz w:val="20"/>
          <w:szCs w:val="20"/>
          <w:lang w:val="en-US"/>
        </w:rPr>
        <w:t>in</w:t>
      </w:r>
      <w:r w:rsidR="0057101C" w:rsidRPr="002B102D">
        <w:rPr>
          <w:rFonts w:ascii="Arial" w:hAnsi="Arial" w:cs="Arial"/>
          <w:sz w:val="20"/>
          <w:szCs w:val="20"/>
          <w:lang w:val="en-US"/>
        </w:rPr>
        <w:t>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0F42EB">
        <w:rPr>
          <w:rFonts w:ascii="Arial" w:hAnsi="Arial" w:cs="Arial"/>
          <w:sz w:val="20"/>
          <w:szCs w:val="20"/>
          <w:lang w:val="en-US"/>
        </w:rPr>
        <w:t>295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thousand, the labor force </w:t>
      </w:r>
      <w:r w:rsidR="005B779B">
        <w:rPr>
          <w:rFonts w:ascii="Arial" w:hAnsi="Arial" w:cs="Arial"/>
          <w:sz w:val="20"/>
          <w:szCs w:val="20"/>
          <w:lang w:val="en-US"/>
        </w:rPr>
        <w:t>de</w:t>
      </w:r>
      <w:r w:rsidR="00BC5CF5">
        <w:rPr>
          <w:rFonts w:ascii="Arial" w:hAnsi="Arial" w:cs="Arial"/>
          <w:sz w:val="20"/>
          <w:szCs w:val="20"/>
          <w:lang w:val="en-US"/>
        </w:rPr>
        <w:t>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by </w:t>
      </w:r>
      <w:r w:rsidR="005B779B">
        <w:rPr>
          <w:rFonts w:ascii="Arial" w:hAnsi="Arial" w:cs="Arial"/>
          <w:sz w:val="20"/>
          <w:szCs w:val="20"/>
          <w:lang w:val="en-US"/>
        </w:rPr>
        <w:t>295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 from </w:t>
      </w:r>
      <w:r w:rsidR="005B779B">
        <w:rPr>
          <w:rFonts w:ascii="Arial" w:hAnsi="Arial" w:cs="Arial"/>
          <w:sz w:val="20"/>
          <w:szCs w:val="20"/>
          <w:lang w:val="en-US"/>
        </w:rPr>
        <w:t>January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 to </w:t>
      </w:r>
      <w:r w:rsidR="005B779B">
        <w:rPr>
          <w:rFonts w:ascii="Arial" w:hAnsi="Arial" w:cs="Arial"/>
          <w:sz w:val="20"/>
          <w:szCs w:val="20"/>
          <w:lang w:val="en-US"/>
        </w:rPr>
        <w:t>February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. As a result, the unemployment rate </w:t>
      </w:r>
      <w:r w:rsidR="0003390C">
        <w:rPr>
          <w:rFonts w:ascii="Arial" w:hAnsi="Arial" w:cs="Arial"/>
          <w:sz w:val="20"/>
          <w:szCs w:val="20"/>
          <w:lang w:val="en-US"/>
        </w:rPr>
        <w:t>in</w:t>
      </w:r>
      <w:r w:rsidR="0057101C" w:rsidRPr="002B102D">
        <w:rPr>
          <w:rFonts w:ascii="Arial" w:hAnsi="Arial" w:cs="Arial"/>
          <w:sz w:val="20"/>
          <w:szCs w:val="20"/>
          <w:lang w:val="en-US"/>
        </w:rPr>
        <w:t>creased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5E7366" w:rsidRPr="002B102D">
        <w:rPr>
          <w:rFonts w:ascii="Arial" w:hAnsi="Arial" w:cs="Arial"/>
          <w:sz w:val="20"/>
          <w:szCs w:val="20"/>
          <w:lang w:val="en-US"/>
        </w:rPr>
        <w:t xml:space="preserve">by </w:t>
      </w:r>
      <w:r w:rsidRPr="002B102D">
        <w:rPr>
          <w:rFonts w:ascii="Arial" w:hAnsi="Arial" w:cs="Arial"/>
          <w:sz w:val="20"/>
          <w:szCs w:val="20"/>
          <w:lang w:val="en-US"/>
        </w:rPr>
        <w:t>0.</w:t>
      </w:r>
      <w:r w:rsidR="005B779B">
        <w:rPr>
          <w:rFonts w:ascii="Arial" w:hAnsi="Arial" w:cs="Arial"/>
          <w:sz w:val="20"/>
          <w:szCs w:val="20"/>
          <w:lang w:val="en-US"/>
        </w:rPr>
        <w:t>2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pp to 1</w:t>
      </w:r>
      <w:r w:rsidR="0057101C" w:rsidRPr="002B102D">
        <w:rPr>
          <w:rFonts w:ascii="Arial" w:hAnsi="Arial" w:cs="Arial"/>
          <w:sz w:val="20"/>
          <w:szCs w:val="20"/>
          <w:lang w:val="en-US"/>
        </w:rPr>
        <w:t>0.</w:t>
      </w:r>
      <w:r w:rsidR="005B779B">
        <w:rPr>
          <w:rFonts w:ascii="Arial" w:hAnsi="Arial" w:cs="Arial"/>
          <w:sz w:val="20"/>
          <w:szCs w:val="20"/>
          <w:lang w:val="en-US"/>
        </w:rPr>
        <w:t>0</w:t>
      </w:r>
      <w:r w:rsidRPr="002B102D">
        <w:rPr>
          <w:rFonts w:ascii="Arial" w:hAnsi="Arial" w:cs="Arial"/>
          <w:sz w:val="20"/>
          <w:szCs w:val="20"/>
          <w:lang w:val="en-US"/>
        </w:rPr>
        <w:t>%</w:t>
      </w:r>
      <w:r w:rsidR="005E7366" w:rsidRPr="002B102D">
        <w:rPr>
          <w:rFonts w:ascii="Arial" w:hAnsi="Arial" w:cs="Arial"/>
          <w:sz w:val="20"/>
          <w:szCs w:val="20"/>
          <w:lang w:val="en-US"/>
        </w:rPr>
        <w:t>.</w:t>
      </w:r>
      <w:r w:rsidR="002F5778">
        <w:rPr>
          <w:rFonts w:ascii="Arial" w:hAnsi="Arial" w:cs="Arial"/>
          <w:sz w:val="20"/>
          <w:szCs w:val="20"/>
          <w:lang w:val="en-US"/>
        </w:rPr>
        <w:t xml:space="preserve"> It should be noted that the losses in the employment level </w:t>
      </w:r>
      <w:r w:rsidR="0048122E">
        <w:rPr>
          <w:rFonts w:ascii="Arial" w:hAnsi="Arial" w:cs="Arial"/>
          <w:sz w:val="20"/>
          <w:szCs w:val="20"/>
          <w:lang w:val="en-US"/>
        </w:rPr>
        <w:t xml:space="preserve">in </w:t>
      </w:r>
      <w:r w:rsidR="00E25ABF">
        <w:rPr>
          <w:rFonts w:ascii="Arial" w:hAnsi="Arial" w:cs="Arial"/>
          <w:sz w:val="20"/>
          <w:szCs w:val="20"/>
          <w:lang w:val="en-US"/>
        </w:rPr>
        <w:t xml:space="preserve">7 provinces that were affected by </w:t>
      </w:r>
      <w:r w:rsidR="002F5778">
        <w:rPr>
          <w:rFonts w:ascii="Arial" w:hAnsi="Arial" w:cs="Arial"/>
          <w:sz w:val="20"/>
          <w:szCs w:val="20"/>
          <w:lang w:val="en-US"/>
        </w:rPr>
        <w:t xml:space="preserve">the </w:t>
      </w:r>
      <w:r w:rsidR="0048122E">
        <w:rPr>
          <w:rFonts w:ascii="Arial" w:hAnsi="Arial" w:cs="Arial"/>
          <w:sz w:val="20"/>
          <w:szCs w:val="20"/>
          <w:lang w:val="en-US"/>
        </w:rPr>
        <w:t>tragic earthquake</w:t>
      </w:r>
      <w:r w:rsidR="008D69A6">
        <w:rPr>
          <w:rFonts w:ascii="Arial" w:hAnsi="Arial" w:cs="Arial"/>
          <w:sz w:val="20"/>
          <w:szCs w:val="20"/>
          <w:lang w:val="en-US"/>
        </w:rPr>
        <w:t xml:space="preserve"> severely</w:t>
      </w:r>
      <w:r w:rsidR="00E25ABF">
        <w:rPr>
          <w:rFonts w:ascii="Arial" w:hAnsi="Arial" w:cs="Arial"/>
          <w:sz w:val="20"/>
          <w:szCs w:val="20"/>
          <w:lang w:val="en-US"/>
        </w:rPr>
        <w:t xml:space="preserve"> is not included in those calculations</w:t>
      </w:r>
      <w:r w:rsidR="008D69A6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0FD3375" w14:textId="38B8CCA0" w:rsidR="00C44E66" w:rsidRPr="002B102D" w:rsidRDefault="00601F3D" w:rsidP="00404C0E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CA359B">
        <w:rPr>
          <w:rFonts w:ascii="Arial" w:hAnsi="Arial" w:cs="Arial"/>
          <w:sz w:val="20"/>
          <w:szCs w:val="20"/>
          <w:lang w:val="en-US"/>
        </w:rPr>
        <w:t>The s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easonally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adjusted female unemployment rate</w:t>
      </w:r>
      <w:r w:rsidR="00D512D6">
        <w:rPr>
          <w:rFonts w:ascii="Arial" w:hAnsi="Arial" w:cs="Arial"/>
          <w:sz w:val="20"/>
          <w:szCs w:val="20"/>
          <w:lang w:val="en-US"/>
        </w:rPr>
        <w:t xml:space="preserve"> </w:t>
      </w:r>
      <w:r w:rsidR="005575AC">
        <w:rPr>
          <w:rFonts w:ascii="Arial" w:hAnsi="Arial" w:cs="Arial"/>
          <w:sz w:val="20"/>
          <w:szCs w:val="20"/>
          <w:lang w:val="en-US"/>
        </w:rPr>
        <w:t>de</w:t>
      </w:r>
      <w:r w:rsidR="005F4D87">
        <w:rPr>
          <w:rFonts w:ascii="Arial" w:hAnsi="Arial" w:cs="Arial"/>
          <w:sz w:val="20"/>
          <w:szCs w:val="20"/>
          <w:lang w:val="en-US"/>
        </w:rPr>
        <w:t>creased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by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482407">
        <w:rPr>
          <w:rFonts w:ascii="Arial" w:hAnsi="Arial" w:cs="Arial"/>
          <w:sz w:val="20"/>
          <w:szCs w:val="20"/>
          <w:lang w:val="en-US"/>
        </w:rPr>
        <w:t>0.</w:t>
      </w:r>
      <w:r w:rsidR="005575AC">
        <w:rPr>
          <w:rFonts w:ascii="Arial" w:hAnsi="Arial" w:cs="Arial"/>
          <w:sz w:val="20"/>
          <w:szCs w:val="20"/>
          <w:lang w:val="en-US"/>
        </w:rPr>
        <w:t>9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2B3BCA" w:rsidRPr="002B102D">
        <w:rPr>
          <w:rFonts w:ascii="Arial" w:hAnsi="Arial" w:cs="Arial"/>
          <w:sz w:val="20"/>
          <w:szCs w:val="20"/>
          <w:lang w:val="en-US"/>
        </w:rPr>
        <w:t>1</w:t>
      </w:r>
      <w:r w:rsidR="005F4D87">
        <w:rPr>
          <w:rFonts w:ascii="Arial" w:hAnsi="Arial" w:cs="Arial"/>
          <w:sz w:val="20"/>
          <w:szCs w:val="20"/>
          <w:lang w:val="en-US"/>
        </w:rPr>
        <w:t>2</w:t>
      </w:r>
      <w:r w:rsidR="00DD4B63" w:rsidRPr="002B102D">
        <w:rPr>
          <w:rFonts w:ascii="Arial" w:hAnsi="Arial" w:cs="Arial"/>
          <w:sz w:val="20"/>
          <w:szCs w:val="20"/>
          <w:lang w:val="en-US"/>
        </w:rPr>
        <w:t>.</w:t>
      </w:r>
      <w:r w:rsidR="00AB339F">
        <w:rPr>
          <w:rFonts w:ascii="Arial" w:hAnsi="Arial" w:cs="Arial"/>
          <w:sz w:val="20"/>
          <w:szCs w:val="20"/>
          <w:lang w:val="en-US"/>
        </w:rPr>
        <w:t>6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</w:t>
      </w:r>
      <w:r w:rsidR="00482407">
        <w:rPr>
          <w:rFonts w:ascii="Arial" w:hAnsi="Arial" w:cs="Arial"/>
          <w:sz w:val="20"/>
          <w:szCs w:val="20"/>
          <w:lang w:val="en-US"/>
        </w:rPr>
        <w:t xml:space="preserve"> from </w:t>
      </w:r>
      <w:r w:rsidR="00AB339F">
        <w:rPr>
          <w:rFonts w:ascii="Arial" w:hAnsi="Arial" w:cs="Arial"/>
          <w:sz w:val="20"/>
          <w:szCs w:val="20"/>
          <w:lang w:val="en-US"/>
        </w:rPr>
        <w:t>January to February</w:t>
      </w:r>
      <w:r w:rsidR="002009FA">
        <w:rPr>
          <w:rFonts w:ascii="Arial" w:hAnsi="Arial" w:cs="Arial"/>
          <w:sz w:val="20"/>
          <w:szCs w:val="20"/>
          <w:lang w:val="en-US"/>
        </w:rPr>
        <w:t>,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as female employment </w:t>
      </w:r>
      <w:r w:rsidR="00AB339F">
        <w:rPr>
          <w:rFonts w:ascii="Arial" w:hAnsi="Arial" w:cs="Arial"/>
          <w:sz w:val="20"/>
          <w:szCs w:val="20"/>
          <w:lang w:val="en-US"/>
        </w:rPr>
        <w:t xml:space="preserve">rose by 215 thousand </w:t>
      </w:r>
      <w:r w:rsidR="005F4D87">
        <w:rPr>
          <w:rFonts w:ascii="Arial" w:hAnsi="Arial" w:cs="Arial"/>
          <w:sz w:val="20"/>
          <w:szCs w:val="20"/>
          <w:lang w:val="en-US"/>
        </w:rPr>
        <w:t xml:space="preserve">and </w:t>
      </w:r>
      <w:r w:rsidR="00AB339F">
        <w:rPr>
          <w:rFonts w:ascii="Arial" w:hAnsi="Arial" w:cs="Arial"/>
          <w:sz w:val="20"/>
          <w:szCs w:val="20"/>
          <w:lang w:val="en-US"/>
        </w:rPr>
        <w:t xml:space="preserve">female </w:t>
      </w:r>
      <w:r w:rsidR="005F4D87">
        <w:rPr>
          <w:rFonts w:ascii="Arial" w:hAnsi="Arial" w:cs="Arial"/>
          <w:sz w:val="20"/>
          <w:szCs w:val="20"/>
          <w:lang w:val="en-US"/>
        </w:rPr>
        <w:t xml:space="preserve">unemployment </w:t>
      </w:r>
      <w:r w:rsidR="00266383">
        <w:rPr>
          <w:rFonts w:ascii="Arial" w:hAnsi="Arial" w:cs="Arial"/>
          <w:sz w:val="20"/>
          <w:szCs w:val="20"/>
          <w:lang w:val="en-US"/>
        </w:rPr>
        <w:t>decreased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by 9</w:t>
      </w:r>
      <w:r w:rsidR="00266383">
        <w:rPr>
          <w:rFonts w:ascii="Arial" w:hAnsi="Arial" w:cs="Arial"/>
          <w:sz w:val="20"/>
          <w:szCs w:val="20"/>
          <w:lang w:val="en-US"/>
        </w:rPr>
        <w:t>4</w:t>
      </w:r>
      <w:r w:rsidR="005F4D87">
        <w:rPr>
          <w:rFonts w:ascii="Arial" w:hAnsi="Arial" w:cs="Arial"/>
          <w:sz w:val="20"/>
          <w:szCs w:val="20"/>
          <w:lang w:val="en-US"/>
        </w:rPr>
        <w:t xml:space="preserve"> thousand. </w:t>
      </w:r>
      <w:r w:rsidR="00405602">
        <w:rPr>
          <w:rFonts w:ascii="Arial" w:hAnsi="Arial" w:cs="Arial"/>
          <w:sz w:val="20"/>
          <w:szCs w:val="20"/>
          <w:lang w:val="en-US"/>
        </w:rPr>
        <w:t>As for male</w:t>
      </w:r>
      <w:r w:rsidR="003A14F7">
        <w:rPr>
          <w:rFonts w:ascii="Arial" w:hAnsi="Arial" w:cs="Arial"/>
          <w:sz w:val="20"/>
          <w:szCs w:val="20"/>
          <w:lang w:val="en-US"/>
        </w:rPr>
        <w:t>s</w:t>
      </w:r>
      <w:r w:rsidR="002B3BCA" w:rsidRPr="002B102D">
        <w:rPr>
          <w:rFonts w:ascii="Arial" w:hAnsi="Arial" w:cs="Arial"/>
          <w:sz w:val="20"/>
          <w:szCs w:val="20"/>
          <w:lang w:val="en-US"/>
        </w:rPr>
        <w:t>,</w:t>
      </w:r>
      <w:r w:rsidR="00D512D6" w:rsidRPr="00D512D6">
        <w:t xml:space="preserve"> </w:t>
      </w:r>
      <w:r w:rsidR="004525D3">
        <w:t xml:space="preserve">the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seasonally adjusted </w:t>
      </w:r>
      <w:r w:rsidR="005D35CA">
        <w:rPr>
          <w:rFonts w:ascii="Arial" w:hAnsi="Arial" w:cs="Arial"/>
          <w:sz w:val="20"/>
          <w:szCs w:val="20"/>
          <w:lang w:val="en-US"/>
        </w:rPr>
        <w:t xml:space="preserve">unemployment rate </w:t>
      </w:r>
      <w:r w:rsidR="003A14F7">
        <w:rPr>
          <w:rFonts w:ascii="Arial" w:hAnsi="Arial" w:cs="Arial"/>
          <w:sz w:val="20"/>
          <w:szCs w:val="20"/>
          <w:lang w:val="en-US"/>
        </w:rPr>
        <w:t>went up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by 0.</w:t>
      </w:r>
      <w:r w:rsidR="00266383">
        <w:rPr>
          <w:rFonts w:ascii="Arial" w:hAnsi="Arial" w:cs="Arial"/>
          <w:sz w:val="20"/>
          <w:szCs w:val="20"/>
          <w:lang w:val="en-US"/>
        </w:rPr>
        <w:t>8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44729B">
        <w:rPr>
          <w:rFonts w:ascii="Arial" w:hAnsi="Arial" w:cs="Arial"/>
          <w:sz w:val="20"/>
          <w:szCs w:val="20"/>
          <w:lang w:val="en-US"/>
        </w:rPr>
        <w:t>8</w:t>
      </w:r>
      <w:r w:rsidR="007F7BCE" w:rsidRPr="002B102D">
        <w:rPr>
          <w:rFonts w:ascii="Arial" w:hAnsi="Arial" w:cs="Arial"/>
          <w:sz w:val="20"/>
          <w:szCs w:val="20"/>
          <w:lang w:val="en-US"/>
        </w:rPr>
        <w:t>.</w:t>
      </w:r>
      <w:r w:rsidR="0044729B">
        <w:rPr>
          <w:rFonts w:ascii="Arial" w:hAnsi="Arial" w:cs="Arial"/>
          <w:sz w:val="20"/>
          <w:szCs w:val="20"/>
          <w:lang w:val="en-US"/>
        </w:rPr>
        <w:t>7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% following the </w:t>
      </w:r>
      <w:r w:rsidR="0044729B">
        <w:rPr>
          <w:rFonts w:ascii="Arial" w:hAnsi="Arial" w:cs="Arial"/>
          <w:sz w:val="20"/>
          <w:szCs w:val="20"/>
          <w:lang w:val="en-US"/>
        </w:rPr>
        <w:t xml:space="preserve">sharp drop 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in male employment by </w:t>
      </w:r>
      <w:r w:rsidR="0044729B">
        <w:rPr>
          <w:rFonts w:ascii="Arial" w:hAnsi="Arial" w:cs="Arial"/>
          <w:sz w:val="20"/>
          <w:szCs w:val="20"/>
          <w:lang w:val="en-US"/>
        </w:rPr>
        <w:t>575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 and the </w:t>
      </w:r>
      <w:r w:rsidR="005D35CA">
        <w:rPr>
          <w:rFonts w:ascii="Arial" w:hAnsi="Arial" w:cs="Arial"/>
          <w:sz w:val="20"/>
          <w:szCs w:val="20"/>
          <w:lang w:val="en-US"/>
        </w:rPr>
        <w:t>increase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in the number of unemployed males by </w:t>
      </w:r>
      <w:r w:rsidR="0044729B">
        <w:rPr>
          <w:rFonts w:ascii="Arial" w:hAnsi="Arial" w:cs="Arial"/>
          <w:sz w:val="20"/>
          <w:szCs w:val="20"/>
          <w:lang w:val="en-US"/>
        </w:rPr>
        <w:t>160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 thousand. </w:t>
      </w:r>
      <w:r w:rsidR="00D95248">
        <w:rPr>
          <w:rFonts w:ascii="Arial" w:hAnsi="Arial" w:cs="Arial"/>
          <w:sz w:val="20"/>
          <w:szCs w:val="20"/>
          <w:lang w:val="en-US"/>
        </w:rPr>
        <w:t>Consequently</w:t>
      </w:r>
      <w:r w:rsidR="00D014A0">
        <w:rPr>
          <w:rFonts w:ascii="Arial" w:hAnsi="Arial" w:cs="Arial"/>
          <w:sz w:val="20"/>
          <w:szCs w:val="20"/>
          <w:lang w:val="en-US"/>
        </w:rPr>
        <w:t>, t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he </w:t>
      </w:r>
      <w:r w:rsidR="00D014A0">
        <w:rPr>
          <w:rFonts w:ascii="Arial" w:hAnsi="Arial" w:cs="Arial"/>
          <w:sz w:val="20"/>
          <w:szCs w:val="20"/>
          <w:lang w:val="en-US"/>
        </w:rPr>
        <w:t xml:space="preserve">female </w:t>
      </w:r>
      <w:r w:rsidR="00295A8F">
        <w:rPr>
          <w:rFonts w:ascii="Arial" w:hAnsi="Arial" w:cs="Arial"/>
          <w:sz w:val="20"/>
          <w:szCs w:val="20"/>
          <w:lang w:val="en-US"/>
        </w:rPr>
        <w:t xml:space="preserve">labor force increased by 120 thousand while </w:t>
      </w:r>
      <w:r w:rsidR="00D014A0">
        <w:rPr>
          <w:rFonts w:ascii="Arial" w:hAnsi="Arial" w:cs="Arial"/>
          <w:sz w:val="20"/>
          <w:szCs w:val="20"/>
          <w:lang w:val="en-US"/>
        </w:rPr>
        <w:t>m</w:t>
      </w:r>
      <w:r w:rsidR="00386C6F" w:rsidRPr="00CA359B">
        <w:rPr>
          <w:rFonts w:ascii="Arial" w:hAnsi="Arial" w:cs="Arial"/>
          <w:sz w:val="20"/>
          <w:szCs w:val="20"/>
          <w:lang w:val="en-US"/>
        </w:rPr>
        <w:t xml:space="preserve">ale labor force </w:t>
      </w:r>
      <w:r w:rsidR="00295A8F">
        <w:rPr>
          <w:rFonts w:ascii="Arial" w:hAnsi="Arial" w:cs="Arial"/>
          <w:sz w:val="20"/>
          <w:szCs w:val="20"/>
          <w:lang w:val="en-US"/>
        </w:rPr>
        <w:t>de</w:t>
      </w:r>
      <w:r w:rsidR="00D014A0">
        <w:rPr>
          <w:rFonts w:ascii="Arial" w:hAnsi="Arial" w:cs="Arial"/>
          <w:sz w:val="20"/>
          <w:szCs w:val="20"/>
          <w:lang w:val="en-US"/>
        </w:rPr>
        <w:t>creased</w:t>
      </w:r>
      <w:r w:rsidR="00386C6F" w:rsidRPr="00CA359B">
        <w:rPr>
          <w:rFonts w:ascii="Arial" w:hAnsi="Arial" w:cs="Arial"/>
          <w:sz w:val="20"/>
          <w:szCs w:val="20"/>
          <w:lang w:val="en-US"/>
        </w:rPr>
        <w:t xml:space="preserve"> by </w:t>
      </w:r>
      <w:r w:rsidR="00295A8F">
        <w:rPr>
          <w:rFonts w:ascii="Arial" w:hAnsi="Arial" w:cs="Arial"/>
          <w:sz w:val="20"/>
          <w:szCs w:val="20"/>
          <w:lang w:val="en-US"/>
        </w:rPr>
        <w:t>415 thousand</w:t>
      </w:r>
      <w:r w:rsidR="00D014A0">
        <w:rPr>
          <w:rFonts w:ascii="Arial" w:hAnsi="Arial" w:cs="Arial"/>
          <w:sz w:val="20"/>
          <w:szCs w:val="20"/>
          <w:lang w:val="en-US"/>
        </w:rPr>
        <w:t xml:space="preserve">. </w:t>
      </w:r>
      <w:r w:rsidR="002B3BCA" w:rsidRPr="00CA359B">
        <w:rPr>
          <w:rFonts w:ascii="Arial" w:hAnsi="Arial" w:cs="Arial"/>
          <w:sz w:val="20"/>
          <w:szCs w:val="20"/>
          <w:lang w:val="en-US"/>
        </w:rPr>
        <w:t xml:space="preserve">Following these developments, the gender gap in the unemployment rates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of females and males </w:t>
      </w:r>
      <w:r w:rsidR="00386C6F">
        <w:rPr>
          <w:rFonts w:ascii="Arial" w:hAnsi="Arial" w:cs="Arial"/>
          <w:sz w:val="20"/>
          <w:szCs w:val="20"/>
          <w:lang w:val="en-US"/>
        </w:rPr>
        <w:t>receded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386C6F">
        <w:rPr>
          <w:rFonts w:ascii="Arial" w:hAnsi="Arial" w:cs="Arial"/>
          <w:sz w:val="20"/>
          <w:szCs w:val="20"/>
          <w:lang w:val="en-US"/>
        </w:rPr>
        <w:t xml:space="preserve">by </w:t>
      </w:r>
      <w:r w:rsidR="00295A8F">
        <w:rPr>
          <w:rFonts w:ascii="Arial" w:hAnsi="Arial" w:cs="Arial"/>
          <w:sz w:val="20"/>
          <w:szCs w:val="20"/>
          <w:lang w:val="en-US"/>
        </w:rPr>
        <w:t>1</w:t>
      </w:r>
      <w:r w:rsidR="00386C6F">
        <w:rPr>
          <w:rFonts w:ascii="Arial" w:hAnsi="Arial" w:cs="Arial"/>
          <w:sz w:val="20"/>
          <w:szCs w:val="20"/>
          <w:lang w:val="en-US"/>
        </w:rPr>
        <w:t>.</w:t>
      </w:r>
      <w:r w:rsidR="00295A8F">
        <w:rPr>
          <w:rFonts w:ascii="Arial" w:hAnsi="Arial" w:cs="Arial"/>
          <w:sz w:val="20"/>
          <w:szCs w:val="20"/>
          <w:lang w:val="en-US"/>
        </w:rPr>
        <w:t>8</w:t>
      </w:r>
      <w:r w:rsidR="00386C6F">
        <w:rPr>
          <w:rFonts w:ascii="Arial" w:hAnsi="Arial" w:cs="Arial"/>
          <w:sz w:val="20"/>
          <w:szCs w:val="20"/>
          <w:lang w:val="en-US"/>
        </w:rPr>
        <w:t xml:space="preserve"> pp </w:t>
      </w:r>
      <w:r w:rsidR="002B3BCA" w:rsidRPr="002B102D">
        <w:rPr>
          <w:rFonts w:ascii="Arial" w:hAnsi="Arial" w:cs="Arial"/>
          <w:sz w:val="20"/>
          <w:szCs w:val="20"/>
          <w:lang w:val="en-US"/>
        </w:rPr>
        <w:t xml:space="preserve">to </w:t>
      </w:r>
      <w:r w:rsidR="00295A8F">
        <w:rPr>
          <w:rFonts w:ascii="Arial" w:hAnsi="Arial" w:cs="Arial"/>
          <w:sz w:val="20"/>
          <w:szCs w:val="20"/>
          <w:lang w:val="en-US"/>
        </w:rPr>
        <w:t>3</w:t>
      </w:r>
      <w:r w:rsidR="00386C6F">
        <w:rPr>
          <w:rFonts w:ascii="Arial" w:hAnsi="Arial" w:cs="Arial"/>
          <w:sz w:val="20"/>
          <w:szCs w:val="20"/>
          <w:lang w:val="en-US"/>
        </w:rPr>
        <w:t>.</w:t>
      </w:r>
      <w:r w:rsidR="00295A8F">
        <w:rPr>
          <w:rFonts w:ascii="Arial" w:hAnsi="Arial" w:cs="Arial"/>
          <w:sz w:val="20"/>
          <w:szCs w:val="20"/>
          <w:lang w:val="en-US"/>
        </w:rPr>
        <w:t>9</w:t>
      </w:r>
      <w:r w:rsidR="002B3BCA" w:rsidRPr="002B102D">
        <w:rPr>
          <w:rFonts w:ascii="Arial" w:hAnsi="Arial" w:cs="Arial"/>
          <w:sz w:val="20"/>
          <w:szCs w:val="20"/>
          <w:lang w:val="en-US"/>
        </w:rPr>
        <w:t>%.</w:t>
      </w:r>
    </w:p>
    <w:p w14:paraId="457F27E1" w14:textId="18D9819C" w:rsidR="00AB48F0" w:rsidRPr="002B102D" w:rsidRDefault="00170F19" w:rsidP="00AB48F0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The combination of the decrease in employment and the increase in unemployment</w:t>
      </w:r>
    </w:p>
    <w:p w14:paraId="4405F9FE" w14:textId="59FE194D" w:rsidR="004866AC" w:rsidRPr="002B102D" w:rsidRDefault="00666E98" w:rsidP="00AB48F0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666E98">
        <w:rPr>
          <w:rFonts w:ascii="Arial" w:hAnsi="Arial" w:cs="Arial"/>
          <w:sz w:val="20"/>
          <w:szCs w:val="20"/>
          <w:lang w:val="en-US"/>
        </w:rPr>
        <w:t xml:space="preserve">According to the monthly seasonally adjusted data, the number of employed persons fell by </w:t>
      </w:r>
      <w:r w:rsidR="00652768">
        <w:rPr>
          <w:rFonts w:ascii="Arial" w:hAnsi="Arial" w:cs="Arial"/>
          <w:sz w:val="20"/>
          <w:szCs w:val="20"/>
          <w:lang w:val="en-US"/>
        </w:rPr>
        <w:t>361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 MoM to 3</w:t>
      </w:r>
      <w:r w:rsidR="00652768">
        <w:rPr>
          <w:rFonts w:ascii="Arial" w:hAnsi="Arial" w:cs="Arial"/>
          <w:sz w:val="20"/>
          <w:szCs w:val="20"/>
          <w:lang w:val="en-US"/>
        </w:rPr>
        <w:t>1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652768">
        <w:rPr>
          <w:rFonts w:ascii="Arial" w:hAnsi="Arial" w:cs="Arial"/>
          <w:sz w:val="20"/>
          <w:szCs w:val="20"/>
          <w:lang w:val="en-US"/>
        </w:rPr>
        <w:t>460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thousand, and the number of unemployed persons increased by </w:t>
      </w:r>
      <w:r w:rsidR="002A125A">
        <w:rPr>
          <w:rFonts w:ascii="Arial" w:hAnsi="Arial" w:cs="Arial"/>
          <w:sz w:val="20"/>
          <w:szCs w:val="20"/>
          <w:lang w:val="en-US"/>
        </w:rPr>
        <w:t>65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 to 3 million </w:t>
      </w:r>
      <w:r w:rsidR="002A125A">
        <w:rPr>
          <w:rFonts w:ascii="Arial" w:hAnsi="Arial" w:cs="Arial"/>
          <w:sz w:val="20"/>
          <w:szCs w:val="20"/>
          <w:lang w:val="en-US"/>
        </w:rPr>
        <w:t>514</w:t>
      </w:r>
      <w:r w:rsidRPr="00666E98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B246B2">
        <w:rPr>
          <w:rFonts w:ascii="Arial" w:hAnsi="Arial" w:cs="Arial"/>
          <w:sz w:val="20"/>
          <w:szCs w:val="20"/>
          <w:lang w:val="en-US"/>
        </w:rPr>
        <w:t xml:space="preserve">. </w:t>
      </w:r>
      <w:r w:rsidR="00A160E6" w:rsidRPr="002B102D">
        <w:rPr>
          <w:rFonts w:ascii="Arial" w:hAnsi="Arial" w:cs="Arial"/>
          <w:sz w:val="20"/>
          <w:szCs w:val="20"/>
          <w:lang w:val="en-US"/>
        </w:rPr>
        <w:t>Therefore,</w:t>
      </w:r>
      <w:r w:rsidR="00932CD6" w:rsidRPr="002B102D">
        <w:rPr>
          <w:rFonts w:ascii="Arial" w:hAnsi="Arial" w:cs="Arial"/>
          <w:sz w:val="20"/>
          <w:szCs w:val="20"/>
          <w:lang w:val="en-US"/>
        </w:rPr>
        <w:t xml:space="preserve"> the</w:t>
      </w:r>
      <w:r w:rsidR="00B261FA" w:rsidRPr="002B102D">
        <w:rPr>
          <w:rFonts w:ascii="Arial" w:hAnsi="Arial" w:cs="Arial"/>
          <w:sz w:val="20"/>
          <w:szCs w:val="20"/>
          <w:lang w:val="en-US"/>
        </w:rPr>
        <w:t xml:space="preserve"> total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labor force </w:t>
      </w:r>
      <w:r w:rsidR="00C86CAE">
        <w:rPr>
          <w:rFonts w:ascii="Arial" w:hAnsi="Arial" w:cs="Arial"/>
          <w:sz w:val="20"/>
          <w:szCs w:val="20"/>
          <w:lang w:val="en-US"/>
        </w:rPr>
        <w:t>de</w:t>
      </w:r>
      <w:r w:rsidR="00CB3C33">
        <w:rPr>
          <w:rFonts w:ascii="Arial" w:hAnsi="Arial" w:cs="Arial"/>
          <w:sz w:val="20"/>
          <w:szCs w:val="20"/>
          <w:lang w:val="en-US"/>
        </w:rPr>
        <w:t xml:space="preserve">creased by </w:t>
      </w:r>
      <w:r w:rsidR="00C86CAE">
        <w:rPr>
          <w:rFonts w:ascii="Arial" w:hAnsi="Arial" w:cs="Arial"/>
          <w:sz w:val="20"/>
          <w:szCs w:val="20"/>
          <w:lang w:val="en-US"/>
        </w:rPr>
        <w:t>295</w:t>
      </w:r>
      <w:r w:rsidR="00CB3C33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to 3</w:t>
      </w:r>
      <w:r w:rsidR="007073EB" w:rsidRPr="002B102D">
        <w:rPr>
          <w:rFonts w:ascii="Arial" w:hAnsi="Arial" w:cs="Arial"/>
          <w:sz w:val="20"/>
          <w:szCs w:val="20"/>
          <w:lang w:val="en-US"/>
        </w:rPr>
        <w:t>4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C86CAE">
        <w:rPr>
          <w:rFonts w:ascii="Arial" w:hAnsi="Arial" w:cs="Arial"/>
          <w:sz w:val="20"/>
          <w:szCs w:val="20"/>
          <w:lang w:val="en-US"/>
        </w:rPr>
        <w:t>975</w:t>
      </w:r>
      <w:r w:rsidR="00B96960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A160E6" w:rsidRPr="002B102D">
        <w:rPr>
          <w:rFonts w:ascii="Arial" w:hAnsi="Arial" w:cs="Arial"/>
          <w:sz w:val="20"/>
          <w:szCs w:val="20"/>
          <w:lang w:val="en-US"/>
        </w:rPr>
        <w:t xml:space="preserve">thousand (Figure 1, Table 1). 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From </w:t>
      </w:r>
      <w:r w:rsidR="00C86CAE">
        <w:rPr>
          <w:rFonts w:ascii="Arial" w:hAnsi="Arial" w:cs="Arial"/>
          <w:sz w:val="20"/>
          <w:szCs w:val="20"/>
          <w:lang w:val="en-US"/>
        </w:rPr>
        <w:t>January to February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, the unemployment rate </w:t>
      </w:r>
      <w:r w:rsidR="00EE5459">
        <w:rPr>
          <w:rFonts w:ascii="Arial" w:hAnsi="Arial" w:cs="Arial"/>
          <w:sz w:val="20"/>
          <w:szCs w:val="20"/>
          <w:lang w:val="en-US"/>
        </w:rPr>
        <w:t>rose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by 0.</w:t>
      </w:r>
      <w:r w:rsidR="00C86CAE">
        <w:rPr>
          <w:rFonts w:ascii="Arial" w:hAnsi="Arial" w:cs="Arial"/>
          <w:sz w:val="20"/>
          <w:szCs w:val="20"/>
          <w:lang w:val="en-US"/>
        </w:rPr>
        <w:t>2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pp to 10.</w:t>
      </w:r>
      <w:r w:rsidR="00C86CAE">
        <w:rPr>
          <w:rFonts w:ascii="Arial" w:hAnsi="Arial" w:cs="Arial"/>
          <w:sz w:val="20"/>
          <w:szCs w:val="20"/>
          <w:lang w:val="en-US"/>
        </w:rPr>
        <w:t>0</w:t>
      </w:r>
      <w:r w:rsidR="0038459B" w:rsidRPr="002B102D">
        <w:rPr>
          <w:rFonts w:ascii="Arial" w:hAnsi="Arial" w:cs="Arial"/>
          <w:sz w:val="20"/>
          <w:szCs w:val="20"/>
          <w:lang w:val="en-US"/>
        </w:rPr>
        <w:t>%</w:t>
      </w:r>
      <w:r w:rsidR="00777E7F">
        <w:rPr>
          <w:rFonts w:ascii="Arial" w:hAnsi="Arial" w:cs="Arial"/>
          <w:sz w:val="20"/>
          <w:szCs w:val="20"/>
          <w:lang w:val="en-US"/>
        </w:rPr>
        <w:t>.</w:t>
      </w:r>
      <w:r w:rsidR="0038459B"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="00692392">
        <w:rPr>
          <w:rFonts w:ascii="Arial" w:hAnsi="Arial" w:cs="Arial"/>
          <w:sz w:val="20"/>
          <w:szCs w:val="20"/>
          <w:lang w:val="en-US"/>
        </w:rPr>
        <w:t xml:space="preserve">The decrease of 361 thousand in the employment level has been recorded as the highest level since April 2020. </w:t>
      </w:r>
    </w:p>
    <w:p w14:paraId="5E083A6A" w14:textId="1A711E97" w:rsidR="00C96208" w:rsidRPr="002B102D" w:rsidRDefault="00C96208" w:rsidP="004866AC">
      <w:pPr>
        <w:pStyle w:val="ResimYazs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1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labor force, employment, and unemployment</w:t>
      </w:r>
    </w:p>
    <w:p w14:paraId="1380B379" w14:textId="3F553BE1" w:rsidR="005E139A" w:rsidRPr="002B102D" w:rsidRDefault="00077E54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3E6F93C" wp14:editId="58EAE4D1">
            <wp:extent cx="6179820" cy="2608729"/>
            <wp:effectExtent l="0" t="0" r="5080" b="0"/>
            <wp:docPr id="121365732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2074700-3855-4F9E-9080-7B51D6428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2926C640" w:rsidR="00191C06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bookmarkStart w:id="1" w:name="_Hlk79581063"/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bookmarkEnd w:id="1"/>
    <w:p w14:paraId="5C777122" w14:textId="7CBA102E" w:rsidR="00D103D6" w:rsidRPr="002B102D" w:rsidRDefault="00D103D6" w:rsidP="00D103D6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The fact that the labor market had been indirectly affected by the tragic earthquake can be seen even though the survey couldn’t be implemented in 7 provinces that were severely affected</w:t>
      </w:r>
      <w:r w:rsidR="00FE0C0A">
        <w:rPr>
          <w:rStyle w:val="DipnotBavurusu"/>
          <w:rFonts w:ascii="Arial" w:hAnsi="Arial" w:cs="Arial"/>
          <w:sz w:val="20"/>
          <w:szCs w:val="20"/>
          <w:lang w:val="en-US"/>
        </w:rPr>
        <w:footnoteReference w:id="5"/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7CE0F081" w14:textId="77777777" w:rsidR="00D103D6" w:rsidRDefault="00D103D6" w:rsidP="00AB48F0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</w:p>
    <w:p w14:paraId="0E02D389" w14:textId="041D8E18" w:rsidR="004F67C7" w:rsidRPr="002B102D" w:rsidRDefault="004F67C7" w:rsidP="00AB48F0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2B102D">
        <w:rPr>
          <w:rFonts w:cs="Calibri"/>
          <w:sz w:val="22"/>
          <w:szCs w:val="22"/>
          <w:lang w:val="en-US"/>
        </w:rPr>
        <w:t xml:space="preserve">Developments in the alternative unemployment rates </w:t>
      </w:r>
    </w:p>
    <w:p w14:paraId="19B149EA" w14:textId="77777777" w:rsidR="00AB48F0" w:rsidRPr="002B102D" w:rsidRDefault="00AB48F0" w:rsidP="00AB48F0">
      <w:pPr>
        <w:rPr>
          <w:lang w:val="en-US"/>
        </w:rPr>
      </w:pPr>
    </w:p>
    <w:p w14:paraId="0D4A0305" w14:textId="77777777" w:rsidR="00987C86" w:rsidRPr="00987C86" w:rsidRDefault="00987C86" w:rsidP="00987C86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>Box 1 reports the methods Turkstat used to calculate the alternative unemployment rates. These measures consider both the time-related underemployment (those who are employed for less than 40 hours a week but would like to increase their working hours but fail to do so) and the potential labor force (the individuals who are neither employed nor looking for a job but wish to work).</w:t>
      </w:r>
    </w:p>
    <w:p w14:paraId="64C3CEE1" w14:textId="746251FA" w:rsidR="00593BF9" w:rsidRPr="002B102D" w:rsidRDefault="00987C86" w:rsidP="00987C86">
      <w:pPr>
        <w:pStyle w:val="GvdeMetni"/>
        <w:spacing w:before="121" w:line="276" w:lineRule="auto"/>
        <w:ind w:left="107" w:right="409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987C86">
        <w:rPr>
          <w:rFonts w:ascii="Arial" w:hAnsi="Arial" w:cs="Arial"/>
          <w:sz w:val="20"/>
          <w:szCs w:val="20"/>
          <w:lang w:val="en-US"/>
        </w:rPr>
        <w:t>According to the seasonally adjusted data, the general unemployment rate increased by 0.</w:t>
      </w:r>
      <w:r w:rsidR="00FA1545">
        <w:rPr>
          <w:rFonts w:ascii="Arial" w:hAnsi="Arial" w:cs="Arial"/>
          <w:sz w:val="20"/>
          <w:szCs w:val="20"/>
          <w:lang w:val="en-US"/>
        </w:rPr>
        <w:t>2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to 10.</w:t>
      </w:r>
      <w:r w:rsidR="00FA1545">
        <w:rPr>
          <w:rFonts w:ascii="Arial" w:hAnsi="Arial" w:cs="Arial"/>
          <w:sz w:val="20"/>
          <w:szCs w:val="20"/>
          <w:lang w:val="en-US"/>
        </w:rPr>
        <w:t>0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% from </w:t>
      </w:r>
      <w:r w:rsidR="00FA1545">
        <w:rPr>
          <w:rFonts w:ascii="Arial" w:hAnsi="Arial" w:cs="Arial"/>
          <w:sz w:val="20"/>
          <w:szCs w:val="20"/>
          <w:lang w:val="en-US"/>
        </w:rPr>
        <w:t>January to February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 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At the same time, </w:t>
      </w:r>
      <w:r w:rsidR="001A1280">
        <w:rPr>
          <w:rFonts w:ascii="Arial" w:hAnsi="Arial" w:cs="Arial"/>
          <w:sz w:val="20"/>
          <w:szCs w:val="20"/>
          <w:lang w:val="en-US"/>
        </w:rPr>
        <w:t xml:space="preserve">following the </w:t>
      </w:r>
      <w:r w:rsidR="005C44C7">
        <w:rPr>
          <w:rFonts w:ascii="Arial" w:hAnsi="Arial" w:cs="Arial"/>
          <w:sz w:val="20"/>
          <w:szCs w:val="20"/>
          <w:lang w:val="en-US"/>
        </w:rPr>
        <w:t xml:space="preserve">striking </w:t>
      </w:r>
      <w:r w:rsidR="001A1280">
        <w:rPr>
          <w:rFonts w:ascii="Arial" w:hAnsi="Arial" w:cs="Arial"/>
          <w:sz w:val="20"/>
          <w:szCs w:val="20"/>
          <w:lang w:val="en-US"/>
        </w:rPr>
        <w:t>increase of</w:t>
      </w:r>
      <w:r w:rsidR="005C44C7">
        <w:rPr>
          <w:rFonts w:ascii="Arial" w:hAnsi="Arial" w:cs="Arial"/>
          <w:sz w:val="20"/>
          <w:szCs w:val="20"/>
          <w:lang w:val="en-US"/>
        </w:rPr>
        <w:t xml:space="preserve"> 369 thousand in the potential labor force, 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the combined rate of unemployment and the potential labor force increased by </w:t>
      </w:r>
      <w:r w:rsidR="005C44C7">
        <w:rPr>
          <w:rFonts w:ascii="Arial" w:hAnsi="Arial" w:cs="Arial"/>
          <w:sz w:val="20"/>
          <w:szCs w:val="20"/>
          <w:lang w:val="en-US"/>
        </w:rPr>
        <w:t>1</w:t>
      </w:r>
      <w:r w:rsidR="00550C97" w:rsidRPr="00550C97">
        <w:rPr>
          <w:rFonts w:ascii="Arial" w:hAnsi="Arial" w:cs="Arial"/>
          <w:sz w:val="20"/>
          <w:szCs w:val="20"/>
          <w:lang w:val="en-US"/>
        </w:rPr>
        <w:t>.</w:t>
      </w:r>
      <w:r w:rsidR="005C44C7">
        <w:rPr>
          <w:rFonts w:ascii="Arial" w:hAnsi="Arial" w:cs="Arial"/>
          <w:sz w:val="20"/>
          <w:szCs w:val="20"/>
          <w:lang w:val="en-US"/>
        </w:rPr>
        <w:t>1</w:t>
      </w:r>
      <w:r w:rsidR="00550C97" w:rsidRPr="00550C97">
        <w:rPr>
          <w:rFonts w:ascii="Arial" w:hAnsi="Arial" w:cs="Arial"/>
          <w:sz w:val="20"/>
          <w:szCs w:val="20"/>
          <w:lang w:val="en-US"/>
        </w:rPr>
        <w:t xml:space="preserve"> pp to 1</w:t>
      </w:r>
      <w:r w:rsidR="005C44C7">
        <w:rPr>
          <w:rFonts w:ascii="Arial" w:hAnsi="Arial" w:cs="Arial"/>
          <w:sz w:val="20"/>
          <w:szCs w:val="20"/>
          <w:lang w:val="en-US"/>
        </w:rPr>
        <w:t>7</w:t>
      </w:r>
      <w:r w:rsidR="00550C97" w:rsidRPr="00550C97">
        <w:rPr>
          <w:rFonts w:ascii="Arial" w:hAnsi="Arial" w:cs="Arial"/>
          <w:sz w:val="20"/>
          <w:szCs w:val="20"/>
          <w:lang w:val="en-US"/>
        </w:rPr>
        <w:t>.</w:t>
      </w:r>
      <w:r w:rsidR="005C44C7">
        <w:rPr>
          <w:rFonts w:ascii="Arial" w:hAnsi="Arial" w:cs="Arial"/>
          <w:sz w:val="20"/>
          <w:szCs w:val="20"/>
          <w:lang w:val="en-US"/>
        </w:rPr>
        <w:t>9</w:t>
      </w:r>
      <w:r w:rsidR="00550C97" w:rsidRPr="00550C97">
        <w:rPr>
          <w:rFonts w:ascii="Arial" w:hAnsi="Arial" w:cs="Arial"/>
          <w:sz w:val="20"/>
          <w:szCs w:val="20"/>
          <w:lang w:val="en-US"/>
        </w:rPr>
        <w:t>%</w:t>
      </w:r>
      <w:r w:rsidR="0019418D">
        <w:rPr>
          <w:rFonts w:ascii="Arial" w:hAnsi="Arial" w:cs="Arial"/>
          <w:sz w:val="20"/>
          <w:szCs w:val="20"/>
          <w:lang w:val="en-US"/>
        </w:rPr>
        <w:t>.</w:t>
      </w:r>
      <w:r w:rsidR="008B5142">
        <w:rPr>
          <w:rFonts w:ascii="Arial" w:hAnsi="Arial" w:cs="Arial"/>
          <w:sz w:val="20"/>
          <w:szCs w:val="20"/>
          <w:lang w:val="en-US"/>
        </w:rPr>
        <w:t xml:space="preserve"> Th</w:t>
      </w:r>
      <w:r w:rsidR="00207862">
        <w:rPr>
          <w:rFonts w:ascii="Arial" w:hAnsi="Arial" w:cs="Arial"/>
          <w:sz w:val="20"/>
          <w:szCs w:val="20"/>
          <w:lang w:val="en-US"/>
        </w:rPr>
        <w:t xml:space="preserve">is much of an increase in the labor force hints that </w:t>
      </w:r>
      <w:r w:rsidR="00B5752F">
        <w:rPr>
          <w:rFonts w:ascii="Arial" w:hAnsi="Arial" w:cs="Arial"/>
          <w:sz w:val="20"/>
          <w:szCs w:val="20"/>
          <w:lang w:val="en-US"/>
        </w:rPr>
        <w:t>a significant portion of</w:t>
      </w:r>
      <w:r w:rsidR="002B6954">
        <w:rPr>
          <w:rFonts w:ascii="Arial" w:hAnsi="Arial" w:cs="Arial"/>
          <w:sz w:val="20"/>
          <w:szCs w:val="20"/>
          <w:lang w:val="en-US"/>
        </w:rPr>
        <w:t xml:space="preserve"> </w:t>
      </w:r>
      <w:r w:rsidR="003E73BC">
        <w:rPr>
          <w:rFonts w:ascii="Arial" w:hAnsi="Arial" w:cs="Arial"/>
          <w:sz w:val="20"/>
          <w:szCs w:val="20"/>
          <w:lang w:val="en-US"/>
        </w:rPr>
        <w:t xml:space="preserve">previously </w:t>
      </w:r>
      <w:r w:rsidR="002B6954">
        <w:rPr>
          <w:rFonts w:ascii="Arial" w:hAnsi="Arial" w:cs="Arial"/>
          <w:sz w:val="20"/>
          <w:szCs w:val="20"/>
          <w:lang w:val="en-US"/>
        </w:rPr>
        <w:t xml:space="preserve">employed </w:t>
      </w:r>
      <w:r w:rsidR="00B5752F">
        <w:rPr>
          <w:rFonts w:ascii="Arial" w:hAnsi="Arial" w:cs="Arial"/>
          <w:sz w:val="20"/>
          <w:szCs w:val="20"/>
          <w:lang w:val="en-US"/>
        </w:rPr>
        <w:t xml:space="preserve">people </w:t>
      </w:r>
      <w:r w:rsidR="002B6954">
        <w:rPr>
          <w:rFonts w:ascii="Arial" w:hAnsi="Arial" w:cs="Arial"/>
          <w:sz w:val="20"/>
          <w:szCs w:val="20"/>
          <w:lang w:val="en-US"/>
        </w:rPr>
        <w:t xml:space="preserve">transitioned </w:t>
      </w:r>
      <w:r w:rsidR="00B5752F">
        <w:rPr>
          <w:rFonts w:ascii="Arial" w:hAnsi="Arial" w:cs="Arial"/>
          <w:sz w:val="20"/>
          <w:szCs w:val="20"/>
          <w:lang w:val="en-US"/>
        </w:rPr>
        <w:t>in</w:t>
      </w:r>
      <w:r w:rsidR="002B6954">
        <w:rPr>
          <w:rFonts w:ascii="Arial" w:hAnsi="Arial" w:cs="Arial"/>
          <w:sz w:val="20"/>
          <w:szCs w:val="20"/>
          <w:lang w:val="en-US"/>
        </w:rPr>
        <w:t>to the</w:t>
      </w:r>
      <w:r w:rsidR="00B5752F">
        <w:rPr>
          <w:rFonts w:ascii="Arial" w:hAnsi="Arial" w:cs="Arial"/>
          <w:sz w:val="20"/>
          <w:szCs w:val="20"/>
          <w:lang w:val="en-US"/>
        </w:rPr>
        <w:t xml:space="preserve"> </w:t>
      </w:r>
      <w:r w:rsidR="002B6954">
        <w:rPr>
          <w:rFonts w:ascii="Arial" w:hAnsi="Arial" w:cs="Arial"/>
          <w:sz w:val="20"/>
          <w:szCs w:val="20"/>
          <w:lang w:val="en-US"/>
        </w:rPr>
        <w:t xml:space="preserve">potential labor force this month. </w:t>
      </w:r>
      <w:r w:rsidR="0057303C">
        <w:rPr>
          <w:rFonts w:ascii="Arial" w:hAnsi="Arial" w:cs="Arial"/>
          <w:sz w:val="20"/>
          <w:szCs w:val="20"/>
          <w:lang w:val="en-US"/>
        </w:rPr>
        <w:t xml:space="preserve">In addition, </w:t>
      </w:r>
      <w:r w:rsidRPr="00987C86">
        <w:rPr>
          <w:rFonts w:ascii="Arial" w:hAnsi="Arial" w:cs="Arial"/>
          <w:sz w:val="20"/>
          <w:szCs w:val="20"/>
          <w:lang w:val="en-US"/>
        </w:rPr>
        <w:t>the combined rate of time-related underemployment and unemployment increased by 0.</w:t>
      </w:r>
      <w:r w:rsidR="00CF7C6E">
        <w:rPr>
          <w:rFonts w:ascii="Arial" w:hAnsi="Arial" w:cs="Arial"/>
          <w:sz w:val="20"/>
          <w:szCs w:val="20"/>
          <w:lang w:val="en-US"/>
        </w:rPr>
        <w:t>7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and reached 1</w:t>
      </w:r>
      <w:r w:rsidR="00CF7C6E">
        <w:rPr>
          <w:rFonts w:ascii="Arial" w:hAnsi="Arial" w:cs="Arial"/>
          <w:sz w:val="20"/>
          <w:szCs w:val="20"/>
          <w:lang w:val="en-US"/>
        </w:rPr>
        <w:t>6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.0% in </w:t>
      </w:r>
      <w:r w:rsidR="00CF7C6E">
        <w:rPr>
          <w:rFonts w:ascii="Arial" w:hAnsi="Arial" w:cs="Arial"/>
          <w:sz w:val="20"/>
          <w:szCs w:val="20"/>
          <w:lang w:val="en-US"/>
        </w:rPr>
        <w:t>February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. “The composite measure of labor underutilization” which combines the two previous alternative unemployment metrics, rose by </w:t>
      </w:r>
      <w:r w:rsidR="00AC3A37">
        <w:rPr>
          <w:rFonts w:ascii="Arial" w:hAnsi="Arial" w:cs="Arial"/>
          <w:sz w:val="20"/>
          <w:szCs w:val="20"/>
          <w:lang w:val="en-US"/>
        </w:rPr>
        <w:t>1</w:t>
      </w:r>
      <w:r w:rsidRPr="00987C86">
        <w:rPr>
          <w:rFonts w:ascii="Arial" w:hAnsi="Arial" w:cs="Arial"/>
          <w:sz w:val="20"/>
          <w:szCs w:val="20"/>
          <w:lang w:val="en-US"/>
        </w:rPr>
        <w:t>.</w:t>
      </w:r>
      <w:r w:rsidR="00AC3A37">
        <w:rPr>
          <w:rFonts w:ascii="Arial" w:hAnsi="Arial" w:cs="Arial"/>
          <w:sz w:val="20"/>
          <w:szCs w:val="20"/>
          <w:lang w:val="en-US"/>
        </w:rPr>
        <w:t>5</w:t>
      </w:r>
      <w:r w:rsidRPr="00987C86">
        <w:rPr>
          <w:rFonts w:ascii="Arial" w:hAnsi="Arial" w:cs="Arial"/>
          <w:sz w:val="20"/>
          <w:szCs w:val="20"/>
          <w:lang w:val="en-US"/>
        </w:rPr>
        <w:t xml:space="preserve"> pp from </w:t>
      </w:r>
      <w:r w:rsidR="00AC3A37">
        <w:rPr>
          <w:rFonts w:ascii="Arial" w:hAnsi="Arial" w:cs="Arial"/>
          <w:sz w:val="20"/>
          <w:szCs w:val="20"/>
          <w:lang w:val="en-US"/>
        </w:rPr>
        <w:t>2</w:t>
      </w:r>
      <w:r w:rsidR="00676B22">
        <w:rPr>
          <w:rFonts w:ascii="Arial" w:hAnsi="Arial" w:cs="Arial"/>
          <w:sz w:val="20"/>
          <w:szCs w:val="20"/>
          <w:lang w:val="en-US"/>
        </w:rPr>
        <w:t>0</w:t>
      </w:r>
      <w:r w:rsidRPr="00987C86">
        <w:rPr>
          <w:rFonts w:ascii="Arial" w:hAnsi="Arial" w:cs="Arial"/>
          <w:sz w:val="20"/>
          <w:szCs w:val="20"/>
          <w:lang w:val="en-US"/>
        </w:rPr>
        <w:t>.</w:t>
      </w:r>
      <w:r w:rsidR="00676B22">
        <w:rPr>
          <w:rFonts w:ascii="Arial" w:hAnsi="Arial" w:cs="Arial"/>
          <w:sz w:val="20"/>
          <w:szCs w:val="20"/>
          <w:lang w:val="en-US"/>
        </w:rPr>
        <w:t>3</w:t>
      </w:r>
      <w:r w:rsidRPr="00987C86">
        <w:rPr>
          <w:rFonts w:ascii="Arial" w:hAnsi="Arial" w:cs="Arial"/>
          <w:sz w:val="20"/>
          <w:szCs w:val="20"/>
          <w:lang w:val="en-US"/>
        </w:rPr>
        <w:t>% to 2</w:t>
      </w:r>
      <w:r w:rsidR="00676B22">
        <w:rPr>
          <w:rFonts w:ascii="Arial" w:hAnsi="Arial" w:cs="Arial"/>
          <w:sz w:val="20"/>
          <w:szCs w:val="20"/>
          <w:lang w:val="en-US"/>
        </w:rPr>
        <w:t>3</w:t>
      </w:r>
      <w:r w:rsidRPr="00987C86">
        <w:rPr>
          <w:rFonts w:ascii="Arial" w:hAnsi="Arial" w:cs="Arial"/>
          <w:sz w:val="20"/>
          <w:szCs w:val="20"/>
          <w:lang w:val="en-US"/>
        </w:rPr>
        <w:t>.</w:t>
      </w:r>
      <w:r w:rsidR="00676B22">
        <w:rPr>
          <w:rFonts w:ascii="Arial" w:hAnsi="Arial" w:cs="Arial"/>
          <w:sz w:val="20"/>
          <w:szCs w:val="20"/>
          <w:lang w:val="en-US"/>
        </w:rPr>
        <w:t>4</w:t>
      </w:r>
      <w:r w:rsidRPr="00987C86">
        <w:rPr>
          <w:rFonts w:ascii="Arial" w:hAnsi="Arial" w:cs="Arial"/>
          <w:sz w:val="20"/>
          <w:szCs w:val="20"/>
          <w:lang w:val="en-US"/>
        </w:rPr>
        <w:t>% (Figure 2, Table 4).</w:t>
      </w:r>
    </w:p>
    <w:p w14:paraId="2E31740A" w14:textId="43398858" w:rsidR="00C96208" w:rsidRPr="002B102D" w:rsidRDefault="00C96208" w:rsidP="00AB48F0">
      <w:pPr>
        <w:pStyle w:val="ResimYazs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2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Headline Unemployment Rate and Supplementary Indicators for Labor Force</w:t>
      </w:r>
    </w:p>
    <w:p w14:paraId="44B7DAA2" w14:textId="638FC802" w:rsidR="00167A6F" w:rsidRPr="002B102D" w:rsidRDefault="00CA1F13" w:rsidP="00167A6F">
      <w:pPr>
        <w:pStyle w:val="ResimYazs"/>
        <w:keepNext/>
        <w:spacing w:after="120" w:line="276" w:lineRule="auto"/>
        <w:rPr>
          <w:lang w:val="en-US"/>
        </w:rPr>
      </w:pPr>
      <w:r>
        <w:rPr>
          <w:noProof/>
        </w:rPr>
        <w:drawing>
          <wp:inline distT="0" distB="0" distL="0" distR="0" wp14:anchorId="1DF8DFBA" wp14:editId="6FABA4BB">
            <wp:extent cx="6238200" cy="3188725"/>
            <wp:effectExtent l="0" t="0" r="10795" b="12065"/>
            <wp:docPr id="208507380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2B102D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0325B7B6" w14:textId="77777777" w:rsidR="00132CAC" w:rsidRPr="002B102D" w:rsidRDefault="00132CAC" w:rsidP="00484307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2CCDF351" w:rsidR="002C4349" w:rsidRPr="002B102D" w:rsidRDefault="00FC1308" w:rsidP="00AB48F0">
      <w:pPr>
        <w:pStyle w:val="Balk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Sharp rise</w:t>
      </w:r>
      <w:r w:rsidR="00912721" w:rsidRPr="002B102D">
        <w:rPr>
          <w:rFonts w:cs="Calibri"/>
          <w:sz w:val="22"/>
          <w:szCs w:val="22"/>
          <w:lang w:val="en-US"/>
        </w:rPr>
        <w:t xml:space="preserve"> in male </w:t>
      </w:r>
      <w:r>
        <w:rPr>
          <w:rFonts w:cs="Calibri"/>
          <w:sz w:val="22"/>
          <w:szCs w:val="22"/>
          <w:lang w:val="en-US"/>
        </w:rPr>
        <w:t>unemployment</w:t>
      </w:r>
    </w:p>
    <w:p w14:paraId="330CE891" w14:textId="77777777" w:rsidR="00C62FB5" w:rsidRPr="002B102D" w:rsidRDefault="00C62FB5" w:rsidP="007C3CD9">
      <w:pPr>
        <w:spacing w:line="276" w:lineRule="auto"/>
        <w:rPr>
          <w:lang w:val="en-US"/>
        </w:rPr>
      </w:pPr>
    </w:p>
    <w:p w14:paraId="57FEBA44" w14:textId="5FD52FD5" w:rsidR="006E15F8" w:rsidRPr="00CA359B" w:rsidRDefault="00006CD0" w:rsidP="0050009E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t xml:space="preserve">Figure </w:t>
      </w:r>
      <w:r w:rsidR="000739DC" w:rsidRPr="002B102D">
        <w:rPr>
          <w:rFonts w:ascii="Arial" w:hAnsi="Arial" w:cs="Arial"/>
          <w:sz w:val="20"/>
          <w:szCs w:val="20"/>
          <w:lang w:val="en-US"/>
        </w:rPr>
        <w:t>3</w:t>
      </w:r>
      <w:r w:rsidRPr="002B102D">
        <w:rPr>
          <w:rFonts w:ascii="Arial" w:hAnsi="Arial" w:cs="Arial"/>
          <w:sz w:val="20"/>
          <w:szCs w:val="20"/>
          <w:lang w:val="en-US"/>
        </w:rPr>
        <w:t xml:space="preserve">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shows </w:t>
      </w:r>
      <w:r w:rsidR="00601F3D" w:rsidRPr="00CA359B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A359B">
        <w:rPr>
          <w:rFonts w:ascii="Arial" w:hAnsi="Arial" w:cs="Arial"/>
          <w:sz w:val="20"/>
          <w:szCs w:val="20"/>
          <w:lang w:val="en-US"/>
        </w:rPr>
        <w:t xml:space="preserve">seasonally adjusted unemployment rate for males and females. </w:t>
      </w:r>
      <w:r w:rsidR="00D34611">
        <w:rPr>
          <w:rFonts w:ascii="Arial" w:hAnsi="Arial" w:cs="Arial"/>
          <w:sz w:val="20"/>
          <w:szCs w:val="20"/>
          <w:lang w:val="en-US"/>
        </w:rPr>
        <w:t>In the month of February,</w:t>
      </w:r>
      <w:r w:rsidR="00B61960">
        <w:rPr>
          <w:rFonts w:ascii="Arial" w:hAnsi="Arial" w:cs="Arial"/>
          <w:sz w:val="20"/>
          <w:szCs w:val="20"/>
          <w:lang w:val="en-US"/>
        </w:rPr>
        <w:t xml:space="preserve"> t</w:t>
      </w:r>
      <w:r w:rsidR="007C47C3">
        <w:rPr>
          <w:rFonts w:ascii="Arial" w:hAnsi="Arial" w:cs="Arial"/>
          <w:sz w:val="20"/>
          <w:szCs w:val="20"/>
          <w:lang w:val="en-US"/>
        </w:rPr>
        <w:t xml:space="preserve">he level of female </w:t>
      </w:r>
      <w:r w:rsidR="00D31000">
        <w:rPr>
          <w:rFonts w:ascii="Arial" w:hAnsi="Arial" w:cs="Arial"/>
          <w:sz w:val="20"/>
          <w:szCs w:val="20"/>
          <w:lang w:val="en-US"/>
        </w:rPr>
        <w:t xml:space="preserve">employment </w:t>
      </w:r>
      <w:r w:rsidR="00B61960">
        <w:rPr>
          <w:rFonts w:ascii="Arial" w:hAnsi="Arial" w:cs="Arial"/>
          <w:sz w:val="20"/>
          <w:szCs w:val="20"/>
          <w:lang w:val="en-US"/>
        </w:rPr>
        <w:t xml:space="preserve">increased by </w:t>
      </w:r>
      <w:r w:rsidR="00D34611">
        <w:rPr>
          <w:rFonts w:ascii="Arial" w:hAnsi="Arial" w:cs="Arial"/>
          <w:sz w:val="20"/>
          <w:szCs w:val="20"/>
          <w:lang w:val="en-US"/>
        </w:rPr>
        <w:t>215</w:t>
      </w:r>
      <w:r w:rsidR="00B61960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D34611">
        <w:rPr>
          <w:rFonts w:ascii="Arial" w:hAnsi="Arial" w:cs="Arial"/>
          <w:sz w:val="20"/>
          <w:szCs w:val="20"/>
          <w:lang w:val="en-US"/>
        </w:rPr>
        <w:t xml:space="preserve"> while the level of unemployed females dropped by 95 thousand, </w:t>
      </w:r>
      <w:r w:rsidR="005A20B3">
        <w:rPr>
          <w:rFonts w:ascii="Arial" w:hAnsi="Arial" w:cs="Arial"/>
          <w:sz w:val="20"/>
          <w:szCs w:val="20"/>
          <w:lang w:val="en-US"/>
        </w:rPr>
        <w:t>implying</w:t>
      </w:r>
      <w:r w:rsidR="00EB51BC">
        <w:rPr>
          <w:rFonts w:ascii="Arial" w:hAnsi="Arial" w:cs="Arial"/>
          <w:sz w:val="20"/>
          <w:szCs w:val="20"/>
          <w:lang w:val="en-US"/>
        </w:rPr>
        <w:t xml:space="preserve"> a 120</w:t>
      </w:r>
      <w:r w:rsidR="005A20B3">
        <w:rPr>
          <w:rFonts w:ascii="Arial" w:hAnsi="Arial" w:cs="Arial"/>
          <w:sz w:val="20"/>
          <w:szCs w:val="20"/>
          <w:lang w:val="en-US"/>
        </w:rPr>
        <w:t>-</w:t>
      </w:r>
      <w:r w:rsidR="00EB51BC">
        <w:rPr>
          <w:rFonts w:ascii="Arial" w:hAnsi="Arial" w:cs="Arial"/>
          <w:sz w:val="20"/>
          <w:szCs w:val="20"/>
          <w:lang w:val="en-US"/>
        </w:rPr>
        <w:t>thousand</w:t>
      </w:r>
      <w:r w:rsidR="005A20B3">
        <w:rPr>
          <w:rFonts w:ascii="Arial" w:hAnsi="Arial" w:cs="Arial"/>
          <w:sz w:val="20"/>
          <w:szCs w:val="20"/>
          <w:lang w:val="en-US"/>
        </w:rPr>
        <w:t>-</w:t>
      </w:r>
      <w:r w:rsidR="00EB51BC">
        <w:rPr>
          <w:rFonts w:ascii="Arial" w:hAnsi="Arial" w:cs="Arial"/>
          <w:sz w:val="20"/>
          <w:szCs w:val="20"/>
          <w:lang w:val="en-US"/>
        </w:rPr>
        <w:t>increase in the labor force</w:t>
      </w:r>
      <w:r w:rsidR="00B61960">
        <w:rPr>
          <w:rFonts w:ascii="Arial" w:hAnsi="Arial" w:cs="Arial"/>
          <w:sz w:val="20"/>
          <w:szCs w:val="20"/>
          <w:lang w:val="en-US"/>
        </w:rPr>
        <w:t xml:space="preserve">. </w:t>
      </w:r>
      <w:r w:rsidR="005A20B3">
        <w:rPr>
          <w:rFonts w:ascii="Arial" w:hAnsi="Arial" w:cs="Arial"/>
          <w:sz w:val="20"/>
          <w:szCs w:val="20"/>
          <w:lang w:val="en-US"/>
        </w:rPr>
        <w:t>Consequently</w:t>
      </w:r>
      <w:r w:rsidR="00F9238B" w:rsidRPr="006601E9">
        <w:rPr>
          <w:rFonts w:ascii="Arial" w:hAnsi="Arial" w:cs="Arial"/>
          <w:sz w:val="20"/>
          <w:szCs w:val="20"/>
          <w:lang w:val="en-US"/>
        </w:rPr>
        <w:t xml:space="preserve">, </w:t>
      </w:r>
      <w:r w:rsidR="00320425" w:rsidRPr="006601E9">
        <w:rPr>
          <w:rFonts w:ascii="Arial" w:hAnsi="Arial" w:cs="Arial"/>
          <w:sz w:val="20"/>
          <w:szCs w:val="20"/>
          <w:lang w:val="en-US"/>
        </w:rPr>
        <w:t xml:space="preserve">the female unemployment rate </w:t>
      </w:r>
      <w:r w:rsidR="005A20B3">
        <w:rPr>
          <w:rFonts w:ascii="Arial" w:hAnsi="Arial" w:cs="Arial"/>
          <w:sz w:val="20"/>
          <w:szCs w:val="20"/>
          <w:lang w:val="en-US"/>
        </w:rPr>
        <w:t>dropped by 0.9 pp</w:t>
      </w:r>
      <w:r w:rsidR="00320425" w:rsidRPr="006601E9">
        <w:rPr>
          <w:rFonts w:ascii="Arial" w:hAnsi="Arial" w:cs="Arial"/>
          <w:sz w:val="20"/>
          <w:szCs w:val="20"/>
          <w:lang w:val="en-US"/>
        </w:rPr>
        <w:t xml:space="preserve"> from 1</w:t>
      </w:r>
      <w:r w:rsidR="005A20B3">
        <w:rPr>
          <w:rFonts w:ascii="Arial" w:hAnsi="Arial" w:cs="Arial"/>
          <w:sz w:val="20"/>
          <w:szCs w:val="20"/>
          <w:lang w:val="en-US"/>
        </w:rPr>
        <w:t>3</w:t>
      </w:r>
      <w:r w:rsidR="00320425" w:rsidRPr="006601E9">
        <w:rPr>
          <w:rFonts w:ascii="Arial" w:hAnsi="Arial" w:cs="Arial"/>
          <w:sz w:val="20"/>
          <w:szCs w:val="20"/>
          <w:lang w:val="en-US"/>
        </w:rPr>
        <w:t>.</w:t>
      </w:r>
      <w:r w:rsidR="005A20B3">
        <w:rPr>
          <w:rFonts w:ascii="Arial" w:hAnsi="Arial" w:cs="Arial"/>
          <w:sz w:val="20"/>
          <w:szCs w:val="20"/>
          <w:lang w:val="en-US"/>
        </w:rPr>
        <w:t>5</w:t>
      </w:r>
      <w:r w:rsidR="00320425" w:rsidRPr="006601E9">
        <w:rPr>
          <w:rFonts w:ascii="Arial" w:hAnsi="Arial" w:cs="Arial"/>
          <w:sz w:val="20"/>
          <w:szCs w:val="20"/>
          <w:lang w:val="en-US"/>
        </w:rPr>
        <w:t>% to 12.</w:t>
      </w:r>
      <w:r w:rsidR="005A20B3">
        <w:rPr>
          <w:rFonts w:ascii="Arial" w:hAnsi="Arial" w:cs="Arial"/>
          <w:sz w:val="20"/>
          <w:szCs w:val="20"/>
          <w:lang w:val="en-US"/>
        </w:rPr>
        <w:t>6</w:t>
      </w:r>
      <w:r w:rsidR="00320425" w:rsidRPr="006601E9">
        <w:rPr>
          <w:rFonts w:ascii="Arial" w:hAnsi="Arial" w:cs="Arial"/>
          <w:sz w:val="20"/>
          <w:szCs w:val="20"/>
          <w:lang w:val="en-US"/>
        </w:rPr>
        <w:t>%.</w:t>
      </w:r>
      <w:r w:rsidR="00945832">
        <w:rPr>
          <w:rFonts w:ascii="Arial" w:hAnsi="Arial" w:cs="Arial"/>
          <w:sz w:val="20"/>
          <w:szCs w:val="20"/>
          <w:lang w:val="en-US"/>
        </w:rPr>
        <w:t xml:space="preserve"> </w:t>
      </w:r>
      <w:r w:rsidR="00F9712C">
        <w:rPr>
          <w:rFonts w:ascii="Arial" w:hAnsi="Arial" w:cs="Arial"/>
          <w:sz w:val="20"/>
          <w:szCs w:val="20"/>
          <w:lang w:val="en-US"/>
        </w:rPr>
        <w:t>At the same time, t</w:t>
      </w:r>
      <w:r w:rsidR="00606468" w:rsidRPr="00CA359B">
        <w:rPr>
          <w:rFonts w:ascii="Arial" w:hAnsi="Arial" w:cs="Arial"/>
          <w:sz w:val="20"/>
          <w:szCs w:val="20"/>
          <w:lang w:val="en-US"/>
        </w:rPr>
        <w:t>he number of employed males</w:t>
      </w:r>
      <w:r w:rsidR="00E96E50">
        <w:rPr>
          <w:rFonts w:ascii="Arial" w:hAnsi="Arial" w:cs="Arial"/>
          <w:sz w:val="20"/>
          <w:szCs w:val="20"/>
          <w:lang w:val="en-US"/>
        </w:rPr>
        <w:t xml:space="preserve"> dropped severely by 575 thousand</w:t>
      </w:r>
      <w:r w:rsidR="00974F53">
        <w:rPr>
          <w:rFonts w:ascii="Arial" w:hAnsi="Arial" w:cs="Arial"/>
          <w:sz w:val="20"/>
          <w:szCs w:val="20"/>
          <w:lang w:val="en-US"/>
        </w:rPr>
        <w:t xml:space="preserve"> and </w:t>
      </w:r>
      <w:r w:rsidR="00F14B28">
        <w:rPr>
          <w:rFonts w:ascii="Arial" w:hAnsi="Arial" w:cs="Arial"/>
          <w:sz w:val="20"/>
          <w:szCs w:val="20"/>
          <w:lang w:val="en-US"/>
        </w:rPr>
        <w:t>the number of unemployed males</w:t>
      </w:r>
      <w:r w:rsidR="00606468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F14B28">
        <w:rPr>
          <w:rFonts w:ascii="Arial" w:hAnsi="Arial" w:cs="Arial"/>
          <w:sz w:val="20"/>
          <w:szCs w:val="20"/>
          <w:lang w:val="en-US"/>
        </w:rPr>
        <w:t xml:space="preserve">increased by </w:t>
      </w:r>
      <w:r w:rsidR="00974F53">
        <w:rPr>
          <w:rFonts w:ascii="Arial" w:hAnsi="Arial" w:cs="Arial"/>
          <w:sz w:val="20"/>
          <w:szCs w:val="20"/>
          <w:lang w:val="en-US"/>
        </w:rPr>
        <w:t>160</w:t>
      </w:r>
      <w:r w:rsidR="00F14B28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4510ED" w:rsidRPr="00CA359B">
        <w:rPr>
          <w:rFonts w:ascii="Arial" w:hAnsi="Arial" w:cs="Arial"/>
          <w:sz w:val="20"/>
          <w:szCs w:val="20"/>
          <w:lang w:val="en-US"/>
        </w:rPr>
        <w:t>.</w:t>
      </w:r>
      <w:r w:rsidR="00240966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F14B28">
        <w:rPr>
          <w:rFonts w:ascii="Arial" w:hAnsi="Arial" w:cs="Arial"/>
          <w:sz w:val="20"/>
          <w:szCs w:val="20"/>
          <w:lang w:val="en-US"/>
        </w:rPr>
        <w:t xml:space="preserve">As a </w:t>
      </w:r>
      <w:r w:rsidR="00972CB2">
        <w:rPr>
          <w:rFonts w:ascii="Arial" w:hAnsi="Arial" w:cs="Arial"/>
          <w:sz w:val="20"/>
          <w:szCs w:val="20"/>
          <w:lang w:val="en-US"/>
        </w:rPr>
        <w:t>result</w:t>
      </w:r>
      <w:r w:rsidR="00F14B28">
        <w:rPr>
          <w:rFonts w:ascii="Arial" w:hAnsi="Arial" w:cs="Arial"/>
          <w:sz w:val="20"/>
          <w:szCs w:val="20"/>
          <w:lang w:val="en-US"/>
        </w:rPr>
        <w:t>,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 </w:t>
      </w:r>
      <w:r w:rsidR="006135B6">
        <w:rPr>
          <w:rFonts w:ascii="Arial" w:hAnsi="Arial" w:cs="Arial"/>
          <w:sz w:val="20"/>
          <w:szCs w:val="20"/>
          <w:lang w:val="en-US"/>
        </w:rPr>
        <w:t xml:space="preserve">the 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male unemployment rate </w:t>
      </w:r>
      <w:r w:rsidR="00972CB2">
        <w:rPr>
          <w:rFonts w:ascii="Arial" w:hAnsi="Arial" w:cs="Arial"/>
          <w:sz w:val="20"/>
          <w:szCs w:val="20"/>
          <w:lang w:val="en-US"/>
        </w:rPr>
        <w:t>rose sharply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 from </w:t>
      </w:r>
      <w:r w:rsidR="00974F53">
        <w:rPr>
          <w:rFonts w:ascii="Arial" w:hAnsi="Arial" w:cs="Arial"/>
          <w:sz w:val="20"/>
          <w:szCs w:val="20"/>
          <w:lang w:val="en-US"/>
        </w:rPr>
        <w:t>7</w:t>
      </w:r>
      <w:r w:rsidR="00615FBC" w:rsidRPr="00CA359B">
        <w:rPr>
          <w:rFonts w:ascii="Arial" w:hAnsi="Arial" w:cs="Arial"/>
          <w:sz w:val="20"/>
          <w:szCs w:val="20"/>
          <w:lang w:val="en-US"/>
        </w:rPr>
        <w:t>.</w:t>
      </w:r>
      <w:r w:rsidR="00974F53">
        <w:rPr>
          <w:rFonts w:ascii="Arial" w:hAnsi="Arial" w:cs="Arial"/>
          <w:sz w:val="20"/>
          <w:szCs w:val="20"/>
          <w:lang w:val="en-US"/>
        </w:rPr>
        <w:t>9</w:t>
      </w:r>
      <w:r w:rsidR="00C3412C" w:rsidRPr="00CA359B">
        <w:rPr>
          <w:rFonts w:ascii="Arial" w:hAnsi="Arial" w:cs="Arial"/>
          <w:sz w:val="20"/>
          <w:szCs w:val="20"/>
          <w:lang w:val="en-US"/>
        </w:rPr>
        <w:t>% to 8.</w:t>
      </w:r>
      <w:r w:rsidR="00974F53">
        <w:rPr>
          <w:rFonts w:ascii="Arial" w:hAnsi="Arial" w:cs="Arial"/>
          <w:sz w:val="20"/>
          <w:szCs w:val="20"/>
          <w:lang w:val="en-US"/>
        </w:rPr>
        <w:t>7</w:t>
      </w:r>
      <w:r w:rsidR="00C3412C" w:rsidRPr="00CA359B">
        <w:rPr>
          <w:rFonts w:ascii="Arial" w:hAnsi="Arial" w:cs="Arial"/>
          <w:sz w:val="20"/>
          <w:szCs w:val="20"/>
          <w:lang w:val="en-US"/>
        </w:rPr>
        <w:t xml:space="preserve">% 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(Table </w:t>
      </w:r>
      <w:r w:rsidR="00BD34E9" w:rsidRPr="00CA359B">
        <w:rPr>
          <w:rFonts w:ascii="Arial" w:hAnsi="Arial" w:cs="Arial"/>
          <w:sz w:val="20"/>
          <w:szCs w:val="20"/>
          <w:lang w:val="en-US"/>
        </w:rPr>
        <w:t>3</w:t>
      </w:r>
      <w:r w:rsidR="004510ED" w:rsidRPr="00CA359B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1A850E64" w14:textId="299A5DC5" w:rsidR="00C96208" w:rsidRPr="002B102D" w:rsidRDefault="00C96208" w:rsidP="00C96208">
      <w:pPr>
        <w:pStyle w:val="ResimYazs"/>
        <w:keepNext/>
        <w:jc w:val="both"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lastRenderedPageBreak/>
        <w:t xml:space="preserve">Figure </w:t>
      </w:r>
      <w:r w:rsidR="00E4390B" w:rsidRPr="002B102D">
        <w:rPr>
          <w:rFonts w:ascii="Arial" w:hAnsi="Arial" w:cs="Arial"/>
          <w:lang w:val="en-US"/>
        </w:rPr>
        <w:fldChar w:fldCharType="begin"/>
      </w:r>
      <w:r w:rsidR="00E4390B" w:rsidRPr="002B102D">
        <w:rPr>
          <w:rFonts w:ascii="Arial" w:hAnsi="Arial" w:cs="Arial"/>
          <w:lang w:val="en-US"/>
        </w:rPr>
        <w:instrText xml:space="preserve"> SEQ Figure \* ARABIC </w:instrText>
      </w:r>
      <w:r w:rsidR="00E4390B"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3</w:t>
      </w:r>
      <w:r w:rsidR="00E4390B"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unemployment rate by gender (%)</w:t>
      </w:r>
    </w:p>
    <w:p w14:paraId="436D1C6D" w14:textId="56F50540" w:rsidR="001C6540" w:rsidRPr="002B102D" w:rsidRDefault="00737FCB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0D75892" wp14:editId="611C53F8">
            <wp:extent cx="6645275" cy="3166110"/>
            <wp:effectExtent l="0" t="0" r="0" b="0"/>
            <wp:docPr id="95007558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43540" w14:textId="245AEDBF" w:rsidR="005947AB" w:rsidRPr="002B102D" w:rsidRDefault="002B5A9E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  <w:bookmarkStart w:id="2" w:name="_Ref448480503"/>
      <w:r w:rsidRPr="002B102D">
        <w:rPr>
          <w:rFonts w:asciiTheme="minorHAnsi" w:hAnsiTheme="minorHAnsi" w:cs="Arial"/>
          <w:sz w:val="20"/>
          <w:szCs w:val="20"/>
          <w:lang w:val="en-US"/>
        </w:rPr>
        <w:t>Source: Turkstat, Betam</w:t>
      </w:r>
      <w:bookmarkStart w:id="3" w:name="_Ref480193867"/>
    </w:p>
    <w:p w14:paraId="4F5F7261" w14:textId="77777777" w:rsidR="00771E0A" w:rsidRPr="002B102D" w:rsidRDefault="00771E0A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</w:p>
    <w:p w14:paraId="78F418CE" w14:textId="5FCAB114" w:rsidR="00786402" w:rsidRPr="002B102D" w:rsidRDefault="00816552" w:rsidP="00465E4D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female</w:t>
      </w:r>
      <w:r w:rsidR="00B8447B" w:rsidRPr="002B102D">
        <w:rPr>
          <w:rFonts w:ascii="Arial" w:hAnsi="Arial" w:cs="Arial"/>
          <w:sz w:val="20"/>
          <w:szCs w:val="20"/>
          <w:lang w:val="en-US"/>
        </w:rPr>
        <w:t xml:space="preserve"> employment rate, </w:t>
      </w:r>
      <w:r w:rsidR="00BA03CC">
        <w:rPr>
          <w:rFonts w:ascii="Arial" w:hAnsi="Arial" w:cs="Arial"/>
          <w:sz w:val="20"/>
          <w:szCs w:val="20"/>
          <w:lang w:val="en-US"/>
        </w:rPr>
        <w:t xml:space="preserve">as a result, </w:t>
      </w:r>
      <w:r w:rsidR="00B061CA">
        <w:rPr>
          <w:rFonts w:ascii="Arial" w:hAnsi="Arial" w:cs="Arial"/>
          <w:sz w:val="20"/>
          <w:szCs w:val="20"/>
          <w:lang w:val="en-US"/>
        </w:rPr>
        <w:t>reached</w:t>
      </w:r>
      <w:r w:rsidR="00DB75C4">
        <w:rPr>
          <w:rFonts w:ascii="Arial" w:hAnsi="Arial" w:cs="Arial"/>
          <w:sz w:val="20"/>
          <w:szCs w:val="20"/>
          <w:lang w:val="en-US"/>
        </w:rPr>
        <w:t xml:space="preserve"> its highest level </w:t>
      </w:r>
      <w:r w:rsidR="00F30F21">
        <w:rPr>
          <w:rFonts w:ascii="Arial" w:hAnsi="Arial" w:cs="Arial"/>
          <w:sz w:val="20"/>
          <w:szCs w:val="20"/>
          <w:lang w:val="en-US"/>
        </w:rPr>
        <w:t>again which were previously seen in the period of November 2022.</w:t>
      </w:r>
      <w:r w:rsidR="00455BF5">
        <w:rPr>
          <w:rFonts w:ascii="Arial" w:hAnsi="Arial" w:cs="Arial"/>
          <w:sz w:val="20"/>
          <w:szCs w:val="20"/>
          <w:lang w:val="en-US"/>
        </w:rPr>
        <w:t xml:space="preserve"> The male employment rate, however</w:t>
      </w:r>
      <w:r w:rsidR="007F18E0">
        <w:rPr>
          <w:rFonts w:ascii="Arial" w:hAnsi="Arial" w:cs="Arial"/>
          <w:sz w:val="20"/>
          <w:szCs w:val="20"/>
          <w:lang w:val="en-US"/>
        </w:rPr>
        <w:t>,</w:t>
      </w:r>
      <w:r w:rsidR="00354162">
        <w:rPr>
          <w:rFonts w:ascii="Arial" w:hAnsi="Arial" w:cs="Arial"/>
          <w:sz w:val="20"/>
          <w:szCs w:val="20"/>
          <w:lang w:val="en-US"/>
        </w:rPr>
        <w:t xml:space="preserve"> </w:t>
      </w:r>
      <w:r w:rsidR="00455BF5">
        <w:rPr>
          <w:rFonts w:ascii="Arial" w:hAnsi="Arial" w:cs="Arial"/>
          <w:sz w:val="20"/>
          <w:szCs w:val="20"/>
          <w:lang w:val="en-US"/>
        </w:rPr>
        <w:t>ended its four-month-consecutive increases and retreated back to 65.0 percent.</w:t>
      </w:r>
      <w:r w:rsidR="00D825C8">
        <w:rPr>
          <w:rFonts w:ascii="Arial" w:hAnsi="Arial" w:cs="Arial"/>
          <w:sz w:val="20"/>
          <w:szCs w:val="20"/>
          <w:lang w:val="en-US"/>
        </w:rPr>
        <w:t xml:space="preserve"> </w:t>
      </w:r>
      <w:r w:rsidR="00B8447B" w:rsidRPr="00CA359B">
        <w:rPr>
          <w:rFonts w:ascii="Arial" w:hAnsi="Arial" w:cs="Arial"/>
          <w:sz w:val="20"/>
          <w:szCs w:val="20"/>
          <w:lang w:val="en-US"/>
        </w:rPr>
        <w:t>(Figure 4)</w:t>
      </w:r>
      <w:r w:rsidR="00786402" w:rsidRPr="00CA359B">
        <w:rPr>
          <w:rFonts w:ascii="Arial" w:hAnsi="Arial" w:cs="Arial"/>
          <w:sz w:val="20"/>
          <w:szCs w:val="20"/>
          <w:lang w:val="en-US"/>
        </w:rPr>
        <w:t>.</w:t>
      </w:r>
      <w:r w:rsidR="00766F17" w:rsidRPr="00CA359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3362E1" w14:textId="77777777" w:rsidR="00771E0A" w:rsidRPr="002B102D" w:rsidRDefault="00771E0A" w:rsidP="00465E4D">
      <w:pPr>
        <w:pStyle w:val="GvdeMetni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6917BF9A" w14:textId="5AFEB764" w:rsidR="00E4390B" w:rsidRPr="002B102D" w:rsidRDefault="00E4390B" w:rsidP="00E4390B">
      <w:pPr>
        <w:pStyle w:val="ResimYazs"/>
        <w:keepNext/>
        <w:rPr>
          <w:rFonts w:ascii="Arial" w:hAnsi="Arial" w:cs="Arial"/>
          <w:lang w:val="en-US"/>
        </w:rPr>
      </w:pPr>
      <w:r w:rsidRPr="002B102D">
        <w:rPr>
          <w:rFonts w:ascii="Arial" w:hAnsi="Arial" w:cs="Arial"/>
          <w:lang w:val="en-US"/>
        </w:rPr>
        <w:t xml:space="preserve">Figure </w:t>
      </w:r>
      <w:r w:rsidRPr="002B102D">
        <w:rPr>
          <w:rFonts w:ascii="Arial" w:hAnsi="Arial" w:cs="Arial"/>
          <w:lang w:val="en-US"/>
        </w:rPr>
        <w:fldChar w:fldCharType="begin"/>
      </w:r>
      <w:r w:rsidRPr="002B102D">
        <w:rPr>
          <w:rFonts w:ascii="Arial" w:hAnsi="Arial" w:cs="Arial"/>
          <w:lang w:val="en-US"/>
        </w:rPr>
        <w:instrText xml:space="preserve"> SEQ Figure \* ARABIC </w:instrText>
      </w:r>
      <w:r w:rsidRPr="002B102D">
        <w:rPr>
          <w:rFonts w:ascii="Arial" w:hAnsi="Arial" w:cs="Arial"/>
          <w:lang w:val="en-US"/>
        </w:rPr>
        <w:fldChar w:fldCharType="separate"/>
      </w:r>
      <w:r w:rsidR="00086CF7" w:rsidRPr="002B102D">
        <w:rPr>
          <w:rFonts w:ascii="Arial" w:hAnsi="Arial" w:cs="Arial"/>
          <w:noProof/>
          <w:lang w:val="en-US"/>
        </w:rPr>
        <w:t>4</w:t>
      </w:r>
      <w:r w:rsidRPr="002B102D">
        <w:rPr>
          <w:rFonts w:ascii="Arial" w:hAnsi="Arial" w:cs="Arial"/>
          <w:lang w:val="en-US"/>
        </w:rPr>
        <w:fldChar w:fldCharType="end"/>
      </w:r>
      <w:r w:rsidRPr="002B102D">
        <w:rPr>
          <w:rFonts w:ascii="Arial" w:hAnsi="Arial" w:cs="Arial"/>
          <w:lang w:val="en-US"/>
        </w:rPr>
        <w:t>: Seasonally adjusted employment rate by gender (%)</w:t>
      </w:r>
    </w:p>
    <w:p w14:paraId="7C3ACF6A" w14:textId="3C10A0BF" w:rsidR="002E1933" w:rsidRPr="002B102D" w:rsidRDefault="004D274F" w:rsidP="002E1933">
      <w:pPr>
        <w:rPr>
          <w:lang w:val="en-US"/>
        </w:rPr>
      </w:pPr>
      <w:r>
        <w:rPr>
          <w:noProof/>
        </w:rPr>
        <w:drawing>
          <wp:inline distT="0" distB="0" distL="0" distR="0" wp14:anchorId="64F39361" wp14:editId="1C37C680">
            <wp:extent cx="6645275" cy="2959100"/>
            <wp:effectExtent l="0" t="0" r="9525" b="12700"/>
            <wp:docPr id="160602366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070F0E6-15EE-45DA-A2C7-5AEE29B10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AFCC61" w14:textId="66ACC564" w:rsidR="000B4A70" w:rsidRPr="002B102D" w:rsidRDefault="002B5A9E" w:rsidP="007C3CD9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2"/>
    <w:bookmarkEnd w:id="3"/>
    <w:p w14:paraId="505BB475" w14:textId="77777777" w:rsidR="000D1B1F" w:rsidRPr="002B102D" w:rsidRDefault="000D1B1F" w:rsidP="00DA68C8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</w:p>
    <w:p w14:paraId="11123E72" w14:textId="7EBAE516" w:rsidR="000D1B1F" w:rsidRPr="002B102D" w:rsidRDefault="000D1B1F">
      <w:pPr>
        <w:suppressAutoHyphens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br w:type="page"/>
      </w:r>
    </w:p>
    <w:p w14:paraId="62F371CE" w14:textId="77777777" w:rsidR="000D1B1F" w:rsidRPr="002B102D" w:rsidRDefault="000D1B1F" w:rsidP="00DA68C8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</w:p>
    <w:p w14:paraId="6FD4B20D" w14:textId="78CE6BB0" w:rsidR="00DA68C8" w:rsidRPr="002B102D" w:rsidRDefault="00DA68C8" w:rsidP="00DA68C8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>: Seasonally adjusted labor force indicators (in thousands)</w:t>
      </w:r>
    </w:p>
    <w:p w14:paraId="7C33B33F" w14:textId="77777777" w:rsidR="00DA68C8" w:rsidRPr="002B102D" w:rsidRDefault="00DA68C8" w:rsidP="00DA68C8">
      <w:pPr>
        <w:rPr>
          <w:lang w:val="en-US"/>
        </w:rPr>
      </w:pPr>
    </w:p>
    <w:tbl>
      <w:tblPr>
        <w:tblW w:w="10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60"/>
        <w:gridCol w:w="1141"/>
        <w:gridCol w:w="1380"/>
        <w:gridCol w:w="1760"/>
        <w:gridCol w:w="1060"/>
        <w:gridCol w:w="1140"/>
        <w:gridCol w:w="1380"/>
      </w:tblGrid>
      <w:tr w:rsidR="00E230F7" w:rsidRPr="002B102D" w14:paraId="3C995F3B" w14:textId="77777777" w:rsidTr="00671D62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835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22288" w14:textId="756D7674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Labor force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38DC1" w14:textId="0243FE60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Employment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1F07E" w14:textId="75A4D44A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E145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6098E" w14:textId="77777777" w:rsidR="00E230F7" w:rsidRPr="002B102D" w:rsidRDefault="00E230F7" w:rsidP="00E230F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EA3B15" w:rsidRPr="002B102D" w14:paraId="64D86242" w14:textId="77777777" w:rsidTr="00077F0E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41AF" w14:textId="250A4D06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BBF3" w14:textId="1C2B4A1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31924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5044" w14:textId="419FFB0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27924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0544" w14:textId="5CE2994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CE6" w14:textId="2B8DFBF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F8A10" w14:textId="331546C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870730">
              <w:rPr>
                <w:rFonts w:ascii="Arial" w:hAnsi="Arial" w:cs="Arial"/>
                <w:sz w:val="16"/>
                <w:szCs w:val="16"/>
                <w:lang w:val="en-US"/>
              </w:rPr>
              <w:t>Labor</w:t>
            </w:r>
            <w:r>
              <w:rPr>
                <w:rFonts w:ascii="Arial" w:hAnsi="Arial" w:cs="Arial"/>
                <w:sz w:val="16"/>
                <w:szCs w:val="16"/>
              </w:rPr>
              <w:t xml:space="preserve"> Force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5EBB" w14:textId="033BC6B2" w:rsidR="00EA3B15" w:rsidRPr="00870730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870730">
              <w:rPr>
                <w:rFonts w:ascii="Arial" w:hAnsi="Arial" w:cs="Arial"/>
                <w:sz w:val="16"/>
                <w:szCs w:val="16"/>
                <w:lang w:val="en-US"/>
              </w:rPr>
              <w:t>Employment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A63" w14:textId="359A0E4E" w:rsidR="00EA3B15" w:rsidRPr="00870730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870730">
              <w:rPr>
                <w:rFonts w:ascii="Arial" w:hAnsi="Arial" w:cs="Arial"/>
                <w:sz w:val="16"/>
                <w:szCs w:val="16"/>
                <w:lang w:val="en-US"/>
              </w:rPr>
              <w:t>Unemployment</w:t>
            </w:r>
          </w:p>
        </w:tc>
      </w:tr>
      <w:tr w:rsidR="00EA3B15" w:rsidRPr="002B102D" w14:paraId="4CCAC21D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3F4" w14:textId="5B0F982A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69A5" w14:textId="3754A79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30275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F43" w14:textId="2FB0322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26345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FB88" w14:textId="052453D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611B" w14:textId="09E7247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1457" w14:textId="4FB0A7F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-1649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04AD" w14:textId="299F2B4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-1579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E19" w14:textId="0893439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-70</w:t>
            </w:r>
          </w:p>
        </w:tc>
      </w:tr>
      <w:tr w:rsidR="00EA3B15" w:rsidRPr="002B102D" w14:paraId="68C5799D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2BF" w14:textId="5778396E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58E" w14:textId="484C90B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28997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ECF5" w14:textId="4007049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25078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AB5" w14:textId="2B99E8F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2B70" w14:textId="490186E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40ED" w14:textId="0D61A79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AAC0" w14:textId="42E3213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BBF" w14:textId="0BABDB6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</w:p>
        </w:tc>
      </w:tr>
      <w:tr w:rsidR="00EA3B15" w:rsidRPr="002B102D" w14:paraId="352F089A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63F5" w14:textId="399A5CFF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BBC" w14:textId="6649990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D58" w14:textId="7B724E4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25587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ED7" w14:textId="576CECA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7B9" w14:textId="5252DF7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B833" w14:textId="5400935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36E6" w14:textId="754405C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DC23" w14:textId="4B31FAD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</w:tr>
      <w:tr w:rsidR="00EA3B15" w:rsidRPr="002B102D" w14:paraId="5BBEFFAF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646" w14:textId="0041648A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C76" w14:textId="025A01E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30589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D53" w14:textId="79AEDA3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26403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68F" w14:textId="39388E1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16B" w14:textId="090D2E0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6275" w14:textId="7CBF3AE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D8E8" w14:textId="78A2038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ACF" w14:textId="17F41DD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</w:tr>
      <w:tr w:rsidR="00EA3B15" w:rsidRPr="002B102D" w14:paraId="6641C327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B969" w14:textId="608FCFD4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CD02" w14:textId="0A8A6E1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30465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93B9" w14:textId="650C226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26127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23C9" w14:textId="58DE100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800" w14:textId="4A624D1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2166" w14:textId="2B06B21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0A47" w14:textId="0C0694C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B37" w14:textId="70C3204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</w:tr>
      <w:tr w:rsidR="00EA3B15" w:rsidRPr="002B102D" w14:paraId="5B2E86EB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586" w14:textId="02E2A122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DCE" w14:textId="4873201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30966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D2F" w14:textId="3D774DC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26958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A80" w14:textId="44AE5F8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5F5" w14:textId="08A160E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E93C" w14:textId="2B125A5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633D" w14:textId="64D4CD7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D6BB" w14:textId="2A3E5FC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-330</w:t>
            </w:r>
          </w:p>
        </w:tc>
      </w:tr>
      <w:tr w:rsidR="00EA3B15" w:rsidRPr="002B102D" w14:paraId="67F40017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E0C" w14:textId="76E88839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2B0" w14:textId="2465B2C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729F" w14:textId="7061589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27174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FCE" w14:textId="692E930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B6FF" w14:textId="07D6A32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2137" w14:textId="6D4F9AE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06E2" w14:textId="632FF1A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603" w14:textId="2BC804F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-93</w:t>
            </w:r>
          </w:p>
        </w:tc>
      </w:tr>
      <w:tr w:rsidR="00EA3B15" w:rsidRPr="002B102D" w14:paraId="65209C7C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E11" w14:textId="13A72090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162" w14:textId="3DF2A2B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0B6" w14:textId="0240018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43B" w14:textId="296F947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E44E" w14:textId="72269EA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5902" w14:textId="23CEA24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5EF2" w14:textId="5854812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2CBF" w14:textId="0F75D48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EA3B15" w:rsidRPr="002B102D" w14:paraId="12FC211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400D" w14:textId="44033579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7FF" w14:textId="5F2BC61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69E0" w14:textId="13F04AC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E9D" w14:textId="28F2A7D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50B" w14:textId="1A82C76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70C" w14:textId="52891A4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188" w14:textId="08DD1C2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8701" w14:textId="315914A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A3B15" w:rsidRPr="002B102D" w14:paraId="3A42EAF3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F5CC" w14:textId="7BFB9271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84C6" w14:textId="6980702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8EE7" w14:textId="202B0B4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27121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E7D7" w14:textId="17635F2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1E96" w14:textId="592911C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4784" w14:textId="7677CE4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89CA" w14:textId="38514FC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75E" w14:textId="1A14B83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-145</w:t>
            </w:r>
          </w:p>
        </w:tc>
      </w:tr>
      <w:tr w:rsidR="00EA3B15" w:rsidRPr="002B102D" w14:paraId="244C7B5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3209" w14:textId="0189CB79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613C" w14:textId="706B1C0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31617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E5BB" w14:textId="6F4BC1A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27649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3D9" w14:textId="09E339B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84D" w14:textId="1F00355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DBD9" w14:textId="6BF3ED0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17C8" w14:textId="5142294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288E" w14:textId="2C44891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EA3B15" w:rsidRPr="002B102D" w14:paraId="658C8E85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BCF" w14:textId="6297776F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A9B4" w14:textId="5EB5A15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31878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607" w14:textId="73B4D4F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27663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17C1" w14:textId="0A6FA97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F75" w14:textId="5276812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84E6" w14:textId="40DFEC6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4AA3" w14:textId="5948595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3C50" w14:textId="60D84E7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</w:tr>
      <w:tr w:rsidR="00EA3B15" w:rsidRPr="002B102D" w14:paraId="4726C628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CC4" w14:textId="7EE87072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7CFC" w14:textId="3C23875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AF6" w14:textId="07403F5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28379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69ED" w14:textId="10F78D4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5250" w14:textId="4300D44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76CB" w14:textId="6953D8F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1845" w14:textId="0E782FC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F6B2" w14:textId="67F35C4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EA3B15" w:rsidRPr="002B102D" w14:paraId="7CBF4607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CEEA" w14:textId="429E0484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D70" w14:textId="410D9D2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32666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800" w14:textId="5220629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AA5" w14:textId="4109D30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331" w14:textId="19685D4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942D" w14:textId="63487D8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7955" w14:textId="3D2D07D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CCE" w14:textId="4CFD759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</w:tr>
      <w:tr w:rsidR="00EA3B15" w:rsidRPr="002B102D" w14:paraId="1D06D40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676A" w14:textId="18E4A933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47F" w14:textId="6CF93C9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32274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7EC" w14:textId="6BE40DD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28007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6EE8" w14:textId="2510C87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A0A3" w14:textId="108F512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457C" w14:textId="1281346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8FB3" w14:textId="437520C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7DD9" w14:textId="092A34F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-121</w:t>
            </w:r>
          </w:p>
        </w:tc>
      </w:tr>
      <w:tr w:rsidR="00EA3B15" w:rsidRPr="002B102D" w14:paraId="1F0ABE1B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DD2" w14:textId="6AFEAFFE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8EE2" w14:textId="28F1AB3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32168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36A" w14:textId="15FEDDE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28620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601" w14:textId="6AA6F13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ECD" w14:textId="63C369F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2188" w14:textId="5D60753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16D5" w14:textId="63CFD3C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943D" w14:textId="35F80BB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-719</w:t>
            </w:r>
          </w:p>
        </w:tc>
      </w:tr>
      <w:tr w:rsidR="00EA3B15" w:rsidRPr="002B102D" w14:paraId="0A648905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265" w14:textId="2F789655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C8E" w14:textId="72F34D3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BB22" w14:textId="123869B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28813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175" w14:textId="0F4953A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41A2" w14:textId="507BF9E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AC4F" w14:textId="117DDE9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1EFB" w14:textId="5FA7568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3336" w14:textId="5FC97CD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</w:tr>
      <w:tr w:rsidR="00EA3B15" w:rsidRPr="002B102D" w14:paraId="2D39573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4C99" w14:textId="42344C45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63E0" w14:textId="2EBF73C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32916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721" w14:textId="1428194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403" w14:textId="1AB2761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DED" w14:textId="29881BF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A3C" w14:textId="05E7399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A12C" w14:textId="0FA9A5D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280" w14:textId="6C8DF36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</w:tr>
      <w:tr w:rsidR="00EA3B15" w:rsidRPr="002B102D" w14:paraId="10CB1C10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7CE0" w14:textId="61493A09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13" w14:textId="44A0236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33313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2C7B" w14:textId="45D2C08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29570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7B5" w14:textId="7F45C84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1077" w14:textId="3521AD5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8CC9" w14:textId="5799878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AF8B" w14:textId="3977C63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E00" w14:textId="6DFBCEA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-174</w:t>
            </w:r>
          </w:p>
        </w:tc>
      </w:tr>
      <w:tr w:rsidR="00EA3B15" w:rsidRPr="002B102D" w14:paraId="4E12A96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EEB" w14:textId="375BCB28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48C" w14:textId="6D81EE5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33266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6D46" w14:textId="5D93E06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4CF" w14:textId="0678D19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23C1" w14:textId="6CF1BBA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5278" w14:textId="1033733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97A3" w14:textId="7F84022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4472" w14:textId="7E37D9E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-90</w:t>
            </w:r>
          </w:p>
        </w:tc>
      </w:tr>
      <w:tr w:rsidR="00EA3B15" w:rsidRPr="002B102D" w14:paraId="36626C2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BAE" w14:textId="5D63F1A7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2F1" w14:textId="06B815A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33336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E480" w14:textId="7B35CAC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A06" w14:textId="6F3A4A7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281" w14:textId="0D5D3B6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5641" w14:textId="6901EA7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483" w14:textId="0C6DE87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3AC" w14:textId="194E100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EA3B15" w:rsidRPr="002B102D" w14:paraId="6DF1BD4F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3017" w14:textId="5C94F806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E256" w14:textId="2DC347A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33777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BA03" w14:textId="4F27BE8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30060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C47B" w14:textId="2C24465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6FCA" w14:textId="5D9DE5B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4855" w14:textId="0555F5C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EEAB" w14:textId="3A010D8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17D3" w14:textId="518EB87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A3B15" w:rsidRPr="002B102D" w14:paraId="19255963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0B9" w14:textId="3AC0AB5F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3150" w14:textId="6E10CB7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33815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0DC" w14:textId="6A62FC8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29999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5911" w14:textId="6E08B26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684" w14:textId="4EFC4EC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4AA9" w14:textId="66BC422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24E3" w14:textId="7CD89EF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D19" w14:textId="21A6689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EA3B15" w:rsidRPr="002B102D" w14:paraId="7CFABDC1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25F" w14:textId="3A741DCD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12B0" w14:textId="30AB9A9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33545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6BC" w14:textId="714266F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29954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BA3F" w14:textId="5357B5E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D575" w14:textId="6C80791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C9C9" w14:textId="53640CB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D84" w14:textId="47B7202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791" w14:textId="275E9F1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-225</w:t>
            </w:r>
          </w:p>
        </w:tc>
      </w:tr>
      <w:tr w:rsidR="00EA3B15" w:rsidRPr="002B102D" w14:paraId="30A408C9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8B47" w14:textId="5FD97F0F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E780" w14:textId="4589554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33807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08FE" w14:textId="3A060A1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30029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CE6" w14:textId="7A4D5CD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195" w14:textId="20BD6CF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F0D" w14:textId="62FF69B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B1C" w14:textId="46DC9E3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7C4B" w14:textId="5A59955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</w:tr>
      <w:tr w:rsidR="00EA3B15" w:rsidRPr="002B102D" w14:paraId="712D2B8C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E20F" w14:textId="632D551F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2787" w14:textId="4B848CC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34206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23DB" w14:textId="604D7C5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30435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324" w14:textId="1103ED9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C37" w14:textId="50B91F6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DF2E" w14:textId="3EB5976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C034" w14:textId="1F9D6E7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5238" w14:textId="46F74B7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</w:tr>
      <w:tr w:rsidR="00EA3B15" w:rsidRPr="002B102D" w14:paraId="1DFE8EE6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7C7" w14:textId="4A82E075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91D" w14:textId="3A555EA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34574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610" w14:textId="28E0F4B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30848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633" w14:textId="4EC80B8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9D2" w14:textId="0ECD956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B838" w14:textId="34C1642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865" w14:textId="6E9A192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F28B" w14:textId="63EDE45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</w:p>
        </w:tc>
      </w:tr>
      <w:tr w:rsidR="00EA3B15" w:rsidRPr="002B102D" w14:paraId="49E522C4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BD35" w14:textId="24164F2A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June-22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882C" w14:textId="05CA7AB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34258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EBBB" w14:textId="17B36FE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30709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466B" w14:textId="6F290C2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669" w14:textId="42A1BA2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530" w14:textId="2A1CAAC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1A26" w14:textId="019972D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07FB" w14:textId="66C610F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-177</w:t>
            </w:r>
          </w:p>
        </w:tc>
      </w:tr>
      <w:tr w:rsidR="00EA3B15" w:rsidRPr="002B102D" w14:paraId="59464D8A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955" w14:textId="38C34C60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July-22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53CE" w14:textId="71AD0A1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33978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DE7A" w14:textId="3316300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30518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C397" w14:textId="472024B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4674" w14:textId="6B911E7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BEBC" w14:textId="2FFADD4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008" w14:textId="0B6B728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5BD" w14:textId="43B24B8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-89</w:t>
            </w:r>
          </w:p>
        </w:tc>
      </w:tr>
      <w:tr w:rsidR="00EA3B15" w:rsidRPr="002B102D" w14:paraId="5DA80360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84B7" w14:textId="17AA2EC6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BA9" w14:textId="5111C73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3E9" w14:textId="55534A9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F29A" w14:textId="0F4AA17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970" w14:textId="1DD4E31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48D9" w14:textId="431B7B9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784A" w14:textId="4F8DD26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CA0" w14:textId="753CD3E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-114</w:t>
            </w:r>
          </w:p>
        </w:tc>
      </w:tr>
      <w:tr w:rsidR="00EA3B15" w:rsidRPr="002B102D" w14:paraId="58E038D1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5E22" w14:textId="51C9D103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September-22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32D" w14:textId="10A7334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E15D" w14:textId="646AAC1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25B" w14:textId="44BD9D9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3865" w14:textId="617AB95E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2D92" w14:textId="20E9B29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FA54" w14:textId="0B1EC9F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C82" w14:textId="4A468A45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EA3B15" w:rsidRPr="002B102D" w14:paraId="0FD7C4B0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1DA" w14:textId="3FB297EF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F90" w14:textId="3CA686B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34584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7935" w14:textId="6B3649F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48C" w14:textId="398773BF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E716" w14:textId="16E17F5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3DF" w14:textId="65788FEB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436E" w14:textId="0196406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607" w14:textId="6D6F102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EA3B15" w:rsidRPr="002B102D" w14:paraId="436EB0E2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4BC2" w14:textId="1C066839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37AE" w14:textId="6C64AF8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35130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DEC1" w14:textId="65F47B0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31575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9C6E" w14:textId="3EFE66D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DC9" w14:textId="192E825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D273" w14:textId="37A8F6F1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7E7D" w14:textId="3BA2F15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CCB" w14:textId="276162E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EA3B15" w:rsidRPr="002B102D" w14:paraId="30DCBD4C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D3B" w14:textId="7785BE44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December-22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A3B8" w14:textId="3704E21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35082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A807" w14:textId="26D76FD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31470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FABF" w14:textId="0449F67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1EF" w14:textId="01A38DF9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51C8" w14:textId="215C7083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4F9" w14:textId="45C98B2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A97" w14:textId="051514E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EA3B15" w:rsidRPr="002B102D" w14:paraId="7BF48B64" w14:textId="77777777" w:rsidTr="00077F0E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C94E" w14:textId="769843EB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January-23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6DC1" w14:textId="25E045A7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35270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CB3" w14:textId="615DC31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31821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4F9" w14:textId="762744B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50B" w14:textId="1A427400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16DE" w14:textId="0F3E258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D65" w14:textId="5685D266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CEC0" w14:textId="0E9FF00D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-164</w:t>
            </w:r>
          </w:p>
        </w:tc>
      </w:tr>
      <w:tr w:rsidR="00EA3B15" w:rsidRPr="002B102D" w14:paraId="410842D4" w14:textId="77777777" w:rsidTr="00077F0E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6DE4" w14:textId="3C63AD7A" w:rsidR="00EA3B15" w:rsidRPr="002B102D" w:rsidRDefault="00EA3B15" w:rsidP="00EA3B15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9B1" w14:textId="24FA8D24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34975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A7F" w14:textId="5B074D5A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2A1D" w14:textId="30329C9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DAB" w14:textId="5573BC4C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3C883" w14:textId="5D7BE63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16B2" w14:textId="1384E832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5A9E" w14:textId="7CC20A78" w:rsidR="00EA3B15" w:rsidRPr="002B102D" w:rsidRDefault="00EA3B15" w:rsidP="00EA3B1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</w:tbl>
    <w:p w14:paraId="1F7A61BA" w14:textId="77777777" w:rsidR="00FA2D67" w:rsidRPr="002B102D" w:rsidRDefault="00FA2D67" w:rsidP="007C3CD9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311C7924" w14:textId="77777777" w:rsidR="00DA68C8" w:rsidRPr="002B102D" w:rsidRDefault="00DA68C8" w:rsidP="00DA68C8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70A15363" w14:textId="77777777" w:rsidR="001C6540" w:rsidRPr="002B102D" w:rsidRDefault="001C6540" w:rsidP="007C3CD9">
      <w:pPr>
        <w:spacing w:line="276" w:lineRule="auto"/>
        <w:rPr>
          <w:color w:val="FF0000"/>
          <w:sz w:val="20"/>
          <w:szCs w:val="20"/>
          <w:lang w:val="en-US"/>
        </w:rPr>
      </w:pPr>
    </w:p>
    <w:p w14:paraId="7808F7C5" w14:textId="77777777" w:rsidR="00704BBB" w:rsidRPr="002B102D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4" w:name="_Ref374950055"/>
    </w:p>
    <w:p w14:paraId="0BC3C5C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2B102D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2B102D">
        <w:rPr>
          <w:rFonts w:ascii="Arial" w:hAnsi="Arial" w:cs="Arial"/>
          <w:sz w:val="20"/>
          <w:szCs w:val="20"/>
          <w:lang w:val="en-US"/>
        </w:rPr>
        <w:br w:type="page"/>
      </w:r>
    </w:p>
    <w:bookmarkEnd w:id="4"/>
    <w:p w14:paraId="6359727C" w14:textId="22064284" w:rsidR="006E6B65" w:rsidRPr="002B102D" w:rsidRDefault="006E6B65" w:rsidP="006E6B65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2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>: Unemployment, alternative unemployment rates (%) levels (in thousand)</w:t>
      </w:r>
    </w:p>
    <w:p w14:paraId="1BAA340F" w14:textId="77777777" w:rsidR="006E6B65" w:rsidRPr="002B102D" w:rsidRDefault="006E6B65" w:rsidP="006E6B65">
      <w:pPr>
        <w:rPr>
          <w:lang w:val="en-US"/>
        </w:rPr>
      </w:pPr>
    </w:p>
    <w:tbl>
      <w:tblPr>
        <w:tblW w:w="1116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10"/>
        <w:gridCol w:w="1310"/>
        <w:gridCol w:w="1562"/>
        <w:gridCol w:w="1361"/>
        <w:gridCol w:w="1474"/>
        <w:gridCol w:w="975"/>
        <w:gridCol w:w="1358"/>
        <w:gridCol w:w="960"/>
      </w:tblGrid>
      <w:tr w:rsidR="006E6B65" w:rsidRPr="002B102D" w14:paraId="7ED802BD" w14:textId="77777777" w:rsidTr="00143E19">
        <w:trPr>
          <w:trHeight w:val="154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1799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33D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Unemployment Rate (%)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256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Persons in Unemployment (in thousands)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5BBA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A48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Time-Related Underemployed (in thousands)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1296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C394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Potential Labor Force (in thousands)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02B8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Composite Measure of Labor Underutilization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33B9" w14:textId="77777777" w:rsidR="00DA68C8" w:rsidRPr="002B102D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</w:pPr>
            <w:r w:rsidRPr="002B102D">
              <w:rPr>
                <w:rFonts w:asciiTheme="minorHAnsi" w:hAnsiTheme="minorHAnsi" w:cs="Arial"/>
                <w:color w:val="0D0D0D"/>
                <w:sz w:val="18"/>
                <w:szCs w:val="18"/>
                <w:lang w:val="en-US" w:eastAsia="tr-TR"/>
              </w:rPr>
              <w:t>Total</w:t>
            </w:r>
          </w:p>
        </w:tc>
      </w:tr>
      <w:tr w:rsidR="000A5E4F" w:rsidRPr="002B102D" w14:paraId="081E0298" w14:textId="77777777" w:rsidTr="000A5E4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1840" w14:textId="5A254256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3860" w14:textId="4C2AAC8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8EA5" w14:textId="0FAB5E6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2CA0" w14:textId="727A9D1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EA6A" w14:textId="445F398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BAC0" w14:textId="7AC037D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3435" w14:textId="27CBEBB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DB00" w14:textId="0A8C962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1AD" w14:textId="04F8908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7063</w:t>
            </w:r>
          </w:p>
        </w:tc>
      </w:tr>
      <w:tr w:rsidR="000A5E4F" w:rsidRPr="002B102D" w14:paraId="0C2FCA02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47BB" w14:textId="4D83B35B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817D" w14:textId="08712CF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66DE" w14:textId="59CC2D4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FD95" w14:textId="68C2C9D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1A0A" w14:textId="55EEEF0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D476" w14:textId="21D991B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A32F" w14:textId="621ED6C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26B3" w14:textId="5865673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9F0E" w14:textId="0B7EB2E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7666</w:t>
            </w:r>
          </w:p>
        </w:tc>
      </w:tr>
      <w:tr w:rsidR="000A5E4F" w:rsidRPr="002B102D" w14:paraId="3E4E9A52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430" w14:textId="3C3EF616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1786" w14:textId="25B5752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176" w14:textId="1DAC02D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F75B" w14:textId="04A0852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F94" w14:textId="0EEBCC9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3296" w14:textId="15E6B1F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5499" w14:textId="03410EE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3785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3C96" w14:textId="214DC46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1983" w14:textId="705B3CA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</w:tr>
      <w:tr w:rsidR="000A5E4F" w:rsidRPr="002B102D" w14:paraId="17BED6EB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0C8F" w14:textId="6D8C8EEB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2D0" w14:textId="5EA90AA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5883" w14:textId="2624AD2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8736" w14:textId="249F3A0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F27E" w14:textId="2262552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9760" w14:textId="43D336D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2248" w14:textId="0E9C880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4236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E6EA" w14:textId="5EF3FAD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9924" w14:textId="005163D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9951</w:t>
            </w:r>
          </w:p>
        </w:tc>
      </w:tr>
      <w:tr w:rsidR="000A5E4F" w:rsidRPr="002B102D" w14:paraId="4CD6C4A7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AAE0" w14:textId="45A23721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B03" w14:textId="0E02561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7F4E" w14:textId="26C2048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4185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8550" w14:textId="01948FE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2DD3" w14:textId="210A800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B060" w14:textId="1E7B050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199D" w14:textId="1B85EC5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3569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46A2" w14:textId="5CC1914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8598" w14:textId="39DB8FC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8891</w:t>
            </w:r>
          </w:p>
        </w:tc>
      </w:tr>
      <w:tr w:rsidR="000A5E4F" w:rsidRPr="002B102D" w14:paraId="0EEC1E45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097E" w14:textId="695D7794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03E9" w14:textId="315B20F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D305" w14:textId="73FF3A9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4338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2455" w14:textId="2CC931D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AF96" w14:textId="4CA2130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FE1C" w14:textId="732029B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523C" w14:textId="1094693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AE5F" w14:textId="54A5ECA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5E7" w14:textId="1DFBB78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8822</w:t>
            </w:r>
          </w:p>
        </w:tc>
      </w:tr>
      <w:tr w:rsidR="000A5E4F" w:rsidRPr="002B102D" w14:paraId="78742BB7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FE42" w14:textId="683C79F4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DE80" w14:textId="173CB0B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BB02" w14:textId="69B04E3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4008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B6B" w14:textId="55A5506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91B4" w14:textId="234B3C6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A491" w14:textId="4A4D003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4A62" w14:textId="2349CED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3375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673F" w14:textId="6A112B5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6F8" w14:textId="73F2F63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8609</w:t>
            </w:r>
          </w:p>
        </w:tc>
      </w:tr>
      <w:tr w:rsidR="000A5E4F" w:rsidRPr="002B102D" w14:paraId="1807C1F0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1174" w14:textId="6D1DF0DD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6049" w14:textId="259C35E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C5DC" w14:textId="73C64C5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4DA2" w14:textId="615A947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08FB" w14:textId="1C7773F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69D0" w14:textId="4690F30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284D" w14:textId="2DCE4A0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3396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06B6" w14:textId="60C1FF5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DCF" w14:textId="267C219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8339</w:t>
            </w:r>
          </w:p>
        </w:tc>
      </w:tr>
      <w:tr w:rsidR="000A5E4F" w:rsidRPr="002B102D" w14:paraId="7FD5EDC9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CF74" w14:textId="137586E3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88FB" w14:textId="70B2A9C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D821" w14:textId="46BC12D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4041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46C0" w14:textId="6B46C5A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08A5" w14:textId="2542989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7410" w14:textId="1858D8B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66A5" w14:textId="6338281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3487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A2A" w14:textId="6A07A80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A1C6" w14:textId="62B2948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8857</w:t>
            </w:r>
          </w:p>
        </w:tc>
      </w:tr>
      <w:tr w:rsidR="000A5E4F" w:rsidRPr="002B102D" w14:paraId="0B361ADE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3573" w14:textId="104BE413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5951" w14:textId="2FB7E0C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3869" w14:textId="34022E7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4051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18FE" w14:textId="362035E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BAFE" w14:textId="5E8176D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5945" w14:textId="6DF6541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9259" w14:textId="1F6D8E8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4068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117B" w14:textId="68DBABF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A1E2" w14:textId="2496B19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9382</w:t>
            </w:r>
          </w:p>
        </w:tc>
      </w:tr>
      <w:tr w:rsidR="000A5E4F" w:rsidRPr="002B102D" w14:paraId="566AC68C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03B" w14:textId="4760CF9A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1925" w14:textId="3EFF8A6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85BE" w14:textId="61508F2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3906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BA0B" w14:textId="6C05C89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00AD" w14:textId="736AC97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CE08" w14:textId="7D3E690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D2F0" w14:textId="2765798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4565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0659" w14:textId="2B0A9B8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0E9" w14:textId="779EE51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10057</w:t>
            </w:r>
          </w:p>
        </w:tc>
      </w:tr>
      <w:tr w:rsidR="000A5E4F" w:rsidRPr="002B102D" w14:paraId="087A5A6E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C2C6" w14:textId="76227EF8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FE91" w14:textId="28EA824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FC50" w14:textId="5A8D81B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3968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314D" w14:textId="74733E3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1F35" w14:textId="5484F7C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EBA1" w14:textId="3FA7BB4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3BE1" w14:textId="2E30EF8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4198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1004" w14:textId="2EDFD13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24DF" w14:textId="6F72359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10521</w:t>
            </w:r>
          </w:p>
        </w:tc>
      </w:tr>
      <w:tr w:rsidR="000A5E4F" w:rsidRPr="002B102D" w14:paraId="47CEF761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D226" w14:textId="090CF8F4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F1BD" w14:textId="056C390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DC1E" w14:textId="0E6D9FF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396C" w14:textId="2C00240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CBDC" w14:textId="223EBFB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98C7" w14:textId="323EC61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ECAC" w14:textId="37EE97F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6F48" w14:textId="708E9D8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D1A" w14:textId="225C886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9972</w:t>
            </w:r>
          </w:p>
        </w:tc>
      </w:tr>
      <w:tr w:rsidR="000A5E4F" w:rsidRPr="002B102D" w14:paraId="4971557B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2485" w14:textId="4BC00207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EBD0" w14:textId="37B00AF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812C" w14:textId="15696E4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4203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6381" w14:textId="5273AD9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22A2" w14:textId="1C523A6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615E" w14:textId="71102FC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15B0" w14:textId="197F41B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BFCE" w14:textId="6E2482F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486" w14:textId="00EEB69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9160</w:t>
            </w:r>
          </w:p>
        </w:tc>
      </w:tr>
      <w:tr w:rsidR="000A5E4F" w:rsidRPr="002B102D" w14:paraId="66474719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307E" w14:textId="24DC8A96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F53" w14:textId="6B01D41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8CEC" w14:textId="182A154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4388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DE13" w14:textId="35795E3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5C6A" w14:textId="4D63424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1C5B" w14:textId="38A4EAD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C4B2" w14:textId="16E1FF3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3357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C166" w14:textId="2CDB80E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CA3" w14:textId="603F807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9727</w:t>
            </w:r>
          </w:p>
        </w:tc>
      </w:tr>
      <w:tr w:rsidR="000A5E4F" w:rsidRPr="002B102D" w14:paraId="0BA8DBEA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7AC6" w14:textId="5F971F8D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DEF6" w14:textId="4569D87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65D3" w14:textId="7F468BE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4267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1D0D" w14:textId="4141E92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6DEA" w14:textId="592FCE9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7CF5" w14:textId="660F69D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7967" w14:textId="6E65148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3495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3951" w14:textId="430DBB6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842F" w14:textId="4D69F60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9724</w:t>
            </w:r>
          </w:p>
        </w:tc>
      </w:tr>
      <w:tr w:rsidR="000A5E4F" w:rsidRPr="002B102D" w14:paraId="1BC04910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5581" w14:textId="1DD154CB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2A3A" w14:textId="02E07A8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D048" w14:textId="005231A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3280" w14:textId="06E6068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11E5" w14:textId="0F31FA7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5D46" w14:textId="689A9B7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387" w14:textId="1001C29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3209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8780" w14:textId="779CE7E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1F3" w14:textId="4729C47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8034</w:t>
            </w:r>
          </w:p>
        </w:tc>
      </w:tr>
      <w:tr w:rsidR="000A5E4F" w:rsidRPr="002B102D" w14:paraId="136054CC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9FDD" w14:textId="592E57EE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ABD6" w14:textId="544C7A6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26AF" w14:textId="2D9F56C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3780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B74D" w14:textId="082A1B3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F9DD" w14:textId="24D0CC3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548C" w14:textId="2957B0F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60B7" w14:textId="61A9DBD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2EDC" w14:textId="0818C40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9AB9" w14:textId="587043F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8325</w:t>
            </w:r>
          </w:p>
        </w:tc>
      </w:tr>
      <w:tr w:rsidR="000A5E4F" w:rsidRPr="002B102D" w14:paraId="3520A622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C250" w14:textId="3D45D0FD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7DB5" w14:textId="5B6E441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7255" w14:textId="69EA156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D7BB" w14:textId="72D9FDD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0B41" w14:textId="3938939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B327" w14:textId="3DF37E6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A06E" w14:textId="0B990B8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2841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7DD1" w14:textId="12BA1F1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D4F" w14:textId="6BD66E7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7778</w:t>
            </w:r>
          </w:p>
        </w:tc>
      </w:tr>
      <w:tr w:rsidR="000A5E4F" w:rsidRPr="002B102D" w14:paraId="64C2F640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364D" w14:textId="20A79294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FA8B" w14:textId="6E58061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86C7" w14:textId="1A1154D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3743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69CA" w14:textId="3A4DDF2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0FE" w14:textId="5DDCB5F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DEB8" w14:textId="0751337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08CB" w14:textId="1EB6F3E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2880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2652" w14:textId="7B4D442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1B5" w14:textId="5837785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7844</w:t>
            </w:r>
          </w:p>
        </w:tc>
      </w:tr>
      <w:tr w:rsidR="000A5E4F" w:rsidRPr="002B102D" w14:paraId="44A1D177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EBDD" w14:textId="08AA899E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455D" w14:textId="4AE3663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F6F2" w14:textId="53707EA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3653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8CEA" w14:textId="45237C5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AF2C" w14:textId="7536AF8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ED5F" w14:textId="7CE529D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2CCE" w14:textId="26C663C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3069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A5C4" w14:textId="057C133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C42" w14:textId="458743D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8225</w:t>
            </w:r>
          </w:p>
        </w:tc>
      </w:tr>
      <w:tr w:rsidR="000A5E4F" w:rsidRPr="002B102D" w14:paraId="3BB21B60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92A2" w14:textId="2DBDCE68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0081" w14:textId="697A3D2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42C8" w14:textId="5353852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DE68" w14:textId="15DD961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F70C" w14:textId="6936D47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7B33" w14:textId="2C1A329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2652" w14:textId="02963BD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2874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CFA" w14:textId="17CF065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FF5" w14:textId="6C6E17C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8008</w:t>
            </w:r>
          </w:p>
        </w:tc>
      </w:tr>
      <w:tr w:rsidR="000A5E4F" w:rsidRPr="002B102D" w14:paraId="25F1F904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15C1" w14:textId="138E34D3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6BD4" w14:textId="343F60A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47E8" w14:textId="326FF5F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6959" w14:textId="5A24D29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528D" w14:textId="3FA35CB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F2F" w14:textId="1DB74AE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6E3F" w14:textId="053B75F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3152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4E5E" w14:textId="147B8B7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19B5" w14:textId="0D1D037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8286</w:t>
            </w:r>
          </w:p>
        </w:tc>
      </w:tr>
      <w:tr w:rsidR="000A5E4F" w:rsidRPr="002B102D" w14:paraId="69416D69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D423" w14:textId="1BD3CC18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19B5" w14:textId="4845BFC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0A2D" w14:textId="12AB9A4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1685" w14:textId="431EBFE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D2AB" w14:textId="5E80CB3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C89B" w14:textId="422C758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BE05" w14:textId="610F0D9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AC3F" w14:textId="3E8E50F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ABFB" w14:textId="51201BD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8405</w:t>
            </w:r>
          </w:p>
        </w:tc>
      </w:tr>
      <w:tr w:rsidR="000A5E4F" w:rsidRPr="002B102D" w14:paraId="33652B31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3BF3" w14:textId="24600337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A04E" w14:textId="40A28DE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D809" w14:textId="21AE5FC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82F3" w14:textId="03C94B8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682A" w14:textId="6351DEE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DC76" w14:textId="48959DD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8678" w14:textId="6DA0BF6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3029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6C6" w14:textId="1BCDE1E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D814" w14:textId="5FD132A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7994</w:t>
            </w:r>
          </w:p>
        </w:tc>
      </w:tr>
      <w:tr w:rsidR="000A5E4F" w:rsidRPr="002B102D" w14:paraId="16B842CE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CBEB" w14:textId="7EA3B158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DD67" w14:textId="2E684D0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6288" w14:textId="76D5404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3778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B207" w14:textId="64E65DE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A058" w14:textId="689A18C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15BA" w14:textId="7404085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5E87" w14:textId="698271B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3038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58B5" w14:textId="0486CDF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CE4D" w14:textId="4D56D21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8245</w:t>
            </w:r>
          </w:p>
        </w:tc>
      </w:tr>
      <w:tr w:rsidR="000A5E4F" w:rsidRPr="002B102D" w14:paraId="70A809C1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A2B7" w14:textId="55587494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412" w14:textId="048BDBA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74FF" w14:textId="5EFCC37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3771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25CB" w14:textId="3915709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9757" w14:textId="5343730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C019" w14:textId="0B479E0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2A3D" w14:textId="2234B7D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3046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57FA" w14:textId="6553866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E85D" w14:textId="55E6FC7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8040</w:t>
            </w:r>
          </w:p>
        </w:tc>
      </w:tr>
      <w:tr w:rsidR="000A5E4F" w:rsidRPr="002B102D" w14:paraId="38E0E7DF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65F" w14:textId="26686B27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150D" w14:textId="49D1BBD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8E62" w14:textId="63B2D6E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0656" w14:textId="6B277AB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0F0B" w14:textId="6293E75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184C" w14:textId="35E0E24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0CD3" w14:textId="5E8AB75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2863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E62D" w14:textId="0242F99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1901" w14:textId="4669E8E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8326</w:t>
            </w:r>
          </w:p>
        </w:tc>
      </w:tr>
      <w:tr w:rsidR="000A5E4F" w:rsidRPr="002B102D" w14:paraId="769C0072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2BCE" w14:textId="143CF84C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56D9" w14:textId="74177D5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AF1" w14:textId="0928BA2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3549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8FE9" w14:textId="4D5113F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A7BF" w14:textId="2D86C7E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3CE1" w14:textId="3A7CDB7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4C33" w14:textId="6A5D194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E671" w14:textId="559DD8F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372" w14:textId="3B6ED7C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7626</w:t>
            </w:r>
          </w:p>
        </w:tc>
      </w:tr>
      <w:tr w:rsidR="000A5E4F" w:rsidRPr="002B102D" w14:paraId="625ED781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12EB" w14:textId="2A71040F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A4CD" w14:textId="6ACF2F0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27BC" w14:textId="4118390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3460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A47" w14:textId="0C39562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8D9C" w14:textId="32B131D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6F05" w14:textId="5C1FF08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C206" w14:textId="4E2DF9D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44B" w14:textId="50E21AE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8FE" w14:textId="475814A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8404</w:t>
            </w:r>
          </w:p>
        </w:tc>
      </w:tr>
      <w:tr w:rsidR="000A5E4F" w:rsidRPr="002B102D" w14:paraId="5C2CE7F8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6AF8" w14:textId="0BC6DB28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96A4" w14:textId="29E6E8F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F6CF" w14:textId="6D6B2B5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25F7" w14:textId="752A2AAD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2222" w14:textId="34D133A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566" w14:textId="02D3449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C9F6" w14:textId="3E70F48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2749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983E" w14:textId="5C597E9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D01" w14:textId="3B85BAC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7361</w:t>
            </w:r>
          </w:p>
        </w:tc>
      </w:tr>
      <w:tr w:rsidR="000A5E4F" w:rsidRPr="002B102D" w14:paraId="465FE5C1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EF4F" w14:textId="0F4E0348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77D9" w14:textId="47AA686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AAFB" w14:textId="6EC7E01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2F49" w14:textId="23C87BA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BDAA" w14:textId="07DEA1A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ACD" w14:textId="4C20736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4E5C" w14:textId="37C6D2B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2734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E8A0" w14:textId="50B4AF6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DB8" w14:textId="66D9CCC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7490</w:t>
            </w:r>
          </w:p>
        </w:tc>
      </w:tr>
      <w:tr w:rsidR="000A5E4F" w:rsidRPr="002B102D" w14:paraId="25514B3F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E4E4" w14:textId="7A568842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FF7C" w14:textId="3DD2324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E6CE" w14:textId="6E1C0082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3486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2D80" w14:textId="63B2CFF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57F9" w14:textId="2D6B344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C871" w14:textId="61FD3FF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80DA" w14:textId="66FE14F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2659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F0F5" w14:textId="361DD0A6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9E9B" w14:textId="41DC994B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7570</w:t>
            </w:r>
          </w:p>
        </w:tc>
      </w:tr>
      <w:tr w:rsidR="000A5E4F" w:rsidRPr="002B102D" w14:paraId="29A30CDB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666F" w14:textId="4146AF73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9329" w14:textId="6A05880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2F6A" w14:textId="69FB12F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3555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ACBC" w14:textId="7AB7520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6DC1" w14:textId="3FDED54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6D90" w14:textId="5FC5796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0F17" w14:textId="5ADED09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2866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722" w14:textId="2E38B73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CDE7" w14:textId="4BF56DFF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7890</w:t>
            </w:r>
          </w:p>
        </w:tc>
      </w:tr>
      <w:tr w:rsidR="000A5E4F" w:rsidRPr="002B102D" w14:paraId="286D5187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3A6" w14:textId="387CA766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EC31" w14:textId="1B727DC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FB6D" w14:textId="4B38760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675" w14:textId="4D8CD269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5286" w14:textId="3DE59A5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A51D" w14:textId="53EEDA5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197B" w14:textId="4DE6C0B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7C9D" w14:textId="13765A5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99D4" w14:textId="7462D48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8151</w:t>
            </w:r>
          </w:p>
        </w:tc>
      </w:tr>
      <w:tr w:rsidR="000A5E4F" w:rsidRPr="002B102D" w14:paraId="141EFEF7" w14:textId="77777777" w:rsidTr="000A5E4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7705" w14:textId="7991470F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F87" w14:textId="5F1E2A8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672D" w14:textId="08C1BF8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3449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E79D" w14:textId="39ABCA4E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49B3" w14:textId="69F326B7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45CC" w14:textId="0370D8CC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0EB" w14:textId="106A5DD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2976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118" w14:textId="681421F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AF3" w14:textId="783B1E23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8373</w:t>
            </w:r>
          </w:p>
        </w:tc>
      </w:tr>
      <w:tr w:rsidR="000A5E4F" w:rsidRPr="002B102D" w14:paraId="6237683E" w14:textId="77777777" w:rsidTr="000A5E4F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1689" w14:textId="1313C2DE" w:rsidR="000A5E4F" w:rsidRPr="002B102D" w:rsidRDefault="000A5E4F" w:rsidP="000A5E4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4038" w14:textId="1B4C7311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B88" w14:textId="645DD3A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A2C" w14:textId="0A62A45A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B4B1" w14:textId="2B3834F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173" w14:textId="70720BF5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6A0" w14:textId="0EDDD6A8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DC3" w14:textId="379DACC0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26C" w14:textId="099F2FD4" w:rsidR="000A5E4F" w:rsidRPr="002B102D" w:rsidRDefault="000A5E4F" w:rsidP="000A5E4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8941</w:t>
            </w:r>
          </w:p>
        </w:tc>
      </w:tr>
    </w:tbl>
    <w:p w14:paraId="6935DB7C" w14:textId="77777777" w:rsidR="00964EF8" w:rsidRPr="002B102D" w:rsidRDefault="00964EF8" w:rsidP="007C3CD9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  <w:lang w:val="en-US"/>
        </w:rPr>
      </w:pPr>
    </w:p>
    <w:p w14:paraId="64AE54F9" w14:textId="77777777" w:rsidR="006E6B65" w:rsidRPr="002B102D" w:rsidRDefault="006E6B65" w:rsidP="006E6B65">
      <w:pPr>
        <w:spacing w:line="276" w:lineRule="auto"/>
        <w:rPr>
          <w:lang w:val="en-US"/>
        </w:rPr>
      </w:pPr>
      <w:r w:rsidRPr="002B102D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67B407C8" w14:textId="77777777" w:rsidR="00964EF8" w:rsidRPr="002B102D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A589B9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45551BB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82D726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8A18AE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6E1A773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9E1B141" w14:textId="77777777" w:rsidR="001C6540" w:rsidRPr="002B102D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557EA09" w14:textId="653273EE" w:rsidR="006E6B65" w:rsidRPr="002B102D" w:rsidRDefault="006E6B65" w:rsidP="006E6B65">
      <w:pPr>
        <w:pStyle w:val="ResimYazs"/>
        <w:keepNext/>
        <w:rPr>
          <w:rFonts w:asciiTheme="minorHAnsi" w:hAnsiTheme="minorHAnsi"/>
          <w:sz w:val="22"/>
          <w:szCs w:val="22"/>
          <w:lang w:val="en-US"/>
        </w:rPr>
      </w:pPr>
      <w:r w:rsidRPr="002B102D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2B102D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086CF7" w:rsidRPr="002B102D">
        <w:rPr>
          <w:rFonts w:asciiTheme="minorHAnsi" w:hAnsiTheme="minorHAnsi"/>
          <w:noProof/>
          <w:sz w:val="22"/>
          <w:szCs w:val="22"/>
          <w:lang w:val="en-US"/>
        </w:rPr>
        <w:t>3</w:t>
      </w:r>
      <w:r w:rsidRPr="002B102D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2B102D">
        <w:rPr>
          <w:rFonts w:asciiTheme="minorHAnsi" w:hAnsiTheme="minorHAnsi"/>
          <w:sz w:val="22"/>
          <w:szCs w:val="22"/>
          <w:lang w:val="en-US"/>
        </w:rPr>
        <w:t>: Seasonally adjusted female and male labor market indicators (thousands)</w:t>
      </w:r>
    </w:p>
    <w:p w14:paraId="442158C1" w14:textId="77777777" w:rsidR="006E6B65" w:rsidRPr="002B102D" w:rsidRDefault="006E6B65" w:rsidP="006E6B65">
      <w:pPr>
        <w:rPr>
          <w:lang w:val="en-US"/>
        </w:rPr>
      </w:pPr>
    </w:p>
    <w:tbl>
      <w:tblPr>
        <w:tblW w:w="10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29"/>
        <w:gridCol w:w="1087"/>
        <w:gridCol w:w="549"/>
        <w:gridCol w:w="1087"/>
      </w:tblGrid>
      <w:tr w:rsidR="0096500B" w:rsidRPr="002B102D" w14:paraId="3940CAFC" w14:textId="77777777" w:rsidTr="00C81ADE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B74" w14:textId="13F3A5EE" w:rsidR="0096500B" w:rsidRPr="002B102D" w:rsidRDefault="0096500B" w:rsidP="0096500B">
            <w:pPr>
              <w:suppressAutoHyphens w:val="0"/>
              <w:rPr>
                <w:sz w:val="22"/>
                <w:szCs w:val="22"/>
                <w:lang w:val="en-US" w:eastAsia="tr-TR"/>
              </w:rPr>
            </w:pPr>
            <w:r w:rsidRPr="002B102D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87A" w14:textId="4EBF8998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labor force, Female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806" w14:textId="33E14576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Employment, Female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7A6" w14:textId="7FF297F4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Unemployed, Female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A23" w14:textId="1042A6A1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labor force, Male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859" w14:textId="42A9E830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Employment, Male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DAAE" w14:textId="47D39D71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sz w:val="16"/>
                <w:szCs w:val="16"/>
                <w:lang w:val="en-US"/>
              </w:rPr>
              <w:t>Total Unemployed, Male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8F0" w14:textId="25F07049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F41" w14:textId="51AF8C98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Women Employment Rate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7FB3" w14:textId="708DABD6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LFPR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3FA" w14:textId="34DE791D" w:rsidR="0096500B" w:rsidRPr="002B102D" w:rsidRDefault="0096500B" w:rsidP="0096500B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tr-TR"/>
              </w:rPr>
            </w:pPr>
            <w:r w:rsidRPr="002B102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Men Employment Rate</w:t>
            </w:r>
          </w:p>
        </w:tc>
      </w:tr>
      <w:tr w:rsidR="001D0A2A" w:rsidRPr="002B102D" w14:paraId="48A1F429" w14:textId="77777777" w:rsidTr="00BF6EF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77B" w14:textId="3B2DF94B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BCAC" w14:textId="32E353C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10318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4CC" w14:textId="1450DF1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8839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66F" w14:textId="48AE024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D34" w14:textId="6BAD02B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21606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A9A8" w14:textId="60CF737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19086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A7D" w14:textId="73D6145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9B0" w14:textId="2CB9A93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B54" w14:textId="3C9E65F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FEB" w14:textId="3064CCE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EB26" w14:textId="36C3BC7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</w:tr>
      <w:tr w:rsidR="001D0A2A" w:rsidRPr="002B102D" w14:paraId="3FDB4B33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D31" w14:textId="674B5268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2189" w14:textId="1609DC1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8294" w14:textId="2127957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A44" w14:textId="493F0A1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CE0" w14:textId="79498D6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560D" w14:textId="47EDDC8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18325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10C" w14:textId="2409092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869" w14:textId="5A6FF31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FD2" w14:textId="56BECFD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6AA" w14:textId="110E2AE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666" w14:textId="2C124DC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1D0A2A" w:rsidRPr="002B102D" w14:paraId="1FC03015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CB1" w14:textId="0123D580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1FB" w14:textId="724EA7F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E8A9" w14:textId="7D9ECBE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7863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C9D" w14:textId="4D13B29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281F" w14:textId="2EE6EAE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2E0" w14:textId="665C301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17216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50A" w14:textId="398CE61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3CF" w14:textId="2250629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185D" w14:textId="07D336E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B4B" w14:textId="6C3A3AC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0F56" w14:textId="0BE32D4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</w:tr>
      <w:tr w:rsidR="001D0A2A" w:rsidRPr="002B102D" w14:paraId="0217781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74D" w14:textId="6C37D09D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CE5C" w14:textId="3D9C89C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9403" w14:textId="0C8AE0A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8004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02D7" w14:textId="1F4ED38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472" w14:textId="1CF38A4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20274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CA4C" w14:textId="463EBDB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17583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9A21" w14:textId="62FA57E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9A1" w14:textId="27E1D08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6EF" w14:textId="1C623A9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273" w14:textId="392D56C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0563" w14:textId="5A137F4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1D0A2A" w:rsidRPr="002B102D" w14:paraId="190DFFF9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BF82" w14:textId="4D44C46C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C94C" w14:textId="6EE61C1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6F1C" w14:textId="51D197A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8151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3A73" w14:textId="4AB19DA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6DF" w14:textId="0BD72F4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8296" w14:textId="2CB6C7E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18252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BB6" w14:textId="3A0491D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2686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8914" w14:textId="6657AF6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470" w14:textId="520D415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429" w14:textId="5DE16B9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432E" w14:textId="24D1ACB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</w:tr>
      <w:tr w:rsidR="001D0A2A" w:rsidRPr="002B102D" w14:paraId="2EF2FDF1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924" w14:textId="7DF97B98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7112" w14:textId="217CBFD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94F4" w14:textId="0169C21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789" w14:textId="54CE5C1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F8F" w14:textId="2057322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67B" w14:textId="5B9B3B7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17825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34E2" w14:textId="21855C1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2782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E6C" w14:textId="2206452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B12D" w14:textId="17669C8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12D" w14:textId="6F7DEA4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F7E" w14:textId="3395E15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57,5</w:t>
            </w:r>
          </w:p>
        </w:tc>
      </w:tr>
      <w:tr w:rsidR="001D0A2A" w:rsidRPr="002B102D" w14:paraId="38877D1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BFDF" w14:textId="58379F91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A621" w14:textId="1112ADF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AD8" w14:textId="1B30BDC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8452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58D" w14:textId="50370F3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9E32" w14:textId="010D0F3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21051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B430" w14:textId="6353222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18506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EFB" w14:textId="6BFABB9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8FC" w14:textId="1391218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AF0E" w14:textId="75713BE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D90" w14:textId="58242DB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25A" w14:textId="523F923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1D0A2A" w:rsidRPr="002B102D" w14:paraId="3D9160CC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BCA5" w14:textId="6E084367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CA21" w14:textId="260968F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12B3" w14:textId="5B7ABCF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5E81" w14:textId="6E4A0F1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FE8" w14:textId="65DC285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757" w14:textId="502F073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7959" w14:textId="580683A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35E1" w14:textId="5B08F01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DDD1" w14:textId="04337A0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61E" w14:textId="37D33B4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28D" w14:textId="48CF9CD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1D0A2A" w:rsidRPr="002B102D" w14:paraId="2AF6D0CC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715" w14:textId="692AE89B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A35B" w14:textId="2F9B903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2C5" w14:textId="5D15EB7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8233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322B" w14:textId="496BD94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6619" w14:textId="4317162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C0E" w14:textId="2EE5BA9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8EF" w14:textId="0F64D7E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D57" w14:textId="048AA8F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776" w14:textId="096F5A3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A74D" w14:textId="7A167C3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B25" w14:textId="31AED43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</w:tr>
      <w:tr w:rsidR="001D0A2A" w:rsidRPr="002B102D" w14:paraId="16C6C531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A3B" w14:textId="314D48F8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526" w14:textId="604AD38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A2DE" w14:textId="3EEC70A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8165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41A" w14:textId="34C050A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3109" w14:textId="50CF62A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0D13" w14:textId="6739415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18862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4D79" w14:textId="7585189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DF3" w14:textId="2600A63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ABA" w14:textId="5288F20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08B" w14:textId="0F7A9CE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AEC" w14:textId="00EB1F5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1D0A2A" w:rsidRPr="002B102D" w14:paraId="2761C8A0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9A2D" w14:textId="4CA7266D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517" w14:textId="37D77C1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16AF" w14:textId="22EED81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B4E" w14:textId="193DEA9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E755" w14:textId="2F75834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756D" w14:textId="35FEE56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18745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D6BA" w14:textId="3FF1A92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86D" w14:textId="5E8F5D2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E2AF" w14:textId="08279DF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930" w14:textId="02F2DA4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01A" w14:textId="557585E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1D0A2A" w:rsidRPr="002B102D" w14:paraId="5C2BAE83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636C" w14:textId="3D890715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1EC2" w14:textId="0011B73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5BA" w14:textId="508DE14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54D2" w14:textId="6005AC7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FDD8" w14:textId="7483BCC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D32" w14:textId="5B50439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19043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3B5" w14:textId="5487545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79A" w14:textId="3198668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9869" w14:textId="1165A80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957" w14:textId="2FBA68F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63E" w14:textId="7CF0640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</w:tr>
      <w:tr w:rsidR="001D0A2A" w:rsidRPr="002B102D" w14:paraId="3A3C1D16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B4F4" w14:textId="38C895A5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48E" w14:textId="60B9DE7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319" w14:textId="7AA6F12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8693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5C47" w14:textId="23C5835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F5EC" w14:textId="1401DA7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21608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850" w14:textId="3FFF19E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18969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D24" w14:textId="393AEE9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BD06" w14:textId="424EFE3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279" w14:textId="08328A8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4A4" w14:textId="7505BAF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266" w14:textId="695D217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1D0A2A" w:rsidRPr="002B102D" w14:paraId="0D54867F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A27" w14:textId="2F34F635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96BF" w14:textId="375304A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94B" w14:textId="6B6DB58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8541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5CB" w14:textId="4489F2D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BBF" w14:textId="683EF1D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5A2" w14:textId="2A4EB91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8C71" w14:textId="437F302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E06" w14:textId="004DD50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980" w14:textId="3577459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DDC" w14:textId="50A00F5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35F" w14:textId="5771191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1D0A2A" w:rsidRPr="002B102D" w14:paraId="4A1B271B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796" w14:textId="205756C2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E134" w14:textId="357B9B8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10514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372C" w14:textId="2B969BE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E0F" w14:textId="2DDC5C7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5CD" w14:textId="77E650B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929" w14:textId="64676EA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BA5" w14:textId="0353555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A28" w14:textId="35916C4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BFA" w14:textId="514FC52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1CB" w14:textId="5F70010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68C6" w14:textId="4A143D7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1D0A2A" w:rsidRPr="002B102D" w14:paraId="06EE0917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12F9" w14:textId="7AD1F535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9DF8" w14:textId="4AEF309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FD2" w14:textId="7C3A689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8588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521" w14:textId="0580E87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4A8" w14:textId="1ED1987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60C8" w14:textId="62077DD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CD51" w14:textId="1228DE7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582" w14:textId="3ACB7CD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A72" w14:textId="760F908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18AC" w14:textId="6B9F3F7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4F7B" w14:textId="46957B8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1D0A2A" w:rsidRPr="002B102D" w14:paraId="629E2D52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5DF1" w14:textId="57C54830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54C" w14:textId="345C6D7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A11" w14:textId="2C820B8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8825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69F" w14:textId="6B8EE2E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59E9" w14:textId="777CA66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21888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4C5" w14:textId="3F08976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19795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B17" w14:textId="078BC1C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CCE" w14:textId="72E2D55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17AA" w14:textId="4FC5881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647" w14:textId="29BC277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C77" w14:textId="2C5AC84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</w:tr>
      <w:tr w:rsidR="001D0A2A" w:rsidRPr="002B102D" w14:paraId="57990731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968D" w14:textId="73749BEB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9169" w14:textId="0371E25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10794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275" w14:textId="01EE53C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9246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8FB" w14:textId="38CA741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CAAF" w14:textId="1853F31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21798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6993" w14:textId="16C1AAA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99D" w14:textId="56F2604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461" w14:textId="21D92F9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6A3" w14:textId="35434FA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E3F0" w14:textId="069D29F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4EC" w14:textId="2697B86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1D0A2A" w:rsidRPr="002B102D" w14:paraId="2DC2B3EC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B41" w14:textId="2271BD77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807" w14:textId="08B80B3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10705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652" w14:textId="7DB4B7E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9110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258" w14:textId="5A1EE2B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98C" w14:textId="0BAE880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F97" w14:textId="526B0A3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19888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1261" w14:textId="4259A53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ADD" w14:textId="1C7530A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224" w14:textId="7073D81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175" w14:textId="75A6487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224E" w14:textId="639CBD6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1D0A2A" w:rsidRPr="002B102D" w14:paraId="329567B2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374F" w14:textId="7CD6F628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8B9E" w14:textId="04A1500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5E5" w14:textId="06F931B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E8CE" w14:textId="1CE3967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EEB" w14:textId="09FB0D7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7D2B" w14:textId="430AB22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59F" w14:textId="6AD1A07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6ED" w14:textId="1D93DB0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47B" w14:textId="46655E8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B057" w14:textId="16AD2C6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49B" w14:textId="16FC2D0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1D0A2A" w:rsidRPr="002B102D" w14:paraId="70F9F352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D508" w14:textId="3DB7A337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4AE" w14:textId="38D3FF5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39B6" w14:textId="084766B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AE12" w14:textId="447B73F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FCD" w14:textId="0458D34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F4FC" w14:textId="2E6B7F9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3327" w14:textId="4E5B844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D35" w14:textId="121726E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361" w14:textId="2487CEA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415" w14:textId="2B775C1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D49" w14:textId="28D2265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1D0A2A" w:rsidRPr="002B102D" w14:paraId="0809476A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DC5" w14:textId="66095588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9782" w14:textId="52A8DB6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2102" w14:textId="33F95ED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7D8" w14:textId="368C0D7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B333" w14:textId="0918F3A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7B2E" w14:textId="7B25071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20287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A68" w14:textId="7CE95FD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88D" w14:textId="143158E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1DC" w14:textId="5951B60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08F" w14:textId="2383044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E656" w14:textId="10B2D67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1D0A2A" w:rsidRPr="002B102D" w14:paraId="56893937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5CA3" w14:textId="21F581D0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CB8" w14:textId="29F470D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112" w14:textId="00677D8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D4C4" w14:textId="77C44A1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152F" w14:textId="75D3F50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578" w14:textId="3BE869E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20418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8BAD" w14:textId="1971695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58F1" w14:textId="59D88BC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0160" w14:textId="718CFD2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1F7" w14:textId="6447D80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C27" w14:textId="48E274C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1D0A2A" w:rsidRPr="002B102D" w14:paraId="28502350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3E5" w14:textId="31C83221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E21" w14:textId="42F0597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11177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CE15" w14:textId="4840E3D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9668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A27" w14:textId="0B8803B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21CB" w14:textId="026B56B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4A9B" w14:textId="62B8155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D854" w14:textId="3ACB8A8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4F2" w14:textId="349CBD6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E3A" w14:textId="2A496AA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9B7" w14:textId="1B77D14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8BC" w14:textId="6F631E5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1D0A2A" w:rsidRPr="002B102D" w14:paraId="7CAB7B9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84B0" w14:textId="7C64A37E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880" w14:textId="43BEF50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11076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1B2" w14:textId="1EBE383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F02C" w14:textId="17801E5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EE6" w14:textId="2260102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D25E" w14:textId="0306F39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20385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0E2" w14:textId="0967625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4AF" w14:textId="043AA16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B75" w14:textId="015B101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D833" w14:textId="1E70C17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733" w14:textId="001C127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1D0A2A" w:rsidRPr="002B102D" w14:paraId="30775046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5029" w14:textId="37C3FDF5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2729" w14:textId="157B422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10918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29D0" w14:textId="6700715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9366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C2D7" w14:textId="609DB50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760" w14:textId="503CA04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C7B" w14:textId="7AF31F0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DC8E" w14:textId="01E7D26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AF7" w14:textId="0FBC054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2C4" w14:textId="2CD2781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30B" w14:textId="6625E76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5E3" w14:textId="099E0DF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</w:tr>
      <w:tr w:rsidR="001D0A2A" w:rsidRPr="002B102D" w14:paraId="73D8E578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C2D" w14:textId="7D75C4C0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Apr-22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26E1" w14:textId="5DD1FFD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B62" w14:textId="2E492C2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9726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89AD" w14:textId="7353F43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234" w14:textId="471DAA9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2E36" w14:textId="4085650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20709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A5BC" w14:textId="6486C89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827" w14:textId="429049B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541" w14:textId="0F9235F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438" w14:textId="291A5F0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EBC" w14:textId="7458C79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</w:tr>
      <w:tr w:rsidR="001D0A2A" w:rsidRPr="002B102D" w14:paraId="49993C59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F1E" w14:textId="4B6FC7E4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May-22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BED" w14:textId="324724D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766" w14:textId="14A2C40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05A7" w14:textId="13D2B81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87A" w14:textId="2F5CA3A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23053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EDE0" w14:textId="39A84F8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5DC6" w14:textId="36563A5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6600" w14:textId="7871799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0C3" w14:textId="75C2CCC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C9D" w14:textId="6F4340E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95B" w14:textId="55F4EB5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1D0A2A" w:rsidRPr="002B102D" w14:paraId="427C8A8E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F894" w14:textId="5EF19127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Jun-22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BDE" w14:textId="4CB3421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11455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2CAC" w14:textId="3AF477B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9877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EBA" w14:textId="78D2A13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0E9" w14:textId="107D0E0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2E3A" w14:textId="434B9D9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20832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6120" w14:textId="0B1FCAC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04B5" w14:textId="4868F0C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5CE" w14:textId="40A9950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F56" w14:textId="0CE4049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C97" w14:textId="1D416B3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1D0A2A" w:rsidRPr="002B102D" w14:paraId="611289B8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5149" w14:textId="1AAFF65E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Jul-22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659" w14:textId="56FA1A1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7C3A" w14:textId="2BE78EB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AA3E" w14:textId="75B7295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907" w14:textId="252CC28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67B" w14:textId="6359693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20683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745C" w14:textId="0813494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F52" w14:textId="7B9DC30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BF2" w14:textId="6232712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FFC2" w14:textId="78E5038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BD5" w14:textId="09A1991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1D0A2A" w:rsidRPr="002B102D" w14:paraId="2FAAFC78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550D" w14:textId="03A213C8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Aug-22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9B35" w14:textId="7F9BA2E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FEAC" w14:textId="20FAB15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BBA" w14:textId="29C35A6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DBC" w14:textId="2B38781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22885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3DC" w14:textId="015BD92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B3E" w14:textId="1F6E0F2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578" w14:textId="29359BF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5C10" w14:textId="580ECE3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F84" w14:textId="5C7BA35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E383" w14:textId="41EB147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1D0A2A" w:rsidRPr="002B102D" w14:paraId="32D3FAE3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664D" w14:textId="3B77EE63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Sep-22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897" w14:textId="5F44D3CC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E2EC" w14:textId="791F351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10091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37F3" w14:textId="35FECD2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24E" w14:textId="51A5738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A9AF" w14:textId="6E664E5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8621" w14:textId="409CE0C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482" w14:textId="6A41AE5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C17" w14:textId="15F4BE2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BAC7" w14:textId="0DF4324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37D6" w14:textId="77AAA88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1D0A2A" w:rsidRPr="002B102D" w14:paraId="102360AF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B0C2" w14:textId="118877DA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Oct-22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13B" w14:textId="03FAC8A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11632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0B75" w14:textId="7383930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7E56" w14:textId="2CC9AEF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AC98" w14:textId="443F80D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6BB" w14:textId="0ADA724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20993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0AA" w14:textId="6992EB5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D3C" w14:textId="56B28F7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2878" w14:textId="33C1F50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5CFC" w14:textId="14BA67E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DC6" w14:textId="4E25CEA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1D0A2A" w:rsidRPr="002B102D" w14:paraId="0D70D89B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58D" w14:textId="2725482D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Nov-22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31B" w14:textId="5155A3F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753" w14:textId="0BB4E90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10435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D728" w14:textId="2290BF3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0B0B" w14:textId="08272EE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AC51" w14:textId="04A9CB5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21139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B10" w14:textId="60A6FBB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445" w14:textId="4FA5C17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4A4" w14:textId="567AF5E2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EDF" w14:textId="6496320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BBF1" w14:textId="1546819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1D0A2A" w:rsidRPr="002B102D" w14:paraId="3A727A26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73CC" w14:textId="111404C7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Dec-22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982" w14:textId="761F7F90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3640" w14:textId="560CB86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672" w14:textId="567CE31B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98CD" w14:textId="6ACC7F6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23142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C299" w14:textId="37C0489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21229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E0F" w14:textId="4EB7C2B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AF3" w14:textId="279792D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A47" w14:textId="409E385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302" w14:textId="4D963B0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15B4" w14:textId="028341F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</w:tr>
      <w:tr w:rsidR="001D0A2A" w:rsidRPr="002B102D" w14:paraId="63F6E140" w14:textId="77777777" w:rsidTr="00BF6EF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2E3" w14:textId="36BC0798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Jan-23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0B90" w14:textId="40AAE21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11877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8C5" w14:textId="586714F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6605" w14:textId="4C90AB7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8962" w14:textId="7C1135C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23393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DF3" w14:textId="723D8277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21552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1BF5" w14:textId="211753CD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FF6" w14:textId="10053CB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5C8" w14:textId="0A2CE30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555" w14:textId="7F23D31F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A940" w14:textId="408E92C1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1D0A2A" w:rsidRPr="002B102D" w14:paraId="771E25CC" w14:textId="77777777" w:rsidTr="00BF6EF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EC3" w14:textId="0DEBE315" w:rsidR="001D0A2A" w:rsidRPr="002B102D" w:rsidRDefault="001D0A2A" w:rsidP="001D0A2A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Feb-23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1A4" w14:textId="3AEC17F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1044" w14:textId="0F1E83B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B287" w14:textId="04EFC695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D3B" w14:textId="4AA85DD9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E166" w14:textId="06DCA73A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20977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CC0A" w14:textId="010D0DC3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822" w14:textId="5A147308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CBA7" w14:textId="252F15FE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D58" w14:textId="26919994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4ADF" w14:textId="125F6F56" w:rsidR="001D0A2A" w:rsidRPr="002B102D" w:rsidRDefault="001D0A2A" w:rsidP="001D0A2A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</w:tbl>
    <w:p w14:paraId="5A9D0CAD" w14:textId="77777777" w:rsidR="006E6B65" w:rsidRPr="002B102D" w:rsidRDefault="006E6B65" w:rsidP="006E6B65">
      <w:pPr>
        <w:spacing w:before="120" w:line="276" w:lineRule="auto"/>
        <w:rPr>
          <w:rFonts w:asciiTheme="minorHAnsi" w:hAnsiTheme="minorHAnsi" w:cs="Arial"/>
          <w:bCs/>
          <w:noProof/>
          <w:sz w:val="18"/>
          <w:szCs w:val="18"/>
          <w:lang w:val="en-US"/>
        </w:rPr>
      </w:pPr>
      <w:r w:rsidRPr="002B102D">
        <w:rPr>
          <w:rFonts w:asciiTheme="minorHAnsi" w:hAnsiTheme="minorHAnsi" w:cs="Arial"/>
          <w:bCs/>
          <w:sz w:val="18"/>
          <w:szCs w:val="18"/>
          <w:lang w:val="en-US"/>
        </w:rPr>
        <w:t>Source: Turkstat, Betam</w:t>
      </w:r>
    </w:p>
    <w:p w14:paraId="3A8B33E6" w14:textId="77777777" w:rsidR="00C36DDC" w:rsidRPr="002B102D" w:rsidRDefault="00C36DDC" w:rsidP="007C3CD9">
      <w:pPr>
        <w:pStyle w:val="ResimYazs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2B102D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2B102D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FCF8949" w14:textId="57D2B14D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8E8B382" w14:textId="223B689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C27D440" w14:textId="7F0676F5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0EA1CC" w14:textId="6A61CE46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731C2BA" w14:textId="41241701" w:rsidR="00321CA0" w:rsidRPr="002B102D" w:rsidRDefault="00321CA0" w:rsidP="00321CA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>Box 1: Definitions of alternative unemployment rates</w:t>
      </w:r>
      <w:r w:rsidRPr="002B102D">
        <w:rPr>
          <w:rStyle w:val="DipnotBavurusu"/>
          <w:rFonts w:asciiTheme="minorHAnsi" w:hAnsiTheme="minorHAnsi" w:cs="Arial"/>
          <w:b/>
          <w:sz w:val="22"/>
          <w:szCs w:val="22"/>
          <w:lang w:val="en-US"/>
        </w:rPr>
        <w:footnoteReference w:id="6"/>
      </w:r>
    </w:p>
    <w:p w14:paraId="1B080747" w14:textId="0ED78988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time-related underemployment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: 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Persons employed in the reference week who </w:t>
      </w:r>
      <w:r w:rsidR="00A17CF3"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>worked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 less than 40 hours </w:t>
      </w:r>
      <w:r w:rsidR="00D463E3" w:rsidRPr="00A17CF3">
        <w:rPr>
          <w:rFonts w:asciiTheme="minorHAnsi" w:hAnsiTheme="minorHAnsi" w:cs="Arial"/>
          <w:bCs/>
          <w:sz w:val="22"/>
          <w:szCs w:val="22"/>
          <w:lang w:val="en-US" w:eastAsia="tr-TR"/>
        </w:rPr>
        <w:t>in</w:t>
      </w:r>
      <w:r w:rsidR="00A17CF3" w:rsidRPr="00A17CF3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 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total (in main job and additional job/s) were willing to work additional hours and were available to do so but could not find a job for the extra hours. </w:t>
      </w:r>
    </w:p>
    <w:p w14:paraId="1E0C00FE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D8ECDB7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 w:eastAsia="tr-TR"/>
        </w:rPr>
        <w:t>The potential labor force: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P</w:t>
      </w:r>
      <w:r w:rsidRPr="002B102D">
        <w:rPr>
          <w:rFonts w:asciiTheme="minorHAnsi" w:hAnsiTheme="minorHAnsi" w:cs="Arial"/>
          <w:bCs/>
          <w:sz w:val="22"/>
          <w:szCs w:val="22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2B102D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</w:p>
    <w:p w14:paraId="38460215" w14:textId="17B23743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unemployed: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The unemployed comprises all persons 15 years of age and over who were not employed during the reference period</w:t>
      </w:r>
      <w:r w:rsidR="008104C0">
        <w:rPr>
          <w:rFonts w:asciiTheme="minorHAnsi" w:hAnsiTheme="minorHAnsi" w:cs="Arial"/>
          <w:sz w:val="22"/>
          <w:szCs w:val="22"/>
          <w:lang w:val="en-US" w:eastAsia="tr-TR"/>
        </w:rPr>
        <w:t>,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had used at least one active channel for seeking a job during the last four weeks</w:t>
      </w:r>
      <w:r w:rsidR="008104C0">
        <w:rPr>
          <w:rFonts w:asciiTheme="minorHAnsi" w:hAnsiTheme="minorHAnsi" w:cs="Arial"/>
          <w:sz w:val="22"/>
          <w:szCs w:val="22"/>
          <w:lang w:val="en-US" w:eastAsia="tr-TR"/>
        </w:rPr>
        <w:t>,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and were available to start work within two weeks.</w:t>
      </w:r>
    </w:p>
    <w:p w14:paraId="70CAB977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1) Unemployment rate</w:t>
      </w: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= [persons in unemployment/labor force]x100</w:t>
      </w:r>
    </w:p>
    <w:p w14:paraId="2C3A0244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875C43E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2) Combined rate of time-related underemployment and unemployment =</w:t>
      </w:r>
    </w:p>
    <w:p w14:paraId="68F65AAF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ab/>
      </w:r>
    </w:p>
    <w:p w14:paraId="37666981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sz w:val="22"/>
          <w:szCs w:val="22"/>
          <w:lang w:val="en-US" w:eastAsia="tr-TR"/>
        </w:rPr>
        <w:t>3) Combined rate of unemployment and potential labor force =</w:t>
      </w:r>
    </w:p>
    <w:p w14:paraId="6EEA53B3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62E8295A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4) Composite measure of labor underutilization =</w:t>
      </w:r>
    </w:p>
    <w:p w14:paraId="7F873DDB" w14:textId="77777777" w:rsidR="00321CA0" w:rsidRPr="002B102D" w:rsidRDefault="00321CA0" w:rsidP="00321CA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2B102D">
        <w:rPr>
          <w:rFonts w:asciiTheme="minorHAnsi" w:hAnsiTheme="minorHAnsi" w:cs="Arial"/>
          <w:sz w:val="22"/>
          <w:szCs w:val="22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46AF4994" w:rsidR="00573DFA" w:rsidRDefault="00573DFA">
      <w:pPr>
        <w:suppressAutoHyphens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0AEE16A8" w14:textId="5826CD94" w:rsidR="00573DFA" w:rsidRPr="00D869C0" w:rsidRDefault="00573DFA" w:rsidP="00573DFA">
      <w:pPr>
        <w:suppressAutoHyphens w:val="0"/>
        <w:spacing w:after="160" w:line="259" w:lineRule="auto"/>
        <w:rPr>
          <w:rFonts w:asciiTheme="minorHAnsi" w:hAnsiTheme="minorHAnsi" w:cs="Arial"/>
          <w:b/>
          <w:bCs/>
          <w:lang w:val="en-US"/>
        </w:rPr>
      </w:pPr>
      <w:r w:rsidRPr="00D869C0">
        <w:rPr>
          <w:rFonts w:asciiTheme="minorHAnsi" w:hAnsiTheme="minorHAnsi" w:cs="Arial"/>
          <w:b/>
          <w:bCs/>
          <w:lang w:val="en-US"/>
        </w:rPr>
        <w:lastRenderedPageBreak/>
        <w:t>Box 2: The effects of the T</w:t>
      </w:r>
      <w:r w:rsidR="00870730">
        <w:rPr>
          <w:rFonts w:asciiTheme="minorHAnsi" w:hAnsiTheme="minorHAnsi" w:cs="Arial"/>
          <w:b/>
          <w:bCs/>
          <w:lang w:val="en-US"/>
        </w:rPr>
        <w:t>ü</w:t>
      </w:r>
      <w:r w:rsidRPr="00D869C0">
        <w:rPr>
          <w:rFonts w:asciiTheme="minorHAnsi" w:hAnsiTheme="minorHAnsi" w:cs="Arial"/>
          <w:b/>
          <w:bCs/>
          <w:lang w:val="en-US"/>
        </w:rPr>
        <w:t>rkiye-Syria earthquake</w:t>
      </w:r>
    </w:p>
    <w:p w14:paraId="6AE7CEEB" w14:textId="3833136C" w:rsidR="00573DFA" w:rsidRPr="00C50574" w:rsidRDefault="00BE4525" w:rsidP="008E3787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2D7159">
        <w:rPr>
          <w:rFonts w:asciiTheme="minorHAnsi" w:hAnsiTheme="minorHAnsi" w:cs="Arial"/>
          <w:sz w:val="22"/>
          <w:szCs w:val="22"/>
          <w:lang w:val="en-US"/>
        </w:rPr>
        <w:t xml:space="preserve">In addition to the tragedies that it caused, the horrific earthquake </w:t>
      </w:r>
      <w:r w:rsidR="007D26D2" w:rsidRPr="002D7159">
        <w:rPr>
          <w:rFonts w:asciiTheme="minorHAnsi" w:hAnsiTheme="minorHAnsi" w:cs="Arial"/>
          <w:sz w:val="22"/>
          <w:szCs w:val="22"/>
          <w:lang w:val="en-US"/>
        </w:rPr>
        <w:t xml:space="preserve">that </w:t>
      </w:r>
      <w:r w:rsidR="008D36CE" w:rsidRPr="002D7159">
        <w:rPr>
          <w:rFonts w:asciiTheme="minorHAnsi" w:hAnsiTheme="minorHAnsi" w:cs="Arial"/>
          <w:sz w:val="22"/>
          <w:szCs w:val="22"/>
          <w:lang w:val="en-US"/>
        </w:rPr>
        <w:t>had been</w:t>
      </w:r>
      <w:r w:rsidR="007D26D2" w:rsidRPr="002D715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7300C" w:rsidRPr="002D7159">
        <w:rPr>
          <w:rFonts w:asciiTheme="minorHAnsi" w:hAnsiTheme="minorHAnsi" w:cs="Arial"/>
          <w:sz w:val="22"/>
          <w:szCs w:val="22"/>
          <w:lang w:val="en-US"/>
        </w:rPr>
        <w:t xml:space="preserve">felt through Turkiye and Syria on </w:t>
      </w:r>
      <w:r w:rsidR="00573DFA" w:rsidRPr="002D7159">
        <w:rPr>
          <w:rFonts w:asciiTheme="minorHAnsi" w:hAnsiTheme="minorHAnsi" w:cs="Arial"/>
          <w:sz w:val="22"/>
          <w:szCs w:val="22"/>
          <w:lang w:val="en-US"/>
        </w:rPr>
        <w:t>6</w:t>
      </w:r>
      <w:r w:rsidR="00B7300C" w:rsidRPr="002D7159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B7300C" w:rsidRPr="002D715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B7300C" w:rsidRPr="00E47C91">
        <w:rPr>
          <w:rFonts w:asciiTheme="minorHAnsi" w:hAnsiTheme="minorHAnsi" w:cs="Arial"/>
          <w:sz w:val="22"/>
          <w:szCs w:val="22"/>
          <w:lang w:val="en-US"/>
        </w:rPr>
        <w:t xml:space="preserve">of </w:t>
      </w:r>
      <w:r w:rsidR="00D869C0" w:rsidRPr="00E47C91">
        <w:rPr>
          <w:rFonts w:asciiTheme="minorHAnsi" w:hAnsiTheme="minorHAnsi" w:cs="Arial"/>
          <w:sz w:val="22"/>
          <w:szCs w:val="22"/>
          <w:lang w:val="en-US"/>
        </w:rPr>
        <w:t>February</w:t>
      </w:r>
      <w:r w:rsidR="00B7300C" w:rsidRPr="00E47C91">
        <w:rPr>
          <w:rFonts w:asciiTheme="minorHAnsi" w:hAnsiTheme="minorHAnsi" w:cs="Arial"/>
          <w:sz w:val="22"/>
          <w:szCs w:val="22"/>
          <w:lang w:val="en-US"/>
        </w:rPr>
        <w:t xml:space="preserve"> 2023</w:t>
      </w:r>
      <w:r w:rsidR="00376A91" w:rsidRPr="00E47C91">
        <w:rPr>
          <w:rFonts w:asciiTheme="minorHAnsi" w:hAnsiTheme="minorHAnsi" w:cs="Arial"/>
          <w:sz w:val="22"/>
          <w:szCs w:val="22"/>
          <w:lang w:val="en-US"/>
        </w:rPr>
        <w:t xml:space="preserve"> disabled Turkstat to implement surveys in 7 provinces </w:t>
      </w:r>
      <w:r w:rsidR="003964AE" w:rsidRPr="00E47C91">
        <w:rPr>
          <w:rFonts w:asciiTheme="minorHAnsi" w:hAnsiTheme="minorHAnsi" w:cs="Arial"/>
          <w:sz w:val="22"/>
          <w:szCs w:val="22"/>
          <w:lang w:val="en-US"/>
        </w:rPr>
        <w:t>(Adıyaman, Gaziantep, Hatay, Kahramanmaraş, Kilis, Malatya and Osmaniye)</w:t>
      </w:r>
      <w:r w:rsidR="008D36CE" w:rsidRPr="00E47C91">
        <w:rPr>
          <w:rFonts w:asciiTheme="minorHAnsi" w:hAnsiTheme="minorHAnsi" w:cs="Arial"/>
          <w:sz w:val="22"/>
          <w:szCs w:val="22"/>
          <w:lang w:val="en-US"/>
        </w:rPr>
        <w:t xml:space="preserve"> of Turkiye</w:t>
      </w:r>
      <w:r w:rsidR="003964AE" w:rsidRPr="00E47C91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207019" w:rsidRPr="00E47C91">
        <w:rPr>
          <w:rFonts w:asciiTheme="minorHAnsi" w:hAnsiTheme="minorHAnsi" w:cs="Arial"/>
          <w:sz w:val="22"/>
          <w:szCs w:val="22"/>
          <w:lang w:val="en-US"/>
        </w:rPr>
        <w:t xml:space="preserve">Turkstat excluded these provinces </w:t>
      </w:r>
      <w:r w:rsidR="002D408C" w:rsidRPr="00E47C91">
        <w:rPr>
          <w:rFonts w:asciiTheme="minorHAnsi" w:hAnsiTheme="minorHAnsi" w:cs="Arial"/>
          <w:sz w:val="22"/>
          <w:szCs w:val="22"/>
          <w:lang w:val="en-US"/>
        </w:rPr>
        <w:t xml:space="preserve">from the sample and </w:t>
      </w:r>
      <w:r w:rsidR="002D408C" w:rsidRPr="00C50574">
        <w:rPr>
          <w:rFonts w:asciiTheme="minorHAnsi" w:hAnsiTheme="minorHAnsi" w:cs="Arial"/>
          <w:sz w:val="22"/>
          <w:szCs w:val="22"/>
          <w:lang w:val="en-US"/>
        </w:rPr>
        <w:t xml:space="preserve">used reweighting methods to analyze the </w:t>
      </w:r>
      <w:r w:rsidR="00D869C0" w:rsidRPr="00C50574">
        <w:rPr>
          <w:rFonts w:asciiTheme="minorHAnsi" w:hAnsiTheme="minorHAnsi" w:cs="Arial"/>
          <w:sz w:val="22"/>
          <w:szCs w:val="22"/>
          <w:lang w:val="en-US"/>
        </w:rPr>
        <w:t xml:space="preserve">overall </w:t>
      </w:r>
      <w:r w:rsidR="002D408C" w:rsidRPr="00C50574">
        <w:rPr>
          <w:rFonts w:asciiTheme="minorHAnsi" w:hAnsiTheme="minorHAnsi" w:cs="Arial"/>
          <w:sz w:val="22"/>
          <w:szCs w:val="22"/>
          <w:lang w:val="en-US"/>
        </w:rPr>
        <w:t>labor market</w:t>
      </w:r>
      <w:r w:rsidR="007C74BF" w:rsidRPr="00C50574">
        <w:rPr>
          <w:rStyle w:val="DipnotBavurusu"/>
          <w:rFonts w:asciiTheme="minorHAnsi" w:hAnsiTheme="minorHAnsi" w:cs="Arial"/>
          <w:sz w:val="22"/>
          <w:szCs w:val="22"/>
          <w:lang w:val="en-US"/>
        </w:rPr>
        <w:footnoteReference w:id="7"/>
      </w:r>
      <w:r w:rsidR="00D869C0" w:rsidRPr="00C50574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AD1AFC" w:rsidRPr="00C50574">
        <w:rPr>
          <w:rFonts w:asciiTheme="minorHAnsi" w:hAnsiTheme="minorHAnsi" w:cs="Arial"/>
          <w:sz w:val="22"/>
          <w:szCs w:val="22"/>
          <w:lang w:val="en-US"/>
        </w:rPr>
        <w:t>W</w:t>
      </w:r>
      <w:r w:rsidR="00C92CB8" w:rsidRPr="00C50574">
        <w:rPr>
          <w:rFonts w:asciiTheme="minorHAnsi" w:hAnsiTheme="minorHAnsi" w:cs="Arial"/>
          <w:sz w:val="22"/>
          <w:szCs w:val="22"/>
          <w:lang w:val="en-US"/>
        </w:rPr>
        <w:t>e used 2022 yearly labor market statistics to</w:t>
      </w:r>
      <w:r w:rsidR="00AD1AFC" w:rsidRPr="00C50574">
        <w:rPr>
          <w:rFonts w:asciiTheme="minorHAnsi" w:hAnsiTheme="minorHAnsi" w:cs="Arial"/>
          <w:sz w:val="22"/>
          <w:szCs w:val="22"/>
          <w:lang w:val="en-US"/>
        </w:rPr>
        <w:t xml:space="preserve"> give a brief information about the </w:t>
      </w:r>
      <w:r w:rsidR="00337F2C" w:rsidRPr="00C50574">
        <w:rPr>
          <w:rFonts w:asciiTheme="minorHAnsi" w:hAnsiTheme="minorHAnsi" w:cs="Arial"/>
          <w:sz w:val="22"/>
          <w:szCs w:val="22"/>
          <w:lang w:val="en-US"/>
        </w:rPr>
        <w:t>level of</w:t>
      </w:r>
      <w:r w:rsidR="00C92CB8" w:rsidRPr="00C5057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37F2C" w:rsidRPr="00C50574">
        <w:rPr>
          <w:rFonts w:asciiTheme="minorHAnsi" w:hAnsiTheme="minorHAnsi" w:cs="Arial"/>
          <w:sz w:val="22"/>
          <w:szCs w:val="22"/>
          <w:lang w:val="en-US"/>
        </w:rPr>
        <w:t xml:space="preserve">labor force </w:t>
      </w:r>
      <w:r w:rsidR="002D7159" w:rsidRPr="00C50574">
        <w:rPr>
          <w:rFonts w:asciiTheme="minorHAnsi" w:hAnsiTheme="minorHAnsi" w:cs="Arial"/>
          <w:sz w:val="22"/>
          <w:szCs w:val="22"/>
          <w:lang w:val="en-US"/>
        </w:rPr>
        <w:t xml:space="preserve">in those provinces </w:t>
      </w:r>
      <w:r w:rsidR="00337F2C" w:rsidRPr="00C50574">
        <w:rPr>
          <w:rFonts w:asciiTheme="minorHAnsi" w:hAnsiTheme="minorHAnsi" w:cs="Arial"/>
          <w:sz w:val="22"/>
          <w:szCs w:val="22"/>
          <w:lang w:val="en-US"/>
        </w:rPr>
        <w:t xml:space="preserve">and </w:t>
      </w:r>
      <w:r w:rsidR="002D7159" w:rsidRPr="00C50574">
        <w:rPr>
          <w:rFonts w:asciiTheme="minorHAnsi" w:hAnsiTheme="minorHAnsi" w:cs="Arial"/>
          <w:sz w:val="22"/>
          <w:szCs w:val="22"/>
          <w:lang w:val="en-US"/>
        </w:rPr>
        <w:t xml:space="preserve">estimate the size of shock in terms of the labor market. </w:t>
      </w:r>
    </w:p>
    <w:p w14:paraId="59FA0DCC" w14:textId="36A12DCB" w:rsidR="00573DFA" w:rsidRPr="00C50574" w:rsidRDefault="00A757D4" w:rsidP="008E3787">
      <w:pPr>
        <w:pBdr>
          <w:top w:val="single" w:sz="4" w:space="1" w:color="auto"/>
          <w:left w:val="single" w:sz="4" w:space="4" w:color="auto"/>
          <w:right w:val="single" w:sz="4" w:space="4" w:color="auto"/>
        </w:pBdr>
        <w:suppressAutoHyphens w:val="0"/>
        <w:spacing w:after="16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C50574">
        <w:rPr>
          <w:rFonts w:asciiTheme="minorHAnsi" w:hAnsiTheme="minorHAnsi" w:cs="Arial"/>
          <w:sz w:val="22"/>
          <w:szCs w:val="22"/>
          <w:lang w:val="en-US"/>
        </w:rPr>
        <w:t>The table below features the labor force levels by the NUTS-II regions</w:t>
      </w:r>
      <w:r w:rsidR="004E779A" w:rsidRPr="00C50574">
        <w:rPr>
          <w:rFonts w:asciiTheme="minorHAnsi" w:hAnsiTheme="minorHAnsi" w:cs="Arial"/>
          <w:sz w:val="22"/>
          <w:szCs w:val="22"/>
          <w:lang w:val="en-US"/>
        </w:rPr>
        <w:t>, which aggregates Gaziantep, Adıyaman</w:t>
      </w:r>
      <w:r w:rsidRPr="00C5057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E779A" w:rsidRPr="00C50574">
        <w:rPr>
          <w:rFonts w:asciiTheme="minorHAnsi" w:hAnsiTheme="minorHAnsi" w:cs="Arial"/>
          <w:sz w:val="22"/>
          <w:szCs w:val="22"/>
          <w:lang w:val="en-US"/>
        </w:rPr>
        <w:t>and Kilis in a region</w:t>
      </w:r>
      <w:r w:rsidR="00131DF5" w:rsidRPr="00C50574">
        <w:rPr>
          <w:rFonts w:asciiTheme="minorHAnsi" w:hAnsiTheme="minorHAnsi" w:cs="Arial"/>
          <w:sz w:val="22"/>
          <w:szCs w:val="22"/>
          <w:lang w:val="en-US"/>
        </w:rPr>
        <w:t xml:space="preserve"> (TRC1)</w:t>
      </w:r>
      <w:r w:rsidR="004E779A" w:rsidRPr="00C50574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131DF5" w:rsidRPr="00C50574">
        <w:rPr>
          <w:rFonts w:asciiTheme="minorHAnsi" w:hAnsiTheme="minorHAnsi" w:cs="Arial"/>
          <w:sz w:val="22"/>
          <w:szCs w:val="22"/>
          <w:lang w:val="en-US"/>
        </w:rPr>
        <w:t xml:space="preserve">and also aggregates Hatay, Kahramanmaraş and Osmaniye in another region (TR63). </w:t>
      </w:r>
      <w:r w:rsidR="0093360F" w:rsidRPr="00C50574">
        <w:rPr>
          <w:rFonts w:asciiTheme="minorHAnsi" w:hAnsiTheme="minorHAnsi" w:cs="Arial"/>
          <w:sz w:val="22"/>
          <w:szCs w:val="22"/>
          <w:lang w:val="en-US"/>
        </w:rPr>
        <w:t xml:space="preserve">As for Malatya, we assumed that </w:t>
      </w:r>
      <w:r w:rsidR="003F4182" w:rsidRPr="00C50574">
        <w:rPr>
          <w:rFonts w:asciiTheme="minorHAnsi" w:hAnsiTheme="minorHAnsi" w:cs="Arial"/>
          <w:sz w:val="22"/>
          <w:szCs w:val="22"/>
          <w:lang w:val="en-US"/>
        </w:rPr>
        <w:t>its</w:t>
      </w:r>
      <w:r w:rsidR="0093360F" w:rsidRPr="00C5057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E47C91" w:rsidRPr="00C50574">
        <w:rPr>
          <w:rFonts w:asciiTheme="minorHAnsi" w:hAnsiTheme="minorHAnsi" w:cs="Arial"/>
          <w:sz w:val="22"/>
          <w:szCs w:val="22"/>
          <w:lang w:val="en-US"/>
        </w:rPr>
        <w:t>share of employment and unemployment levels</w:t>
      </w:r>
      <w:r w:rsidR="009D0000" w:rsidRPr="00C50574">
        <w:rPr>
          <w:rFonts w:asciiTheme="minorHAnsi" w:hAnsiTheme="minorHAnsi" w:cs="Arial"/>
          <w:sz w:val="22"/>
          <w:szCs w:val="22"/>
          <w:lang w:val="en-US"/>
        </w:rPr>
        <w:t xml:space="preserve"> in the </w:t>
      </w:r>
      <w:r w:rsidR="003F4182" w:rsidRPr="00C50574">
        <w:rPr>
          <w:rFonts w:asciiTheme="minorHAnsi" w:hAnsiTheme="minorHAnsi" w:cs="Arial"/>
          <w:sz w:val="22"/>
          <w:szCs w:val="22"/>
          <w:lang w:val="en-US"/>
        </w:rPr>
        <w:t>TRB1 region, comprising of Malatya, Elazığ, Bingöl and Tunceli,</w:t>
      </w:r>
      <w:r w:rsidR="009D0000" w:rsidRPr="00C50574">
        <w:rPr>
          <w:rFonts w:asciiTheme="minorHAnsi" w:hAnsiTheme="minorHAnsi" w:cs="Arial"/>
          <w:sz w:val="22"/>
          <w:szCs w:val="22"/>
          <w:lang w:val="en-US"/>
        </w:rPr>
        <w:t xml:space="preserve"> is very similar to its population share in the</w:t>
      </w:r>
      <w:r w:rsidR="00685C68" w:rsidRPr="00C50574">
        <w:rPr>
          <w:rFonts w:asciiTheme="minorHAnsi" w:hAnsiTheme="minorHAnsi" w:cs="Arial"/>
          <w:sz w:val="22"/>
          <w:szCs w:val="22"/>
          <w:lang w:val="en-US"/>
        </w:rPr>
        <w:t xml:space="preserve"> TRB1 region. </w:t>
      </w:r>
    </w:p>
    <w:p w14:paraId="68F031AF" w14:textId="44E39B8B" w:rsidR="00573DFA" w:rsidRPr="00C50574" w:rsidRDefault="00573DFA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b/>
          <w:bCs/>
          <w:lang w:val="en-US" w:eastAsia="en-US"/>
        </w:rPr>
      </w:pPr>
      <w:r w:rsidRPr="00C50574">
        <w:rPr>
          <w:rFonts w:ascii="Calibri" w:eastAsia="Calibri" w:hAnsi="Calibri"/>
          <w:b/>
          <w:bCs/>
          <w:lang w:val="en-US" w:eastAsia="en-US"/>
        </w:rPr>
        <w:t>Tabl</w:t>
      </w:r>
      <w:r w:rsidR="00536E64" w:rsidRPr="00C50574">
        <w:rPr>
          <w:rFonts w:ascii="Calibri" w:eastAsia="Calibri" w:hAnsi="Calibri"/>
          <w:b/>
          <w:bCs/>
          <w:lang w:val="en-US" w:eastAsia="en-US"/>
        </w:rPr>
        <w:t>e</w:t>
      </w:r>
      <w:r w:rsidRPr="00C50574">
        <w:rPr>
          <w:rFonts w:ascii="Calibri" w:eastAsia="Calibri" w:hAnsi="Calibri"/>
          <w:b/>
          <w:bCs/>
          <w:lang w:val="en-US" w:eastAsia="en-US"/>
        </w:rPr>
        <w:t xml:space="preserve">: </w:t>
      </w:r>
      <w:r w:rsidR="00536E64" w:rsidRPr="00C50574">
        <w:rPr>
          <w:rFonts w:ascii="Calibri" w:eastAsia="Calibri" w:hAnsi="Calibri"/>
          <w:b/>
          <w:bCs/>
          <w:lang w:val="en-US" w:eastAsia="en-US"/>
        </w:rPr>
        <w:t xml:space="preserve">The level of employment and unemployment in </w:t>
      </w:r>
      <w:r w:rsidR="00C50574" w:rsidRPr="00C50574">
        <w:rPr>
          <w:rFonts w:ascii="Calibri" w:eastAsia="Calibri" w:hAnsi="Calibri"/>
          <w:b/>
          <w:bCs/>
          <w:lang w:val="en-US" w:eastAsia="en-US"/>
        </w:rPr>
        <w:t xml:space="preserve">7 provinces </w:t>
      </w:r>
      <w:r w:rsidRPr="00C50574">
        <w:rPr>
          <w:rFonts w:ascii="Calibri" w:eastAsia="Calibri" w:hAnsi="Calibri"/>
          <w:b/>
          <w:bCs/>
          <w:lang w:val="en-US" w:eastAsia="en-US"/>
        </w:rPr>
        <w:t xml:space="preserve">(2022, </w:t>
      </w:r>
      <w:r w:rsidR="00536E64" w:rsidRPr="00C50574">
        <w:rPr>
          <w:rFonts w:ascii="Calibri" w:eastAsia="Calibri" w:hAnsi="Calibri"/>
          <w:b/>
          <w:bCs/>
          <w:lang w:val="en-US" w:eastAsia="en-US"/>
        </w:rPr>
        <w:t>thousand</w:t>
      </w:r>
      <w:r w:rsidRPr="00C50574">
        <w:rPr>
          <w:rFonts w:ascii="Calibri" w:eastAsia="Calibri" w:hAnsi="Calibri"/>
          <w:b/>
          <w:bCs/>
          <w:lang w:val="en-US" w:eastAsia="en-US"/>
        </w:rPr>
        <w:t>)</w:t>
      </w:r>
    </w:p>
    <w:tbl>
      <w:tblPr>
        <w:tblW w:w="10826" w:type="dxa"/>
        <w:tblInd w:w="-147" w:type="dxa"/>
        <w:tblLook w:val="04A0" w:firstRow="1" w:lastRow="0" w:firstColumn="1" w:lastColumn="0" w:noHBand="0" w:noVBand="1"/>
      </w:tblPr>
      <w:tblGrid>
        <w:gridCol w:w="3368"/>
        <w:gridCol w:w="1713"/>
        <w:gridCol w:w="1855"/>
        <w:gridCol w:w="1322"/>
        <w:gridCol w:w="896"/>
        <w:gridCol w:w="1672"/>
      </w:tblGrid>
      <w:tr w:rsidR="00B81A9A" w:rsidRPr="007D477D" w14:paraId="4DF30744" w14:textId="77777777" w:rsidTr="00B81A9A">
        <w:trPr>
          <w:trHeight w:val="9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9F6" w14:textId="77777777" w:rsidR="00573DFA" w:rsidRPr="007D477D" w:rsidRDefault="00573DFA" w:rsidP="00047DA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815" w14:textId="6093B1B0" w:rsidR="00573DFA" w:rsidRPr="007D477D" w:rsidRDefault="00B81A9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Gaziantep, Adıyaman, Kilis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ED2" w14:textId="77777777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Hatay, Kahramanmaraş, Osmaniye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2D1" w14:textId="77777777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Malatya</w:t>
            </w:r>
            <w:r w:rsidRPr="007D477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8"/>
            </w: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(TRB1*0,46)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C11" w14:textId="3B09E95B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B81A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ü</w:t>
            </w:r>
            <w:r w:rsidRPr="007D47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rkiye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1B52AE3C" w14:textId="77777777" w:rsidR="00573DFA" w:rsidRPr="007D477D" w:rsidRDefault="00573DFA" w:rsidP="00047DA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81A9A" w:rsidRPr="00C50574" w14:paraId="40612E50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A2E0" w14:textId="55C55962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Employed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026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368D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369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1DD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30752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6F0008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1A9A" w:rsidRPr="00C50574" w14:paraId="6D649EFE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31E" w14:textId="57FB19E2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Unemployed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E0DB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0E3F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4D0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85CF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3582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00C4D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1A9A" w:rsidRPr="00C50574" w14:paraId="35933D3A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8E1" w14:textId="3CDAEBF2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Employment share of T</w:t>
            </w:r>
            <w:r w:rsid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ü</w:t>
            </w: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rkiye</w:t>
            </w:r>
            <w:r w:rsidR="00573DF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(%)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8B14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1D9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BE5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F8B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1FFE9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81A9A" w:rsidRPr="00C50574" w14:paraId="7E0ECD50" w14:textId="77777777" w:rsidTr="00B81A9A">
        <w:trPr>
          <w:trHeight w:val="30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AA8" w14:textId="02912B36" w:rsidR="00573DFA" w:rsidRPr="00C50574" w:rsidRDefault="003F4182" w:rsidP="00047DA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Unemployed</w:t>
            </w:r>
            <w:r w:rsidR="00B81A9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share of T</w:t>
            </w:r>
            <w:r w:rsid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ü</w:t>
            </w:r>
            <w:r w:rsidR="00B81A9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rkiye</w:t>
            </w:r>
            <w:r w:rsidR="00573DFA" w:rsidRPr="00C505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(%)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EE6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6EBC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12B0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D575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50574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100,0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DDC72" w14:textId="77777777" w:rsidR="00573DFA" w:rsidRPr="00C50574" w:rsidRDefault="00573DFA" w:rsidP="00047DA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18E77658" w14:textId="0B004AF0" w:rsidR="00573DFA" w:rsidRPr="00C50574" w:rsidRDefault="00B81A9A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C50574">
        <w:rPr>
          <w:rFonts w:ascii="Calibri" w:eastAsia="Calibri" w:hAnsi="Calibri"/>
          <w:sz w:val="22"/>
          <w:szCs w:val="22"/>
          <w:lang w:val="en-US" w:eastAsia="en-US"/>
        </w:rPr>
        <w:t>Source</w:t>
      </w:r>
      <w:r w:rsidR="00573DFA" w:rsidRPr="00C50574">
        <w:rPr>
          <w:rFonts w:ascii="Calibri" w:eastAsia="Calibri" w:hAnsi="Calibri"/>
          <w:sz w:val="22"/>
          <w:szCs w:val="22"/>
          <w:lang w:val="en-US" w:eastAsia="en-US"/>
        </w:rPr>
        <w:t>: T</w:t>
      </w:r>
      <w:r w:rsidRPr="00C50574">
        <w:rPr>
          <w:rFonts w:ascii="Calibri" w:eastAsia="Calibri" w:hAnsi="Calibri"/>
          <w:sz w:val="22"/>
          <w:szCs w:val="22"/>
          <w:lang w:val="en-US" w:eastAsia="en-US"/>
        </w:rPr>
        <w:t>urkstat</w:t>
      </w:r>
    </w:p>
    <w:p w14:paraId="02B3C040" w14:textId="4E3E2181" w:rsidR="00573DFA" w:rsidRPr="007E703D" w:rsidRDefault="00001FBF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E703D">
        <w:rPr>
          <w:rFonts w:ascii="Calibri" w:eastAsia="Calibri" w:hAnsi="Calibri"/>
          <w:sz w:val="22"/>
          <w:szCs w:val="22"/>
          <w:lang w:val="en-US" w:eastAsia="en-US"/>
        </w:rPr>
        <w:t>Undoubtedly, the employment levels in those provinces at the time of the earthquake</w:t>
      </w:r>
      <w:r w:rsidR="004F12D2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would be higher than the </w:t>
      </w:r>
      <w:r w:rsidR="007E703D">
        <w:rPr>
          <w:rFonts w:ascii="Calibri" w:eastAsia="Calibri" w:hAnsi="Calibri"/>
          <w:sz w:val="22"/>
          <w:szCs w:val="22"/>
          <w:lang w:val="en-US" w:eastAsia="en-US"/>
        </w:rPr>
        <w:t>sum</w:t>
      </w:r>
      <w:r w:rsidR="004F12D2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of the first row and first-three columns (2 million 190 thousand).</w:t>
      </w:r>
      <w:r w:rsidR="00573DFA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BF2433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Assuming that the share of employed people </w:t>
      </w:r>
      <w:r w:rsidR="00C465DF" w:rsidRPr="007E703D">
        <w:rPr>
          <w:rFonts w:ascii="Calibri" w:eastAsia="Calibri" w:hAnsi="Calibri"/>
          <w:sz w:val="22"/>
          <w:szCs w:val="22"/>
          <w:lang w:val="en-US" w:eastAsia="en-US"/>
        </w:rPr>
        <w:t>remains almost unchanged from 2022 to the time of the earthquake, it can be said that the level of employment before the earthquake was 7 percent</w:t>
      </w:r>
      <w:r w:rsidR="007E703D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of the employment level in Türkiye.</w:t>
      </w:r>
      <w:r w:rsidR="00C465DF" w:rsidRPr="007E703D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</w:p>
    <w:p w14:paraId="44E30628" w14:textId="28C838CF" w:rsidR="00573DFA" w:rsidRPr="00F24C44" w:rsidRDefault="005B3586" w:rsidP="00573DFA">
      <w:pPr>
        <w:pBdr>
          <w:left w:val="single" w:sz="4" w:space="4" w:color="auto"/>
          <w:right w:val="single" w:sz="4" w:space="4" w:color="auto"/>
        </w:pBd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The </w:t>
      </w:r>
      <w:r w:rsidR="00E70B28"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disastrous </w:t>
      </w: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effects of the earthquake </w:t>
      </w:r>
      <w:r w:rsidR="001356DD" w:rsidRPr="00F24C44">
        <w:rPr>
          <w:rFonts w:ascii="Calibri" w:eastAsia="Calibri" w:hAnsi="Calibri"/>
          <w:sz w:val="22"/>
          <w:szCs w:val="22"/>
          <w:lang w:val="en-US" w:eastAsia="en-US"/>
        </w:rPr>
        <w:t>were</w:t>
      </w: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 n</w:t>
      </w:r>
      <w:r w:rsidR="00F24C44">
        <w:rPr>
          <w:rFonts w:ascii="Calibri" w:eastAsia="Calibri" w:hAnsi="Calibri"/>
          <w:sz w:val="22"/>
          <w:szCs w:val="22"/>
          <w:lang w:val="en-US" w:eastAsia="en-US"/>
        </w:rPr>
        <w:t xml:space="preserve">ot </w:t>
      </w:r>
      <w:r w:rsidR="00E70B28" w:rsidRPr="00F24C44">
        <w:rPr>
          <w:rFonts w:ascii="Calibri" w:eastAsia="Calibri" w:hAnsi="Calibri"/>
          <w:sz w:val="22"/>
          <w:szCs w:val="22"/>
          <w:lang w:val="en-US" w:eastAsia="en-US"/>
        </w:rPr>
        <w:t>distributed</w:t>
      </w:r>
      <w:r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 uniformly in those 7 provinces</w:t>
      </w:r>
      <w:r w:rsidR="00E70B28" w:rsidRPr="00F24C44">
        <w:rPr>
          <w:rFonts w:ascii="Calibri" w:eastAsia="Calibri" w:hAnsi="Calibri"/>
          <w:sz w:val="22"/>
          <w:szCs w:val="22"/>
          <w:lang w:val="en-US" w:eastAsia="en-US"/>
        </w:rPr>
        <w:t>, namely that the effects were much more severe in Hatay and Kahramanmaraş</w:t>
      </w:r>
      <w:r w:rsidR="00020221"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. Assuming that the half of the employment in 7 </w:t>
      </w:r>
      <w:r w:rsidR="00EA466A" w:rsidRPr="00F24C44">
        <w:rPr>
          <w:rFonts w:ascii="Calibri" w:eastAsia="Calibri" w:hAnsi="Calibri"/>
          <w:sz w:val="22"/>
          <w:szCs w:val="22"/>
          <w:lang w:val="en-US" w:eastAsia="en-US"/>
        </w:rPr>
        <w:t>provinces</w:t>
      </w:r>
      <w:r w:rsidR="00020221" w:rsidRPr="00F24C44">
        <w:rPr>
          <w:rFonts w:ascii="Calibri" w:eastAsia="Calibri" w:hAnsi="Calibri"/>
          <w:sz w:val="22"/>
          <w:szCs w:val="22"/>
          <w:lang w:val="en-US" w:eastAsia="en-US"/>
        </w:rPr>
        <w:t xml:space="preserve"> were </w:t>
      </w:r>
      <w:r w:rsidR="00D60B1F" w:rsidRPr="00F24C44">
        <w:rPr>
          <w:rFonts w:ascii="Calibri" w:eastAsia="Calibri" w:hAnsi="Calibri"/>
          <w:sz w:val="22"/>
          <w:szCs w:val="22"/>
          <w:lang w:val="en-US" w:eastAsia="en-US"/>
        </w:rPr>
        <w:t>lost due to the earthquake, the decrease in the number of employed people is calculated as 1</w:t>
      </w:r>
      <w:r w:rsidR="00F24C44" w:rsidRPr="00F24C44">
        <w:rPr>
          <w:rFonts w:ascii="Calibri" w:eastAsia="Calibri" w:hAnsi="Calibri"/>
          <w:sz w:val="22"/>
          <w:szCs w:val="22"/>
          <w:lang w:val="en-US" w:eastAsia="en-US"/>
        </w:rPr>
        <w:t>.1 million, equaling the 3.6 percent of total employment in Türkiye.</w:t>
      </w:r>
    </w:p>
    <w:p w14:paraId="546FFB22" w14:textId="1ED2A01E" w:rsidR="00573DFA" w:rsidRPr="003B422F" w:rsidRDefault="005913AA" w:rsidP="00573DF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We calculate that the number of unemployed people comprises 8.5 percent of the number of unemployed people in Türkiye. </w:t>
      </w:r>
      <w:r w:rsidR="00CF464E" w:rsidRPr="003B422F">
        <w:rPr>
          <w:rFonts w:ascii="Calibri" w:eastAsia="Calibri" w:hAnsi="Calibri"/>
          <w:sz w:val="22"/>
          <w:szCs w:val="22"/>
          <w:lang w:val="en-US" w:eastAsia="en-US"/>
        </w:rPr>
        <w:t>Due to the forced migration</w:t>
      </w:r>
      <w:r w:rsidR="00540757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resulting from the earthquake, </w:t>
      </w:r>
      <w:r w:rsidR="009865B6" w:rsidRPr="003B422F">
        <w:rPr>
          <w:rFonts w:ascii="Calibri" w:eastAsia="Calibri" w:hAnsi="Calibri"/>
          <w:sz w:val="22"/>
          <w:szCs w:val="22"/>
          <w:lang w:val="en-US" w:eastAsia="en-US"/>
        </w:rPr>
        <w:t>it is difficult to estimate how much of the remaining residents in the provinces</w:t>
      </w:r>
      <w:r w:rsidR="001B6699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are seeking for work. </w:t>
      </w:r>
      <w:r w:rsidR="008206C4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It is </w:t>
      </w:r>
      <w:r w:rsidR="001356DD">
        <w:rPr>
          <w:rFonts w:ascii="Calibri" w:eastAsia="Calibri" w:hAnsi="Calibri"/>
          <w:sz w:val="22"/>
          <w:szCs w:val="22"/>
          <w:lang w:val="en-US" w:eastAsia="en-US"/>
        </w:rPr>
        <w:t>not probable</w:t>
      </w:r>
      <w:r w:rsidR="008206C4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that the forced migrants started looking for work in the regions </w:t>
      </w:r>
      <w:r w:rsidR="00F35FF8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that they </w:t>
      </w:r>
      <w:r w:rsidR="001356DD" w:rsidRPr="003B422F">
        <w:rPr>
          <w:rFonts w:ascii="Calibri" w:eastAsia="Calibri" w:hAnsi="Calibri"/>
          <w:sz w:val="22"/>
          <w:szCs w:val="22"/>
          <w:lang w:val="en-US" w:eastAsia="en-US"/>
        </w:rPr>
        <w:t>fled</w:t>
      </w:r>
      <w:r w:rsidR="00F35FF8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. </w:t>
      </w:r>
      <w:r w:rsidR="00F71B20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Therefore, it </w:t>
      </w:r>
      <w:r w:rsidR="00C80D21" w:rsidRPr="003B422F">
        <w:rPr>
          <w:rFonts w:ascii="Calibri" w:eastAsia="Calibri" w:hAnsi="Calibri"/>
          <w:sz w:val="22"/>
          <w:szCs w:val="22"/>
          <w:lang w:val="en-US" w:eastAsia="en-US"/>
        </w:rPr>
        <w:t>would be</w:t>
      </w:r>
      <w:r w:rsidR="00F71B20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quite difficult to estimate the </w:t>
      </w:r>
      <w:r w:rsidR="00E52839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actual </w:t>
      </w:r>
      <w:r w:rsidR="00F71B20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unemployment rate </w:t>
      </w:r>
      <w:r w:rsidR="00C80D21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were Turkstat able to implement surveys in </w:t>
      </w:r>
      <w:r w:rsidR="00E52839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7 provinces. </w:t>
      </w:r>
      <w:r w:rsidR="003B422F" w:rsidRPr="003B422F">
        <w:rPr>
          <w:rFonts w:ascii="Calibri" w:eastAsia="Calibri" w:hAnsi="Calibri"/>
          <w:sz w:val="22"/>
          <w:szCs w:val="22"/>
          <w:lang w:val="en-US" w:eastAsia="en-US"/>
        </w:rPr>
        <w:t>It would be reasonable to think that the forced migrants have transitioned from labor force to the potential labor force due to them being displaced.</w:t>
      </w:r>
      <w:r w:rsidR="00573DFA" w:rsidRPr="003B422F"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</w:p>
    <w:p w14:paraId="67022695" w14:textId="77777777" w:rsidR="00573DFA" w:rsidRPr="00C460DB" w:rsidRDefault="00573DFA" w:rsidP="00573DFA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4DA696A5" w14:textId="77777777" w:rsidR="00321CA0" w:rsidRPr="002B102D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321CA0" w:rsidRPr="002B102D" w:rsidSect="006B7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9B15" w14:textId="77777777" w:rsidR="00874D39" w:rsidRDefault="00874D39">
      <w:r>
        <w:separator/>
      </w:r>
    </w:p>
  </w:endnote>
  <w:endnote w:type="continuationSeparator" w:id="0">
    <w:p w14:paraId="2F44FBE5" w14:textId="77777777" w:rsidR="00874D39" w:rsidRDefault="00874D39">
      <w:r>
        <w:continuationSeparator/>
      </w:r>
    </w:p>
  </w:endnote>
  <w:endnote w:type="continuationNotice" w:id="1">
    <w:p w14:paraId="39B34CA7" w14:textId="77777777" w:rsidR="00AA6237" w:rsidRDefault="00AA6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Yu Gothic"/>
    <w:panose1 w:val="020B0604020202020204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3F64" w14:textId="77777777" w:rsidR="00F63792" w:rsidRDefault="00F637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01141ADE" w:rsidR="009F0904" w:rsidRDefault="009F0904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104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9511C34" w14:textId="77777777" w:rsidR="009F0904" w:rsidRDefault="009F0904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8CCF" w14:textId="77777777" w:rsidR="00F63792" w:rsidRDefault="00F637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3222" w14:textId="77777777" w:rsidR="00874D39" w:rsidRDefault="00874D39">
      <w:r>
        <w:separator/>
      </w:r>
    </w:p>
  </w:footnote>
  <w:footnote w:type="continuationSeparator" w:id="0">
    <w:p w14:paraId="66AEB8F6" w14:textId="77777777" w:rsidR="00874D39" w:rsidRDefault="00874D39">
      <w:r>
        <w:continuationSeparator/>
      </w:r>
    </w:p>
  </w:footnote>
  <w:footnote w:type="continuationNotice" w:id="1">
    <w:p w14:paraId="161E8801" w14:textId="77777777" w:rsidR="00AA6237" w:rsidRDefault="00AA6237"/>
  </w:footnote>
  <w:footnote w:id="2">
    <w:p w14:paraId="2A57D25B" w14:textId="06A8A3C0" w:rsidR="009F0904" w:rsidRPr="002379FE" w:rsidRDefault="009F0904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seyfettin.gursel@eas.bau.edu.tr</w:t>
        </w:r>
      </w:hyperlink>
    </w:p>
  </w:footnote>
  <w:footnote w:id="3">
    <w:p w14:paraId="062DB85E" w14:textId="04522EE0" w:rsidR="009F0904" w:rsidRPr="002379FE" w:rsidRDefault="009F0904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Hamza Mutluay, Betam, Research Assistant, </w:t>
      </w:r>
      <w:hyperlink r:id="rId2" w:history="1">
        <w:r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hamza.mutluay@eas.bau.edu.tr</w:t>
        </w:r>
      </w:hyperlink>
    </w:p>
  </w:footnote>
  <w:footnote w:id="4">
    <w:p w14:paraId="23069051" w14:textId="5148F5F5" w:rsidR="009F0904" w:rsidRPr="002379FE" w:rsidRDefault="009F0904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t>***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Mehmet Cem Şahin, Betam, Research Assistant, </w:t>
      </w:r>
      <w:hyperlink r:id="rId3" w:history="1">
        <w:r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mehmetcem.sahin@eas.bau.edu.tr</w:t>
        </w:r>
      </w:hyperlink>
    </w:p>
  </w:footnote>
  <w:footnote w:id="5">
    <w:p w14:paraId="090BA39C" w14:textId="63118802" w:rsidR="00FE0C0A" w:rsidRPr="002379FE" w:rsidRDefault="00FE0C0A">
      <w:pPr>
        <w:pStyle w:val="DipnotMetni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lang w:val="en-US"/>
        </w:rPr>
        <w:footnoteRef/>
      </w:r>
      <w:r w:rsidRPr="002379FE">
        <w:rPr>
          <w:lang w:val="en-US"/>
        </w:rPr>
        <w:t xml:space="preserve"> </w:t>
      </w:r>
      <w:r w:rsidR="00604FAB" w:rsidRPr="002379FE">
        <w:rPr>
          <w:rFonts w:ascii="Arial" w:hAnsi="Arial" w:cs="Arial"/>
          <w:sz w:val="16"/>
          <w:szCs w:val="16"/>
          <w:lang w:val="en-US"/>
        </w:rPr>
        <w:t xml:space="preserve">An additional </w:t>
      </w:r>
      <w:r w:rsidR="00066E59" w:rsidRPr="002379FE">
        <w:rPr>
          <w:rFonts w:ascii="Arial" w:hAnsi="Arial" w:cs="Arial"/>
          <w:sz w:val="16"/>
          <w:szCs w:val="16"/>
          <w:lang w:val="en-US"/>
        </w:rPr>
        <w:t>minor</w:t>
      </w:r>
      <w:r w:rsidR="00604FAB" w:rsidRPr="002379FE">
        <w:rPr>
          <w:rFonts w:ascii="Arial" w:hAnsi="Arial" w:cs="Arial"/>
          <w:sz w:val="16"/>
          <w:szCs w:val="16"/>
          <w:lang w:val="en-US"/>
        </w:rPr>
        <w:t xml:space="preserve"> note </w:t>
      </w:r>
      <w:r w:rsidR="00DC6F54" w:rsidRPr="002379FE">
        <w:rPr>
          <w:rFonts w:ascii="Arial" w:hAnsi="Arial" w:cs="Arial"/>
          <w:sz w:val="16"/>
          <w:szCs w:val="16"/>
          <w:lang w:val="en-US"/>
        </w:rPr>
        <w:t xml:space="preserve">which features information and calculations regarding the effects of the earthquake </w:t>
      </w:r>
      <w:r w:rsidR="00E119FB" w:rsidRPr="002379FE">
        <w:rPr>
          <w:rFonts w:ascii="Arial" w:hAnsi="Arial" w:cs="Arial"/>
          <w:sz w:val="16"/>
          <w:szCs w:val="16"/>
          <w:lang w:val="en-US"/>
        </w:rPr>
        <w:t xml:space="preserve">2023 Turkiye-Syria earthquake </w:t>
      </w:r>
      <w:r w:rsidR="0000769B" w:rsidRPr="002379FE">
        <w:rPr>
          <w:rFonts w:ascii="Arial" w:hAnsi="Arial" w:cs="Arial"/>
          <w:sz w:val="16"/>
          <w:szCs w:val="16"/>
          <w:lang w:val="en-US"/>
        </w:rPr>
        <w:t xml:space="preserve">has been prepared </w:t>
      </w:r>
      <w:r w:rsidR="00604FAB" w:rsidRPr="002379FE">
        <w:rPr>
          <w:rFonts w:ascii="Arial" w:hAnsi="Arial" w:cs="Arial"/>
          <w:sz w:val="16"/>
          <w:szCs w:val="16"/>
          <w:lang w:val="en-US"/>
        </w:rPr>
        <w:t>with the caption “</w:t>
      </w:r>
      <w:r w:rsidR="00604FAB" w:rsidRPr="002379FE">
        <w:rPr>
          <w:rFonts w:ascii="Arial" w:hAnsi="Arial" w:cs="Arial"/>
          <w:b/>
          <w:bCs/>
          <w:sz w:val="16"/>
          <w:szCs w:val="16"/>
          <w:lang w:val="en-US"/>
        </w:rPr>
        <w:t xml:space="preserve">Box 2: The effects of the </w:t>
      </w:r>
      <w:r w:rsidR="00EA6362" w:rsidRPr="002379FE">
        <w:rPr>
          <w:rFonts w:ascii="Arial" w:hAnsi="Arial" w:cs="Arial"/>
          <w:b/>
          <w:bCs/>
          <w:sz w:val="16"/>
          <w:szCs w:val="16"/>
          <w:lang w:val="en-US"/>
        </w:rPr>
        <w:t>earthquake</w:t>
      </w:r>
      <w:r w:rsidR="00EA6362" w:rsidRPr="002379FE">
        <w:rPr>
          <w:rFonts w:ascii="Arial" w:hAnsi="Arial" w:cs="Arial"/>
          <w:sz w:val="16"/>
          <w:szCs w:val="16"/>
          <w:lang w:val="en-US"/>
        </w:rPr>
        <w:t>”</w:t>
      </w:r>
      <w:r w:rsidR="0000769B" w:rsidRPr="002379FE">
        <w:rPr>
          <w:rFonts w:ascii="Arial" w:hAnsi="Arial" w:cs="Arial"/>
          <w:sz w:val="16"/>
          <w:szCs w:val="16"/>
          <w:lang w:val="en-US"/>
        </w:rPr>
        <w:t>.</w:t>
      </w:r>
    </w:p>
  </w:footnote>
  <w:footnote w:id="6">
    <w:p w14:paraId="025CE470" w14:textId="77777777" w:rsidR="009F0904" w:rsidRPr="002379FE" w:rsidRDefault="009F0904" w:rsidP="00321CA0">
      <w:pPr>
        <w:pStyle w:val="DipnotMetni"/>
        <w:rPr>
          <w:rFonts w:asciiTheme="minorHAnsi" w:hAnsiTheme="minorHAnsi" w:cs="Arial"/>
          <w:sz w:val="16"/>
          <w:szCs w:val="16"/>
          <w:lang w:val="en-US"/>
        </w:rPr>
      </w:pPr>
      <w:r w:rsidRPr="002379FE">
        <w:rPr>
          <w:rStyle w:val="DipnotBavurusu"/>
          <w:rFonts w:asciiTheme="minorHAnsi" w:hAnsiTheme="minorHAnsi" w:cs="Arial"/>
          <w:sz w:val="16"/>
          <w:szCs w:val="16"/>
          <w:lang w:val="en-US"/>
        </w:rPr>
        <w:footnoteRef/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2379FE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2379FE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4" w:history="1">
        <w:r w:rsidRPr="002379FE">
          <w:rPr>
            <w:rStyle w:val="Kpr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  <w:footnote w:id="7">
    <w:p w14:paraId="0437DC5E" w14:textId="51D5FB34" w:rsidR="007C74BF" w:rsidRPr="002379FE" w:rsidRDefault="007C74BF" w:rsidP="007C74BF">
      <w:pPr>
        <w:pStyle w:val="DipnotMetni"/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footnoteRef/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 w:rsidR="00D82C21" w:rsidRPr="002379FE">
        <w:rPr>
          <w:rFonts w:ascii="Arial" w:hAnsi="Arial" w:cs="Arial"/>
          <w:sz w:val="16"/>
          <w:szCs w:val="16"/>
          <w:lang w:val="en-US"/>
        </w:rPr>
        <w:t xml:space="preserve">For </w:t>
      </w:r>
      <w:r w:rsidR="001E15E8" w:rsidRPr="002379FE">
        <w:rPr>
          <w:rFonts w:ascii="Arial" w:hAnsi="Arial" w:cs="Arial"/>
          <w:sz w:val="16"/>
          <w:szCs w:val="16"/>
          <w:lang w:val="en-US"/>
        </w:rPr>
        <w:t xml:space="preserve">greater detail, see the </w:t>
      </w:r>
      <w:r w:rsidR="00D71AF0" w:rsidRPr="002379FE">
        <w:rPr>
          <w:rFonts w:ascii="Arial" w:hAnsi="Arial" w:cs="Arial"/>
          <w:sz w:val="16"/>
          <w:szCs w:val="16"/>
          <w:lang w:val="en-US"/>
        </w:rPr>
        <w:t>Turkstat page (</w:t>
      </w:r>
      <w:hyperlink r:id="rId5" w:history="1">
        <w:r w:rsidR="00D71AF0" w:rsidRPr="002379FE">
          <w:rPr>
            <w:rStyle w:val="Kpr"/>
            <w:rFonts w:ascii="Arial" w:hAnsi="Arial" w:cs="Arial"/>
            <w:sz w:val="16"/>
            <w:szCs w:val="16"/>
            <w:lang w:val="en-US"/>
          </w:rPr>
          <w:t>Source</w:t>
        </w:r>
      </w:hyperlink>
      <w:r w:rsidR="00D71AF0" w:rsidRPr="002379FE">
        <w:rPr>
          <w:rFonts w:ascii="Arial" w:hAnsi="Arial" w:cs="Arial"/>
          <w:sz w:val="16"/>
          <w:szCs w:val="16"/>
          <w:lang w:val="en-US"/>
        </w:rPr>
        <w:t xml:space="preserve">) </w:t>
      </w:r>
    </w:p>
  </w:footnote>
  <w:footnote w:id="8">
    <w:p w14:paraId="055E917A" w14:textId="198667B0" w:rsidR="00573DFA" w:rsidRPr="002379FE" w:rsidRDefault="00573DFA" w:rsidP="00573DFA">
      <w:pPr>
        <w:pStyle w:val="DipnotMetni"/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2379FE">
        <w:rPr>
          <w:rStyle w:val="DipnotBavurusu"/>
          <w:rFonts w:ascii="Arial" w:hAnsi="Arial" w:cs="Arial"/>
          <w:sz w:val="16"/>
          <w:szCs w:val="16"/>
          <w:lang w:val="en-US"/>
        </w:rPr>
        <w:footnoteRef/>
      </w:r>
      <w:r w:rsidRPr="002379FE">
        <w:rPr>
          <w:rFonts w:ascii="Arial" w:hAnsi="Arial" w:cs="Arial"/>
          <w:sz w:val="16"/>
          <w:szCs w:val="16"/>
          <w:lang w:val="en-US"/>
        </w:rPr>
        <w:t xml:space="preserve"> </w:t>
      </w:r>
      <w:r w:rsidR="002379FE" w:rsidRPr="002379FE">
        <w:rPr>
          <w:rFonts w:ascii="Arial" w:hAnsi="Arial" w:cs="Arial"/>
          <w:sz w:val="16"/>
          <w:szCs w:val="16"/>
          <w:lang w:val="en-US"/>
        </w:rPr>
        <w:t>The population share of</w:t>
      </w:r>
      <w:r w:rsidRPr="002379FE">
        <w:rPr>
          <w:rFonts w:ascii="Arial" w:hAnsi="Arial" w:cs="Arial"/>
          <w:sz w:val="16"/>
          <w:szCs w:val="16"/>
          <w:lang w:val="en-US"/>
        </w:rPr>
        <w:t xml:space="preserve"> Malatya</w:t>
      </w:r>
      <w:r w:rsidR="002379FE" w:rsidRPr="002379FE">
        <w:rPr>
          <w:rFonts w:ascii="Arial" w:hAnsi="Arial" w:cs="Arial"/>
          <w:sz w:val="16"/>
          <w:szCs w:val="16"/>
          <w:lang w:val="en-US"/>
        </w:rPr>
        <w:t xml:space="preserve"> in TRB1 region is </w:t>
      </w:r>
      <w:r w:rsidRPr="002379FE">
        <w:rPr>
          <w:rFonts w:ascii="Arial" w:hAnsi="Arial" w:cs="Arial"/>
          <w:sz w:val="16"/>
          <w:szCs w:val="16"/>
          <w:lang w:val="en-US"/>
        </w:rPr>
        <w:t>46</w:t>
      </w:r>
      <w:r w:rsidR="002379FE" w:rsidRPr="002379FE">
        <w:rPr>
          <w:rFonts w:ascii="Arial" w:hAnsi="Arial" w:cs="Arial"/>
          <w:sz w:val="16"/>
          <w:szCs w:val="16"/>
          <w:lang w:val="en-US"/>
        </w:rPr>
        <w:t>.0%.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910" w14:textId="77777777" w:rsidR="00F63792" w:rsidRDefault="00F637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A21A" w14:textId="77777777" w:rsidR="00F63792" w:rsidRDefault="00F637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E57" w14:textId="77777777" w:rsidR="00F63792" w:rsidRDefault="00F637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351686976">
    <w:abstractNumId w:val="0"/>
  </w:num>
  <w:num w:numId="2" w16cid:durableId="204913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025"/>
    <w:rsid w:val="000011D2"/>
    <w:rsid w:val="000011D8"/>
    <w:rsid w:val="000016F1"/>
    <w:rsid w:val="00001FBF"/>
    <w:rsid w:val="00002384"/>
    <w:rsid w:val="0000377B"/>
    <w:rsid w:val="00003A5F"/>
    <w:rsid w:val="00003E9D"/>
    <w:rsid w:val="00004400"/>
    <w:rsid w:val="0000483E"/>
    <w:rsid w:val="00004864"/>
    <w:rsid w:val="00005881"/>
    <w:rsid w:val="000058A8"/>
    <w:rsid w:val="0000599E"/>
    <w:rsid w:val="00005B1F"/>
    <w:rsid w:val="00005C29"/>
    <w:rsid w:val="00005C6D"/>
    <w:rsid w:val="00006183"/>
    <w:rsid w:val="000065E2"/>
    <w:rsid w:val="000067B5"/>
    <w:rsid w:val="00006A87"/>
    <w:rsid w:val="00006CD0"/>
    <w:rsid w:val="000075C2"/>
    <w:rsid w:val="0000769B"/>
    <w:rsid w:val="00007918"/>
    <w:rsid w:val="0000798E"/>
    <w:rsid w:val="00007D73"/>
    <w:rsid w:val="00007E52"/>
    <w:rsid w:val="000100BE"/>
    <w:rsid w:val="00010129"/>
    <w:rsid w:val="00010B60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21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5E1E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1F11"/>
    <w:rsid w:val="000321A3"/>
    <w:rsid w:val="00032FCF"/>
    <w:rsid w:val="000331FA"/>
    <w:rsid w:val="0003390C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512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1C3C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6E59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39DC"/>
    <w:rsid w:val="000743ED"/>
    <w:rsid w:val="00074551"/>
    <w:rsid w:val="00074625"/>
    <w:rsid w:val="000755FE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77E54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B4F"/>
    <w:rsid w:val="00084EAF"/>
    <w:rsid w:val="00085CB9"/>
    <w:rsid w:val="000867C5"/>
    <w:rsid w:val="00086A03"/>
    <w:rsid w:val="00086CF7"/>
    <w:rsid w:val="00087212"/>
    <w:rsid w:val="00087966"/>
    <w:rsid w:val="000916DB"/>
    <w:rsid w:val="0009215A"/>
    <w:rsid w:val="00092328"/>
    <w:rsid w:val="00092D00"/>
    <w:rsid w:val="00092FEA"/>
    <w:rsid w:val="000934D0"/>
    <w:rsid w:val="00093658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B3F"/>
    <w:rsid w:val="00095C6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2FC6"/>
    <w:rsid w:val="000A34A0"/>
    <w:rsid w:val="000A3A30"/>
    <w:rsid w:val="000A3DF0"/>
    <w:rsid w:val="000A41E5"/>
    <w:rsid w:val="000A4282"/>
    <w:rsid w:val="000A43C5"/>
    <w:rsid w:val="000A5490"/>
    <w:rsid w:val="000A5E4F"/>
    <w:rsid w:val="000A63B8"/>
    <w:rsid w:val="000A66BE"/>
    <w:rsid w:val="000A6C5D"/>
    <w:rsid w:val="000A6C99"/>
    <w:rsid w:val="000A7045"/>
    <w:rsid w:val="000A73D2"/>
    <w:rsid w:val="000A745B"/>
    <w:rsid w:val="000A78A0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1F25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BC9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1940"/>
    <w:rsid w:val="000D1B1F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5EC5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2EB"/>
    <w:rsid w:val="000F43A5"/>
    <w:rsid w:val="000F46A7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DF5"/>
    <w:rsid w:val="00131E19"/>
    <w:rsid w:val="00131EE0"/>
    <w:rsid w:val="00132059"/>
    <w:rsid w:val="00132399"/>
    <w:rsid w:val="00132CAC"/>
    <w:rsid w:val="00133019"/>
    <w:rsid w:val="001330A0"/>
    <w:rsid w:val="00133D75"/>
    <w:rsid w:val="00133F6D"/>
    <w:rsid w:val="00134486"/>
    <w:rsid w:val="00134F84"/>
    <w:rsid w:val="0013543D"/>
    <w:rsid w:val="00135564"/>
    <w:rsid w:val="001356DD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19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3DF9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08EC"/>
    <w:rsid w:val="00161C29"/>
    <w:rsid w:val="0016238A"/>
    <w:rsid w:val="00162C1D"/>
    <w:rsid w:val="001636FB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19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6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18D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280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2CC2"/>
    <w:rsid w:val="001B2F39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269"/>
    <w:rsid w:val="001B6699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A2A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2F7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1BE"/>
    <w:rsid w:val="001D77AA"/>
    <w:rsid w:val="001D78B9"/>
    <w:rsid w:val="001D7EA6"/>
    <w:rsid w:val="001E0867"/>
    <w:rsid w:val="001E0C39"/>
    <w:rsid w:val="001E1229"/>
    <w:rsid w:val="001E15E8"/>
    <w:rsid w:val="001E1754"/>
    <w:rsid w:val="001E2127"/>
    <w:rsid w:val="001E247A"/>
    <w:rsid w:val="001E2DFD"/>
    <w:rsid w:val="001E35D0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E7CB9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4F3"/>
    <w:rsid w:val="001F45F6"/>
    <w:rsid w:val="001F4861"/>
    <w:rsid w:val="001F4886"/>
    <w:rsid w:val="001F4C7D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9FA"/>
    <w:rsid w:val="00200A76"/>
    <w:rsid w:val="00200AC4"/>
    <w:rsid w:val="00200B66"/>
    <w:rsid w:val="00200EE1"/>
    <w:rsid w:val="00201163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019"/>
    <w:rsid w:val="00207862"/>
    <w:rsid w:val="00207CF7"/>
    <w:rsid w:val="00210393"/>
    <w:rsid w:val="00210D99"/>
    <w:rsid w:val="00211BC1"/>
    <w:rsid w:val="00212075"/>
    <w:rsid w:val="002128B5"/>
    <w:rsid w:val="00212969"/>
    <w:rsid w:val="00212C5F"/>
    <w:rsid w:val="00212D35"/>
    <w:rsid w:val="00212ED7"/>
    <w:rsid w:val="002134E7"/>
    <w:rsid w:val="00213DE8"/>
    <w:rsid w:val="002140DA"/>
    <w:rsid w:val="00214350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608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3E71"/>
    <w:rsid w:val="002343C3"/>
    <w:rsid w:val="002344C7"/>
    <w:rsid w:val="0023452F"/>
    <w:rsid w:val="00234955"/>
    <w:rsid w:val="00234C28"/>
    <w:rsid w:val="00234D07"/>
    <w:rsid w:val="00234DBA"/>
    <w:rsid w:val="002357C8"/>
    <w:rsid w:val="00236195"/>
    <w:rsid w:val="002365E0"/>
    <w:rsid w:val="002366C7"/>
    <w:rsid w:val="002366D9"/>
    <w:rsid w:val="0023776A"/>
    <w:rsid w:val="002379FE"/>
    <w:rsid w:val="00240642"/>
    <w:rsid w:val="00240801"/>
    <w:rsid w:val="00240966"/>
    <w:rsid w:val="00240C4F"/>
    <w:rsid w:val="0024115D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642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95E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383"/>
    <w:rsid w:val="0026684A"/>
    <w:rsid w:val="0026685A"/>
    <w:rsid w:val="00266ACE"/>
    <w:rsid w:val="00266D29"/>
    <w:rsid w:val="0026702F"/>
    <w:rsid w:val="00267455"/>
    <w:rsid w:val="002677FC"/>
    <w:rsid w:val="00267F1C"/>
    <w:rsid w:val="00270100"/>
    <w:rsid w:val="002709A4"/>
    <w:rsid w:val="002713BB"/>
    <w:rsid w:val="0027204A"/>
    <w:rsid w:val="002720BA"/>
    <w:rsid w:val="00272779"/>
    <w:rsid w:val="00272979"/>
    <w:rsid w:val="0027312B"/>
    <w:rsid w:val="00273954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5FBE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68B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A8F"/>
    <w:rsid w:val="00295CCD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5A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7C0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02D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BCA"/>
    <w:rsid w:val="002B3F74"/>
    <w:rsid w:val="002B42C1"/>
    <w:rsid w:val="002B4454"/>
    <w:rsid w:val="002B446E"/>
    <w:rsid w:val="002B4C30"/>
    <w:rsid w:val="002B4F02"/>
    <w:rsid w:val="002B51AE"/>
    <w:rsid w:val="002B5240"/>
    <w:rsid w:val="002B5A9E"/>
    <w:rsid w:val="002B5EED"/>
    <w:rsid w:val="002B6496"/>
    <w:rsid w:val="002B6954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847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1"/>
    <w:rsid w:val="002D1ACE"/>
    <w:rsid w:val="002D1AF9"/>
    <w:rsid w:val="002D1CDB"/>
    <w:rsid w:val="002D205D"/>
    <w:rsid w:val="002D26D6"/>
    <w:rsid w:val="002D29ED"/>
    <w:rsid w:val="002D2BAD"/>
    <w:rsid w:val="002D2EE8"/>
    <w:rsid w:val="002D3230"/>
    <w:rsid w:val="002D3258"/>
    <w:rsid w:val="002D3360"/>
    <w:rsid w:val="002D34BD"/>
    <w:rsid w:val="002D35D5"/>
    <w:rsid w:val="002D3F24"/>
    <w:rsid w:val="002D408C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AEB"/>
    <w:rsid w:val="002D5B43"/>
    <w:rsid w:val="002D6505"/>
    <w:rsid w:val="002D6A89"/>
    <w:rsid w:val="002D70DC"/>
    <w:rsid w:val="002D7159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6FD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778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7FD"/>
    <w:rsid w:val="00317A72"/>
    <w:rsid w:val="00317F92"/>
    <w:rsid w:val="003202DD"/>
    <w:rsid w:val="00320425"/>
    <w:rsid w:val="00320D1B"/>
    <w:rsid w:val="0032119A"/>
    <w:rsid w:val="0032183A"/>
    <w:rsid w:val="003218FF"/>
    <w:rsid w:val="003219B3"/>
    <w:rsid w:val="00321CA0"/>
    <w:rsid w:val="00322E75"/>
    <w:rsid w:val="003230F3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75AA"/>
    <w:rsid w:val="00337F2C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47FDA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62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E0E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7F8"/>
    <w:rsid w:val="00374EC4"/>
    <w:rsid w:val="0037523E"/>
    <w:rsid w:val="00375945"/>
    <w:rsid w:val="00375A47"/>
    <w:rsid w:val="003760BD"/>
    <w:rsid w:val="0037634B"/>
    <w:rsid w:val="00376436"/>
    <w:rsid w:val="00376A91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669"/>
    <w:rsid w:val="00382C32"/>
    <w:rsid w:val="0038346F"/>
    <w:rsid w:val="0038459B"/>
    <w:rsid w:val="00384BC1"/>
    <w:rsid w:val="00385BA7"/>
    <w:rsid w:val="00385DA9"/>
    <w:rsid w:val="00385E28"/>
    <w:rsid w:val="00386082"/>
    <w:rsid w:val="0038625A"/>
    <w:rsid w:val="00386C6F"/>
    <w:rsid w:val="003879E0"/>
    <w:rsid w:val="00387BC1"/>
    <w:rsid w:val="00387C59"/>
    <w:rsid w:val="003903F4"/>
    <w:rsid w:val="0039089B"/>
    <w:rsid w:val="00390A1E"/>
    <w:rsid w:val="00390D59"/>
    <w:rsid w:val="00390F60"/>
    <w:rsid w:val="00391573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4AE"/>
    <w:rsid w:val="00396EB8"/>
    <w:rsid w:val="00396F19"/>
    <w:rsid w:val="00397901"/>
    <w:rsid w:val="00397A5C"/>
    <w:rsid w:val="003A00A0"/>
    <w:rsid w:val="003A0AB6"/>
    <w:rsid w:val="003A0AC8"/>
    <w:rsid w:val="003A0D55"/>
    <w:rsid w:val="003A14F7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37C"/>
    <w:rsid w:val="003B1427"/>
    <w:rsid w:val="003B146B"/>
    <w:rsid w:val="003B14DE"/>
    <w:rsid w:val="003B1979"/>
    <w:rsid w:val="003B1E8F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22F"/>
    <w:rsid w:val="003B4813"/>
    <w:rsid w:val="003B484C"/>
    <w:rsid w:val="003B4891"/>
    <w:rsid w:val="003B5005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3BC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182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D86"/>
    <w:rsid w:val="003F5E38"/>
    <w:rsid w:val="003F5F46"/>
    <w:rsid w:val="003F5FA4"/>
    <w:rsid w:val="003F6086"/>
    <w:rsid w:val="003F60E5"/>
    <w:rsid w:val="003F6806"/>
    <w:rsid w:val="003F71F2"/>
    <w:rsid w:val="003F7684"/>
    <w:rsid w:val="0040063D"/>
    <w:rsid w:val="004010D1"/>
    <w:rsid w:val="004011F9"/>
    <w:rsid w:val="004012FC"/>
    <w:rsid w:val="0040148A"/>
    <w:rsid w:val="004016B9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0E"/>
    <w:rsid w:val="00404C20"/>
    <w:rsid w:val="00404FAA"/>
    <w:rsid w:val="00405602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4F9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17F7E"/>
    <w:rsid w:val="004201A2"/>
    <w:rsid w:val="004207F8"/>
    <w:rsid w:val="00420D66"/>
    <w:rsid w:val="004213F7"/>
    <w:rsid w:val="00421919"/>
    <w:rsid w:val="00421A41"/>
    <w:rsid w:val="00421B6A"/>
    <w:rsid w:val="0042247B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0F9C"/>
    <w:rsid w:val="00431111"/>
    <w:rsid w:val="00431833"/>
    <w:rsid w:val="004319DD"/>
    <w:rsid w:val="00431CD3"/>
    <w:rsid w:val="00432445"/>
    <w:rsid w:val="00432A71"/>
    <w:rsid w:val="00432E6F"/>
    <w:rsid w:val="00433266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29B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5D3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46B"/>
    <w:rsid w:val="00455BF5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0B3"/>
    <w:rsid w:val="004631E2"/>
    <w:rsid w:val="004632A5"/>
    <w:rsid w:val="00463CE0"/>
    <w:rsid w:val="00463EB1"/>
    <w:rsid w:val="00464269"/>
    <w:rsid w:val="004643A6"/>
    <w:rsid w:val="00464757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255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11AE"/>
    <w:rsid w:val="0048122E"/>
    <w:rsid w:val="00482407"/>
    <w:rsid w:val="00482C3D"/>
    <w:rsid w:val="00482D1B"/>
    <w:rsid w:val="00483E55"/>
    <w:rsid w:val="0048402E"/>
    <w:rsid w:val="00484307"/>
    <w:rsid w:val="00484334"/>
    <w:rsid w:val="004847EE"/>
    <w:rsid w:val="00484E28"/>
    <w:rsid w:val="00484FE2"/>
    <w:rsid w:val="00486054"/>
    <w:rsid w:val="004861B0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6852"/>
    <w:rsid w:val="0049754C"/>
    <w:rsid w:val="00497551"/>
    <w:rsid w:val="004A03F8"/>
    <w:rsid w:val="004A0409"/>
    <w:rsid w:val="004A05B1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2B63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727"/>
    <w:rsid w:val="004D274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0BA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9A"/>
    <w:rsid w:val="004E7C14"/>
    <w:rsid w:val="004E7F16"/>
    <w:rsid w:val="004F0234"/>
    <w:rsid w:val="004F02C2"/>
    <w:rsid w:val="004F0313"/>
    <w:rsid w:val="004F0C9A"/>
    <w:rsid w:val="004F12D2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3F3F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09E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233"/>
    <w:rsid w:val="00503323"/>
    <w:rsid w:val="00503565"/>
    <w:rsid w:val="0050360D"/>
    <w:rsid w:val="0050371E"/>
    <w:rsid w:val="00503E38"/>
    <w:rsid w:val="00503FEB"/>
    <w:rsid w:val="005042B9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E91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841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0E0A"/>
    <w:rsid w:val="0053180D"/>
    <w:rsid w:val="005324CD"/>
    <w:rsid w:val="005328D5"/>
    <w:rsid w:val="00532F4B"/>
    <w:rsid w:val="00533119"/>
    <w:rsid w:val="0053349C"/>
    <w:rsid w:val="005337FF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6E64"/>
    <w:rsid w:val="005374BF"/>
    <w:rsid w:val="00537780"/>
    <w:rsid w:val="005377EB"/>
    <w:rsid w:val="005379DB"/>
    <w:rsid w:val="00540168"/>
    <w:rsid w:val="005404BA"/>
    <w:rsid w:val="00540757"/>
    <w:rsid w:val="00540BA0"/>
    <w:rsid w:val="0054117F"/>
    <w:rsid w:val="00541579"/>
    <w:rsid w:val="005416C9"/>
    <w:rsid w:val="00542501"/>
    <w:rsid w:val="0054296F"/>
    <w:rsid w:val="00542C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BE6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0C97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5AC"/>
    <w:rsid w:val="00557CC4"/>
    <w:rsid w:val="00557E51"/>
    <w:rsid w:val="0056049F"/>
    <w:rsid w:val="00560874"/>
    <w:rsid w:val="00560B9C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01C"/>
    <w:rsid w:val="005713C8"/>
    <w:rsid w:val="0057191C"/>
    <w:rsid w:val="00572059"/>
    <w:rsid w:val="00572324"/>
    <w:rsid w:val="00572554"/>
    <w:rsid w:val="0057290B"/>
    <w:rsid w:val="0057303C"/>
    <w:rsid w:val="00573913"/>
    <w:rsid w:val="00573A6E"/>
    <w:rsid w:val="00573CEF"/>
    <w:rsid w:val="00573DFA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87464"/>
    <w:rsid w:val="00590376"/>
    <w:rsid w:val="00590769"/>
    <w:rsid w:val="00590BD9"/>
    <w:rsid w:val="005910B0"/>
    <w:rsid w:val="0059126B"/>
    <w:rsid w:val="005913AA"/>
    <w:rsid w:val="0059155A"/>
    <w:rsid w:val="00592162"/>
    <w:rsid w:val="0059240D"/>
    <w:rsid w:val="00592515"/>
    <w:rsid w:val="005930BE"/>
    <w:rsid w:val="00593BF9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10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0B3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586"/>
    <w:rsid w:val="005B38B5"/>
    <w:rsid w:val="005B39D2"/>
    <w:rsid w:val="005B3AFD"/>
    <w:rsid w:val="005B4510"/>
    <w:rsid w:val="005B4A03"/>
    <w:rsid w:val="005B4E2E"/>
    <w:rsid w:val="005B5139"/>
    <w:rsid w:val="005B5978"/>
    <w:rsid w:val="005B5B62"/>
    <w:rsid w:val="005B6143"/>
    <w:rsid w:val="005B72BC"/>
    <w:rsid w:val="005B76F0"/>
    <w:rsid w:val="005B779B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CA"/>
    <w:rsid w:val="005C2EC1"/>
    <w:rsid w:val="005C387F"/>
    <w:rsid w:val="005C44C7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B8E"/>
    <w:rsid w:val="005D2ED0"/>
    <w:rsid w:val="005D3328"/>
    <w:rsid w:val="005D35CA"/>
    <w:rsid w:val="005D36B4"/>
    <w:rsid w:val="005D3A5F"/>
    <w:rsid w:val="005D4273"/>
    <w:rsid w:val="005D4EEA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0CB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EE7"/>
    <w:rsid w:val="005E4F4C"/>
    <w:rsid w:val="005E51E1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36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7C8"/>
    <w:rsid w:val="005F4847"/>
    <w:rsid w:val="005F48C6"/>
    <w:rsid w:val="005F49C0"/>
    <w:rsid w:val="005F4C97"/>
    <w:rsid w:val="005F4D06"/>
    <w:rsid w:val="005F4D87"/>
    <w:rsid w:val="005F4E6A"/>
    <w:rsid w:val="005F4F40"/>
    <w:rsid w:val="005F5886"/>
    <w:rsid w:val="005F600A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F3D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4FAB"/>
    <w:rsid w:val="0060508F"/>
    <w:rsid w:val="00605162"/>
    <w:rsid w:val="00605703"/>
    <w:rsid w:val="00605DE0"/>
    <w:rsid w:val="00606468"/>
    <w:rsid w:val="00606626"/>
    <w:rsid w:val="00606E24"/>
    <w:rsid w:val="00607036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5B6"/>
    <w:rsid w:val="00613A25"/>
    <w:rsid w:val="0061466E"/>
    <w:rsid w:val="00614DC6"/>
    <w:rsid w:val="0061511B"/>
    <w:rsid w:val="00615586"/>
    <w:rsid w:val="00615FBC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309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0DBC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7F1"/>
    <w:rsid w:val="00644856"/>
    <w:rsid w:val="00644E1C"/>
    <w:rsid w:val="0064503D"/>
    <w:rsid w:val="00645090"/>
    <w:rsid w:val="0064571D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768"/>
    <w:rsid w:val="006528F3"/>
    <w:rsid w:val="00653720"/>
    <w:rsid w:val="00653D0F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1E9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6E98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D6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22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68"/>
    <w:rsid w:val="00685CE0"/>
    <w:rsid w:val="00685EAC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392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39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2BD"/>
    <w:rsid w:val="006B7BBC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60F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4DB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4B30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B7E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2A5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0DD8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3EB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AE6"/>
    <w:rsid w:val="00722E6E"/>
    <w:rsid w:val="007231C5"/>
    <w:rsid w:val="007241DE"/>
    <w:rsid w:val="007242C8"/>
    <w:rsid w:val="00724357"/>
    <w:rsid w:val="00724650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719"/>
    <w:rsid w:val="0073183E"/>
    <w:rsid w:val="007318F6"/>
    <w:rsid w:val="00731D97"/>
    <w:rsid w:val="00731FD8"/>
    <w:rsid w:val="007329EC"/>
    <w:rsid w:val="00732BE6"/>
    <w:rsid w:val="007330A1"/>
    <w:rsid w:val="007332DB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76F"/>
    <w:rsid w:val="00735B29"/>
    <w:rsid w:val="00736835"/>
    <w:rsid w:val="007368CA"/>
    <w:rsid w:val="00736D2F"/>
    <w:rsid w:val="00736FA9"/>
    <w:rsid w:val="007379B4"/>
    <w:rsid w:val="00737FAF"/>
    <w:rsid w:val="00737FCB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45A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2A9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19B2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6F17"/>
    <w:rsid w:val="00767246"/>
    <w:rsid w:val="007672E0"/>
    <w:rsid w:val="00767464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E0A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6CD6"/>
    <w:rsid w:val="007779B2"/>
    <w:rsid w:val="00777AE6"/>
    <w:rsid w:val="00777CC7"/>
    <w:rsid w:val="00777E7F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2FE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402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863"/>
    <w:rsid w:val="00794923"/>
    <w:rsid w:val="00794FF8"/>
    <w:rsid w:val="00795059"/>
    <w:rsid w:val="00795C3F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210"/>
    <w:rsid w:val="007A4412"/>
    <w:rsid w:val="007A4AFA"/>
    <w:rsid w:val="007A4BE9"/>
    <w:rsid w:val="007A4DE6"/>
    <w:rsid w:val="007A57BB"/>
    <w:rsid w:val="007A5C07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3E33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3F23"/>
    <w:rsid w:val="007C47C3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4BF"/>
    <w:rsid w:val="007C7AE4"/>
    <w:rsid w:val="007C7B07"/>
    <w:rsid w:val="007D000D"/>
    <w:rsid w:val="007D04E6"/>
    <w:rsid w:val="007D0F5E"/>
    <w:rsid w:val="007D1796"/>
    <w:rsid w:val="007D2318"/>
    <w:rsid w:val="007D26D2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00A"/>
    <w:rsid w:val="007D512A"/>
    <w:rsid w:val="007D53BE"/>
    <w:rsid w:val="007D556E"/>
    <w:rsid w:val="007D5645"/>
    <w:rsid w:val="007D5FA3"/>
    <w:rsid w:val="007D5FFB"/>
    <w:rsid w:val="007D6606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284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5CF2"/>
    <w:rsid w:val="007E62F8"/>
    <w:rsid w:val="007E65F9"/>
    <w:rsid w:val="007E6934"/>
    <w:rsid w:val="007E6B1A"/>
    <w:rsid w:val="007E703D"/>
    <w:rsid w:val="007E72ED"/>
    <w:rsid w:val="007E7337"/>
    <w:rsid w:val="007E7906"/>
    <w:rsid w:val="007E7CD9"/>
    <w:rsid w:val="007E7E8A"/>
    <w:rsid w:val="007F0824"/>
    <w:rsid w:val="007F0C7E"/>
    <w:rsid w:val="007F1340"/>
    <w:rsid w:val="007F18E0"/>
    <w:rsid w:val="007F1B6A"/>
    <w:rsid w:val="007F24A8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BCE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4C0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4474"/>
    <w:rsid w:val="00815473"/>
    <w:rsid w:val="00815821"/>
    <w:rsid w:val="00816097"/>
    <w:rsid w:val="00816552"/>
    <w:rsid w:val="008176F8"/>
    <w:rsid w:val="00817852"/>
    <w:rsid w:val="00817B54"/>
    <w:rsid w:val="00817F1B"/>
    <w:rsid w:val="00820147"/>
    <w:rsid w:val="00820581"/>
    <w:rsid w:val="008206C4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37E"/>
    <w:rsid w:val="00825A48"/>
    <w:rsid w:val="00825BF0"/>
    <w:rsid w:val="00826346"/>
    <w:rsid w:val="008267EF"/>
    <w:rsid w:val="00826EE8"/>
    <w:rsid w:val="00827050"/>
    <w:rsid w:val="008279C4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2C"/>
    <w:rsid w:val="008373AA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2F5D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4C58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433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730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4D39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8A2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666"/>
    <w:rsid w:val="00885886"/>
    <w:rsid w:val="0088691E"/>
    <w:rsid w:val="00886CA6"/>
    <w:rsid w:val="00887605"/>
    <w:rsid w:val="00887B3E"/>
    <w:rsid w:val="0089089E"/>
    <w:rsid w:val="00890D30"/>
    <w:rsid w:val="00890F08"/>
    <w:rsid w:val="0089157B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1E53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1FBE"/>
    <w:rsid w:val="008B209F"/>
    <w:rsid w:val="008B28A8"/>
    <w:rsid w:val="008B2C27"/>
    <w:rsid w:val="008B2FA6"/>
    <w:rsid w:val="008B38FD"/>
    <w:rsid w:val="008B3C56"/>
    <w:rsid w:val="008B4933"/>
    <w:rsid w:val="008B4BE0"/>
    <w:rsid w:val="008B4DB4"/>
    <w:rsid w:val="008B5142"/>
    <w:rsid w:val="008B563F"/>
    <w:rsid w:val="008B5915"/>
    <w:rsid w:val="008B5B64"/>
    <w:rsid w:val="008B5D85"/>
    <w:rsid w:val="008B65F1"/>
    <w:rsid w:val="008B689A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7F8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36CE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69A6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787"/>
    <w:rsid w:val="008E3853"/>
    <w:rsid w:val="008E39B6"/>
    <w:rsid w:val="008E3A1A"/>
    <w:rsid w:val="008E3AAC"/>
    <w:rsid w:val="008E3EDD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12B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D9F"/>
    <w:rsid w:val="00904F68"/>
    <w:rsid w:val="0090505C"/>
    <w:rsid w:val="00905BC3"/>
    <w:rsid w:val="00905D51"/>
    <w:rsid w:val="00905FBA"/>
    <w:rsid w:val="00906211"/>
    <w:rsid w:val="009067BE"/>
    <w:rsid w:val="00906913"/>
    <w:rsid w:val="00906DCC"/>
    <w:rsid w:val="00906E21"/>
    <w:rsid w:val="00907592"/>
    <w:rsid w:val="009077DD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721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E06"/>
    <w:rsid w:val="00914FC2"/>
    <w:rsid w:val="009156F6"/>
    <w:rsid w:val="00915855"/>
    <w:rsid w:val="009158B9"/>
    <w:rsid w:val="009160B5"/>
    <w:rsid w:val="0091618C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5BDB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360F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D03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832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8FE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00B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817"/>
    <w:rsid w:val="00971906"/>
    <w:rsid w:val="0097219F"/>
    <w:rsid w:val="0097231E"/>
    <w:rsid w:val="00972CB2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4F53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0DB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AF9"/>
    <w:rsid w:val="00984CC2"/>
    <w:rsid w:val="009858DD"/>
    <w:rsid w:val="009858F7"/>
    <w:rsid w:val="00985CE7"/>
    <w:rsid w:val="009865B6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C86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74"/>
    <w:rsid w:val="009965A9"/>
    <w:rsid w:val="00996953"/>
    <w:rsid w:val="0099707B"/>
    <w:rsid w:val="00997372"/>
    <w:rsid w:val="0099755F"/>
    <w:rsid w:val="00997658"/>
    <w:rsid w:val="009979A3"/>
    <w:rsid w:val="009979DF"/>
    <w:rsid w:val="00997CD8"/>
    <w:rsid w:val="00997E2E"/>
    <w:rsid w:val="009A00AE"/>
    <w:rsid w:val="009A034A"/>
    <w:rsid w:val="009A06D8"/>
    <w:rsid w:val="009A0D5C"/>
    <w:rsid w:val="009A20A2"/>
    <w:rsid w:val="009A21AB"/>
    <w:rsid w:val="009A3802"/>
    <w:rsid w:val="009A38D1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B7F68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A43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7EF"/>
    <w:rsid w:val="009C69A4"/>
    <w:rsid w:val="009C7142"/>
    <w:rsid w:val="009C72E7"/>
    <w:rsid w:val="009D0000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2D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CE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CF3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4A5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290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DAD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772"/>
    <w:rsid w:val="00A41F2E"/>
    <w:rsid w:val="00A42996"/>
    <w:rsid w:val="00A42E8B"/>
    <w:rsid w:val="00A42EBA"/>
    <w:rsid w:val="00A431F7"/>
    <w:rsid w:val="00A437D1"/>
    <w:rsid w:val="00A4382E"/>
    <w:rsid w:val="00A43CCB"/>
    <w:rsid w:val="00A43FC6"/>
    <w:rsid w:val="00A44173"/>
    <w:rsid w:val="00A44866"/>
    <w:rsid w:val="00A44A12"/>
    <w:rsid w:val="00A44C00"/>
    <w:rsid w:val="00A455E8"/>
    <w:rsid w:val="00A45CB0"/>
    <w:rsid w:val="00A45E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057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57D4"/>
    <w:rsid w:val="00A76227"/>
    <w:rsid w:val="00A76764"/>
    <w:rsid w:val="00A76BA8"/>
    <w:rsid w:val="00A771E0"/>
    <w:rsid w:val="00A7781E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9EE"/>
    <w:rsid w:val="00A90F19"/>
    <w:rsid w:val="00A9120B"/>
    <w:rsid w:val="00A91485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237"/>
    <w:rsid w:val="00AA684B"/>
    <w:rsid w:val="00AA6DCE"/>
    <w:rsid w:val="00AA74EB"/>
    <w:rsid w:val="00AA75A5"/>
    <w:rsid w:val="00AB0099"/>
    <w:rsid w:val="00AB00A3"/>
    <w:rsid w:val="00AB053C"/>
    <w:rsid w:val="00AB07A7"/>
    <w:rsid w:val="00AB0C69"/>
    <w:rsid w:val="00AB0E37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339F"/>
    <w:rsid w:val="00AB4500"/>
    <w:rsid w:val="00AB48F0"/>
    <w:rsid w:val="00AB4F74"/>
    <w:rsid w:val="00AB4FDE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49F"/>
    <w:rsid w:val="00AC3642"/>
    <w:rsid w:val="00AC3A37"/>
    <w:rsid w:val="00AC3ABC"/>
    <w:rsid w:val="00AC3ABE"/>
    <w:rsid w:val="00AC4C23"/>
    <w:rsid w:val="00AC52FF"/>
    <w:rsid w:val="00AC57FD"/>
    <w:rsid w:val="00AC586B"/>
    <w:rsid w:val="00AC5DA1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AFC"/>
    <w:rsid w:val="00AD1EB3"/>
    <w:rsid w:val="00AD2341"/>
    <w:rsid w:val="00AD35A0"/>
    <w:rsid w:val="00AD366F"/>
    <w:rsid w:val="00AD3D34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D7DB8"/>
    <w:rsid w:val="00AE0012"/>
    <w:rsid w:val="00AE01B0"/>
    <w:rsid w:val="00AE0CEB"/>
    <w:rsid w:val="00AE0DAF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AF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1CA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6EB6"/>
    <w:rsid w:val="00B17276"/>
    <w:rsid w:val="00B17310"/>
    <w:rsid w:val="00B174A3"/>
    <w:rsid w:val="00B17939"/>
    <w:rsid w:val="00B17C39"/>
    <w:rsid w:val="00B20313"/>
    <w:rsid w:val="00B20D10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6B2"/>
    <w:rsid w:val="00B247EB"/>
    <w:rsid w:val="00B24BC1"/>
    <w:rsid w:val="00B25856"/>
    <w:rsid w:val="00B25F8B"/>
    <w:rsid w:val="00B261FA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32E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0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52F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960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00C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A9A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47B"/>
    <w:rsid w:val="00B8454D"/>
    <w:rsid w:val="00B84BEA"/>
    <w:rsid w:val="00B84C99"/>
    <w:rsid w:val="00B85340"/>
    <w:rsid w:val="00B855F6"/>
    <w:rsid w:val="00B85764"/>
    <w:rsid w:val="00B86096"/>
    <w:rsid w:val="00B860F3"/>
    <w:rsid w:val="00B86F99"/>
    <w:rsid w:val="00B870E9"/>
    <w:rsid w:val="00B8790D"/>
    <w:rsid w:val="00B90510"/>
    <w:rsid w:val="00B909DC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112"/>
    <w:rsid w:val="00B95812"/>
    <w:rsid w:val="00B95EA3"/>
    <w:rsid w:val="00B95FA4"/>
    <w:rsid w:val="00B96052"/>
    <w:rsid w:val="00B96320"/>
    <w:rsid w:val="00B96465"/>
    <w:rsid w:val="00B964DD"/>
    <w:rsid w:val="00B964E5"/>
    <w:rsid w:val="00B96960"/>
    <w:rsid w:val="00B9699C"/>
    <w:rsid w:val="00B969F4"/>
    <w:rsid w:val="00B96CE8"/>
    <w:rsid w:val="00B96FA4"/>
    <w:rsid w:val="00B97108"/>
    <w:rsid w:val="00B97FC5"/>
    <w:rsid w:val="00BA03CC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4E2C"/>
    <w:rsid w:val="00BA508C"/>
    <w:rsid w:val="00BA5390"/>
    <w:rsid w:val="00BA55C7"/>
    <w:rsid w:val="00BA5673"/>
    <w:rsid w:val="00BA5704"/>
    <w:rsid w:val="00BA5A47"/>
    <w:rsid w:val="00BA65ED"/>
    <w:rsid w:val="00BA6760"/>
    <w:rsid w:val="00BA6CB2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223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080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CF5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3CC"/>
    <w:rsid w:val="00BD1467"/>
    <w:rsid w:val="00BD200C"/>
    <w:rsid w:val="00BD2198"/>
    <w:rsid w:val="00BD26AA"/>
    <w:rsid w:val="00BD27E8"/>
    <w:rsid w:val="00BD30FB"/>
    <w:rsid w:val="00BD34E9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04E"/>
    <w:rsid w:val="00BE3905"/>
    <w:rsid w:val="00BE3A20"/>
    <w:rsid w:val="00BE3DCF"/>
    <w:rsid w:val="00BE4180"/>
    <w:rsid w:val="00BE4525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433"/>
    <w:rsid w:val="00BF27C2"/>
    <w:rsid w:val="00BF367C"/>
    <w:rsid w:val="00BF3A66"/>
    <w:rsid w:val="00BF40FE"/>
    <w:rsid w:val="00BF440A"/>
    <w:rsid w:val="00BF464D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1642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3ED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0CA1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76D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412C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66"/>
    <w:rsid w:val="00C44EF8"/>
    <w:rsid w:val="00C4531D"/>
    <w:rsid w:val="00C4555D"/>
    <w:rsid w:val="00C4641D"/>
    <w:rsid w:val="00C465DF"/>
    <w:rsid w:val="00C471D8"/>
    <w:rsid w:val="00C47807"/>
    <w:rsid w:val="00C50574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0A2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4EF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87E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0D21"/>
    <w:rsid w:val="00C8104D"/>
    <w:rsid w:val="00C81324"/>
    <w:rsid w:val="00C815C7"/>
    <w:rsid w:val="00C81ADE"/>
    <w:rsid w:val="00C82050"/>
    <w:rsid w:val="00C824B9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CAE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CB8"/>
    <w:rsid w:val="00C92F47"/>
    <w:rsid w:val="00C93008"/>
    <w:rsid w:val="00C94326"/>
    <w:rsid w:val="00C94515"/>
    <w:rsid w:val="00C949F4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1F13"/>
    <w:rsid w:val="00CA225B"/>
    <w:rsid w:val="00CA24AF"/>
    <w:rsid w:val="00CA26A1"/>
    <w:rsid w:val="00CA2909"/>
    <w:rsid w:val="00CA359B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7D2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2DF1"/>
    <w:rsid w:val="00CB308E"/>
    <w:rsid w:val="00CB3242"/>
    <w:rsid w:val="00CB387D"/>
    <w:rsid w:val="00CB3C33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9EC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85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7D9"/>
    <w:rsid w:val="00CE785A"/>
    <w:rsid w:val="00CE7A3E"/>
    <w:rsid w:val="00CE7D2B"/>
    <w:rsid w:val="00CE7F51"/>
    <w:rsid w:val="00CF0151"/>
    <w:rsid w:val="00CF0733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64E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CF7C6E"/>
    <w:rsid w:val="00D00699"/>
    <w:rsid w:val="00D00CB3"/>
    <w:rsid w:val="00D00F28"/>
    <w:rsid w:val="00D0113A"/>
    <w:rsid w:val="00D014A0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3D6"/>
    <w:rsid w:val="00D10409"/>
    <w:rsid w:val="00D10421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96C"/>
    <w:rsid w:val="00D15ADF"/>
    <w:rsid w:val="00D161B0"/>
    <w:rsid w:val="00D167FF"/>
    <w:rsid w:val="00D16E1E"/>
    <w:rsid w:val="00D17237"/>
    <w:rsid w:val="00D17239"/>
    <w:rsid w:val="00D17BA7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3E12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548"/>
    <w:rsid w:val="00D306A7"/>
    <w:rsid w:val="00D30772"/>
    <w:rsid w:val="00D30B7A"/>
    <w:rsid w:val="00D30F99"/>
    <w:rsid w:val="00D31000"/>
    <w:rsid w:val="00D31337"/>
    <w:rsid w:val="00D313B1"/>
    <w:rsid w:val="00D31531"/>
    <w:rsid w:val="00D316D7"/>
    <w:rsid w:val="00D319B9"/>
    <w:rsid w:val="00D3211C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611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02"/>
    <w:rsid w:val="00D45B3C"/>
    <w:rsid w:val="00D4604D"/>
    <w:rsid w:val="00D460F4"/>
    <w:rsid w:val="00D463E3"/>
    <w:rsid w:val="00D46599"/>
    <w:rsid w:val="00D46D0A"/>
    <w:rsid w:val="00D47310"/>
    <w:rsid w:val="00D4784A"/>
    <w:rsid w:val="00D4791A"/>
    <w:rsid w:val="00D5017C"/>
    <w:rsid w:val="00D509E0"/>
    <w:rsid w:val="00D50E84"/>
    <w:rsid w:val="00D512D6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726"/>
    <w:rsid w:val="00D578CB"/>
    <w:rsid w:val="00D6029A"/>
    <w:rsid w:val="00D605EC"/>
    <w:rsid w:val="00D606D2"/>
    <w:rsid w:val="00D60B1F"/>
    <w:rsid w:val="00D60EB1"/>
    <w:rsid w:val="00D61188"/>
    <w:rsid w:val="00D611BB"/>
    <w:rsid w:val="00D612BD"/>
    <w:rsid w:val="00D612EA"/>
    <w:rsid w:val="00D61454"/>
    <w:rsid w:val="00D614E7"/>
    <w:rsid w:val="00D61EF9"/>
    <w:rsid w:val="00D61F8D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D77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7C8"/>
    <w:rsid w:val="00D719A5"/>
    <w:rsid w:val="00D71AF0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8FF"/>
    <w:rsid w:val="00D77C94"/>
    <w:rsid w:val="00D77D2D"/>
    <w:rsid w:val="00D77D71"/>
    <w:rsid w:val="00D77F6C"/>
    <w:rsid w:val="00D80870"/>
    <w:rsid w:val="00D80CCB"/>
    <w:rsid w:val="00D80E89"/>
    <w:rsid w:val="00D8132E"/>
    <w:rsid w:val="00D81BB1"/>
    <w:rsid w:val="00D81CA9"/>
    <w:rsid w:val="00D82497"/>
    <w:rsid w:val="00D825C8"/>
    <w:rsid w:val="00D82870"/>
    <w:rsid w:val="00D829ED"/>
    <w:rsid w:val="00D82B69"/>
    <w:rsid w:val="00D82C21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C65"/>
    <w:rsid w:val="00D85FA5"/>
    <w:rsid w:val="00D86487"/>
    <w:rsid w:val="00D86748"/>
    <w:rsid w:val="00D86940"/>
    <w:rsid w:val="00D869C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367"/>
    <w:rsid w:val="00D907EA"/>
    <w:rsid w:val="00D9094E"/>
    <w:rsid w:val="00D90D4A"/>
    <w:rsid w:val="00D90F95"/>
    <w:rsid w:val="00D91888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48"/>
    <w:rsid w:val="00D95270"/>
    <w:rsid w:val="00D95339"/>
    <w:rsid w:val="00D95363"/>
    <w:rsid w:val="00D95447"/>
    <w:rsid w:val="00D95665"/>
    <w:rsid w:val="00D960E7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5BA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5C4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6F54"/>
    <w:rsid w:val="00DC7287"/>
    <w:rsid w:val="00DC73E3"/>
    <w:rsid w:val="00DC7EC0"/>
    <w:rsid w:val="00DD00B3"/>
    <w:rsid w:val="00DD03B2"/>
    <w:rsid w:val="00DD067F"/>
    <w:rsid w:val="00DD077C"/>
    <w:rsid w:val="00DD07A6"/>
    <w:rsid w:val="00DD08BF"/>
    <w:rsid w:val="00DD099F"/>
    <w:rsid w:val="00DD0A45"/>
    <w:rsid w:val="00DD0A9A"/>
    <w:rsid w:val="00DD0B57"/>
    <w:rsid w:val="00DD0DA1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819"/>
    <w:rsid w:val="00DD3E1C"/>
    <w:rsid w:val="00DD3FD6"/>
    <w:rsid w:val="00DD42C2"/>
    <w:rsid w:val="00DD45B6"/>
    <w:rsid w:val="00DD4B63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64F"/>
    <w:rsid w:val="00DE7654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9FB"/>
    <w:rsid w:val="00E11A9B"/>
    <w:rsid w:val="00E11F15"/>
    <w:rsid w:val="00E12210"/>
    <w:rsid w:val="00E1352B"/>
    <w:rsid w:val="00E1393E"/>
    <w:rsid w:val="00E13B2A"/>
    <w:rsid w:val="00E13EB0"/>
    <w:rsid w:val="00E14BD0"/>
    <w:rsid w:val="00E14F05"/>
    <w:rsid w:val="00E150ED"/>
    <w:rsid w:val="00E15620"/>
    <w:rsid w:val="00E15831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0F7"/>
    <w:rsid w:val="00E23422"/>
    <w:rsid w:val="00E23FA2"/>
    <w:rsid w:val="00E24294"/>
    <w:rsid w:val="00E24FDC"/>
    <w:rsid w:val="00E251DE"/>
    <w:rsid w:val="00E256AB"/>
    <w:rsid w:val="00E25ABF"/>
    <w:rsid w:val="00E26ABF"/>
    <w:rsid w:val="00E300CB"/>
    <w:rsid w:val="00E305B9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C4"/>
    <w:rsid w:val="00E411D0"/>
    <w:rsid w:val="00E4130D"/>
    <w:rsid w:val="00E4177B"/>
    <w:rsid w:val="00E41D5E"/>
    <w:rsid w:val="00E41FBA"/>
    <w:rsid w:val="00E42498"/>
    <w:rsid w:val="00E424EB"/>
    <w:rsid w:val="00E42F9A"/>
    <w:rsid w:val="00E43084"/>
    <w:rsid w:val="00E431BC"/>
    <w:rsid w:val="00E43371"/>
    <w:rsid w:val="00E4390B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C91"/>
    <w:rsid w:val="00E47FEE"/>
    <w:rsid w:val="00E5068A"/>
    <w:rsid w:val="00E509B6"/>
    <w:rsid w:val="00E51666"/>
    <w:rsid w:val="00E51E7B"/>
    <w:rsid w:val="00E52839"/>
    <w:rsid w:val="00E52B15"/>
    <w:rsid w:val="00E52F19"/>
    <w:rsid w:val="00E52F1B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B28"/>
    <w:rsid w:val="00E70E0C"/>
    <w:rsid w:val="00E712A4"/>
    <w:rsid w:val="00E7187A"/>
    <w:rsid w:val="00E71A51"/>
    <w:rsid w:val="00E71BF9"/>
    <w:rsid w:val="00E72283"/>
    <w:rsid w:val="00E7239F"/>
    <w:rsid w:val="00E73261"/>
    <w:rsid w:val="00E733CA"/>
    <w:rsid w:val="00E7366C"/>
    <w:rsid w:val="00E73781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6FD7"/>
    <w:rsid w:val="00E770B8"/>
    <w:rsid w:val="00E772C5"/>
    <w:rsid w:val="00E77816"/>
    <w:rsid w:val="00E77DAB"/>
    <w:rsid w:val="00E77E7F"/>
    <w:rsid w:val="00E80172"/>
    <w:rsid w:val="00E8047B"/>
    <w:rsid w:val="00E805CB"/>
    <w:rsid w:val="00E805E4"/>
    <w:rsid w:val="00E809BA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6E50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15"/>
    <w:rsid w:val="00EA3BF5"/>
    <w:rsid w:val="00EA3F0A"/>
    <w:rsid w:val="00EA466A"/>
    <w:rsid w:val="00EA46AD"/>
    <w:rsid w:val="00EA4AA9"/>
    <w:rsid w:val="00EA52B8"/>
    <w:rsid w:val="00EA5695"/>
    <w:rsid w:val="00EA56C8"/>
    <w:rsid w:val="00EA5993"/>
    <w:rsid w:val="00EA5D4F"/>
    <w:rsid w:val="00EA5F2B"/>
    <w:rsid w:val="00EA6362"/>
    <w:rsid w:val="00EA6CE8"/>
    <w:rsid w:val="00EA6E42"/>
    <w:rsid w:val="00EA706D"/>
    <w:rsid w:val="00EA7185"/>
    <w:rsid w:val="00EA748D"/>
    <w:rsid w:val="00EA7A42"/>
    <w:rsid w:val="00EA7E57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544"/>
    <w:rsid w:val="00EB383D"/>
    <w:rsid w:val="00EB3EFC"/>
    <w:rsid w:val="00EB4070"/>
    <w:rsid w:val="00EB453F"/>
    <w:rsid w:val="00EB4841"/>
    <w:rsid w:val="00EB4B52"/>
    <w:rsid w:val="00EB4BF6"/>
    <w:rsid w:val="00EB51BC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459"/>
    <w:rsid w:val="00EE59FE"/>
    <w:rsid w:val="00EE5A2D"/>
    <w:rsid w:val="00EE5BBC"/>
    <w:rsid w:val="00EE5DB1"/>
    <w:rsid w:val="00EE5DDE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34D9"/>
    <w:rsid w:val="00F04D8D"/>
    <w:rsid w:val="00F06464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4B28"/>
    <w:rsid w:val="00F159A1"/>
    <w:rsid w:val="00F15EE5"/>
    <w:rsid w:val="00F15FC6"/>
    <w:rsid w:val="00F1678F"/>
    <w:rsid w:val="00F16892"/>
    <w:rsid w:val="00F16F61"/>
    <w:rsid w:val="00F1723B"/>
    <w:rsid w:val="00F17363"/>
    <w:rsid w:val="00F17A2C"/>
    <w:rsid w:val="00F17CEC"/>
    <w:rsid w:val="00F17D5E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4C44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27DFE"/>
    <w:rsid w:val="00F3040B"/>
    <w:rsid w:val="00F30B50"/>
    <w:rsid w:val="00F30DDC"/>
    <w:rsid w:val="00F30F21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E28"/>
    <w:rsid w:val="00F35FF8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4F36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792"/>
    <w:rsid w:val="00F63EAE"/>
    <w:rsid w:val="00F642C4"/>
    <w:rsid w:val="00F64B1C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20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174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36"/>
    <w:rsid w:val="00F83983"/>
    <w:rsid w:val="00F83BC8"/>
    <w:rsid w:val="00F83DE9"/>
    <w:rsid w:val="00F840FD"/>
    <w:rsid w:val="00F84392"/>
    <w:rsid w:val="00F8458A"/>
    <w:rsid w:val="00F84A77"/>
    <w:rsid w:val="00F84B96"/>
    <w:rsid w:val="00F84D17"/>
    <w:rsid w:val="00F84FD3"/>
    <w:rsid w:val="00F853ED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01C"/>
    <w:rsid w:val="00F915F0"/>
    <w:rsid w:val="00F91AC4"/>
    <w:rsid w:val="00F92338"/>
    <w:rsid w:val="00F9238B"/>
    <w:rsid w:val="00F92DAE"/>
    <w:rsid w:val="00F9330F"/>
    <w:rsid w:val="00F93502"/>
    <w:rsid w:val="00F939C5"/>
    <w:rsid w:val="00F93C2E"/>
    <w:rsid w:val="00F93C56"/>
    <w:rsid w:val="00F93C7B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12C"/>
    <w:rsid w:val="00F978D1"/>
    <w:rsid w:val="00F97FF4"/>
    <w:rsid w:val="00FA0001"/>
    <w:rsid w:val="00FA0A68"/>
    <w:rsid w:val="00FA0D24"/>
    <w:rsid w:val="00FA1545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B0"/>
    <w:rsid w:val="00FC02F7"/>
    <w:rsid w:val="00FC0B95"/>
    <w:rsid w:val="00FC12AE"/>
    <w:rsid w:val="00FC1308"/>
    <w:rsid w:val="00FC1773"/>
    <w:rsid w:val="00FC2485"/>
    <w:rsid w:val="00FC2C6B"/>
    <w:rsid w:val="00FC2FFA"/>
    <w:rsid w:val="00FC373C"/>
    <w:rsid w:val="00FC37AB"/>
    <w:rsid w:val="00FC37D3"/>
    <w:rsid w:val="00FC3DEB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893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934"/>
    <w:rsid w:val="00FD5A05"/>
    <w:rsid w:val="00FD5CA9"/>
    <w:rsid w:val="00FD5F19"/>
    <w:rsid w:val="00FD5FC7"/>
    <w:rsid w:val="00FD615C"/>
    <w:rsid w:val="00FD64A3"/>
    <w:rsid w:val="00FD671C"/>
    <w:rsid w:val="00FD6738"/>
    <w:rsid w:val="00FD6AB6"/>
    <w:rsid w:val="00FD6C8C"/>
    <w:rsid w:val="00FD71E6"/>
    <w:rsid w:val="00FD75B3"/>
    <w:rsid w:val="00FD7BCE"/>
    <w:rsid w:val="00FE0485"/>
    <w:rsid w:val="00FE0C0A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6E5A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41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EAAA"/>
  <w15:docId w15:val="{5C7EF367-D6B0-4D26-B1F4-23F66B4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512D6"/>
    <w:rPr>
      <w:sz w:val="24"/>
      <w:szCs w:val="24"/>
      <w:lang w:eastAsia="ar-SA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5" Type="http://schemas.openxmlformats.org/officeDocument/2006/relationships/hyperlink" Target="mailto:https://data.tuik.gov.tr/Bulten/Index?p=Labour-Force-Statistics-February-2023-49371" TargetMode="External"/><Relationship Id="rId4" Type="http://schemas.openxmlformats.org/officeDocument/2006/relationships/hyperlink" Target="https://data.tuik.gov.tr/Kategori/GetKategori?p=istihdam-issizlik-ve-ucret-108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bau_edu_tr/Documents/Masau&#776;stu&#776;/BetamCalismalari/LABOR%20MARKET%20OUTLOOK/ARASTIRMA%20NOTU/2023/04.2023/AN%20I&#775;s&#807;sizlik%20(EN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bau_edu_tr/Documents/Masau&#776;stu&#776;/BetamCalismalari/LABOR%20MARKET%20OUTLOOK/ARASTIRMA%20NOTU/2023/04.2023/AN%20I&#775;s&#807;sizlik%20(E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bahcesehir-my.sharepoint.com/personal/mehmetcem_sahin_bau_edu_tr/Documents/Masau&#776;stu&#776;/BetamCalismalari/LABOR%20MARKET%20OUTLOOK/ARASTIRMA%20NOTU/2023/04.2023/AN%20I&#775;s&#807;sizlik%20(EN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bau_edu_tr/Documents/Masau&#776;stu&#776;/BetamCalismalari/LABOR%20MARKET%20OUTLOOK/ARASTIRMA%20NOTU/2023/04.2023/AN%20I&#775;s&#807;sizlik%20(E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57563763993126016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'FIGURE 1'!$A$75:$A$111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1'!$B$75:$B$111</c:f>
              <c:numCache>
                <c:formatCode>###\ ###</c:formatCode>
                <c:ptCount val="37"/>
                <c:pt idx="0">
                  <c:v>31924</c:v>
                </c:pt>
                <c:pt idx="1">
                  <c:v>30275</c:v>
                </c:pt>
                <c:pt idx="2">
                  <c:v>28997</c:v>
                </c:pt>
                <c:pt idx="3">
                  <c:v>29609</c:v>
                </c:pt>
                <c:pt idx="4">
                  <c:v>30589</c:v>
                </c:pt>
                <c:pt idx="5">
                  <c:v>30465</c:v>
                </c:pt>
                <c:pt idx="6">
                  <c:v>30966</c:v>
                </c:pt>
                <c:pt idx="7">
                  <c:v>31089</c:v>
                </c:pt>
                <c:pt idx="8">
                  <c:v>31044</c:v>
                </c:pt>
                <c:pt idx="9">
                  <c:v>31078</c:v>
                </c:pt>
                <c:pt idx="10">
                  <c:v>31027</c:v>
                </c:pt>
                <c:pt idx="11">
                  <c:v>31617</c:v>
                </c:pt>
                <c:pt idx="12">
                  <c:v>31878</c:v>
                </c:pt>
                <c:pt idx="13">
                  <c:v>32582</c:v>
                </c:pt>
                <c:pt idx="14">
                  <c:v>32666</c:v>
                </c:pt>
                <c:pt idx="15">
                  <c:v>32274</c:v>
                </c:pt>
                <c:pt idx="16">
                  <c:v>32168</c:v>
                </c:pt>
                <c:pt idx="17">
                  <c:v>32592</c:v>
                </c:pt>
                <c:pt idx="18">
                  <c:v>32916</c:v>
                </c:pt>
                <c:pt idx="19">
                  <c:v>33313</c:v>
                </c:pt>
                <c:pt idx="20">
                  <c:v>33266</c:v>
                </c:pt>
                <c:pt idx="21">
                  <c:v>33336</c:v>
                </c:pt>
                <c:pt idx="22">
                  <c:v>33777</c:v>
                </c:pt>
                <c:pt idx="23">
                  <c:v>33815</c:v>
                </c:pt>
                <c:pt idx="24">
                  <c:v>33545</c:v>
                </c:pt>
                <c:pt idx="25">
                  <c:v>33807</c:v>
                </c:pt>
                <c:pt idx="26">
                  <c:v>34206</c:v>
                </c:pt>
                <c:pt idx="27">
                  <c:v>34574</c:v>
                </c:pt>
                <c:pt idx="28">
                  <c:v>34258</c:v>
                </c:pt>
                <c:pt idx="29">
                  <c:v>33978</c:v>
                </c:pt>
                <c:pt idx="30">
                  <c:v>34417</c:v>
                </c:pt>
                <c:pt idx="31">
                  <c:v>34463</c:v>
                </c:pt>
                <c:pt idx="32">
                  <c:v>34584</c:v>
                </c:pt>
                <c:pt idx="33">
                  <c:v>35130</c:v>
                </c:pt>
                <c:pt idx="34">
                  <c:v>35082</c:v>
                </c:pt>
                <c:pt idx="35">
                  <c:v>35270</c:v>
                </c:pt>
                <c:pt idx="36">
                  <c:v>34975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01-7E44-8E97-1229DA5A9E06}"/>
            </c:ext>
          </c:extLst>
        </c:ser>
        <c:ser>
          <c:idx val="0"/>
          <c:order val="1"/>
          <c:tx>
            <c:strRef>
              <c:f>'FIGURE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'FIGURE 1'!$A$75:$A$111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1'!$C$75:$C$111</c:f>
              <c:numCache>
                <c:formatCode>###\ ###</c:formatCode>
                <c:ptCount val="37"/>
                <c:pt idx="0">
                  <c:v>27924</c:v>
                </c:pt>
                <c:pt idx="1">
                  <c:v>26345</c:v>
                </c:pt>
                <c:pt idx="2">
                  <c:v>25078</c:v>
                </c:pt>
                <c:pt idx="3">
                  <c:v>25587</c:v>
                </c:pt>
                <c:pt idx="4">
                  <c:v>26403</c:v>
                </c:pt>
                <c:pt idx="5">
                  <c:v>26127</c:v>
                </c:pt>
                <c:pt idx="6">
                  <c:v>26958</c:v>
                </c:pt>
                <c:pt idx="7">
                  <c:v>27174</c:v>
                </c:pt>
                <c:pt idx="8">
                  <c:v>27003</c:v>
                </c:pt>
                <c:pt idx="9">
                  <c:v>27027</c:v>
                </c:pt>
                <c:pt idx="10">
                  <c:v>27121</c:v>
                </c:pt>
                <c:pt idx="11">
                  <c:v>27649</c:v>
                </c:pt>
                <c:pt idx="12">
                  <c:v>27663</c:v>
                </c:pt>
                <c:pt idx="13">
                  <c:v>28379</c:v>
                </c:pt>
                <c:pt idx="14">
                  <c:v>28278</c:v>
                </c:pt>
                <c:pt idx="15">
                  <c:v>28007</c:v>
                </c:pt>
                <c:pt idx="16">
                  <c:v>28620</c:v>
                </c:pt>
                <c:pt idx="17">
                  <c:v>28813</c:v>
                </c:pt>
                <c:pt idx="18">
                  <c:v>28999</c:v>
                </c:pt>
                <c:pt idx="19">
                  <c:v>29570</c:v>
                </c:pt>
                <c:pt idx="20">
                  <c:v>29613</c:v>
                </c:pt>
                <c:pt idx="21">
                  <c:v>29621</c:v>
                </c:pt>
                <c:pt idx="22">
                  <c:v>30060</c:v>
                </c:pt>
                <c:pt idx="23">
                  <c:v>29999</c:v>
                </c:pt>
                <c:pt idx="24">
                  <c:v>29954</c:v>
                </c:pt>
                <c:pt idx="25">
                  <c:v>30029</c:v>
                </c:pt>
                <c:pt idx="26">
                  <c:v>30435</c:v>
                </c:pt>
                <c:pt idx="27">
                  <c:v>30848</c:v>
                </c:pt>
                <c:pt idx="28">
                  <c:v>30709</c:v>
                </c:pt>
                <c:pt idx="29">
                  <c:v>30518</c:v>
                </c:pt>
                <c:pt idx="30">
                  <c:v>31071</c:v>
                </c:pt>
                <c:pt idx="31">
                  <c:v>31022</c:v>
                </c:pt>
                <c:pt idx="32">
                  <c:v>31098</c:v>
                </c:pt>
                <c:pt idx="33">
                  <c:v>31575</c:v>
                </c:pt>
                <c:pt idx="34">
                  <c:v>31470</c:v>
                </c:pt>
                <c:pt idx="35">
                  <c:v>31821</c:v>
                </c:pt>
                <c:pt idx="36">
                  <c:v>31460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01-7E44-8E97-1229DA5A9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691200"/>
        <c:axId val="1"/>
      </c:lineChart>
      <c:lineChart>
        <c:grouping val="standard"/>
        <c:varyColors val="0"/>
        <c:ser>
          <c:idx val="2"/>
          <c:order val="2"/>
          <c:tx>
            <c:strRef>
              <c:f>'FIGURE 1'!$E$1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'FIGURE 1'!$A$75:$A$111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1'!$E$75:$E$111</c:f>
              <c:numCache>
                <c:formatCode>###.0\ ###</c:formatCode>
                <c:ptCount val="37"/>
                <c:pt idx="0">
                  <c:v>12.5</c:v>
                </c:pt>
                <c:pt idx="1">
                  <c:v>13</c:v>
                </c:pt>
                <c:pt idx="2">
                  <c:v>13.5</c:v>
                </c:pt>
                <c:pt idx="3">
                  <c:v>13.6</c:v>
                </c:pt>
                <c:pt idx="4">
                  <c:v>13.7</c:v>
                </c:pt>
                <c:pt idx="5">
                  <c:v>14.2</c:v>
                </c:pt>
                <c:pt idx="6">
                  <c:v>12.9</c:v>
                </c:pt>
                <c:pt idx="7">
                  <c:v>12.6</c:v>
                </c:pt>
                <c:pt idx="8">
                  <c:v>13</c:v>
                </c:pt>
                <c:pt idx="9">
                  <c:v>13</c:v>
                </c:pt>
                <c:pt idx="10">
                  <c:v>12.6</c:v>
                </c:pt>
                <c:pt idx="11">
                  <c:v>12.5</c:v>
                </c:pt>
                <c:pt idx="12">
                  <c:v>13.2</c:v>
                </c:pt>
                <c:pt idx="13">
                  <c:v>12.9</c:v>
                </c:pt>
                <c:pt idx="14">
                  <c:v>13.4</c:v>
                </c:pt>
                <c:pt idx="15">
                  <c:v>13.2</c:v>
                </c:pt>
                <c:pt idx="16">
                  <c:v>11</c:v>
                </c:pt>
                <c:pt idx="17">
                  <c:v>11.6</c:v>
                </c:pt>
                <c:pt idx="18">
                  <c:v>11.9</c:v>
                </c:pt>
                <c:pt idx="19">
                  <c:v>11.2</c:v>
                </c:pt>
                <c:pt idx="20">
                  <c:v>11</c:v>
                </c:pt>
                <c:pt idx="21">
                  <c:v>11.1</c:v>
                </c:pt>
                <c:pt idx="22">
                  <c:v>11</c:v>
                </c:pt>
                <c:pt idx="23">
                  <c:v>11.3</c:v>
                </c:pt>
                <c:pt idx="24">
                  <c:v>10.7</c:v>
                </c:pt>
                <c:pt idx="25">
                  <c:v>11.2</c:v>
                </c:pt>
                <c:pt idx="26">
                  <c:v>11</c:v>
                </c:pt>
                <c:pt idx="27">
                  <c:v>10.8</c:v>
                </c:pt>
                <c:pt idx="28">
                  <c:v>10.4</c:v>
                </c:pt>
                <c:pt idx="29">
                  <c:v>10.199999999999999</c:v>
                </c:pt>
                <c:pt idx="30">
                  <c:v>9.6999999999999993</c:v>
                </c:pt>
                <c:pt idx="31">
                  <c:v>10</c:v>
                </c:pt>
                <c:pt idx="32">
                  <c:v>10.1</c:v>
                </c:pt>
                <c:pt idx="33">
                  <c:v>10.1</c:v>
                </c:pt>
                <c:pt idx="34">
                  <c:v>10.3</c:v>
                </c:pt>
                <c:pt idx="35">
                  <c:v>9.8000000000000007</c:v>
                </c:pt>
                <c:pt idx="3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01-7E44-8E97-1229DA5A9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326912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1"/>
        <c:scaling>
          <c:orientation val="minMax"/>
          <c:min val="20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\ 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1932691200"/>
        <c:crosses val="autoZero"/>
        <c:crossBetween val="midCat"/>
      </c:valAx>
      <c:catAx>
        <c:axId val="3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  <c:min val="8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74838652258480021"/>
              <c:y val="0.1969024410192352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7938661643866647"/>
          <c:y val="0.28626805856066856"/>
          <c:w val="0.20828292733445311"/>
          <c:h val="0.318870498836370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'FIGURE 2'!$A$76:$A$112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2'!$C$76:$C$112</c:f>
              <c:numCache>
                <c:formatCode>0.0</c:formatCode>
                <c:ptCount val="37"/>
                <c:pt idx="0">
                  <c:v>12.5</c:v>
                </c:pt>
                <c:pt idx="1">
                  <c:v>13</c:v>
                </c:pt>
                <c:pt idx="2">
                  <c:v>13.5</c:v>
                </c:pt>
                <c:pt idx="3">
                  <c:v>13.6</c:v>
                </c:pt>
                <c:pt idx="4">
                  <c:v>13.7</c:v>
                </c:pt>
                <c:pt idx="5">
                  <c:v>14.2</c:v>
                </c:pt>
                <c:pt idx="6">
                  <c:v>12.9</c:v>
                </c:pt>
                <c:pt idx="7">
                  <c:v>12.6</c:v>
                </c:pt>
                <c:pt idx="8">
                  <c:v>13</c:v>
                </c:pt>
                <c:pt idx="9">
                  <c:v>13</c:v>
                </c:pt>
                <c:pt idx="10">
                  <c:v>12.6</c:v>
                </c:pt>
                <c:pt idx="11">
                  <c:v>12.5</c:v>
                </c:pt>
                <c:pt idx="12">
                  <c:v>13.2</c:v>
                </c:pt>
                <c:pt idx="13">
                  <c:v>12.9</c:v>
                </c:pt>
                <c:pt idx="14">
                  <c:v>13.4</c:v>
                </c:pt>
                <c:pt idx="15">
                  <c:v>13.2</c:v>
                </c:pt>
                <c:pt idx="16">
                  <c:v>11</c:v>
                </c:pt>
                <c:pt idx="17">
                  <c:v>11.6</c:v>
                </c:pt>
                <c:pt idx="18">
                  <c:v>11.9</c:v>
                </c:pt>
                <c:pt idx="19">
                  <c:v>11.2</c:v>
                </c:pt>
                <c:pt idx="20">
                  <c:v>11</c:v>
                </c:pt>
                <c:pt idx="21">
                  <c:v>11.1</c:v>
                </c:pt>
                <c:pt idx="22">
                  <c:v>11</c:v>
                </c:pt>
                <c:pt idx="23">
                  <c:v>11.3</c:v>
                </c:pt>
                <c:pt idx="24">
                  <c:v>10.7</c:v>
                </c:pt>
                <c:pt idx="25">
                  <c:v>11.2</c:v>
                </c:pt>
                <c:pt idx="26">
                  <c:v>11</c:v>
                </c:pt>
                <c:pt idx="27">
                  <c:v>10.8</c:v>
                </c:pt>
                <c:pt idx="28">
                  <c:v>10.4</c:v>
                </c:pt>
                <c:pt idx="29">
                  <c:v>10.199999999999999</c:v>
                </c:pt>
                <c:pt idx="30">
                  <c:v>9.6999999999999993</c:v>
                </c:pt>
                <c:pt idx="31">
                  <c:v>10</c:v>
                </c:pt>
                <c:pt idx="32">
                  <c:v>10.1</c:v>
                </c:pt>
                <c:pt idx="33">
                  <c:v>10.1</c:v>
                </c:pt>
                <c:pt idx="34">
                  <c:v>10.3</c:v>
                </c:pt>
                <c:pt idx="35">
                  <c:v>9.8000000000000007</c:v>
                </c:pt>
                <c:pt idx="36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75-EC47-901C-9890339360CF}"/>
            </c:ext>
          </c:extLst>
        </c:ser>
        <c:ser>
          <c:idx val="1"/>
          <c:order val="1"/>
          <c:tx>
            <c:strRef>
              <c:f>'FIGURE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'FIGURE 2'!$A$76:$A$112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2'!$E$76:$E$112</c:f>
              <c:numCache>
                <c:formatCode>0.0</c:formatCode>
                <c:ptCount val="37"/>
                <c:pt idx="0">
                  <c:v>14.8</c:v>
                </c:pt>
                <c:pt idx="1">
                  <c:v>16</c:v>
                </c:pt>
                <c:pt idx="2">
                  <c:v>18.399999999999999</c:v>
                </c:pt>
                <c:pt idx="3">
                  <c:v>19.3</c:v>
                </c:pt>
                <c:pt idx="4">
                  <c:v>17.399999999999999</c:v>
                </c:pt>
                <c:pt idx="5">
                  <c:v>18.3</c:v>
                </c:pt>
                <c:pt idx="6">
                  <c:v>16.899999999999999</c:v>
                </c:pt>
                <c:pt idx="7">
                  <c:v>15.9</c:v>
                </c:pt>
                <c:pt idx="8">
                  <c:v>17.3</c:v>
                </c:pt>
                <c:pt idx="9">
                  <c:v>17.100000000000001</c:v>
                </c:pt>
                <c:pt idx="10">
                  <c:v>17.7</c:v>
                </c:pt>
                <c:pt idx="11">
                  <c:v>20</c:v>
                </c:pt>
                <c:pt idx="12">
                  <c:v>19.600000000000001</c:v>
                </c:pt>
                <c:pt idx="13">
                  <c:v>18</c:v>
                </c:pt>
                <c:pt idx="14">
                  <c:v>19.5</c:v>
                </c:pt>
                <c:pt idx="15">
                  <c:v>19.3</c:v>
                </c:pt>
                <c:pt idx="16">
                  <c:v>15</c:v>
                </c:pt>
                <c:pt idx="17">
                  <c:v>16</c:v>
                </c:pt>
                <c:pt idx="18">
                  <c:v>15</c:v>
                </c:pt>
                <c:pt idx="19">
                  <c:v>14.9</c:v>
                </c:pt>
                <c:pt idx="20">
                  <c:v>15.5</c:v>
                </c:pt>
                <c:pt idx="21">
                  <c:v>15.4</c:v>
                </c:pt>
                <c:pt idx="22">
                  <c:v>15.2</c:v>
                </c:pt>
                <c:pt idx="23">
                  <c:v>15.6</c:v>
                </c:pt>
                <c:pt idx="24">
                  <c:v>14.8</c:v>
                </c:pt>
                <c:pt idx="25">
                  <c:v>15.4</c:v>
                </c:pt>
                <c:pt idx="26">
                  <c:v>14.6</c:v>
                </c:pt>
                <c:pt idx="27">
                  <c:v>15.8</c:v>
                </c:pt>
                <c:pt idx="28">
                  <c:v>14</c:v>
                </c:pt>
                <c:pt idx="29">
                  <c:v>15.2</c:v>
                </c:pt>
                <c:pt idx="30">
                  <c:v>13.4</c:v>
                </c:pt>
                <c:pt idx="31">
                  <c:v>13.8</c:v>
                </c:pt>
                <c:pt idx="32">
                  <c:v>14.2</c:v>
                </c:pt>
                <c:pt idx="33">
                  <c:v>14.3</c:v>
                </c:pt>
                <c:pt idx="34">
                  <c:v>14.9</c:v>
                </c:pt>
                <c:pt idx="35">
                  <c:v>15.3</c:v>
                </c:pt>
                <c:pt idx="36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75-EC47-901C-9890339360CF}"/>
            </c:ext>
          </c:extLst>
        </c:ser>
        <c:ser>
          <c:idx val="2"/>
          <c:order val="2"/>
          <c:tx>
            <c:strRef>
              <c:f>'FIGURE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'FIGURE 2'!$A$76:$A$112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2'!$G$76:$G$112</c:f>
              <c:numCache>
                <c:formatCode>0.0</c:formatCode>
                <c:ptCount val="37"/>
                <c:pt idx="0">
                  <c:v>18.5</c:v>
                </c:pt>
                <c:pt idx="1">
                  <c:v>20.399999999999999</c:v>
                </c:pt>
                <c:pt idx="2">
                  <c:v>23.5</c:v>
                </c:pt>
                <c:pt idx="3">
                  <c:v>24.4</c:v>
                </c:pt>
                <c:pt idx="4">
                  <c:v>22.7</c:v>
                </c:pt>
                <c:pt idx="5">
                  <c:v>22.5</c:v>
                </c:pt>
                <c:pt idx="6">
                  <c:v>21.5</c:v>
                </c:pt>
                <c:pt idx="7">
                  <c:v>21.2</c:v>
                </c:pt>
                <c:pt idx="8">
                  <c:v>21.8</c:v>
                </c:pt>
                <c:pt idx="9">
                  <c:v>23.1</c:v>
                </c:pt>
                <c:pt idx="10">
                  <c:v>23.8</c:v>
                </c:pt>
                <c:pt idx="11">
                  <c:v>22.8</c:v>
                </c:pt>
                <c:pt idx="12">
                  <c:v>22.3</c:v>
                </c:pt>
                <c:pt idx="13">
                  <c:v>20.9</c:v>
                </c:pt>
                <c:pt idx="14">
                  <c:v>21.5</c:v>
                </c:pt>
                <c:pt idx="15">
                  <c:v>21.7</c:v>
                </c:pt>
                <c:pt idx="16">
                  <c:v>19.100000000000001</c:v>
                </c:pt>
                <c:pt idx="17">
                  <c:v>19.3</c:v>
                </c:pt>
                <c:pt idx="18">
                  <c:v>18.899999999999999</c:v>
                </c:pt>
                <c:pt idx="19">
                  <c:v>18.3</c:v>
                </c:pt>
                <c:pt idx="20">
                  <c:v>18.5</c:v>
                </c:pt>
                <c:pt idx="21">
                  <c:v>18.2</c:v>
                </c:pt>
                <c:pt idx="22">
                  <c:v>18.600000000000001</c:v>
                </c:pt>
                <c:pt idx="23">
                  <c:v>18.8</c:v>
                </c:pt>
                <c:pt idx="24">
                  <c:v>18.100000000000001</c:v>
                </c:pt>
                <c:pt idx="25">
                  <c:v>18.5</c:v>
                </c:pt>
                <c:pt idx="26">
                  <c:v>18.3</c:v>
                </c:pt>
                <c:pt idx="27">
                  <c:v>17.600000000000001</c:v>
                </c:pt>
                <c:pt idx="28">
                  <c:v>17.2</c:v>
                </c:pt>
                <c:pt idx="29">
                  <c:v>18</c:v>
                </c:pt>
                <c:pt idx="30">
                  <c:v>16.399999999999999</c:v>
                </c:pt>
                <c:pt idx="31">
                  <c:v>16.600000000000001</c:v>
                </c:pt>
                <c:pt idx="32">
                  <c:v>16.5</c:v>
                </c:pt>
                <c:pt idx="33">
                  <c:v>16.899999999999999</c:v>
                </c:pt>
                <c:pt idx="34">
                  <c:v>17.2</c:v>
                </c:pt>
                <c:pt idx="35">
                  <c:v>16.8</c:v>
                </c:pt>
                <c:pt idx="36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C75-EC47-901C-9890339360CF}"/>
            </c:ext>
          </c:extLst>
        </c:ser>
        <c:ser>
          <c:idx val="3"/>
          <c:order val="3"/>
          <c:tx>
            <c:strRef>
              <c:f>'FIGURE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'FIGURE 2'!$A$76:$A$112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2'!$J$76:$J$112</c:f>
              <c:numCache>
                <c:formatCode>0.0</c:formatCode>
                <c:ptCount val="37"/>
                <c:pt idx="0">
                  <c:v>20.6</c:v>
                </c:pt>
                <c:pt idx="1">
                  <c:v>23.2</c:v>
                </c:pt>
                <c:pt idx="2">
                  <c:v>27.8</c:v>
                </c:pt>
                <c:pt idx="3">
                  <c:v>29.4</c:v>
                </c:pt>
                <c:pt idx="4">
                  <c:v>26.1</c:v>
                </c:pt>
                <c:pt idx="5">
                  <c:v>26.2</c:v>
                </c:pt>
                <c:pt idx="6">
                  <c:v>25.1</c:v>
                </c:pt>
                <c:pt idx="7">
                  <c:v>24.1</c:v>
                </c:pt>
                <c:pt idx="8">
                  <c:v>25.7</c:v>
                </c:pt>
                <c:pt idx="9">
                  <c:v>26.6</c:v>
                </c:pt>
                <c:pt idx="10">
                  <c:v>28.3</c:v>
                </c:pt>
                <c:pt idx="11">
                  <c:v>29.4</c:v>
                </c:pt>
                <c:pt idx="12">
                  <c:v>28.1</c:v>
                </c:pt>
                <c:pt idx="13">
                  <c:v>25.5</c:v>
                </c:pt>
                <c:pt idx="14">
                  <c:v>27</c:v>
                </c:pt>
                <c:pt idx="15">
                  <c:v>27.1</c:v>
                </c:pt>
                <c:pt idx="16">
                  <c:v>22.7</c:v>
                </c:pt>
                <c:pt idx="17">
                  <c:v>23.3</c:v>
                </c:pt>
                <c:pt idx="18">
                  <c:v>21.8</c:v>
                </c:pt>
                <c:pt idx="19">
                  <c:v>21.6</c:v>
                </c:pt>
                <c:pt idx="20">
                  <c:v>22.6</c:v>
                </c:pt>
                <c:pt idx="21">
                  <c:v>22.1</c:v>
                </c:pt>
                <c:pt idx="22">
                  <c:v>22.5</c:v>
                </c:pt>
                <c:pt idx="23">
                  <c:v>22.7</c:v>
                </c:pt>
                <c:pt idx="24">
                  <c:v>21.9</c:v>
                </c:pt>
                <c:pt idx="25">
                  <c:v>22.4</c:v>
                </c:pt>
                <c:pt idx="26">
                  <c:v>21.5</c:v>
                </c:pt>
                <c:pt idx="27">
                  <c:v>22.3</c:v>
                </c:pt>
                <c:pt idx="28">
                  <c:v>20.5</c:v>
                </c:pt>
                <c:pt idx="29">
                  <c:v>22.6</c:v>
                </c:pt>
                <c:pt idx="30">
                  <c:v>19.8</c:v>
                </c:pt>
                <c:pt idx="31">
                  <c:v>20.2</c:v>
                </c:pt>
                <c:pt idx="32">
                  <c:v>20.3</c:v>
                </c:pt>
                <c:pt idx="33">
                  <c:v>20.7</c:v>
                </c:pt>
                <c:pt idx="34">
                  <c:v>21.4</c:v>
                </c:pt>
                <c:pt idx="35">
                  <c:v>21.9</c:v>
                </c:pt>
                <c:pt idx="36">
                  <c:v>23.4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C75-EC47-901C-989033936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28906864"/>
        <c:axId val="956771632"/>
      </c:lineChart>
      <c:dateAx>
        <c:axId val="172890686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56771632"/>
        <c:crosses val="autoZero"/>
        <c:auto val="1"/>
        <c:lblOffset val="100"/>
        <c:baseTimeUnit val="months"/>
        <c:majorUnit val="3"/>
        <c:majorTimeUnit val="months"/>
      </c:dateAx>
      <c:valAx>
        <c:axId val="9567716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72890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'FIGURE 3'!$U$2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3'!$T$8:$T$44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3'!$U$8:$U$44</c:f>
              <c:numCache>
                <c:formatCode>0.0</c:formatCode>
                <c:ptCount val="37"/>
                <c:pt idx="0">
                  <c:v>14.343865090133749</c:v>
                </c:pt>
                <c:pt idx="1">
                  <c:v>14.825828377230247</c:v>
                </c:pt>
                <c:pt idx="2">
                  <c:v>14.05618100338835</c:v>
                </c:pt>
                <c:pt idx="3">
                  <c:v>14.258168184252812</c:v>
                </c:pt>
                <c:pt idx="4">
                  <c:v>15.533678756476684</c:v>
                </c:pt>
                <c:pt idx="5">
                  <c:v>15.792676742063088</c:v>
                </c:pt>
                <c:pt idx="6">
                  <c:v>14.745335350479072</c:v>
                </c:pt>
                <c:pt idx="7">
                  <c:v>14.470732204772588</c:v>
                </c:pt>
                <c:pt idx="8">
                  <c:v>14.904392764857882</c:v>
                </c:pt>
                <c:pt idx="9">
                  <c:v>14.609914243882033</c:v>
                </c:pt>
                <c:pt idx="10">
                  <c:v>13.844887883151616</c:v>
                </c:pt>
                <c:pt idx="11">
                  <c:v>14.351114649681529</c:v>
                </c:pt>
                <c:pt idx="12">
                  <c:v>15.347161359431299</c:v>
                </c:pt>
                <c:pt idx="13">
                  <c:v>16.166077738515902</c:v>
                </c:pt>
                <c:pt idx="14">
                  <c:v>15.636294464523493</c:v>
                </c:pt>
                <c:pt idx="15">
                  <c:v>15.389162561576356</c:v>
                </c:pt>
                <c:pt idx="16">
                  <c:v>14.14396887159533</c:v>
                </c:pt>
                <c:pt idx="17">
                  <c:v>14.341300722623679</c:v>
                </c:pt>
                <c:pt idx="18">
                  <c:v>14.890238206445586</c:v>
                </c:pt>
                <c:pt idx="19">
                  <c:v>14.305301645338208</c:v>
                </c:pt>
                <c:pt idx="20">
                  <c:v>13.731397790559663</c:v>
                </c:pt>
                <c:pt idx="21">
                  <c:v>14.501648955661414</c:v>
                </c:pt>
                <c:pt idx="22">
                  <c:v>13.422517507631532</c:v>
                </c:pt>
                <c:pt idx="23">
                  <c:v>13.509886373803345</c:v>
                </c:pt>
                <c:pt idx="24">
                  <c:v>13.605994944023115</c:v>
                </c:pt>
                <c:pt idx="25">
                  <c:v>14.205898516211759</c:v>
                </c:pt>
                <c:pt idx="26">
                  <c:v>14.465353499824129</c:v>
                </c:pt>
                <c:pt idx="27">
                  <c:v>13.731446923010154</c:v>
                </c:pt>
                <c:pt idx="28">
                  <c:v>13.766914011348755</c:v>
                </c:pt>
                <c:pt idx="29">
                  <c:v>13.248654846961278</c:v>
                </c:pt>
                <c:pt idx="30">
                  <c:v>12.478321193201527</c:v>
                </c:pt>
                <c:pt idx="31">
                  <c:v>12.639598303177213</c:v>
                </c:pt>
                <c:pt idx="32">
                  <c:v>13.13617606602476</c:v>
                </c:pt>
                <c:pt idx="33">
                  <c:v>12.845569197360728</c:v>
                </c:pt>
                <c:pt idx="34">
                  <c:v>14.236663596013734</c:v>
                </c:pt>
                <c:pt idx="35">
                  <c:v>13.538772417277089</c:v>
                </c:pt>
                <c:pt idx="36">
                  <c:v>12.619821622072186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2F-6C4A-85FC-50BAD79AD180}"/>
            </c:ext>
          </c:extLst>
        </c:ser>
        <c:ser>
          <c:idx val="1"/>
          <c:order val="1"/>
          <c:tx>
            <c:strRef>
              <c:f>'FIGURE 3'!$V$2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'FIGURE 3'!$T$8:$T$44</c:f>
              <c:numCache>
                <c:formatCode>[$-409]mmm\-yy;@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3'!$V$8:$V$44</c:f>
              <c:numCache>
                <c:formatCode>0.0</c:formatCode>
                <c:ptCount val="37"/>
                <c:pt idx="0">
                  <c:v>11.6634268258817</c:v>
                </c:pt>
                <c:pt idx="1">
                  <c:v>12.148233376480176</c:v>
                </c:pt>
                <c:pt idx="2">
                  <c:v>13.265151896820997</c:v>
                </c:pt>
                <c:pt idx="3">
                  <c:v>13.27315773897603</c:v>
                </c:pt>
                <c:pt idx="4">
                  <c:v>12.828350367752412</c:v>
                </c:pt>
                <c:pt idx="5">
                  <c:v>13.500922061535475</c:v>
                </c:pt>
                <c:pt idx="6">
                  <c:v>12.089686950738681</c:v>
                </c:pt>
                <c:pt idx="7">
                  <c:v>11.732368557064325</c:v>
                </c:pt>
                <c:pt idx="8">
                  <c:v>12.162478356497729</c:v>
                </c:pt>
                <c:pt idx="9">
                  <c:v>12.335006506785648</c:v>
                </c:pt>
                <c:pt idx="10">
                  <c:v>12.015958695141986</c:v>
                </c:pt>
                <c:pt idx="11">
                  <c:v>11.707158753709198</c:v>
                </c:pt>
                <c:pt idx="12">
                  <c:v>12.213069233617178</c:v>
                </c:pt>
                <c:pt idx="13">
                  <c:v>11.413771545949809</c:v>
                </c:pt>
                <c:pt idx="14">
                  <c:v>12.38658420981357</c:v>
                </c:pt>
                <c:pt idx="15">
                  <c:v>12.226541312601698</c:v>
                </c:pt>
                <c:pt idx="16">
                  <c:v>9.5623172514619874</c:v>
                </c:pt>
                <c:pt idx="17">
                  <c:v>10.239471511147812</c:v>
                </c:pt>
                <c:pt idx="18">
                  <c:v>10.4587816847508</c:v>
                </c:pt>
                <c:pt idx="19">
                  <c:v>9.7349483752737687</c:v>
                </c:pt>
                <c:pt idx="20">
                  <c:v>9.6311567247792773</c:v>
                </c:pt>
                <c:pt idx="21">
                  <c:v>9.5138269402319349</c:v>
                </c:pt>
                <c:pt idx="22">
                  <c:v>9.8105039975263928</c:v>
                </c:pt>
                <c:pt idx="23">
                  <c:v>10.18686221672483</c:v>
                </c:pt>
                <c:pt idx="24">
                  <c:v>9.2794516889937242</c:v>
                </c:pt>
                <c:pt idx="25">
                  <c:v>9.7295644195901954</c:v>
                </c:pt>
                <c:pt idx="26">
                  <c:v>9.3058900810159848</c:v>
                </c:pt>
                <c:pt idx="27">
                  <c:v>9.3003079859454303</c:v>
                </c:pt>
                <c:pt idx="28">
                  <c:v>8.647605683213472</c:v>
                </c:pt>
                <c:pt idx="29">
                  <c:v>8.648027913961398</c:v>
                </c:pt>
                <c:pt idx="30">
                  <c:v>8.3285995193358087</c:v>
                </c:pt>
                <c:pt idx="31">
                  <c:v>8.6461243016759788</c:v>
                </c:pt>
                <c:pt idx="32">
                  <c:v>8.5312186832817751</c:v>
                </c:pt>
                <c:pt idx="33">
                  <c:v>8.7144276028846566</c:v>
                </c:pt>
                <c:pt idx="34">
                  <c:v>8.2620343963356664</c:v>
                </c:pt>
                <c:pt idx="35">
                  <c:v>7.8698756038131066</c:v>
                </c:pt>
                <c:pt idx="36">
                  <c:v>8.7083297066759506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2F-6C4A-85FC-50BAD79AD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2715600"/>
        <c:axId val="1"/>
      </c:lineChart>
      <c:dateAx>
        <c:axId val="19327156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0"/>
        <c:lblOffset val="100"/>
        <c:baseTimeUnit val="months"/>
        <c:minorUnit val="2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32715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'FIGURE 4'!$D$3</c:f>
              <c:strCache>
                <c:ptCount val="1"/>
                <c:pt idx="0">
                  <c:v>Male Employment Rate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4'!$B$77:$B$113</c:f>
              <c:numCache>
                <c:formatCode>[$-409]mmmm\-yy;@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4'!$D$77:$D$113</c:f>
              <c:numCache>
                <c:formatCode>0.0</c:formatCode>
                <c:ptCount val="37"/>
                <c:pt idx="0">
                  <c:v>62.2</c:v>
                </c:pt>
                <c:pt idx="1">
                  <c:v>59.6</c:v>
                </c:pt>
                <c:pt idx="2">
                  <c:v>55.9</c:v>
                </c:pt>
                <c:pt idx="3">
                  <c:v>57</c:v>
                </c:pt>
                <c:pt idx="4">
                  <c:v>59</c:v>
                </c:pt>
                <c:pt idx="5">
                  <c:v>57.5</c:v>
                </c:pt>
                <c:pt idx="6">
                  <c:v>59.6</c:v>
                </c:pt>
                <c:pt idx="7">
                  <c:v>60.4</c:v>
                </c:pt>
                <c:pt idx="8">
                  <c:v>60.2</c:v>
                </c:pt>
                <c:pt idx="9">
                  <c:v>60.4</c:v>
                </c:pt>
                <c:pt idx="10">
                  <c:v>59.9</c:v>
                </c:pt>
                <c:pt idx="11">
                  <c:v>60.8</c:v>
                </c:pt>
                <c:pt idx="12">
                  <c:v>60.5</c:v>
                </c:pt>
                <c:pt idx="13">
                  <c:v>63.2</c:v>
                </c:pt>
                <c:pt idx="14">
                  <c:v>61.7</c:v>
                </c:pt>
                <c:pt idx="15">
                  <c:v>61.7</c:v>
                </c:pt>
                <c:pt idx="16">
                  <c:v>62.8</c:v>
                </c:pt>
                <c:pt idx="17">
                  <c:v>62</c:v>
                </c:pt>
                <c:pt idx="18">
                  <c:v>63</c:v>
                </c:pt>
                <c:pt idx="19">
                  <c:v>63.8</c:v>
                </c:pt>
                <c:pt idx="20">
                  <c:v>63.7</c:v>
                </c:pt>
                <c:pt idx="21">
                  <c:v>64</c:v>
                </c:pt>
                <c:pt idx="22">
                  <c:v>64.3</c:v>
                </c:pt>
                <c:pt idx="23">
                  <c:v>64</c:v>
                </c:pt>
                <c:pt idx="24">
                  <c:v>64</c:v>
                </c:pt>
                <c:pt idx="25">
                  <c:v>64.8</c:v>
                </c:pt>
                <c:pt idx="26">
                  <c:v>64.900000000000006</c:v>
                </c:pt>
                <c:pt idx="27">
                  <c:v>65.5</c:v>
                </c:pt>
                <c:pt idx="28">
                  <c:v>65.099999999999994</c:v>
                </c:pt>
                <c:pt idx="29">
                  <c:v>64.599999999999994</c:v>
                </c:pt>
                <c:pt idx="30">
                  <c:v>65.400000000000006</c:v>
                </c:pt>
                <c:pt idx="31">
                  <c:v>65.2</c:v>
                </c:pt>
                <c:pt idx="32">
                  <c:v>65.3</c:v>
                </c:pt>
                <c:pt idx="33">
                  <c:v>65.7</c:v>
                </c:pt>
                <c:pt idx="34">
                  <c:v>65.900000000000006</c:v>
                </c:pt>
                <c:pt idx="35">
                  <c:v>66.8</c:v>
                </c:pt>
                <c:pt idx="36">
                  <c:v>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9D-3042-BB94-CE375EA9540B}"/>
            </c:ext>
          </c:extLst>
        </c:ser>
        <c:ser>
          <c:idx val="1"/>
          <c:order val="1"/>
          <c:tx>
            <c:strRef>
              <c:f>'FIGURE 4'!$F$3</c:f>
              <c:strCache>
                <c:ptCount val="1"/>
                <c:pt idx="0">
                  <c:v>Female Employment Rate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'FIGURE 4'!$B$77:$B$113</c:f>
              <c:numCache>
                <c:formatCode>[$-409]mmmm\-yy;@</c:formatCode>
                <c:ptCount val="37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  <c:pt idx="13">
                  <c:v>44256</c:v>
                </c:pt>
                <c:pt idx="14">
                  <c:v>44287</c:v>
                </c:pt>
                <c:pt idx="15">
                  <c:v>44317</c:v>
                </c:pt>
                <c:pt idx="16">
                  <c:v>44348</c:v>
                </c:pt>
                <c:pt idx="17">
                  <c:v>44378</c:v>
                </c:pt>
                <c:pt idx="18">
                  <c:v>44409</c:v>
                </c:pt>
                <c:pt idx="19">
                  <c:v>44440</c:v>
                </c:pt>
                <c:pt idx="20">
                  <c:v>44470</c:v>
                </c:pt>
                <c:pt idx="21">
                  <c:v>44501</c:v>
                </c:pt>
                <c:pt idx="22">
                  <c:v>44531</c:v>
                </c:pt>
                <c:pt idx="23">
                  <c:v>44562</c:v>
                </c:pt>
                <c:pt idx="24">
                  <c:v>44593</c:v>
                </c:pt>
                <c:pt idx="25">
                  <c:v>44621</c:v>
                </c:pt>
                <c:pt idx="26">
                  <c:v>44652</c:v>
                </c:pt>
                <c:pt idx="27">
                  <c:v>44682</c:v>
                </c:pt>
                <c:pt idx="28">
                  <c:v>44713</c:v>
                </c:pt>
                <c:pt idx="29">
                  <c:v>44743</c:v>
                </c:pt>
                <c:pt idx="30">
                  <c:v>44774</c:v>
                </c:pt>
                <c:pt idx="31">
                  <c:v>44805</c:v>
                </c:pt>
                <c:pt idx="32">
                  <c:v>44835</c:v>
                </c:pt>
                <c:pt idx="33">
                  <c:v>44866</c:v>
                </c:pt>
                <c:pt idx="34">
                  <c:v>44896</c:v>
                </c:pt>
                <c:pt idx="35">
                  <c:v>44927</c:v>
                </c:pt>
                <c:pt idx="36">
                  <c:v>44958</c:v>
                </c:pt>
              </c:numCache>
            </c:numRef>
          </c:cat>
          <c:val>
            <c:numRef>
              <c:f>'FIGURE 4'!$F$77:$F$113</c:f>
              <c:numCache>
                <c:formatCode>0.0</c:formatCode>
                <c:ptCount val="37"/>
                <c:pt idx="0">
                  <c:v>28.1</c:v>
                </c:pt>
                <c:pt idx="1">
                  <c:v>25.5</c:v>
                </c:pt>
                <c:pt idx="2">
                  <c:v>25</c:v>
                </c:pt>
                <c:pt idx="3">
                  <c:v>25.4</c:v>
                </c:pt>
                <c:pt idx="4">
                  <c:v>25.8</c:v>
                </c:pt>
                <c:pt idx="5">
                  <c:v>26.2</c:v>
                </c:pt>
                <c:pt idx="6">
                  <c:v>26.7</c:v>
                </c:pt>
                <c:pt idx="7">
                  <c:v>26.4</c:v>
                </c:pt>
                <c:pt idx="8">
                  <c:v>25.9</c:v>
                </c:pt>
                <c:pt idx="9">
                  <c:v>25.7</c:v>
                </c:pt>
                <c:pt idx="10">
                  <c:v>26.3</c:v>
                </c:pt>
                <c:pt idx="11">
                  <c:v>27</c:v>
                </c:pt>
                <c:pt idx="12">
                  <c:v>27.2</c:v>
                </c:pt>
                <c:pt idx="13">
                  <c:v>26.7</c:v>
                </c:pt>
                <c:pt idx="14">
                  <c:v>27.7</c:v>
                </c:pt>
                <c:pt idx="15">
                  <c:v>26.8</c:v>
                </c:pt>
                <c:pt idx="16">
                  <c:v>27.5</c:v>
                </c:pt>
                <c:pt idx="17">
                  <c:v>28.7</c:v>
                </c:pt>
                <c:pt idx="18">
                  <c:v>28.3</c:v>
                </c:pt>
                <c:pt idx="19">
                  <c:v>29</c:v>
                </c:pt>
                <c:pt idx="20">
                  <c:v>29.2</c:v>
                </c:pt>
                <c:pt idx="21">
                  <c:v>28.8</c:v>
                </c:pt>
                <c:pt idx="22">
                  <c:v>29.7</c:v>
                </c:pt>
                <c:pt idx="23">
                  <c:v>29.8</c:v>
                </c:pt>
                <c:pt idx="24">
                  <c:v>29.4</c:v>
                </c:pt>
                <c:pt idx="25">
                  <c:v>28.8</c:v>
                </c:pt>
                <c:pt idx="26">
                  <c:v>29.9</c:v>
                </c:pt>
                <c:pt idx="27">
                  <c:v>30.5</c:v>
                </c:pt>
                <c:pt idx="28">
                  <c:v>30.2</c:v>
                </c:pt>
                <c:pt idx="29">
                  <c:v>30.1</c:v>
                </c:pt>
                <c:pt idx="30">
                  <c:v>30.8</c:v>
                </c:pt>
                <c:pt idx="31">
                  <c:v>30.8</c:v>
                </c:pt>
                <c:pt idx="32">
                  <c:v>30.8</c:v>
                </c:pt>
                <c:pt idx="33">
                  <c:v>31.8</c:v>
                </c:pt>
                <c:pt idx="34">
                  <c:v>31.1</c:v>
                </c:pt>
                <c:pt idx="35">
                  <c:v>31.2</c:v>
                </c:pt>
                <c:pt idx="36">
                  <c:v>31.8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9D-3042-BB94-CE375EA95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09]m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0.88885</cdr:x>
      <cdr:y>0.91758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492924" y="2393576"/>
          <a:ext cx="686895" cy="2093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0.92778</cdr:y>
    </cdr:from>
    <cdr:to>
      <cdr:x>1</cdr:x>
      <cdr:y>0.99951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40792" y="3157200"/>
          <a:ext cx="500808" cy="252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897B-B77A-4C32-A6B7-15DCB79C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2615</Words>
  <Characters>12919</Characters>
  <Application>Microsoft Office Word</Application>
  <DocSecurity>0</DocSecurity>
  <Lines>1614</Lines>
  <Paragraphs>1553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gokce.kolasin</dc:creator>
  <cp:keywords/>
  <dc:description/>
  <cp:lastModifiedBy>Mehmet Cem SAHIN</cp:lastModifiedBy>
  <cp:revision>135</cp:revision>
  <cp:lastPrinted>2022-03-14T14:09:00Z</cp:lastPrinted>
  <dcterms:created xsi:type="dcterms:W3CDTF">2023-06-23T07:54:00Z</dcterms:created>
  <dcterms:modified xsi:type="dcterms:W3CDTF">2023-06-23T17:18:00Z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ec461c2d10f8e2118b1ae582bfce1136fc64946ac449542c77a627e9e212530c</vt:lpwstr>
  </property>
</Properties>
</file>