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EB29" w14:textId="121FAB7D" w:rsidR="007A0F8D" w:rsidRDefault="007A0F8D" w:rsidP="000F42CB">
      <w:pPr>
        <w:rPr>
          <w:b/>
          <w:bCs/>
          <w:color w:val="000000" w:themeColor="text1"/>
          <w:sz w:val="28"/>
          <w:szCs w:val="28"/>
        </w:rPr>
      </w:pPr>
      <w:r w:rsidRPr="0098640C">
        <w:rPr>
          <w:b/>
          <w:noProof/>
          <w:sz w:val="28"/>
          <w:szCs w:val="28"/>
          <w:lang w:eastAsia="tr-TR"/>
        </w:rPr>
        <mc:AlternateContent>
          <mc:Choice Requires="wps">
            <w:drawing>
              <wp:anchor distT="0" distB="0" distL="114300" distR="114300" simplePos="0" relativeHeight="251663360" behindDoc="0" locked="0" layoutInCell="1" allowOverlap="1" wp14:anchorId="64029A52" wp14:editId="7C408155">
                <wp:simplePos x="0" y="0"/>
                <wp:positionH relativeFrom="column">
                  <wp:posOffset>4824730</wp:posOffset>
                </wp:positionH>
                <wp:positionV relativeFrom="paragraph">
                  <wp:posOffset>214630</wp:posOffset>
                </wp:positionV>
                <wp:extent cx="1654810" cy="375255"/>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54810" cy="375255"/>
                        </a:xfrm>
                        <a:prstGeom prst="rect">
                          <a:avLst/>
                        </a:prstGeom>
                        <a:solidFill>
                          <a:srgbClr val="FFFFFF">
                            <a:alpha val="0"/>
                          </a:srgbClr>
                        </a:solidFill>
                        <a:ln>
                          <a:noFill/>
                        </a:ln>
                      </wps:spPr>
                      <wps:txbx>
                        <w:txbxContent>
                          <w:p w14:paraId="3465A8FE" w14:textId="51AE9B5B" w:rsidR="007A0F8D" w:rsidRPr="009B5F02" w:rsidRDefault="007A0F8D" w:rsidP="007A0F8D">
                            <w:pPr>
                              <w:jc w:val="center"/>
                              <w:rPr>
                                <w:b/>
                                <w:bCs/>
                                <w:color w:val="FFFFFF" w:themeColor="background1"/>
                                <w:sz w:val="21"/>
                                <w:szCs w:val="21"/>
                              </w:rPr>
                            </w:pPr>
                            <w:r>
                              <w:rPr>
                                <w:b/>
                                <w:bCs/>
                                <w:color w:val="FFFFFF" w:themeColor="background1"/>
                                <w:sz w:val="21"/>
                                <w:szCs w:val="21"/>
                              </w:rPr>
                              <w:t>5</w:t>
                            </w:r>
                            <w:r>
                              <w:rPr>
                                <w:b/>
                                <w:bCs/>
                                <w:color w:val="FFFFFF" w:themeColor="background1"/>
                                <w:sz w:val="21"/>
                                <w:szCs w:val="21"/>
                              </w:rPr>
                              <w:t xml:space="preserve"> </w:t>
                            </w:r>
                            <w:r>
                              <w:rPr>
                                <w:b/>
                                <w:bCs/>
                                <w:color w:val="FFFFFF" w:themeColor="background1"/>
                                <w:sz w:val="21"/>
                                <w:szCs w:val="21"/>
                              </w:rPr>
                              <w:t xml:space="preserve">Temmuz </w:t>
                            </w:r>
                            <w:r>
                              <w:rPr>
                                <w:b/>
                                <w:bCs/>
                                <w:color w:val="FFFFFF" w:themeColor="background1"/>
                                <w:sz w:val="21"/>
                                <w:szCs w:val="21"/>
                              </w:rPr>
                              <w:t>2023</w:t>
                            </w:r>
                          </w:p>
                        </w:txbxContent>
                      </wps:txbx>
                      <wps:bodyPr rot="0" vert="horz" wrap="square" lIns="251999" tIns="108000" rIns="251999" bIns="108000" anchor="t" anchorCtr="0" upright="1">
                        <a:noAutofit/>
                      </wps:bodyPr>
                    </wps:wsp>
                  </a:graphicData>
                </a:graphic>
                <wp14:sizeRelH relativeFrom="margin">
                  <wp14:pctWidth>0</wp14:pctWidth>
                </wp14:sizeRelH>
              </wp:anchor>
            </w:drawing>
          </mc:Choice>
          <mc:Fallback>
            <w:pict>
              <v:shapetype w14:anchorId="64029A52" id="_x0000_t202" coordsize="21600,21600" o:spt="202" path="m,l,21600r21600,l21600,xe">
                <v:stroke joinstyle="miter"/>
                <v:path gradientshapeok="t" o:connecttype="rect"/>
              </v:shapetype>
              <v:shape id="Metin Kutusu 7" o:spid="_x0000_s1026" type="#_x0000_t202" style="position:absolute;margin-left:379.9pt;margin-top:16.9pt;width:130.3pt;height:29.5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" stroked="f">
                <v:fill opacity="0"/>
                <v:textbox inset="6.99997mm,3mm,6.99997mm,3mm">
                  <w:txbxContent>
                    <w:p w14:paraId="3465A8FE" w14:textId="51AE9B5B" w:rsidR="007A0F8D" w:rsidRPr="009B5F02" w:rsidRDefault="007A0F8D" w:rsidP="007A0F8D">
                      <w:pPr>
                        <w:jc w:val="center"/>
                        <w:rPr>
                          <w:b/>
                          <w:bCs/>
                          <w:color w:val="FFFFFF" w:themeColor="background1"/>
                          <w:sz w:val="21"/>
                          <w:szCs w:val="21"/>
                        </w:rPr>
                      </w:pPr>
                      <w:r>
                        <w:rPr>
                          <w:b/>
                          <w:bCs/>
                          <w:color w:val="FFFFFF" w:themeColor="background1"/>
                          <w:sz w:val="21"/>
                          <w:szCs w:val="21"/>
                        </w:rPr>
                        <w:t>5</w:t>
                      </w:r>
                      <w:r>
                        <w:rPr>
                          <w:b/>
                          <w:bCs/>
                          <w:color w:val="FFFFFF" w:themeColor="background1"/>
                          <w:sz w:val="21"/>
                          <w:szCs w:val="21"/>
                        </w:rPr>
                        <w:t xml:space="preserve"> </w:t>
                      </w:r>
                      <w:r>
                        <w:rPr>
                          <w:b/>
                          <w:bCs/>
                          <w:color w:val="FFFFFF" w:themeColor="background1"/>
                          <w:sz w:val="21"/>
                          <w:szCs w:val="21"/>
                        </w:rPr>
                        <w:t xml:space="preserve">Temmuz </w:t>
                      </w:r>
                      <w:r>
                        <w:rPr>
                          <w:b/>
                          <w:bCs/>
                          <w:color w:val="FFFFFF" w:themeColor="background1"/>
                          <w:sz w:val="21"/>
                          <w:szCs w:val="21"/>
                        </w:rPr>
                        <w:t>2023</w:t>
                      </w:r>
                    </w:p>
                  </w:txbxContent>
                </v:textbox>
              </v:shape>
            </w:pict>
          </mc:Fallback>
        </mc:AlternateContent>
      </w:r>
      <w:r w:rsidRPr="00956CC4">
        <w:rPr>
          <w:rFonts w:ascii="Times New Roman" w:hAnsi="Times New Roman" w:cs="Times New Roman"/>
          <w:b/>
          <w:noProof/>
          <w:sz w:val="28"/>
          <w:lang w:eastAsia="tr-TR"/>
        </w:rPr>
        <mc:AlternateContent>
          <mc:Choice Requires="wps">
            <w:drawing>
              <wp:anchor distT="0" distB="0" distL="114300" distR="114300" simplePos="0" relativeHeight="251661312" behindDoc="0" locked="0" layoutInCell="1" allowOverlap="1" wp14:anchorId="2EF06B38" wp14:editId="2B0F71E5">
                <wp:simplePos x="0" y="0"/>
                <wp:positionH relativeFrom="column">
                  <wp:posOffset>1833880</wp:posOffset>
                </wp:positionH>
                <wp:positionV relativeFrom="paragraph">
                  <wp:posOffset>-499745</wp:posOffset>
                </wp:positionV>
                <wp:extent cx="3757103" cy="733525"/>
                <wp:effectExtent l="0" t="0" r="0" b="0"/>
                <wp:wrapNone/>
                <wp:docPr id="4" name="Metin Kutusu 6"/>
                <wp:cNvGraphicFramePr/>
                <a:graphic xmlns:a="http://schemas.openxmlformats.org/drawingml/2006/main">
                  <a:graphicData uri="http://schemas.microsoft.com/office/word/2010/wordprocessingShape">
                    <wps:wsp>
                      <wps:cNvSpPr txBox="1"/>
                      <wps:spPr>
                        <a:xfrm>
                          <a:off x="0" y="0"/>
                          <a:ext cx="3757103" cy="733525"/>
                        </a:xfrm>
                        <a:prstGeom prst="rect">
                          <a:avLst/>
                        </a:prstGeom>
                        <a:noFill/>
                        <a:ln w="6350">
                          <a:noFill/>
                        </a:ln>
                      </wps:spPr>
                      <wps:txbx>
                        <w:txbxContent>
                          <w:p w14:paraId="5F1448F4" w14:textId="5E9D2043" w:rsidR="007A0F8D" w:rsidRPr="006C1C92" w:rsidRDefault="007A0F8D" w:rsidP="007A0F8D">
                            <w:pPr>
                              <w:jc w:val="center"/>
                              <w:rPr>
                                <w:b/>
                                <w:bCs/>
                                <w:sz w:val="52"/>
                                <w:szCs w:val="52"/>
                              </w:rPr>
                            </w:pPr>
                            <w:r>
                              <w:rPr>
                                <w:b/>
                                <w:bCs/>
                                <w:sz w:val="52"/>
                                <w:szCs w:val="52"/>
                              </w:rPr>
                              <w:t>Araştırma Notu 23</w:t>
                            </w:r>
                            <w:r w:rsidRPr="006C1C92">
                              <w:rPr>
                                <w:b/>
                                <w:bCs/>
                                <w:sz w:val="52"/>
                                <w:szCs w:val="52"/>
                              </w:rPr>
                              <w:t>/2</w:t>
                            </w:r>
                            <w:r>
                              <w:rPr>
                                <w:b/>
                                <w:bCs/>
                                <w:sz w:val="52"/>
                                <w:szCs w:val="52"/>
                              </w:rPr>
                              <w:t>7</w:t>
                            </w:r>
                            <w:r w:rsidR="003B04C8">
                              <w:rPr>
                                <w:b/>
                                <w:bCs/>
                                <w:sz w:val="52"/>
                                <w:szCs w:val="52"/>
                              </w:rPr>
                              <w:t>4</w:t>
                            </w:r>
                          </w:p>
                        </w:txbxContent>
                      </wps:txbx>
                      <wps:bodyPr rot="0" spcFirstLastPara="0" vertOverflow="overflow" horzOverflow="overflow" vert="horz" wrap="none" lIns="251999" tIns="108000" rIns="251999" bIns="108000" numCol="1" spcCol="0" rtlCol="0" fromWordArt="0" anchor="ctr" anchorCtr="0" forceAA="0" upright="1" compatLnSpc="1">
                        <a:prstTxWarp prst="textNoShape">
                          <a:avLst/>
                        </a:prstTxWarp>
                        <a:spAutoFit/>
                      </wps:bodyPr>
                    </wps:wsp>
                  </a:graphicData>
                </a:graphic>
              </wp:anchor>
            </w:drawing>
          </mc:Choice>
          <mc:Fallback>
            <w:pict>
              <v:shape w14:anchorId="2EF06B38" id="Metin Kutusu 6" o:spid="_x0000_s1027" type="#_x0000_t202" style="position:absolute;margin-left:144.4pt;margin-top:-39.35pt;width:295.85pt;height:57.7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" filled="f" stroked="f" strokeweight=".5pt">
                <v:textbox style="mso-fit-shape-to-text:t" inset="6.99997mm,3mm,6.99997mm,3mm">
                  <w:txbxContent>
                    <w:p w14:paraId="5F1448F4" w14:textId="5E9D2043" w:rsidR="007A0F8D" w:rsidRPr="006C1C92" w:rsidRDefault="007A0F8D" w:rsidP="007A0F8D">
                      <w:pPr>
                        <w:jc w:val="center"/>
                        <w:rPr>
                          <w:b/>
                          <w:bCs/>
                          <w:sz w:val="52"/>
                          <w:szCs w:val="52"/>
                        </w:rPr>
                      </w:pPr>
                      <w:r>
                        <w:rPr>
                          <w:b/>
                          <w:bCs/>
                          <w:sz w:val="52"/>
                          <w:szCs w:val="52"/>
                        </w:rPr>
                        <w:t>Araştırma Notu 23</w:t>
                      </w:r>
                      <w:r w:rsidRPr="006C1C92">
                        <w:rPr>
                          <w:b/>
                          <w:bCs/>
                          <w:sz w:val="52"/>
                          <w:szCs w:val="52"/>
                        </w:rPr>
                        <w:t>/2</w:t>
                      </w:r>
                      <w:r>
                        <w:rPr>
                          <w:b/>
                          <w:bCs/>
                          <w:sz w:val="52"/>
                          <w:szCs w:val="52"/>
                        </w:rPr>
                        <w:t>7</w:t>
                      </w:r>
                      <w:r w:rsidR="003B04C8">
                        <w:rPr>
                          <w:b/>
                          <w:bCs/>
                          <w:sz w:val="52"/>
                          <w:szCs w:val="52"/>
                        </w:rPr>
                        <w:t>4</w:t>
                      </w:r>
                    </w:p>
                  </w:txbxContent>
                </v:textbox>
              </v:shape>
            </w:pict>
          </mc:Fallback>
        </mc:AlternateContent>
      </w:r>
      <w:r w:rsidRPr="00956CC4">
        <w:rPr>
          <w:rFonts w:ascii="Times New Roman" w:hAnsi="Times New Roman" w:cs="Times New Roman"/>
          <w:b/>
          <w:noProof/>
          <w:sz w:val="28"/>
          <w:lang w:eastAsia="tr-TR"/>
        </w:rPr>
        <w:drawing>
          <wp:anchor distT="0" distB="0" distL="114300" distR="114300" simplePos="0" relativeHeight="251659264" behindDoc="0" locked="0" layoutInCell="1" allowOverlap="1" wp14:anchorId="1546DB10" wp14:editId="587E276A">
            <wp:simplePos x="0" y="0"/>
            <wp:positionH relativeFrom="page">
              <wp:align>right</wp:align>
            </wp:positionH>
            <wp:positionV relativeFrom="paragraph">
              <wp:posOffset>-762000</wp:posOffset>
            </wp:positionV>
            <wp:extent cx="7306310" cy="1323975"/>
            <wp:effectExtent l="0" t="0" r="8890" b="9525"/>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anner(TUR).jpg"/>
                    <pic:cNvPicPr>
                      <a:picLocks noChangeAspect="1"/>
                    </pic:cNvPicPr>
                  </pic:nvPicPr>
                  <pic:blipFill>
                    <a:blip r:embed="rId7" cstate="print"/>
                    <a:srcRect/>
                    <a:stretch>
                      <a:fillRect/>
                    </a:stretch>
                  </pic:blipFill>
                  <pic:spPr bwMode="auto">
                    <a:xfrm>
                      <a:off x="0" y="0"/>
                      <a:ext cx="7306310" cy="132397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5949275B" w14:textId="77777777" w:rsidR="007A0F8D" w:rsidRDefault="007A0F8D" w:rsidP="000F42CB">
      <w:pPr>
        <w:rPr>
          <w:b/>
          <w:bCs/>
          <w:color w:val="000000" w:themeColor="text1"/>
          <w:sz w:val="28"/>
          <w:szCs w:val="28"/>
        </w:rPr>
      </w:pPr>
    </w:p>
    <w:p w14:paraId="1939FFAB" w14:textId="77777777" w:rsidR="007A0F8D" w:rsidRDefault="007A0F8D" w:rsidP="000F42CB">
      <w:pPr>
        <w:rPr>
          <w:b/>
          <w:bCs/>
          <w:color w:val="000000" w:themeColor="text1"/>
          <w:sz w:val="28"/>
          <w:szCs w:val="28"/>
        </w:rPr>
      </w:pPr>
    </w:p>
    <w:p w14:paraId="0CB678AC" w14:textId="6111F313" w:rsidR="000F42CB" w:rsidRPr="0074484A" w:rsidRDefault="00D33FB8" w:rsidP="00A47CE6">
      <w:pPr>
        <w:jc w:val="center"/>
        <w:rPr>
          <w:b/>
          <w:bCs/>
          <w:color w:val="000000" w:themeColor="text1"/>
          <w:sz w:val="28"/>
          <w:szCs w:val="28"/>
        </w:rPr>
      </w:pPr>
      <w:r w:rsidRPr="0074484A">
        <w:rPr>
          <w:b/>
          <w:bCs/>
          <w:color w:val="000000" w:themeColor="text1"/>
          <w:sz w:val="28"/>
          <w:szCs w:val="28"/>
        </w:rPr>
        <w:t xml:space="preserve">Türkiye’de </w:t>
      </w:r>
      <w:r w:rsidR="00924E0D" w:rsidRPr="0074484A">
        <w:rPr>
          <w:b/>
          <w:bCs/>
          <w:color w:val="000000" w:themeColor="text1"/>
          <w:sz w:val="28"/>
          <w:szCs w:val="28"/>
        </w:rPr>
        <w:t>Gelir Dağılımı ve Zenginlik</w:t>
      </w:r>
    </w:p>
    <w:p w14:paraId="0119165C" w14:textId="418617C3" w:rsidR="00A47CE6" w:rsidRDefault="00A47CE6" w:rsidP="00A47CE6">
      <w:pPr>
        <w:jc w:val="center"/>
        <w:rPr>
          <w:b/>
          <w:bCs/>
          <w:color w:val="000000" w:themeColor="text1"/>
          <w:sz w:val="24"/>
          <w:szCs w:val="24"/>
        </w:rPr>
      </w:pPr>
      <w:r>
        <w:rPr>
          <w:b/>
          <w:bCs/>
          <w:color w:val="000000" w:themeColor="text1"/>
          <w:sz w:val="24"/>
          <w:szCs w:val="24"/>
        </w:rPr>
        <w:t>Alpay Filiztekin</w:t>
      </w:r>
      <w:r>
        <w:rPr>
          <w:rStyle w:val="FootnoteReference"/>
          <w:rFonts w:ascii="Times New Roman" w:hAnsi="Times New Roman" w:cs="Times New Roman"/>
          <w:b/>
          <w:sz w:val="24"/>
        </w:rPr>
        <w:footnoteReference w:id="1"/>
      </w:r>
      <w:r>
        <w:rPr>
          <w:b/>
          <w:bCs/>
          <w:color w:val="000000" w:themeColor="text1"/>
          <w:sz w:val="24"/>
          <w:szCs w:val="24"/>
        </w:rPr>
        <w:t xml:space="preserve"> ve Oya Kent</w:t>
      </w:r>
      <w:r>
        <w:rPr>
          <w:rStyle w:val="FootnoteReference"/>
          <w:rFonts w:ascii="Times New Roman" w:hAnsi="Times New Roman" w:cs="Times New Roman"/>
          <w:b/>
          <w:sz w:val="24"/>
        </w:rPr>
        <w:footnoteReference w:id="2"/>
      </w:r>
    </w:p>
    <w:p w14:paraId="504A600B" w14:textId="5053556B" w:rsidR="008A1081" w:rsidRDefault="008A1081" w:rsidP="00A47CE6">
      <w:pPr>
        <w:jc w:val="center"/>
        <w:rPr>
          <w:b/>
          <w:bCs/>
          <w:color w:val="000000" w:themeColor="text1"/>
          <w:sz w:val="24"/>
          <w:szCs w:val="24"/>
        </w:rPr>
      </w:pPr>
    </w:p>
    <w:p w14:paraId="437A4B18" w14:textId="77777777" w:rsidR="008A1081" w:rsidRDefault="008A1081" w:rsidP="008A1081">
      <w:pPr>
        <w:jc w:val="center"/>
        <w:rPr>
          <w:b/>
          <w:bCs/>
          <w:color w:val="000000" w:themeColor="text1"/>
          <w:sz w:val="24"/>
          <w:szCs w:val="24"/>
        </w:rPr>
      </w:pPr>
      <w:r w:rsidRPr="0074484A">
        <w:rPr>
          <w:b/>
          <w:bCs/>
          <w:color w:val="000000" w:themeColor="text1"/>
          <w:sz w:val="24"/>
          <w:szCs w:val="24"/>
        </w:rPr>
        <w:t>Yönetici Özeti</w:t>
      </w:r>
    </w:p>
    <w:p w14:paraId="1C3E3198" w14:textId="77777777" w:rsidR="00674804" w:rsidRPr="0074484A" w:rsidRDefault="00E9772C" w:rsidP="00674804">
      <w:pPr>
        <w:jc w:val="both"/>
        <w:rPr>
          <w:color w:val="000000" w:themeColor="text1"/>
          <w:sz w:val="24"/>
          <w:szCs w:val="24"/>
        </w:rPr>
      </w:pPr>
      <w:r w:rsidRPr="0074484A">
        <w:rPr>
          <w:color w:val="000000" w:themeColor="text1"/>
          <w:sz w:val="24"/>
          <w:szCs w:val="24"/>
        </w:rPr>
        <w:t>Türkiye’de gelir dağılımı eşitsizliği 1990’ların ortalarından 2010’ların ilk yıllarına değin belirgin bir iyileşme performansı sergilemiş</w:t>
      </w:r>
      <w:r w:rsidR="009633A9" w:rsidRPr="0074484A">
        <w:rPr>
          <w:color w:val="000000" w:themeColor="text1"/>
          <w:sz w:val="24"/>
          <w:szCs w:val="24"/>
        </w:rPr>
        <w:t>tir ancak</w:t>
      </w:r>
      <w:r w:rsidRPr="0074484A">
        <w:rPr>
          <w:color w:val="000000" w:themeColor="text1"/>
          <w:sz w:val="24"/>
          <w:szCs w:val="24"/>
        </w:rPr>
        <w:t xml:space="preserve"> bu dönemden itibaren gelir dağılımına ilişkin göstergeler eşitsizliğin bozulduğ</w:t>
      </w:r>
      <w:r w:rsidR="00A1364D" w:rsidRPr="0074484A">
        <w:rPr>
          <w:color w:val="000000" w:themeColor="text1"/>
          <w:sz w:val="24"/>
          <w:szCs w:val="24"/>
        </w:rPr>
        <w:t>unu göstermek</w:t>
      </w:r>
      <w:r w:rsidR="009633A9" w:rsidRPr="0074484A">
        <w:rPr>
          <w:color w:val="000000" w:themeColor="text1"/>
          <w:sz w:val="24"/>
          <w:szCs w:val="24"/>
        </w:rPr>
        <w:t>tedir.</w:t>
      </w:r>
      <w:r w:rsidR="00A1364D" w:rsidRPr="0074484A">
        <w:rPr>
          <w:color w:val="000000" w:themeColor="text1"/>
          <w:sz w:val="24"/>
          <w:szCs w:val="24"/>
        </w:rPr>
        <w:t xml:space="preserve"> Genel gelir dağılımı eşitsizliği ölçümünde yaygın olarak kullanılan Gini katsayısının son on beş yıllık seyri, 2013 yılında bir kırılmaya ve gelir dağılımının farklı yerlerinde yer alan grupların gelir düzeylerindeki değişmelerin eşitsizlik üzerinde farklı etkiler yaratabileceğine işaret ediyor. Gelir dağılımının en alt kesiminde gözlemlenen yoksulluk, uzun süredir hem akademik araştırmalar hem de siyasi tartışmalar içinde önemini korumakla birlikte son zamanlarda gelir dağılımının en üstündeki kesimi temsilen zenginlik de ilgi odağı haline gelmeye başladı. </w:t>
      </w:r>
    </w:p>
    <w:p w14:paraId="6A94B6F7" w14:textId="38A7E663" w:rsidR="00674804" w:rsidRPr="0074484A" w:rsidRDefault="00A1364D" w:rsidP="00674804">
      <w:pPr>
        <w:jc w:val="both"/>
        <w:rPr>
          <w:color w:val="000000" w:themeColor="text1"/>
          <w:sz w:val="24"/>
          <w:szCs w:val="24"/>
        </w:rPr>
      </w:pPr>
      <w:r w:rsidRPr="0074484A">
        <w:rPr>
          <w:color w:val="000000" w:themeColor="text1"/>
          <w:sz w:val="24"/>
          <w:szCs w:val="24"/>
        </w:rPr>
        <w:t>Bu araştırma notu</w:t>
      </w:r>
      <w:r w:rsidR="00674804" w:rsidRPr="0074484A">
        <w:rPr>
          <w:color w:val="000000" w:themeColor="text1"/>
          <w:sz w:val="24"/>
          <w:szCs w:val="24"/>
        </w:rPr>
        <w:t xml:space="preserve">, TÜİK tarafından derlenen Gelir ve Yaşam Koşulları Anketlerini (GYKA) kullanarak </w:t>
      </w:r>
      <w:r w:rsidRPr="0074484A">
        <w:rPr>
          <w:color w:val="000000" w:themeColor="text1"/>
          <w:sz w:val="24"/>
          <w:szCs w:val="24"/>
        </w:rPr>
        <w:t>eşitsizliğe farklı bir açıdan, ‘zenginler’ ve ‘zenginlikler’ üzerinden yaklaş</w:t>
      </w:r>
      <w:r w:rsidR="00674804" w:rsidRPr="0074484A">
        <w:rPr>
          <w:color w:val="000000" w:themeColor="text1"/>
          <w:sz w:val="24"/>
          <w:szCs w:val="24"/>
        </w:rPr>
        <w:t xml:space="preserve">ıyor. </w:t>
      </w:r>
      <w:r w:rsidRPr="0074484A">
        <w:rPr>
          <w:color w:val="000000" w:themeColor="text1"/>
          <w:sz w:val="24"/>
          <w:szCs w:val="24"/>
        </w:rPr>
        <w:t xml:space="preserve"> </w:t>
      </w:r>
      <w:r w:rsidR="00674804" w:rsidRPr="0074484A">
        <w:rPr>
          <w:color w:val="000000" w:themeColor="text1"/>
          <w:sz w:val="24"/>
          <w:szCs w:val="24"/>
        </w:rPr>
        <w:t xml:space="preserve">Çalışmada Peichl, Schaefer ve Scheicher (2010) tarafından geliştirilen ve zenginliğin </w:t>
      </w:r>
      <w:r w:rsidR="00674804" w:rsidRPr="0074484A">
        <w:rPr>
          <w:i/>
          <w:iCs/>
          <w:color w:val="000000" w:themeColor="text1"/>
          <w:sz w:val="24"/>
          <w:szCs w:val="24"/>
        </w:rPr>
        <w:t>yoğunluğunu</w:t>
      </w:r>
      <w:r w:rsidR="00674804" w:rsidRPr="0074484A">
        <w:rPr>
          <w:color w:val="000000" w:themeColor="text1"/>
          <w:sz w:val="24"/>
          <w:szCs w:val="24"/>
        </w:rPr>
        <w:t xml:space="preserve"> hesaba katan zenginlik endeksleri kullanılarak elde edilen öncül bulgular, </w:t>
      </w:r>
      <w:r w:rsidRPr="0074484A">
        <w:rPr>
          <w:color w:val="000000" w:themeColor="text1"/>
          <w:sz w:val="24"/>
          <w:szCs w:val="24"/>
        </w:rPr>
        <w:t>dağılımının en üstünde bulunan kesimin hem mutlak hem göreli olarak son dönemde çarpıcı bir şekilde büyüdüğünü ortaya koy</w:t>
      </w:r>
      <w:r w:rsidR="00674804" w:rsidRPr="0074484A">
        <w:rPr>
          <w:color w:val="000000" w:themeColor="text1"/>
          <w:sz w:val="24"/>
          <w:szCs w:val="24"/>
        </w:rPr>
        <w:t>uyor. İncelenen dönemin ilk kısmında (2013/2014’e kadar) zenginlerin sayısı artarken zenginliğin yoğunluğunun azaldığı, bundan sonra ise zenginlerin sayısı azalırken zenginliğin yoğunluğunun arttığı sonucu ortaya çıkıyor. Zenginlik yoğunluk endeksinin dönemin sonlarına doğru başlangıç değerinin yaklaşık iki katına yükselmesi de bir başka dikkat çekici nokta olarak göze çarpıyor ve zenginliğin yıllar içinde daha az sayıda kişinin elinde yoğunlaştığına işaret ediyor.</w:t>
      </w:r>
    </w:p>
    <w:p w14:paraId="4064E0FC" w14:textId="6BDBB92D" w:rsidR="00917B51" w:rsidRPr="00917B51" w:rsidRDefault="00917B51" w:rsidP="002215CE">
      <w:pPr>
        <w:jc w:val="both"/>
        <w:rPr>
          <w:b/>
          <w:bCs/>
          <w:sz w:val="24"/>
          <w:szCs w:val="24"/>
        </w:rPr>
      </w:pPr>
      <w:bookmarkStart w:id="0" w:name="_GoBack"/>
      <w:bookmarkEnd w:id="0"/>
      <w:r w:rsidRPr="0074484A">
        <w:rPr>
          <w:b/>
          <w:bCs/>
          <w:sz w:val="24"/>
          <w:szCs w:val="24"/>
        </w:rPr>
        <w:t>Giriş</w:t>
      </w:r>
    </w:p>
    <w:p w14:paraId="459EB545" w14:textId="1F37F2A8" w:rsidR="00C17510" w:rsidRDefault="000F42CB" w:rsidP="002215CE">
      <w:pPr>
        <w:jc w:val="both"/>
        <w:rPr>
          <w:sz w:val="24"/>
          <w:szCs w:val="24"/>
        </w:rPr>
      </w:pPr>
      <w:r>
        <w:rPr>
          <w:sz w:val="24"/>
          <w:szCs w:val="24"/>
        </w:rPr>
        <w:t>Gelir eşitsizliği</w:t>
      </w:r>
      <w:r w:rsidR="007A5CF6">
        <w:rPr>
          <w:sz w:val="24"/>
          <w:szCs w:val="24"/>
        </w:rPr>
        <w:t>, OECD (2015) raporu</w:t>
      </w:r>
      <w:r w:rsidR="00284E64">
        <w:rPr>
          <w:sz w:val="24"/>
          <w:szCs w:val="24"/>
        </w:rPr>
        <w:t>nun</w:t>
      </w:r>
      <w:r w:rsidR="007A5CF6">
        <w:rPr>
          <w:sz w:val="24"/>
          <w:szCs w:val="24"/>
        </w:rPr>
        <w:t xml:space="preserve"> ortaya ko</w:t>
      </w:r>
      <w:r w:rsidR="00284E64">
        <w:rPr>
          <w:sz w:val="24"/>
          <w:szCs w:val="24"/>
        </w:rPr>
        <w:t>y</w:t>
      </w:r>
      <w:r w:rsidR="007A5CF6">
        <w:rPr>
          <w:sz w:val="24"/>
          <w:szCs w:val="24"/>
        </w:rPr>
        <w:t>duğu üzere</w:t>
      </w:r>
      <w:r>
        <w:rPr>
          <w:sz w:val="24"/>
          <w:szCs w:val="24"/>
        </w:rPr>
        <w:t xml:space="preserve"> 1980’lerin ortasından 2010’ların ortalarına kadar </w:t>
      </w:r>
      <w:r w:rsidR="00F37185">
        <w:rPr>
          <w:sz w:val="24"/>
          <w:szCs w:val="24"/>
        </w:rPr>
        <w:t xml:space="preserve">geçen yaklaşık 30 yıllık dönemde </w:t>
      </w:r>
      <w:r>
        <w:rPr>
          <w:sz w:val="24"/>
          <w:szCs w:val="24"/>
        </w:rPr>
        <w:t>OECD ülkelerinin çoğunda artış eğilim</w:t>
      </w:r>
      <w:r w:rsidR="00F37185">
        <w:rPr>
          <w:sz w:val="24"/>
          <w:szCs w:val="24"/>
        </w:rPr>
        <w:t>i</w:t>
      </w:r>
      <w:r w:rsidR="00284E64">
        <w:rPr>
          <w:sz w:val="24"/>
          <w:szCs w:val="24"/>
        </w:rPr>
        <w:t xml:space="preserve"> sergilemiştir</w:t>
      </w:r>
      <w:r w:rsidR="007A5CF6">
        <w:rPr>
          <w:sz w:val="24"/>
          <w:szCs w:val="24"/>
        </w:rPr>
        <w:t xml:space="preserve">. </w:t>
      </w:r>
      <w:r w:rsidR="00284E64">
        <w:rPr>
          <w:sz w:val="24"/>
          <w:szCs w:val="24"/>
        </w:rPr>
        <w:t>Bu ülke grubu içinde yer alan Türkiye</w:t>
      </w:r>
      <w:r w:rsidR="007A5CF6" w:rsidRPr="000F42CB">
        <w:rPr>
          <w:sz w:val="24"/>
          <w:szCs w:val="24"/>
        </w:rPr>
        <w:t>, 1990’ların ortalarında</w:t>
      </w:r>
      <w:r w:rsidR="007A5CF6">
        <w:rPr>
          <w:sz w:val="24"/>
          <w:szCs w:val="24"/>
        </w:rPr>
        <w:t xml:space="preserve"> </w:t>
      </w:r>
      <w:r w:rsidR="007A5CF6" w:rsidRPr="000F42CB">
        <w:rPr>
          <w:sz w:val="24"/>
          <w:szCs w:val="24"/>
        </w:rPr>
        <w:t>Şili ve Meksika’dan sonra 27 OECD ülkesi arasında en yüksek gelir eşitsizliğine</w:t>
      </w:r>
      <w:r w:rsidR="007A5CF6">
        <w:rPr>
          <w:sz w:val="24"/>
          <w:szCs w:val="24"/>
        </w:rPr>
        <w:t xml:space="preserve"> </w:t>
      </w:r>
      <w:r w:rsidR="007A5CF6" w:rsidRPr="000F42CB">
        <w:rPr>
          <w:sz w:val="24"/>
          <w:szCs w:val="24"/>
        </w:rPr>
        <w:t>sahip üçüncü ülkeydi (OECD, 2011</w:t>
      </w:r>
      <w:r w:rsidR="007A5CF6">
        <w:rPr>
          <w:sz w:val="24"/>
          <w:szCs w:val="24"/>
        </w:rPr>
        <w:t>, s.</w:t>
      </w:r>
      <w:r w:rsidR="007A5CF6" w:rsidRPr="000F42CB">
        <w:rPr>
          <w:sz w:val="24"/>
          <w:szCs w:val="24"/>
        </w:rPr>
        <w:t>25</w:t>
      </w:r>
      <w:r w:rsidR="007A5CF6">
        <w:rPr>
          <w:sz w:val="24"/>
          <w:szCs w:val="24"/>
        </w:rPr>
        <w:t>)</w:t>
      </w:r>
      <w:r w:rsidR="00284E64">
        <w:rPr>
          <w:sz w:val="24"/>
          <w:szCs w:val="24"/>
        </w:rPr>
        <w:t xml:space="preserve">. Yıllar içinde Türkiye’nin bu sıralamadaki konumu değişmese de </w:t>
      </w:r>
      <w:r w:rsidR="00B76EC0">
        <w:rPr>
          <w:sz w:val="24"/>
          <w:szCs w:val="24"/>
        </w:rPr>
        <w:t xml:space="preserve">bahsedilen dönemde </w:t>
      </w:r>
      <w:r w:rsidR="00284E64">
        <w:rPr>
          <w:sz w:val="24"/>
          <w:szCs w:val="24"/>
        </w:rPr>
        <w:t xml:space="preserve">gelir </w:t>
      </w:r>
      <w:r w:rsidR="00284E64">
        <w:rPr>
          <w:sz w:val="24"/>
          <w:szCs w:val="24"/>
        </w:rPr>
        <w:lastRenderedPageBreak/>
        <w:t>dağılımı eşitsizliğinde diğer ülke</w:t>
      </w:r>
      <w:r w:rsidR="00B76EC0">
        <w:rPr>
          <w:sz w:val="24"/>
          <w:szCs w:val="24"/>
        </w:rPr>
        <w:t>le</w:t>
      </w:r>
      <w:r w:rsidR="00284E64">
        <w:rPr>
          <w:sz w:val="24"/>
          <w:szCs w:val="24"/>
        </w:rPr>
        <w:t>re kıyasla belirgin bir iyileşme performansı gösterdiği göze çarpıyor</w:t>
      </w:r>
      <w:r w:rsidR="00B76EC0">
        <w:rPr>
          <w:rStyle w:val="FootnoteReference"/>
          <w:sz w:val="24"/>
          <w:szCs w:val="24"/>
        </w:rPr>
        <w:footnoteReference w:id="3"/>
      </w:r>
      <w:r w:rsidR="00284E64">
        <w:rPr>
          <w:sz w:val="24"/>
          <w:szCs w:val="24"/>
        </w:rPr>
        <w:t xml:space="preserve">. </w:t>
      </w:r>
      <w:r w:rsidR="002215CE" w:rsidRPr="002215CE">
        <w:rPr>
          <w:sz w:val="24"/>
          <w:szCs w:val="24"/>
        </w:rPr>
        <w:t xml:space="preserve">Ancak </w:t>
      </w:r>
      <w:r w:rsidR="00924E0D">
        <w:rPr>
          <w:sz w:val="24"/>
          <w:szCs w:val="24"/>
        </w:rPr>
        <w:t>son yıllarda eşitsizliğin yeniden artmaya başladığı da görülüyor</w:t>
      </w:r>
      <w:r w:rsidR="006F42D5">
        <w:rPr>
          <w:sz w:val="24"/>
          <w:szCs w:val="24"/>
        </w:rPr>
        <w:t xml:space="preserve"> (Şekil 1)</w:t>
      </w:r>
      <w:r w:rsidR="002215CE">
        <w:rPr>
          <w:sz w:val="24"/>
          <w:szCs w:val="24"/>
        </w:rPr>
        <w:t xml:space="preserve">. </w:t>
      </w:r>
    </w:p>
    <w:p w14:paraId="6230BD70" w14:textId="77777777" w:rsidR="00674804" w:rsidRDefault="00674804" w:rsidP="002215CE">
      <w:pPr>
        <w:jc w:val="both"/>
        <w:rPr>
          <w:sz w:val="24"/>
          <w:szCs w:val="24"/>
        </w:rPr>
      </w:pPr>
    </w:p>
    <w:p w14:paraId="725984BA" w14:textId="77777777" w:rsidR="00674804" w:rsidRDefault="00674804" w:rsidP="002215CE">
      <w:pPr>
        <w:jc w:val="both"/>
        <w:rPr>
          <w:sz w:val="24"/>
          <w:szCs w:val="24"/>
        </w:rPr>
      </w:pPr>
    </w:p>
    <w:p w14:paraId="7D19F655" w14:textId="0F985712" w:rsidR="00C17510" w:rsidRDefault="00C17510" w:rsidP="00B3793B">
      <w:pPr>
        <w:jc w:val="center"/>
        <w:rPr>
          <w:b/>
          <w:sz w:val="24"/>
          <w:szCs w:val="24"/>
        </w:rPr>
      </w:pPr>
      <w:r w:rsidRPr="00C17510">
        <w:rPr>
          <w:b/>
          <w:sz w:val="24"/>
          <w:szCs w:val="24"/>
        </w:rPr>
        <w:t>Şekil 1: Gelir eşitsizliğinin seyri (2005-2019)</w:t>
      </w:r>
    </w:p>
    <w:p w14:paraId="25060CA9" w14:textId="4067B284" w:rsidR="006E28D6" w:rsidRDefault="006E28D6" w:rsidP="00B3793B">
      <w:pPr>
        <w:jc w:val="center"/>
        <w:rPr>
          <w:b/>
          <w:sz w:val="24"/>
          <w:szCs w:val="24"/>
        </w:rPr>
      </w:pPr>
      <w:r>
        <w:rPr>
          <w:b/>
          <w:noProof/>
          <w:sz w:val="24"/>
          <w:szCs w:val="24"/>
          <w:lang w:eastAsia="tr-TR"/>
        </w:rPr>
        <w:drawing>
          <wp:inline distT="0" distB="0" distL="0" distR="0" wp14:anchorId="2BAC92C3" wp14:editId="7489F91D">
            <wp:extent cx="4991100" cy="2879725"/>
            <wp:effectExtent l="0" t="0" r="0" b="0"/>
            <wp:docPr id="59582735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578" cy="2880001"/>
                    </a:xfrm>
                    <a:prstGeom prst="rect">
                      <a:avLst/>
                    </a:prstGeom>
                    <a:noFill/>
                  </pic:spPr>
                </pic:pic>
              </a:graphicData>
            </a:graphic>
          </wp:inline>
        </w:drawing>
      </w:r>
    </w:p>
    <w:p w14:paraId="317802D9" w14:textId="000114C4" w:rsidR="00924E0D" w:rsidRDefault="00924E0D" w:rsidP="002215CE">
      <w:pPr>
        <w:jc w:val="both"/>
        <w:rPr>
          <w:sz w:val="24"/>
          <w:szCs w:val="24"/>
        </w:rPr>
      </w:pPr>
      <w:r>
        <w:rPr>
          <w:sz w:val="24"/>
          <w:szCs w:val="24"/>
        </w:rPr>
        <w:t xml:space="preserve">Eşitsizlik ölçümü olarak kullanılan Gini katsayısı, </w:t>
      </w:r>
      <w:r w:rsidR="00DF1179" w:rsidRPr="00DF1179">
        <w:rPr>
          <w:sz w:val="24"/>
          <w:szCs w:val="24"/>
        </w:rPr>
        <w:t>2013 yılı</w:t>
      </w:r>
      <w:r w:rsidR="00DF1179">
        <w:rPr>
          <w:sz w:val="24"/>
          <w:szCs w:val="24"/>
        </w:rPr>
        <w:t xml:space="preserve"> eşitsizliğin izlediği seyirde bir kırılma olduğuna işaret ediyor. </w:t>
      </w:r>
      <w:r>
        <w:rPr>
          <w:sz w:val="24"/>
          <w:szCs w:val="24"/>
        </w:rPr>
        <w:t>Tutarlı verilerin yayınlandığı 2005 yılından itibaren, 2008</w:t>
      </w:r>
      <w:r w:rsidR="00E63F3A">
        <w:rPr>
          <w:sz w:val="24"/>
          <w:szCs w:val="24"/>
        </w:rPr>
        <w:t xml:space="preserve">’deki küresel kriz yılı hariç, eşitsizliğin azalma eğiliminde olduğunu görüyoruz. 2013 yılından sonra ise hızlı artış eğilimine giren eşitsizlik eski değerlerine dönmüş durumda. Bu ikinci dönemde ise 2018’de Türkiye’ye özgü krizin eşitsizliğin eğilimini (geçici) olarak etkilediği de anlaşılıyor. </w:t>
      </w:r>
    </w:p>
    <w:p w14:paraId="1A36F18D" w14:textId="6C9C60C7" w:rsidR="00BD2871" w:rsidRDefault="00BD2871" w:rsidP="002215CE">
      <w:pPr>
        <w:jc w:val="both"/>
        <w:rPr>
          <w:sz w:val="24"/>
          <w:szCs w:val="24"/>
        </w:rPr>
      </w:pPr>
      <w:r>
        <w:rPr>
          <w:sz w:val="24"/>
          <w:szCs w:val="24"/>
        </w:rPr>
        <w:t>Bununla birlikte</w:t>
      </w:r>
      <w:r w:rsidR="00DF1179">
        <w:rPr>
          <w:sz w:val="24"/>
          <w:szCs w:val="24"/>
        </w:rPr>
        <w:t xml:space="preserve"> yukarıdaki şekil, </w:t>
      </w:r>
      <w:r>
        <w:rPr>
          <w:sz w:val="24"/>
          <w:szCs w:val="24"/>
        </w:rPr>
        <w:t xml:space="preserve">ekonomideki konjonktürel dalgalanmaların eşitsizlik üzerindeki </w:t>
      </w:r>
      <w:r w:rsidR="00287538" w:rsidRPr="00287538">
        <w:rPr>
          <w:sz w:val="24"/>
          <w:szCs w:val="24"/>
        </w:rPr>
        <w:t>yansımaları</w:t>
      </w:r>
      <w:r w:rsidR="00287538">
        <w:rPr>
          <w:sz w:val="24"/>
          <w:szCs w:val="24"/>
        </w:rPr>
        <w:t>nın</w:t>
      </w:r>
      <w:r w:rsidR="00287538" w:rsidRPr="00287538">
        <w:rPr>
          <w:sz w:val="24"/>
          <w:szCs w:val="24"/>
        </w:rPr>
        <w:t xml:space="preserve"> birbirinden farklı ol</w:t>
      </w:r>
      <w:r w:rsidR="00287538">
        <w:rPr>
          <w:sz w:val="24"/>
          <w:szCs w:val="24"/>
        </w:rPr>
        <w:t>duğunu</w:t>
      </w:r>
      <w:r w:rsidR="00E63F3A">
        <w:rPr>
          <w:sz w:val="24"/>
          <w:szCs w:val="24"/>
        </w:rPr>
        <w:t xml:space="preserve"> da</w:t>
      </w:r>
      <w:r w:rsidR="00287538">
        <w:rPr>
          <w:sz w:val="24"/>
          <w:szCs w:val="24"/>
        </w:rPr>
        <w:t xml:space="preserve"> ortaya koyuyor.</w:t>
      </w:r>
      <w:r>
        <w:rPr>
          <w:sz w:val="24"/>
          <w:szCs w:val="24"/>
        </w:rPr>
        <w:t xml:space="preserve"> </w:t>
      </w:r>
      <w:r w:rsidR="00142E28">
        <w:rPr>
          <w:sz w:val="24"/>
          <w:szCs w:val="24"/>
        </w:rPr>
        <w:t>K</w:t>
      </w:r>
      <w:r w:rsidR="00142E28" w:rsidRPr="00142E28">
        <w:rPr>
          <w:sz w:val="24"/>
          <w:szCs w:val="24"/>
        </w:rPr>
        <w:t>üresel kriz</w:t>
      </w:r>
      <w:r w:rsidR="00142E28">
        <w:rPr>
          <w:sz w:val="24"/>
          <w:szCs w:val="24"/>
        </w:rPr>
        <w:t xml:space="preserve"> gelir eşitsizliğini</w:t>
      </w:r>
      <w:r w:rsidR="00DF1179">
        <w:rPr>
          <w:sz w:val="24"/>
          <w:szCs w:val="24"/>
        </w:rPr>
        <w:t>n artmasına neden olurken</w:t>
      </w:r>
      <w:r w:rsidR="00142E28">
        <w:rPr>
          <w:sz w:val="24"/>
          <w:szCs w:val="24"/>
        </w:rPr>
        <w:t xml:space="preserve"> 2018 yılındaki kur krizi</w:t>
      </w:r>
      <w:r w:rsidR="00DF1179">
        <w:rPr>
          <w:sz w:val="24"/>
          <w:szCs w:val="24"/>
        </w:rPr>
        <w:t>nin</w:t>
      </w:r>
      <w:r w:rsidR="00142E28">
        <w:rPr>
          <w:sz w:val="24"/>
          <w:szCs w:val="24"/>
        </w:rPr>
        <w:t xml:space="preserve"> </w:t>
      </w:r>
      <w:r w:rsidR="00DF1179">
        <w:rPr>
          <w:sz w:val="24"/>
          <w:szCs w:val="24"/>
        </w:rPr>
        <w:t>ters yönde</w:t>
      </w:r>
      <w:r w:rsidR="00142E28">
        <w:rPr>
          <w:sz w:val="24"/>
          <w:szCs w:val="24"/>
        </w:rPr>
        <w:t xml:space="preserve"> bir etki ile eşitsizli</w:t>
      </w:r>
      <w:r w:rsidR="00DF1179">
        <w:rPr>
          <w:sz w:val="24"/>
          <w:szCs w:val="24"/>
        </w:rPr>
        <w:t xml:space="preserve">ğin </w:t>
      </w:r>
      <w:r w:rsidR="00DF1179" w:rsidRPr="0074484A">
        <w:rPr>
          <w:sz w:val="24"/>
          <w:szCs w:val="24"/>
        </w:rPr>
        <w:t>azalması</w:t>
      </w:r>
      <w:r w:rsidR="00D33FB8" w:rsidRPr="0074484A">
        <w:rPr>
          <w:sz w:val="24"/>
          <w:szCs w:val="24"/>
        </w:rPr>
        <w:t>na</w:t>
      </w:r>
      <w:r w:rsidR="00DF1179" w:rsidRPr="0074484A">
        <w:rPr>
          <w:sz w:val="24"/>
          <w:szCs w:val="24"/>
        </w:rPr>
        <w:t xml:space="preserve"> </w:t>
      </w:r>
      <w:r w:rsidR="00142E28" w:rsidRPr="0074484A">
        <w:rPr>
          <w:sz w:val="24"/>
          <w:szCs w:val="24"/>
        </w:rPr>
        <w:t>neden</w:t>
      </w:r>
      <w:r w:rsidR="00142E28">
        <w:rPr>
          <w:sz w:val="24"/>
          <w:szCs w:val="24"/>
        </w:rPr>
        <w:t xml:space="preserve"> ol</w:t>
      </w:r>
      <w:r w:rsidR="00DF1179">
        <w:rPr>
          <w:sz w:val="24"/>
          <w:szCs w:val="24"/>
        </w:rPr>
        <w:t>duğu göze çarpıyor</w:t>
      </w:r>
      <w:r w:rsidR="00142E28">
        <w:rPr>
          <w:sz w:val="24"/>
          <w:szCs w:val="24"/>
        </w:rPr>
        <w:t xml:space="preserve">. </w:t>
      </w:r>
      <w:r w:rsidR="00DF1179">
        <w:rPr>
          <w:sz w:val="24"/>
          <w:szCs w:val="24"/>
        </w:rPr>
        <w:t>H</w:t>
      </w:r>
      <w:r w:rsidR="00142E28">
        <w:rPr>
          <w:sz w:val="24"/>
          <w:szCs w:val="24"/>
        </w:rPr>
        <w:t xml:space="preserve">er iki kriz sonrasında Gini katsayısının </w:t>
      </w:r>
      <w:r w:rsidR="006E28D6">
        <w:rPr>
          <w:sz w:val="24"/>
          <w:szCs w:val="24"/>
        </w:rPr>
        <w:t xml:space="preserve">neredeyse kriz öncesi </w:t>
      </w:r>
      <w:r w:rsidR="00E63F3A">
        <w:rPr>
          <w:sz w:val="24"/>
          <w:szCs w:val="24"/>
        </w:rPr>
        <w:t>eğilimine geri</w:t>
      </w:r>
      <w:r w:rsidR="00142E28">
        <w:rPr>
          <w:sz w:val="24"/>
          <w:szCs w:val="24"/>
        </w:rPr>
        <w:t xml:space="preserve"> döndüğü</w:t>
      </w:r>
      <w:r w:rsidR="00DF1179">
        <w:rPr>
          <w:sz w:val="24"/>
          <w:szCs w:val="24"/>
        </w:rPr>
        <w:t>nü gözlemliyoruz.</w:t>
      </w:r>
      <w:r w:rsidR="00287538">
        <w:rPr>
          <w:sz w:val="24"/>
          <w:szCs w:val="24"/>
        </w:rPr>
        <w:t xml:space="preserve"> </w:t>
      </w:r>
      <w:r w:rsidR="00287538" w:rsidRPr="00287538">
        <w:rPr>
          <w:sz w:val="24"/>
          <w:szCs w:val="24"/>
        </w:rPr>
        <w:t>Bu iki olgu</w:t>
      </w:r>
      <w:r w:rsidR="00287538">
        <w:rPr>
          <w:sz w:val="24"/>
          <w:szCs w:val="24"/>
        </w:rPr>
        <w:t>, yazında</w:t>
      </w:r>
      <w:r w:rsidR="00287538" w:rsidRPr="00287538">
        <w:rPr>
          <w:sz w:val="24"/>
          <w:szCs w:val="24"/>
        </w:rPr>
        <w:t xml:space="preserve"> tartışılagelen finansal kriz</w:t>
      </w:r>
      <w:r w:rsidR="00E63F3A">
        <w:rPr>
          <w:sz w:val="24"/>
          <w:szCs w:val="24"/>
        </w:rPr>
        <w:t xml:space="preserve"> – </w:t>
      </w:r>
      <w:r w:rsidR="00287538" w:rsidRPr="00287538">
        <w:rPr>
          <w:sz w:val="24"/>
          <w:szCs w:val="24"/>
        </w:rPr>
        <w:t>gelir eşitsizliği ilişkisi</w:t>
      </w:r>
      <w:r w:rsidR="00E63F3A">
        <w:rPr>
          <w:sz w:val="24"/>
          <w:szCs w:val="24"/>
        </w:rPr>
        <w:t>ni tekrar hatırlatıyor</w:t>
      </w:r>
      <w:r w:rsidR="00287538">
        <w:rPr>
          <w:sz w:val="24"/>
          <w:szCs w:val="24"/>
        </w:rPr>
        <w:t>.</w:t>
      </w:r>
      <w:r w:rsidR="00287538" w:rsidRPr="00287538">
        <w:rPr>
          <w:sz w:val="24"/>
          <w:szCs w:val="24"/>
        </w:rPr>
        <w:t xml:space="preserve"> Geleneksel olarak, finansal krizlerin sonuçları, gelir eşitsizliğinin artmasıyla ilişkilendirilmiştir. </w:t>
      </w:r>
      <w:r w:rsidR="00E63F3A">
        <w:rPr>
          <w:sz w:val="24"/>
          <w:szCs w:val="24"/>
        </w:rPr>
        <w:t>Buna karşı görüş ise</w:t>
      </w:r>
      <w:r w:rsidR="00287538" w:rsidRPr="00287538">
        <w:rPr>
          <w:sz w:val="24"/>
          <w:szCs w:val="24"/>
        </w:rPr>
        <w:t xml:space="preserve"> finansal krizlerin, dağılımın alt kısımlarında bulunanların gelirlerine kıyasla, büyük sermaye kayıplarına bağlı olarak üst kesimlerde yer alanların gelirlerinde ciddi azalmalar nedeniyle, eşitsizlikte iyileşmelere yol açtığı</w:t>
      </w:r>
      <w:r w:rsidR="00E63F3A">
        <w:rPr>
          <w:sz w:val="24"/>
          <w:szCs w:val="24"/>
        </w:rPr>
        <w:t xml:space="preserve">nı iddia </w:t>
      </w:r>
      <w:r w:rsidR="00E63F3A" w:rsidRPr="0074484A">
        <w:rPr>
          <w:sz w:val="24"/>
          <w:szCs w:val="24"/>
        </w:rPr>
        <w:t>ed</w:t>
      </w:r>
      <w:r w:rsidR="00D33FB8" w:rsidRPr="0074484A">
        <w:rPr>
          <w:sz w:val="24"/>
          <w:szCs w:val="24"/>
        </w:rPr>
        <w:t>er</w:t>
      </w:r>
      <w:r w:rsidR="00E63F3A" w:rsidRPr="0074484A">
        <w:rPr>
          <w:sz w:val="24"/>
          <w:szCs w:val="24"/>
        </w:rPr>
        <w:t>.</w:t>
      </w:r>
    </w:p>
    <w:p w14:paraId="7F9F039A" w14:textId="3B789509" w:rsidR="007555A7" w:rsidRDefault="00CC54E3" w:rsidP="002215CE">
      <w:pPr>
        <w:jc w:val="both"/>
        <w:rPr>
          <w:sz w:val="24"/>
          <w:szCs w:val="24"/>
        </w:rPr>
      </w:pPr>
      <w:r>
        <w:rPr>
          <w:sz w:val="24"/>
          <w:szCs w:val="24"/>
        </w:rPr>
        <w:lastRenderedPageBreak/>
        <w:t xml:space="preserve">Bu gözlemler gelir dağılımının farklı yerlerinde yer alan grupların gelir düzeylerindeki değişmelerin eşitsizlik üzerinde farklı etkiler yaratabileceğine işaret ediyor. </w:t>
      </w:r>
      <w:r w:rsidR="004B1E43">
        <w:rPr>
          <w:sz w:val="24"/>
          <w:szCs w:val="24"/>
        </w:rPr>
        <w:t xml:space="preserve">Daha önce Türkiye’de yoksulluk üzerine çalışmalar mevcut (Betam’ın yayınları arasında bunlar yer alıyor). </w:t>
      </w:r>
      <w:r w:rsidR="005128F7">
        <w:rPr>
          <w:sz w:val="24"/>
          <w:szCs w:val="24"/>
        </w:rPr>
        <w:t>Filiztekin ve Kent (2023</w:t>
      </w:r>
      <w:r w:rsidR="002D138E" w:rsidRPr="005128F7">
        <w:rPr>
          <w:sz w:val="24"/>
          <w:szCs w:val="24"/>
        </w:rPr>
        <w:t>)</w:t>
      </w:r>
      <w:r w:rsidR="000B2E24" w:rsidRPr="005128F7">
        <w:rPr>
          <w:rStyle w:val="FootnoteReference"/>
          <w:sz w:val="24"/>
          <w:szCs w:val="24"/>
        </w:rPr>
        <w:footnoteReference w:id="4"/>
      </w:r>
      <w:r w:rsidR="002D138E" w:rsidRPr="005128F7">
        <w:rPr>
          <w:sz w:val="24"/>
          <w:szCs w:val="24"/>
        </w:rPr>
        <w:t xml:space="preserve"> </w:t>
      </w:r>
      <w:r w:rsidR="004B1E43">
        <w:rPr>
          <w:sz w:val="24"/>
          <w:szCs w:val="24"/>
        </w:rPr>
        <w:t xml:space="preserve">ise </w:t>
      </w:r>
      <w:r>
        <w:rPr>
          <w:sz w:val="24"/>
          <w:szCs w:val="24"/>
        </w:rPr>
        <w:t>konuya</w:t>
      </w:r>
      <w:r w:rsidR="002D138E" w:rsidRPr="005128F7">
        <w:rPr>
          <w:sz w:val="24"/>
          <w:szCs w:val="24"/>
        </w:rPr>
        <w:t xml:space="preserve"> farklı bir açıdan, </w:t>
      </w:r>
      <w:r w:rsidR="000264B0">
        <w:rPr>
          <w:sz w:val="24"/>
          <w:szCs w:val="24"/>
        </w:rPr>
        <w:t>‘</w:t>
      </w:r>
      <w:r w:rsidR="002D138E" w:rsidRPr="005128F7">
        <w:rPr>
          <w:sz w:val="24"/>
          <w:szCs w:val="24"/>
        </w:rPr>
        <w:t>zenginler</w:t>
      </w:r>
      <w:r w:rsidR="000264B0">
        <w:rPr>
          <w:sz w:val="24"/>
          <w:szCs w:val="24"/>
        </w:rPr>
        <w:t>’</w:t>
      </w:r>
      <w:r w:rsidR="002D138E" w:rsidRPr="005128F7">
        <w:rPr>
          <w:sz w:val="24"/>
          <w:szCs w:val="24"/>
        </w:rPr>
        <w:t xml:space="preserve"> ve </w:t>
      </w:r>
      <w:r w:rsidR="000264B0">
        <w:rPr>
          <w:sz w:val="24"/>
          <w:szCs w:val="24"/>
        </w:rPr>
        <w:t>‘</w:t>
      </w:r>
      <w:r w:rsidR="002D138E" w:rsidRPr="005128F7">
        <w:rPr>
          <w:sz w:val="24"/>
          <w:szCs w:val="24"/>
        </w:rPr>
        <w:t>zenginlikler</w:t>
      </w:r>
      <w:r w:rsidR="000264B0">
        <w:rPr>
          <w:sz w:val="24"/>
          <w:szCs w:val="24"/>
        </w:rPr>
        <w:t>’</w:t>
      </w:r>
      <w:r w:rsidR="002D138E" w:rsidRPr="005128F7">
        <w:rPr>
          <w:sz w:val="24"/>
          <w:szCs w:val="24"/>
        </w:rPr>
        <w:t xml:space="preserve"> üzerinden </w:t>
      </w:r>
      <w:r>
        <w:rPr>
          <w:sz w:val="24"/>
          <w:szCs w:val="24"/>
        </w:rPr>
        <w:t>yaklaşıyor</w:t>
      </w:r>
      <w:r w:rsidR="002D138E" w:rsidRPr="005128F7">
        <w:rPr>
          <w:sz w:val="24"/>
          <w:szCs w:val="24"/>
        </w:rPr>
        <w:t xml:space="preserve"> ve dağılımının en üstünde bulunan kesimin hem mutlak hem göreli olarak son dönemde çarpıcı bir şekilde büyüdüğünü ortaya koyuyor. Bu araştırma notu,</w:t>
      </w:r>
      <w:r w:rsidR="000B2E24" w:rsidRPr="005128F7">
        <w:rPr>
          <w:sz w:val="24"/>
          <w:szCs w:val="24"/>
        </w:rPr>
        <w:t xml:space="preserve"> yazarların</w:t>
      </w:r>
      <w:r w:rsidR="002D138E" w:rsidRPr="005128F7">
        <w:rPr>
          <w:sz w:val="24"/>
          <w:szCs w:val="24"/>
        </w:rPr>
        <w:t xml:space="preserve"> halen sürmekte olan çalışmalarının ön bulgularını paylaşıyor.</w:t>
      </w:r>
      <w:r w:rsidR="000B2E24" w:rsidRPr="005128F7">
        <w:rPr>
          <w:sz w:val="24"/>
          <w:szCs w:val="24"/>
        </w:rPr>
        <w:t xml:space="preserve"> Gelir </w:t>
      </w:r>
      <w:r w:rsidR="000B2E24">
        <w:rPr>
          <w:sz w:val="24"/>
          <w:szCs w:val="24"/>
        </w:rPr>
        <w:t xml:space="preserve">dağılımının seyri ile zengin kesimin toplam gelirden aldığı pay arasındaki ilişki, eşitsizliğin </w:t>
      </w:r>
      <w:r w:rsidR="00BC26C1">
        <w:rPr>
          <w:sz w:val="24"/>
          <w:szCs w:val="24"/>
        </w:rPr>
        <w:t xml:space="preserve">zenginlikteki değişimlerden kaynaklandığına </w:t>
      </w:r>
      <w:r w:rsidR="008857AA">
        <w:rPr>
          <w:sz w:val="24"/>
          <w:szCs w:val="24"/>
        </w:rPr>
        <w:t xml:space="preserve">ve daha kapsamlı bir şekilde incelenmesi gerektiğine </w:t>
      </w:r>
      <w:r w:rsidR="00BC26C1">
        <w:rPr>
          <w:sz w:val="24"/>
          <w:szCs w:val="24"/>
        </w:rPr>
        <w:t xml:space="preserve">işaret ediyor. </w:t>
      </w:r>
    </w:p>
    <w:p w14:paraId="42BED163" w14:textId="5E562F04" w:rsidR="002811A9" w:rsidRDefault="00A73BFC" w:rsidP="002215CE">
      <w:pPr>
        <w:jc w:val="both"/>
        <w:rPr>
          <w:b/>
          <w:bCs/>
          <w:sz w:val="24"/>
          <w:szCs w:val="24"/>
        </w:rPr>
      </w:pPr>
      <w:r>
        <w:rPr>
          <w:b/>
          <w:bCs/>
          <w:sz w:val="24"/>
          <w:szCs w:val="24"/>
        </w:rPr>
        <w:t>Veriler ve yöntem</w:t>
      </w:r>
    </w:p>
    <w:p w14:paraId="00FEDE3F" w14:textId="16C44D4F" w:rsidR="00A73BFC" w:rsidRPr="008857AA" w:rsidRDefault="00A73BFC" w:rsidP="00A73BFC">
      <w:pPr>
        <w:jc w:val="both"/>
        <w:rPr>
          <w:sz w:val="24"/>
          <w:szCs w:val="24"/>
        </w:rPr>
      </w:pPr>
      <w:r>
        <w:rPr>
          <w:sz w:val="24"/>
          <w:szCs w:val="24"/>
        </w:rPr>
        <w:t>Çalışmada, TÜİK tarafından derlenen Gelir ve Yaşam Koşulları Anketlerinin (GYKA) 2006-2020</w:t>
      </w:r>
      <w:r w:rsidR="000264B0">
        <w:rPr>
          <w:rStyle w:val="FootnoteReference"/>
          <w:sz w:val="24"/>
          <w:szCs w:val="24"/>
        </w:rPr>
        <w:footnoteReference w:id="5"/>
      </w:r>
      <w:r>
        <w:rPr>
          <w:sz w:val="24"/>
          <w:szCs w:val="24"/>
        </w:rPr>
        <w:t xml:space="preserve"> yıllarına ait mikro verileri kullanıl</w:t>
      </w:r>
      <w:r w:rsidR="00C9570E">
        <w:rPr>
          <w:sz w:val="24"/>
          <w:szCs w:val="24"/>
        </w:rPr>
        <w:t xml:space="preserve">mıştır. </w:t>
      </w:r>
      <w:r w:rsidR="00854FBF">
        <w:rPr>
          <w:sz w:val="24"/>
          <w:szCs w:val="24"/>
        </w:rPr>
        <w:t xml:space="preserve">Kullanılan gelir verisi, yazarlar tarafından hesaplanan </w:t>
      </w:r>
      <w:r w:rsidR="00854FBF" w:rsidRPr="00F01403">
        <w:rPr>
          <w:sz w:val="24"/>
          <w:szCs w:val="24"/>
        </w:rPr>
        <w:t xml:space="preserve">reel eşdeğer </w:t>
      </w:r>
      <w:r w:rsidR="00854FBF">
        <w:rPr>
          <w:sz w:val="24"/>
          <w:szCs w:val="24"/>
        </w:rPr>
        <w:t xml:space="preserve">fert </w:t>
      </w:r>
      <w:r w:rsidR="00854FBF" w:rsidRPr="00F01403">
        <w:rPr>
          <w:sz w:val="24"/>
          <w:szCs w:val="24"/>
        </w:rPr>
        <w:t>geliri</w:t>
      </w:r>
      <w:r w:rsidR="00854FBF">
        <w:rPr>
          <w:sz w:val="24"/>
          <w:szCs w:val="24"/>
        </w:rPr>
        <w:t>dir</w:t>
      </w:r>
      <w:r w:rsidR="00854FBF">
        <w:rPr>
          <w:rStyle w:val="FootnoteReference"/>
          <w:sz w:val="24"/>
          <w:szCs w:val="24"/>
        </w:rPr>
        <w:footnoteReference w:id="6"/>
      </w:r>
      <w:r w:rsidR="00854FBF">
        <w:rPr>
          <w:sz w:val="24"/>
          <w:szCs w:val="24"/>
        </w:rPr>
        <w:t>. Bu noktada belirtmeden geçemeyeceğimiz b</w:t>
      </w:r>
      <w:r w:rsidR="00C9570E">
        <w:rPr>
          <w:sz w:val="24"/>
          <w:szCs w:val="24"/>
        </w:rPr>
        <w:t>ilinen bir gerçek, dünyanın hiçbir yerinde bu tür anketler</w:t>
      </w:r>
      <w:r w:rsidR="00854FBF">
        <w:rPr>
          <w:sz w:val="24"/>
          <w:szCs w:val="24"/>
        </w:rPr>
        <w:t>in</w:t>
      </w:r>
      <w:r w:rsidR="00C9570E">
        <w:rPr>
          <w:sz w:val="24"/>
          <w:szCs w:val="24"/>
        </w:rPr>
        <w:t xml:space="preserve"> </w:t>
      </w:r>
      <w:r w:rsidR="00854FBF">
        <w:rPr>
          <w:sz w:val="24"/>
          <w:szCs w:val="24"/>
        </w:rPr>
        <w:t>“gerçek” zenginlere ulaşamadığı</w:t>
      </w:r>
      <w:r w:rsidR="00C9570E">
        <w:rPr>
          <w:sz w:val="24"/>
          <w:szCs w:val="24"/>
        </w:rPr>
        <w:t xml:space="preserve"> ve onl</w:t>
      </w:r>
      <w:r w:rsidR="00854FBF">
        <w:rPr>
          <w:sz w:val="24"/>
          <w:szCs w:val="24"/>
        </w:rPr>
        <w:t>arın zenginliğini ölçemediğidir</w:t>
      </w:r>
      <w:r w:rsidR="00C9570E">
        <w:rPr>
          <w:sz w:val="24"/>
          <w:szCs w:val="24"/>
        </w:rPr>
        <w:t>. Forbes dergisinin yayınladığı (dolar) milyarderler</w:t>
      </w:r>
      <w:r w:rsidR="000264B0">
        <w:rPr>
          <w:sz w:val="24"/>
          <w:szCs w:val="24"/>
        </w:rPr>
        <w:t>i</w:t>
      </w:r>
      <w:r w:rsidR="00167AC3">
        <w:rPr>
          <w:sz w:val="24"/>
          <w:szCs w:val="24"/>
        </w:rPr>
        <w:t>, dünyanın hiçbir ülkesinde</w:t>
      </w:r>
      <w:r w:rsidR="00C9570E">
        <w:rPr>
          <w:sz w:val="24"/>
          <w:szCs w:val="24"/>
        </w:rPr>
        <w:t xml:space="preserve"> bu </w:t>
      </w:r>
      <w:r w:rsidR="00167AC3">
        <w:rPr>
          <w:sz w:val="24"/>
          <w:szCs w:val="24"/>
        </w:rPr>
        <w:t xml:space="preserve">tür </w:t>
      </w:r>
      <w:r w:rsidR="00C9570E">
        <w:rPr>
          <w:sz w:val="24"/>
          <w:szCs w:val="24"/>
        </w:rPr>
        <w:t xml:space="preserve">anketlerde yer almamaktadır. Her şeye rağmen, bu anketlerden çıkan sonuçlar gelir eşitsizliği konusunda bilgi vermekte ve eşitsizliğin ne yöne doğru evrildiğini gösterebilmektedir. Bu nedenle aşağıda kullanılan “zengin” ve </w:t>
      </w:r>
      <w:r w:rsidR="00B46F3D">
        <w:rPr>
          <w:sz w:val="24"/>
          <w:szCs w:val="24"/>
        </w:rPr>
        <w:t>“zenginlik</w:t>
      </w:r>
      <w:r w:rsidR="00C9570E">
        <w:rPr>
          <w:sz w:val="24"/>
          <w:szCs w:val="24"/>
        </w:rPr>
        <w:t>” tanımları anketlerin erişebildiği kesimlerle sınırlıdır</w:t>
      </w:r>
      <w:r w:rsidR="00C9570E">
        <w:rPr>
          <w:rStyle w:val="FootnoteReference"/>
          <w:sz w:val="24"/>
          <w:szCs w:val="24"/>
        </w:rPr>
        <w:footnoteReference w:id="7"/>
      </w:r>
      <w:r w:rsidR="00C9570E">
        <w:rPr>
          <w:sz w:val="24"/>
          <w:szCs w:val="24"/>
        </w:rPr>
        <w:t>.</w:t>
      </w:r>
      <w:r w:rsidR="000264B0">
        <w:rPr>
          <w:sz w:val="24"/>
          <w:szCs w:val="24"/>
        </w:rPr>
        <w:t xml:space="preserve"> </w:t>
      </w:r>
    </w:p>
    <w:p w14:paraId="56AFAFD0" w14:textId="77777777" w:rsidR="00167AC3" w:rsidRDefault="00854FBF" w:rsidP="002215CE">
      <w:pPr>
        <w:jc w:val="both"/>
        <w:rPr>
          <w:sz w:val="24"/>
          <w:szCs w:val="24"/>
        </w:rPr>
      </w:pPr>
      <w:r>
        <w:rPr>
          <w:sz w:val="24"/>
          <w:szCs w:val="24"/>
        </w:rPr>
        <w:t>Bilindiği üzere, g</w:t>
      </w:r>
      <w:r w:rsidR="00EA5FCF">
        <w:rPr>
          <w:sz w:val="24"/>
          <w:szCs w:val="24"/>
        </w:rPr>
        <w:t>elir dağılımının en alt kesiminde gözlemlenen</w:t>
      </w:r>
      <w:r w:rsidR="00EA5FCF" w:rsidRPr="00EA5FCF">
        <w:rPr>
          <w:sz w:val="24"/>
          <w:szCs w:val="24"/>
        </w:rPr>
        <w:t xml:space="preserve"> yoksulluk, uzun süredir hem akademik araştırmalar hem de siyasi tartışmalar</w:t>
      </w:r>
      <w:r w:rsidR="0058155C">
        <w:rPr>
          <w:sz w:val="24"/>
          <w:szCs w:val="24"/>
        </w:rPr>
        <w:t xml:space="preserve"> içinde</w:t>
      </w:r>
      <w:r w:rsidR="00EA5FCF" w:rsidRPr="00EA5FCF">
        <w:rPr>
          <w:sz w:val="24"/>
          <w:szCs w:val="24"/>
        </w:rPr>
        <w:t xml:space="preserve"> </w:t>
      </w:r>
      <w:r w:rsidR="0058155C">
        <w:rPr>
          <w:sz w:val="24"/>
          <w:szCs w:val="24"/>
        </w:rPr>
        <w:t>önemini koruyor</w:t>
      </w:r>
      <w:r w:rsidR="00EA5FCF" w:rsidRPr="00EA5FCF">
        <w:rPr>
          <w:sz w:val="24"/>
          <w:szCs w:val="24"/>
        </w:rPr>
        <w:t>.</w:t>
      </w:r>
      <w:r w:rsidR="00EA5FCF">
        <w:rPr>
          <w:sz w:val="24"/>
          <w:szCs w:val="24"/>
        </w:rPr>
        <w:t xml:space="preserve"> </w:t>
      </w:r>
      <w:r w:rsidR="0058155C">
        <w:rPr>
          <w:sz w:val="24"/>
          <w:szCs w:val="24"/>
        </w:rPr>
        <w:t>Bununla birlikte son zamanlarda yoksulluğun yanı sıra gelir dağılımının en üstündeki kesimi temsilen zenginlik de ilgi odağı haline gelmeye başladı. U</w:t>
      </w:r>
      <w:r w:rsidR="00EA5FCF">
        <w:rPr>
          <w:sz w:val="24"/>
          <w:szCs w:val="24"/>
        </w:rPr>
        <w:t>zun araştırma geleneği içinde yoksulluğun ölçümü için geliştirilmiş çeşitli yöntemler mevcut.</w:t>
      </w:r>
      <w:r w:rsidR="0058155C">
        <w:rPr>
          <w:sz w:val="24"/>
          <w:szCs w:val="24"/>
        </w:rPr>
        <w:t xml:space="preserve"> Ne var ki yoksulluğun ölçümünde kullanılan yöntemlerin çoğu teknik bazı kısıtlar nedeniyle doğrudan zenginliği ölçmeye uyarlanamıyor. </w:t>
      </w:r>
      <w:r w:rsidR="008979F1">
        <w:rPr>
          <w:sz w:val="24"/>
          <w:szCs w:val="24"/>
        </w:rPr>
        <w:t>Bu konuda yapılan çalışmalar genel olarak zenginliği ölç</w:t>
      </w:r>
      <w:r w:rsidR="00FB7990">
        <w:rPr>
          <w:sz w:val="24"/>
          <w:szCs w:val="24"/>
        </w:rPr>
        <w:t>m</w:t>
      </w:r>
      <w:r w:rsidR="008979F1">
        <w:rPr>
          <w:sz w:val="24"/>
          <w:szCs w:val="24"/>
        </w:rPr>
        <w:t xml:space="preserve">ek için </w:t>
      </w:r>
      <w:r w:rsidR="008979F1" w:rsidRPr="008979F1">
        <w:rPr>
          <w:sz w:val="24"/>
          <w:szCs w:val="24"/>
        </w:rPr>
        <w:t>zengin bireylerin nüfus</w:t>
      </w:r>
      <w:r w:rsidR="008979F1">
        <w:rPr>
          <w:sz w:val="24"/>
          <w:szCs w:val="24"/>
        </w:rPr>
        <w:t xml:space="preserve"> içindeki</w:t>
      </w:r>
      <w:r w:rsidR="008979F1" w:rsidRPr="008979F1">
        <w:rPr>
          <w:sz w:val="24"/>
          <w:szCs w:val="24"/>
        </w:rPr>
        <w:t xml:space="preserve"> payını (</w:t>
      </w:r>
      <w:r w:rsidR="00BF6A5C">
        <w:rPr>
          <w:sz w:val="24"/>
          <w:szCs w:val="24"/>
        </w:rPr>
        <w:t>zengin</w:t>
      </w:r>
      <w:r w:rsidR="008979F1" w:rsidRPr="008979F1">
        <w:rPr>
          <w:sz w:val="24"/>
          <w:szCs w:val="24"/>
        </w:rPr>
        <w:t xml:space="preserve"> oran</w:t>
      </w:r>
      <w:r w:rsidR="00BF6A5C">
        <w:rPr>
          <w:sz w:val="24"/>
          <w:szCs w:val="24"/>
        </w:rPr>
        <w:t>ı</w:t>
      </w:r>
      <w:r w:rsidR="008979F1" w:rsidRPr="008979F1">
        <w:rPr>
          <w:sz w:val="24"/>
          <w:szCs w:val="24"/>
        </w:rPr>
        <w:t>) kullanı</w:t>
      </w:r>
      <w:r w:rsidR="008979F1">
        <w:rPr>
          <w:sz w:val="24"/>
          <w:szCs w:val="24"/>
        </w:rPr>
        <w:t xml:space="preserve">yor. </w:t>
      </w:r>
      <w:r w:rsidR="00FB7990">
        <w:rPr>
          <w:sz w:val="24"/>
          <w:szCs w:val="24"/>
        </w:rPr>
        <w:t>Ancak bu ölçü</w:t>
      </w:r>
      <w:r w:rsidR="00B46F3D">
        <w:rPr>
          <w:sz w:val="24"/>
          <w:szCs w:val="24"/>
        </w:rPr>
        <w:t>t</w:t>
      </w:r>
      <w:r w:rsidR="00B86A3F">
        <w:rPr>
          <w:sz w:val="24"/>
          <w:szCs w:val="24"/>
        </w:rPr>
        <w:t xml:space="preserve">, belli bir sınır değerin üstündeki bireylerin oranını verdiği için, bireyler gelir dağılımındaki konumunu koruduğu sürece gelirdeki değişikliklerden etkilenmeyecektir. </w:t>
      </w:r>
      <w:r w:rsidR="00FB7990">
        <w:rPr>
          <w:sz w:val="24"/>
          <w:szCs w:val="24"/>
        </w:rPr>
        <w:t xml:space="preserve"> </w:t>
      </w:r>
    </w:p>
    <w:p w14:paraId="1F40A4FF" w14:textId="1CDED4AE" w:rsidR="00D011EC" w:rsidRDefault="00B86A3F" w:rsidP="002215CE">
      <w:pPr>
        <w:jc w:val="both"/>
        <w:rPr>
          <w:sz w:val="24"/>
          <w:szCs w:val="24"/>
        </w:rPr>
      </w:pPr>
      <w:r>
        <w:rPr>
          <w:sz w:val="24"/>
          <w:szCs w:val="24"/>
        </w:rPr>
        <w:t>Peichl, Schaefer ve Scheicher (2010)</w:t>
      </w:r>
      <w:r w:rsidR="00D011EC">
        <w:rPr>
          <w:sz w:val="24"/>
          <w:szCs w:val="24"/>
        </w:rPr>
        <w:t xml:space="preserve">, bilinen </w:t>
      </w:r>
      <w:r w:rsidR="00D011EC" w:rsidRPr="00D011EC">
        <w:rPr>
          <w:sz w:val="24"/>
          <w:szCs w:val="24"/>
        </w:rPr>
        <w:t xml:space="preserve">yoksulluk </w:t>
      </w:r>
      <w:r w:rsidR="00B82D44">
        <w:rPr>
          <w:sz w:val="24"/>
          <w:szCs w:val="24"/>
        </w:rPr>
        <w:t>endekslerine</w:t>
      </w:r>
      <w:r w:rsidR="00D011EC" w:rsidRPr="00D011EC">
        <w:rPr>
          <w:sz w:val="24"/>
          <w:szCs w:val="24"/>
        </w:rPr>
        <w:t xml:space="preserve"> benzer</w:t>
      </w:r>
      <w:r w:rsidR="00D011EC">
        <w:rPr>
          <w:sz w:val="24"/>
          <w:szCs w:val="24"/>
        </w:rPr>
        <w:t xml:space="preserve"> şekilde belirli bir zenginlik sınırının üzerindeki </w:t>
      </w:r>
      <w:r w:rsidR="00D011EC" w:rsidRPr="00D011EC">
        <w:rPr>
          <w:sz w:val="24"/>
          <w:szCs w:val="24"/>
        </w:rPr>
        <w:t xml:space="preserve">insan sayısı kadar zenginliğin </w:t>
      </w:r>
      <w:r w:rsidR="00D011EC" w:rsidRPr="00924E0D">
        <w:rPr>
          <w:b/>
          <w:bCs/>
          <w:i/>
          <w:iCs/>
          <w:sz w:val="24"/>
          <w:szCs w:val="24"/>
        </w:rPr>
        <w:t>yoğunluğunu</w:t>
      </w:r>
      <w:r w:rsidR="00D011EC" w:rsidRPr="00D011EC">
        <w:rPr>
          <w:sz w:val="24"/>
          <w:szCs w:val="24"/>
        </w:rPr>
        <w:t xml:space="preserve"> da hesaba kat</w:t>
      </w:r>
      <w:r w:rsidR="00D011EC">
        <w:rPr>
          <w:sz w:val="24"/>
          <w:szCs w:val="24"/>
        </w:rPr>
        <w:t xml:space="preserve">an </w:t>
      </w:r>
      <w:r w:rsidR="00D011EC" w:rsidRPr="00D011EC">
        <w:rPr>
          <w:sz w:val="24"/>
          <w:szCs w:val="24"/>
        </w:rPr>
        <w:lastRenderedPageBreak/>
        <w:t xml:space="preserve">zenginlik </w:t>
      </w:r>
      <w:r w:rsidR="00B82D44">
        <w:rPr>
          <w:sz w:val="24"/>
          <w:szCs w:val="24"/>
        </w:rPr>
        <w:t>endeksleri</w:t>
      </w:r>
      <w:r w:rsidR="00D011EC">
        <w:rPr>
          <w:sz w:val="24"/>
          <w:szCs w:val="24"/>
        </w:rPr>
        <w:t xml:space="preserve"> </w:t>
      </w:r>
      <w:r w:rsidR="00167AC3">
        <w:rPr>
          <w:sz w:val="24"/>
          <w:szCs w:val="24"/>
        </w:rPr>
        <w:t>tanımlıyorlar</w:t>
      </w:r>
      <w:r w:rsidR="00D011EC">
        <w:rPr>
          <w:sz w:val="24"/>
          <w:szCs w:val="24"/>
        </w:rPr>
        <w:t xml:space="preserve">. </w:t>
      </w:r>
      <w:r w:rsidR="00B82D44">
        <w:rPr>
          <w:sz w:val="24"/>
          <w:szCs w:val="24"/>
        </w:rPr>
        <w:t xml:space="preserve">Bu endeksler, </w:t>
      </w:r>
      <w:r w:rsidR="00B82D44" w:rsidRPr="00B82D44">
        <w:rPr>
          <w:sz w:val="24"/>
          <w:szCs w:val="24"/>
        </w:rPr>
        <w:t xml:space="preserve">yoksulluk endeksleri için </w:t>
      </w:r>
      <w:r w:rsidR="00B82D44">
        <w:rPr>
          <w:sz w:val="24"/>
          <w:szCs w:val="24"/>
        </w:rPr>
        <w:t xml:space="preserve">önerilen </w:t>
      </w:r>
      <w:r w:rsidR="00B82D44" w:rsidRPr="00B82D44">
        <w:rPr>
          <w:sz w:val="24"/>
          <w:szCs w:val="24"/>
        </w:rPr>
        <w:t>aksiyomlar</w:t>
      </w:r>
      <w:r w:rsidR="00B82D44">
        <w:rPr>
          <w:sz w:val="24"/>
          <w:szCs w:val="24"/>
        </w:rPr>
        <w:t>la ilgili</w:t>
      </w:r>
      <w:r w:rsidR="00B82D44" w:rsidRPr="00B82D44">
        <w:rPr>
          <w:sz w:val="24"/>
          <w:szCs w:val="24"/>
        </w:rPr>
        <w:t xml:space="preserve"> </w:t>
      </w:r>
      <w:r w:rsidR="00B82D44">
        <w:rPr>
          <w:sz w:val="24"/>
          <w:szCs w:val="24"/>
        </w:rPr>
        <w:t>yazın</w:t>
      </w:r>
      <w:r w:rsidR="00167AC3">
        <w:rPr>
          <w:sz w:val="24"/>
          <w:szCs w:val="24"/>
        </w:rPr>
        <w:t>da olduğu gibi birçok</w:t>
      </w:r>
      <w:r w:rsidR="00B82D44" w:rsidRPr="00B82D44">
        <w:rPr>
          <w:sz w:val="24"/>
          <w:szCs w:val="24"/>
        </w:rPr>
        <w:t xml:space="preserve"> arzu edilen özelliklere sahip</w:t>
      </w:r>
      <w:r w:rsidR="00B82D44">
        <w:rPr>
          <w:sz w:val="24"/>
          <w:szCs w:val="24"/>
        </w:rPr>
        <w:t xml:space="preserve">. </w:t>
      </w:r>
      <w:r w:rsidR="00E04BDE">
        <w:rPr>
          <w:sz w:val="24"/>
          <w:szCs w:val="24"/>
        </w:rPr>
        <w:t xml:space="preserve">Yoksulluk yazınından uyarlanan aksiyomların çoğu bire bir zenginlik </w:t>
      </w:r>
      <w:r w:rsidR="00555C08">
        <w:rPr>
          <w:sz w:val="24"/>
          <w:szCs w:val="24"/>
        </w:rPr>
        <w:t xml:space="preserve">endekslerine uygulanabilirken </w:t>
      </w:r>
      <w:r w:rsidR="00555C08" w:rsidRPr="00555C08">
        <w:rPr>
          <w:i/>
          <w:iCs/>
          <w:sz w:val="24"/>
          <w:szCs w:val="24"/>
        </w:rPr>
        <w:t>transfer aksiyomu</w:t>
      </w:r>
      <w:r w:rsidR="00555C08">
        <w:rPr>
          <w:sz w:val="24"/>
          <w:szCs w:val="24"/>
        </w:rPr>
        <w:t>nun bire bir uyarlanması söz konusu değil ve daha ayrıntılı bir tartışma gerekti</w:t>
      </w:r>
      <w:r w:rsidR="00167AC3">
        <w:rPr>
          <w:sz w:val="24"/>
          <w:szCs w:val="24"/>
        </w:rPr>
        <w:t>riyor</w:t>
      </w:r>
      <w:r w:rsidR="00555C08">
        <w:rPr>
          <w:sz w:val="24"/>
          <w:szCs w:val="24"/>
        </w:rPr>
        <w:t xml:space="preserve">. </w:t>
      </w:r>
    </w:p>
    <w:p w14:paraId="1F05BEF7" w14:textId="0D4BCAC4" w:rsidR="00175645" w:rsidRDefault="00117804" w:rsidP="002215CE">
      <w:pPr>
        <w:jc w:val="both"/>
        <w:rPr>
          <w:sz w:val="24"/>
          <w:szCs w:val="24"/>
        </w:rPr>
      </w:pPr>
      <w:r>
        <w:rPr>
          <w:sz w:val="24"/>
          <w:szCs w:val="24"/>
        </w:rPr>
        <w:t>Yoksulluk endeksi çerçevesinde, yoksul</w:t>
      </w:r>
      <w:r w:rsidRPr="00117804">
        <w:rPr>
          <w:sz w:val="24"/>
          <w:szCs w:val="24"/>
        </w:rPr>
        <w:t xml:space="preserve"> bir kişiden daha</w:t>
      </w:r>
      <w:r>
        <w:rPr>
          <w:sz w:val="24"/>
          <w:szCs w:val="24"/>
        </w:rPr>
        <w:t xml:space="preserve"> yoksul</w:t>
      </w:r>
      <w:r w:rsidRPr="00117804">
        <w:rPr>
          <w:sz w:val="24"/>
          <w:szCs w:val="24"/>
        </w:rPr>
        <w:t xml:space="preserve"> olan birine sıralamayı koruyan </w:t>
      </w:r>
      <w:r w:rsidR="00167AC3">
        <w:rPr>
          <w:sz w:val="24"/>
          <w:szCs w:val="24"/>
        </w:rPr>
        <w:t>‘</w:t>
      </w:r>
      <w:r>
        <w:rPr>
          <w:sz w:val="24"/>
          <w:szCs w:val="24"/>
        </w:rPr>
        <w:t>progresif</w:t>
      </w:r>
      <w:r w:rsidR="00167AC3">
        <w:rPr>
          <w:sz w:val="24"/>
          <w:szCs w:val="24"/>
        </w:rPr>
        <w:t>’</w:t>
      </w:r>
      <w:r w:rsidRPr="00117804">
        <w:rPr>
          <w:sz w:val="24"/>
          <w:szCs w:val="24"/>
        </w:rPr>
        <w:t xml:space="preserve"> bir transfer gerçekleştiğinde </w:t>
      </w:r>
      <w:r>
        <w:rPr>
          <w:sz w:val="24"/>
          <w:szCs w:val="24"/>
        </w:rPr>
        <w:t>e</w:t>
      </w:r>
      <w:r w:rsidRPr="00117804">
        <w:rPr>
          <w:sz w:val="24"/>
          <w:szCs w:val="24"/>
        </w:rPr>
        <w:t>ndeks azalırsa</w:t>
      </w:r>
      <w:r>
        <w:rPr>
          <w:sz w:val="24"/>
          <w:szCs w:val="24"/>
        </w:rPr>
        <w:t xml:space="preserve"> transfer aksiyomu karşılanmış olu</w:t>
      </w:r>
      <w:r w:rsidR="00167AC3">
        <w:rPr>
          <w:sz w:val="24"/>
          <w:szCs w:val="24"/>
        </w:rPr>
        <w:t>yo</w:t>
      </w:r>
      <w:r>
        <w:rPr>
          <w:sz w:val="24"/>
          <w:szCs w:val="24"/>
        </w:rPr>
        <w:t>r</w:t>
      </w:r>
      <w:r w:rsidRPr="00117804">
        <w:rPr>
          <w:sz w:val="24"/>
          <w:szCs w:val="24"/>
        </w:rPr>
        <w:t xml:space="preserve">. Bu özellik, zenginlik ölçümüne iki farklı şekilde </w:t>
      </w:r>
      <w:r w:rsidR="00854FBF">
        <w:rPr>
          <w:sz w:val="24"/>
          <w:szCs w:val="24"/>
        </w:rPr>
        <w:t>uyarlanabiliyor</w:t>
      </w:r>
      <w:r>
        <w:rPr>
          <w:sz w:val="24"/>
          <w:szCs w:val="24"/>
        </w:rPr>
        <w:t xml:space="preserve">: </w:t>
      </w:r>
      <w:r w:rsidR="00E01442">
        <w:rPr>
          <w:sz w:val="24"/>
          <w:szCs w:val="24"/>
        </w:rPr>
        <w:t>İki zengin arasında sıralamayı koruyan progresif</w:t>
      </w:r>
      <w:r w:rsidR="00E01442" w:rsidRPr="00E01442">
        <w:rPr>
          <w:sz w:val="24"/>
          <w:szCs w:val="24"/>
        </w:rPr>
        <w:t xml:space="preserve"> bir transfer gerçekleştiğinde </w:t>
      </w:r>
      <w:r w:rsidR="00E01442">
        <w:rPr>
          <w:sz w:val="24"/>
          <w:szCs w:val="24"/>
        </w:rPr>
        <w:t>birinci transfer aksiyomuna (T1) göre bir zenginlik e</w:t>
      </w:r>
      <w:r w:rsidR="00E01442" w:rsidRPr="00E01442">
        <w:rPr>
          <w:sz w:val="24"/>
          <w:szCs w:val="24"/>
        </w:rPr>
        <w:t>nde</w:t>
      </w:r>
      <w:r w:rsidR="00E01442">
        <w:rPr>
          <w:sz w:val="24"/>
          <w:szCs w:val="24"/>
        </w:rPr>
        <w:t xml:space="preserve">ksi </w:t>
      </w:r>
      <w:r w:rsidR="00E01442" w:rsidRPr="00E01442">
        <w:rPr>
          <w:sz w:val="24"/>
          <w:szCs w:val="24"/>
        </w:rPr>
        <w:t>artmalıdır</w:t>
      </w:r>
      <w:r w:rsidR="00167AC3">
        <w:rPr>
          <w:sz w:val="24"/>
          <w:szCs w:val="24"/>
        </w:rPr>
        <w:t>;</w:t>
      </w:r>
      <w:r w:rsidR="00E01442">
        <w:rPr>
          <w:sz w:val="24"/>
          <w:szCs w:val="24"/>
        </w:rPr>
        <w:t xml:space="preserve"> ikinci transfer aksiyomuna (T2) göreyse azalmalıdır. </w:t>
      </w:r>
      <w:r w:rsidR="00854FBF">
        <w:rPr>
          <w:sz w:val="24"/>
          <w:szCs w:val="24"/>
        </w:rPr>
        <w:t>Daha basitleştirecek olursak bu iki karşıt aksiyom</w:t>
      </w:r>
      <w:r w:rsidR="00854FBF" w:rsidRPr="00854FBF">
        <w:rPr>
          <w:sz w:val="24"/>
          <w:szCs w:val="24"/>
        </w:rPr>
        <w:t xml:space="preserve"> tanımı</w:t>
      </w:r>
      <w:r w:rsidR="00854FBF">
        <w:rPr>
          <w:sz w:val="24"/>
          <w:szCs w:val="24"/>
        </w:rPr>
        <w:t xml:space="preserve">nın ardındaki soruyu şu şekilde ifade </w:t>
      </w:r>
      <w:r w:rsidR="00AC057A">
        <w:rPr>
          <w:sz w:val="24"/>
          <w:szCs w:val="24"/>
        </w:rPr>
        <w:t>edebiliriz:</w:t>
      </w:r>
      <w:r w:rsidR="00854FBF">
        <w:rPr>
          <w:sz w:val="24"/>
          <w:szCs w:val="24"/>
        </w:rPr>
        <w:t xml:space="preserve"> "B</w:t>
      </w:r>
      <w:r w:rsidR="00854FBF" w:rsidRPr="00854FBF">
        <w:rPr>
          <w:sz w:val="24"/>
          <w:szCs w:val="24"/>
        </w:rPr>
        <w:t>ir</w:t>
      </w:r>
      <w:r w:rsidR="00854FBF">
        <w:rPr>
          <w:sz w:val="24"/>
          <w:szCs w:val="24"/>
        </w:rPr>
        <w:t xml:space="preserve"> zenginlik indeksi</w:t>
      </w:r>
      <w:r w:rsidR="00E153EE">
        <w:rPr>
          <w:sz w:val="24"/>
          <w:szCs w:val="24"/>
        </w:rPr>
        <w:t>,</w:t>
      </w:r>
      <w:r w:rsidR="00854FBF">
        <w:rPr>
          <w:sz w:val="24"/>
          <w:szCs w:val="24"/>
        </w:rPr>
        <w:t xml:space="preserve"> </w:t>
      </w:r>
      <w:r w:rsidR="00854FBF" w:rsidRPr="00167AC3">
        <w:rPr>
          <w:iCs/>
          <w:sz w:val="24"/>
          <w:szCs w:val="24"/>
        </w:rPr>
        <w:t xml:space="preserve">(i) </w:t>
      </w:r>
      <w:r w:rsidR="00854FBF" w:rsidRPr="00854FBF">
        <w:rPr>
          <w:sz w:val="24"/>
          <w:szCs w:val="24"/>
        </w:rPr>
        <w:t xml:space="preserve">bir milyarder bir milyonere </w:t>
      </w:r>
      <w:r w:rsidR="00854FBF" w:rsidRPr="00854FBF">
        <w:rPr>
          <w:i/>
          <w:sz w:val="24"/>
          <w:szCs w:val="24"/>
        </w:rPr>
        <w:t xml:space="preserve">X </w:t>
      </w:r>
      <w:r w:rsidR="00854FBF">
        <w:rPr>
          <w:sz w:val="24"/>
          <w:szCs w:val="24"/>
        </w:rPr>
        <w:t>miktar verirse mi, yoksa</w:t>
      </w:r>
      <w:r w:rsidR="00854FBF" w:rsidRPr="00854FBF">
        <w:rPr>
          <w:sz w:val="24"/>
          <w:szCs w:val="24"/>
        </w:rPr>
        <w:t xml:space="preserve"> </w:t>
      </w:r>
      <w:r w:rsidR="00854FBF" w:rsidRPr="00167AC3">
        <w:rPr>
          <w:iCs/>
          <w:sz w:val="24"/>
          <w:szCs w:val="24"/>
        </w:rPr>
        <w:t xml:space="preserve">(ii) </w:t>
      </w:r>
      <w:r w:rsidR="00854FBF">
        <w:rPr>
          <w:sz w:val="24"/>
          <w:szCs w:val="24"/>
        </w:rPr>
        <w:t xml:space="preserve">bir </w:t>
      </w:r>
      <w:r w:rsidR="00854FBF" w:rsidRPr="00854FBF">
        <w:rPr>
          <w:sz w:val="24"/>
          <w:szCs w:val="24"/>
        </w:rPr>
        <w:t xml:space="preserve">milyoner </w:t>
      </w:r>
      <w:r w:rsidR="00854FBF">
        <w:rPr>
          <w:sz w:val="24"/>
          <w:szCs w:val="24"/>
        </w:rPr>
        <w:t xml:space="preserve">bir milyardere </w:t>
      </w:r>
      <w:r w:rsidR="00854FBF" w:rsidRPr="00854FBF">
        <w:rPr>
          <w:i/>
          <w:sz w:val="24"/>
          <w:szCs w:val="24"/>
        </w:rPr>
        <w:t>X</w:t>
      </w:r>
      <w:r w:rsidR="00854FBF" w:rsidRPr="00854FBF">
        <w:rPr>
          <w:sz w:val="24"/>
          <w:szCs w:val="24"/>
        </w:rPr>
        <w:t xml:space="preserve"> verirse</w:t>
      </w:r>
      <w:r w:rsidR="00854FBF">
        <w:rPr>
          <w:sz w:val="24"/>
          <w:szCs w:val="24"/>
        </w:rPr>
        <w:t xml:space="preserve"> mi artmalıdır</w:t>
      </w:r>
      <w:r w:rsidR="00854FBF" w:rsidRPr="00854FBF">
        <w:rPr>
          <w:sz w:val="24"/>
          <w:szCs w:val="24"/>
        </w:rPr>
        <w:t>?"</w:t>
      </w:r>
      <w:r w:rsidR="00854FBF">
        <w:rPr>
          <w:sz w:val="24"/>
          <w:szCs w:val="24"/>
        </w:rPr>
        <w:t xml:space="preserve"> Yaklaşımlardan biri </w:t>
      </w:r>
      <w:r w:rsidR="00CA17FF">
        <w:rPr>
          <w:sz w:val="24"/>
          <w:szCs w:val="24"/>
        </w:rPr>
        <w:t xml:space="preserve">diğerinden daha üstün olmamakla birlikte </w:t>
      </w:r>
      <w:r w:rsidR="00E153EE">
        <w:rPr>
          <w:sz w:val="24"/>
          <w:szCs w:val="24"/>
        </w:rPr>
        <w:t xml:space="preserve">(birinci aksiyomun daha sınırlı olduğu ve uygulamalı çalışmalarda daha dikkatli kullanılması gerektiğini hatırlatarak) </w:t>
      </w:r>
      <w:r w:rsidR="00CA17FF">
        <w:rPr>
          <w:sz w:val="24"/>
          <w:szCs w:val="24"/>
        </w:rPr>
        <w:t xml:space="preserve">hangisinin kullanılacağı </w:t>
      </w:r>
      <w:r w:rsidR="00854FBF">
        <w:rPr>
          <w:sz w:val="24"/>
          <w:szCs w:val="24"/>
        </w:rPr>
        <w:t>araştırma sorusuna ve po</w:t>
      </w:r>
      <w:r w:rsidR="00CA17FF">
        <w:rPr>
          <w:sz w:val="24"/>
          <w:szCs w:val="24"/>
        </w:rPr>
        <w:t xml:space="preserve">litika odağına göre seçilebilir. </w:t>
      </w:r>
    </w:p>
    <w:p w14:paraId="597C86D9" w14:textId="78F66175" w:rsidR="00167AC3" w:rsidRDefault="00CA17FF" w:rsidP="002215CE">
      <w:pPr>
        <w:jc w:val="both"/>
        <w:rPr>
          <w:sz w:val="24"/>
          <w:szCs w:val="24"/>
        </w:rPr>
      </w:pPr>
      <w:r>
        <w:rPr>
          <w:sz w:val="24"/>
          <w:szCs w:val="24"/>
        </w:rPr>
        <w:t xml:space="preserve">Birinci aksiyoma göre endeksin artması zenginlerin kendi içlerinde daha eşit dağılımına ve zenginliğin artmasına işaret edecektir. </w:t>
      </w:r>
      <w:r w:rsidRPr="00CA17FF">
        <w:rPr>
          <w:sz w:val="24"/>
          <w:szCs w:val="24"/>
        </w:rPr>
        <w:t>Zenginlerin daha eşit dağılımı, muhtemelen daha eşit çıkarlara sahip daha homojen bir gruba ve dolayısıyla toplumu etkileyen kararla</w:t>
      </w:r>
      <w:r>
        <w:rPr>
          <w:sz w:val="24"/>
          <w:szCs w:val="24"/>
        </w:rPr>
        <w:t>r üzerinde daha fazla etkili olmalarına</w:t>
      </w:r>
      <w:r w:rsidR="006B7BB6">
        <w:rPr>
          <w:sz w:val="24"/>
          <w:szCs w:val="24"/>
        </w:rPr>
        <w:t xml:space="preserve"> ve nüfus içinde daha görünür olmalarına yol</w:t>
      </w:r>
      <w:r w:rsidRPr="00CA17FF">
        <w:rPr>
          <w:sz w:val="24"/>
          <w:szCs w:val="24"/>
        </w:rPr>
        <w:t xml:space="preserve"> açacaktır. Zenginlerin bu iç homojenliğiyle ilgilenen </w:t>
      </w:r>
      <w:r w:rsidR="006B7BB6">
        <w:rPr>
          <w:sz w:val="24"/>
          <w:szCs w:val="24"/>
        </w:rPr>
        <w:t>bir araştırmacı veya politika yapıcı için uygun olan bu yaklaşım bir yanıyla</w:t>
      </w:r>
      <w:r w:rsidRPr="00CA17FF">
        <w:rPr>
          <w:sz w:val="24"/>
          <w:szCs w:val="24"/>
        </w:rPr>
        <w:t xml:space="preserve"> "kutuplaşma</w:t>
      </w:r>
      <w:r w:rsidR="006B7BB6">
        <w:rPr>
          <w:sz w:val="24"/>
          <w:szCs w:val="24"/>
        </w:rPr>
        <w:t>” görüşü ile benzerlik taşır. Y</w:t>
      </w:r>
      <w:r w:rsidRPr="00CA17FF">
        <w:rPr>
          <w:sz w:val="24"/>
          <w:szCs w:val="24"/>
        </w:rPr>
        <w:t xml:space="preserve">ani </w:t>
      </w:r>
      <w:r w:rsidR="006B7BB6">
        <w:rPr>
          <w:sz w:val="24"/>
          <w:szCs w:val="24"/>
        </w:rPr>
        <w:t xml:space="preserve">gelir </w:t>
      </w:r>
      <w:r w:rsidRPr="00CA17FF">
        <w:rPr>
          <w:sz w:val="24"/>
          <w:szCs w:val="24"/>
        </w:rPr>
        <w:t>dağılımın</w:t>
      </w:r>
      <w:r w:rsidR="006B7BB6">
        <w:rPr>
          <w:sz w:val="24"/>
          <w:szCs w:val="24"/>
        </w:rPr>
        <w:t>ın üst kısmında homojenlik</w:t>
      </w:r>
      <w:r w:rsidRPr="00CA17FF">
        <w:rPr>
          <w:sz w:val="24"/>
          <w:szCs w:val="24"/>
        </w:rPr>
        <w:t xml:space="preserve"> arttığında zenginlik a</w:t>
      </w:r>
      <w:r w:rsidR="006B7BB6">
        <w:rPr>
          <w:sz w:val="24"/>
          <w:szCs w:val="24"/>
        </w:rPr>
        <w:t xml:space="preserve">rtar ve dolayısıyla kutuplaşma </w:t>
      </w:r>
      <w:r w:rsidRPr="00CA17FF">
        <w:rPr>
          <w:sz w:val="24"/>
          <w:szCs w:val="24"/>
        </w:rPr>
        <w:t>da artar</w:t>
      </w:r>
      <w:r w:rsidR="002838F8">
        <w:rPr>
          <w:sz w:val="24"/>
          <w:szCs w:val="24"/>
        </w:rPr>
        <w:t xml:space="preserve">. </w:t>
      </w:r>
    </w:p>
    <w:p w14:paraId="01A725D8" w14:textId="15146CBF" w:rsidR="00555C08" w:rsidRDefault="002838F8" w:rsidP="002215CE">
      <w:pPr>
        <w:jc w:val="both"/>
        <w:rPr>
          <w:sz w:val="24"/>
          <w:szCs w:val="24"/>
        </w:rPr>
      </w:pPr>
      <w:r w:rsidRPr="002838F8">
        <w:rPr>
          <w:sz w:val="24"/>
          <w:szCs w:val="24"/>
        </w:rPr>
        <w:t>Bu</w:t>
      </w:r>
      <w:r>
        <w:rPr>
          <w:sz w:val="24"/>
          <w:szCs w:val="24"/>
        </w:rPr>
        <w:t xml:space="preserve"> görüş</w:t>
      </w:r>
      <w:r w:rsidRPr="002838F8">
        <w:rPr>
          <w:sz w:val="24"/>
          <w:szCs w:val="24"/>
        </w:rPr>
        <w:t>,</w:t>
      </w:r>
      <w:r>
        <w:rPr>
          <w:sz w:val="24"/>
          <w:szCs w:val="24"/>
        </w:rPr>
        <w:t xml:space="preserve"> ikinci aksiyomun önerdiği, zenginler arasında eşitsizlik arttığında endeksin artacağı dolayısıyla da zenginliğin artacağı </w:t>
      </w:r>
      <w:r w:rsidRPr="002838F8">
        <w:rPr>
          <w:sz w:val="24"/>
          <w:szCs w:val="24"/>
        </w:rPr>
        <w:t>"eşits</w:t>
      </w:r>
      <w:r>
        <w:rPr>
          <w:sz w:val="24"/>
          <w:szCs w:val="24"/>
        </w:rPr>
        <w:t>izlik görüşü" ile çelişir. Bu ikinci yaklaşım ise</w:t>
      </w:r>
      <w:r w:rsidRPr="002838F8">
        <w:rPr>
          <w:sz w:val="24"/>
          <w:szCs w:val="24"/>
        </w:rPr>
        <w:t>, zenginliğin birkaç kişinin elinde yoğunlaşması</w:t>
      </w:r>
      <w:r>
        <w:rPr>
          <w:sz w:val="24"/>
          <w:szCs w:val="24"/>
        </w:rPr>
        <w:t xml:space="preserve"> üzerine odaklanan bir araştırmacı veya politika yapıcı için </w:t>
      </w:r>
      <w:r w:rsidRPr="002838F8">
        <w:rPr>
          <w:sz w:val="24"/>
          <w:szCs w:val="24"/>
        </w:rPr>
        <w:t xml:space="preserve">daha uygun </w:t>
      </w:r>
      <w:r>
        <w:rPr>
          <w:sz w:val="24"/>
          <w:szCs w:val="24"/>
        </w:rPr>
        <w:t>olacaktır</w:t>
      </w:r>
      <w:r w:rsidRPr="002838F8">
        <w:rPr>
          <w:sz w:val="24"/>
          <w:szCs w:val="24"/>
        </w:rPr>
        <w:t>. Bu görüş, zenginliği bir güç kaynağı olarak gören Atkinson (2007) ve Leigh'in (2009) görüşleriyle de daha tutarlıdır.</w:t>
      </w:r>
      <w:r>
        <w:rPr>
          <w:sz w:val="24"/>
          <w:szCs w:val="24"/>
        </w:rPr>
        <w:t xml:space="preserve"> Bu çalışmada biz de zenginliğin değişimini bu ik</w:t>
      </w:r>
      <w:r w:rsidR="00FF49E6">
        <w:rPr>
          <w:sz w:val="24"/>
          <w:szCs w:val="24"/>
        </w:rPr>
        <w:t>inci aksiyomun ima ettiği</w:t>
      </w:r>
      <w:r>
        <w:rPr>
          <w:sz w:val="24"/>
          <w:szCs w:val="24"/>
        </w:rPr>
        <w:t xml:space="preserve"> eşitsizlik görüşü ekseninde ele alıyoruz. </w:t>
      </w:r>
    </w:p>
    <w:p w14:paraId="4ABDAD27" w14:textId="3F815472" w:rsidR="002901AC" w:rsidRPr="006F2559" w:rsidRDefault="001777EF" w:rsidP="002215CE">
      <w:pPr>
        <w:jc w:val="both"/>
        <w:rPr>
          <w:sz w:val="24"/>
          <w:szCs w:val="24"/>
        </w:rPr>
      </w:pPr>
      <w:r>
        <w:rPr>
          <w:sz w:val="24"/>
          <w:szCs w:val="24"/>
        </w:rPr>
        <w:t>Birçok</w:t>
      </w:r>
      <w:r w:rsidR="00175645">
        <w:rPr>
          <w:sz w:val="24"/>
          <w:szCs w:val="24"/>
        </w:rPr>
        <w:t xml:space="preserve"> çalışma, zenginlik ölçütü olarak nüfusun en zengin yüzde onluk dilimi ele alırken, bu çalışma daha farklı, yoksulluk çalışmalarına benzer bir yaklaşımla, </w:t>
      </w:r>
      <w:r w:rsidR="00765A7D">
        <w:rPr>
          <w:sz w:val="24"/>
          <w:szCs w:val="24"/>
        </w:rPr>
        <w:t>belli bir eşik değer belirle</w:t>
      </w:r>
      <w:r w:rsidR="00175645">
        <w:rPr>
          <w:sz w:val="24"/>
          <w:szCs w:val="24"/>
        </w:rPr>
        <w:t>yerek, bunun üzerinde kalan kişileri ‘zengin’ olarak tanımlıyor.</w:t>
      </w:r>
      <w:r w:rsidR="00765A7D">
        <w:rPr>
          <w:sz w:val="24"/>
          <w:szCs w:val="24"/>
        </w:rPr>
        <w:t xml:space="preserve"> </w:t>
      </w:r>
      <w:r w:rsidR="00175645">
        <w:rPr>
          <w:sz w:val="24"/>
          <w:szCs w:val="24"/>
        </w:rPr>
        <w:t xml:space="preserve">Gelişmiş ülkeleri </w:t>
      </w:r>
      <w:r w:rsidR="00175645" w:rsidRPr="0074484A">
        <w:rPr>
          <w:sz w:val="24"/>
          <w:szCs w:val="24"/>
        </w:rPr>
        <w:t xml:space="preserve">ele </w:t>
      </w:r>
      <w:r w:rsidRPr="0074484A">
        <w:rPr>
          <w:sz w:val="24"/>
          <w:szCs w:val="24"/>
        </w:rPr>
        <w:t>alan</w:t>
      </w:r>
      <w:r>
        <w:rPr>
          <w:sz w:val="24"/>
          <w:szCs w:val="24"/>
        </w:rPr>
        <w:t xml:space="preserve"> </w:t>
      </w:r>
      <w:r w:rsidR="00175645">
        <w:rPr>
          <w:sz w:val="24"/>
          <w:szCs w:val="24"/>
        </w:rPr>
        <w:t>çalışmalarda</w:t>
      </w:r>
      <w:r w:rsidR="00765A7D">
        <w:rPr>
          <w:sz w:val="24"/>
          <w:szCs w:val="24"/>
        </w:rPr>
        <w:t xml:space="preserve"> yaygın olarak </w:t>
      </w:r>
      <w:r w:rsidR="00175645">
        <w:rPr>
          <w:sz w:val="24"/>
          <w:szCs w:val="24"/>
        </w:rPr>
        <w:t>ortanca (</w:t>
      </w:r>
      <w:r w:rsidR="00175645" w:rsidRPr="00F429C6">
        <w:rPr>
          <w:sz w:val="24"/>
          <w:szCs w:val="24"/>
        </w:rPr>
        <w:t>medyan</w:t>
      </w:r>
      <w:r w:rsidR="00175645">
        <w:rPr>
          <w:sz w:val="24"/>
          <w:szCs w:val="24"/>
        </w:rPr>
        <w:t xml:space="preserve">) </w:t>
      </w:r>
      <w:r w:rsidR="00765A7D">
        <w:rPr>
          <w:sz w:val="24"/>
          <w:szCs w:val="24"/>
        </w:rPr>
        <w:t xml:space="preserve">gelirin iki katı olarak belirlenen </w:t>
      </w:r>
      <w:r w:rsidR="00765A7D" w:rsidRPr="00F429C6">
        <w:rPr>
          <w:sz w:val="24"/>
          <w:szCs w:val="24"/>
        </w:rPr>
        <w:t>(bkz. Medeiros</w:t>
      </w:r>
      <w:r w:rsidR="00765A7D">
        <w:rPr>
          <w:sz w:val="24"/>
          <w:szCs w:val="24"/>
        </w:rPr>
        <w:t xml:space="preserve"> (2</w:t>
      </w:r>
      <w:r w:rsidR="00765A7D" w:rsidRPr="00F429C6">
        <w:rPr>
          <w:sz w:val="24"/>
          <w:szCs w:val="24"/>
        </w:rPr>
        <w:t>006)</w:t>
      </w:r>
      <w:r w:rsidR="00765A7D">
        <w:rPr>
          <w:sz w:val="24"/>
          <w:szCs w:val="24"/>
        </w:rPr>
        <w:t>, Peichl vd. (2010)) zenginlik sınırı</w:t>
      </w:r>
      <w:r w:rsidR="007B2981">
        <w:rPr>
          <w:sz w:val="24"/>
          <w:szCs w:val="24"/>
        </w:rPr>
        <w:t>,</w:t>
      </w:r>
      <w:r w:rsidR="00765A7D">
        <w:rPr>
          <w:sz w:val="24"/>
          <w:szCs w:val="24"/>
        </w:rPr>
        <w:t xml:space="preserve"> bu çalışmada </w:t>
      </w:r>
      <w:r w:rsidR="00175645">
        <w:rPr>
          <w:sz w:val="24"/>
          <w:szCs w:val="24"/>
        </w:rPr>
        <w:t xml:space="preserve">ise her yıl ortanca </w:t>
      </w:r>
      <w:r w:rsidR="00765A7D" w:rsidRPr="00F429C6">
        <w:rPr>
          <w:sz w:val="24"/>
          <w:szCs w:val="24"/>
        </w:rPr>
        <w:t xml:space="preserve">eşdeğer gelirin </w:t>
      </w:r>
      <w:r w:rsidR="00765A7D">
        <w:rPr>
          <w:sz w:val="24"/>
          <w:szCs w:val="24"/>
        </w:rPr>
        <w:t>üç katı olarak belirle</w:t>
      </w:r>
      <w:r w:rsidR="007B2981">
        <w:rPr>
          <w:sz w:val="24"/>
          <w:szCs w:val="24"/>
        </w:rPr>
        <w:t>nmiştir</w:t>
      </w:r>
      <w:r w:rsidR="00175645">
        <w:rPr>
          <w:rStyle w:val="FootnoteReference"/>
          <w:sz w:val="24"/>
          <w:szCs w:val="24"/>
        </w:rPr>
        <w:footnoteReference w:id="8"/>
      </w:r>
      <w:r w:rsidR="007B2981">
        <w:rPr>
          <w:sz w:val="24"/>
          <w:szCs w:val="24"/>
        </w:rPr>
        <w:t xml:space="preserve">. </w:t>
      </w:r>
    </w:p>
    <w:p w14:paraId="4865E720" w14:textId="61566716" w:rsidR="003375A4" w:rsidRPr="007B2981" w:rsidRDefault="00175645" w:rsidP="002215CE">
      <w:pPr>
        <w:jc w:val="both"/>
        <w:rPr>
          <w:b/>
          <w:sz w:val="24"/>
          <w:szCs w:val="24"/>
        </w:rPr>
      </w:pPr>
      <w:r>
        <w:rPr>
          <w:b/>
          <w:sz w:val="24"/>
          <w:szCs w:val="24"/>
        </w:rPr>
        <w:t>Türkiye’de z</w:t>
      </w:r>
      <w:r w:rsidR="00A73BFC" w:rsidRPr="00A73BFC">
        <w:rPr>
          <w:b/>
          <w:sz w:val="24"/>
          <w:szCs w:val="24"/>
        </w:rPr>
        <w:t>enginler ve zenginli</w:t>
      </w:r>
      <w:r>
        <w:rPr>
          <w:b/>
          <w:sz w:val="24"/>
          <w:szCs w:val="24"/>
        </w:rPr>
        <w:t>ğin seyri</w:t>
      </w:r>
    </w:p>
    <w:p w14:paraId="3EE984E7" w14:textId="51941FAB" w:rsidR="00175645" w:rsidRDefault="00175645" w:rsidP="002215CE">
      <w:pPr>
        <w:jc w:val="both"/>
        <w:rPr>
          <w:color w:val="FF0000"/>
          <w:sz w:val="24"/>
          <w:szCs w:val="24"/>
        </w:rPr>
      </w:pPr>
      <w:r>
        <w:rPr>
          <w:sz w:val="24"/>
          <w:szCs w:val="24"/>
        </w:rPr>
        <w:t>İlk olarak, zengin olarak tanımlanan kesimin toplum içerisindeki paylarına bakıyoruz. Zaman içindeki dalgalanmalara rağmen,</w:t>
      </w:r>
      <w:r w:rsidR="00694736">
        <w:rPr>
          <w:sz w:val="24"/>
          <w:szCs w:val="24"/>
        </w:rPr>
        <w:t xml:space="preserve"> zenginlerin toplam nüfus</w:t>
      </w:r>
      <w:r w:rsidR="00A73BFC">
        <w:rPr>
          <w:sz w:val="24"/>
          <w:szCs w:val="24"/>
        </w:rPr>
        <w:t xml:space="preserve"> içindeki payının genel eğilimi 2014 yılına kadar </w:t>
      </w:r>
      <w:r w:rsidR="00E4433F">
        <w:rPr>
          <w:sz w:val="24"/>
          <w:szCs w:val="24"/>
        </w:rPr>
        <w:t>değişmezken</w:t>
      </w:r>
      <w:r w:rsidR="00A73BFC">
        <w:rPr>
          <w:sz w:val="24"/>
          <w:szCs w:val="24"/>
        </w:rPr>
        <w:t>, bu yıldan sonra azalma eğilimine gir</w:t>
      </w:r>
      <w:r>
        <w:rPr>
          <w:sz w:val="24"/>
          <w:szCs w:val="24"/>
        </w:rPr>
        <w:t>iyor</w:t>
      </w:r>
      <w:r w:rsidR="0022552E">
        <w:rPr>
          <w:sz w:val="24"/>
          <w:szCs w:val="24"/>
        </w:rPr>
        <w:t xml:space="preserve"> (Şekil 2)</w:t>
      </w:r>
      <w:r w:rsidR="00A73BFC">
        <w:rPr>
          <w:sz w:val="24"/>
          <w:szCs w:val="24"/>
        </w:rPr>
        <w:t>.</w:t>
      </w:r>
      <w:r>
        <w:rPr>
          <w:sz w:val="24"/>
          <w:szCs w:val="24"/>
        </w:rPr>
        <w:t xml:space="preserve"> Eşitsizliğin azaldığı dönemde zenginlerin oranı değişmezken, eşitsizliğin arttığı dönemde</w:t>
      </w:r>
      <w:r w:rsidR="00042A83">
        <w:rPr>
          <w:sz w:val="24"/>
          <w:szCs w:val="24"/>
        </w:rPr>
        <w:t xml:space="preserve"> </w:t>
      </w:r>
      <w:r w:rsidR="00042A83" w:rsidRPr="00727E2D">
        <w:rPr>
          <w:sz w:val="24"/>
          <w:szCs w:val="24"/>
        </w:rPr>
        <w:t>(20</w:t>
      </w:r>
      <w:r w:rsidR="00B327FB" w:rsidRPr="00727E2D">
        <w:rPr>
          <w:sz w:val="24"/>
          <w:szCs w:val="24"/>
        </w:rPr>
        <w:t>1</w:t>
      </w:r>
      <w:r w:rsidR="00042A83" w:rsidRPr="00727E2D">
        <w:rPr>
          <w:sz w:val="24"/>
          <w:szCs w:val="24"/>
        </w:rPr>
        <w:t>3-2017)</w:t>
      </w:r>
      <w:r>
        <w:rPr>
          <w:sz w:val="24"/>
          <w:szCs w:val="24"/>
        </w:rPr>
        <w:t xml:space="preserve"> azalıyor </w:t>
      </w:r>
      <w:r>
        <w:rPr>
          <w:sz w:val="24"/>
          <w:szCs w:val="24"/>
        </w:rPr>
        <w:lastRenderedPageBreak/>
        <w:t>olması, başlı başına dikkati çeken bir gözlem</w:t>
      </w:r>
      <w:r w:rsidR="00727E2D">
        <w:rPr>
          <w:rStyle w:val="FootnoteReference"/>
          <w:sz w:val="24"/>
          <w:szCs w:val="24"/>
        </w:rPr>
        <w:footnoteReference w:id="9"/>
      </w:r>
      <w:r>
        <w:rPr>
          <w:sz w:val="24"/>
          <w:szCs w:val="24"/>
        </w:rPr>
        <w:t>.</w:t>
      </w:r>
      <w:r w:rsidR="0010250B">
        <w:rPr>
          <w:sz w:val="24"/>
          <w:szCs w:val="24"/>
        </w:rPr>
        <w:t xml:space="preserve"> </w:t>
      </w:r>
      <w:r w:rsidR="0010250B" w:rsidRPr="00727E2D">
        <w:rPr>
          <w:sz w:val="24"/>
          <w:szCs w:val="24"/>
        </w:rPr>
        <w:t>Bununla birlikte 2018 ve 2019’da gelir eşitsizliği ile zengin oranın aynı yönde hareket ettiği görülüyor.</w:t>
      </w:r>
      <w:r w:rsidR="0010250B">
        <w:rPr>
          <w:sz w:val="24"/>
          <w:szCs w:val="24"/>
        </w:rPr>
        <w:t xml:space="preserve"> </w:t>
      </w:r>
    </w:p>
    <w:p w14:paraId="2F45B4B7" w14:textId="77777777" w:rsidR="00801853" w:rsidRDefault="00801853" w:rsidP="002215CE">
      <w:pPr>
        <w:jc w:val="both"/>
        <w:rPr>
          <w:color w:val="FF0000"/>
          <w:sz w:val="24"/>
          <w:szCs w:val="24"/>
        </w:rPr>
      </w:pPr>
    </w:p>
    <w:p w14:paraId="4F8102B5" w14:textId="77777777" w:rsidR="00801853" w:rsidRDefault="00801853" w:rsidP="002215CE">
      <w:pPr>
        <w:jc w:val="both"/>
        <w:rPr>
          <w:color w:val="FF0000"/>
          <w:sz w:val="24"/>
          <w:szCs w:val="24"/>
        </w:rPr>
      </w:pPr>
    </w:p>
    <w:p w14:paraId="0FF664CF" w14:textId="77777777" w:rsidR="00801853" w:rsidRPr="0010250B" w:rsidRDefault="00801853" w:rsidP="002215CE">
      <w:pPr>
        <w:jc w:val="both"/>
        <w:rPr>
          <w:color w:val="FF0000"/>
          <w:sz w:val="24"/>
          <w:szCs w:val="24"/>
        </w:rPr>
      </w:pPr>
    </w:p>
    <w:p w14:paraId="65E423BA" w14:textId="77777777" w:rsidR="002901AC" w:rsidRDefault="002901AC" w:rsidP="002901AC">
      <w:pPr>
        <w:jc w:val="center"/>
        <w:rPr>
          <w:sz w:val="24"/>
          <w:szCs w:val="24"/>
        </w:rPr>
      </w:pPr>
      <w:r>
        <w:rPr>
          <w:b/>
          <w:sz w:val="24"/>
          <w:szCs w:val="24"/>
        </w:rPr>
        <w:t>Şekil 2: Zenginler ve eşitsizlik</w:t>
      </w:r>
      <w:r w:rsidRPr="00C17510">
        <w:rPr>
          <w:b/>
          <w:sz w:val="24"/>
          <w:szCs w:val="24"/>
        </w:rPr>
        <w:t xml:space="preserve"> (2005-2019)</w:t>
      </w:r>
    </w:p>
    <w:p w14:paraId="7C3B76DA" w14:textId="77777777" w:rsidR="002901AC" w:rsidRDefault="002901AC" w:rsidP="002901AC">
      <w:pPr>
        <w:jc w:val="center"/>
        <w:rPr>
          <w:sz w:val="24"/>
          <w:szCs w:val="24"/>
        </w:rPr>
      </w:pPr>
      <w:r>
        <w:rPr>
          <w:noProof/>
          <w:sz w:val="24"/>
          <w:szCs w:val="24"/>
          <w:lang w:eastAsia="tr-TR"/>
        </w:rPr>
        <w:drawing>
          <wp:inline distT="0" distB="0" distL="0" distR="0" wp14:anchorId="104B72B3" wp14:editId="675F3BF1">
            <wp:extent cx="5652000" cy="3388103"/>
            <wp:effectExtent l="0" t="0" r="6350" b="3175"/>
            <wp:docPr id="128932874" name="Resim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32874" name="Resim 2"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2000" cy="3388103"/>
                    </a:xfrm>
                    <a:prstGeom prst="rect">
                      <a:avLst/>
                    </a:prstGeom>
                    <a:noFill/>
                  </pic:spPr>
                </pic:pic>
              </a:graphicData>
            </a:graphic>
          </wp:inline>
        </w:drawing>
      </w:r>
    </w:p>
    <w:p w14:paraId="08D0FFAE" w14:textId="1B09A744" w:rsidR="002901AC" w:rsidRDefault="00A73BFC" w:rsidP="002215CE">
      <w:pPr>
        <w:jc w:val="both"/>
        <w:rPr>
          <w:sz w:val="24"/>
          <w:szCs w:val="24"/>
        </w:rPr>
      </w:pPr>
      <w:r>
        <w:rPr>
          <w:sz w:val="24"/>
          <w:szCs w:val="24"/>
        </w:rPr>
        <w:t>Öte yandan zenginli</w:t>
      </w:r>
      <w:r w:rsidR="002901AC">
        <w:rPr>
          <w:sz w:val="24"/>
          <w:szCs w:val="24"/>
        </w:rPr>
        <w:t>ğin yoğunluğunu ölçen</w:t>
      </w:r>
      <w:r>
        <w:rPr>
          <w:sz w:val="24"/>
          <w:szCs w:val="24"/>
        </w:rPr>
        <w:t xml:space="preserve"> endeks</w:t>
      </w:r>
      <w:r w:rsidR="002901AC">
        <w:rPr>
          <w:sz w:val="24"/>
          <w:szCs w:val="24"/>
        </w:rPr>
        <w:t xml:space="preserve"> ise</w:t>
      </w:r>
      <w:r>
        <w:rPr>
          <w:sz w:val="24"/>
          <w:szCs w:val="24"/>
        </w:rPr>
        <w:t xml:space="preserve">, Gini katsayısı ile yakından bağıntılı </w:t>
      </w:r>
      <w:r w:rsidR="002901AC">
        <w:rPr>
          <w:sz w:val="24"/>
          <w:szCs w:val="24"/>
        </w:rPr>
        <w:t>bir seyir izliyor</w:t>
      </w:r>
      <w:r w:rsidR="00E4433F">
        <w:rPr>
          <w:sz w:val="24"/>
          <w:szCs w:val="24"/>
        </w:rPr>
        <w:t xml:space="preserve"> </w:t>
      </w:r>
      <w:r w:rsidR="00544335">
        <w:rPr>
          <w:sz w:val="24"/>
          <w:szCs w:val="24"/>
        </w:rPr>
        <w:t>(Şekil 3)</w:t>
      </w:r>
      <w:r>
        <w:rPr>
          <w:sz w:val="24"/>
          <w:szCs w:val="24"/>
        </w:rPr>
        <w:t>.</w:t>
      </w:r>
      <w:r w:rsidR="00E4433F">
        <w:rPr>
          <w:sz w:val="24"/>
          <w:szCs w:val="24"/>
        </w:rPr>
        <w:t xml:space="preserve"> </w:t>
      </w:r>
      <w:r w:rsidR="00F40728">
        <w:rPr>
          <w:sz w:val="24"/>
          <w:szCs w:val="24"/>
        </w:rPr>
        <w:t xml:space="preserve">2013 yılına kadar azalma eğiliminde olan </w:t>
      </w:r>
      <w:r w:rsidR="00F40728" w:rsidRPr="001B6EF3">
        <w:rPr>
          <w:sz w:val="24"/>
          <w:szCs w:val="24"/>
        </w:rPr>
        <w:t xml:space="preserve">zenginlik </w:t>
      </w:r>
      <w:r w:rsidR="000477C7" w:rsidRPr="001B6EF3">
        <w:rPr>
          <w:sz w:val="24"/>
          <w:szCs w:val="24"/>
        </w:rPr>
        <w:t xml:space="preserve">yoğunluk </w:t>
      </w:r>
      <w:r w:rsidR="00F40728" w:rsidRPr="001B6EF3">
        <w:rPr>
          <w:sz w:val="24"/>
          <w:szCs w:val="24"/>
        </w:rPr>
        <w:t>endeksi</w:t>
      </w:r>
      <w:r w:rsidR="00F40728">
        <w:rPr>
          <w:sz w:val="24"/>
          <w:szCs w:val="24"/>
        </w:rPr>
        <w:t xml:space="preserve"> </w:t>
      </w:r>
      <w:r w:rsidR="00544174">
        <w:rPr>
          <w:sz w:val="24"/>
          <w:szCs w:val="24"/>
        </w:rPr>
        <w:t xml:space="preserve">bu yıldan sonra belirgin bir artış eğilimindedir. </w:t>
      </w:r>
      <w:r w:rsidR="00AF7E31">
        <w:rPr>
          <w:sz w:val="24"/>
          <w:szCs w:val="24"/>
        </w:rPr>
        <w:t>Bu eğilim bize 2013 yılına kadar zenginler arasında eşitsizliğin azaldığını ve dolayısıyla zenginliğin yoğunluğunun da azaldığını, bu yıldan sonra ise zenginler arasında eşitsizliğin artarak zenginliğin yoğunluğunun arttığını göster</w:t>
      </w:r>
      <w:r w:rsidR="00636EF3">
        <w:rPr>
          <w:sz w:val="24"/>
          <w:szCs w:val="24"/>
        </w:rPr>
        <w:t>iyor</w:t>
      </w:r>
      <w:r w:rsidR="00AF7E31">
        <w:rPr>
          <w:sz w:val="24"/>
          <w:szCs w:val="24"/>
        </w:rPr>
        <w:t xml:space="preserve">. </w:t>
      </w:r>
    </w:p>
    <w:p w14:paraId="18274D86" w14:textId="70B50FFB" w:rsidR="002901AC" w:rsidRDefault="00AF7E31" w:rsidP="0010250B">
      <w:pPr>
        <w:jc w:val="both"/>
        <w:rPr>
          <w:sz w:val="24"/>
          <w:szCs w:val="24"/>
        </w:rPr>
      </w:pPr>
      <w:r>
        <w:rPr>
          <w:sz w:val="24"/>
          <w:szCs w:val="24"/>
        </w:rPr>
        <w:t xml:space="preserve">İki şekil birlikte değerlendirildiğinde, incelenen dönemin </w:t>
      </w:r>
      <w:r w:rsidR="002901AC">
        <w:rPr>
          <w:sz w:val="24"/>
          <w:szCs w:val="24"/>
        </w:rPr>
        <w:t>ilk kısmında</w:t>
      </w:r>
      <w:r>
        <w:rPr>
          <w:sz w:val="24"/>
          <w:szCs w:val="24"/>
        </w:rPr>
        <w:t xml:space="preserve"> (2013/2014</w:t>
      </w:r>
      <w:r w:rsidR="002901AC">
        <w:rPr>
          <w:sz w:val="24"/>
          <w:szCs w:val="24"/>
        </w:rPr>
        <w:t>’e kadar</w:t>
      </w:r>
      <w:r>
        <w:rPr>
          <w:sz w:val="24"/>
          <w:szCs w:val="24"/>
        </w:rPr>
        <w:t>) zenginlerin sayısı artarken zenginliğin yoğunluğunun azaldığı</w:t>
      </w:r>
      <w:r w:rsidR="0039220F">
        <w:rPr>
          <w:sz w:val="24"/>
          <w:szCs w:val="24"/>
        </w:rPr>
        <w:t>,</w:t>
      </w:r>
      <w:r>
        <w:rPr>
          <w:sz w:val="24"/>
          <w:szCs w:val="24"/>
        </w:rPr>
        <w:t xml:space="preserve"> bu</w:t>
      </w:r>
      <w:r w:rsidR="000477C7">
        <w:rPr>
          <w:sz w:val="24"/>
          <w:szCs w:val="24"/>
        </w:rPr>
        <w:t>n</w:t>
      </w:r>
      <w:r>
        <w:rPr>
          <w:sz w:val="24"/>
          <w:szCs w:val="24"/>
        </w:rPr>
        <w:t xml:space="preserve">dan sonra ise zenginlerin sayısı azalırken zenginliğin </w:t>
      </w:r>
      <w:r w:rsidR="002901AC">
        <w:rPr>
          <w:sz w:val="24"/>
          <w:szCs w:val="24"/>
        </w:rPr>
        <w:t xml:space="preserve">yoğunluğunun </w:t>
      </w:r>
      <w:r>
        <w:rPr>
          <w:sz w:val="24"/>
          <w:szCs w:val="24"/>
        </w:rPr>
        <w:t>arttığı</w:t>
      </w:r>
      <w:r w:rsidR="002901AC">
        <w:rPr>
          <w:sz w:val="24"/>
          <w:szCs w:val="24"/>
        </w:rPr>
        <w:t xml:space="preserve"> sonucu ortaya çıkıyor</w:t>
      </w:r>
      <w:r>
        <w:rPr>
          <w:sz w:val="24"/>
          <w:szCs w:val="24"/>
        </w:rPr>
        <w:t xml:space="preserve">. </w:t>
      </w:r>
      <w:r w:rsidR="0039220F">
        <w:rPr>
          <w:sz w:val="24"/>
          <w:szCs w:val="24"/>
        </w:rPr>
        <w:t xml:space="preserve">Zenginlik </w:t>
      </w:r>
      <w:r w:rsidR="000477C7" w:rsidRPr="001B6EF3">
        <w:rPr>
          <w:sz w:val="24"/>
          <w:szCs w:val="24"/>
        </w:rPr>
        <w:t>yoğunluk</w:t>
      </w:r>
      <w:r w:rsidR="000477C7">
        <w:rPr>
          <w:sz w:val="24"/>
          <w:szCs w:val="24"/>
        </w:rPr>
        <w:t xml:space="preserve"> </w:t>
      </w:r>
      <w:r w:rsidR="0039220F">
        <w:rPr>
          <w:sz w:val="24"/>
          <w:szCs w:val="24"/>
        </w:rPr>
        <w:t xml:space="preserve">endeksinin dönemin sonlarına doğru başlangıç değerinin yaklaşık iki katına yükselmesi de bir </w:t>
      </w:r>
      <w:r w:rsidR="00636EF3">
        <w:rPr>
          <w:sz w:val="24"/>
          <w:szCs w:val="24"/>
        </w:rPr>
        <w:t xml:space="preserve">başka dikkat çekici </w:t>
      </w:r>
      <w:r w:rsidR="0039220F">
        <w:rPr>
          <w:sz w:val="24"/>
          <w:szCs w:val="24"/>
        </w:rPr>
        <w:t>nokta</w:t>
      </w:r>
      <w:r w:rsidR="00636EF3">
        <w:rPr>
          <w:sz w:val="24"/>
          <w:szCs w:val="24"/>
        </w:rPr>
        <w:t xml:space="preserve"> olarak göze çarpıyor ve zenginliğin yıllar içinde daha az sayıda kişinin elinde yoğunlaştığına işaret ediyor.</w:t>
      </w:r>
    </w:p>
    <w:p w14:paraId="040895DE" w14:textId="77777777" w:rsidR="00801853" w:rsidRDefault="00801853" w:rsidP="0010250B">
      <w:pPr>
        <w:jc w:val="both"/>
        <w:rPr>
          <w:sz w:val="24"/>
          <w:szCs w:val="24"/>
        </w:rPr>
      </w:pPr>
    </w:p>
    <w:p w14:paraId="7A0AAA04" w14:textId="77777777" w:rsidR="00801853" w:rsidRDefault="00801853" w:rsidP="0010250B">
      <w:pPr>
        <w:jc w:val="both"/>
        <w:rPr>
          <w:sz w:val="24"/>
          <w:szCs w:val="24"/>
        </w:rPr>
      </w:pPr>
    </w:p>
    <w:p w14:paraId="2ADFAEEE" w14:textId="77777777" w:rsidR="00801853" w:rsidRPr="0010250B" w:rsidRDefault="00801853" w:rsidP="0010250B">
      <w:pPr>
        <w:jc w:val="both"/>
        <w:rPr>
          <w:sz w:val="24"/>
          <w:szCs w:val="24"/>
        </w:rPr>
      </w:pPr>
    </w:p>
    <w:p w14:paraId="514A56FB" w14:textId="25266205" w:rsidR="00634AE3" w:rsidRDefault="00634AE3" w:rsidP="00634AE3">
      <w:pPr>
        <w:jc w:val="center"/>
        <w:rPr>
          <w:b/>
          <w:sz w:val="24"/>
          <w:szCs w:val="24"/>
        </w:rPr>
      </w:pPr>
      <w:r>
        <w:rPr>
          <w:b/>
          <w:sz w:val="24"/>
          <w:szCs w:val="24"/>
        </w:rPr>
        <w:t>Şekil 3: Zenginlik ve eşitsizlik</w:t>
      </w:r>
      <w:r w:rsidRPr="00C17510">
        <w:rPr>
          <w:b/>
          <w:sz w:val="24"/>
          <w:szCs w:val="24"/>
        </w:rPr>
        <w:t xml:space="preserve"> (2005-2019)</w:t>
      </w:r>
    </w:p>
    <w:p w14:paraId="11D8236B" w14:textId="56C15A89" w:rsidR="00544335" w:rsidRDefault="00BF4966" w:rsidP="00634AE3">
      <w:pPr>
        <w:jc w:val="center"/>
        <w:rPr>
          <w:b/>
          <w:sz w:val="24"/>
          <w:szCs w:val="24"/>
        </w:rPr>
      </w:pPr>
      <w:r>
        <w:rPr>
          <w:b/>
          <w:noProof/>
          <w:sz w:val="24"/>
          <w:szCs w:val="24"/>
          <w:lang w:eastAsia="tr-TR"/>
        </w:rPr>
        <w:drawing>
          <wp:inline distT="0" distB="0" distL="0" distR="0" wp14:anchorId="3AE82ED1" wp14:editId="320DD148">
            <wp:extent cx="4969240" cy="3600000"/>
            <wp:effectExtent l="0" t="0" r="3175" b="635"/>
            <wp:docPr id="7433703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9240" cy="3600000"/>
                    </a:xfrm>
                    <a:prstGeom prst="rect">
                      <a:avLst/>
                    </a:prstGeom>
                    <a:noFill/>
                  </pic:spPr>
                </pic:pic>
              </a:graphicData>
            </a:graphic>
          </wp:inline>
        </w:drawing>
      </w:r>
    </w:p>
    <w:p w14:paraId="0D08FA40" w14:textId="4994D064" w:rsidR="00701175" w:rsidRPr="001B6EF3" w:rsidRDefault="00701175" w:rsidP="002901AC">
      <w:pPr>
        <w:jc w:val="both"/>
        <w:rPr>
          <w:color w:val="000000" w:themeColor="text1"/>
          <w:sz w:val="24"/>
          <w:szCs w:val="24"/>
        </w:rPr>
      </w:pPr>
      <w:r w:rsidRPr="001B6EF3">
        <w:rPr>
          <w:b/>
          <w:bCs/>
          <w:color w:val="000000" w:themeColor="text1"/>
          <w:sz w:val="24"/>
          <w:szCs w:val="24"/>
        </w:rPr>
        <w:t xml:space="preserve">Gelir eşitsizliğindeki değişim: Zenginleşen zenginler ve kaybeden orta </w:t>
      </w:r>
      <w:r w:rsidR="001B6EF3" w:rsidRPr="001B6EF3">
        <w:rPr>
          <w:b/>
          <w:bCs/>
          <w:color w:val="000000" w:themeColor="text1"/>
          <w:sz w:val="24"/>
          <w:szCs w:val="24"/>
        </w:rPr>
        <w:t xml:space="preserve">sınıf </w:t>
      </w:r>
    </w:p>
    <w:p w14:paraId="24CF155D" w14:textId="6AA8C24A" w:rsidR="002901AC" w:rsidRDefault="002901AC" w:rsidP="002901AC">
      <w:pPr>
        <w:jc w:val="both"/>
        <w:rPr>
          <w:sz w:val="24"/>
          <w:szCs w:val="24"/>
        </w:rPr>
      </w:pPr>
      <w:r>
        <w:rPr>
          <w:sz w:val="24"/>
          <w:szCs w:val="24"/>
        </w:rPr>
        <w:t>Gelir eşitsizliğini, bireylerin gelir gruplarına göre grup-içi ve gruplar-arası bileşenlerine ayrıştırdığımızda da benzer resim ile karşılaşıyoruz</w:t>
      </w:r>
      <w:r>
        <w:rPr>
          <w:rStyle w:val="FootnoteReference"/>
          <w:sz w:val="24"/>
          <w:szCs w:val="24"/>
        </w:rPr>
        <w:footnoteReference w:id="10"/>
      </w:r>
      <w:r>
        <w:rPr>
          <w:sz w:val="24"/>
          <w:szCs w:val="24"/>
        </w:rPr>
        <w:t xml:space="preserve">. Eşitsizliğin oldukça büyük bir kısmı </w:t>
      </w:r>
      <w:r w:rsidRPr="001B6EF3">
        <w:rPr>
          <w:sz w:val="24"/>
          <w:szCs w:val="24"/>
        </w:rPr>
        <w:t>(</w:t>
      </w:r>
      <w:r w:rsidR="006F2559" w:rsidRPr="001B6EF3">
        <w:rPr>
          <w:sz w:val="24"/>
          <w:szCs w:val="24"/>
        </w:rPr>
        <w:t xml:space="preserve">yüzde </w:t>
      </w:r>
      <w:r w:rsidRPr="001B6EF3">
        <w:rPr>
          <w:sz w:val="24"/>
          <w:szCs w:val="24"/>
        </w:rPr>
        <w:t>67 ile 73’ü arasında), yıllar içinde değişmekle birlikte gelir grupları arasındaki eşitsizlikten</w:t>
      </w:r>
      <w:r>
        <w:rPr>
          <w:sz w:val="24"/>
          <w:szCs w:val="24"/>
        </w:rPr>
        <w:t xml:space="preserve"> kaynaklanmaktadır. Bununla birlikte, gelir dağılımının ü</w:t>
      </w:r>
      <w:r w:rsidRPr="005D7965">
        <w:rPr>
          <w:sz w:val="24"/>
          <w:szCs w:val="24"/>
        </w:rPr>
        <w:t>s</w:t>
      </w:r>
      <w:r>
        <w:rPr>
          <w:sz w:val="24"/>
          <w:szCs w:val="24"/>
        </w:rPr>
        <w:t xml:space="preserve">t kesimdeki </w:t>
      </w:r>
      <w:r w:rsidRPr="005D7965">
        <w:rPr>
          <w:sz w:val="24"/>
          <w:szCs w:val="24"/>
        </w:rPr>
        <w:t>geli</w:t>
      </w:r>
      <w:r>
        <w:rPr>
          <w:sz w:val="24"/>
          <w:szCs w:val="24"/>
        </w:rPr>
        <w:t xml:space="preserve">r değişikliklerine daha duyarlı (değişim katsayısının karekökü ile ölçülen) eşitsizlik </w:t>
      </w:r>
      <w:r w:rsidR="00BD6673">
        <w:rPr>
          <w:sz w:val="24"/>
          <w:szCs w:val="24"/>
        </w:rPr>
        <w:t>ölçütlerinin ayrıştırma</w:t>
      </w:r>
      <w:r>
        <w:rPr>
          <w:sz w:val="24"/>
          <w:szCs w:val="24"/>
        </w:rPr>
        <w:t xml:space="preserve"> sonuçları daha detaylı bilgiler sunmaktadır. Buna göre, 2014 yılından itibaren gruplar-arası bileşenin eşitsizliği açıklamadaki payı azalmış, grup-içi bileşenin payı artmıştır. </w:t>
      </w:r>
      <w:r w:rsidR="001B6EF3">
        <w:rPr>
          <w:sz w:val="24"/>
          <w:szCs w:val="24"/>
        </w:rPr>
        <w:t>Nitekim</w:t>
      </w:r>
      <w:r>
        <w:rPr>
          <w:sz w:val="24"/>
          <w:szCs w:val="24"/>
        </w:rPr>
        <w:t xml:space="preserve"> farklı ölçütlere göre hesaplanan eşitsizlik göstergelerinin tümü, yoksul ve orta gelir grubu içindeki eşitsizliğin yıllar içinde pek de fazla değişmediğini ancak zenginler içindeki eşitsizliğin 2014’ten sonra çok belirgin bir şekilde arttığını göstermektedir.</w:t>
      </w:r>
    </w:p>
    <w:p w14:paraId="26CB8968" w14:textId="221D20FE" w:rsidR="002901AC" w:rsidRDefault="002901AC" w:rsidP="002901AC">
      <w:pPr>
        <w:jc w:val="both"/>
        <w:rPr>
          <w:sz w:val="24"/>
          <w:szCs w:val="24"/>
        </w:rPr>
      </w:pPr>
      <w:r>
        <w:rPr>
          <w:sz w:val="24"/>
          <w:szCs w:val="24"/>
        </w:rPr>
        <w:t>Tüm dönemi, 2013 yılında kırılma olduğu varsayımı ile iki alt döneme ayırarak, farklı kesimlerin gelirlerindeki artış ve toplam gelirden aldıkları payı incelemek bize daha ayrıntılı bilgi verecektir. Daha önce belirtildiği üzere ortanca gelirin üç katından fazla gelire sahip olanları ‘zengin’</w:t>
      </w:r>
      <w:r w:rsidR="003900FA">
        <w:rPr>
          <w:sz w:val="24"/>
          <w:szCs w:val="24"/>
        </w:rPr>
        <w:t>,</w:t>
      </w:r>
      <w:r>
        <w:rPr>
          <w:sz w:val="24"/>
          <w:szCs w:val="24"/>
        </w:rPr>
        <w:t xml:space="preserve"> o</w:t>
      </w:r>
      <w:r w:rsidR="003900FA">
        <w:rPr>
          <w:sz w:val="24"/>
          <w:szCs w:val="24"/>
        </w:rPr>
        <w:t xml:space="preserve">rtanca gelirin </w:t>
      </w:r>
      <w:r w:rsidR="006F2559" w:rsidRPr="001B6EF3">
        <w:rPr>
          <w:sz w:val="24"/>
          <w:szCs w:val="24"/>
        </w:rPr>
        <w:t xml:space="preserve">yüzde </w:t>
      </w:r>
      <w:r w:rsidR="003900FA" w:rsidRPr="001B6EF3">
        <w:rPr>
          <w:sz w:val="24"/>
          <w:szCs w:val="24"/>
        </w:rPr>
        <w:t xml:space="preserve">60’ından daha az gelire sahip olanları ise `yoksul’ olarak tanımlayarak (bu da toplumun </w:t>
      </w:r>
      <w:r w:rsidR="006F2559" w:rsidRPr="001B6EF3">
        <w:rPr>
          <w:sz w:val="24"/>
          <w:szCs w:val="24"/>
        </w:rPr>
        <w:t>yüzde</w:t>
      </w:r>
      <w:r w:rsidR="006F2559">
        <w:rPr>
          <w:sz w:val="24"/>
          <w:szCs w:val="24"/>
        </w:rPr>
        <w:t xml:space="preserve"> </w:t>
      </w:r>
      <w:r w:rsidR="003900FA">
        <w:rPr>
          <w:sz w:val="24"/>
          <w:szCs w:val="24"/>
        </w:rPr>
        <w:t xml:space="preserve">20-25 aralığında bir kesime denk gelmektedir), toplumu üç kesime ayırdık. </w:t>
      </w:r>
    </w:p>
    <w:p w14:paraId="633D592C" w14:textId="3CD4094C" w:rsidR="003900FA" w:rsidRDefault="002901AC" w:rsidP="002901AC">
      <w:pPr>
        <w:jc w:val="both"/>
        <w:rPr>
          <w:sz w:val="24"/>
          <w:szCs w:val="24"/>
        </w:rPr>
      </w:pPr>
      <w:r>
        <w:rPr>
          <w:sz w:val="24"/>
          <w:szCs w:val="24"/>
        </w:rPr>
        <w:lastRenderedPageBreak/>
        <w:t>Şekil 4</w:t>
      </w:r>
      <w:r w:rsidR="003900FA">
        <w:rPr>
          <w:sz w:val="24"/>
          <w:szCs w:val="24"/>
        </w:rPr>
        <w:t xml:space="preserve"> her kesimin gelirlerinin her iki dönemde (yıllık) göreli artış oranlarını vermektedir. 2005-2013 yılları arasındaki ilk dönemde, toplumun orta kesiminin </w:t>
      </w:r>
      <w:r w:rsidR="003900FA" w:rsidRPr="001B6EF3">
        <w:rPr>
          <w:sz w:val="24"/>
          <w:szCs w:val="24"/>
        </w:rPr>
        <w:t xml:space="preserve">(nüfusun yaklaşık </w:t>
      </w:r>
      <w:r w:rsidR="00034422" w:rsidRPr="001B6EF3">
        <w:rPr>
          <w:sz w:val="24"/>
          <w:szCs w:val="24"/>
        </w:rPr>
        <w:t xml:space="preserve">yüzde </w:t>
      </w:r>
      <w:r w:rsidR="003900FA" w:rsidRPr="001B6EF3">
        <w:rPr>
          <w:sz w:val="24"/>
          <w:szCs w:val="24"/>
        </w:rPr>
        <w:t xml:space="preserve">70’inin) yılda </w:t>
      </w:r>
      <w:r w:rsidR="00034422" w:rsidRPr="001B6EF3">
        <w:rPr>
          <w:sz w:val="24"/>
          <w:szCs w:val="24"/>
        </w:rPr>
        <w:t xml:space="preserve">yüzde </w:t>
      </w:r>
      <w:r w:rsidR="003900FA" w:rsidRPr="001B6EF3">
        <w:rPr>
          <w:sz w:val="24"/>
          <w:szCs w:val="24"/>
        </w:rPr>
        <w:t xml:space="preserve">4,7 gibi hızlı bir reel gelir artışı yaşadığını görüyoruz. Biraz daha az olmakla beraber, yoksul kesimin gelirlerinde de hızlı bir reel artış olduğu </w:t>
      </w:r>
      <w:r w:rsidR="00842225" w:rsidRPr="001B6EF3">
        <w:rPr>
          <w:sz w:val="24"/>
          <w:szCs w:val="24"/>
        </w:rPr>
        <w:t xml:space="preserve">(yüzde 3,3) </w:t>
      </w:r>
      <w:r w:rsidR="003900FA" w:rsidRPr="001B6EF3">
        <w:rPr>
          <w:sz w:val="24"/>
          <w:szCs w:val="24"/>
        </w:rPr>
        <w:t xml:space="preserve">anlaşılıyor. Buna karşılık, zengin kesimin gelirleri ise çok daha kısıtlı bir büyüme </w:t>
      </w:r>
      <w:r w:rsidR="00842225" w:rsidRPr="001B6EF3">
        <w:rPr>
          <w:sz w:val="24"/>
          <w:szCs w:val="24"/>
        </w:rPr>
        <w:t xml:space="preserve">(yüzde 1,9) </w:t>
      </w:r>
      <w:r w:rsidR="003900FA" w:rsidRPr="001B6EF3">
        <w:rPr>
          <w:sz w:val="24"/>
          <w:szCs w:val="24"/>
        </w:rPr>
        <w:t>gösteriyor.</w:t>
      </w:r>
    </w:p>
    <w:p w14:paraId="2D607DBD" w14:textId="42D123C8" w:rsidR="00701175" w:rsidRPr="001B6EF3" w:rsidRDefault="003900FA" w:rsidP="003900FA">
      <w:pPr>
        <w:jc w:val="both"/>
        <w:rPr>
          <w:color w:val="000000" w:themeColor="text1"/>
          <w:sz w:val="24"/>
          <w:szCs w:val="24"/>
        </w:rPr>
      </w:pPr>
      <w:r>
        <w:rPr>
          <w:sz w:val="24"/>
          <w:szCs w:val="24"/>
        </w:rPr>
        <w:t xml:space="preserve">Buna karşılık, ikinci dönemde yoksul ve orta kesimin reel gelirlerindeki göreli artış yıllık </w:t>
      </w:r>
      <w:r w:rsidR="001E06F0">
        <w:rPr>
          <w:sz w:val="24"/>
          <w:szCs w:val="24"/>
        </w:rPr>
        <w:t xml:space="preserve">yüzde </w:t>
      </w:r>
      <w:r>
        <w:rPr>
          <w:sz w:val="24"/>
          <w:szCs w:val="24"/>
        </w:rPr>
        <w:t xml:space="preserve">4,3 seviyesinde iken, zengin kısmın reel gelirlerindeki artış, bir önceki dönemin üç katına çıkarak, yıllık </w:t>
      </w:r>
      <w:r w:rsidR="001E06F0">
        <w:rPr>
          <w:sz w:val="24"/>
          <w:szCs w:val="24"/>
        </w:rPr>
        <w:t xml:space="preserve">yüzde </w:t>
      </w:r>
      <w:r w:rsidRPr="001B6EF3">
        <w:rPr>
          <w:sz w:val="24"/>
          <w:szCs w:val="24"/>
        </w:rPr>
        <w:t>5,3</w:t>
      </w:r>
      <w:r>
        <w:rPr>
          <w:sz w:val="24"/>
          <w:szCs w:val="24"/>
        </w:rPr>
        <w:t xml:space="preserve"> seviyesine </w:t>
      </w:r>
      <w:r w:rsidR="0082062E">
        <w:rPr>
          <w:sz w:val="24"/>
          <w:szCs w:val="24"/>
        </w:rPr>
        <w:t>ulaşıyor</w:t>
      </w:r>
      <w:r>
        <w:rPr>
          <w:sz w:val="24"/>
          <w:szCs w:val="24"/>
        </w:rPr>
        <w:t>.</w:t>
      </w:r>
      <w:r w:rsidR="0082062E">
        <w:rPr>
          <w:sz w:val="24"/>
          <w:szCs w:val="24"/>
        </w:rPr>
        <w:t xml:space="preserve"> </w:t>
      </w:r>
      <w:r w:rsidR="00701175" w:rsidRPr="001B6EF3">
        <w:rPr>
          <w:color w:val="000000" w:themeColor="text1"/>
          <w:sz w:val="24"/>
          <w:szCs w:val="24"/>
        </w:rPr>
        <w:t>Diğer kesimlerin, özellikle de orta gelirlilerin gelirlerindeki artış hızlarında çok büyük değişiklikler olmazken zenginlerin gelirlerindeki artış hızının çok yüksek olması bu dönemde eşitsizliğin önemli ölçüde gruplar arasında gelir farkının artması nedeniyle yükseldiğini göstermektedir.</w:t>
      </w:r>
    </w:p>
    <w:p w14:paraId="73F44454" w14:textId="5F03F445" w:rsidR="003900FA" w:rsidRDefault="003900FA" w:rsidP="003900FA">
      <w:pPr>
        <w:jc w:val="center"/>
        <w:rPr>
          <w:b/>
          <w:sz w:val="24"/>
          <w:szCs w:val="24"/>
        </w:rPr>
      </w:pPr>
      <w:r>
        <w:rPr>
          <w:b/>
          <w:sz w:val="24"/>
          <w:szCs w:val="24"/>
        </w:rPr>
        <w:t xml:space="preserve">Şekil 4: Gelir büyüme </w:t>
      </w:r>
      <w:r w:rsidRPr="001B6EF3">
        <w:rPr>
          <w:b/>
          <w:sz w:val="24"/>
          <w:szCs w:val="24"/>
        </w:rPr>
        <w:t>oran</w:t>
      </w:r>
      <w:r w:rsidR="006F2559" w:rsidRPr="001B6EF3">
        <w:rPr>
          <w:b/>
          <w:sz w:val="24"/>
          <w:szCs w:val="24"/>
        </w:rPr>
        <w:t>lar</w:t>
      </w:r>
      <w:r w:rsidRPr="001B6EF3">
        <w:rPr>
          <w:b/>
          <w:sz w:val="24"/>
          <w:szCs w:val="24"/>
        </w:rPr>
        <w:t>ı (yıllık)</w:t>
      </w:r>
      <w:r w:rsidR="00034422" w:rsidRPr="001B6EF3">
        <w:rPr>
          <w:b/>
          <w:sz w:val="24"/>
          <w:szCs w:val="24"/>
        </w:rPr>
        <w:t xml:space="preserve"> (%)</w:t>
      </w:r>
    </w:p>
    <w:p w14:paraId="50CDF817" w14:textId="1FD0E3C9" w:rsidR="003900FA" w:rsidRDefault="00D11EA5" w:rsidP="00F26394">
      <w:pPr>
        <w:jc w:val="center"/>
        <w:rPr>
          <w:sz w:val="24"/>
          <w:szCs w:val="24"/>
        </w:rPr>
      </w:pPr>
      <w:r>
        <w:rPr>
          <w:noProof/>
          <w:sz w:val="24"/>
          <w:szCs w:val="24"/>
          <w:lang w:eastAsia="tr-TR"/>
        </w:rPr>
        <w:drawing>
          <wp:inline distT="0" distB="0" distL="0" distR="0" wp14:anchorId="54C40B07" wp14:editId="5B30C75D">
            <wp:extent cx="4969240" cy="3600000"/>
            <wp:effectExtent l="0" t="0" r="3175" b="635"/>
            <wp:docPr id="135292135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9240" cy="3600000"/>
                    </a:xfrm>
                    <a:prstGeom prst="rect">
                      <a:avLst/>
                    </a:prstGeom>
                    <a:noFill/>
                  </pic:spPr>
                </pic:pic>
              </a:graphicData>
            </a:graphic>
          </wp:inline>
        </w:drawing>
      </w:r>
    </w:p>
    <w:p w14:paraId="6C3EC732" w14:textId="2E856CAF" w:rsidR="0082062E" w:rsidRPr="001B6EF3" w:rsidRDefault="0082062E" w:rsidP="002901AC">
      <w:pPr>
        <w:jc w:val="both"/>
        <w:rPr>
          <w:bCs/>
          <w:sz w:val="24"/>
          <w:szCs w:val="24"/>
        </w:rPr>
      </w:pPr>
      <w:r w:rsidRPr="001B6EF3">
        <w:rPr>
          <w:bCs/>
          <w:sz w:val="24"/>
          <w:szCs w:val="24"/>
        </w:rPr>
        <w:t xml:space="preserve">Göreli, bir başka deyişle oransal büyümenin yanı sıra, büyümeye mutlak ya da pastadan alınan pay olarak bakmak da gelir grupları arası eşitsizlikleri somutlaştırmak için oldukça faydalı olacaktır. </w:t>
      </w:r>
      <w:r w:rsidR="003900FA" w:rsidRPr="001B6EF3">
        <w:rPr>
          <w:sz w:val="24"/>
          <w:szCs w:val="24"/>
        </w:rPr>
        <w:t>Şekil</w:t>
      </w:r>
      <w:r w:rsidR="002901AC" w:rsidRPr="001B6EF3">
        <w:rPr>
          <w:sz w:val="24"/>
          <w:szCs w:val="24"/>
        </w:rPr>
        <w:t xml:space="preserve"> 5 gelir gruplarının </w:t>
      </w:r>
      <w:r w:rsidR="003900FA" w:rsidRPr="001B6EF3">
        <w:rPr>
          <w:sz w:val="24"/>
          <w:szCs w:val="24"/>
        </w:rPr>
        <w:t>toplam reel gelir artışından</w:t>
      </w:r>
      <w:r w:rsidR="002901AC" w:rsidRPr="001B6EF3">
        <w:rPr>
          <w:sz w:val="24"/>
          <w:szCs w:val="24"/>
        </w:rPr>
        <w:t xml:space="preserve"> aldıkları payları gösteriyor</w:t>
      </w:r>
      <w:r w:rsidRPr="001B6EF3">
        <w:rPr>
          <w:sz w:val="24"/>
          <w:szCs w:val="24"/>
        </w:rPr>
        <w:t xml:space="preserve">. </w:t>
      </w:r>
      <w:r w:rsidR="002901AC" w:rsidRPr="001B6EF3">
        <w:rPr>
          <w:bCs/>
          <w:sz w:val="24"/>
          <w:szCs w:val="24"/>
        </w:rPr>
        <w:t xml:space="preserve">2005-2013 döneminde toplam </w:t>
      </w:r>
      <w:r w:rsidRPr="001B6EF3">
        <w:rPr>
          <w:bCs/>
          <w:sz w:val="24"/>
          <w:szCs w:val="24"/>
        </w:rPr>
        <w:t xml:space="preserve">reel </w:t>
      </w:r>
      <w:r w:rsidR="002901AC" w:rsidRPr="001B6EF3">
        <w:rPr>
          <w:bCs/>
          <w:sz w:val="24"/>
          <w:szCs w:val="24"/>
        </w:rPr>
        <w:t xml:space="preserve">eşdeğer gelir yaklaşık olarak </w:t>
      </w:r>
      <w:r w:rsidR="0075619B" w:rsidRPr="001B6EF3">
        <w:rPr>
          <w:bCs/>
          <w:sz w:val="24"/>
          <w:szCs w:val="24"/>
        </w:rPr>
        <w:t xml:space="preserve">yüzde </w:t>
      </w:r>
      <w:r w:rsidR="002901AC" w:rsidRPr="001B6EF3">
        <w:rPr>
          <w:bCs/>
          <w:sz w:val="24"/>
          <w:szCs w:val="24"/>
        </w:rPr>
        <w:t xml:space="preserve">35, 2013-2019 döneminde ise </w:t>
      </w:r>
      <w:r w:rsidR="0075619B" w:rsidRPr="001B6EF3">
        <w:rPr>
          <w:bCs/>
          <w:sz w:val="24"/>
          <w:szCs w:val="24"/>
        </w:rPr>
        <w:t xml:space="preserve">yüzde </w:t>
      </w:r>
      <w:r w:rsidR="002901AC" w:rsidRPr="001B6EF3">
        <w:rPr>
          <w:bCs/>
          <w:sz w:val="24"/>
          <w:szCs w:val="24"/>
        </w:rPr>
        <w:t xml:space="preserve">32 artmıştır. Her iki dönemde de büyümeden en düşük pay alan gelir grubu yoksullardır ve yıllar içinde bu pay değişmemiştir. </w:t>
      </w:r>
      <w:r w:rsidRPr="001B6EF3">
        <w:rPr>
          <w:bCs/>
          <w:sz w:val="24"/>
          <w:szCs w:val="24"/>
        </w:rPr>
        <w:t xml:space="preserve">Nüfusun neredeyse beşte biri, toplam gelir artışının sadece </w:t>
      </w:r>
      <w:r w:rsidR="00F26394" w:rsidRPr="001B6EF3">
        <w:rPr>
          <w:bCs/>
          <w:sz w:val="24"/>
          <w:szCs w:val="24"/>
        </w:rPr>
        <w:t xml:space="preserve">yüzde </w:t>
      </w:r>
      <w:r w:rsidRPr="001B6EF3">
        <w:rPr>
          <w:bCs/>
          <w:sz w:val="24"/>
          <w:szCs w:val="24"/>
        </w:rPr>
        <w:t>6’sını alabilmektedir ve bu dönemler arasında önemli bir fark göstermemektedir.</w:t>
      </w:r>
    </w:p>
    <w:p w14:paraId="4089FD47" w14:textId="168F14ED" w:rsidR="002901AC" w:rsidRDefault="0082062E" w:rsidP="0082062E">
      <w:pPr>
        <w:jc w:val="both"/>
        <w:rPr>
          <w:b/>
          <w:sz w:val="24"/>
          <w:szCs w:val="24"/>
        </w:rPr>
      </w:pPr>
      <w:r w:rsidRPr="001B6EF3">
        <w:rPr>
          <w:bCs/>
          <w:sz w:val="24"/>
          <w:szCs w:val="24"/>
        </w:rPr>
        <w:t>Buna karşılık, toplum</w:t>
      </w:r>
      <w:r w:rsidR="00F26394" w:rsidRPr="001B6EF3">
        <w:rPr>
          <w:bCs/>
          <w:sz w:val="24"/>
          <w:szCs w:val="24"/>
        </w:rPr>
        <w:t>un</w:t>
      </w:r>
      <w:r w:rsidRPr="001B6EF3">
        <w:rPr>
          <w:bCs/>
          <w:sz w:val="24"/>
          <w:szCs w:val="24"/>
        </w:rPr>
        <w:t xml:space="preserve"> </w:t>
      </w:r>
      <w:r w:rsidR="00F26394" w:rsidRPr="001B6EF3">
        <w:rPr>
          <w:bCs/>
          <w:sz w:val="24"/>
          <w:szCs w:val="24"/>
        </w:rPr>
        <w:t xml:space="preserve">yüzde </w:t>
      </w:r>
      <w:r w:rsidRPr="001B6EF3">
        <w:rPr>
          <w:bCs/>
          <w:sz w:val="24"/>
          <w:szCs w:val="24"/>
        </w:rPr>
        <w:t xml:space="preserve">6-7’sini oluşturan zenginler, toplam gelir artışının ilk dönemde </w:t>
      </w:r>
      <w:r w:rsidR="00F26394" w:rsidRPr="001B6EF3">
        <w:rPr>
          <w:bCs/>
          <w:sz w:val="24"/>
          <w:szCs w:val="24"/>
        </w:rPr>
        <w:t xml:space="preserve">yüzde </w:t>
      </w:r>
      <w:r w:rsidRPr="001B6EF3">
        <w:rPr>
          <w:bCs/>
          <w:sz w:val="24"/>
          <w:szCs w:val="24"/>
        </w:rPr>
        <w:t xml:space="preserve">12’sini, ikinci dönemde ise </w:t>
      </w:r>
      <w:r w:rsidR="00F26394" w:rsidRPr="001B6EF3">
        <w:rPr>
          <w:bCs/>
          <w:sz w:val="24"/>
          <w:szCs w:val="24"/>
        </w:rPr>
        <w:t xml:space="preserve">yüzde </w:t>
      </w:r>
      <w:r w:rsidRPr="001B6EF3">
        <w:rPr>
          <w:bCs/>
          <w:sz w:val="24"/>
          <w:szCs w:val="24"/>
        </w:rPr>
        <w:t xml:space="preserve">31’ini almaktadırlar. İki dönemde en büyük fark, orta kesimin aldığı payda ortaya çıkmaktadır. 2013 sonrası dönemin asıl kaybedeninin orta kesim olduğu </w:t>
      </w:r>
      <w:r w:rsidRPr="001B6EF3">
        <w:rPr>
          <w:bCs/>
          <w:color w:val="000000" w:themeColor="text1"/>
          <w:sz w:val="24"/>
          <w:szCs w:val="24"/>
        </w:rPr>
        <w:t>anlaşılıyor</w:t>
      </w:r>
      <w:r w:rsidR="00F26394" w:rsidRPr="001B6EF3">
        <w:rPr>
          <w:bCs/>
          <w:color w:val="000000" w:themeColor="text1"/>
          <w:sz w:val="24"/>
          <w:szCs w:val="24"/>
        </w:rPr>
        <w:t xml:space="preserve">; </w:t>
      </w:r>
      <w:r w:rsidR="00701175" w:rsidRPr="001B6EF3">
        <w:rPr>
          <w:bCs/>
          <w:color w:val="000000" w:themeColor="text1"/>
          <w:sz w:val="24"/>
          <w:szCs w:val="24"/>
        </w:rPr>
        <w:t xml:space="preserve">bu kesimin </w:t>
      </w:r>
      <w:r w:rsidR="00F26394" w:rsidRPr="001B6EF3">
        <w:rPr>
          <w:bCs/>
          <w:sz w:val="24"/>
          <w:szCs w:val="24"/>
        </w:rPr>
        <w:t>gelir artışından aldığı pay yüzde 81,8’den 62,5’e düşüyor</w:t>
      </w:r>
      <w:r w:rsidRPr="001B6EF3">
        <w:rPr>
          <w:bCs/>
          <w:sz w:val="24"/>
          <w:szCs w:val="24"/>
        </w:rPr>
        <w:t>.</w:t>
      </w:r>
    </w:p>
    <w:p w14:paraId="08C66E21" w14:textId="74833D9F" w:rsidR="002901AC" w:rsidRDefault="002901AC" w:rsidP="002901AC">
      <w:pPr>
        <w:jc w:val="center"/>
        <w:rPr>
          <w:b/>
          <w:sz w:val="24"/>
          <w:szCs w:val="24"/>
        </w:rPr>
      </w:pPr>
      <w:r>
        <w:rPr>
          <w:b/>
          <w:sz w:val="24"/>
          <w:szCs w:val="24"/>
        </w:rPr>
        <w:lastRenderedPageBreak/>
        <w:t>Şekil 5: Gelir gruplarının büyümeden aldığı pay</w:t>
      </w:r>
    </w:p>
    <w:p w14:paraId="3F7B9997" w14:textId="73132DAA" w:rsidR="002901AC" w:rsidRDefault="00D11EA5" w:rsidP="002901AC">
      <w:pPr>
        <w:jc w:val="center"/>
        <w:rPr>
          <w:b/>
          <w:sz w:val="24"/>
          <w:szCs w:val="24"/>
        </w:rPr>
      </w:pPr>
      <w:r>
        <w:rPr>
          <w:b/>
          <w:noProof/>
          <w:sz w:val="24"/>
          <w:szCs w:val="24"/>
          <w:lang w:eastAsia="tr-TR"/>
        </w:rPr>
        <w:drawing>
          <wp:inline distT="0" distB="0" distL="0" distR="0" wp14:anchorId="63A5D8AD" wp14:editId="4D37EBDB">
            <wp:extent cx="4969240" cy="3600000"/>
            <wp:effectExtent l="0" t="0" r="3175" b="635"/>
            <wp:docPr id="28996522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9240" cy="3600000"/>
                    </a:xfrm>
                    <a:prstGeom prst="rect">
                      <a:avLst/>
                    </a:prstGeom>
                    <a:noFill/>
                  </pic:spPr>
                </pic:pic>
              </a:graphicData>
            </a:graphic>
          </wp:inline>
        </w:drawing>
      </w:r>
    </w:p>
    <w:p w14:paraId="03C01924" w14:textId="3FA13F28" w:rsidR="002901AC" w:rsidRPr="00F26394" w:rsidRDefault="00F26394" w:rsidP="002901AC">
      <w:pPr>
        <w:jc w:val="both"/>
        <w:rPr>
          <w:b/>
          <w:bCs/>
          <w:sz w:val="24"/>
          <w:szCs w:val="24"/>
        </w:rPr>
      </w:pPr>
      <w:r w:rsidRPr="001B6EF3">
        <w:rPr>
          <w:b/>
          <w:bCs/>
          <w:sz w:val="24"/>
          <w:szCs w:val="24"/>
        </w:rPr>
        <w:t>Sonuç yerine</w:t>
      </w:r>
    </w:p>
    <w:p w14:paraId="7B91210A" w14:textId="10734DB1" w:rsidR="002901AC" w:rsidRPr="00EC3957" w:rsidRDefault="00EC3957" w:rsidP="00A8033B">
      <w:pPr>
        <w:jc w:val="both"/>
        <w:rPr>
          <w:bCs/>
          <w:sz w:val="24"/>
          <w:szCs w:val="24"/>
        </w:rPr>
      </w:pPr>
      <w:r>
        <w:rPr>
          <w:bCs/>
          <w:sz w:val="24"/>
          <w:szCs w:val="24"/>
        </w:rPr>
        <w:t>Daha önce yayınlanan iki çalışma, Acemoğlu ve Üçer (2021) ve Günçavdı ve Bayar (2021), Türkiye’de artan eşitsizliği</w:t>
      </w:r>
      <w:r w:rsidR="000E5C14">
        <w:rPr>
          <w:bCs/>
          <w:sz w:val="24"/>
          <w:szCs w:val="24"/>
        </w:rPr>
        <w:t xml:space="preserve">n nedenleri olarak, ekonomik ve siyasal kurumsal yapılardaki bozulmaya, küçük açık ekonomilerin küresel piyasalarda karşılaştıkları rekabete ve sektörel politikalara vurgu yapıyorlar. </w:t>
      </w:r>
      <w:r>
        <w:rPr>
          <w:bCs/>
          <w:sz w:val="24"/>
          <w:szCs w:val="24"/>
        </w:rPr>
        <w:t xml:space="preserve">Bu </w:t>
      </w:r>
      <w:r w:rsidR="000E5C14">
        <w:rPr>
          <w:bCs/>
          <w:sz w:val="24"/>
          <w:szCs w:val="24"/>
        </w:rPr>
        <w:t>çalışmalara katkı olabileceğini düşündüğümüz ve halen</w:t>
      </w:r>
      <w:r>
        <w:rPr>
          <w:bCs/>
          <w:sz w:val="24"/>
          <w:szCs w:val="24"/>
        </w:rPr>
        <w:t xml:space="preserve"> sürmekte olan ç</w:t>
      </w:r>
      <w:r w:rsidRPr="00EC3957">
        <w:rPr>
          <w:bCs/>
          <w:sz w:val="24"/>
          <w:szCs w:val="24"/>
        </w:rPr>
        <w:t>alışmamız</w:t>
      </w:r>
      <w:r>
        <w:rPr>
          <w:bCs/>
          <w:sz w:val="24"/>
          <w:szCs w:val="24"/>
        </w:rPr>
        <w:t xml:space="preserve">ın en temel bulgularından </w:t>
      </w:r>
      <w:r w:rsidR="000E5C14">
        <w:rPr>
          <w:bCs/>
          <w:sz w:val="24"/>
          <w:szCs w:val="24"/>
        </w:rPr>
        <w:t>bir kısmını burada belirttik</w:t>
      </w:r>
      <w:r>
        <w:rPr>
          <w:bCs/>
          <w:sz w:val="24"/>
          <w:szCs w:val="24"/>
        </w:rPr>
        <w:t xml:space="preserve">. Sürmekte olan çalışmamızda, zenginlerin nitelikleri ve zenginliklerinin kaynaklarını daha ayrıntılı olarak incelemeye çalışıyoruz. Zenginlerin demografik yapısı, eğitimleri gibi kişisel özelliklerinin yanı sıra, gelirlerinin kaynakları ve bunların ülkede izlenen genel politikalarla ilişkilerini anlamaya çalışıyoruz. </w:t>
      </w:r>
      <w:r w:rsidR="000E5C14">
        <w:rPr>
          <w:bCs/>
          <w:sz w:val="24"/>
          <w:szCs w:val="24"/>
        </w:rPr>
        <w:t xml:space="preserve">Böylelikle, daha hızlı ve </w:t>
      </w:r>
      <w:r w:rsidR="000E5C14" w:rsidRPr="000E5C14">
        <w:rPr>
          <w:bCs/>
          <w:i/>
          <w:iCs/>
          <w:sz w:val="24"/>
          <w:szCs w:val="24"/>
        </w:rPr>
        <w:t>kapsayıcı</w:t>
      </w:r>
      <w:r w:rsidR="000E5C14">
        <w:rPr>
          <w:bCs/>
          <w:sz w:val="24"/>
          <w:szCs w:val="24"/>
        </w:rPr>
        <w:t xml:space="preserve"> büyüme için gerekli politikaların oluşturulmasına katkı yapabilmeyi umuyoruz.</w:t>
      </w:r>
    </w:p>
    <w:p w14:paraId="251E8B6D" w14:textId="6C568A51" w:rsidR="00D11EA5" w:rsidRDefault="00D11EA5" w:rsidP="000F42CB">
      <w:pPr>
        <w:rPr>
          <w:b/>
          <w:sz w:val="24"/>
          <w:szCs w:val="24"/>
        </w:rPr>
      </w:pPr>
    </w:p>
    <w:p w14:paraId="4F053D63" w14:textId="1710D177" w:rsidR="001B6EF3" w:rsidRDefault="001B6EF3" w:rsidP="000F42CB">
      <w:pPr>
        <w:rPr>
          <w:b/>
          <w:sz w:val="24"/>
          <w:szCs w:val="24"/>
        </w:rPr>
      </w:pPr>
    </w:p>
    <w:p w14:paraId="7B40752E" w14:textId="72DC5354" w:rsidR="001B6EF3" w:rsidRDefault="001B6EF3" w:rsidP="000F42CB">
      <w:pPr>
        <w:rPr>
          <w:b/>
          <w:sz w:val="24"/>
          <w:szCs w:val="24"/>
        </w:rPr>
      </w:pPr>
    </w:p>
    <w:p w14:paraId="0975B3D5" w14:textId="03809EAA" w:rsidR="001B6EF3" w:rsidRDefault="001B6EF3" w:rsidP="000F42CB">
      <w:pPr>
        <w:rPr>
          <w:b/>
          <w:sz w:val="24"/>
          <w:szCs w:val="24"/>
        </w:rPr>
      </w:pPr>
    </w:p>
    <w:p w14:paraId="7853A0A5" w14:textId="77777777" w:rsidR="001B6EF3" w:rsidRDefault="001B6EF3" w:rsidP="000F42CB">
      <w:pPr>
        <w:rPr>
          <w:b/>
          <w:sz w:val="24"/>
          <w:szCs w:val="24"/>
        </w:rPr>
      </w:pPr>
    </w:p>
    <w:p w14:paraId="4E01522C" w14:textId="77777777" w:rsidR="00801853" w:rsidRDefault="00801853" w:rsidP="000F42CB">
      <w:pPr>
        <w:rPr>
          <w:b/>
          <w:sz w:val="24"/>
          <w:szCs w:val="24"/>
        </w:rPr>
      </w:pPr>
    </w:p>
    <w:p w14:paraId="1101D491" w14:textId="77777777" w:rsidR="00801853" w:rsidRDefault="00801853" w:rsidP="000F42CB">
      <w:pPr>
        <w:rPr>
          <w:b/>
          <w:sz w:val="24"/>
          <w:szCs w:val="24"/>
        </w:rPr>
      </w:pPr>
    </w:p>
    <w:p w14:paraId="2BE5030E" w14:textId="77777777" w:rsidR="00D11EA5" w:rsidRDefault="00D11EA5" w:rsidP="000F42CB">
      <w:pPr>
        <w:rPr>
          <w:b/>
          <w:sz w:val="24"/>
          <w:szCs w:val="24"/>
        </w:rPr>
      </w:pPr>
    </w:p>
    <w:p w14:paraId="005D65E3" w14:textId="1FD79111" w:rsidR="005128F7" w:rsidRPr="00C17510" w:rsidRDefault="005128F7" w:rsidP="000F42CB">
      <w:pPr>
        <w:rPr>
          <w:b/>
          <w:sz w:val="24"/>
          <w:szCs w:val="24"/>
        </w:rPr>
      </w:pPr>
      <w:r w:rsidRPr="00C17510">
        <w:rPr>
          <w:b/>
          <w:sz w:val="24"/>
          <w:szCs w:val="24"/>
        </w:rPr>
        <w:lastRenderedPageBreak/>
        <w:t>Kaynaklar</w:t>
      </w:r>
    </w:p>
    <w:p w14:paraId="4A68B522" w14:textId="11019308" w:rsidR="000E5C14" w:rsidRPr="00CE22D8" w:rsidRDefault="000E5C14" w:rsidP="00DF52D1">
      <w:pPr>
        <w:jc w:val="both"/>
        <w:rPr>
          <w:sz w:val="24"/>
          <w:szCs w:val="24"/>
        </w:rPr>
      </w:pPr>
      <w:r w:rsidRPr="00CE22D8">
        <w:rPr>
          <w:sz w:val="24"/>
          <w:szCs w:val="24"/>
        </w:rPr>
        <w:t xml:space="preserve">Acemoğlu, D. </w:t>
      </w:r>
      <w:r w:rsidR="00BC4C20" w:rsidRPr="00CE22D8">
        <w:rPr>
          <w:sz w:val="24"/>
          <w:szCs w:val="24"/>
        </w:rPr>
        <w:t>v</w:t>
      </w:r>
      <w:r w:rsidRPr="00CE22D8">
        <w:rPr>
          <w:sz w:val="24"/>
          <w:szCs w:val="24"/>
        </w:rPr>
        <w:t>e Üçer, M</w:t>
      </w:r>
      <w:r w:rsidR="00BC4C20" w:rsidRPr="00CE22D8">
        <w:rPr>
          <w:sz w:val="24"/>
          <w:szCs w:val="24"/>
        </w:rPr>
        <w:t>.</w:t>
      </w:r>
      <w:r w:rsidRPr="00CE22D8">
        <w:rPr>
          <w:sz w:val="24"/>
          <w:szCs w:val="24"/>
        </w:rPr>
        <w:t xml:space="preserve"> (2021). “High-quality versus low-quality growth in Turkey: Causes and consequences”, </w:t>
      </w:r>
      <w:r w:rsidRPr="00CE22D8">
        <w:rPr>
          <w:i/>
          <w:iCs/>
          <w:sz w:val="24"/>
          <w:szCs w:val="24"/>
        </w:rPr>
        <w:t>Turkish economy at the crossroads</w:t>
      </w:r>
      <w:r w:rsidRPr="00CE22D8">
        <w:rPr>
          <w:sz w:val="24"/>
          <w:szCs w:val="24"/>
        </w:rPr>
        <w:t xml:space="preserve"> içinde (ed. A.S. Akat ve S. Gürsel), </w:t>
      </w:r>
      <w:r w:rsidR="00BC4C20" w:rsidRPr="00CE22D8">
        <w:rPr>
          <w:sz w:val="24"/>
          <w:szCs w:val="24"/>
        </w:rPr>
        <w:t>World Scientific Publishing.</w:t>
      </w:r>
    </w:p>
    <w:p w14:paraId="3774713A" w14:textId="46F8D89D" w:rsidR="00032E06" w:rsidRPr="00CE22D8" w:rsidRDefault="00032E06" w:rsidP="00032E06">
      <w:pPr>
        <w:jc w:val="both"/>
        <w:rPr>
          <w:sz w:val="24"/>
          <w:szCs w:val="24"/>
        </w:rPr>
      </w:pPr>
      <w:r w:rsidRPr="00CE22D8">
        <w:rPr>
          <w:sz w:val="24"/>
          <w:szCs w:val="24"/>
        </w:rPr>
        <w:t>Atkinson, A. B. (2007). “Measuring Top Incomes: Methodological Issues”</w:t>
      </w:r>
      <w:r w:rsidR="00803351" w:rsidRPr="00CE22D8">
        <w:rPr>
          <w:sz w:val="24"/>
          <w:szCs w:val="24"/>
        </w:rPr>
        <w:t>,</w:t>
      </w:r>
      <w:r w:rsidRPr="00CE22D8">
        <w:rPr>
          <w:sz w:val="24"/>
          <w:szCs w:val="24"/>
        </w:rPr>
        <w:t xml:space="preserve"> </w:t>
      </w:r>
      <w:r w:rsidRPr="00CE22D8">
        <w:rPr>
          <w:i/>
          <w:iCs/>
          <w:sz w:val="24"/>
          <w:szCs w:val="24"/>
        </w:rPr>
        <w:t>Top Incomes over the Twentieth Century</w:t>
      </w:r>
      <w:r w:rsidRPr="00CE22D8">
        <w:rPr>
          <w:sz w:val="24"/>
          <w:szCs w:val="24"/>
        </w:rPr>
        <w:t xml:space="preserve"> içinde (ed. A. B. Atkinson ve T. Piketty), Oxford University Press, Oxford, 18–42.</w:t>
      </w:r>
    </w:p>
    <w:p w14:paraId="47FCA508" w14:textId="1E8405FE" w:rsidR="005128F7" w:rsidRPr="00CE22D8" w:rsidRDefault="005128F7" w:rsidP="00DF52D1">
      <w:pPr>
        <w:jc w:val="both"/>
        <w:rPr>
          <w:sz w:val="24"/>
          <w:szCs w:val="24"/>
        </w:rPr>
      </w:pPr>
      <w:r w:rsidRPr="00CE22D8">
        <w:rPr>
          <w:sz w:val="24"/>
          <w:szCs w:val="24"/>
        </w:rPr>
        <w:t xml:space="preserve">Filiztekin, A. </w:t>
      </w:r>
      <w:r w:rsidR="000E5C14" w:rsidRPr="00CE22D8">
        <w:rPr>
          <w:sz w:val="24"/>
          <w:szCs w:val="24"/>
        </w:rPr>
        <w:t>ve</w:t>
      </w:r>
      <w:r w:rsidRPr="00CE22D8">
        <w:rPr>
          <w:sz w:val="24"/>
          <w:szCs w:val="24"/>
        </w:rPr>
        <w:t xml:space="preserve"> Kent, O. (2021). </w:t>
      </w:r>
      <w:r w:rsidRPr="00CE22D8">
        <w:rPr>
          <w:i/>
          <w:iCs/>
          <w:sz w:val="24"/>
          <w:szCs w:val="24"/>
        </w:rPr>
        <w:t>Behind the scenes of income inequality: The Role of Regions</w:t>
      </w:r>
      <w:r w:rsidRPr="00CE22D8">
        <w:rPr>
          <w:sz w:val="24"/>
          <w:szCs w:val="24"/>
        </w:rPr>
        <w:t xml:space="preserve"> [Conference presentation], 7th International Conference on Economics Turkish Economic Association (Online), TR.</w:t>
      </w:r>
    </w:p>
    <w:p w14:paraId="4E795AA5" w14:textId="2DEDE89E" w:rsidR="00DF52D1" w:rsidRPr="00CE22D8" w:rsidRDefault="00DF52D1" w:rsidP="00DF52D1">
      <w:pPr>
        <w:jc w:val="both"/>
        <w:rPr>
          <w:sz w:val="24"/>
          <w:szCs w:val="24"/>
        </w:rPr>
      </w:pPr>
      <w:r w:rsidRPr="00CE22D8">
        <w:rPr>
          <w:sz w:val="24"/>
          <w:szCs w:val="24"/>
        </w:rPr>
        <w:t xml:space="preserve">Filiztekin, A. </w:t>
      </w:r>
      <w:r w:rsidR="000E5C14" w:rsidRPr="00CE22D8">
        <w:rPr>
          <w:sz w:val="24"/>
          <w:szCs w:val="24"/>
        </w:rPr>
        <w:t>ve</w:t>
      </w:r>
      <w:r w:rsidRPr="00CE22D8">
        <w:rPr>
          <w:sz w:val="24"/>
          <w:szCs w:val="24"/>
        </w:rPr>
        <w:t xml:space="preserve"> Kent, O. (2023). </w:t>
      </w:r>
      <w:r w:rsidR="008A2064" w:rsidRPr="00CE22D8">
        <w:rPr>
          <w:sz w:val="24"/>
          <w:szCs w:val="24"/>
        </w:rPr>
        <w:t>“</w:t>
      </w:r>
      <w:r w:rsidR="00EC3957" w:rsidRPr="00CE22D8">
        <w:rPr>
          <w:sz w:val="24"/>
          <w:szCs w:val="24"/>
        </w:rPr>
        <w:t>Reversal in inequality trends and rich and r</w:t>
      </w:r>
      <w:r w:rsidRPr="00CE22D8">
        <w:rPr>
          <w:sz w:val="24"/>
          <w:szCs w:val="24"/>
        </w:rPr>
        <w:t xml:space="preserve">ichness </w:t>
      </w:r>
      <w:r w:rsidR="00EC3957" w:rsidRPr="00CE22D8">
        <w:rPr>
          <w:sz w:val="24"/>
          <w:szCs w:val="24"/>
        </w:rPr>
        <w:t>in Turkey</w:t>
      </w:r>
      <w:r w:rsidR="008A2064" w:rsidRPr="00CE22D8">
        <w:rPr>
          <w:sz w:val="24"/>
          <w:szCs w:val="24"/>
        </w:rPr>
        <w:t>”</w:t>
      </w:r>
      <w:r w:rsidRPr="00CE22D8">
        <w:rPr>
          <w:sz w:val="24"/>
          <w:szCs w:val="24"/>
        </w:rPr>
        <w:t xml:space="preserve"> </w:t>
      </w:r>
      <w:r w:rsidR="00EC3957" w:rsidRPr="00CE22D8">
        <w:rPr>
          <w:sz w:val="24"/>
          <w:szCs w:val="24"/>
        </w:rPr>
        <w:t>(sürmekte olan çalışma)</w:t>
      </w:r>
    </w:p>
    <w:p w14:paraId="7624B179" w14:textId="5613672A" w:rsidR="00BC4C20" w:rsidRPr="00CE22D8" w:rsidRDefault="00BC4C20" w:rsidP="00BC4C20">
      <w:pPr>
        <w:jc w:val="both"/>
        <w:rPr>
          <w:sz w:val="24"/>
          <w:szCs w:val="24"/>
        </w:rPr>
      </w:pPr>
      <w:r w:rsidRPr="00CE22D8">
        <w:rPr>
          <w:sz w:val="24"/>
          <w:szCs w:val="24"/>
        </w:rPr>
        <w:t>Günçavdı, Ö. ve Bayar, A.</w:t>
      </w:r>
      <w:r w:rsidR="00CE22D8">
        <w:rPr>
          <w:sz w:val="24"/>
          <w:szCs w:val="24"/>
        </w:rPr>
        <w:t xml:space="preserve"> A.</w:t>
      </w:r>
      <w:r w:rsidRPr="00CE22D8">
        <w:rPr>
          <w:sz w:val="24"/>
          <w:szCs w:val="24"/>
        </w:rPr>
        <w:t xml:space="preserve"> (2021). “Structural transformation and income distribution in Turkey”, </w:t>
      </w:r>
      <w:r w:rsidRPr="00CE22D8">
        <w:rPr>
          <w:i/>
          <w:iCs/>
          <w:sz w:val="24"/>
          <w:szCs w:val="24"/>
        </w:rPr>
        <w:t>Turkish economy at the crossroads</w:t>
      </w:r>
      <w:r w:rsidRPr="00CE22D8">
        <w:rPr>
          <w:sz w:val="24"/>
          <w:szCs w:val="24"/>
        </w:rPr>
        <w:t xml:space="preserve"> içinde (ed. A.S. Akat ve S. Gürsel), World Scientific Publishing.</w:t>
      </w:r>
    </w:p>
    <w:p w14:paraId="004EC2B2" w14:textId="0B819D8A" w:rsidR="00803351" w:rsidRPr="00CE22D8" w:rsidRDefault="00803351" w:rsidP="00BC4C20">
      <w:pPr>
        <w:jc w:val="both"/>
        <w:rPr>
          <w:sz w:val="24"/>
          <w:szCs w:val="24"/>
        </w:rPr>
      </w:pPr>
      <w:r w:rsidRPr="00CE22D8">
        <w:rPr>
          <w:sz w:val="24"/>
          <w:szCs w:val="24"/>
        </w:rPr>
        <w:t xml:space="preserve">Leigh, A. (2009). “Top Incomes”, </w:t>
      </w:r>
      <w:r w:rsidRPr="00CE22D8">
        <w:rPr>
          <w:i/>
          <w:iCs/>
          <w:sz w:val="24"/>
          <w:szCs w:val="24"/>
        </w:rPr>
        <w:t>The Oxford Handbook of Economic Inequality</w:t>
      </w:r>
      <w:r w:rsidRPr="00CE22D8">
        <w:rPr>
          <w:sz w:val="24"/>
          <w:szCs w:val="24"/>
        </w:rPr>
        <w:t xml:space="preserve"> içinde (ed. W. Salverda, B. Nolal, ve T. Smeeding), Oxford University Press, New York, 150–174.</w:t>
      </w:r>
    </w:p>
    <w:p w14:paraId="15C09019" w14:textId="36490758" w:rsidR="005302AD" w:rsidRPr="00CE22D8" w:rsidRDefault="005302AD" w:rsidP="005302AD">
      <w:pPr>
        <w:jc w:val="both"/>
        <w:rPr>
          <w:sz w:val="24"/>
          <w:szCs w:val="24"/>
        </w:rPr>
      </w:pPr>
      <w:r w:rsidRPr="00CE22D8">
        <w:rPr>
          <w:sz w:val="24"/>
          <w:szCs w:val="24"/>
        </w:rPr>
        <w:t xml:space="preserve">Medeiros, M. (2006). The Rich and the Poor: The Construction of an Affluence Line from the Poverty Line, </w:t>
      </w:r>
      <w:r w:rsidRPr="00CE22D8">
        <w:rPr>
          <w:i/>
          <w:iCs/>
          <w:sz w:val="24"/>
          <w:szCs w:val="24"/>
        </w:rPr>
        <w:t>Social Indicators Research</w:t>
      </w:r>
      <w:r w:rsidRPr="00CE22D8">
        <w:rPr>
          <w:sz w:val="24"/>
          <w:szCs w:val="24"/>
        </w:rPr>
        <w:t xml:space="preserve">, </w:t>
      </w:r>
      <w:r w:rsidRPr="00CE22D8">
        <w:rPr>
          <w:i/>
          <w:iCs/>
          <w:sz w:val="24"/>
          <w:szCs w:val="24"/>
        </w:rPr>
        <w:t>78</w:t>
      </w:r>
      <w:r w:rsidRPr="00CE22D8">
        <w:rPr>
          <w:sz w:val="24"/>
          <w:szCs w:val="24"/>
        </w:rPr>
        <w:t xml:space="preserve">, 1–18. </w:t>
      </w:r>
    </w:p>
    <w:p w14:paraId="4252C3AF" w14:textId="4E0E3714" w:rsidR="00BD6673" w:rsidRPr="00CE22D8" w:rsidRDefault="00BD6673" w:rsidP="005302AD">
      <w:pPr>
        <w:jc w:val="both"/>
        <w:rPr>
          <w:rStyle w:val="fontstyle01"/>
          <w:rFonts w:asciiTheme="minorHAnsi" w:hAnsiTheme="minorHAnsi" w:cstheme="minorHAnsi"/>
          <w:color w:val="auto"/>
          <w:sz w:val="24"/>
          <w:szCs w:val="24"/>
        </w:rPr>
      </w:pPr>
      <w:r w:rsidRPr="00CE22D8">
        <w:rPr>
          <w:rStyle w:val="fontstyle01"/>
          <w:rFonts w:asciiTheme="minorHAnsi" w:hAnsiTheme="minorHAnsi" w:cstheme="minorHAnsi"/>
          <w:color w:val="auto"/>
          <w:sz w:val="24"/>
          <w:szCs w:val="24"/>
        </w:rPr>
        <w:t>OECD (2011). “An Overview of Growing Income Inequalities in OECD Countries: Main Findings”,</w:t>
      </w:r>
      <w:r w:rsidRPr="00CE22D8">
        <w:rPr>
          <w:rFonts w:cstheme="minorHAnsi"/>
          <w:sz w:val="24"/>
          <w:szCs w:val="24"/>
        </w:rPr>
        <w:br/>
      </w:r>
      <w:r w:rsidRPr="00CE22D8">
        <w:rPr>
          <w:rStyle w:val="fontstyle21"/>
          <w:rFonts w:asciiTheme="minorHAnsi" w:hAnsiTheme="minorHAnsi" w:cstheme="minorHAnsi"/>
          <w:color w:val="auto"/>
          <w:sz w:val="24"/>
          <w:szCs w:val="24"/>
        </w:rPr>
        <w:t xml:space="preserve">Divided We Stand: Why Inequality Keeps Rising </w:t>
      </w:r>
      <w:r w:rsidRPr="00CE22D8">
        <w:rPr>
          <w:rStyle w:val="fontstyle01"/>
          <w:rFonts w:asciiTheme="minorHAnsi" w:hAnsiTheme="minorHAnsi" w:cstheme="minorHAnsi"/>
          <w:color w:val="auto"/>
          <w:sz w:val="24"/>
          <w:szCs w:val="24"/>
        </w:rPr>
        <w:t xml:space="preserve">içinde. Paris: OECD Publishing. </w:t>
      </w:r>
      <w:r w:rsidR="00CE22D8">
        <w:rPr>
          <w:rStyle w:val="fontstyle01"/>
          <w:rFonts w:asciiTheme="minorHAnsi" w:hAnsiTheme="minorHAnsi" w:cstheme="minorHAnsi"/>
          <w:color w:val="auto"/>
          <w:sz w:val="24"/>
          <w:szCs w:val="24"/>
        </w:rPr>
        <w:t>d</w:t>
      </w:r>
      <w:r w:rsidRPr="00CE22D8">
        <w:rPr>
          <w:rStyle w:val="fontstyle01"/>
          <w:rFonts w:asciiTheme="minorHAnsi" w:hAnsiTheme="minorHAnsi" w:cstheme="minorHAnsi"/>
          <w:color w:val="auto"/>
          <w:sz w:val="24"/>
          <w:szCs w:val="24"/>
        </w:rPr>
        <w:t xml:space="preserve">oi: </w:t>
      </w:r>
      <w:hyperlink r:id="rId13" w:history="1">
        <w:r w:rsidR="00CE22D8" w:rsidRPr="00CE22D8">
          <w:rPr>
            <w:rStyle w:val="Hyperlink"/>
            <w:rFonts w:cstheme="minorHAnsi"/>
            <w:color w:val="auto"/>
            <w:sz w:val="24"/>
            <w:szCs w:val="24"/>
          </w:rPr>
          <w:t>https://doi.org/10.1787/9789264119536-3-en</w:t>
        </w:r>
      </w:hyperlink>
      <w:r w:rsidR="00CE22D8" w:rsidRPr="00CE22D8">
        <w:rPr>
          <w:rStyle w:val="fontstyle01"/>
          <w:rFonts w:asciiTheme="minorHAnsi" w:hAnsiTheme="minorHAnsi" w:cstheme="minorHAnsi"/>
          <w:color w:val="auto"/>
          <w:sz w:val="24"/>
          <w:szCs w:val="24"/>
        </w:rPr>
        <w:t xml:space="preserve">   </w:t>
      </w:r>
    </w:p>
    <w:p w14:paraId="1B9F8DF5" w14:textId="1263D109" w:rsidR="00BD6673" w:rsidRPr="00CE22D8" w:rsidRDefault="00BD6673" w:rsidP="00BD6673">
      <w:pPr>
        <w:jc w:val="both"/>
        <w:rPr>
          <w:rStyle w:val="fontstyle01"/>
          <w:rFonts w:asciiTheme="minorHAnsi" w:hAnsiTheme="minorHAnsi" w:cstheme="minorHAnsi"/>
          <w:color w:val="auto"/>
          <w:sz w:val="24"/>
          <w:szCs w:val="24"/>
        </w:rPr>
      </w:pPr>
      <w:r w:rsidRPr="00CE22D8">
        <w:rPr>
          <w:rStyle w:val="fontstyle01"/>
          <w:rFonts w:asciiTheme="minorHAnsi" w:hAnsiTheme="minorHAnsi" w:cstheme="minorHAnsi"/>
          <w:color w:val="auto"/>
          <w:sz w:val="24"/>
          <w:szCs w:val="24"/>
        </w:rPr>
        <w:t xml:space="preserve">OECD (2015). “Overview of inequality trends, key findings and policy directions”, </w:t>
      </w:r>
      <w:r w:rsidRPr="00CE22D8">
        <w:rPr>
          <w:rStyle w:val="fontstyle21"/>
          <w:rFonts w:asciiTheme="minorHAnsi" w:hAnsiTheme="minorHAnsi" w:cstheme="minorHAnsi"/>
          <w:color w:val="auto"/>
          <w:sz w:val="24"/>
          <w:szCs w:val="24"/>
        </w:rPr>
        <w:t xml:space="preserve">In It Together: Why Less Inequality Benefits All </w:t>
      </w:r>
      <w:r w:rsidRPr="00CE22D8">
        <w:rPr>
          <w:rStyle w:val="fontstyle01"/>
          <w:rFonts w:asciiTheme="minorHAnsi" w:hAnsiTheme="minorHAnsi" w:cstheme="minorHAnsi"/>
          <w:color w:val="auto"/>
          <w:sz w:val="24"/>
          <w:szCs w:val="24"/>
        </w:rPr>
        <w:t>içinde. Paris: OECD Publishing</w:t>
      </w:r>
      <w:r w:rsidR="00CE22D8">
        <w:rPr>
          <w:rStyle w:val="fontstyle01"/>
          <w:rFonts w:asciiTheme="minorHAnsi" w:hAnsiTheme="minorHAnsi" w:cstheme="minorHAnsi"/>
          <w:color w:val="auto"/>
          <w:sz w:val="24"/>
          <w:szCs w:val="24"/>
        </w:rPr>
        <w:t>.</w:t>
      </w:r>
      <w:r w:rsidRPr="00CE22D8">
        <w:rPr>
          <w:rStyle w:val="fontstyle01"/>
          <w:rFonts w:asciiTheme="minorHAnsi" w:hAnsiTheme="minorHAnsi" w:cstheme="minorHAnsi"/>
          <w:color w:val="auto"/>
          <w:sz w:val="24"/>
          <w:szCs w:val="24"/>
        </w:rPr>
        <w:t xml:space="preserve"> </w:t>
      </w:r>
      <w:r w:rsidR="00CE22D8">
        <w:rPr>
          <w:rStyle w:val="fontstyle01"/>
          <w:rFonts w:asciiTheme="minorHAnsi" w:hAnsiTheme="minorHAnsi" w:cstheme="minorHAnsi"/>
          <w:color w:val="auto"/>
          <w:sz w:val="24"/>
          <w:szCs w:val="24"/>
        </w:rPr>
        <w:t>d</w:t>
      </w:r>
      <w:r w:rsidRPr="00CE22D8">
        <w:rPr>
          <w:rStyle w:val="fontstyle01"/>
          <w:rFonts w:asciiTheme="minorHAnsi" w:hAnsiTheme="minorHAnsi" w:cstheme="minorHAnsi"/>
          <w:color w:val="auto"/>
          <w:sz w:val="24"/>
          <w:szCs w:val="24"/>
        </w:rPr>
        <w:t xml:space="preserve">oi: </w:t>
      </w:r>
      <w:hyperlink r:id="rId14" w:history="1">
        <w:r w:rsidR="00CE22D8" w:rsidRPr="00CE22D8">
          <w:rPr>
            <w:rStyle w:val="Hyperlink"/>
            <w:rFonts w:cstheme="minorHAnsi"/>
            <w:color w:val="auto"/>
            <w:sz w:val="24"/>
            <w:szCs w:val="24"/>
          </w:rPr>
          <w:t>https://doi.org/10.1787/9789264235120-4-en</w:t>
        </w:r>
      </w:hyperlink>
    </w:p>
    <w:p w14:paraId="4DE56D9D" w14:textId="19E26042" w:rsidR="00CE22D8" w:rsidRPr="00CE22D8" w:rsidRDefault="00CE22D8" w:rsidP="00BD6673">
      <w:pPr>
        <w:jc w:val="both"/>
        <w:rPr>
          <w:rFonts w:cstheme="minorHAnsi"/>
          <w:sz w:val="24"/>
          <w:szCs w:val="24"/>
        </w:rPr>
      </w:pPr>
      <w:r w:rsidRPr="00CE22D8">
        <w:rPr>
          <w:rFonts w:cstheme="minorHAnsi"/>
          <w:sz w:val="24"/>
          <w:szCs w:val="24"/>
        </w:rPr>
        <w:t xml:space="preserve">OECD (2023), Income inequality (indicator). doi: </w:t>
      </w:r>
      <w:hyperlink r:id="rId15" w:history="1">
        <w:r w:rsidRPr="00CE22D8">
          <w:rPr>
            <w:rStyle w:val="Hyperlink"/>
            <w:rFonts w:cstheme="minorHAnsi"/>
            <w:color w:val="auto"/>
            <w:sz w:val="24"/>
            <w:szCs w:val="24"/>
          </w:rPr>
          <w:t>https://doi.org/10.1787/459aa7f1-en</w:t>
        </w:r>
      </w:hyperlink>
      <w:r w:rsidRPr="00CE22D8">
        <w:rPr>
          <w:rFonts w:cstheme="minorHAnsi"/>
          <w:sz w:val="24"/>
          <w:szCs w:val="24"/>
        </w:rPr>
        <w:t xml:space="preserve"> (Erişim tarihi: 4 Nisan 2023)</w:t>
      </w:r>
    </w:p>
    <w:p w14:paraId="0816A352" w14:textId="52024D97" w:rsidR="00BD6673" w:rsidRPr="00CE22D8" w:rsidRDefault="00BD6673" w:rsidP="005302AD">
      <w:pPr>
        <w:jc w:val="both"/>
        <w:rPr>
          <w:rFonts w:cstheme="minorHAnsi"/>
          <w:sz w:val="24"/>
          <w:szCs w:val="24"/>
        </w:rPr>
      </w:pPr>
      <w:r w:rsidRPr="00CE22D8">
        <w:rPr>
          <w:rFonts w:cstheme="minorHAnsi"/>
          <w:sz w:val="24"/>
          <w:szCs w:val="24"/>
          <w:shd w:val="clear" w:color="auto" w:fill="FFFFFF"/>
        </w:rPr>
        <w:t>Peichl, A., Schaefer, T., &amp; Scheicher, C. (2010). Measuring richness and poverty: A micro data application to Europe and Germany. </w:t>
      </w:r>
      <w:r w:rsidRPr="00CE22D8">
        <w:rPr>
          <w:rFonts w:cstheme="minorHAnsi"/>
          <w:i/>
          <w:iCs/>
          <w:sz w:val="24"/>
          <w:szCs w:val="24"/>
          <w:shd w:val="clear" w:color="auto" w:fill="FFFFFF"/>
        </w:rPr>
        <w:t>Review of Income and Wealth</w:t>
      </w:r>
      <w:r w:rsidRPr="00CE22D8">
        <w:rPr>
          <w:rFonts w:cstheme="minorHAnsi"/>
          <w:sz w:val="24"/>
          <w:szCs w:val="24"/>
          <w:shd w:val="clear" w:color="auto" w:fill="FFFFFF"/>
        </w:rPr>
        <w:t>, </w:t>
      </w:r>
      <w:r w:rsidRPr="00CE22D8">
        <w:rPr>
          <w:rFonts w:cstheme="minorHAnsi"/>
          <w:i/>
          <w:iCs/>
          <w:sz w:val="24"/>
          <w:szCs w:val="24"/>
          <w:shd w:val="clear" w:color="auto" w:fill="FFFFFF"/>
        </w:rPr>
        <w:t>56</w:t>
      </w:r>
      <w:r w:rsidRPr="00CE22D8">
        <w:rPr>
          <w:rFonts w:cstheme="minorHAnsi"/>
          <w:sz w:val="24"/>
          <w:szCs w:val="24"/>
          <w:shd w:val="clear" w:color="auto" w:fill="FFFFFF"/>
        </w:rPr>
        <w:t>(3), 597-619.</w:t>
      </w:r>
    </w:p>
    <w:p w14:paraId="37495AA7" w14:textId="77777777" w:rsidR="00167AC3" w:rsidRPr="00DF52D1" w:rsidRDefault="00167AC3" w:rsidP="00DF52D1">
      <w:pPr>
        <w:jc w:val="both"/>
        <w:rPr>
          <w:sz w:val="24"/>
          <w:szCs w:val="24"/>
        </w:rPr>
      </w:pPr>
    </w:p>
    <w:sectPr w:rsidR="00167AC3" w:rsidRPr="00DF52D1" w:rsidSect="00DB5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181B" w14:textId="77777777" w:rsidR="00E82608" w:rsidRDefault="00E82608" w:rsidP="00B76EC0">
      <w:pPr>
        <w:spacing w:after="0" w:line="240" w:lineRule="auto"/>
      </w:pPr>
      <w:r>
        <w:separator/>
      </w:r>
    </w:p>
  </w:endnote>
  <w:endnote w:type="continuationSeparator" w:id="0">
    <w:p w14:paraId="77704805" w14:textId="77777777" w:rsidR="00E82608" w:rsidRDefault="00E82608" w:rsidP="00B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font>
  <w:font w:name="MinionPro-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AB539" w14:textId="77777777" w:rsidR="00E82608" w:rsidRDefault="00E82608" w:rsidP="00B76EC0">
      <w:pPr>
        <w:spacing w:after="0" w:line="240" w:lineRule="auto"/>
      </w:pPr>
      <w:r>
        <w:separator/>
      </w:r>
    </w:p>
  </w:footnote>
  <w:footnote w:type="continuationSeparator" w:id="0">
    <w:p w14:paraId="47BD9172" w14:textId="77777777" w:rsidR="00E82608" w:rsidRDefault="00E82608" w:rsidP="00B76EC0">
      <w:pPr>
        <w:spacing w:after="0" w:line="240" w:lineRule="auto"/>
      </w:pPr>
      <w:r>
        <w:continuationSeparator/>
      </w:r>
    </w:p>
  </w:footnote>
  <w:footnote w:id="1">
    <w:p w14:paraId="2B7A3870" w14:textId="4C575C47" w:rsidR="002D2220" w:rsidRPr="002D2220" w:rsidRDefault="00A47CE6" w:rsidP="00A47CE6">
      <w:pPr>
        <w:pStyle w:val="FootnoteText"/>
        <w:rPr>
          <w:rFonts w:ascii="Times New Roman" w:hAnsi="Times New Roman" w:cs="Times New Roman"/>
          <w:sz w:val="18"/>
        </w:rPr>
      </w:pPr>
      <w:r w:rsidRPr="002D2220">
        <w:rPr>
          <w:rStyle w:val="FootnoteReference"/>
          <w:rFonts w:ascii="Times New Roman" w:hAnsi="Times New Roman" w:cs="Times New Roman"/>
          <w:sz w:val="18"/>
        </w:rPr>
        <w:footnoteRef/>
      </w:r>
      <w:r w:rsidRPr="002D2220">
        <w:rPr>
          <w:rFonts w:ascii="Times New Roman" w:hAnsi="Times New Roman" w:cs="Times New Roman"/>
          <w:sz w:val="18"/>
        </w:rPr>
        <w:t xml:space="preserve"> </w:t>
      </w:r>
      <w:r w:rsidR="002D2220" w:rsidRPr="002D2220">
        <w:rPr>
          <w:rFonts w:ascii="Times New Roman" w:hAnsi="Times New Roman" w:cs="Times New Roman"/>
          <w:sz w:val="18"/>
        </w:rPr>
        <w:t>Sabancı Üniversitesi</w:t>
      </w:r>
      <w:r w:rsidRPr="002D2220">
        <w:rPr>
          <w:rFonts w:ascii="Times New Roman" w:hAnsi="Times New Roman" w:cs="Times New Roman"/>
          <w:sz w:val="18"/>
        </w:rPr>
        <w:t xml:space="preserve"> </w:t>
      </w:r>
      <w:r w:rsidR="002D2220" w:rsidRPr="002D2220">
        <w:rPr>
          <w:rFonts w:ascii="Times New Roman" w:hAnsi="Times New Roman" w:cs="Times New Roman"/>
          <w:sz w:val="18"/>
        </w:rPr>
        <w:t>Ekonomi</w:t>
      </w:r>
      <w:r w:rsidRPr="002D2220">
        <w:rPr>
          <w:rFonts w:ascii="Times New Roman" w:hAnsi="Times New Roman" w:cs="Times New Roman"/>
          <w:sz w:val="18"/>
        </w:rPr>
        <w:t xml:space="preserve"> Bölümü öğretim üyesi, Betam ortak araştırmacısı,</w:t>
      </w:r>
      <w:r w:rsidR="002D2220" w:rsidRPr="002D2220">
        <w:rPr>
          <w:rFonts w:ascii="Times New Roman" w:hAnsi="Times New Roman" w:cs="Times New Roman"/>
          <w:sz w:val="18"/>
        </w:rPr>
        <w:t xml:space="preserve"> </w:t>
      </w:r>
      <w:hyperlink r:id="rId1" w:history="1">
        <w:r w:rsidR="002D2220" w:rsidRPr="002D2220">
          <w:rPr>
            <w:rStyle w:val="Hyperlink"/>
            <w:sz w:val="18"/>
          </w:rPr>
          <w:t>alpay.filiztekin@sabanciuniv.edu</w:t>
        </w:r>
      </w:hyperlink>
    </w:p>
  </w:footnote>
  <w:footnote w:id="2">
    <w:p w14:paraId="4A436BF0" w14:textId="59D26A42" w:rsidR="00A47CE6" w:rsidRPr="002D2220" w:rsidRDefault="00A47CE6" w:rsidP="00A47CE6">
      <w:pPr>
        <w:pStyle w:val="FootnoteText"/>
        <w:rPr>
          <w:sz w:val="18"/>
        </w:rPr>
      </w:pPr>
      <w:r w:rsidRPr="002D2220">
        <w:rPr>
          <w:rStyle w:val="FootnoteReference"/>
          <w:rFonts w:ascii="Times New Roman" w:hAnsi="Times New Roman" w:cs="Times New Roman"/>
          <w:sz w:val="18"/>
        </w:rPr>
        <w:footnoteRef/>
      </w:r>
      <w:r w:rsidRPr="002D2220">
        <w:rPr>
          <w:rFonts w:ascii="Times New Roman" w:hAnsi="Times New Roman" w:cs="Times New Roman"/>
          <w:sz w:val="18"/>
        </w:rPr>
        <w:t xml:space="preserve"> </w:t>
      </w:r>
      <w:r w:rsidRPr="002D2220">
        <w:rPr>
          <w:rFonts w:ascii="Times New Roman" w:hAnsi="Times New Roman" w:cs="Times New Roman"/>
          <w:sz w:val="18"/>
        </w:rPr>
        <w:t>O</w:t>
      </w:r>
      <w:r w:rsidR="002D2220" w:rsidRPr="002D2220">
        <w:rPr>
          <w:rFonts w:ascii="Times New Roman" w:hAnsi="Times New Roman" w:cs="Times New Roman"/>
          <w:sz w:val="18"/>
        </w:rPr>
        <w:t>kan Üniversitesi</w:t>
      </w:r>
      <w:r w:rsidRPr="002D2220">
        <w:rPr>
          <w:rFonts w:ascii="Times New Roman" w:hAnsi="Times New Roman" w:cs="Times New Roman"/>
          <w:sz w:val="18"/>
        </w:rPr>
        <w:t xml:space="preserve"> </w:t>
      </w:r>
      <w:r w:rsidR="002D2220" w:rsidRPr="002D2220">
        <w:rPr>
          <w:rFonts w:ascii="Times New Roman" w:hAnsi="Times New Roman" w:cs="Times New Roman"/>
          <w:sz w:val="18"/>
        </w:rPr>
        <w:t>Ekonomi ve Finans</w:t>
      </w:r>
      <w:r w:rsidRPr="002D2220">
        <w:rPr>
          <w:rFonts w:ascii="Times New Roman" w:hAnsi="Times New Roman" w:cs="Times New Roman"/>
          <w:sz w:val="18"/>
        </w:rPr>
        <w:t xml:space="preserve"> Bölümü öğretim üyesi, Betam ortak araştırmacısı, </w:t>
      </w:r>
      <w:hyperlink r:id="rId2" w:history="1">
        <w:r w:rsidR="002D2220" w:rsidRPr="002D2220">
          <w:rPr>
            <w:rStyle w:val="Hyperlink"/>
            <w:sz w:val="18"/>
          </w:rPr>
          <w:t>oya.kent@okan.edu.tr</w:t>
        </w:r>
      </w:hyperlink>
    </w:p>
    <w:p w14:paraId="748C00C3" w14:textId="77777777" w:rsidR="002D2220" w:rsidRDefault="002D2220" w:rsidP="00A47CE6">
      <w:pPr>
        <w:pStyle w:val="FootnoteText"/>
      </w:pPr>
    </w:p>
    <w:p w14:paraId="72D1902D" w14:textId="77777777" w:rsidR="002D2220" w:rsidRPr="00D83DEB" w:rsidRDefault="002D2220" w:rsidP="00A47CE6">
      <w:pPr>
        <w:pStyle w:val="FootnoteText"/>
        <w:rPr>
          <w:rFonts w:ascii="Times New Roman" w:hAnsi="Times New Roman" w:cs="Times New Roman"/>
        </w:rPr>
      </w:pPr>
    </w:p>
  </w:footnote>
  <w:footnote w:id="3">
    <w:p w14:paraId="5F2BAC5B" w14:textId="2C8B8136" w:rsidR="00B76EC0" w:rsidRPr="00F01403" w:rsidRDefault="00B76EC0" w:rsidP="00381084">
      <w:pPr>
        <w:pStyle w:val="FootnoteText"/>
        <w:jc w:val="both"/>
      </w:pPr>
      <w:r w:rsidRPr="00F01403">
        <w:rPr>
          <w:rStyle w:val="FootnoteReference"/>
        </w:rPr>
        <w:footnoteRef/>
      </w:r>
      <w:r w:rsidRPr="00F01403">
        <w:t xml:space="preserve"> </w:t>
      </w:r>
      <w:r w:rsidRPr="00F01403">
        <w:t xml:space="preserve">Türkiye'nin </w:t>
      </w:r>
      <w:r w:rsidRPr="00F01403">
        <w:t xml:space="preserve">Gini katsayısı 80'li yılların ortalarından 90'ların ortalarına kadar 5,6 puan artarken, 90'lı yılların ortalarından 2000'li yılların sonuna doğru 8,1 puan azalarak 0,409 değerine ulaşmıştır (OECD, 2011, s.45). Türkiye'nin bu performansı, Gini'si 0,509'dan 0,476'ya düşen ikinci en iyi Meksika ile kıyaslandığında hem mutlak hem de göreli olarak dikkat çekicidir. Ancak OECD Gelir Dağılımı veri tabanında yer alan en güncel verilere göre Türkiye, Şili ve Meksika'dan sonra (Kosta Rika </w:t>
      </w:r>
      <w:r w:rsidR="00B35558" w:rsidRPr="00F01403">
        <w:t>hariç) gelir</w:t>
      </w:r>
      <w:r w:rsidRPr="00F01403">
        <w:t xml:space="preserve"> eşitsizliğinin en yüksek olduğu üçüncü ülke konumunda ve 1990'ın ortalarından bu yana konumunu koruyor (OECD, 2023).</w:t>
      </w:r>
    </w:p>
  </w:footnote>
  <w:footnote w:id="4">
    <w:p w14:paraId="006C276D" w14:textId="44AE06CB" w:rsidR="000B2E24" w:rsidRPr="00F01403" w:rsidRDefault="000B2E24" w:rsidP="000B2E24">
      <w:pPr>
        <w:pStyle w:val="FootnoteText"/>
        <w:jc w:val="both"/>
      </w:pPr>
      <w:r w:rsidRPr="00F01403">
        <w:rPr>
          <w:rStyle w:val="FootnoteReference"/>
        </w:rPr>
        <w:footnoteRef/>
      </w:r>
      <w:r w:rsidRPr="00F01403">
        <w:t xml:space="preserve"> Filiztekin, A. &amp; Kent, O. (2021</w:t>
      </w:r>
      <w:r w:rsidR="005128F7">
        <w:t>) çalışmalarında en tepedeki yüzde birlik dilimin aldığı pay hakkında bulguları sunmuş, ancak ayrıntı vermemişlerdir.</w:t>
      </w:r>
    </w:p>
  </w:footnote>
  <w:footnote w:id="5">
    <w:p w14:paraId="28A5F4D5" w14:textId="7E37D8B3" w:rsidR="000264B0" w:rsidRDefault="000264B0" w:rsidP="009A397A">
      <w:pPr>
        <w:pStyle w:val="FootnoteText"/>
        <w:jc w:val="both"/>
      </w:pPr>
      <w:r>
        <w:rPr>
          <w:rStyle w:val="FootnoteReference"/>
        </w:rPr>
        <w:footnoteRef/>
      </w:r>
      <w:r>
        <w:t xml:space="preserve"> </w:t>
      </w:r>
      <w:r w:rsidRPr="005128F7">
        <w:t>Anketler bir yıl önceki gelir verisini içerdiklerinden, çalışma 2005 ile 2019 arası dönemi kapsamaktadır.</w:t>
      </w:r>
      <w:r w:rsidR="00042A83">
        <w:t xml:space="preserve"> </w:t>
      </w:r>
      <w:r w:rsidR="00042A83" w:rsidRPr="0074484A">
        <w:t>Dolayısıyla 2005 hane geliri verileri</w:t>
      </w:r>
      <w:r w:rsidRPr="0074484A">
        <w:t xml:space="preserve"> </w:t>
      </w:r>
      <w:r w:rsidR="00042A83" w:rsidRPr="0074484A">
        <w:t>2006 yılında yapılan ankette, 2019 verileri de 2020 anketinde yer almaktadır.</w:t>
      </w:r>
      <w:r w:rsidR="00042A83">
        <w:t xml:space="preserve"> </w:t>
      </w:r>
      <w:r w:rsidR="0074484A">
        <w:t xml:space="preserve"> </w:t>
      </w:r>
      <w:r w:rsidRPr="005128F7">
        <w:t>2019 yılı, salgının etkilerini dışarıda bırakmak üzere son yıl olarak seçilmiştir. Salgının gelir grupları üzerinde farklı etkiler bırakabileceği büyük bir olasılıktır ve ayrıntılı olarak incelenmesi gerekir.</w:t>
      </w:r>
    </w:p>
  </w:footnote>
  <w:footnote w:id="6">
    <w:p w14:paraId="13BEE273" w14:textId="7F6B6C85" w:rsidR="00854FBF" w:rsidRPr="00167AC3" w:rsidRDefault="00854FBF" w:rsidP="00854FBF">
      <w:pPr>
        <w:pStyle w:val="FootnoteText"/>
        <w:jc w:val="both"/>
      </w:pPr>
      <w:r w:rsidRPr="005128F7">
        <w:rPr>
          <w:rStyle w:val="FootnoteReference"/>
        </w:rPr>
        <w:footnoteRef/>
      </w:r>
      <w:r w:rsidRPr="005128F7">
        <w:t xml:space="preserve"> </w:t>
      </w:r>
      <w:r w:rsidRPr="00B13507">
        <w:t>Hanelerdeki farklı yapılar</w:t>
      </w:r>
      <w:r>
        <w:t>ı</w:t>
      </w:r>
      <w:r w:rsidRPr="00B13507">
        <w:t xml:space="preserve"> ve olası ölçek ekonomilerini </w:t>
      </w:r>
      <w:r>
        <w:t xml:space="preserve">hesaba katmak üzere </w:t>
      </w:r>
      <w:r w:rsidRPr="00B13507">
        <w:t xml:space="preserve">analiz boyunca eşdeğer gelirleri kullanıyoruz. Her bir </w:t>
      </w:r>
      <w:r w:rsidR="003242B8" w:rsidRPr="00B13507">
        <w:t>kişi</w:t>
      </w:r>
      <w:r w:rsidR="003242B8">
        <w:t xml:space="preserve"> </w:t>
      </w:r>
      <w:r w:rsidR="003242B8" w:rsidRPr="00B13507">
        <w:t>için</w:t>
      </w:r>
      <w:r>
        <w:t xml:space="preserve"> </w:t>
      </w:r>
      <w:r w:rsidRPr="00B13507">
        <w:t>eşdeğer (kişi başına) toplam gelir, hane halkının toplam gelirinin değiştirilmiş</w:t>
      </w:r>
      <w:r>
        <w:t xml:space="preserve"> </w:t>
      </w:r>
      <w:r w:rsidRPr="00B13507">
        <w:t>OECD ölçeğine göre eşdeğer hane büyüklüğüne bölümü</w:t>
      </w:r>
      <w:r>
        <w:t xml:space="preserve"> ile elde edilmiştir. (Bu ölçek, </w:t>
      </w:r>
      <w:r w:rsidRPr="00B13507">
        <w:t>hane reisine 1,</w:t>
      </w:r>
      <w:r>
        <w:t xml:space="preserve"> </w:t>
      </w:r>
      <w:r w:rsidRPr="00B13507">
        <w:t>0</w:t>
      </w:r>
      <w:r>
        <w:t>-</w:t>
      </w:r>
      <w:r w:rsidRPr="00B13507">
        <w:t xml:space="preserve">14 yaş ve </w:t>
      </w:r>
      <w:r w:rsidRPr="00167AC3">
        <w:t>üzerindeki her hane üyesine 0,5 ve 14 yaşın altındaki her çocuğa 0,3 ağırlık verir. Bireysel ağırlıkların toplanması, haneye özgü eşdeğerlik faktörünü verir.)</w:t>
      </w:r>
    </w:p>
  </w:footnote>
  <w:footnote w:id="7">
    <w:p w14:paraId="4D3849E3" w14:textId="22EDA61C" w:rsidR="00C9570E" w:rsidRPr="00167AC3" w:rsidRDefault="00C9570E" w:rsidP="009A397A">
      <w:pPr>
        <w:pStyle w:val="FootnoteText"/>
        <w:jc w:val="both"/>
      </w:pPr>
      <w:r w:rsidRPr="00167AC3">
        <w:rPr>
          <w:rStyle w:val="FootnoteReference"/>
        </w:rPr>
        <w:footnoteRef/>
      </w:r>
      <w:r w:rsidRPr="00167AC3">
        <w:t xml:space="preserve"> </w:t>
      </w:r>
      <w:r w:rsidRPr="00167AC3">
        <w:t>Örneğin, 2019 yılında en zengin kişinin yıllık nominal geliri bir milyon liradan biraz daha azdır. Buradaki zenginleri, “erişilemez zenginler” değil, “mahalledeki zenginler” olarak düşünebiliriz.</w:t>
      </w:r>
    </w:p>
  </w:footnote>
  <w:footnote w:id="8">
    <w:p w14:paraId="3AA00EB3" w14:textId="0876B8E4" w:rsidR="00175645" w:rsidRDefault="00175645">
      <w:pPr>
        <w:pStyle w:val="FootnoteText"/>
      </w:pPr>
      <w:r>
        <w:rPr>
          <w:rStyle w:val="FootnoteReference"/>
        </w:rPr>
        <w:footnoteRef/>
      </w:r>
      <w:r>
        <w:t xml:space="preserve"> Farklı değerler kullanıldığında sonuçlarda belirgin bir değişim ortaya çıkmamaktadır.</w:t>
      </w:r>
    </w:p>
  </w:footnote>
  <w:footnote w:id="9">
    <w:p w14:paraId="1287FF9D" w14:textId="24EEE29C" w:rsidR="00727E2D" w:rsidRDefault="00727E2D" w:rsidP="00727E2D">
      <w:pPr>
        <w:pStyle w:val="FootnoteText"/>
        <w:jc w:val="both"/>
      </w:pPr>
      <w:r>
        <w:rPr>
          <w:rStyle w:val="FootnoteReference"/>
        </w:rPr>
        <w:footnoteRef/>
      </w:r>
      <w:r>
        <w:t xml:space="preserve"> </w:t>
      </w:r>
      <w:r w:rsidRPr="00727E2D">
        <w:t>Filiztekin ve Kent’in</w:t>
      </w:r>
      <w:r>
        <w:t xml:space="preserve"> (2023)</w:t>
      </w:r>
      <w:r w:rsidRPr="00727E2D">
        <w:t xml:space="preserve"> çalışması bu gözlemin nedenlerini araştırmaya çalışıyo</w:t>
      </w:r>
      <w:r>
        <w:t xml:space="preserve">r. Henüz bilimsel güvenilirliği </w:t>
      </w:r>
      <w:r w:rsidRPr="00727E2D">
        <w:t>sağlanmadığı için, bu notta elde edilen ilk bulgulara yer verilmedi</w:t>
      </w:r>
      <w:r>
        <w:t>.</w:t>
      </w:r>
    </w:p>
  </w:footnote>
  <w:footnote w:id="10">
    <w:p w14:paraId="2D52144B" w14:textId="50426BD3" w:rsidR="002901AC" w:rsidRDefault="002901AC" w:rsidP="002901AC">
      <w:pPr>
        <w:pStyle w:val="FootnoteText"/>
        <w:jc w:val="both"/>
      </w:pPr>
      <w:r>
        <w:rPr>
          <w:rStyle w:val="FootnoteReference"/>
        </w:rPr>
        <w:footnoteRef/>
      </w:r>
      <w:r>
        <w:t xml:space="preserve"> Bireyler; </w:t>
      </w:r>
      <w:r w:rsidRPr="00B958DE">
        <w:rPr>
          <w:i/>
          <w:iCs/>
        </w:rPr>
        <w:t>zengin</w:t>
      </w:r>
      <w:r>
        <w:t xml:space="preserve"> (medyan gelirin 3 katı),</w:t>
      </w:r>
      <w:r w:rsidRPr="00B958DE">
        <w:rPr>
          <w:i/>
          <w:iCs/>
        </w:rPr>
        <w:t xml:space="preserve"> yoksul</w:t>
      </w:r>
      <w:r>
        <w:t xml:space="preserve"> (medyan gelirin </w:t>
      </w:r>
      <w:r w:rsidR="00034422" w:rsidRPr="001B6EF3">
        <w:t>yüzde</w:t>
      </w:r>
      <w:r w:rsidR="00034422">
        <w:t xml:space="preserve"> 6</w:t>
      </w:r>
      <w:r>
        <w:t xml:space="preserve">0’ı) ve </w:t>
      </w:r>
      <w:r w:rsidRPr="00B958DE">
        <w:rPr>
          <w:i/>
          <w:iCs/>
        </w:rPr>
        <w:t>orta gelirliler</w:t>
      </w:r>
      <w:r w:rsidRPr="00B958DE">
        <w:t xml:space="preserve"> (</w:t>
      </w:r>
      <w:r>
        <w:t xml:space="preserve">geliri ilk iki grup tarafından belirlenen aralıkta yer alan) olarak gruplandırılmış, farklı eşitsizlik ölçütleri için ayrıştırma yapılmış ancak sonuçlar bu notta raporlanmamıştır. Buna ilişkin daha ayrıntılı bilgi edinmek isteyen okuyucu yazarlar ile iletişime geçebilir.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4"/>
    <w:rsid w:val="00003341"/>
    <w:rsid w:val="000264B0"/>
    <w:rsid w:val="00032E06"/>
    <w:rsid w:val="00034422"/>
    <w:rsid w:val="00042A83"/>
    <w:rsid w:val="000477C7"/>
    <w:rsid w:val="000B2E24"/>
    <w:rsid w:val="000C57A8"/>
    <w:rsid w:val="000E5C14"/>
    <w:rsid w:val="000F42CB"/>
    <w:rsid w:val="00100726"/>
    <w:rsid w:val="0010250B"/>
    <w:rsid w:val="00117804"/>
    <w:rsid w:val="00142E28"/>
    <w:rsid w:val="00167AC3"/>
    <w:rsid w:val="00175645"/>
    <w:rsid w:val="001777EF"/>
    <w:rsid w:val="001B6EF3"/>
    <w:rsid w:val="001D7149"/>
    <w:rsid w:val="001E06F0"/>
    <w:rsid w:val="002215CE"/>
    <w:rsid w:val="00224D0A"/>
    <w:rsid w:val="0022552E"/>
    <w:rsid w:val="00232161"/>
    <w:rsid w:val="00277AF2"/>
    <w:rsid w:val="002811A9"/>
    <w:rsid w:val="002838F8"/>
    <w:rsid w:val="00284E64"/>
    <w:rsid w:val="00287538"/>
    <w:rsid w:val="002901AC"/>
    <w:rsid w:val="00291C25"/>
    <w:rsid w:val="002C4C67"/>
    <w:rsid w:val="002D138E"/>
    <w:rsid w:val="002D2220"/>
    <w:rsid w:val="002D23B4"/>
    <w:rsid w:val="003242B8"/>
    <w:rsid w:val="003375A4"/>
    <w:rsid w:val="00381084"/>
    <w:rsid w:val="003900FA"/>
    <w:rsid w:val="0039220F"/>
    <w:rsid w:val="003B04C8"/>
    <w:rsid w:val="003B22E5"/>
    <w:rsid w:val="003C0D2E"/>
    <w:rsid w:val="003E287B"/>
    <w:rsid w:val="00490A9B"/>
    <w:rsid w:val="004B1E43"/>
    <w:rsid w:val="005128F7"/>
    <w:rsid w:val="005302AD"/>
    <w:rsid w:val="00543010"/>
    <w:rsid w:val="00544174"/>
    <w:rsid w:val="00544335"/>
    <w:rsid w:val="005445EC"/>
    <w:rsid w:val="00555C08"/>
    <w:rsid w:val="0058155C"/>
    <w:rsid w:val="0059493E"/>
    <w:rsid w:val="005D7965"/>
    <w:rsid w:val="0061579A"/>
    <w:rsid w:val="00634AE3"/>
    <w:rsid w:val="00636EF3"/>
    <w:rsid w:val="00674804"/>
    <w:rsid w:val="00694736"/>
    <w:rsid w:val="006B45B2"/>
    <w:rsid w:val="006B7BB6"/>
    <w:rsid w:val="006E28D6"/>
    <w:rsid w:val="006F2559"/>
    <w:rsid w:val="006F42D5"/>
    <w:rsid w:val="00701175"/>
    <w:rsid w:val="007037EE"/>
    <w:rsid w:val="00710C16"/>
    <w:rsid w:val="00727E2D"/>
    <w:rsid w:val="0074484A"/>
    <w:rsid w:val="007555A7"/>
    <w:rsid w:val="0075619B"/>
    <w:rsid w:val="00764152"/>
    <w:rsid w:val="00765A7D"/>
    <w:rsid w:val="007A0F8D"/>
    <w:rsid w:val="007A5CF6"/>
    <w:rsid w:val="007B2981"/>
    <w:rsid w:val="00801853"/>
    <w:rsid w:val="00803351"/>
    <w:rsid w:val="0082062E"/>
    <w:rsid w:val="008246F4"/>
    <w:rsid w:val="00825670"/>
    <w:rsid w:val="00842225"/>
    <w:rsid w:val="00854FBF"/>
    <w:rsid w:val="00872B8E"/>
    <w:rsid w:val="008857AA"/>
    <w:rsid w:val="008979F1"/>
    <w:rsid w:val="008A1081"/>
    <w:rsid w:val="008A2064"/>
    <w:rsid w:val="008C0A87"/>
    <w:rsid w:val="00917B51"/>
    <w:rsid w:val="00924E0D"/>
    <w:rsid w:val="00930C4C"/>
    <w:rsid w:val="009521A9"/>
    <w:rsid w:val="009633A9"/>
    <w:rsid w:val="00980DF1"/>
    <w:rsid w:val="009A397A"/>
    <w:rsid w:val="009C3A49"/>
    <w:rsid w:val="009D6DB7"/>
    <w:rsid w:val="00A0240E"/>
    <w:rsid w:val="00A1364D"/>
    <w:rsid w:val="00A179EF"/>
    <w:rsid w:val="00A34118"/>
    <w:rsid w:val="00A439A4"/>
    <w:rsid w:val="00A47CE6"/>
    <w:rsid w:val="00A73BFC"/>
    <w:rsid w:val="00A77049"/>
    <w:rsid w:val="00A8033B"/>
    <w:rsid w:val="00AA4209"/>
    <w:rsid w:val="00AB109C"/>
    <w:rsid w:val="00AC057A"/>
    <w:rsid w:val="00AE4258"/>
    <w:rsid w:val="00AE535E"/>
    <w:rsid w:val="00AF21A3"/>
    <w:rsid w:val="00AF7E31"/>
    <w:rsid w:val="00B13507"/>
    <w:rsid w:val="00B327FB"/>
    <w:rsid w:val="00B35558"/>
    <w:rsid w:val="00B3793B"/>
    <w:rsid w:val="00B46F3D"/>
    <w:rsid w:val="00B76EC0"/>
    <w:rsid w:val="00B77055"/>
    <w:rsid w:val="00B82D44"/>
    <w:rsid w:val="00B85F8F"/>
    <w:rsid w:val="00B86A3F"/>
    <w:rsid w:val="00B958DE"/>
    <w:rsid w:val="00BC26C1"/>
    <w:rsid w:val="00BC4C20"/>
    <w:rsid w:val="00BD2871"/>
    <w:rsid w:val="00BD4F10"/>
    <w:rsid w:val="00BD6673"/>
    <w:rsid w:val="00BF4966"/>
    <w:rsid w:val="00BF6A5C"/>
    <w:rsid w:val="00C17510"/>
    <w:rsid w:val="00C57797"/>
    <w:rsid w:val="00C85960"/>
    <w:rsid w:val="00C9570E"/>
    <w:rsid w:val="00CA17FF"/>
    <w:rsid w:val="00CC54E3"/>
    <w:rsid w:val="00CE22D8"/>
    <w:rsid w:val="00D011EC"/>
    <w:rsid w:val="00D11EA5"/>
    <w:rsid w:val="00D171C6"/>
    <w:rsid w:val="00D33FB8"/>
    <w:rsid w:val="00D920F4"/>
    <w:rsid w:val="00DB514D"/>
    <w:rsid w:val="00DD7A24"/>
    <w:rsid w:val="00DE2293"/>
    <w:rsid w:val="00DF1179"/>
    <w:rsid w:val="00DF52D1"/>
    <w:rsid w:val="00E01442"/>
    <w:rsid w:val="00E04BDE"/>
    <w:rsid w:val="00E06D34"/>
    <w:rsid w:val="00E153EE"/>
    <w:rsid w:val="00E4433F"/>
    <w:rsid w:val="00E63F3A"/>
    <w:rsid w:val="00E82608"/>
    <w:rsid w:val="00E9772C"/>
    <w:rsid w:val="00EA5FCF"/>
    <w:rsid w:val="00EC3957"/>
    <w:rsid w:val="00F01403"/>
    <w:rsid w:val="00F24A31"/>
    <w:rsid w:val="00F25B61"/>
    <w:rsid w:val="00F26394"/>
    <w:rsid w:val="00F3243E"/>
    <w:rsid w:val="00F37185"/>
    <w:rsid w:val="00F40728"/>
    <w:rsid w:val="00F429C6"/>
    <w:rsid w:val="00FB7990"/>
    <w:rsid w:val="00FF49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716F"/>
  <w15:chartTrackingRefBased/>
  <w15:docId w15:val="{A28117FB-27C4-46CE-AA99-001B0C2D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EC0"/>
    <w:rPr>
      <w:sz w:val="20"/>
      <w:szCs w:val="20"/>
    </w:rPr>
  </w:style>
  <w:style w:type="character" w:styleId="FootnoteReference">
    <w:name w:val="footnote reference"/>
    <w:basedOn w:val="DefaultParagraphFont"/>
    <w:uiPriority w:val="99"/>
    <w:semiHidden/>
    <w:unhideWhenUsed/>
    <w:rsid w:val="00B76EC0"/>
    <w:rPr>
      <w:vertAlign w:val="superscript"/>
    </w:rPr>
  </w:style>
  <w:style w:type="table" w:styleId="TableGrid">
    <w:name w:val="Table Grid"/>
    <w:basedOn w:val="TableNormal"/>
    <w:uiPriority w:val="39"/>
    <w:rsid w:val="006F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7AC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fontstyle01">
    <w:name w:val="fontstyle01"/>
    <w:basedOn w:val="DefaultParagraphFont"/>
    <w:rsid w:val="00BD6673"/>
    <w:rPr>
      <w:rFonts w:ascii="MinionPro-Regular" w:hAnsi="MinionPro-Regular" w:hint="default"/>
      <w:b w:val="0"/>
      <w:bCs w:val="0"/>
      <w:i w:val="0"/>
      <w:iCs w:val="0"/>
      <w:color w:val="242021"/>
      <w:sz w:val="18"/>
      <w:szCs w:val="18"/>
    </w:rPr>
  </w:style>
  <w:style w:type="character" w:customStyle="1" w:styleId="fontstyle21">
    <w:name w:val="fontstyle21"/>
    <w:basedOn w:val="DefaultParagraphFont"/>
    <w:rsid w:val="00BD6673"/>
    <w:rPr>
      <w:rFonts w:ascii="MinionPro-It" w:hAnsi="MinionPro-It" w:hint="default"/>
      <w:b w:val="0"/>
      <w:bCs w:val="0"/>
      <w:i/>
      <w:iCs/>
      <w:color w:val="242021"/>
      <w:sz w:val="18"/>
      <w:szCs w:val="18"/>
    </w:rPr>
  </w:style>
  <w:style w:type="character" w:styleId="Hyperlink">
    <w:name w:val="Hyperlink"/>
    <w:basedOn w:val="DefaultParagraphFont"/>
    <w:uiPriority w:val="99"/>
    <w:unhideWhenUsed/>
    <w:rsid w:val="00CE22D8"/>
    <w:rPr>
      <w:color w:val="0563C1" w:themeColor="hyperlink"/>
      <w:u w:val="single"/>
    </w:rPr>
  </w:style>
  <w:style w:type="character" w:customStyle="1" w:styleId="UnresolvedMention">
    <w:name w:val="Unresolved Mention"/>
    <w:basedOn w:val="DefaultParagraphFont"/>
    <w:uiPriority w:val="99"/>
    <w:semiHidden/>
    <w:unhideWhenUsed/>
    <w:rsid w:val="00CE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98099">
      <w:bodyDiv w:val="1"/>
      <w:marLeft w:val="0"/>
      <w:marRight w:val="0"/>
      <w:marTop w:val="0"/>
      <w:marBottom w:val="0"/>
      <w:divBdr>
        <w:top w:val="none" w:sz="0" w:space="0" w:color="auto"/>
        <w:left w:val="none" w:sz="0" w:space="0" w:color="auto"/>
        <w:bottom w:val="none" w:sz="0" w:space="0" w:color="auto"/>
        <w:right w:val="none" w:sz="0" w:space="0" w:color="auto"/>
      </w:divBdr>
      <w:divsChild>
        <w:div w:id="560362113">
          <w:marLeft w:val="0"/>
          <w:marRight w:val="0"/>
          <w:marTop w:val="0"/>
          <w:marBottom w:val="0"/>
          <w:divBdr>
            <w:top w:val="none" w:sz="0" w:space="0" w:color="auto"/>
            <w:left w:val="none" w:sz="0" w:space="0" w:color="auto"/>
            <w:bottom w:val="none" w:sz="0" w:space="0" w:color="auto"/>
            <w:right w:val="none" w:sz="0" w:space="0" w:color="auto"/>
          </w:divBdr>
          <w:divsChild>
            <w:div w:id="1756827650">
              <w:marLeft w:val="0"/>
              <w:marRight w:val="0"/>
              <w:marTop w:val="0"/>
              <w:marBottom w:val="0"/>
              <w:divBdr>
                <w:top w:val="none" w:sz="0" w:space="0" w:color="auto"/>
                <w:left w:val="none" w:sz="0" w:space="0" w:color="auto"/>
                <w:bottom w:val="none" w:sz="0" w:space="0" w:color="auto"/>
                <w:right w:val="none" w:sz="0" w:space="0" w:color="auto"/>
              </w:divBdr>
              <w:divsChild>
                <w:div w:id="1456214981">
                  <w:marLeft w:val="0"/>
                  <w:marRight w:val="0"/>
                  <w:marTop w:val="0"/>
                  <w:marBottom w:val="0"/>
                  <w:divBdr>
                    <w:top w:val="none" w:sz="0" w:space="0" w:color="auto"/>
                    <w:left w:val="none" w:sz="0" w:space="0" w:color="auto"/>
                    <w:bottom w:val="none" w:sz="0" w:space="0" w:color="auto"/>
                    <w:right w:val="none" w:sz="0" w:space="0" w:color="auto"/>
                  </w:divBdr>
                </w:div>
              </w:divsChild>
            </w:div>
            <w:div w:id="869415698">
              <w:marLeft w:val="0"/>
              <w:marRight w:val="0"/>
              <w:marTop w:val="0"/>
              <w:marBottom w:val="0"/>
              <w:divBdr>
                <w:top w:val="none" w:sz="0" w:space="0" w:color="auto"/>
                <w:left w:val="none" w:sz="0" w:space="0" w:color="auto"/>
                <w:bottom w:val="none" w:sz="0" w:space="0" w:color="auto"/>
                <w:right w:val="none" w:sz="0" w:space="0" w:color="auto"/>
              </w:divBdr>
              <w:divsChild>
                <w:div w:id="492374441">
                  <w:marLeft w:val="0"/>
                  <w:marRight w:val="0"/>
                  <w:marTop w:val="0"/>
                  <w:marBottom w:val="0"/>
                  <w:divBdr>
                    <w:top w:val="none" w:sz="0" w:space="0" w:color="auto"/>
                    <w:left w:val="none" w:sz="0" w:space="0" w:color="auto"/>
                    <w:bottom w:val="none" w:sz="0" w:space="0" w:color="auto"/>
                    <w:right w:val="none" w:sz="0" w:space="0" w:color="auto"/>
                  </w:divBdr>
                </w:div>
              </w:divsChild>
            </w:div>
            <w:div w:id="984429716">
              <w:marLeft w:val="0"/>
              <w:marRight w:val="0"/>
              <w:marTop w:val="0"/>
              <w:marBottom w:val="0"/>
              <w:divBdr>
                <w:top w:val="none" w:sz="0" w:space="0" w:color="auto"/>
                <w:left w:val="none" w:sz="0" w:space="0" w:color="auto"/>
                <w:bottom w:val="none" w:sz="0" w:space="0" w:color="auto"/>
                <w:right w:val="none" w:sz="0" w:space="0" w:color="auto"/>
              </w:divBdr>
              <w:divsChild>
                <w:div w:id="11418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787/9789264119536-3-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oi.org/10.1787/459aa7f1-e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787/9789264235120-4-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ya.kent@okan.edu.tr" TargetMode="External"/><Relationship Id="rId1" Type="http://schemas.openxmlformats.org/officeDocument/2006/relationships/hyperlink" Target="mailto:alpay.filiztekin@sabanciuniv.ed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5BA3-B548-4804-9408-C9BE9020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2676</Words>
  <Characters>15254</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Oya Kent</dc:creator>
  <cp:keywords/>
  <dc:description/>
  <cp:lastModifiedBy>merve.akgul</cp:lastModifiedBy>
  <cp:revision>7</cp:revision>
  <dcterms:created xsi:type="dcterms:W3CDTF">2023-07-05T10:53:00Z</dcterms:created>
  <dcterms:modified xsi:type="dcterms:W3CDTF">2023-07-05T11:06:00Z</dcterms:modified>
</cp:coreProperties>
</file>