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5C6A" w14:textId="5F65BEEA" w:rsidR="00765F26" w:rsidRDefault="00F86FE5">
      <w:pPr>
        <w:rPr>
          <w:b/>
          <w:bCs/>
          <w:sz w:val="28"/>
          <w:szCs w:val="28"/>
          <w:u w:val="single"/>
          <w:lang w:val="tr-TR"/>
        </w:rPr>
      </w:pPr>
      <w:r w:rsidRPr="0098640C">
        <w:rPr>
          <w:b/>
          <w:noProof/>
          <w:sz w:val="28"/>
          <w:szCs w:val="28"/>
          <w:lang w:val="tr-TR" w:eastAsia="tr-TR"/>
        </w:rPr>
        <mc:AlternateContent>
          <mc:Choice Requires="wps">
            <w:drawing>
              <wp:anchor distT="0" distB="0" distL="114300" distR="114300" simplePos="0" relativeHeight="251662336" behindDoc="0" locked="0" layoutInCell="1" allowOverlap="1" wp14:anchorId="1272ADE5" wp14:editId="22A23D11">
                <wp:simplePos x="0" y="0"/>
                <wp:positionH relativeFrom="column">
                  <wp:posOffset>5092028</wp:posOffset>
                </wp:positionH>
                <wp:positionV relativeFrom="paragraph">
                  <wp:posOffset>140335</wp:posOffset>
                </wp:positionV>
                <wp:extent cx="1331320" cy="37525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1320" cy="375255"/>
                        </a:xfrm>
                        <a:prstGeom prst="rect">
                          <a:avLst/>
                        </a:prstGeom>
                        <a:solidFill>
                          <a:srgbClr val="FFFFFF">
                            <a:alpha val="0"/>
                          </a:srgbClr>
                        </a:solidFill>
                        <a:ln>
                          <a:noFill/>
                        </a:ln>
                      </wps:spPr>
                      <wps:txbx>
                        <w:txbxContent>
                          <w:p w14:paraId="09BF027E" w14:textId="3CF905B6" w:rsidR="00F86FE5" w:rsidRPr="009B5F02" w:rsidRDefault="00F86FE5" w:rsidP="00F86FE5">
                            <w:pPr>
                              <w:jc w:val="center"/>
                              <w:rPr>
                                <w:b/>
                                <w:bCs/>
                                <w:color w:val="FFFFFF" w:themeColor="background1"/>
                                <w:sz w:val="21"/>
                                <w:szCs w:val="21"/>
                              </w:rPr>
                            </w:pPr>
                            <w:r>
                              <w:rPr>
                                <w:b/>
                                <w:bCs/>
                                <w:color w:val="FFFFFF" w:themeColor="background1"/>
                                <w:sz w:val="21"/>
                                <w:szCs w:val="21"/>
                              </w:rPr>
                              <w:t>16</w:t>
                            </w:r>
                            <w:r>
                              <w:rPr>
                                <w:b/>
                                <w:bCs/>
                                <w:color w:val="FFFFFF" w:themeColor="background1"/>
                                <w:sz w:val="21"/>
                                <w:szCs w:val="21"/>
                              </w:rPr>
                              <w:t xml:space="preserve"> </w:t>
                            </w:r>
                            <w:r>
                              <w:rPr>
                                <w:b/>
                                <w:bCs/>
                                <w:color w:val="FFFFFF" w:themeColor="background1"/>
                                <w:sz w:val="21"/>
                                <w:szCs w:val="21"/>
                              </w:rPr>
                              <w:t>Mart</w:t>
                            </w:r>
                            <w:r>
                              <w:rPr>
                                <w:b/>
                                <w:bCs/>
                                <w:color w:val="FFFFFF" w:themeColor="background1"/>
                                <w:sz w:val="21"/>
                                <w:szCs w:val="21"/>
                              </w:rPr>
                              <w:t xml:space="preserve"> 2023</w:t>
                            </w:r>
                          </w:p>
                        </w:txbxContent>
                      </wps:txbx>
                      <wps:bodyPr rot="0" vert="horz" wrap="square" lIns="251999" tIns="108000" rIns="251999" bIns="108000" anchor="t" anchorCtr="0" upright="1">
                        <a:noAutofit/>
                      </wps:bodyPr>
                    </wps:wsp>
                  </a:graphicData>
                </a:graphic>
              </wp:anchor>
            </w:drawing>
          </mc:Choice>
          <mc:Fallback>
            <w:pict>
              <v:shapetype w14:anchorId="1272ADE5" id="_x0000_t202" coordsize="21600,21600" o:spt="202" path="m,l,21600r21600,l21600,xe">
                <v:stroke joinstyle="miter"/>
                <v:path gradientshapeok="t" o:connecttype="rect"/>
              </v:shapetype>
              <v:shape id="Metin Kutusu 7" o:spid="_x0000_s1026" type="#_x0000_t202" style="position:absolute;margin-left:400.95pt;margin-top:11.05pt;width:104.85pt;height:29.55pt;flip:y;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" stroked="f">
                <v:fill opacity="0"/>
                <v:textbox inset="6.99997mm,3mm,6.99997mm,3mm">
                  <w:txbxContent>
                    <w:p w14:paraId="09BF027E" w14:textId="3CF905B6" w:rsidR="00F86FE5" w:rsidRPr="009B5F02" w:rsidRDefault="00F86FE5" w:rsidP="00F86FE5">
                      <w:pPr>
                        <w:jc w:val="center"/>
                        <w:rPr>
                          <w:b/>
                          <w:bCs/>
                          <w:color w:val="FFFFFF" w:themeColor="background1"/>
                          <w:sz w:val="21"/>
                          <w:szCs w:val="21"/>
                        </w:rPr>
                      </w:pPr>
                      <w:r>
                        <w:rPr>
                          <w:b/>
                          <w:bCs/>
                          <w:color w:val="FFFFFF" w:themeColor="background1"/>
                          <w:sz w:val="21"/>
                          <w:szCs w:val="21"/>
                        </w:rPr>
                        <w:t>16</w:t>
                      </w:r>
                      <w:r>
                        <w:rPr>
                          <w:b/>
                          <w:bCs/>
                          <w:color w:val="FFFFFF" w:themeColor="background1"/>
                          <w:sz w:val="21"/>
                          <w:szCs w:val="21"/>
                        </w:rPr>
                        <w:t xml:space="preserve"> </w:t>
                      </w:r>
                      <w:r>
                        <w:rPr>
                          <w:b/>
                          <w:bCs/>
                          <w:color w:val="FFFFFF" w:themeColor="background1"/>
                          <w:sz w:val="21"/>
                          <w:szCs w:val="21"/>
                        </w:rPr>
                        <w:t>Mart</w:t>
                      </w:r>
                      <w:r>
                        <w:rPr>
                          <w:b/>
                          <w:bCs/>
                          <w:color w:val="FFFFFF" w:themeColor="background1"/>
                          <w:sz w:val="21"/>
                          <w:szCs w:val="21"/>
                        </w:rPr>
                        <w:t xml:space="preserve"> 2023</w:t>
                      </w:r>
                    </w:p>
                  </w:txbxContent>
                </v:textbox>
              </v:shape>
            </w:pict>
          </mc:Fallback>
        </mc:AlternateContent>
      </w:r>
      <w:r>
        <w:rPr>
          <w:noProof/>
          <w:lang w:val="tr-TR" w:eastAsia="tr-TR"/>
        </w:rPr>
        <w:drawing>
          <wp:anchor distT="0" distB="0" distL="114300" distR="114300" simplePos="0" relativeHeight="251659264" behindDoc="0" locked="0" layoutInCell="1" allowOverlap="1" wp14:anchorId="74F52D73" wp14:editId="0D3AD462">
            <wp:simplePos x="0" y="0"/>
            <wp:positionH relativeFrom="column">
              <wp:posOffset>-796290</wp:posOffset>
            </wp:positionH>
            <wp:positionV relativeFrom="paragraph">
              <wp:posOffset>-809625</wp:posOffset>
            </wp:positionV>
            <wp:extent cx="7306310" cy="1323975"/>
            <wp:effectExtent l="0" t="0" r="8890" b="0"/>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anner(TUR).jpg"/>
                    <pic:cNvPicPr>
                      <a:picLocks noChangeAspect="1"/>
                    </pic:cNvPicPr>
                  </pic:nvPicPr>
                  <pic:blipFill>
                    <a:blip r:embed="rId8" cstate="print"/>
                    <a:srcRect/>
                    <a:stretch>
                      <a:fillRect/>
                    </a:stretch>
                  </pic:blipFill>
                  <pic:spPr bwMode="auto">
                    <a:xfrm>
                      <a:off x="0" y="0"/>
                      <a:ext cx="7306310" cy="13239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4D62CA" w:rsidRPr="0098640C">
        <w:rPr>
          <w:b/>
          <w:noProof/>
          <w:sz w:val="28"/>
          <w:szCs w:val="28"/>
          <w:lang w:val="tr-TR" w:eastAsia="tr-TR"/>
        </w:rPr>
        <mc:AlternateContent>
          <mc:Choice Requires="wps">
            <w:drawing>
              <wp:anchor distT="0" distB="0" distL="114300" distR="114300" simplePos="0" relativeHeight="251660288" behindDoc="0" locked="0" layoutInCell="1" allowOverlap="1" wp14:anchorId="59EE86D8" wp14:editId="72680B5C">
                <wp:simplePos x="0" y="0"/>
                <wp:positionH relativeFrom="column">
                  <wp:posOffset>1604311</wp:posOffset>
                </wp:positionH>
                <wp:positionV relativeFrom="paragraph">
                  <wp:posOffset>-524030</wp:posOffset>
                </wp:positionV>
                <wp:extent cx="3757103" cy="73352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757103" cy="733525"/>
                        </a:xfrm>
                        <a:prstGeom prst="rect">
                          <a:avLst/>
                        </a:prstGeom>
                        <a:noFill/>
                        <a:ln w="6350">
                          <a:noFill/>
                        </a:ln>
                      </wps:spPr>
                      <wps:txbx>
                        <w:txbxContent>
                          <w:p w14:paraId="3541F1A4" w14:textId="0195DCBC" w:rsidR="004D62CA" w:rsidRPr="006C1C92" w:rsidRDefault="004D62CA" w:rsidP="004D62CA">
                            <w:pPr>
                              <w:jc w:val="center"/>
                              <w:rPr>
                                <w:b/>
                                <w:bCs/>
                                <w:sz w:val="52"/>
                                <w:szCs w:val="52"/>
                                <w:lang w:val="tr-TR"/>
                              </w:rPr>
                            </w:pPr>
                            <w:r>
                              <w:rPr>
                                <w:b/>
                                <w:bCs/>
                                <w:sz w:val="52"/>
                                <w:szCs w:val="52"/>
                                <w:lang w:val="tr-TR"/>
                              </w:rPr>
                              <w:t>Araştırma Notu 23</w:t>
                            </w:r>
                            <w:r w:rsidRPr="006C1C92">
                              <w:rPr>
                                <w:b/>
                                <w:bCs/>
                                <w:sz w:val="52"/>
                                <w:szCs w:val="52"/>
                                <w:lang w:val="tr-TR"/>
                              </w:rPr>
                              <w:t>/2</w:t>
                            </w:r>
                            <w:r>
                              <w:rPr>
                                <w:b/>
                                <w:bCs/>
                                <w:sz w:val="52"/>
                                <w:szCs w:val="52"/>
                                <w:lang w:val="tr-TR"/>
                              </w:rPr>
                              <w:t>70</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a:graphicData>
                </a:graphic>
              </wp:anchor>
            </w:drawing>
          </mc:Choice>
          <mc:Fallback>
            <w:pict>
              <v:shape w14:anchorId="59EE86D8" id="Metin Kutusu 6" o:spid="_x0000_s1027" type="#_x0000_t202" style="position:absolute;margin-left:126.3pt;margin-top:-41.25pt;width:295.85pt;height:57.7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" filled="f" stroked="f" strokeweight=".5pt">
                <v:textbox style="mso-fit-shape-to-text:t" inset="6.99997mm,3mm,6.99997mm,3mm">
                  <w:txbxContent>
                    <w:p w14:paraId="3541F1A4" w14:textId="0195DCBC" w:rsidR="004D62CA" w:rsidRPr="006C1C92" w:rsidRDefault="004D62CA" w:rsidP="004D62CA">
                      <w:pPr>
                        <w:jc w:val="center"/>
                        <w:rPr>
                          <w:b/>
                          <w:bCs/>
                          <w:sz w:val="52"/>
                          <w:szCs w:val="52"/>
                          <w:lang w:val="tr-TR"/>
                        </w:rPr>
                      </w:pPr>
                      <w:r>
                        <w:rPr>
                          <w:b/>
                          <w:bCs/>
                          <w:sz w:val="52"/>
                          <w:szCs w:val="52"/>
                          <w:lang w:val="tr-TR"/>
                        </w:rPr>
                        <w:t>Araştırma Notu 23</w:t>
                      </w:r>
                      <w:r w:rsidRPr="006C1C92">
                        <w:rPr>
                          <w:b/>
                          <w:bCs/>
                          <w:sz w:val="52"/>
                          <w:szCs w:val="52"/>
                          <w:lang w:val="tr-TR"/>
                        </w:rPr>
                        <w:t>/2</w:t>
                      </w:r>
                      <w:r>
                        <w:rPr>
                          <w:b/>
                          <w:bCs/>
                          <w:sz w:val="52"/>
                          <w:szCs w:val="52"/>
                          <w:lang w:val="tr-TR"/>
                        </w:rPr>
                        <w:t>70</w:t>
                      </w:r>
                    </w:p>
                  </w:txbxContent>
                </v:textbox>
              </v:shape>
            </w:pict>
          </mc:Fallback>
        </mc:AlternateContent>
      </w:r>
    </w:p>
    <w:p w14:paraId="2A56E8AB" w14:textId="48554174" w:rsidR="004D62CA" w:rsidRDefault="004D62CA" w:rsidP="00765F26">
      <w:pPr>
        <w:jc w:val="center"/>
        <w:rPr>
          <w:rFonts w:asciiTheme="minorHAnsi" w:hAnsiTheme="minorHAnsi" w:cstheme="minorHAnsi"/>
          <w:b/>
          <w:bCs/>
          <w:sz w:val="28"/>
          <w:szCs w:val="28"/>
          <w:lang w:val="tr-TR"/>
        </w:rPr>
      </w:pPr>
    </w:p>
    <w:p w14:paraId="2C8C18B7" w14:textId="77777777" w:rsidR="004D62CA" w:rsidRDefault="004D62CA" w:rsidP="00765F26">
      <w:pPr>
        <w:jc w:val="center"/>
        <w:rPr>
          <w:rFonts w:asciiTheme="minorHAnsi" w:hAnsiTheme="minorHAnsi" w:cstheme="minorHAnsi"/>
          <w:b/>
          <w:bCs/>
          <w:sz w:val="28"/>
          <w:szCs w:val="28"/>
          <w:lang w:val="tr-TR"/>
        </w:rPr>
      </w:pPr>
    </w:p>
    <w:p w14:paraId="6A73CF37" w14:textId="77777777" w:rsidR="004D62CA" w:rsidRDefault="004D62CA" w:rsidP="00765F26">
      <w:pPr>
        <w:jc w:val="center"/>
        <w:rPr>
          <w:rFonts w:asciiTheme="minorHAnsi" w:hAnsiTheme="minorHAnsi" w:cstheme="minorHAnsi"/>
          <w:b/>
          <w:bCs/>
          <w:sz w:val="28"/>
          <w:szCs w:val="28"/>
          <w:lang w:val="tr-TR"/>
        </w:rPr>
      </w:pPr>
    </w:p>
    <w:p w14:paraId="73A5F7AF" w14:textId="41801A0A" w:rsidR="00524942" w:rsidRPr="0019541E" w:rsidRDefault="00765F26" w:rsidP="00765F26">
      <w:pPr>
        <w:jc w:val="center"/>
        <w:rPr>
          <w:rFonts w:asciiTheme="minorHAnsi" w:hAnsiTheme="minorHAnsi" w:cstheme="minorHAnsi"/>
          <w:b/>
          <w:bCs/>
          <w:sz w:val="28"/>
          <w:szCs w:val="28"/>
          <w:lang w:val="tr-TR"/>
        </w:rPr>
      </w:pPr>
      <w:r w:rsidRPr="0019541E">
        <w:rPr>
          <w:rFonts w:asciiTheme="minorHAnsi" w:hAnsiTheme="minorHAnsi" w:cstheme="minorHAnsi"/>
          <w:b/>
          <w:bCs/>
          <w:sz w:val="28"/>
          <w:szCs w:val="28"/>
          <w:lang w:val="tr-TR"/>
        </w:rPr>
        <w:t xml:space="preserve">6 Şubat 2023 </w:t>
      </w:r>
      <w:r w:rsidR="007252F0" w:rsidRPr="0019541E">
        <w:rPr>
          <w:rFonts w:asciiTheme="minorHAnsi" w:hAnsiTheme="minorHAnsi" w:cstheme="minorHAnsi"/>
          <w:b/>
          <w:bCs/>
          <w:sz w:val="28"/>
          <w:szCs w:val="28"/>
          <w:lang w:val="tr-TR"/>
        </w:rPr>
        <w:t xml:space="preserve">Kahramanmaraş </w:t>
      </w:r>
      <w:r w:rsidRPr="0019541E">
        <w:rPr>
          <w:rFonts w:asciiTheme="minorHAnsi" w:hAnsiTheme="minorHAnsi" w:cstheme="minorHAnsi"/>
          <w:b/>
          <w:bCs/>
          <w:sz w:val="28"/>
          <w:szCs w:val="28"/>
          <w:lang w:val="tr-TR"/>
        </w:rPr>
        <w:t xml:space="preserve">Depremlerinin </w:t>
      </w:r>
      <w:r w:rsidR="00BC6229" w:rsidRPr="0019541E">
        <w:rPr>
          <w:rFonts w:asciiTheme="minorHAnsi" w:hAnsiTheme="minorHAnsi" w:cstheme="minorHAnsi"/>
          <w:b/>
          <w:bCs/>
          <w:sz w:val="28"/>
          <w:szCs w:val="28"/>
          <w:lang w:val="tr-TR"/>
        </w:rPr>
        <w:t>Ekonomi</w:t>
      </w:r>
      <w:r w:rsidR="007252F0" w:rsidRPr="0019541E">
        <w:rPr>
          <w:rFonts w:asciiTheme="minorHAnsi" w:hAnsiTheme="minorHAnsi" w:cstheme="minorHAnsi"/>
          <w:b/>
          <w:bCs/>
          <w:sz w:val="28"/>
          <w:szCs w:val="28"/>
          <w:lang w:val="tr-TR"/>
        </w:rPr>
        <w:t>k Etki</w:t>
      </w:r>
      <w:r w:rsidR="00D77F55" w:rsidRPr="0019541E">
        <w:rPr>
          <w:rFonts w:asciiTheme="minorHAnsi" w:hAnsiTheme="minorHAnsi" w:cstheme="minorHAnsi"/>
          <w:b/>
          <w:bCs/>
          <w:sz w:val="28"/>
          <w:szCs w:val="28"/>
          <w:lang w:val="tr-TR"/>
        </w:rPr>
        <w:t>si</w:t>
      </w:r>
    </w:p>
    <w:p w14:paraId="40B63AB5" w14:textId="77777777" w:rsidR="00AF5E0C" w:rsidRPr="0019541E" w:rsidRDefault="00AF5E0C" w:rsidP="00765F26">
      <w:pPr>
        <w:jc w:val="center"/>
        <w:rPr>
          <w:rFonts w:asciiTheme="minorHAnsi" w:hAnsiTheme="minorHAnsi" w:cstheme="minorHAnsi"/>
          <w:b/>
          <w:bCs/>
          <w:sz w:val="28"/>
          <w:szCs w:val="28"/>
          <w:lang w:val="tr-TR"/>
        </w:rPr>
      </w:pPr>
    </w:p>
    <w:p w14:paraId="513653C9" w14:textId="17981C3D" w:rsidR="00040F26" w:rsidRPr="004D62CA" w:rsidRDefault="008A046E" w:rsidP="004D62CA">
      <w:pPr>
        <w:jc w:val="center"/>
        <w:rPr>
          <w:rFonts w:asciiTheme="minorHAnsi" w:hAnsiTheme="minorHAnsi" w:cstheme="minorHAnsi"/>
          <w:b/>
          <w:bCs/>
          <w:sz w:val="28"/>
          <w:szCs w:val="28"/>
          <w:lang w:val="tr-TR"/>
        </w:rPr>
      </w:pPr>
      <w:proofErr w:type="gramStart"/>
      <w:r w:rsidRPr="0019541E">
        <w:rPr>
          <w:rFonts w:asciiTheme="minorHAnsi" w:hAnsiTheme="minorHAnsi" w:cstheme="minorHAnsi"/>
          <w:b/>
          <w:bCs/>
          <w:sz w:val="28"/>
          <w:szCs w:val="28"/>
          <w:lang w:val="tr-TR"/>
        </w:rPr>
        <w:t>K</w:t>
      </w:r>
      <w:r w:rsidR="005319E7" w:rsidRPr="0019541E">
        <w:rPr>
          <w:rFonts w:asciiTheme="minorHAnsi" w:hAnsiTheme="minorHAnsi" w:cstheme="minorHAnsi"/>
          <w:b/>
          <w:bCs/>
          <w:sz w:val="28"/>
          <w:szCs w:val="28"/>
          <w:lang w:val="tr-TR"/>
        </w:rPr>
        <w:t>a</w:t>
      </w:r>
      <w:r w:rsidRPr="0019541E">
        <w:rPr>
          <w:rFonts w:asciiTheme="minorHAnsi" w:hAnsiTheme="minorHAnsi" w:cstheme="minorHAnsi"/>
          <w:b/>
          <w:bCs/>
          <w:sz w:val="28"/>
          <w:szCs w:val="28"/>
          <w:lang w:val="tr-TR"/>
        </w:rPr>
        <w:t>mil</w:t>
      </w:r>
      <w:proofErr w:type="gramEnd"/>
      <w:r w:rsidR="00765F26" w:rsidRPr="0019541E">
        <w:rPr>
          <w:rFonts w:asciiTheme="minorHAnsi" w:hAnsiTheme="minorHAnsi" w:cstheme="minorHAnsi"/>
          <w:b/>
          <w:bCs/>
          <w:sz w:val="28"/>
          <w:szCs w:val="28"/>
          <w:lang w:val="tr-TR"/>
        </w:rPr>
        <w:t xml:space="preserve"> Yılmaz</w:t>
      </w:r>
      <w:r w:rsidR="004D62CA">
        <w:rPr>
          <w:rStyle w:val="DipnotBavurusu"/>
          <w:rFonts w:asciiTheme="minorHAnsi" w:hAnsiTheme="minorHAnsi" w:cstheme="minorHAnsi"/>
          <w:b/>
          <w:bCs/>
          <w:sz w:val="28"/>
          <w:szCs w:val="28"/>
          <w:lang w:val="tr-TR"/>
        </w:rPr>
        <w:footnoteReference w:id="1"/>
      </w:r>
    </w:p>
    <w:p w14:paraId="3BC6B9D3" w14:textId="51D3A699" w:rsidR="00336E5B" w:rsidRDefault="00336E5B" w:rsidP="00765F26">
      <w:pPr>
        <w:jc w:val="center"/>
        <w:rPr>
          <w:lang w:val="tr-TR"/>
        </w:rPr>
      </w:pPr>
    </w:p>
    <w:p w14:paraId="43F50B92" w14:textId="77777777" w:rsidR="00EF4A91" w:rsidRPr="00EF4A91" w:rsidRDefault="00EF4A91" w:rsidP="00EF4A91">
      <w:pPr>
        <w:jc w:val="center"/>
        <w:rPr>
          <w:rFonts w:ascii="Calibri" w:hAnsi="Calibri" w:cs="Calibri"/>
          <w:b/>
          <w:bCs/>
          <w:color w:val="000000"/>
          <w:sz w:val="28"/>
          <w:szCs w:val="28"/>
          <w:lang w:val="tr-TR" w:eastAsia="tr-TR"/>
        </w:rPr>
      </w:pPr>
      <w:r w:rsidRPr="00EF4A91">
        <w:rPr>
          <w:rFonts w:ascii="Calibri" w:hAnsi="Calibri" w:cs="Calibri"/>
          <w:b/>
          <w:bCs/>
          <w:color w:val="000000"/>
          <w:sz w:val="28"/>
          <w:szCs w:val="28"/>
          <w:lang w:val="tr-TR" w:eastAsia="tr-TR"/>
        </w:rPr>
        <w:t>Yönetici Özeti</w:t>
      </w:r>
    </w:p>
    <w:p w14:paraId="2AC9BAC7" w14:textId="737B2143" w:rsidR="00EF4A91" w:rsidRDefault="00EF4A91" w:rsidP="00EF4A91">
      <w:pPr>
        <w:rPr>
          <w:rFonts w:ascii="Calibri" w:hAnsi="Calibri" w:cs="Calibri"/>
          <w:color w:val="000000"/>
          <w:sz w:val="22"/>
          <w:szCs w:val="22"/>
          <w:lang w:val="tr-TR" w:eastAsia="tr-TR"/>
        </w:rPr>
      </w:pPr>
      <w:r w:rsidRPr="00EF4A91">
        <w:rPr>
          <w:rFonts w:ascii="Calibri" w:hAnsi="Calibri" w:cs="Calibri"/>
          <w:color w:val="000000"/>
          <w:sz w:val="22"/>
          <w:szCs w:val="22"/>
          <w:lang w:val="tr-TR" w:eastAsia="tr-TR"/>
        </w:rPr>
        <w:t>Bu araştırma</w:t>
      </w:r>
      <w:r>
        <w:rPr>
          <w:rFonts w:ascii="Calibri" w:hAnsi="Calibri" w:cs="Calibri"/>
          <w:color w:val="000000"/>
          <w:sz w:val="22"/>
          <w:szCs w:val="22"/>
          <w:lang w:val="tr-TR" w:eastAsia="tr-TR"/>
        </w:rPr>
        <w:t xml:space="preserve"> notunda</w:t>
      </w:r>
      <w:r w:rsidRPr="00EF4A91">
        <w:rPr>
          <w:rFonts w:ascii="Calibri" w:hAnsi="Calibri" w:cs="Calibri"/>
          <w:color w:val="000000"/>
          <w:sz w:val="22"/>
          <w:szCs w:val="22"/>
          <w:lang w:val="tr-TR" w:eastAsia="tr-TR"/>
        </w:rPr>
        <w:t xml:space="preserve"> 6 Şubat 2023 Kahramanmaraş merkezli depremlerin mevcut ve muhtemel ekonomik etkileri incele</w:t>
      </w:r>
      <w:r>
        <w:rPr>
          <w:rFonts w:ascii="Calibri" w:hAnsi="Calibri" w:cs="Calibri"/>
          <w:color w:val="000000"/>
          <w:sz w:val="22"/>
          <w:szCs w:val="22"/>
          <w:lang w:val="tr-TR" w:eastAsia="tr-TR"/>
        </w:rPr>
        <w:t>n</w:t>
      </w:r>
      <w:r w:rsidRPr="00EF4A91">
        <w:rPr>
          <w:rFonts w:ascii="Calibri" w:hAnsi="Calibri" w:cs="Calibri"/>
          <w:color w:val="000000"/>
          <w:sz w:val="22"/>
          <w:szCs w:val="22"/>
          <w:lang w:val="tr-TR" w:eastAsia="tr-TR"/>
        </w:rPr>
        <w:t>mektedir. Yapıların hasar durumlarına göre yeniden yapım, güçlendirme ve tamirat maliyetlerine ek olarak altyapı sermaye stoku</w:t>
      </w:r>
      <w:r w:rsidR="00F0328C">
        <w:rPr>
          <w:rFonts w:ascii="Calibri" w:hAnsi="Calibri" w:cs="Calibri"/>
          <w:color w:val="000000"/>
          <w:sz w:val="22"/>
          <w:szCs w:val="22"/>
          <w:lang w:val="tr-TR" w:eastAsia="tr-TR"/>
        </w:rPr>
        <w:t>nun yeniden yapımı ve tamiratı</w:t>
      </w:r>
      <w:r w:rsidRPr="00EF4A91">
        <w:rPr>
          <w:rFonts w:ascii="Calibri" w:hAnsi="Calibri" w:cs="Calibri"/>
          <w:color w:val="000000"/>
          <w:sz w:val="22"/>
          <w:szCs w:val="22"/>
          <w:lang w:val="tr-TR" w:eastAsia="tr-TR"/>
        </w:rPr>
        <w:t xml:space="preserve"> ve enkaz altında kalan eşya ve taşıt kaybı maliyetlerini hesaba katarak </w:t>
      </w:r>
      <w:r w:rsidR="00F0328C">
        <w:rPr>
          <w:rFonts w:ascii="Calibri" w:hAnsi="Calibri" w:cs="Calibri"/>
          <w:color w:val="000000"/>
          <w:sz w:val="22"/>
          <w:szCs w:val="22"/>
          <w:lang w:val="tr-TR" w:eastAsia="tr-TR"/>
        </w:rPr>
        <w:t>depremin</w:t>
      </w:r>
      <w:r w:rsidR="00DA292A">
        <w:rPr>
          <w:rFonts w:ascii="Calibri" w:hAnsi="Calibri" w:cs="Calibri"/>
          <w:color w:val="000000"/>
          <w:sz w:val="22"/>
          <w:szCs w:val="22"/>
          <w:lang w:val="tr-TR" w:eastAsia="tr-TR"/>
        </w:rPr>
        <w:t xml:space="preserve"> yapı ve sermaye </w:t>
      </w:r>
      <w:r w:rsidR="00F0328C">
        <w:rPr>
          <w:rFonts w:ascii="Calibri" w:hAnsi="Calibri" w:cs="Calibri"/>
          <w:color w:val="000000"/>
          <w:sz w:val="22"/>
          <w:szCs w:val="22"/>
          <w:lang w:val="tr-TR" w:eastAsia="tr-TR"/>
        </w:rPr>
        <w:t>stok</w:t>
      </w:r>
      <w:r w:rsidR="00DA292A">
        <w:rPr>
          <w:rFonts w:ascii="Calibri" w:hAnsi="Calibri" w:cs="Calibri"/>
          <w:color w:val="000000"/>
          <w:sz w:val="22"/>
          <w:szCs w:val="22"/>
          <w:lang w:val="tr-TR" w:eastAsia="tr-TR"/>
        </w:rPr>
        <w:t>u</w:t>
      </w:r>
      <w:r w:rsidR="00F0328C">
        <w:rPr>
          <w:rFonts w:ascii="Calibri" w:hAnsi="Calibri" w:cs="Calibri"/>
          <w:color w:val="000000"/>
          <w:sz w:val="22"/>
          <w:szCs w:val="22"/>
          <w:lang w:val="tr-TR" w:eastAsia="tr-TR"/>
        </w:rPr>
        <w:t xml:space="preserve"> </w:t>
      </w:r>
      <w:r w:rsidR="00DA292A">
        <w:rPr>
          <w:rFonts w:ascii="Calibri" w:hAnsi="Calibri" w:cs="Calibri"/>
          <w:color w:val="000000"/>
          <w:sz w:val="22"/>
          <w:szCs w:val="22"/>
          <w:lang w:val="tr-TR" w:eastAsia="tr-TR"/>
        </w:rPr>
        <w:t xml:space="preserve">üzerindeki </w:t>
      </w:r>
      <w:r w:rsidR="00F0328C">
        <w:rPr>
          <w:rFonts w:ascii="Calibri" w:hAnsi="Calibri" w:cs="Calibri"/>
          <w:color w:val="000000"/>
          <w:sz w:val="22"/>
          <w:szCs w:val="22"/>
          <w:lang w:val="tr-TR" w:eastAsia="tr-TR"/>
        </w:rPr>
        <w:t>etkisi</w:t>
      </w:r>
      <w:r w:rsidR="00DA292A">
        <w:rPr>
          <w:rFonts w:ascii="Calibri" w:hAnsi="Calibri" w:cs="Calibri"/>
          <w:color w:val="000000"/>
          <w:sz w:val="22"/>
          <w:szCs w:val="22"/>
          <w:lang w:val="tr-TR" w:eastAsia="tr-TR"/>
        </w:rPr>
        <w:t>nin</w:t>
      </w:r>
      <w:r w:rsidRPr="00EF4A91">
        <w:rPr>
          <w:rFonts w:ascii="Calibri" w:hAnsi="Calibri" w:cs="Calibri"/>
          <w:color w:val="000000"/>
          <w:sz w:val="22"/>
          <w:szCs w:val="22"/>
          <w:lang w:val="tr-TR" w:eastAsia="tr-TR"/>
        </w:rPr>
        <w:t xml:space="preserve"> 66 ila 8</w:t>
      </w:r>
      <w:r w:rsidR="00D41C2A">
        <w:rPr>
          <w:rFonts w:ascii="Calibri" w:hAnsi="Calibri" w:cs="Calibri"/>
          <w:color w:val="000000"/>
          <w:sz w:val="22"/>
          <w:szCs w:val="22"/>
          <w:lang w:val="tr-TR" w:eastAsia="tr-TR"/>
        </w:rPr>
        <w:t>6</w:t>
      </w:r>
      <w:r w:rsidRPr="00EF4A91">
        <w:rPr>
          <w:rFonts w:ascii="Calibri" w:hAnsi="Calibri" w:cs="Calibri"/>
          <w:color w:val="000000"/>
          <w:sz w:val="22"/>
          <w:szCs w:val="22"/>
          <w:lang w:val="tr-TR" w:eastAsia="tr-TR"/>
        </w:rPr>
        <w:t xml:space="preserve"> milyar dolar arasında </w:t>
      </w:r>
      <w:r w:rsidR="00DA292A">
        <w:rPr>
          <w:rFonts w:ascii="Calibri" w:hAnsi="Calibri" w:cs="Calibri"/>
          <w:color w:val="000000"/>
          <w:sz w:val="22"/>
          <w:szCs w:val="22"/>
          <w:lang w:val="tr-TR" w:eastAsia="tr-TR"/>
        </w:rPr>
        <w:t>olduğunu tahmin ediyoruz</w:t>
      </w:r>
      <w:r w:rsidRPr="00EF4A91">
        <w:rPr>
          <w:rFonts w:ascii="Calibri" w:hAnsi="Calibri" w:cs="Calibri"/>
          <w:color w:val="000000"/>
          <w:sz w:val="22"/>
          <w:szCs w:val="22"/>
          <w:lang w:val="tr-TR" w:eastAsia="tr-TR"/>
        </w:rPr>
        <w:t xml:space="preserve">. Diğer taraftan bölgede </w:t>
      </w:r>
      <w:r w:rsidR="00F0328C">
        <w:rPr>
          <w:rFonts w:ascii="Calibri" w:hAnsi="Calibri" w:cs="Calibri"/>
          <w:color w:val="000000"/>
          <w:sz w:val="22"/>
          <w:szCs w:val="22"/>
          <w:lang w:val="tr-TR" w:eastAsia="tr-TR"/>
        </w:rPr>
        <w:t xml:space="preserve">yaşanan </w:t>
      </w:r>
      <w:r w:rsidRPr="00EF4A91">
        <w:rPr>
          <w:rFonts w:ascii="Calibri" w:hAnsi="Calibri" w:cs="Calibri"/>
          <w:color w:val="000000"/>
          <w:sz w:val="22"/>
          <w:szCs w:val="22"/>
          <w:lang w:val="tr-TR" w:eastAsia="tr-TR"/>
        </w:rPr>
        <w:t xml:space="preserve">üretim </w:t>
      </w:r>
      <w:r w:rsidR="00F0328C">
        <w:rPr>
          <w:rFonts w:ascii="Calibri" w:hAnsi="Calibri" w:cs="Calibri"/>
          <w:color w:val="000000"/>
          <w:sz w:val="22"/>
          <w:szCs w:val="22"/>
          <w:lang w:val="tr-TR" w:eastAsia="tr-TR"/>
        </w:rPr>
        <w:t>kaybı</w:t>
      </w:r>
      <w:r w:rsidRPr="00EF4A91">
        <w:rPr>
          <w:rFonts w:ascii="Calibri" w:hAnsi="Calibri" w:cs="Calibri"/>
          <w:color w:val="000000"/>
          <w:sz w:val="22"/>
          <w:szCs w:val="22"/>
          <w:lang w:val="tr-TR" w:eastAsia="tr-TR"/>
        </w:rPr>
        <w:t>, ulusal turizm sektörü</w:t>
      </w:r>
      <w:r w:rsidR="00F0328C">
        <w:rPr>
          <w:rFonts w:ascii="Calibri" w:hAnsi="Calibri" w:cs="Calibri"/>
          <w:color w:val="000000"/>
          <w:sz w:val="22"/>
          <w:szCs w:val="22"/>
          <w:lang w:val="tr-TR" w:eastAsia="tr-TR"/>
        </w:rPr>
        <w:t>ndeki olası</w:t>
      </w:r>
      <w:r w:rsidRPr="00EF4A91">
        <w:rPr>
          <w:rFonts w:ascii="Calibri" w:hAnsi="Calibri" w:cs="Calibri"/>
          <w:color w:val="000000"/>
          <w:sz w:val="22"/>
          <w:szCs w:val="22"/>
          <w:lang w:val="tr-TR" w:eastAsia="tr-TR"/>
        </w:rPr>
        <w:t xml:space="preserve"> gelir kaybı ve enkaz kaldırma ile ilgili faaliyetlerin </w:t>
      </w:r>
      <w:r w:rsidR="003F13AD">
        <w:rPr>
          <w:rFonts w:ascii="Calibri" w:hAnsi="Calibri" w:cs="Calibri"/>
          <w:color w:val="000000"/>
          <w:sz w:val="22"/>
          <w:szCs w:val="22"/>
          <w:lang w:val="tr-TR" w:eastAsia="tr-TR"/>
        </w:rPr>
        <w:t xml:space="preserve">ulusal gelir üzerindeki </w:t>
      </w:r>
      <w:r w:rsidR="00F0328C">
        <w:rPr>
          <w:rFonts w:ascii="Calibri" w:hAnsi="Calibri" w:cs="Calibri"/>
          <w:color w:val="000000"/>
          <w:sz w:val="22"/>
          <w:szCs w:val="22"/>
          <w:lang w:val="tr-TR" w:eastAsia="tr-TR"/>
        </w:rPr>
        <w:t>akım etkisini de</w:t>
      </w:r>
      <w:r w:rsidRPr="00EF4A91">
        <w:rPr>
          <w:rFonts w:ascii="Calibri" w:hAnsi="Calibri" w:cs="Calibri"/>
          <w:color w:val="000000"/>
          <w:sz w:val="22"/>
          <w:szCs w:val="22"/>
          <w:lang w:val="tr-TR" w:eastAsia="tr-TR"/>
        </w:rPr>
        <w:t xml:space="preserve"> eklediğimizde, depremlerin toplam maliyeti</w:t>
      </w:r>
      <w:r w:rsidR="00F0328C">
        <w:rPr>
          <w:rFonts w:ascii="Calibri" w:hAnsi="Calibri" w:cs="Calibri"/>
          <w:color w:val="000000"/>
          <w:sz w:val="22"/>
          <w:szCs w:val="22"/>
          <w:lang w:val="tr-TR" w:eastAsia="tr-TR"/>
        </w:rPr>
        <w:t>nin</w:t>
      </w:r>
      <w:r w:rsidRPr="00EF4A91">
        <w:rPr>
          <w:rFonts w:ascii="Calibri" w:hAnsi="Calibri" w:cs="Calibri"/>
          <w:color w:val="000000"/>
          <w:sz w:val="22"/>
          <w:szCs w:val="22"/>
          <w:lang w:val="tr-TR" w:eastAsia="tr-TR"/>
        </w:rPr>
        <w:t xml:space="preserve"> 77</w:t>
      </w:r>
      <w:r w:rsidR="000733B8">
        <w:rPr>
          <w:rFonts w:ascii="Calibri" w:hAnsi="Calibri" w:cs="Calibri"/>
          <w:color w:val="000000"/>
          <w:sz w:val="22"/>
          <w:szCs w:val="22"/>
          <w:lang w:val="tr-TR" w:eastAsia="tr-TR"/>
        </w:rPr>
        <w:t xml:space="preserve"> ila </w:t>
      </w:r>
      <w:r w:rsidRPr="00EF4A91">
        <w:rPr>
          <w:rFonts w:ascii="Calibri" w:hAnsi="Calibri" w:cs="Calibri"/>
          <w:color w:val="000000"/>
          <w:sz w:val="22"/>
          <w:szCs w:val="22"/>
          <w:lang w:val="tr-TR" w:eastAsia="tr-TR"/>
        </w:rPr>
        <w:t>10</w:t>
      </w:r>
      <w:r w:rsidR="000733B8">
        <w:rPr>
          <w:rFonts w:ascii="Calibri" w:hAnsi="Calibri" w:cs="Calibri"/>
          <w:color w:val="000000"/>
          <w:sz w:val="22"/>
          <w:szCs w:val="22"/>
          <w:lang w:val="tr-TR" w:eastAsia="tr-TR"/>
        </w:rPr>
        <w:t>5</w:t>
      </w:r>
      <w:r w:rsidRPr="00EF4A91">
        <w:rPr>
          <w:rFonts w:ascii="Calibri" w:hAnsi="Calibri" w:cs="Calibri"/>
          <w:color w:val="000000"/>
          <w:sz w:val="22"/>
          <w:szCs w:val="22"/>
          <w:lang w:val="tr-TR" w:eastAsia="tr-TR"/>
        </w:rPr>
        <w:t xml:space="preserve"> milyar dolar aralığında </w:t>
      </w:r>
      <w:r w:rsidR="00F0328C">
        <w:rPr>
          <w:rFonts w:ascii="Calibri" w:hAnsi="Calibri" w:cs="Calibri"/>
          <w:color w:val="000000"/>
          <w:sz w:val="22"/>
          <w:szCs w:val="22"/>
          <w:lang w:val="tr-TR" w:eastAsia="tr-TR"/>
        </w:rPr>
        <w:t>gerçekleşeceği sonucuna ulaşıyoruz</w:t>
      </w:r>
      <w:r w:rsidRPr="00EF4A91">
        <w:rPr>
          <w:rFonts w:ascii="Calibri" w:hAnsi="Calibri" w:cs="Calibri"/>
          <w:color w:val="000000"/>
          <w:sz w:val="22"/>
          <w:szCs w:val="22"/>
          <w:lang w:val="tr-TR" w:eastAsia="tr-TR"/>
        </w:rPr>
        <w:t xml:space="preserve">. GSYH’ye oran </w:t>
      </w:r>
      <w:r w:rsidR="005968FB">
        <w:rPr>
          <w:rFonts w:ascii="Calibri" w:hAnsi="Calibri" w:cs="Calibri"/>
          <w:color w:val="000000"/>
          <w:sz w:val="22"/>
          <w:szCs w:val="22"/>
          <w:lang w:val="tr-TR" w:eastAsia="tr-TR"/>
        </w:rPr>
        <w:t xml:space="preserve">olarak </w:t>
      </w:r>
      <w:r w:rsidRPr="00EF4A91">
        <w:rPr>
          <w:rFonts w:ascii="Calibri" w:hAnsi="Calibri" w:cs="Calibri"/>
          <w:color w:val="000000"/>
          <w:sz w:val="22"/>
          <w:szCs w:val="22"/>
          <w:lang w:val="tr-TR" w:eastAsia="tr-TR"/>
        </w:rPr>
        <w:t xml:space="preserve">yüzde 8,6 ila 11,6 arasında olacağını </w:t>
      </w:r>
      <w:r w:rsidR="005968FB">
        <w:rPr>
          <w:rFonts w:ascii="Calibri" w:hAnsi="Calibri" w:cs="Calibri"/>
          <w:color w:val="000000"/>
          <w:sz w:val="22"/>
          <w:szCs w:val="22"/>
          <w:lang w:val="tr-TR" w:eastAsia="tr-TR"/>
        </w:rPr>
        <w:t xml:space="preserve">tahmin ettiğimiz </w:t>
      </w:r>
      <w:r w:rsidRPr="00EF4A91">
        <w:rPr>
          <w:rFonts w:ascii="Calibri" w:hAnsi="Calibri" w:cs="Calibri"/>
          <w:color w:val="000000"/>
          <w:sz w:val="22"/>
          <w:szCs w:val="22"/>
          <w:lang w:val="tr-TR" w:eastAsia="tr-TR"/>
        </w:rPr>
        <w:t>ekonomik fatura</w:t>
      </w:r>
      <w:r w:rsidR="003F13AD">
        <w:rPr>
          <w:rFonts w:ascii="Calibri" w:hAnsi="Calibri" w:cs="Calibri"/>
          <w:color w:val="000000"/>
          <w:sz w:val="22"/>
          <w:szCs w:val="22"/>
          <w:lang w:val="tr-TR" w:eastAsia="tr-TR"/>
        </w:rPr>
        <w:t xml:space="preserve">nın </w:t>
      </w:r>
      <w:r w:rsidR="006141E8">
        <w:rPr>
          <w:rFonts w:ascii="Calibri" w:hAnsi="Calibri" w:cs="Calibri"/>
          <w:color w:val="000000"/>
          <w:sz w:val="22"/>
          <w:szCs w:val="22"/>
          <w:lang w:val="tr-TR" w:eastAsia="tr-TR"/>
        </w:rPr>
        <w:t xml:space="preserve">yüzde </w:t>
      </w:r>
      <w:r w:rsidR="000733B8">
        <w:rPr>
          <w:rFonts w:ascii="Calibri" w:hAnsi="Calibri" w:cs="Calibri"/>
          <w:color w:val="000000"/>
          <w:sz w:val="22"/>
          <w:szCs w:val="22"/>
          <w:lang w:val="tr-TR" w:eastAsia="tr-TR"/>
        </w:rPr>
        <w:t>80</w:t>
      </w:r>
      <w:r w:rsidR="006141E8">
        <w:rPr>
          <w:rFonts w:ascii="Calibri" w:hAnsi="Calibri" w:cs="Calibri"/>
          <w:color w:val="000000"/>
          <w:sz w:val="22"/>
          <w:szCs w:val="22"/>
          <w:lang w:val="tr-TR" w:eastAsia="tr-TR"/>
        </w:rPr>
        <w:t>’ene</w:t>
      </w:r>
      <w:r w:rsidR="000733B8">
        <w:rPr>
          <w:rFonts w:ascii="Calibri" w:hAnsi="Calibri" w:cs="Calibri"/>
          <w:color w:val="000000"/>
          <w:sz w:val="22"/>
          <w:szCs w:val="22"/>
          <w:lang w:val="tr-TR" w:eastAsia="tr-TR"/>
        </w:rPr>
        <w:t xml:space="preserve"> yakın </w:t>
      </w:r>
      <w:r w:rsidR="003F13AD">
        <w:rPr>
          <w:rFonts w:ascii="Calibri" w:hAnsi="Calibri" w:cs="Calibri"/>
          <w:color w:val="000000"/>
          <w:sz w:val="22"/>
          <w:szCs w:val="22"/>
          <w:lang w:val="tr-TR" w:eastAsia="tr-TR"/>
        </w:rPr>
        <w:t>bölümü</w:t>
      </w:r>
      <w:r w:rsidR="000733B8">
        <w:rPr>
          <w:rFonts w:ascii="Calibri" w:hAnsi="Calibri" w:cs="Calibri"/>
          <w:color w:val="000000"/>
          <w:sz w:val="22"/>
          <w:szCs w:val="22"/>
          <w:lang w:val="tr-TR" w:eastAsia="tr-TR"/>
        </w:rPr>
        <w:t>nün</w:t>
      </w:r>
      <w:r w:rsidR="003F13AD">
        <w:rPr>
          <w:rFonts w:ascii="Calibri" w:hAnsi="Calibri" w:cs="Calibri"/>
          <w:color w:val="000000"/>
          <w:sz w:val="22"/>
          <w:szCs w:val="22"/>
          <w:lang w:val="tr-TR" w:eastAsia="tr-TR"/>
        </w:rPr>
        <w:t xml:space="preserve"> devlet tarafından karşılan</w:t>
      </w:r>
      <w:r w:rsidR="000733B8">
        <w:rPr>
          <w:rFonts w:ascii="Calibri" w:hAnsi="Calibri" w:cs="Calibri"/>
          <w:color w:val="000000"/>
          <w:sz w:val="22"/>
          <w:szCs w:val="22"/>
          <w:lang w:val="tr-TR" w:eastAsia="tr-TR"/>
        </w:rPr>
        <w:t>ması beklenmektedir</w:t>
      </w:r>
      <w:r w:rsidR="003F13AD">
        <w:rPr>
          <w:rFonts w:ascii="Calibri" w:hAnsi="Calibri" w:cs="Calibri"/>
          <w:color w:val="000000"/>
          <w:sz w:val="22"/>
          <w:szCs w:val="22"/>
          <w:lang w:val="tr-TR" w:eastAsia="tr-TR"/>
        </w:rPr>
        <w:t xml:space="preserve">. </w:t>
      </w:r>
    </w:p>
    <w:p w14:paraId="6B87BD43" w14:textId="77777777" w:rsidR="003F13AD" w:rsidRPr="00EF4A91" w:rsidRDefault="003F13AD" w:rsidP="00EF4A91">
      <w:pPr>
        <w:rPr>
          <w:rFonts w:ascii="Calibri" w:hAnsi="Calibri" w:cs="Calibri"/>
          <w:color w:val="000000"/>
          <w:sz w:val="22"/>
          <w:szCs w:val="22"/>
          <w:lang w:val="tr-TR" w:eastAsia="tr-TR"/>
        </w:rPr>
      </w:pPr>
    </w:p>
    <w:p w14:paraId="2C884EFF" w14:textId="7408BA8C" w:rsidR="00336E5B" w:rsidRPr="004D62CA" w:rsidRDefault="00EF4A91" w:rsidP="004D62CA">
      <w:pPr>
        <w:spacing w:after="120"/>
        <w:rPr>
          <w:rFonts w:ascii="Calibri" w:hAnsi="Calibri" w:cs="Calibri"/>
          <w:color w:val="000000"/>
          <w:sz w:val="22"/>
          <w:szCs w:val="22"/>
          <w:lang w:val="tr-TR" w:eastAsia="tr-TR"/>
        </w:rPr>
      </w:pPr>
      <w:r w:rsidRPr="00EF4A91">
        <w:rPr>
          <w:rFonts w:ascii="Calibri" w:hAnsi="Calibri" w:cs="Calibri"/>
          <w:color w:val="000000"/>
          <w:sz w:val="22"/>
          <w:szCs w:val="22"/>
          <w:lang w:val="tr-TR" w:eastAsia="tr-TR"/>
        </w:rPr>
        <w:t xml:space="preserve">Depremlerin </w:t>
      </w:r>
      <w:r w:rsidR="006D1690">
        <w:rPr>
          <w:rFonts w:ascii="Calibri" w:hAnsi="Calibri" w:cs="Calibri"/>
          <w:color w:val="000000"/>
          <w:sz w:val="22"/>
          <w:szCs w:val="22"/>
          <w:lang w:val="tr-TR" w:eastAsia="tr-TR"/>
        </w:rPr>
        <w:t xml:space="preserve">stok ve akım üzerinden </w:t>
      </w:r>
      <w:r w:rsidR="00E91012">
        <w:rPr>
          <w:rFonts w:ascii="Calibri" w:hAnsi="Calibri" w:cs="Calibri"/>
          <w:color w:val="000000"/>
          <w:sz w:val="22"/>
          <w:szCs w:val="22"/>
          <w:lang w:val="tr-TR" w:eastAsia="tr-TR"/>
        </w:rPr>
        <w:t xml:space="preserve">ulusal ekonomik </w:t>
      </w:r>
      <w:r w:rsidR="006D1690">
        <w:rPr>
          <w:rFonts w:ascii="Calibri" w:hAnsi="Calibri" w:cs="Calibri"/>
          <w:color w:val="000000"/>
          <w:sz w:val="22"/>
          <w:szCs w:val="22"/>
          <w:lang w:val="tr-TR" w:eastAsia="tr-TR"/>
        </w:rPr>
        <w:t xml:space="preserve">maliyetini hesapladıktan sonra ekonomik büyüme üzerindeki etkisini ve ortaya çıkan faturanın büyük bir kısmını yüklenecek kamu kesiminin finansman ihtiyacını nasıl karşılayacağını ele alıyoruz. </w:t>
      </w:r>
      <w:r w:rsidR="00495B38">
        <w:rPr>
          <w:rFonts w:ascii="Calibri" w:hAnsi="Calibri" w:cs="Calibri"/>
          <w:color w:val="000000"/>
          <w:sz w:val="22"/>
          <w:szCs w:val="22"/>
          <w:lang w:val="tr-TR" w:eastAsia="tr-TR"/>
        </w:rPr>
        <w:t xml:space="preserve"> </w:t>
      </w:r>
      <w:r w:rsidR="00270D13">
        <w:rPr>
          <w:rFonts w:ascii="Calibri" w:hAnsi="Calibri" w:cs="Calibri"/>
          <w:color w:val="000000"/>
          <w:sz w:val="22"/>
          <w:szCs w:val="22"/>
          <w:lang w:val="tr-TR" w:eastAsia="tr-TR"/>
        </w:rPr>
        <w:t>Yeniden inşa için yapılacak ek</w:t>
      </w:r>
      <w:r w:rsidRPr="00EF4A91">
        <w:rPr>
          <w:rFonts w:ascii="Calibri" w:hAnsi="Calibri" w:cs="Calibri"/>
          <w:color w:val="000000"/>
          <w:sz w:val="22"/>
          <w:szCs w:val="22"/>
          <w:lang w:val="tr-TR" w:eastAsia="tr-TR"/>
        </w:rPr>
        <w:t xml:space="preserve"> yatırım harcamalarının büyüme etkisinden depremin </w:t>
      </w:r>
      <w:r w:rsidR="004F5F72">
        <w:rPr>
          <w:rFonts w:ascii="Calibri" w:hAnsi="Calibri" w:cs="Calibri"/>
          <w:color w:val="000000"/>
          <w:sz w:val="22"/>
          <w:szCs w:val="22"/>
          <w:lang w:val="tr-TR" w:eastAsia="tr-TR"/>
        </w:rPr>
        <w:t>GSY</w:t>
      </w:r>
      <w:r w:rsidR="000246E2">
        <w:rPr>
          <w:rFonts w:ascii="Calibri" w:hAnsi="Calibri" w:cs="Calibri"/>
          <w:color w:val="000000"/>
          <w:sz w:val="22"/>
          <w:szCs w:val="22"/>
          <w:lang w:val="tr-TR" w:eastAsia="tr-TR"/>
        </w:rPr>
        <w:t>H</w:t>
      </w:r>
      <w:r w:rsidR="004F5F72">
        <w:rPr>
          <w:rFonts w:ascii="Calibri" w:hAnsi="Calibri" w:cs="Calibri"/>
          <w:color w:val="000000"/>
          <w:sz w:val="22"/>
          <w:szCs w:val="22"/>
          <w:lang w:val="tr-TR" w:eastAsia="tr-TR"/>
        </w:rPr>
        <w:t xml:space="preserve"> </w:t>
      </w:r>
      <w:r w:rsidRPr="00EF4A91">
        <w:rPr>
          <w:rFonts w:ascii="Calibri" w:hAnsi="Calibri" w:cs="Calibri"/>
          <w:color w:val="000000"/>
          <w:sz w:val="22"/>
          <w:szCs w:val="22"/>
          <w:lang w:val="tr-TR" w:eastAsia="tr-TR"/>
        </w:rPr>
        <w:t>üzerindeki negatif</w:t>
      </w:r>
      <w:r w:rsidR="004F5F72">
        <w:rPr>
          <w:rFonts w:ascii="Calibri" w:hAnsi="Calibri" w:cs="Calibri"/>
          <w:color w:val="000000"/>
          <w:sz w:val="22"/>
          <w:szCs w:val="22"/>
          <w:lang w:val="tr-TR" w:eastAsia="tr-TR"/>
        </w:rPr>
        <w:t xml:space="preserve"> akım</w:t>
      </w:r>
      <w:r w:rsidRPr="00EF4A91">
        <w:rPr>
          <w:rFonts w:ascii="Calibri" w:hAnsi="Calibri" w:cs="Calibri"/>
          <w:color w:val="000000"/>
          <w:sz w:val="22"/>
          <w:szCs w:val="22"/>
          <w:lang w:val="tr-TR" w:eastAsia="tr-TR"/>
        </w:rPr>
        <w:t xml:space="preserve"> etkisini çıkardı</w:t>
      </w:r>
      <w:r w:rsidR="00270D13">
        <w:rPr>
          <w:rFonts w:ascii="Calibri" w:hAnsi="Calibri" w:cs="Calibri"/>
          <w:color w:val="000000"/>
          <w:sz w:val="22"/>
          <w:szCs w:val="22"/>
          <w:lang w:val="tr-TR" w:eastAsia="tr-TR"/>
        </w:rPr>
        <w:t>ğımız zaman</w:t>
      </w:r>
      <w:r w:rsidRPr="00EF4A91">
        <w:rPr>
          <w:rFonts w:ascii="Calibri" w:hAnsi="Calibri" w:cs="Calibri"/>
          <w:color w:val="000000"/>
          <w:sz w:val="22"/>
          <w:szCs w:val="22"/>
          <w:lang w:val="tr-TR" w:eastAsia="tr-TR"/>
        </w:rPr>
        <w:t xml:space="preserve"> </w:t>
      </w:r>
      <w:r w:rsidR="00270D13">
        <w:rPr>
          <w:rFonts w:ascii="Calibri" w:hAnsi="Calibri" w:cs="Calibri"/>
          <w:color w:val="000000"/>
          <w:sz w:val="22"/>
          <w:szCs w:val="22"/>
          <w:lang w:val="tr-TR" w:eastAsia="tr-TR"/>
        </w:rPr>
        <w:t xml:space="preserve">2023 yılı </w:t>
      </w:r>
      <w:r w:rsidRPr="00EF4A91">
        <w:rPr>
          <w:rFonts w:ascii="Calibri" w:hAnsi="Calibri" w:cs="Calibri"/>
          <w:color w:val="000000"/>
          <w:sz w:val="22"/>
          <w:szCs w:val="22"/>
          <w:lang w:val="tr-TR" w:eastAsia="tr-TR"/>
        </w:rPr>
        <w:t>büyüme</w:t>
      </w:r>
      <w:r w:rsidR="00270D13">
        <w:rPr>
          <w:rFonts w:ascii="Calibri" w:hAnsi="Calibri" w:cs="Calibri"/>
          <w:color w:val="000000"/>
          <w:sz w:val="22"/>
          <w:szCs w:val="22"/>
          <w:lang w:val="tr-TR" w:eastAsia="tr-TR"/>
        </w:rPr>
        <w:t xml:space="preserve"> hızının</w:t>
      </w:r>
      <w:r w:rsidRPr="00EF4A91">
        <w:rPr>
          <w:rFonts w:ascii="Calibri" w:hAnsi="Calibri" w:cs="Calibri"/>
          <w:color w:val="000000"/>
          <w:sz w:val="22"/>
          <w:szCs w:val="22"/>
          <w:lang w:val="tr-TR" w:eastAsia="tr-TR"/>
        </w:rPr>
        <w:t xml:space="preserve"> 2,</w:t>
      </w:r>
      <w:r w:rsidR="00332759">
        <w:rPr>
          <w:rFonts w:ascii="Calibri" w:hAnsi="Calibri" w:cs="Calibri"/>
          <w:color w:val="000000"/>
          <w:sz w:val="22"/>
          <w:szCs w:val="22"/>
          <w:lang w:val="tr-TR" w:eastAsia="tr-TR"/>
        </w:rPr>
        <w:t>4</w:t>
      </w:r>
      <w:r w:rsidRPr="00EF4A91">
        <w:rPr>
          <w:rFonts w:ascii="Calibri" w:hAnsi="Calibri" w:cs="Calibri"/>
          <w:color w:val="000000"/>
          <w:sz w:val="22"/>
          <w:szCs w:val="22"/>
          <w:lang w:val="tr-TR" w:eastAsia="tr-TR"/>
        </w:rPr>
        <w:t xml:space="preserve"> ila </w:t>
      </w:r>
      <w:r w:rsidR="00332759">
        <w:rPr>
          <w:rFonts w:ascii="Calibri" w:hAnsi="Calibri" w:cs="Calibri"/>
          <w:color w:val="000000"/>
          <w:sz w:val="22"/>
          <w:szCs w:val="22"/>
          <w:lang w:val="tr-TR" w:eastAsia="tr-TR"/>
        </w:rPr>
        <w:t>2,</w:t>
      </w:r>
      <w:r w:rsidR="00297FB4">
        <w:rPr>
          <w:rFonts w:ascii="Calibri" w:hAnsi="Calibri" w:cs="Calibri"/>
          <w:color w:val="000000"/>
          <w:sz w:val="22"/>
          <w:szCs w:val="22"/>
          <w:lang w:val="tr-TR" w:eastAsia="tr-TR"/>
        </w:rPr>
        <w:t>6</w:t>
      </w:r>
      <w:r w:rsidRPr="00EF4A91">
        <w:rPr>
          <w:rFonts w:ascii="Calibri" w:hAnsi="Calibri" w:cs="Calibri"/>
          <w:color w:val="000000"/>
          <w:sz w:val="22"/>
          <w:szCs w:val="22"/>
          <w:lang w:val="tr-TR" w:eastAsia="tr-TR"/>
        </w:rPr>
        <w:t xml:space="preserve"> </w:t>
      </w:r>
      <w:r w:rsidR="00270D13">
        <w:rPr>
          <w:rFonts w:ascii="Calibri" w:hAnsi="Calibri" w:cs="Calibri"/>
          <w:color w:val="000000"/>
          <w:sz w:val="22"/>
          <w:szCs w:val="22"/>
          <w:lang w:val="tr-TR" w:eastAsia="tr-TR"/>
        </w:rPr>
        <w:t xml:space="preserve">yüzde puan </w:t>
      </w:r>
      <w:r w:rsidRPr="00EF4A91">
        <w:rPr>
          <w:rFonts w:ascii="Calibri" w:hAnsi="Calibri" w:cs="Calibri"/>
          <w:color w:val="000000"/>
          <w:sz w:val="22"/>
          <w:szCs w:val="22"/>
          <w:lang w:val="tr-TR" w:eastAsia="tr-TR"/>
        </w:rPr>
        <w:t xml:space="preserve">arasında artacağını </w:t>
      </w:r>
      <w:r w:rsidR="00270D13">
        <w:rPr>
          <w:rFonts w:ascii="Calibri" w:hAnsi="Calibri" w:cs="Calibri"/>
          <w:color w:val="000000"/>
          <w:sz w:val="22"/>
          <w:szCs w:val="22"/>
          <w:lang w:val="tr-TR" w:eastAsia="tr-TR"/>
        </w:rPr>
        <w:t>tahmin etmekteyiz</w:t>
      </w:r>
      <w:r w:rsidRPr="00EF4A91">
        <w:rPr>
          <w:rFonts w:ascii="Calibri" w:hAnsi="Calibri" w:cs="Calibri"/>
          <w:color w:val="000000"/>
          <w:sz w:val="22"/>
          <w:szCs w:val="22"/>
          <w:lang w:val="tr-TR" w:eastAsia="tr-TR"/>
        </w:rPr>
        <w:t xml:space="preserve">. </w:t>
      </w:r>
      <w:r w:rsidR="00270D13">
        <w:rPr>
          <w:rFonts w:ascii="Calibri" w:hAnsi="Calibri" w:cs="Calibri"/>
          <w:color w:val="000000"/>
          <w:sz w:val="22"/>
          <w:szCs w:val="22"/>
          <w:lang w:val="tr-TR" w:eastAsia="tr-TR"/>
        </w:rPr>
        <w:t xml:space="preserve">Depremin büyüme üzerindeki etkisinin tahmin ettiğimiz seviyelerde çıkabilmesinin gerekli koşulu </w:t>
      </w:r>
      <w:r w:rsidRPr="00EF4A91">
        <w:rPr>
          <w:rFonts w:ascii="Calibri" w:hAnsi="Calibri" w:cs="Calibri"/>
          <w:color w:val="000000"/>
          <w:sz w:val="22"/>
          <w:szCs w:val="22"/>
          <w:lang w:val="tr-TR" w:eastAsia="tr-TR"/>
        </w:rPr>
        <w:t xml:space="preserve">yapılacak </w:t>
      </w:r>
      <w:r w:rsidR="00270D13">
        <w:rPr>
          <w:rFonts w:ascii="Calibri" w:hAnsi="Calibri" w:cs="Calibri"/>
          <w:color w:val="000000"/>
          <w:sz w:val="22"/>
          <w:szCs w:val="22"/>
          <w:lang w:val="tr-TR" w:eastAsia="tr-TR"/>
        </w:rPr>
        <w:t xml:space="preserve">ek </w:t>
      </w:r>
      <w:r w:rsidRPr="00EF4A91">
        <w:rPr>
          <w:rFonts w:ascii="Calibri" w:hAnsi="Calibri" w:cs="Calibri"/>
          <w:color w:val="000000"/>
          <w:sz w:val="22"/>
          <w:szCs w:val="22"/>
          <w:lang w:val="tr-TR" w:eastAsia="tr-TR"/>
        </w:rPr>
        <w:t xml:space="preserve">kamu harcamalarının </w:t>
      </w:r>
      <w:r w:rsidR="00270D13">
        <w:rPr>
          <w:rFonts w:ascii="Calibri" w:hAnsi="Calibri" w:cs="Calibri"/>
          <w:color w:val="000000"/>
          <w:sz w:val="22"/>
          <w:szCs w:val="22"/>
          <w:lang w:val="tr-TR" w:eastAsia="tr-TR"/>
        </w:rPr>
        <w:t>ekonomiyi herhangi bir darboğaza sürüklemeden</w:t>
      </w:r>
      <w:r w:rsidRPr="00EF4A91">
        <w:rPr>
          <w:rFonts w:ascii="Calibri" w:hAnsi="Calibri" w:cs="Calibri"/>
          <w:color w:val="000000"/>
          <w:sz w:val="22"/>
          <w:szCs w:val="22"/>
          <w:lang w:val="tr-TR" w:eastAsia="tr-TR"/>
        </w:rPr>
        <w:t xml:space="preserve"> finanse edil</w:t>
      </w:r>
      <w:r w:rsidR="00270D13">
        <w:rPr>
          <w:rFonts w:ascii="Calibri" w:hAnsi="Calibri" w:cs="Calibri"/>
          <w:color w:val="000000"/>
          <w:sz w:val="22"/>
          <w:szCs w:val="22"/>
          <w:lang w:val="tr-TR" w:eastAsia="tr-TR"/>
        </w:rPr>
        <w:t>ebilmesidir</w:t>
      </w:r>
      <w:r w:rsidRPr="00EF4A91">
        <w:rPr>
          <w:rFonts w:ascii="Calibri" w:hAnsi="Calibri" w:cs="Calibri"/>
          <w:color w:val="000000"/>
          <w:sz w:val="22"/>
          <w:szCs w:val="22"/>
          <w:lang w:val="tr-TR" w:eastAsia="tr-TR"/>
        </w:rPr>
        <w:t xml:space="preserve">. Eylül 2021’den bu yana uygulanan </w:t>
      </w:r>
      <w:r w:rsidR="00186B8F">
        <w:rPr>
          <w:rFonts w:ascii="Calibri" w:hAnsi="Calibri" w:cs="Calibri"/>
          <w:color w:val="000000"/>
          <w:sz w:val="22"/>
          <w:szCs w:val="22"/>
          <w:lang w:val="tr-TR" w:eastAsia="tr-TR"/>
        </w:rPr>
        <w:t xml:space="preserve">ve </w:t>
      </w:r>
      <w:r w:rsidRPr="00EF4A91">
        <w:rPr>
          <w:rFonts w:ascii="Calibri" w:hAnsi="Calibri" w:cs="Calibri"/>
          <w:color w:val="000000"/>
          <w:sz w:val="22"/>
          <w:szCs w:val="22"/>
          <w:lang w:val="tr-TR" w:eastAsia="tr-TR"/>
        </w:rPr>
        <w:t>ülke ekonomisini daha kırılgan hale getir</w:t>
      </w:r>
      <w:r w:rsidR="00186B8F">
        <w:rPr>
          <w:rFonts w:ascii="Calibri" w:hAnsi="Calibri" w:cs="Calibri"/>
          <w:color w:val="000000"/>
          <w:sz w:val="22"/>
          <w:szCs w:val="22"/>
          <w:lang w:val="tr-TR" w:eastAsia="tr-TR"/>
        </w:rPr>
        <w:t xml:space="preserve">en </w:t>
      </w:r>
      <w:r w:rsidR="00270D13">
        <w:rPr>
          <w:rFonts w:ascii="Calibri" w:hAnsi="Calibri" w:cs="Calibri"/>
          <w:color w:val="000000"/>
          <w:sz w:val="22"/>
          <w:szCs w:val="22"/>
          <w:lang w:val="tr-TR" w:eastAsia="tr-TR"/>
        </w:rPr>
        <w:t>para ve maliye politikası</w:t>
      </w:r>
      <w:r w:rsidR="00186B8F">
        <w:rPr>
          <w:rFonts w:ascii="Calibri" w:hAnsi="Calibri" w:cs="Calibri"/>
          <w:color w:val="000000"/>
          <w:sz w:val="22"/>
          <w:szCs w:val="22"/>
          <w:lang w:val="tr-TR" w:eastAsia="tr-TR"/>
        </w:rPr>
        <w:t xml:space="preserve"> </w:t>
      </w:r>
      <w:r w:rsidR="00270D13">
        <w:rPr>
          <w:rFonts w:ascii="Calibri" w:hAnsi="Calibri" w:cs="Calibri"/>
          <w:color w:val="000000"/>
          <w:sz w:val="22"/>
          <w:szCs w:val="22"/>
          <w:lang w:val="tr-TR" w:eastAsia="tr-TR"/>
        </w:rPr>
        <w:t xml:space="preserve">GSYH’nin </w:t>
      </w:r>
      <w:r w:rsidR="006141E8">
        <w:rPr>
          <w:rFonts w:ascii="Calibri" w:hAnsi="Calibri" w:cs="Calibri"/>
          <w:color w:val="000000"/>
          <w:sz w:val="22"/>
          <w:szCs w:val="22"/>
          <w:lang w:val="tr-TR" w:eastAsia="tr-TR"/>
        </w:rPr>
        <w:t xml:space="preserve">yüzde </w:t>
      </w:r>
      <w:r w:rsidR="00270D13">
        <w:rPr>
          <w:rFonts w:ascii="Calibri" w:hAnsi="Calibri" w:cs="Calibri"/>
          <w:color w:val="000000"/>
          <w:sz w:val="22"/>
          <w:szCs w:val="22"/>
          <w:lang w:val="tr-TR" w:eastAsia="tr-TR"/>
        </w:rPr>
        <w:t xml:space="preserve">6’sına kadar çıkacak yıllık borçlanma gereksiniminin </w:t>
      </w:r>
      <w:r w:rsidRPr="00EF4A91">
        <w:rPr>
          <w:rFonts w:ascii="Calibri" w:hAnsi="Calibri" w:cs="Calibri"/>
          <w:color w:val="000000"/>
          <w:sz w:val="22"/>
          <w:szCs w:val="22"/>
          <w:lang w:val="tr-TR" w:eastAsia="tr-TR"/>
        </w:rPr>
        <w:t>finanse edilmesi</w:t>
      </w:r>
      <w:r w:rsidR="00186B8F">
        <w:rPr>
          <w:rFonts w:ascii="Calibri" w:hAnsi="Calibri" w:cs="Calibri"/>
          <w:color w:val="000000"/>
          <w:sz w:val="22"/>
          <w:szCs w:val="22"/>
          <w:lang w:val="tr-TR" w:eastAsia="tr-TR"/>
        </w:rPr>
        <w:t>ni</w:t>
      </w:r>
      <w:r w:rsidRPr="00EF4A91">
        <w:rPr>
          <w:rFonts w:ascii="Calibri" w:hAnsi="Calibri" w:cs="Calibri"/>
          <w:color w:val="000000"/>
          <w:sz w:val="22"/>
          <w:szCs w:val="22"/>
          <w:lang w:val="tr-TR" w:eastAsia="tr-TR"/>
        </w:rPr>
        <w:t xml:space="preserve"> </w:t>
      </w:r>
      <w:r w:rsidR="00270D13">
        <w:rPr>
          <w:rFonts w:ascii="Calibri" w:hAnsi="Calibri" w:cs="Calibri"/>
          <w:color w:val="000000"/>
          <w:sz w:val="22"/>
          <w:szCs w:val="22"/>
          <w:lang w:val="tr-TR" w:eastAsia="tr-TR"/>
        </w:rPr>
        <w:t xml:space="preserve">kesinlikle </w:t>
      </w:r>
      <w:r w:rsidRPr="00EF4A91">
        <w:rPr>
          <w:rFonts w:ascii="Calibri" w:hAnsi="Calibri" w:cs="Calibri"/>
          <w:color w:val="000000"/>
          <w:sz w:val="22"/>
          <w:szCs w:val="22"/>
          <w:lang w:val="tr-TR" w:eastAsia="tr-TR"/>
        </w:rPr>
        <w:t>zorlaş</w:t>
      </w:r>
      <w:r w:rsidR="00186B8F">
        <w:rPr>
          <w:rFonts w:ascii="Calibri" w:hAnsi="Calibri" w:cs="Calibri"/>
          <w:color w:val="000000"/>
          <w:sz w:val="22"/>
          <w:szCs w:val="22"/>
          <w:lang w:val="tr-TR" w:eastAsia="tr-TR"/>
        </w:rPr>
        <w:t>tıracaktır</w:t>
      </w:r>
      <w:r w:rsidRPr="00EF4A91">
        <w:rPr>
          <w:rFonts w:ascii="Calibri" w:hAnsi="Calibri" w:cs="Calibri"/>
          <w:color w:val="000000"/>
          <w:sz w:val="22"/>
          <w:szCs w:val="22"/>
          <w:lang w:val="tr-TR" w:eastAsia="tr-TR"/>
        </w:rPr>
        <w:t xml:space="preserve">. </w:t>
      </w:r>
      <w:r w:rsidR="00770B68">
        <w:rPr>
          <w:rFonts w:ascii="Calibri" w:hAnsi="Calibri" w:cs="Calibri"/>
          <w:color w:val="000000"/>
          <w:sz w:val="22"/>
          <w:szCs w:val="22"/>
          <w:lang w:val="tr-TR" w:eastAsia="tr-TR"/>
        </w:rPr>
        <w:t>Rasyonel ekonomi politikaları uygulayacağını ilan eden m</w:t>
      </w:r>
      <w:r w:rsidR="00440A88">
        <w:rPr>
          <w:rFonts w:ascii="Calibri" w:hAnsi="Calibri" w:cs="Calibri"/>
          <w:color w:val="000000"/>
          <w:sz w:val="22"/>
          <w:szCs w:val="22"/>
          <w:lang w:val="tr-TR" w:eastAsia="tr-TR"/>
        </w:rPr>
        <w:t>uhalefetin iktidara gelmesi durumunda</w:t>
      </w:r>
      <w:r w:rsidR="00770B68">
        <w:rPr>
          <w:rFonts w:ascii="Calibri" w:hAnsi="Calibri" w:cs="Calibri"/>
          <w:color w:val="000000"/>
          <w:sz w:val="22"/>
          <w:szCs w:val="22"/>
          <w:lang w:val="tr-TR" w:eastAsia="tr-TR"/>
        </w:rPr>
        <w:t xml:space="preserve"> </w:t>
      </w:r>
      <w:r w:rsidR="00495B38">
        <w:rPr>
          <w:rFonts w:ascii="Calibri" w:hAnsi="Calibri" w:cs="Calibri"/>
          <w:color w:val="000000"/>
          <w:sz w:val="22"/>
          <w:szCs w:val="22"/>
          <w:lang w:val="tr-TR" w:eastAsia="tr-TR"/>
        </w:rPr>
        <w:t xml:space="preserve">ise </w:t>
      </w:r>
      <w:r w:rsidR="00770B68" w:rsidRPr="00770B68">
        <w:rPr>
          <w:rFonts w:ascii="Calibri" w:hAnsi="Calibri" w:cs="Calibri"/>
          <w:color w:val="000000"/>
          <w:sz w:val="22"/>
          <w:szCs w:val="22"/>
          <w:lang w:val="tr-TR" w:eastAsia="tr-TR"/>
        </w:rPr>
        <w:t>ilave dış borçlanmanın daha düşük maliyet ve vadeler</w:t>
      </w:r>
      <w:r w:rsidR="00495B38">
        <w:rPr>
          <w:rFonts w:ascii="Calibri" w:hAnsi="Calibri" w:cs="Calibri"/>
          <w:color w:val="000000"/>
          <w:sz w:val="22"/>
          <w:szCs w:val="22"/>
          <w:lang w:val="tr-TR" w:eastAsia="tr-TR"/>
        </w:rPr>
        <w:t>de</w:t>
      </w:r>
      <w:r w:rsidR="00770B68" w:rsidRPr="00770B68">
        <w:rPr>
          <w:rFonts w:ascii="Calibri" w:hAnsi="Calibri" w:cs="Calibri"/>
          <w:color w:val="000000"/>
          <w:sz w:val="22"/>
          <w:szCs w:val="22"/>
          <w:lang w:val="tr-TR" w:eastAsia="tr-TR"/>
        </w:rPr>
        <w:t xml:space="preserve"> sağlanması, böylece </w:t>
      </w:r>
      <w:r w:rsidR="00770B68" w:rsidRPr="00770B68">
        <w:rPr>
          <w:rFonts w:asciiTheme="minorHAnsi" w:hAnsiTheme="minorHAnsi" w:cstheme="minorHAnsi"/>
          <w:sz w:val="22"/>
          <w:szCs w:val="22"/>
          <w:lang w:val="tr-TR"/>
        </w:rPr>
        <w:t>yeniden inşa sürecini</w:t>
      </w:r>
      <w:r w:rsidR="00270D13">
        <w:rPr>
          <w:rFonts w:asciiTheme="minorHAnsi" w:hAnsiTheme="minorHAnsi" w:cstheme="minorHAnsi"/>
          <w:sz w:val="22"/>
          <w:szCs w:val="22"/>
          <w:lang w:val="tr-TR"/>
        </w:rPr>
        <w:t>n</w:t>
      </w:r>
      <w:r w:rsidR="00770B68" w:rsidRPr="00770B68">
        <w:rPr>
          <w:rFonts w:asciiTheme="minorHAnsi" w:hAnsiTheme="minorHAnsi" w:cstheme="minorHAnsi"/>
          <w:sz w:val="22"/>
          <w:szCs w:val="22"/>
          <w:lang w:val="tr-TR"/>
        </w:rPr>
        <w:t xml:space="preserve"> herhangi bir ekonomik kriz ya da darboğaz yaşanmadan tamamlanması mümkün gözükmektedir.</w:t>
      </w:r>
    </w:p>
    <w:p w14:paraId="044B49A2" w14:textId="6334C609" w:rsidR="00336E5B" w:rsidRPr="00655602" w:rsidRDefault="00336E5B" w:rsidP="00336E5B">
      <w:pPr>
        <w:spacing w:after="390"/>
        <w:rPr>
          <w:rFonts w:ascii="Calibri" w:hAnsi="Calibri" w:cs="Calibri"/>
          <w:b/>
          <w:bCs/>
          <w:color w:val="222222"/>
          <w:sz w:val="28"/>
          <w:szCs w:val="28"/>
          <w:lang w:val="tr-TR" w:eastAsia="tr-TR"/>
        </w:rPr>
      </w:pPr>
      <w:r w:rsidRPr="00655602">
        <w:rPr>
          <w:rFonts w:ascii="Calibri" w:hAnsi="Calibri" w:cs="Calibri"/>
          <w:b/>
          <w:bCs/>
          <w:color w:val="222222"/>
          <w:sz w:val="28"/>
          <w:szCs w:val="28"/>
          <w:lang w:val="tr-TR" w:eastAsia="tr-TR"/>
        </w:rPr>
        <w:t>Giriş</w:t>
      </w:r>
    </w:p>
    <w:p w14:paraId="7A9E2933" w14:textId="0E44507C" w:rsidR="00336E5B" w:rsidRPr="00655602" w:rsidRDefault="00336E5B" w:rsidP="00336E5B">
      <w:pPr>
        <w:spacing w:after="120"/>
        <w:rPr>
          <w:rFonts w:asciiTheme="minorHAnsi" w:hAnsiTheme="minorHAnsi" w:cstheme="minorHAnsi"/>
          <w:lang w:val="tr-TR"/>
        </w:rPr>
      </w:pPr>
      <w:r w:rsidRPr="00655602">
        <w:rPr>
          <w:rFonts w:asciiTheme="minorHAnsi" w:hAnsiTheme="minorHAnsi" w:cstheme="minorHAnsi"/>
          <w:lang w:val="tr-TR"/>
        </w:rPr>
        <w:t>6 Şubat 2023’</w:t>
      </w:r>
      <w:r w:rsidR="00655602">
        <w:rPr>
          <w:rFonts w:asciiTheme="minorHAnsi" w:hAnsiTheme="minorHAnsi" w:cstheme="minorHAnsi"/>
          <w:lang w:val="tr-TR"/>
        </w:rPr>
        <w:t>t</w:t>
      </w:r>
      <w:r w:rsidRPr="00655602">
        <w:rPr>
          <w:rFonts w:asciiTheme="minorHAnsi" w:hAnsiTheme="minorHAnsi" w:cstheme="minorHAnsi"/>
          <w:lang w:val="tr-TR"/>
        </w:rPr>
        <w:t xml:space="preserve">e arka arkaya meydana gelen Kahramanmaraş merkezli 7.7 ve </w:t>
      </w:r>
      <w:proofErr w:type="gramStart"/>
      <w:r w:rsidRPr="00655602">
        <w:rPr>
          <w:rFonts w:asciiTheme="minorHAnsi" w:hAnsiTheme="minorHAnsi" w:cstheme="minorHAnsi"/>
          <w:lang w:val="tr-TR"/>
        </w:rPr>
        <w:t>7.6</w:t>
      </w:r>
      <w:proofErr w:type="gramEnd"/>
      <w:r w:rsidRPr="00655602">
        <w:rPr>
          <w:rFonts w:asciiTheme="minorHAnsi" w:hAnsiTheme="minorHAnsi" w:cstheme="minorHAnsi"/>
          <w:lang w:val="tr-TR"/>
        </w:rPr>
        <w:t xml:space="preserve"> şiddetindeki iki depremin hali hazırda 47 binin üzerinde can kaybına yol açtığını biliyoruz. Bu rakamın enkaz kaldırma çalışmaları tamamlandığında 50 binin üzerine çıkma ihtimalinin oldukça yüksek olduğunu söyleyebiliriz. Kaybedilen canların geri getirilmesi mümkün değil. Yıkımın ve can kaybının bu kadar yüksek olmasının en önemli nedeni nüfusun yüzde 70’inin birinci derecede deprem bölgesinde yaşadığı ülkemizde depreme dayanıklı yapılar inşa etmek konusunda devlet ve toplum olarak yetersiz kaldığımızı hepimiz çok iyi biliyoruz. </w:t>
      </w:r>
    </w:p>
    <w:p w14:paraId="4C8D58D4" w14:textId="3C47417C" w:rsidR="009B6FDE" w:rsidRDefault="00336E5B" w:rsidP="009B6FDE">
      <w:pPr>
        <w:spacing w:after="390"/>
        <w:rPr>
          <w:rFonts w:ascii="Calibri" w:hAnsi="Calibri" w:cs="Calibri"/>
          <w:color w:val="222222"/>
          <w:lang w:val="tr-TR" w:eastAsia="tr-TR"/>
        </w:rPr>
      </w:pPr>
      <w:r w:rsidRPr="00655602">
        <w:rPr>
          <w:rFonts w:ascii="Calibri" w:hAnsi="Calibri" w:cs="Calibri"/>
          <w:color w:val="222222"/>
          <w:lang w:val="tr-TR" w:eastAsia="tr-TR"/>
        </w:rPr>
        <w:t>Can kaybının yanı sıra oluşan maddi kayıplar ve depremin ekonomik maliyeti de ne yazık ki son derece yüksek. Maddi hasarın boyutları, yeniden inşanın ekonomik maliyetinin mertebesi halen tam tespit edilebilmiş değil. Bu araştırma notunda açıklanmış verileri kullanarak ve eksik bilgileri kimi makul varsay</w:t>
      </w:r>
      <w:r w:rsidR="00655602" w:rsidRPr="00655602">
        <w:rPr>
          <w:rFonts w:ascii="Calibri" w:hAnsi="Calibri" w:cs="Calibri"/>
          <w:color w:val="222222"/>
          <w:lang w:val="tr-TR" w:eastAsia="tr-TR"/>
        </w:rPr>
        <w:t>ım</w:t>
      </w:r>
      <w:r w:rsidRPr="00655602">
        <w:rPr>
          <w:rFonts w:ascii="Calibri" w:hAnsi="Calibri" w:cs="Calibri"/>
          <w:color w:val="222222"/>
          <w:lang w:val="tr-TR" w:eastAsia="tr-TR"/>
        </w:rPr>
        <w:t>larla tam</w:t>
      </w:r>
      <w:r w:rsidR="00655602" w:rsidRPr="00655602">
        <w:rPr>
          <w:rFonts w:ascii="Calibri" w:hAnsi="Calibri" w:cs="Calibri"/>
          <w:color w:val="222222"/>
          <w:lang w:val="tr-TR" w:eastAsia="tr-TR"/>
        </w:rPr>
        <w:t>am</w:t>
      </w:r>
      <w:r w:rsidRPr="00655602">
        <w:rPr>
          <w:rFonts w:ascii="Calibri" w:hAnsi="Calibri" w:cs="Calibri"/>
          <w:color w:val="222222"/>
          <w:lang w:val="tr-TR" w:eastAsia="tr-TR"/>
        </w:rPr>
        <w:t xml:space="preserve">layarak öncelikle hasarın boyutlarına ve </w:t>
      </w:r>
      <w:r w:rsidRPr="00655602">
        <w:rPr>
          <w:rFonts w:ascii="Calibri" w:hAnsi="Calibri" w:cs="Calibri"/>
          <w:color w:val="222222"/>
          <w:lang w:val="tr-TR" w:eastAsia="tr-TR"/>
        </w:rPr>
        <w:lastRenderedPageBreak/>
        <w:t>yeniden inşanın maliyetine dair tahminlerimizi paylaşıyoruz. Ardından maliyetin ne kadarının kamunun ne kadarının özel kesimin sırtına yükleneceğine dair yaptığımız hesapları sunuyoruz. Son olarak da kamunun üs</w:t>
      </w:r>
      <w:r w:rsidR="00655602" w:rsidRPr="00655602">
        <w:rPr>
          <w:rFonts w:ascii="Calibri" w:hAnsi="Calibri" w:cs="Calibri"/>
          <w:color w:val="222222"/>
          <w:lang w:val="tr-TR" w:eastAsia="tr-TR"/>
        </w:rPr>
        <w:t>t</w:t>
      </w:r>
      <w:r w:rsidRPr="00655602">
        <w:rPr>
          <w:rFonts w:ascii="Calibri" w:hAnsi="Calibri" w:cs="Calibri"/>
          <w:color w:val="222222"/>
          <w:lang w:val="tr-TR" w:eastAsia="tr-TR"/>
        </w:rPr>
        <w:t>lenmek durumunda olduğu maliyetin finansmanın ne ölçüde sağlanabileceğini sorguluyor ve bu bağlamda ekonomi politikalarının önemini tartışmaya açıyoruz. Bu yıkıcı depremin ekonominin büyüme potansiyeli üzerindeki olası olumsuz etkilerini en aza indirgeyecek şekilde ulusal ve uluslararası finansman kaynaklarını harekete geçirmenin hayati bir öneme sahip olduğunu da özellikle vurgulamak isteriz.</w:t>
      </w:r>
      <w:r w:rsidRPr="00336E5B">
        <w:rPr>
          <w:rFonts w:ascii="Calibri" w:hAnsi="Calibri" w:cs="Calibri"/>
          <w:color w:val="222222"/>
          <w:lang w:val="tr-TR" w:eastAsia="tr-TR"/>
        </w:rPr>
        <w:t xml:space="preserve"> </w:t>
      </w:r>
    </w:p>
    <w:p w14:paraId="49900860" w14:textId="6D931655" w:rsidR="00765F26" w:rsidRPr="009B6FDE" w:rsidRDefault="00336E5B" w:rsidP="009B6FDE">
      <w:pPr>
        <w:spacing w:after="390"/>
        <w:rPr>
          <w:rFonts w:ascii="Calibri" w:hAnsi="Calibri" w:cs="Calibri"/>
          <w:color w:val="222222"/>
          <w:lang w:val="tr-TR" w:eastAsia="tr-TR"/>
        </w:rPr>
      </w:pPr>
      <w:r w:rsidRPr="00336E5B">
        <w:rPr>
          <w:rFonts w:ascii="Calibri" w:hAnsi="Calibri" w:cs="Calibri"/>
          <w:b/>
          <w:bCs/>
          <w:sz w:val="28"/>
          <w:szCs w:val="28"/>
          <w:lang w:val="tr-TR" w:eastAsia="tr-TR"/>
        </w:rPr>
        <w:t xml:space="preserve">Hasar </w:t>
      </w:r>
      <w:r w:rsidR="00655602">
        <w:rPr>
          <w:rFonts w:ascii="Calibri" w:hAnsi="Calibri" w:cs="Calibri"/>
          <w:b/>
          <w:bCs/>
          <w:sz w:val="28"/>
          <w:szCs w:val="28"/>
          <w:lang w:val="tr-TR" w:eastAsia="tr-TR"/>
        </w:rPr>
        <w:t>T</w:t>
      </w:r>
      <w:r w:rsidRPr="00336E5B">
        <w:rPr>
          <w:rFonts w:ascii="Calibri" w:hAnsi="Calibri" w:cs="Calibri"/>
          <w:b/>
          <w:bCs/>
          <w:sz w:val="28"/>
          <w:szCs w:val="28"/>
          <w:lang w:val="tr-TR" w:eastAsia="tr-TR"/>
        </w:rPr>
        <w:t>espiti</w:t>
      </w:r>
    </w:p>
    <w:p w14:paraId="0A2A82E0" w14:textId="099A22B5" w:rsidR="004D0D6D" w:rsidRDefault="004D0D6D" w:rsidP="004D0D6D">
      <w:pPr>
        <w:spacing w:after="120"/>
        <w:rPr>
          <w:rFonts w:asciiTheme="minorHAnsi" w:hAnsiTheme="minorHAnsi" w:cstheme="minorHAnsi"/>
          <w:lang w:val="tr-TR"/>
        </w:rPr>
      </w:pPr>
      <w:r>
        <w:rPr>
          <w:rFonts w:asciiTheme="minorHAnsi" w:hAnsiTheme="minorHAnsi" w:cstheme="minorHAnsi"/>
          <w:lang w:val="tr-TR"/>
        </w:rPr>
        <w:t xml:space="preserve">Depremin ardından Çevre Şehircilik ve İklim Değişikliği </w:t>
      </w:r>
      <w:r w:rsidRPr="00336E5B">
        <w:rPr>
          <w:rFonts w:asciiTheme="minorHAnsi" w:hAnsiTheme="minorHAnsi" w:cstheme="minorHAnsi"/>
          <w:lang w:val="tr-TR"/>
        </w:rPr>
        <w:t>Bakanlığı</w:t>
      </w:r>
      <w:r>
        <w:rPr>
          <w:rFonts w:asciiTheme="minorHAnsi" w:hAnsiTheme="minorHAnsi" w:cstheme="minorHAnsi"/>
          <w:lang w:val="tr-TR"/>
        </w:rPr>
        <w:t xml:space="preserve"> (ÇŞİDB) bölgedeki yapı stokundaki hasarı tespit çalışmalarına başladı ve hasar tespit çalışmalarıyla ilgili bilgileri Bakan Murat Kurum basın toplantıları ve bakanlığın web sitesi aracılığıyla kamuoyuyla paylaştı.  Bakanlık tarafından en son 9 Mart’ta paylaşılan </w:t>
      </w:r>
      <w:r w:rsidRPr="00336E5B">
        <w:rPr>
          <w:rFonts w:asciiTheme="minorHAnsi" w:hAnsiTheme="minorHAnsi" w:cstheme="minorHAnsi"/>
          <w:lang w:val="tr-TR"/>
        </w:rPr>
        <w:t>verileri dikkate alarak yıkılan ve hasarlı bina sayılarının nihai durumunun aşağıda Tablo 1’de sunulan rakamlara yakın olacağını düşünüyoruz.</w:t>
      </w:r>
      <w:r>
        <w:rPr>
          <w:rStyle w:val="DipnotBavurusu"/>
          <w:rFonts w:asciiTheme="minorHAnsi" w:hAnsiTheme="minorHAnsi" w:cstheme="minorHAnsi"/>
          <w:lang w:val="tr-TR"/>
        </w:rPr>
        <w:footnoteReference w:id="2"/>
      </w:r>
      <w:r w:rsidRPr="00336E5B">
        <w:rPr>
          <w:rFonts w:asciiTheme="minorHAnsi" w:hAnsiTheme="minorHAnsi" w:cstheme="minorHAnsi"/>
          <w:lang w:val="tr-TR"/>
        </w:rPr>
        <w:t xml:space="preserve"> </w:t>
      </w:r>
    </w:p>
    <w:p w14:paraId="18341D1F" w14:textId="77777777" w:rsidR="00FF11C2" w:rsidRPr="00336E5B" w:rsidRDefault="00FF11C2" w:rsidP="00FF11C2">
      <w:pPr>
        <w:spacing w:after="120"/>
        <w:rPr>
          <w:rFonts w:asciiTheme="minorHAnsi" w:hAnsiTheme="minorHAnsi" w:cstheme="minorHAnsi"/>
          <w:lang w:val="tr-TR"/>
        </w:rPr>
      </w:pPr>
    </w:p>
    <w:p w14:paraId="224DEBEE" w14:textId="77777777" w:rsidR="00FF11C2" w:rsidRPr="00336E5B" w:rsidRDefault="00FF11C2" w:rsidP="00FF11C2">
      <w:pPr>
        <w:jc w:val="center"/>
        <w:rPr>
          <w:rFonts w:asciiTheme="minorHAnsi" w:hAnsiTheme="minorHAnsi" w:cstheme="minorHAnsi"/>
          <w:b/>
          <w:bCs/>
          <w:lang w:val="tr-TR"/>
        </w:rPr>
      </w:pPr>
      <w:r w:rsidRPr="00336E5B">
        <w:rPr>
          <w:rFonts w:asciiTheme="minorHAnsi" w:hAnsiTheme="minorHAnsi" w:cstheme="minorHAnsi"/>
          <w:b/>
          <w:bCs/>
          <w:lang w:val="tr-TR"/>
        </w:rPr>
        <w:t>Tablo 1. Bölgedeki Yapı Stokunun Hasar Durumu</w:t>
      </w:r>
    </w:p>
    <w:tbl>
      <w:tblPr>
        <w:tblW w:w="8646" w:type="dxa"/>
        <w:tblInd w:w="284" w:type="dxa"/>
        <w:tblLayout w:type="fixed"/>
        <w:tblLook w:val="04A0" w:firstRow="1" w:lastRow="0" w:firstColumn="1" w:lastColumn="0" w:noHBand="0" w:noVBand="1"/>
      </w:tblPr>
      <w:tblGrid>
        <w:gridCol w:w="1516"/>
        <w:gridCol w:w="1602"/>
        <w:gridCol w:w="1134"/>
        <w:gridCol w:w="1417"/>
        <w:gridCol w:w="1838"/>
        <w:gridCol w:w="1139"/>
      </w:tblGrid>
      <w:tr w:rsidR="00FF11C2" w:rsidRPr="00336E5B" w14:paraId="36D0E274" w14:textId="77777777" w:rsidTr="00653CD4">
        <w:trPr>
          <w:trHeight w:val="284"/>
        </w:trPr>
        <w:tc>
          <w:tcPr>
            <w:tcW w:w="1516" w:type="dxa"/>
            <w:tcBorders>
              <w:top w:val="double" w:sz="4" w:space="0" w:color="000000"/>
            </w:tcBorders>
            <w:shd w:val="clear" w:color="auto" w:fill="auto"/>
            <w:vAlign w:val="bottom"/>
          </w:tcPr>
          <w:p w14:paraId="2260CFBF" w14:textId="77777777" w:rsidR="00FF11C2" w:rsidRPr="008C33D5" w:rsidRDefault="00FF11C2" w:rsidP="00653CD4">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 xml:space="preserve">Yıkık, Acil </w:t>
            </w:r>
          </w:p>
        </w:tc>
        <w:tc>
          <w:tcPr>
            <w:tcW w:w="1602" w:type="dxa"/>
            <w:tcBorders>
              <w:top w:val="double" w:sz="4" w:space="0" w:color="000000"/>
            </w:tcBorders>
            <w:shd w:val="clear" w:color="auto" w:fill="auto"/>
            <w:vAlign w:val="bottom"/>
          </w:tcPr>
          <w:p w14:paraId="770E9465"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Bina</w:t>
            </w:r>
          </w:p>
        </w:tc>
        <w:tc>
          <w:tcPr>
            <w:tcW w:w="1134" w:type="dxa"/>
            <w:tcBorders>
              <w:top w:val="double" w:sz="4" w:space="0" w:color="000000"/>
            </w:tcBorders>
            <w:shd w:val="clear" w:color="auto" w:fill="auto"/>
            <w:vAlign w:val="bottom"/>
          </w:tcPr>
          <w:p w14:paraId="055FE7DF" w14:textId="77777777" w:rsidR="00FF11C2" w:rsidRPr="008C33D5" w:rsidRDefault="00FF11C2" w:rsidP="00653CD4">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259.122</w:t>
            </w:r>
          </w:p>
        </w:tc>
        <w:tc>
          <w:tcPr>
            <w:tcW w:w="1417" w:type="dxa"/>
            <w:tcBorders>
              <w:top w:val="double" w:sz="4" w:space="0" w:color="000000"/>
            </w:tcBorders>
            <w:shd w:val="clear" w:color="auto" w:fill="auto"/>
            <w:vAlign w:val="bottom"/>
          </w:tcPr>
          <w:p w14:paraId="4B4F0F2F" w14:textId="77777777" w:rsidR="00FF11C2" w:rsidRPr="008C33D5" w:rsidRDefault="00FF11C2" w:rsidP="00653CD4">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Az Hasarlı</w:t>
            </w:r>
          </w:p>
        </w:tc>
        <w:tc>
          <w:tcPr>
            <w:tcW w:w="1838" w:type="dxa"/>
            <w:tcBorders>
              <w:top w:val="double" w:sz="4" w:space="0" w:color="000000"/>
            </w:tcBorders>
            <w:vAlign w:val="bottom"/>
          </w:tcPr>
          <w:p w14:paraId="33064841"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Bina</w:t>
            </w:r>
          </w:p>
        </w:tc>
        <w:tc>
          <w:tcPr>
            <w:tcW w:w="1139" w:type="dxa"/>
            <w:tcBorders>
              <w:top w:val="double" w:sz="4" w:space="0" w:color="000000"/>
            </w:tcBorders>
            <w:shd w:val="clear" w:color="auto" w:fill="auto"/>
            <w:vAlign w:val="bottom"/>
          </w:tcPr>
          <w:p w14:paraId="130EB8B6"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rPr>
              <w:t>454.815</w:t>
            </w:r>
          </w:p>
        </w:tc>
      </w:tr>
      <w:tr w:rsidR="00FF11C2" w:rsidRPr="00336E5B" w14:paraId="66892271" w14:textId="77777777" w:rsidTr="00653CD4">
        <w:trPr>
          <w:trHeight w:val="284"/>
        </w:trPr>
        <w:tc>
          <w:tcPr>
            <w:tcW w:w="1516" w:type="dxa"/>
            <w:shd w:val="clear" w:color="auto" w:fill="auto"/>
            <w:vAlign w:val="bottom"/>
          </w:tcPr>
          <w:p w14:paraId="068C48CC" w14:textId="77777777" w:rsidR="00FF11C2" w:rsidRPr="008C33D5" w:rsidRDefault="00FF11C2" w:rsidP="00653CD4">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 xml:space="preserve"> Yıkılacak, </w:t>
            </w:r>
          </w:p>
        </w:tc>
        <w:tc>
          <w:tcPr>
            <w:tcW w:w="1602" w:type="dxa"/>
            <w:shd w:val="clear" w:color="auto" w:fill="auto"/>
            <w:vAlign w:val="bottom"/>
          </w:tcPr>
          <w:p w14:paraId="4ED1669E"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BB</w:t>
            </w:r>
          </w:p>
        </w:tc>
        <w:tc>
          <w:tcPr>
            <w:tcW w:w="1134" w:type="dxa"/>
            <w:shd w:val="clear" w:color="auto" w:fill="auto"/>
            <w:vAlign w:val="bottom"/>
          </w:tcPr>
          <w:p w14:paraId="525A9131" w14:textId="77777777" w:rsidR="00FF11C2" w:rsidRPr="008C33D5" w:rsidRDefault="00FF11C2" w:rsidP="00653CD4">
            <w:pPr>
              <w:widowControl w:val="0"/>
              <w:jc w:val="right"/>
              <w:rPr>
                <w:rFonts w:asciiTheme="minorHAnsi" w:hAnsiTheme="minorHAnsi" w:cstheme="minorHAnsi"/>
                <w:b/>
                <w:bCs/>
                <w:color w:val="000000" w:themeColor="text1"/>
                <w:sz w:val="22"/>
                <w:szCs w:val="22"/>
                <w:lang w:val="tr-TR"/>
              </w:rPr>
            </w:pPr>
            <w:r w:rsidRPr="008C33D5">
              <w:rPr>
                <w:rFonts w:asciiTheme="minorHAnsi" w:hAnsiTheme="minorHAnsi" w:cstheme="minorHAnsi"/>
                <w:b/>
                <w:bCs/>
                <w:color w:val="000000" w:themeColor="text1"/>
                <w:sz w:val="22"/>
                <w:szCs w:val="22"/>
                <w:lang w:val="tr-TR"/>
              </w:rPr>
              <w:t xml:space="preserve"> 701.666</w:t>
            </w:r>
          </w:p>
        </w:tc>
        <w:tc>
          <w:tcPr>
            <w:tcW w:w="1417" w:type="dxa"/>
            <w:shd w:val="clear" w:color="auto" w:fill="auto"/>
            <w:vAlign w:val="bottom"/>
          </w:tcPr>
          <w:p w14:paraId="7780DDD0"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25CA6CAD"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BB</w:t>
            </w:r>
          </w:p>
        </w:tc>
        <w:tc>
          <w:tcPr>
            <w:tcW w:w="1139" w:type="dxa"/>
            <w:shd w:val="clear" w:color="auto" w:fill="auto"/>
            <w:vAlign w:val="bottom"/>
          </w:tcPr>
          <w:p w14:paraId="61B7E2EA" w14:textId="77777777" w:rsidR="00FF11C2" w:rsidRPr="008C33D5" w:rsidRDefault="00FF11C2" w:rsidP="00653CD4">
            <w:pPr>
              <w:widowControl w:val="0"/>
              <w:jc w:val="right"/>
              <w:rPr>
                <w:rFonts w:asciiTheme="minorHAnsi" w:hAnsiTheme="minorHAnsi" w:cstheme="minorHAnsi"/>
                <w:color w:val="000000" w:themeColor="text1"/>
                <w:sz w:val="22"/>
                <w:szCs w:val="22"/>
                <w:lang w:val="tr-TR"/>
              </w:rPr>
            </w:pPr>
            <w:r w:rsidRPr="008C33D5">
              <w:rPr>
                <w:rFonts w:asciiTheme="minorHAnsi" w:hAnsiTheme="minorHAnsi" w:cstheme="minorHAnsi"/>
                <w:b/>
                <w:bCs/>
                <w:color w:val="000000" w:themeColor="text1"/>
                <w:sz w:val="22"/>
                <w:szCs w:val="22"/>
              </w:rPr>
              <w:t>1.611.403</w:t>
            </w:r>
          </w:p>
        </w:tc>
      </w:tr>
      <w:tr w:rsidR="00FF11C2" w:rsidRPr="00336E5B" w14:paraId="2994D90D" w14:textId="77777777" w:rsidTr="00653CD4">
        <w:trPr>
          <w:trHeight w:val="284"/>
        </w:trPr>
        <w:tc>
          <w:tcPr>
            <w:tcW w:w="1516" w:type="dxa"/>
            <w:shd w:val="clear" w:color="auto" w:fill="auto"/>
            <w:vAlign w:val="bottom"/>
          </w:tcPr>
          <w:p w14:paraId="35FB376C"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 xml:space="preserve"> Ağır Hasarlı</w:t>
            </w:r>
          </w:p>
        </w:tc>
        <w:tc>
          <w:tcPr>
            <w:tcW w:w="1602" w:type="dxa"/>
            <w:shd w:val="clear" w:color="auto" w:fill="auto"/>
            <w:vAlign w:val="bottom"/>
          </w:tcPr>
          <w:p w14:paraId="0189F312"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Bina</w:t>
            </w:r>
          </w:p>
        </w:tc>
        <w:tc>
          <w:tcPr>
            <w:tcW w:w="1134" w:type="dxa"/>
            <w:shd w:val="clear" w:color="auto" w:fill="auto"/>
            <w:vAlign w:val="bottom"/>
          </w:tcPr>
          <w:p w14:paraId="243E9BEF"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6.000</w:t>
            </w:r>
          </w:p>
        </w:tc>
        <w:tc>
          <w:tcPr>
            <w:tcW w:w="1417" w:type="dxa"/>
            <w:shd w:val="clear" w:color="auto" w:fill="auto"/>
            <w:vAlign w:val="bottom"/>
          </w:tcPr>
          <w:p w14:paraId="10F0E19E"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040C1573"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Bina</w:t>
            </w:r>
          </w:p>
        </w:tc>
        <w:tc>
          <w:tcPr>
            <w:tcW w:w="1139" w:type="dxa"/>
            <w:shd w:val="clear" w:color="auto" w:fill="auto"/>
            <w:vAlign w:val="bottom"/>
          </w:tcPr>
          <w:p w14:paraId="5E9F8A98"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10.000</w:t>
            </w:r>
          </w:p>
        </w:tc>
      </w:tr>
      <w:tr w:rsidR="00FF11C2" w:rsidRPr="00336E5B" w14:paraId="25D8EFA6" w14:textId="77777777" w:rsidTr="00653CD4">
        <w:trPr>
          <w:trHeight w:val="284"/>
        </w:trPr>
        <w:tc>
          <w:tcPr>
            <w:tcW w:w="1516" w:type="dxa"/>
            <w:shd w:val="clear" w:color="auto" w:fill="auto"/>
            <w:vAlign w:val="bottom"/>
          </w:tcPr>
          <w:p w14:paraId="4E579233" w14:textId="77777777" w:rsidR="00FF11C2" w:rsidRPr="008C33D5" w:rsidRDefault="00FF11C2" w:rsidP="00653CD4">
            <w:pPr>
              <w:widowControl w:val="0"/>
              <w:rPr>
                <w:rFonts w:asciiTheme="minorHAnsi" w:hAnsiTheme="minorHAnsi" w:cstheme="minorHAnsi"/>
                <w:color w:val="000000"/>
                <w:sz w:val="22"/>
                <w:szCs w:val="22"/>
                <w:lang w:val="tr-TR"/>
              </w:rPr>
            </w:pPr>
          </w:p>
        </w:tc>
        <w:tc>
          <w:tcPr>
            <w:tcW w:w="1602" w:type="dxa"/>
            <w:shd w:val="clear" w:color="auto" w:fill="auto"/>
            <w:vAlign w:val="bottom"/>
          </w:tcPr>
          <w:p w14:paraId="10909D80"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BB</w:t>
            </w:r>
          </w:p>
        </w:tc>
        <w:tc>
          <w:tcPr>
            <w:tcW w:w="1134" w:type="dxa"/>
            <w:shd w:val="clear" w:color="auto" w:fill="auto"/>
            <w:vAlign w:val="bottom"/>
          </w:tcPr>
          <w:p w14:paraId="16F6EB5A"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105.250</w:t>
            </w:r>
          </w:p>
        </w:tc>
        <w:tc>
          <w:tcPr>
            <w:tcW w:w="1417" w:type="dxa"/>
            <w:shd w:val="clear" w:color="auto" w:fill="auto"/>
            <w:vAlign w:val="bottom"/>
          </w:tcPr>
          <w:p w14:paraId="19AFA9D9"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0313AE9F"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BB</w:t>
            </w:r>
          </w:p>
        </w:tc>
        <w:tc>
          <w:tcPr>
            <w:tcW w:w="1139" w:type="dxa"/>
            <w:shd w:val="clear" w:color="auto" w:fill="auto"/>
            <w:vAlign w:val="bottom"/>
          </w:tcPr>
          <w:p w14:paraId="251EB380" w14:textId="77777777" w:rsidR="00FF11C2" w:rsidRPr="008C33D5" w:rsidRDefault="00FF11C2" w:rsidP="00653CD4">
            <w:pPr>
              <w:widowControl w:val="0"/>
              <w:jc w:val="right"/>
              <w:rPr>
                <w:rFonts w:asciiTheme="minorHAnsi" w:hAnsiTheme="minorHAnsi" w:cstheme="minorHAnsi"/>
                <w:sz w:val="22"/>
                <w:szCs w:val="22"/>
                <w:lang w:val="tr-TR"/>
              </w:rPr>
            </w:pPr>
            <w:r w:rsidRPr="008C33D5">
              <w:rPr>
                <w:rFonts w:asciiTheme="minorHAnsi" w:hAnsiTheme="minorHAnsi" w:cstheme="minorHAnsi"/>
                <w:color w:val="000000"/>
                <w:sz w:val="22"/>
                <w:szCs w:val="22"/>
              </w:rPr>
              <w:t>263.939</w:t>
            </w:r>
          </w:p>
        </w:tc>
      </w:tr>
      <w:tr w:rsidR="00FF11C2" w:rsidRPr="00336E5B" w14:paraId="1DF5FD7E" w14:textId="77777777" w:rsidTr="00653CD4">
        <w:trPr>
          <w:trHeight w:val="284"/>
        </w:trPr>
        <w:tc>
          <w:tcPr>
            <w:tcW w:w="1516" w:type="dxa"/>
            <w:shd w:val="clear" w:color="auto" w:fill="auto"/>
            <w:vAlign w:val="bottom"/>
          </w:tcPr>
          <w:p w14:paraId="0E6E7BFD" w14:textId="77777777" w:rsidR="00FF11C2" w:rsidRPr="008C33D5" w:rsidRDefault="00FF11C2" w:rsidP="00653CD4">
            <w:pPr>
              <w:widowControl w:val="0"/>
              <w:rPr>
                <w:rFonts w:asciiTheme="minorHAnsi" w:hAnsiTheme="minorHAnsi" w:cstheme="minorHAnsi"/>
                <w:sz w:val="22"/>
                <w:szCs w:val="22"/>
                <w:lang w:val="tr-TR"/>
              </w:rPr>
            </w:pPr>
          </w:p>
        </w:tc>
        <w:tc>
          <w:tcPr>
            <w:tcW w:w="1602" w:type="dxa"/>
            <w:shd w:val="clear" w:color="auto" w:fill="auto"/>
            <w:vAlign w:val="bottom"/>
          </w:tcPr>
          <w:p w14:paraId="3F9753BB"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Konut BB</w:t>
            </w:r>
          </w:p>
        </w:tc>
        <w:tc>
          <w:tcPr>
            <w:tcW w:w="1134" w:type="dxa"/>
            <w:shd w:val="clear" w:color="auto" w:fill="auto"/>
            <w:vAlign w:val="bottom"/>
          </w:tcPr>
          <w:p w14:paraId="2B73F6F7"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596.416</w:t>
            </w:r>
          </w:p>
        </w:tc>
        <w:tc>
          <w:tcPr>
            <w:tcW w:w="1417" w:type="dxa"/>
            <w:shd w:val="clear" w:color="auto" w:fill="auto"/>
            <w:vAlign w:val="bottom"/>
          </w:tcPr>
          <w:p w14:paraId="1AD626E4" w14:textId="77777777" w:rsidR="00FF11C2" w:rsidRPr="008C33D5" w:rsidRDefault="00FF11C2" w:rsidP="00653CD4">
            <w:pPr>
              <w:widowControl w:val="0"/>
              <w:rPr>
                <w:rFonts w:asciiTheme="minorHAnsi" w:hAnsiTheme="minorHAnsi" w:cstheme="minorHAnsi"/>
                <w:b/>
                <w:bCs/>
                <w:color w:val="000000"/>
                <w:sz w:val="22"/>
                <w:szCs w:val="22"/>
                <w:lang w:val="tr-TR"/>
              </w:rPr>
            </w:pPr>
          </w:p>
        </w:tc>
        <w:tc>
          <w:tcPr>
            <w:tcW w:w="1838" w:type="dxa"/>
            <w:vAlign w:val="bottom"/>
          </w:tcPr>
          <w:p w14:paraId="249EC568"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Konut BB</w:t>
            </w:r>
          </w:p>
        </w:tc>
        <w:tc>
          <w:tcPr>
            <w:tcW w:w="1139" w:type="dxa"/>
            <w:shd w:val="clear" w:color="auto" w:fill="auto"/>
            <w:vAlign w:val="bottom"/>
          </w:tcPr>
          <w:p w14:paraId="7A07F2AE"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1.337.465</w:t>
            </w:r>
          </w:p>
        </w:tc>
      </w:tr>
      <w:tr w:rsidR="00FF11C2" w:rsidRPr="00336E5B" w14:paraId="23C6A619" w14:textId="77777777" w:rsidTr="00653CD4">
        <w:trPr>
          <w:trHeight w:val="284"/>
        </w:trPr>
        <w:tc>
          <w:tcPr>
            <w:tcW w:w="1516" w:type="dxa"/>
            <w:tcBorders>
              <w:top w:val="single" w:sz="4" w:space="0" w:color="auto"/>
            </w:tcBorders>
            <w:shd w:val="clear" w:color="auto" w:fill="auto"/>
            <w:vAlign w:val="bottom"/>
          </w:tcPr>
          <w:p w14:paraId="010A7D0E" w14:textId="77777777" w:rsidR="00FF11C2" w:rsidRPr="008C33D5" w:rsidRDefault="00FF11C2" w:rsidP="00653CD4">
            <w:pPr>
              <w:widowControl w:val="0"/>
              <w:rPr>
                <w:rFonts w:asciiTheme="minorHAnsi" w:hAnsiTheme="minorHAnsi" w:cstheme="minorHAnsi"/>
                <w:sz w:val="22"/>
                <w:szCs w:val="22"/>
                <w:lang w:val="tr-TR"/>
              </w:rPr>
            </w:pPr>
            <w:r w:rsidRPr="008C33D5">
              <w:rPr>
                <w:rFonts w:asciiTheme="minorHAnsi" w:hAnsiTheme="minorHAnsi" w:cstheme="minorHAnsi"/>
                <w:b/>
                <w:bCs/>
                <w:color w:val="000000"/>
                <w:sz w:val="22"/>
                <w:szCs w:val="22"/>
                <w:lang w:val="tr-TR"/>
              </w:rPr>
              <w:t>Orta Hasarlı</w:t>
            </w:r>
          </w:p>
        </w:tc>
        <w:tc>
          <w:tcPr>
            <w:tcW w:w="1602" w:type="dxa"/>
            <w:tcBorders>
              <w:top w:val="single" w:sz="4" w:space="0" w:color="auto"/>
            </w:tcBorders>
            <w:shd w:val="clear" w:color="auto" w:fill="auto"/>
            <w:vAlign w:val="bottom"/>
          </w:tcPr>
          <w:p w14:paraId="0A6C30FF"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Bina</w:t>
            </w:r>
          </w:p>
        </w:tc>
        <w:tc>
          <w:tcPr>
            <w:tcW w:w="1134" w:type="dxa"/>
            <w:tcBorders>
              <w:top w:val="single" w:sz="4" w:space="0" w:color="auto"/>
            </w:tcBorders>
            <w:shd w:val="clear" w:color="auto" w:fill="auto"/>
            <w:vAlign w:val="bottom"/>
          </w:tcPr>
          <w:p w14:paraId="73A04EDF"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rPr>
              <w:t>43.438</w:t>
            </w:r>
          </w:p>
        </w:tc>
        <w:tc>
          <w:tcPr>
            <w:tcW w:w="1417" w:type="dxa"/>
            <w:tcBorders>
              <w:top w:val="single" w:sz="4" w:space="0" w:color="auto"/>
            </w:tcBorders>
            <w:shd w:val="clear" w:color="auto" w:fill="auto"/>
            <w:vAlign w:val="bottom"/>
          </w:tcPr>
          <w:p w14:paraId="67FEBB1B" w14:textId="77777777" w:rsidR="00FF11C2" w:rsidRPr="008C33D5" w:rsidRDefault="00FF11C2" w:rsidP="00653CD4">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Hasarsız</w:t>
            </w:r>
          </w:p>
        </w:tc>
        <w:tc>
          <w:tcPr>
            <w:tcW w:w="1838" w:type="dxa"/>
            <w:tcBorders>
              <w:top w:val="single" w:sz="4" w:space="0" w:color="auto"/>
            </w:tcBorders>
            <w:vAlign w:val="bottom"/>
          </w:tcPr>
          <w:p w14:paraId="325CE73B"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Bina</w:t>
            </w:r>
          </w:p>
        </w:tc>
        <w:tc>
          <w:tcPr>
            <w:tcW w:w="1139" w:type="dxa"/>
            <w:tcBorders>
              <w:top w:val="single" w:sz="4" w:space="0" w:color="auto"/>
            </w:tcBorders>
            <w:shd w:val="clear" w:color="auto" w:fill="auto"/>
            <w:vAlign w:val="bottom"/>
          </w:tcPr>
          <w:p w14:paraId="311F95E8"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rPr>
              <w:t>943.720</w:t>
            </w:r>
          </w:p>
        </w:tc>
      </w:tr>
      <w:tr w:rsidR="00FF11C2" w:rsidRPr="00336E5B" w14:paraId="2B23F0EF" w14:textId="77777777" w:rsidTr="00653CD4">
        <w:trPr>
          <w:trHeight w:val="284"/>
        </w:trPr>
        <w:tc>
          <w:tcPr>
            <w:tcW w:w="1516" w:type="dxa"/>
            <w:shd w:val="clear" w:color="auto" w:fill="auto"/>
            <w:vAlign w:val="bottom"/>
          </w:tcPr>
          <w:p w14:paraId="16DEC522" w14:textId="77777777" w:rsidR="00FF11C2" w:rsidRPr="008C33D5" w:rsidRDefault="00FF11C2" w:rsidP="00653CD4">
            <w:pPr>
              <w:widowControl w:val="0"/>
              <w:rPr>
                <w:rFonts w:asciiTheme="minorHAnsi" w:hAnsiTheme="minorHAnsi" w:cstheme="minorHAnsi"/>
                <w:color w:val="000000"/>
                <w:sz w:val="22"/>
                <w:szCs w:val="22"/>
                <w:lang w:val="tr-TR"/>
              </w:rPr>
            </w:pPr>
          </w:p>
        </w:tc>
        <w:tc>
          <w:tcPr>
            <w:tcW w:w="1602" w:type="dxa"/>
            <w:shd w:val="clear" w:color="auto" w:fill="auto"/>
            <w:vAlign w:val="bottom"/>
          </w:tcPr>
          <w:p w14:paraId="7B3D57BB"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BB</w:t>
            </w:r>
          </w:p>
        </w:tc>
        <w:tc>
          <w:tcPr>
            <w:tcW w:w="1134" w:type="dxa"/>
            <w:shd w:val="clear" w:color="auto" w:fill="auto"/>
            <w:vAlign w:val="bottom"/>
          </w:tcPr>
          <w:p w14:paraId="7B5B8B7A"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themeColor="text1"/>
                <w:sz w:val="22"/>
                <w:szCs w:val="22"/>
              </w:rPr>
              <w:t>163.653</w:t>
            </w:r>
          </w:p>
        </w:tc>
        <w:tc>
          <w:tcPr>
            <w:tcW w:w="1417" w:type="dxa"/>
            <w:shd w:val="clear" w:color="auto" w:fill="auto"/>
            <w:vAlign w:val="bottom"/>
          </w:tcPr>
          <w:p w14:paraId="0202D2EA"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41621DC5"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BB</w:t>
            </w:r>
          </w:p>
        </w:tc>
        <w:tc>
          <w:tcPr>
            <w:tcW w:w="1139" w:type="dxa"/>
            <w:shd w:val="clear" w:color="auto" w:fill="auto"/>
            <w:vAlign w:val="bottom"/>
          </w:tcPr>
          <w:p w14:paraId="6C1CE256" w14:textId="77777777" w:rsidR="00FF11C2" w:rsidRPr="008C33D5" w:rsidRDefault="00FF11C2" w:rsidP="00653CD4">
            <w:pPr>
              <w:widowControl w:val="0"/>
              <w:jc w:val="right"/>
              <w:rPr>
                <w:rFonts w:asciiTheme="minorHAnsi" w:hAnsiTheme="minorHAnsi" w:cstheme="minorHAnsi"/>
                <w:color w:val="000000" w:themeColor="text1"/>
                <w:sz w:val="22"/>
                <w:szCs w:val="22"/>
                <w:lang w:val="tr-TR"/>
              </w:rPr>
            </w:pPr>
            <w:r w:rsidRPr="008C33D5">
              <w:rPr>
                <w:rFonts w:asciiTheme="minorHAnsi" w:hAnsiTheme="minorHAnsi" w:cstheme="minorHAnsi"/>
                <w:b/>
                <w:bCs/>
                <w:color w:val="000000" w:themeColor="text1"/>
                <w:sz w:val="22"/>
                <w:szCs w:val="22"/>
              </w:rPr>
              <w:t>2.534.037</w:t>
            </w:r>
          </w:p>
        </w:tc>
      </w:tr>
      <w:tr w:rsidR="00FF11C2" w:rsidRPr="00336E5B" w14:paraId="02E0579A" w14:textId="77777777" w:rsidTr="00653CD4">
        <w:trPr>
          <w:trHeight w:val="284"/>
        </w:trPr>
        <w:tc>
          <w:tcPr>
            <w:tcW w:w="1516" w:type="dxa"/>
            <w:shd w:val="clear" w:color="auto" w:fill="auto"/>
            <w:vAlign w:val="bottom"/>
          </w:tcPr>
          <w:p w14:paraId="1CDEC5B0" w14:textId="77777777" w:rsidR="00FF11C2" w:rsidRPr="008C33D5" w:rsidRDefault="00FF11C2" w:rsidP="00653CD4">
            <w:pPr>
              <w:widowControl w:val="0"/>
              <w:rPr>
                <w:rFonts w:asciiTheme="minorHAnsi" w:hAnsiTheme="minorHAnsi" w:cstheme="minorHAnsi"/>
                <w:color w:val="000000"/>
                <w:sz w:val="22"/>
                <w:szCs w:val="22"/>
                <w:lang w:val="tr-TR"/>
              </w:rPr>
            </w:pPr>
          </w:p>
        </w:tc>
        <w:tc>
          <w:tcPr>
            <w:tcW w:w="1602" w:type="dxa"/>
            <w:shd w:val="clear" w:color="auto" w:fill="auto"/>
            <w:vAlign w:val="bottom"/>
          </w:tcPr>
          <w:p w14:paraId="2952A1A5"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Bina</w:t>
            </w:r>
          </w:p>
        </w:tc>
        <w:tc>
          <w:tcPr>
            <w:tcW w:w="1134" w:type="dxa"/>
            <w:shd w:val="clear" w:color="auto" w:fill="auto"/>
            <w:vAlign w:val="bottom"/>
          </w:tcPr>
          <w:p w14:paraId="620FECF7"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5.000</w:t>
            </w:r>
          </w:p>
        </w:tc>
        <w:tc>
          <w:tcPr>
            <w:tcW w:w="1417" w:type="dxa"/>
            <w:shd w:val="clear" w:color="auto" w:fill="auto"/>
            <w:vAlign w:val="bottom"/>
          </w:tcPr>
          <w:p w14:paraId="18029826"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3693AA2B"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Bina</w:t>
            </w:r>
          </w:p>
        </w:tc>
        <w:tc>
          <w:tcPr>
            <w:tcW w:w="1139" w:type="dxa"/>
            <w:shd w:val="clear" w:color="auto" w:fill="auto"/>
            <w:vAlign w:val="bottom"/>
          </w:tcPr>
          <w:p w14:paraId="59F40E95"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25.000</w:t>
            </w:r>
          </w:p>
        </w:tc>
      </w:tr>
      <w:tr w:rsidR="00FF11C2" w:rsidRPr="00336E5B" w14:paraId="443C88E2" w14:textId="77777777" w:rsidTr="00653CD4">
        <w:trPr>
          <w:trHeight w:val="284"/>
        </w:trPr>
        <w:tc>
          <w:tcPr>
            <w:tcW w:w="1516" w:type="dxa"/>
            <w:shd w:val="clear" w:color="auto" w:fill="auto"/>
            <w:vAlign w:val="bottom"/>
          </w:tcPr>
          <w:p w14:paraId="738D70E1"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602" w:type="dxa"/>
            <w:shd w:val="clear" w:color="auto" w:fill="auto"/>
            <w:vAlign w:val="bottom"/>
          </w:tcPr>
          <w:p w14:paraId="143061F4"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BB</w:t>
            </w:r>
          </w:p>
        </w:tc>
        <w:tc>
          <w:tcPr>
            <w:tcW w:w="1134" w:type="dxa"/>
            <w:shd w:val="clear" w:color="auto" w:fill="auto"/>
            <w:vAlign w:val="bottom"/>
          </w:tcPr>
          <w:p w14:paraId="1F2A7B93"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24.548</w:t>
            </w:r>
          </w:p>
        </w:tc>
        <w:tc>
          <w:tcPr>
            <w:tcW w:w="1417" w:type="dxa"/>
            <w:shd w:val="clear" w:color="auto" w:fill="auto"/>
            <w:vAlign w:val="bottom"/>
          </w:tcPr>
          <w:p w14:paraId="3BD37724"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3A8E7785"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BB</w:t>
            </w:r>
          </w:p>
        </w:tc>
        <w:tc>
          <w:tcPr>
            <w:tcW w:w="1139" w:type="dxa"/>
            <w:shd w:val="clear" w:color="auto" w:fill="auto"/>
            <w:vAlign w:val="bottom"/>
          </w:tcPr>
          <w:p w14:paraId="068C022F" w14:textId="77777777" w:rsidR="00FF11C2" w:rsidRPr="008C33D5" w:rsidRDefault="00FF11C2" w:rsidP="00653CD4">
            <w:pPr>
              <w:widowControl w:val="0"/>
              <w:jc w:val="right"/>
              <w:rPr>
                <w:rFonts w:asciiTheme="minorHAnsi" w:hAnsiTheme="minorHAnsi" w:cstheme="minorHAnsi"/>
                <w:sz w:val="22"/>
                <w:szCs w:val="22"/>
                <w:lang w:val="tr-TR"/>
              </w:rPr>
            </w:pPr>
            <w:r w:rsidRPr="008C33D5">
              <w:rPr>
                <w:rFonts w:asciiTheme="minorHAnsi" w:hAnsiTheme="minorHAnsi" w:cstheme="minorHAnsi"/>
                <w:color w:val="000000"/>
                <w:sz w:val="22"/>
                <w:szCs w:val="22"/>
              </w:rPr>
              <w:t>380.106</w:t>
            </w:r>
          </w:p>
        </w:tc>
      </w:tr>
      <w:tr w:rsidR="00FF11C2" w:rsidRPr="00336E5B" w14:paraId="62F2D535" w14:textId="77777777" w:rsidTr="00653CD4">
        <w:trPr>
          <w:trHeight w:val="284"/>
        </w:trPr>
        <w:tc>
          <w:tcPr>
            <w:tcW w:w="1516" w:type="dxa"/>
            <w:shd w:val="clear" w:color="auto" w:fill="auto"/>
            <w:vAlign w:val="bottom"/>
          </w:tcPr>
          <w:p w14:paraId="615C2EB3" w14:textId="77777777" w:rsidR="00FF11C2" w:rsidRPr="008C33D5" w:rsidRDefault="00FF11C2" w:rsidP="00653CD4">
            <w:pPr>
              <w:widowControl w:val="0"/>
              <w:rPr>
                <w:rFonts w:asciiTheme="minorHAnsi" w:hAnsiTheme="minorHAnsi" w:cstheme="minorHAnsi"/>
                <w:b/>
                <w:bCs/>
                <w:color w:val="000000"/>
                <w:sz w:val="22"/>
                <w:szCs w:val="22"/>
                <w:lang w:val="tr-TR"/>
              </w:rPr>
            </w:pPr>
          </w:p>
        </w:tc>
        <w:tc>
          <w:tcPr>
            <w:tcW w:w="1602" w:type="dxa"/>
            <w:shd w:val="clear" w:color="auto" w:fill="auto"/>
            <w:vAlign w:val="bottom"/>
          </w:tcPr>
          <w:p w14:paraId="287878BF"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Konut BB</w:t>
            </w:r>
          </w:p>
        </w:tc>
        <w:tc>
          <w:tcPr>
            <w:tcW w:w="1134" w:type="dxa"/>
            <w:shd w:val="clear" w:color="auto" w:fill="auto"/>
            <w:vAlign w:val="bottom"/>
          </w:tcPr>
          <w:p w14:paraId="30BD0A8F"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139.105</w:t>
            </w:r>
          </w:p>
        </w:tc>
        <w:tc>
          <w:tcPr>
            <w:tcW w:w="1417" w:type="dxa"/>
            <w:shd w:val="clear" w:color="auto" w:fill="auto"/>
            <w:vAlign w:val="bottom"/>
          </w:tcPr>
          <w:p w14:paraId="5F4ADB40" w14:textId="77777777" w:rsidR="00FF11C2" w:rsidRPr="008C33D5" w:rsidRDefault="00FF11C2" w:rsidP="00653CD4">
            <w:pPr>
              <w:widowControl w:val="0"/>
              <w:rPr>
                <w:rFonts w:asciiTheme="minorHAnsi" w:hAnsiTheme="minorHAnsi" w:cstheme="minorHAnsi"/>
                <w:b/>
                <w:bCs/>
                <w:color w:val="000000"/>
                <w:sz w:val="22"/>
                <w:szCs w:val="22"/>
                <w:lang w:val="tr-TR"/>
              </w:rPr>
            </w:pPr>
          </w:p>
        </w:tc>
        <w:tc>
          <w:tcPr>
            <w:tcW w:w="1838" w:type="dxa"/>
            <w:vAlign w:val="bottom"/>
          </w:tcPr>
          <w:p w14:paraId="55CA1525"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Konut BB</w:t>
            </w:r>
          </w:p>
        </w:tc>
        <w:tc>
          <w:tcPr>
            <w:tcW w:w="1139" w:type="dxa"/>
            <w:shd w:val="clear" w:color="auto" w:fill="auto"/>
            <w:vAlign w:val="bottom"/>
          </w:tcPr>
          <w:p w14:paraId="4499FFB0"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2.103.251</w:t>
            </w:r>
          </w:p>
        </w:tc>
      </w:tr>
      <w:tr w:rsidR="006141E8" w:rsidRPr="006141E8" w14:paraId="14C2B0DF" w14:textId="77777777" w:rsidTr="00653CD4">
        <w:trPr>
          <w:trHeight w:val="284"/>
        </w:trPr>
        <w:tc>
          <w:tcPr>
            <w:tcW w:w="1516" w:type="dxa"/>
            <w:tcBorders>
              <w:top w:val="single" w:sz="4" w:space="0" w:color="auto"/>
            </w:tcBorders>
            <w:shd w:val="clear" w:color="auto" w:fill="auto"/>
            <w:vAlign w:val="bottom"/>
          </w:tcPr>
          <w:p w14:paraId="18EA3D08"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 xml:space="preserve">Yıkık, Acil </w:t>
            </w:r>
          </w:p>
        </w:tc>
        <w:tc>
          <w:tcPr>
            <w:tcW w:w="1602" w:type="dxa"/>
            <w:tcBorders>
              <w:top w:val="single" w:sz="4" w:space="0" w:color="auto"/>
            </w:tcBorders>
            <w:shd w:val="clear" w:color="auto" w:fill="auto"/>
            <w:vAlign w:val="bottom"/>
          </w:tcPr>
          <w:p w14:paraId="6D340929"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Bina</w:t>
            </w:r>
          </w:p>
        </w:tc>
        <w:tc>
          <w:tcPr>
            <w:tcW w:w="1134" w:type="dxa"/>
            <w:tcBorders>
              <w:top w:val="single" w:sz="4" w:space="0" w:color="auto"/>
            </w:tcBorders>
            <w:shd w:val="clear" w:color="auto" w:fill="auto"/>
            <w:vAlign w:val="bottom"/>
          </w:tcPr>
          <w:p w14:paraId="00505F03"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rPr>
              <w:t>302.560</w:t>
            </w:r>
          </w:p>
        </w:tc>
        <w:tc>
          <w:tcPr>
            <w:tcW w:w="1417" w:type="dxa"/>
            <w:tcBorders>
              <w:top w:val="single" w:sz="4" w:space="0" w:color="auto"/>
            </w:tcBorders>
            <w:shd w:val="clear" w:color="auto" w:fill="auto"/>
            <w:vAlign w:val="bottom"/>
          </w:tcPr>
          <w:p w14:paraId="2659A5F9"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Toplam</w:t>
            </w:r>
          </w:p>
        </w:tc>
        <w:tc>
          <w:tcPr>
            <w:tcW w:w="1838" w:type="dxa"/>
            <w:tcBorders>
              <w:top w:val="single" w:sz="4" w:space="0" w:color="auto"/>
            </w:tcBorders>
            <w:vAlign w:val="bottom"/>
          </w:tcPr>
          <w:p w14:paraId="5840F78E"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Bina</w:t>
            </w:r>
          </w:p>
        </w:tc>
        <w:tc>
          <w:tcPr>
            <w:tcW w:w="1139" w:type="dxa"/>
            <w:tcBorders>
              <w:top w:val="single" w:sz="4" w:space="0" w:color="auto"/>
            </w:tcBorders>
            <w:shd w:val="clear" w:color="auto" w:fill="auto"/>
            <w:vAlign w:val="bottom"/>
          </w:tcPr>
          <w:p w14:paraId="4F65F05B" w14:textId="77777777" w:rsidR="00FF11C2" w:rsidRPr="006141E8" w:rsidRDefault="00FF11C2" w:rsidP="00653CD4">
            <w:pPr>
              <w:widowControl w:val="0"/>
              <w:jc w:val="right"/>
              <w:rPr>
                <w:rFonts w:asciiTheme="minorHAnsi" w:hAnsiTheme="minorHAnsi" w:cstheme="minorHAnsi"/>
                <w:sz w:val="22"/>
                <w:szCs w:val="22"/>
                <w:lang w:val="tr-TR"/>
              </w:rPr>
            </w:pPr>
            <w:r w:rsidRPr="006141E8">
              <w:rPr>
                <w:rFonts w:asciiTheme="minorHAnsi" w:hAnsiTheme="minorHAnsi" w:cstheme="minorHAnsi"/>
                <w:b/>
                <w:bCs/>
                <w:sz w:val="22"/>
                <w:szCs w:val="22"/>
              </w:rPr>
              <w:t>1.701.096</w:t>
            </w:r>
          </w:p>
        </w:tc>
      </w:tr>
      <w:tr w:rsidR="006141E8" w:rsidRPr="006141E8" w14:paraId="74822358" w14:textId="77777777" w:rsidTr="00653CD4">
        <w:trPr>
          <w:trHeight w:val="284"/>
        </w:trPr>
        <w:tc>
          <w:tcPr>
            <w:tcW w:w="1516" w:type="dxa"/>
            <w:shd w:val="clear" w:color="auto" w:fill="auto"/>
            <w:vAlign w:val="bottom"/>
          </w:tcPr>
          <w:p w14:paraId="0C081E60"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 xml:space="preserve"> Yıkılacak, </w:t>
            </w:r>
          </w:p>
        </w:tc>
        <w:tc>
          <w:tcPr>
            <w:tcW w:w="1602" w:type="dxa"/>
            <w:shd w:val="clear" w:color="auto" w:fill="auto"/>
            <w:vAlign w:val="bottom"/>
          </w:tcPr>
          <w:p w14:paraId="2E8207AB"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BB</w:t>
            </w:r>
          </w:p>
        </w:tc>
        <w:tc>
          <w:tcPr>
            <w:tcW w:w="1134" w:type="dxa"/>
            <w:shd w:val="clear" w:color="auto" w:fill="auto"/>
            <w:vAlign w:val="bottom"/>
          </w:tcPr>
          <w:p w14:paraId="4D6CE6D7" w14:textId="77777777" w:rsidR="00FF11C2" w:rsidRPr="008C33D5" w:rsidRDefault="00FF11C2" w:rsidP="00653CD4">
            <w:pPr>
              <w:widowControl w:val="0"/>
              <w:jc w:val="right"/>
              <w:rPr>
                <w:rFonts w:asciiTheme="minorHAnsi" w:hAnsiTheme="minorHAnsi" w:cstheme="minorHAnsi"/>
                <w:b/>
                <w:bCs/>
                <w:color w:val="000000" w:themeColor="text1"/>
                <w:sz w:val="22"/>
                <w:szCs w:val="22"/>
                <w:lang w:val="tr-TR"/>
              </w:rPr>
            </w:pPr>
            <w:r w:rsidRPr="008C33D5">
              <w:rPr>
                <w:rFonts w:asciiTheme="minorHAnsi" w:hAnsiTheme="minorHAnsi" w:cstheme="minorHAnsi"/>
                <w:b/>
                <w:bCs/>
                <w:color w:val="000000" w:themeColor="text1"/>
                <w:sz w:val="22"/>
                <w:szCs w:val="22"/>
                <w:lang w:val="tr-TR"/>
              </w:rPr>
              <w:t>865.319</w:t>
            </w:r>
          </w:p>
        </w:tc>
        <w:tc>
          <w:tcPr>
            <w:tcW w:w="1417" w:type="dxa"/>
            <w:shd w:val="clear" w:color="auto" w:fill="auto"/>
            <w:vAlign w:val="bottom"/>
          </w:tcPr>
          <w:p w14:paraId="65E09707"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740EC7F9" w14:textId="77777777" w:rsidR="00FF11C2" w:rsidRPr="008C33D5" w:rsidRDefault="00FF11C2" w:rsidP="00653CD4">
            <w:pPr>
              <w:widowControl w:val="0"/>
              <w:ind w:right="-78"/>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Toplam BB</w:t>
            </w:r>
          </w:p>
        </w:tc>
        <w:tc>
          <w:tcPr>
            <w:tcW w:w="1139" w:type="dxa"/>
            <w:shd w:val="clear" w:color="auto" w:fill="auto"/>
            <w:vAlign w:val="bottom"/>
          </w:tcPr>
          <w:p w14:paraId="761A92E4" w14:textId="77777777" w:rsidR="00FF11C2" w:rsidRPr="006141E8" w:rsidRDefault="00FF11C2" w:rsidP="00653CD4">
            <w:pPr>
              <w:widowControl w:val="0"/>
              <w:jc w:val="right"/>
              <w:rPr>
                <w:rFonts w:asciiTheme="minorHAnsi" w:hAnsiTheme="minorHAnsi" w:cstheme="minorHAnsi"/>
                <w:sz w:val="22"/>
                <w:szCs w:val="22"/>
                <w:lang w:val="tr-TR"/>
              </w:rPr>
            </w:pPr>
            <w:r w:rsidRPr="006141E8">
              <w:rPr>
                <w:rFonts w:asciiTheme="minorHAnsi" w:hAnsiTheme="minorHAnsi" w:cstheme="minorHAnsi"/>
                <w:b/>
                <w:bCs/>
                <w:sz w:val="22"/>
                <w:szCs w:val="22"/>
              </w:rPr>
              <w:t>5.010.760</w:t>
            </w:r>
          </w:p>
        </w:tc>
      </w:tr>
      <w:tr w:rsidR="00FF11C2" w:rsidRPr="00336E5B" w14:paraId="5C18E18A" w14:textId="77777777" w:rsidTr="00653CD4">
        <w:trPr>
          <w:trHeight w:val="284"/>
        </w:trPr>
        <w:tc>
          <w:tcPr>
            <w:tcW w:w="1516" w:type="dxa"/>
            <w:shd w:val="clear" w:color="auto" w:fill="auto"/>
            <w:vAlign w:val="bottom"/>
          </w:tcPr>
          <w:p w14:paraId="3F92E42D"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 xml:space="preserve"> Ağır Hasarlı,</w:t>
            </w:r>
          </w:p>
        </w:tc>
        <w:tc>
          <w:tcPr>
            <w:tcW w:w="1602" w:type="dxa"/>
            <w:shd w:val="clear" w:color="auto" w:fill="auto"/>
            <w:vAlign w:val="bottom"/>
          </w:tcPr>
          <w:p w14:paraId="014859E9"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Bina</w:t>
            </w:r>
          </w:p>
        </w:tc>
        <w:tc>
          <w:tcPr>
            <w:tcW w:w="1134" w:type="dxa"/>
            <w:shd w:val="clear" w:color="auto" w:fill="auto"/>
            <w:vAlign w:val="bottom"/>
          </w:tcPr>
          <w:p w14:paraId="4FADDEAA"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11.000</w:t>
            </w:r>
          </w:p>
        </w:tc>
        <w:tc>
          <w:tcPr>
            <w:tcW w:w="1417" w:type="dxa"/>
            <w:shd w:val="clear" w:color="auto" w:fill="auto"/>
            <w:vAlign w:val="bottom"/>
          </w:tcPr>
          <w:p w14:paraId="5C44013D"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37F07287"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Bina</w:t>
            </w:r>
          </w:p>
        </w:tc>
        <w:tc>
          <w:tcPr>
            <w:tcW w:w="1139" w:type="dxa"/>
            <w:shd w:val="clear" w:color="auto" w:fill="auto"/>
            <w:vAlign w:val="bottom"/>
          </w:tcPr>
          <w:p w14:paraId="1E667811" w14:textId="77777777" w:rsidR="00FF11C2" w:rsidRPr="008C33D5" w:rsidRDefault="00FF11C2" w:rsidP="00653CD4">
            <w:pPr>
              <w:widowControl w:val="0"/>
              <w:jc w:val="right"/>
              <w:rPr>
                <w:rFonts w:asciiTheme="minorHAnsi" w:hAnsiTheme="minorHAnsi" w:cstheme="minorHAnsi"/>
                <w:color w:val="000000" w:themeColor="text1"/>
                <w:sz w:val="22"/>
                <w:szCs w:val="22"/>
                <w:lang w:val="tr-TR"/>
              </w:rPr>
            </w:pPr>
            <w:r w:rsidRPr="008C33D5">
              <w:rPr>
                <w:rFonts w:asciiTheme="minorHAnsi" w:hAnsiTheme="minorHAnsi" w:cstheme="minorHAnsi"/>
                <w:color w:val="000000"/>
                <w:sz w:val="22"/>
                <w:szCs w:val="22"/>
              </w:rPr>
              <w:t>46.000</w:t>
            </w:r>
          </w:p>
        </w:tc>
      </w:tr>
      <w:tr w:rsidR="00FF11C2" w:rsidRPr="00336E5B" w14:paraId="4130DA3A" w14:textId="77777777" w:rsidTr="00653CD4">
        <w:trPr>
          <w:trHeight w:val="284"/>
        </w:trPr>
        <w:tc>
          <w:tcPr>
            <w:tcW w:w="1516" w:type="dxa"/>
            <w:shd w:val="clear" w:color="auto" w:fill="auto"/>
            <w:vAlign w:val="bottom"/>
          </w:tcPr>
          <w:p w14:paraId="41916245"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 xml:space="preserve"> Orta Hasarlı</w:t>
            </w:r>
          </w:p>
        </w:tc>
        <w:tc>
          <w:tcPr>
            <w:tcW w:w="1602" w:type="dxa"/>
            <w:shd w:val="clear" w:color="auto" w:fill="auto"/>
            <w:vAlign w:val="bottom"/>
          </w:tcPr>
          <w:p w14:paraId="0173C391"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BB</w:t>
            </w:r>
          </w:p>
        </w:tc>
        <w:tc>
          <w:tcPr>
            <w:tcW w:w="1134" w:type="dxa"/>
            <w:shd w:val="clear" w:color="auto" w:fill="auto"/>
            <w:vAlign w:val="bottom"/>
          </w:tcPr>
          <w:p w14:paraId="512244A0"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129.798</w:t>
            </w:r>
          </w:p>
        </w:tc>
        <w:tc>
          <w:tcPr>
            <w:tcW w:w="1417" w:type="dxa"/>
            <w:shd w:val="clear" w:color="auto" w:fill="auto"/>
            <w:vAlign w:val="bottom"/>
          </w:tcPr>
          <w:p w14:paraId="2AAF9BBF"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vAlign w:val="bottom"/>
          </w:tcPr>
          <w:p w14:paraId="2DF6C9BA"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İşyeri BB</w:t>
            </w:r>
          </w:p>
        </w:tc>
        <w:tc>
          <w:tcPr>
            <w:tcW w:w="1139" w:type="dxa"/>
            <w:shd w:val="clear" w:color="auto" w:fill="auto"/>
            <w:vAlign w:val="bottom"/>
          </w:tcPr>
          <w:p w14:paraId="6FA5A827" w14:textId="77777777" w:rsidR="00FF11C2" w:rsidRPr="008C33D5" w:rsidRDefault="00FF11C2" w:rsidP="00653CD4">
            <w:pPr>
              <w:widowControl w:val="0"/>
              <w:jc w:val="right"/>
              <w:rPr>
                <w:rFonts w:asciiTheme="minorHAnsi" w:hAnsiTheme="minorHAnsi" w:cstheme="minorHAnsi"/>
                <w:color w:val="000000" w:themeColor="text1"/>
                <w:sz w:val="22"/>
                <w:szCs w:val="22"/>
                <w:lang w:val="tr-TR"/>
              </w:rPr>
            </w:pPr>
            <w:r w:rsidRPr="008C33D5">
              <w:rPr>
                <w:rFonts w:asciiTheme="minorHAnsi" w:hAnsiTheme="minorHAnsi" w:cstheme="minorHAnsi"/>
                <w:color w:val="000000"/>
                <w:sz w:val="22"/>
                <w:szCs w:val="22"/>
              </w:rPr>
              <w:t>751.614</w:t>
            </w:r>
          </w:p>
        </w:tc>
      </w:tr>
      <w:tr w:rsidR="00FF11C2" w:rsidRPr="00336E5B" w14:paraId="1EBF42A9" w14:textId="77777777" w:rsidTr="00653CD4">
        <w:trPr>
          <w:trHeight w:val="284"/>
        </w:trPr>
        <w:tc>
          <w:tcPr>
            <w:tcW w:w="1516" w:type="dxa"/>
            <w:tcBorders>
              <w:bottom w:val="double" w:sz="4" w:space="0" w:color="auto"/>
            </w:tcBorders>
            <w:shd w:val="clear" w:color="auto" w:fill="auto"/>
            <w:vAlign w:val="bottom"/>
          </w:tcPr>
          <w:p w14:paraId="0A30B8DE" w14:textId="77777777" w:rsidR="00FF11C2" w:rsidRPr="008C33D5" w:rsidRDefault="00FF11C2" w:rsidP="00653CD4">
            <w:pPr>
              <w:widowControl w:val="0"/>
              <w:rPr>
                <w:rFonts w:asciiTheme="minorHAnsi" w:hAnsiTheme="minorHAnsi" w:cstheme="minorHAnsi"/>
                <w:color w:val="000000"/>
                <w:sz w:val="22"/>
                <w:szCs w:val="22"/>
                <w:lang w:val="tr-TR"/>
              </w:rPr>
            </w:pPr>
          </w:p>
        </w:tc>
        <w:tc>
          <w:tcPr>
            <w:tcW w:w="1602" w:type="dxa"/>
            <w:tcBorders>
              <w:bottom w:val="double" w:sz="4" w:space="0" w:color="auto"/>
            </w:tcBorders>
            <w:shd w:val="clear" w:color="auto" w:fill="auto"/>
            <w:vAlign w:val="bottom"/>
          </w:tcPr>
          <w:p w14:paraId="0A30CF4E"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Konut BB</w:t>
            </w:r>
          </w:p>
        </w:tc>
        <w:tc>
          <w:tcPr>
            <w:tcW w:w="1134" w:type="dxa"/>
            <w:tcBorders>
              <w:bottom w:val="double" w:sz="4" w:space="0" w:color="auto"/>
            </w:tcBorders>
            <w:shd w:val="clear" w:color="auto" w:fill="auto"/>
            <w:vAlign w:val="bottom"/>
          </w:tcPr>
          <w:p w14:paraId="0D8D8EB9"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685.521</w:t>
            </w:r>
          </w:p>
        </w:tc>
        <w:tc>
          <w:tcPr>
            <w:tcW w:w="1417" w:type="dxa"/>
            <w:tcBorders>
              <w:bottom w:val="double" w:sz="4" w:space="0" w:color="auto"/>
            </w:tcBorders>
            <w:shd w:val="clear" w:color="auto" w:fill="auto"/>
            <w:vAlign w:val="bottom"/>
          </w:tcPr>
          <w:p w14:paraId="0AA90935" w14:textId="77777777" w:rsidR="00FF11C2" w:rsidRPr="008C33D5" w:rsidRDefault="00FF11C2" w:rsidP="00653CD4">
            <w:pPr>
              <w:widowControl w:val="0"/>
              <w:jc w:val="right"/>
              <w:rPr>
                <w:rFonts w:asciiTheme="minorHAnsi" w:hAnsiTheme="minorHAnsi" w:cstheme="minorHAnsi"/>
                <w:color w:val="000000"/>
                <w:sz w:val="22"/>
                <w:szCs w:val="22"/>
                <w:lang w:val="tr-TR"/>
              </w:rPr>
            </w:pPr>
          </w:p>
        </w:tc>
        <w:tc>
          <w:tcPr>
            <w:tcW w:w="1838" w:type="dxa"/>
            <w:tcBorders>
              <w:bottom w:val="double" w:sz="4" w:space="0" w:color="auto"/>
            </w:tcBorders>
            <w:vAlign w:val="bottom"/>
          </w:tcPr>
          <w:p w14:paraId="11D2D9FF" w14:textId="77777777" w:rsidR="00FF11C2" w:rsidRPr="008C33D5" w:rsidRDefault="00FF11C2" w:rsidP="00653CD4">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Konut BB</w:t>
            </w:r>
          </w:p>
        </w:tc>
        <w:tc>
          <w:tcPr>
            <w:tcW w:w="1139" w:type="dxa"/>
            <w:tcBorders>
              <w:bottom w:val="double" w:sz="4" w:space="0" w:color="auto"/>
            </w:tcBorders>
            <w:shd w:val="clear" w:color="auto" w:fill="auto"/>
            <w:vAlign w:val="bottom"/>
          </w:tcPr>
          <w:p w14:paraId="6101D7C3" w14:textId="77777777" w:rsidR="00FF11C2" w:rsidRPr="008C33D5" w:rsidRDefault="00FF11C2" w:rsidP="00653CD4">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4.209.146</w:t>
            </w:r>
          </w:p>
        </w:tc>
      </w:tr>
    </w:tbl>
    <w:p w14:paraId="2A6D19AC" w14:textId="77777777" w:rsidR="00FF11C2" w:rsidRPr="00F13AC6" w:rsidRDefault="00FF11C2" w:rsidP="00FF11C2">
      <w:pPr>
        <w:ind w:left="300"/>
        <w:rPr>
          <w:rFonts w:asciiTheme="minorHAnsi" w:hAnsiTheme="minorHAnsi" w:cstheme="minorHAnsi"/>
          <w:sz w:val="20"/>
          <w:szCs w:val="20"/>
          <w:lang w:val="tr-TR"/>
        </w:rPr>
      </w:pPr>
      <w:r w:rsidRPr="00F13AC6">
        <w:rPr>
          <w:rFonts w:asciiTheme="minorHAnsi" w:hAnsiTheme="minorHAnsi" w:cstheme="minorHAnsi"/>
          <w:sz w:val="20"/>
          <w:szCs w:val="20"/>
          <w:lang w:val="tr-TR"/>
        </w:rPr>
        <w:t xml:space="preserve">Not: İşyeri bina sayısı hariç bütün veriler ÇŞİDB tarafından </w:t>
      </w:r>
      <w:r w:rsidRPr="00F13AC6">
        <w:rPr>
          <w:rFonts w:asciiTheme="minorHAnsi" w:hAnsiTheme="minorHAnsi" w:cstheme="minorHAnsi"/>
          <w:sz w:val="20"/>
          <w:szCs w:val="20"/>
        </w:rPr>
        <w:t>9</w:t>
      </w:r>
      <w:r w:rsidRPr="00F13AC6">
        <w:rPr>
          <w:rFonts w:asciiTheme="minorHAnsi" w:hAnsiTheme="minorHAnsi" w:cstheme="minorHAnsi"/>
          <w:sz w:val="20"/>
          <w:szCs w:val="20"/>
          <w:lang w:val="tr-TR"/>
        </w:rPr>
        <w:t xml:space="preserve"> Mart 2023’te “Türkiye Ulusal Risk Kalkanı Modeli” toplantısında basınla paylaşılan “Hasar Tespit Çalışmaları” başlıklı tablodan alınmıştır. Her kategorideki işyeri bina sayısı ise sanayi, depolama, lojistik ve farklı hizmet sektörlerinde faaliyet gösteren orta ve büyük işyerlerinin kullandığı bağımsız işyeri binalarının yazar tarafından yapılan tahminleridir. Kırmızı yazılan haneler Bakanlık tarafından açıklanan toplam bina ve bağımsız bölüm sayılarıdır.</w:t>
      </w:r>
      <w:r w:rsidRPr="00F13AC6">
        <w:rPr>
          <w:rStyle w:val="DipnotBavurusu"/>
          <w:rFonts w:asciiTheme="minorHAnsi" w:hAnsiTheme="minorHAnsi" w:cstheme="minorHAnsi"/>
          <w:sz w:val="20"/>
          <w:szCs w:val="20"/>
          <w:lang w:val="tr-TR"/>
        </w:rPr>
        <w:footnoteReference w:id="3"/>
      </w:r>
    </w:p>
    <w:p w14:paraId="367EB1E1" w14:textId="77777777" w:rsidR="00FF11C2" w:rsidRDefault="00FF11C2" w:rsidP="00FF11C2">
      <w:pPr>
        <w:spacing w:after="120"/>
        <w:rPr>
          <w:rFonts w:asciiTheme="minorHAnsi" w:hAnsiTheme="minorHAnsi" w:cstheme="minorHAnsi"/>
          <w:lang w:val="tr-TR"/>
        </w:rPr>
      </w:pPr>
    </w:p>
    <w:p w14:paraId="64FB5536" w14:textId="76061A1E" w:rsidR="00020AF2" w:rsidRDefault="00524942" w:rsidP="00020AF2">
      <w:pPr>
        <w:spacing w:after="120"/>
        <w:rPr>
          <w:rFonts w:asciiTheme="minorHAnsi" w:hAnsiTheme="minorHAnsi" w:cstheme="minorHAnsi"/>
          <w:lang w:val="tr-TR"/>
        </w:rPr>
      </w:pPr>
      <w:r w:rsidRPr="00336E5B">
        <w:rPr>
          <w:rFonts w:asciiTheme="minorHAnsi" w:hAnsiTheme="minorHAnsi" w:cstheme="minorHAnsi"/>
          <w:lang w:val="tr-TR"/>
        </w:rPr>
        <w:t>Bakanlı</w:t>
      </w:r>
      <w:r w:rsidR="008D7C9A" w:rsidRPr="00336E5B">
        <w:rPr>
          <w:rFonts w:asciiTheme="minorHAnsi" w:hAnsiTheme="minorHAnsi" w:cstheme="minorHAnsi"/>
          <w:lang w:val="tr-TR"/>
        </w:rPr>
        <w:t xml:space="preserve">k tarafından </w:t>
      </w:r>
      <w:r w:rsidR="00D24176" w:rsidRPr="00336E5B">
        <w:rPr>
          <w:rFonts w:asciiTheme="minorHAnsi" w:hAnsiTheme="minorHAnsi" w:cstheme="minorHAnsi"/>
          <w:lang w:val="tr-TR"/>
        </w:rPr>
        <w:t>8</w:t>
      </w:r>
      <w:r w:rsidR="008D7C9A" w:rsidRPr="00336E5B">
        <w:rPr>
          <w:rFonts w:asciiTheme="minorHAnsi" w:hAnsiTheme="minorHAnsi" w:cstheme="minorHAnsi"/>
          <w:lang w:val="tr-TR"/>
        </w:rPr>
        <w:t xml:space="preserve"> Mart 2023</w:t>
      </w:r>
      <w:r w:rsidR="00D24176" w:rsidRPr="00336E5B">
        <w:rPr>
          <w:rFonts w:asciiTheme="minorHAnsi" w:hAnsiTheme="minorHAnsi" w:cstheme="minorHAnsi"/>
          <w:lang w:val="tr-TR"/>
        </w:rPr>
        <w:t xml:space="preserve"> öncesinde </w:t>
      </w:r>
      <w:r w:rsidR="008D7C9A" w:rsidRPr="00336E5B">
        <w:rPr>
          <w:rFonts w:asciiTheme="minorHAnsi" w:hAnsiTheme="minorHAnsi" w:cstheme="minorHAnsi"/>
          <w:lang w:val="tr-TR"/>
        </w:rPr>
        <w:t>yapılan açıklamalarda</w:t>
      </w:r>
      <w:r w:rsidRPr="00336E5B">
        <w:rPr>
          <w:rFonts w:asciiTheme="minorHAnsi" w:hAnsiTheme="minorHAnsi" w:cstheme="minorHAnsi"/>
          <w:lang w:val="tr-TR"/>
        </w:rPr>
        <w:t xml:space="preserve"> </w:t>
      </w:r>
      <w:r w:rsidR="00D24176" w:rsidRPr="00336E5B">
        <w:rPr>
          <w:rFonts w:asciiTheme="minorHAnsi" w:hAnsiTheme="minorHAnsi" w:cstheme="minorHAnsi"/>
          <w:lang w:val="tr-TR"/>
        </w:rPr>
        <w:t>konut dışı kullanımda olan bina ve bağımsız bölüm sayısı paylaşılmamıştı.</w:t>
      </w:r>
      <w:r w:rsidR="00EB53B8" w:rsidRPr="00336E5B">
        <w:rPr>
          <w:rFonts w:asciiTheme="minorHAnsi" w:hAnsiTheme="minorHAnsi" w:cstheme="minorHAnsi"/>
          <w:lang w:val="tr-TR"/>
        </w:rPr>
        <w:t xml:space="preserve"> </w:t>
      </w:r>
      <w:r w:rsidR="00531252" w:rsidRPr="00336E5B">
        <w:rPr>
          <w:rFonts w:asciiTheme="minorHAnsi" w:hAnsiTheme="minorHAnsi" w:cstheme="minorHAnsi"/>
          <w:lang w:val="tr-TR"/>
        </w:rPr>
        <w:t xml:space="preserve">Oysa, özellikle üretimde kullanılan yapılarda </w:t>
      </w:r>
      <w:r w:rsidR="00531252" w:rsidRPr="00336E5B">
        <w:rPr>
          <w:rFonts w:asciiTheme="minorHAnsi" w:hAnsiTheme="minorHAnsi" w:cstheme="minorHAnsi"/>
          <w:lang w:val="tr-TR"/>
        </w:rPr>
        <w:lastRenderedPageBreak/>
        <w:t xml:space="preserve">(ve içindeki makine teçhizatta) oluşan hasarın ayrıca belirlenmesi gerekirdi. Bakanlık tarafından paylaşılan hasarlı yapı verilerinde bu ayrım yapılmadığı için </w:t>
      </w:r>
      <w:r w:rsidR="00E906CF" w:rsidRPr="00336E5B">
        <w:rPr>
          <w:rFonts w:asciiTheme="minorHAnsi" w:hAnsiTheme="minorHAnsi" w:cstheme="minorHAnsi"/>
          <w:lang w:val="tr-TR"/>
        </w:rPr>
        <w:t>bu araştırma notun</w:t>
      </w:r>
      <w:r w:rsidR="005F196B" w:rsidRPr="00336E5B">
        <w:rPr>
          <w:rFonts w:asciiTheme="minorHAnsi" w:hAnsiTheme="minorHAnsi" w:cstheme="minorHAnsi"/>
          <w:lang w:val="tr-TR"/>
        </w:rPr>
        <w:t>da</w:t>
      </w:r>
      <w:r w:rsidR="00E906CF" w:rsidRPr="00336E5B">
        <w:rPr>
          <w:rFonts w:asciiTheme="minorHAnsi" w:hAnsiTheme="minorHAnsi" w:cstheme="minorHAnsi"/>
          <w:lang w:val="tr-TR"/>
        </w:rPr>
        <w:t xml:space="preserve"> </w:t>
      </w:r>
      <w:r w:rsidR="005F196B" w:rsidRPr="00336E5B">
        <w:rPr>
          <w:rFonts w:asciiTheme="minorHAnsi" w:hAnsiTheme="minorHAnsi" w:cstheme="minorHAnsi"/>
          <w:lang w:val="tr-TR"/>
        </w:rPr>
        <w:t>farklı der</w:t>
      </w:r>
      <w:r w:rsidR="00655602">
        <w:rPr>
          <w:rFonts w:asciiTheme="minorHAnsi" w:hAnsiTheme="minorHAnsi" w:cstheme="minorHAnsi"/>
          <w:lang w:val="tr-TR"/>
        </w:rPr>
        <w:t>e</w:t>
      </w:r>
      <w:r w:rsidR="005F196B" w:rsidRPr="00336E5B">
        <w:rPr>
          <w:rFonts w:asciiTheme="minorHAnsi" w:hAnsiTheme="minorHAnsi" w:cstheme="minorHAnsi"/>
          <w:lang w:val="tr-TR"/>
        </w:rPr>
        <w:t xml:space="preserve">cede </w:t>
      </w:r>
      <w:r w:rsidR="00531252" w:rsidRPr="00336E5B">
        <w:rPr>
          <w:rFonts w:asciiTheme="minorHAnsi" w:hAnsiTheme="minorHAnsi" w:cstheme="minorHAnsi"/>
          <w:lang w:val="tr-TR"/>
        </w:rPr>
        <w:t>hasar</w:t>
      </w:r>
      <w:r w:rsidR="005F196B" w:rsidRPr="00336E5B">
        <w:rPr>
          <w:rFonts w:asciiTheme="minorHAnsi" w:hAnsiTheme="minorHAnsi" w:cstheme="minorHAnsi"/>
          <w:lang w:val="tr-TR"/>
        </w:rPr>
        <w:t xml:space="preserve">lara tabi olmuş </w:t>
      </w:r>
      <w:r w:rsidR="00531252" w:rsidRPr="00336E5B">
        <w:rPr>
          <w:rFonts w:asciiTheme="minorHAnsi" w:hAnsiTheme="minorHAnsi" w:cstheme="minorHAnsi"/>
          <w:lang w:val="tr-TR"/>
        </w:rPr>
        <w:t xml:space="preserve">işyeri sayısına ulaşmak </w:t>
      </w:r>
      <w:r w:rsidR="005F196B" w:rsidRPr="00336E5B">
        <w:rPr>
          <w:rFonts w:asciiTheme="minorHAnsi" w:hAnsiTheme="minorHAnsi" w:cstheme="minorHAnsi"/>
          <w:lang w:val="tr-TR"/>
        </w:rPr>
        <w:t xml:space="preserve">için </w:t>
      </w:r>
      <w:r w:rsidR="00531252" w:rsidRPr="00336E5B">
        <w:rPr>
          <w:rFonts w:asciiTheme="minorHAnsi" w:hAnsiTheme="minorHAnsi" w:cstheme="minorHAnsi"/>
          <w:lang w:val="tr-TR"/>
        </w:rPr>
        <w:t>bölgedeki yapı stokuna ait veriler</w:t>
      </w:r>
      <w:r w:rsidR="005F196B" w:rsidRPr="00336E5B">
        <w:rPr>
          <w:rFonts w:asciiTheme="minorHAnsi" w:hAnsiTheme="minorHAnsi" w:cstheme="minorHAnsi"/>
          <w:lang w:val="tr-TR"/>
        </w:rPr>
        <w:t>den yararlandık</w:t>
      </w:r>
      <w:r w:rsidR="00531252" w:rsidRPr="00336E5B">
        <w:rPr>
          <w:rFonts w:asciiTheme="minorHAnsi" w:hAnsiTheme="minorHAnsi" w:cstheme="minorHAnsi"/>
          <w:lang w:val="tr-TR"/>
        </w:rPr>
        <w:t>.</w:t>
      </w:r>
      <w:r w:rsidRPr="00336E5B">
        <w:rPr>
          <w:rFonts w:asciiTheme="minorHAnsi" w:hAnsiTheme="minorHAnsi" w:cstheme="minorHAnsi"/>
          <w:lang w:val="tr-TR"/>
        </w:rPr>
        <w:t xml:space="preserve"> 1993-2021 arasında verilen yapı izin belgesi istatistiklerine göre bu dönemde DB-7’de</w:t>
      </w:r>
      <w:r w:rsidR="00604D32" w:rsidRPr="00336E5B">
        <w:rPr>
          <w:rStyle w:val="DipnotBavurusu"/>
          <w:rFonts w:asciiTheme="minorHAnsi" w:hAnsiTheme="minorHAnsi" w:cstheme="minorHAnsi"/>
          <w:lang w:val="tr-TR"/>
        </w:rPr>
        <w:footnoteReference w:id="4"/>
      </w:r>
      <w:r w:rsidRPr="00336E5B">
        <w:rPr>
          <w:rFonts w:asciiTheme="minorHAnsi" w:hAnsiTheme="minorHAnsi" w:cstheme="minorHAnsi"/>
          <w:lang w:val="tr-TR"/>
        </w:rPr>
        <w:t xml:space="preserve"> </w:t>
      </w:r>
      <w:r w:rsidR="00EB53B8" w:rsidRPr="00336E5B">
        <w:rPr>
          <w:rFonts w:asciiTheme="minorHAnsi" w:hAnsiTheme="minorHAnsi" w:cstheme="minorHAnsi"/>
          <w:lang w:val="tr-TR"/>
        </w:rPr>
        <w:t xml:space="preserve">yapı kullanım </w:t>
      </w:r>
      <w:r w:rsidRPr="00336E5B">
        <w:rPr>
          <w:rFonts w:asciiTheme="minorHAnsi" w:hAnsiTheme="minorHAnsi" w:cstheme="minorHAnsi"/>
          <w:lang w:val="tr-TR"/>
        </w:rPr>
        <w:t xml:space="preserve">izin belgesi verilen toplam 128.549 binanın </w:t>
      </w:r>
      <w:r w:rsidR="00524B14">
        <w:rPr>
          <w:rFonts w:asciiTheme="minorHAnsi" w:hAnsiTheme="minorHAnsi" w:cstheme="minorHAnsi"/>
          <w:lang w:val="tr-TR"/>
        </w:rPr>
        <w:t xml:space="preserve">yüzde </w:t>
      </w:r>
      <w:r w:rsidRPr="00336E5B">
        <w:rPr>
          <w:rFonts w:asciiTheme="minorHAnsi" w:hAnsiTheme="minorHAnsi" w:cstheme="minorHAnsi"/>
          <w:lang w:val="tr-TR"/>
        </w:rPr>
        <w:t xml:space="preserve">15’i (18.973’ü) ikametgâh dışı kullanım amacıyla </w:t>
      </w:r>
      <w:r w:rsidR="003F25BC" w:rsidRPr="00336E5B">
        <w:rPr>
          <w:rFonts w:asciiTheme="minorHAnsi" w:hAnsiTheme="minorHAnsi" w:cstheme="minorHAnsi"/>
          <w:lang w:val="tr-TR"/>
        </w:rPr>
        <w:t>yapıldığı belirtiliyor</w:t>
      </w:r>
      <w:r w:rsidRPr="00336E5B">
        <w:rPr>
          <w:rFonts w:asciiTheme="minorHAnsi" w:hAnsiTheme="minorHAnsi" w:cstheme="minorHAnsi"/>
          <w:lang w:val="tr-TR"/>
        </w:rPr>
        <w:t xml:space="preserve">. </w:t>
      </w:r>
      <w:r w:rsidR="003F25BC" w:rsidRPr="00336E5B">
        <w:rPr>
          <w:rFonts w:asciiTheme="minorHAnsi" w:hAnsiTheme="minorHAnsi" w:cstheme="minorHAnsi"/>
          <w:lang w:val="tr-TR"/>
        </w:rPr>
        <w:t>Yaptığımız hesaplarda i</w:t>
      </w:r>
      <w:r w:rsidR="0046153B" w:rsidRPr="00336E5B">
        <w:rPr>
          <w:rFonts w:asciiTheme="minorHAnsi" w:hAnsiTheme="minorHAnsi" w:cstheme="minorHAnsi"/>
          <w:lang w:val="tr-TR"/>
        </w:rPr>
        <w:t>kametgâh</w:t>
      </w:r>
      <w:r w:rsidRPr="00336E5B">
        <w:rPr>
          <w:rFonts w:asciiTheme="minorHAnsi" w:hAnsiTheme="minorHAnsi" w:cstheme="minorHAnsi"/>
          <w:lang w:val="tr-TR"/>
        </w:rPr>
        <w:t xml:space="preserve"> dışı kullanım için yapılan binaların büyük çoğunluğunun işyeri olduğu</w:t>
      </w:r>
      <w:r w:rsidR="0046153B" w:rsidRPr="00336E5B">
        <w:rPr>
          <w:rFonts w:asciiTheme="minorHAnsi" w:hAnsiTheme="minorHAnsi" w:cstheme="minorHAnsi"/>
          <w:lang w:val="tr-TR"/>
        </w:rPr>
        <w:t>nu</w:t>
      </w:r>
      <w:r w:rsidRPr="00336E5B">
        <w:rPr>
          <w:rFonts w:asciiTheme="minorHAnsi" w:hAnsiTheme="minorHAnsi" w:cstheme="minorHAnsi"/>
          <w:lang w:val="tr-TR"/>
        </w:rPr>
        <w:t xml:space="preserve"> varsaydık</w:t>
      </w:r>
      <w:r w:rsidR="00182D5B" w:rsidRPr="00336E5B">
        <w:rPr>
          <w:rFonts w:asciiTheme="minorHAnsi" w:hAnsiTheme="minorHAnsi" w:cstheme="minorHAnsi"/>
          <w:lang w:val="tr-TR"/>
        </w:rPr>
        <w:t xml:space="preserve"> ve</w:t>
      </w:r>
      <w:r w:rsidRPr="00336E5B">
        <w:rPr>
          <w:rFonts w:asciiTheme="minorHAnsi" w:hAnsiTheme="minorHAnsi" w:cstheme="minorHAnsi"/>
          <w:lang w:val="tr-TR"/>
        </w:rPr>
        <w:t xml:space="preserve"> her hasar kategorisindeki işyeri binası sayısını o kategoride bakanlık tarafından ilan edilen toplam bina sayısının </w:t>
      </w:r>
      <w:r w:rsidR="00524B14">
        <w:rPr>
          <w:rFonts w:asciiTheme="minorHAnsi" w:hAnsiTheme="minorHAnsi" w:cstheme="minorHAnsi"/>
          <w:lang w:val="tr-TR"/>
        </w:rPr>
        <w:t>yüzde 1</w:t>
      </w:r>
      <w:r w:rsidR="00182D5B" w:rsidRPr="00336E5B">
        <w:rPr>
          <w:rFonts w:asciiTheme="minorHAnsi" w:hAnsiTheme="minorHAnsi" w:cstheme="minorHAnsi"/>
          <w:lang w:val="tr-TR"/>
        </w:rPr>
        <w:t>5</w:t>
      </w:r>
      <w:r w:rsidRPr="00336E5B">
        <w:rPr>
          <w:rFonts w:asciiTheme="minorHAnsi" w:hAnsiTheme="minorHAnsi" w:cstheme="minorHAnsi"/>
          <w:lang w:val="tr-TR"/>
        </w:rPr>
        <w:t>’ine eşit olacak şekilde belirledik.</w:t>
      </w:r>
    </w:p>
    <w:p w14:paraId="17BE8CC0" w14:textId="77777777" w:rsidR="00675986" w:rsidRPr="00336E5B" w:rsidRDefault="00675986" w:rsidP="00675986">
      <w:pPr>
        <w:spacing w:after="120"/>
        <w:rPr>
          <w:rFonts w:asciiTheme="minorHAnsi" w:hAnsiTheme="minorHAnsi" w:cstheme="minorHAnsi"/>
          <w:b/>
          <w:bCs/>
          <w:lang w:val="tr-TR"/>
        </w:rPr>
      </w:pPr>
      <w:r w:rsidRPr="00336E5B">
        <w:rPr>
          <w:rFonts w:asciiTheme="minorHAnsi" w:hAnsiTheme="minorHAnsi" w:cstheme="minorHAnsi"/>
          <w:lang w:val="tr-TR"/>
        </w:rPr>
        <w:t xml:space="preserve">İşyerlerinde meydana gelen hasarı ölçebilmek için sanayi, depolama, </w:t>
      </w:r>
      <w:proofErr w:type="gramStart"/>
      <w:r w:rsidRPr="00336E5B">
        <w:rPr>
          <w:rFonts w:asciiTheme="minorHAnsi" w:hAnsiTheme="minorHAnsi" w:cstheme="minorHAnsi"/>
          <w:lang w:val="tr-TR"/>
        </w:rPr>
        <w:t>lojistik,</w:t>
      </w:r>
      <w:proofErr w:type="gramEnd"/>
      <w:r w:rsidRPr="00336E5B">
        <w:rPr>
          <w:rFonts w:asciiTheme="minorHAnsi" w:hAnsiTheme="minorHAnsi" w:cstheme="minorHAnsi"/>
          <w:lang w:val="tr-TR"/>
        </w:rPr>
        <w:t xml:space="preserve"> ve farklı hizmet sektörlerinde faaliyet gösteren orta ve büyük işyerlerinin kullandığı bağımsız işyeri binalarının yanı sıra ağırlıklı olarak alışveriş merkezlerindeki dükkanlar, apartmanlardaki bürolar ve apartmanların altındaki dükkanlardan oluşan bağımsız işyeri birimlerinin sayısını bulmaya çalıştık. </w:t>
      </w:r>
    </w:p>
    <w:p w14:paraId="042A5441" w14:textId="2FE2B2DB" w:rsidR="00675986" w:rsidRPr="00336E5B" w:rsidRDefault="00FF11C2" w:rsidP="00675986">
      <w:pPr>
        <w:spacing w:after="120"/>
        <w:rPr>
          <w:rFonts w:asciiTheme="minorHAnsi" w:hAnsiTheme="minorHAnsi" w:cstheme="minorHAnsi"/>
          <w:lang w:val="tr-TR"/>
        </w:rPr>
      </w:pPr>
      <w:r>
        <w:rPr>
          <w:rFonts w:asciiTheme="minorHAnsi" w:hAnsiTheme="minorHAnsi" w:cstheme="minorHAnsi"/>
          <w:lang w:val="tr-TR"/>
        </w:rPr>
        <w:t>Tablo 1’de</w:t>
      </w:r>
      <w:r w:rsidR="00675986" w:rsidRPr="00336E5B">
        <w:rPr>
          <w:rFonts w:asciiTheme="minorHAnsi" w:hAnsiTheme="minorHAnsi" w:cstheme="minorHAnsi"/>
          <w:lang w:val="tr-TR"/>
        </w:rPr>
        <w:t xml:space="preserve"> incelenen toplam bina ve bağımsız bölümü sayısı bakanlık verileridir.  Ancak Bakanlık son açıklamasında 138.250 binanın ve 275.468 bağımsız bölümün hasar durumun tespit işleminin tamamlanmadığını not etmiştir. Tespiti tamamlanmamış bina ve bağımsız bölümlerin hasar kategorileri arasındaki dağılımını belirlemek için </w:t>
      </w:r>
      <w:r w:rsidR="00375C10">
        <w:rPr>
          <w:rFonts w:asciiTheme="minorHAnsi" w:hAnsiTheme="minorHAnsi" w:cstheme="minorHAnsi"/>
          <w:lang w:val="tr-TR"/>
        </w:rPr>
        <w:t xml:space="preserve">il bazında </w:t>
      </w:r>
      <w:r w:rsidR="00675986" w:rsidRPr="00336E5B">
        <w:rPr>
          <w:rFonts w:asciiTheme="minorHAnsi" w:hAnsiTheme="minorHAnsi" w:cstheme="minorHAnsi"/>
          <w:lang w:val="tr-TR"/>
        </w:rPr>
        <w:t>hasar tespit çalışmaları tamamlanmış bina ve bağımsız bölümlerin hasar kategorileri dağılımından yararlandık.   Toplam maliyet hesaplarını bu varsayıma dayanarak yaptık. Tablo 1’de Bakanlığın çalışmalarında elde edilen hasarlı yapı verileriyle uyumlu olacak şekilde yıkılan ve çok hasarlı, orta hasarlı, az hasarlı ve hasarsız bina ve bağımsız birim sayısı varsayımlarını görebilirsiniz.</w:t>
      </w:r>
    </w:p>
    <w:p w14:paraId="78035C01" w14:textId="77777777" w:rsidR="00E10FA7" w:rsidRPr="00336E5B" w:rsidRDefault="00F87FBA" w:rsidP="00020AF2">
      <w:pPr>
        <w:spacing w:after="120"/>
        <w:rPr>
          <w:rFonts w:asciiTheme="minorHAnsi" w:hAnsiTheme="minorHAnsi" w:cstheme="minorHAnsi"/>
          <w:lang w:val="tr-TR"/>
        </w:rPr>
      </w:pPr>
      <w:r w:rsidRPr="00336E5B">
        <w:rPr>
          <w:rFonts w:asciiTheme="minorHAnsi" w:hAnsiTheme="minorHAnsi" w:cstheme="minorHAnsi"/>
          <w:lang w:val="tr-TR"/>
        </w:rPr>
        <w:t>Depremde yıkılmış</w:t>
      </w:r>
      <w:r w:rsidR="00D86ED0" w:rsidRPr="00336E5B">
        <w:rPr>
          <w:rFonts w:asciiTheme="minorHAnsi" w:hAnsiTheme="minorHAnsi" w:cstheme="minorHAnsi"/>
          <w:lang w:val="tr-TR"/>
        </w:rPr>
        <w:t>, acil yıkılacak ve ağır hasarlı 259.122</w:t>
      </w:r>
      <w:r w:rsidR="00524942" w:rsidRPr="00336E5B">
        <w:rPr>
          <w:rFonts w:asciiTheme="minorHAnsi" w:hAnsiTheme="minorHAnsi" w:cstheme="minorHAnsi"/>
          <w:lang w:val="tr-TR"/>
        </w:rPr>
        <w:t xml:space="preserve"> bina</w:t>
      </w:r>
      <w:r w:rsidR="00B141B8" w:rsidRPr="00336E5B">
        <w:rPr>
          <w:rFonts w:asciiTheme="minorHAnsi" w:hAnsiTheme="minorHAnsi" w:cstheme="minorHAnsi"/>
          <w:lang w:val="tr-TR"/>
        </w:rPr>
        <w:t xml:space="preserve">nın arasında </w:t>
      </w:r>
      <w:r w:rsidR="00D86ED0" w:rsidRPr="00336E5B">
        <w:rPr>
          <w:rFonts w:asciiTheme="minorHAnsi" w:hAnsiTheme="minorHAnsi" w:cstheme="minorHAnsi"/>
          <w:lang w:val="tr-TR"/>
        </w:rPr>
        <w:t>6</w:t>
      </w:r>
      <w:r w:rsidR="00B141B8" w:rsidRPr="00336E5B">
        <w:rPr>
          <w:rFonts w:asciiTheme="minorHAnsi" w:hAnsiTheme="minorHAnsi" w:cstheme="minorHAnsi"/>
          <w:lang w:val="tr-TR"/>
        </w:rPr>
        <w:t>.000 binanın sanayi</w:t>
      </w:r>
      <w:r w:rsidR="001A1CDA" w:rsidRPr="00336E5B">
        <w:rPr>
          <w:rFonts w:asciiTheme="minorHAnsi" w:hAnsiTheme="minorHAnsi" w:cstheme="minorHAnsi"/>
          <w:lang w:val="tr-TR"/>
        </w:rPr>
        <w:t xml:space="preserve"> ve </w:t>
      </w:r>
      <w:r w:rsidR="00B141B8" w:rsidRPr="00336E5B">
        <w:rPr>
          <w:rFonts w:asciiTheme="minorHAnsi" w:hAnsiTheme="minorHAnsi" w:cstheme="minorHAnsi"/>
          <w:lang w:val="tr-TR"/>
        </w:rPr>
        <w:t>hizmet sektörlerinde aktif ol</w:t>
      </w:r>
      <w:r w:rsidR="001A1CDA" w:rsidRPr="00336E5B">
        <w:rPr>
          <w:rFonts w:asciiTheme="minorHAnsi" w:hAnsiTheme="minorHAnsi" w:cstheme="minorHAnsi"/>
          <w:lang w:val="tr-TR"/>
        </w:rPr>
        <w:t>an orta ve büyük ölçekteki firmalara ait olduğunu</w:t>
      </w:r>
      <w:r w:rsidR="00B141B8" w:rsidRPr="00336E5B">
        <w:rPr>
          <w:rFonts w:asciiTheme="minorHAnsi" w:hAnsiTheme="minorHAnsi" w:cstheme="minorHAnsi"/>
          <w:lang w:val="tr-TR"/>
        </w:rPr>
        <w:t xml:space="preserve"> varsayıyoruz. Geriye kalan </w:t>
      </w:r>
      <w:r w:rsidR="00D86ED0" w:rsidRPr="00336E5B">
        <w:rPr>
          <w:rFonts w:asciiTheme="minorHAnsi" w:hAnsiTheme="minorHAnsi" w:cstheme="minorHAnsi"/>
          <w:lang w:val="tr-TR"/>
        </w:rPr>
        <w:t>253.122 b</w:t>
      </w:r>
      <w:r w:rsidR="00B141B8" w:rsidRPr="00336E5B">
        <w:rPr>
          <w:rFonts w:asciiTheme="minorHAnsi" w:hAnsiTheme="minorHAnsi" w:cstheme="minorHAnsi"/>
          <w:lang w:val="tr-TR"/>
        </w:rPr>
        <w:t xml:space="preserve">inada </w:t>
      </w:r>
      <w:r w:rsidR="00E10FA7" w:rsidRPr="00336E5B">
        <w:rPr>
          <w:rFonts w:asciiTheme="minorHAnsi" w:hAnsiTheme="minorHAnsi" w:cstheme="minorHAnsi"/>
          <w:lang w:val="tr-TR"/>
        </w:rPr>
        <w:t>105</w:t>
      </w:r>
      <w:r w:rsidR="00D86ED0" w:rsidRPr="00336E5B">
        <w:rPr>
          <w:rFonts w:asciiTheme="minorHAnsi" w:hAnsiTheme="minorHAnsi" w:cstheme="minorHAnsi"/>
          <w:lang w:val="tr-TR"/>
        </w:rPr>
        <w:t>.2</w:t>
      </w:r>
      <w:r w:rsidR="00E10FA7" w:rsidRPr="00336E5B">
        <w:rPr>
          <w:rFonts w:asciiTheme="minorHAnsi" w:hAnsiTheme="minorHAnsi" w:cstheme="minorHAnsi"/>
          <w:lang w:val="tr-TR"/>
        </w:rPr>
        <w:t>50</w:t>
      </w:r>
      <w:r w:rsidR="009D53C0" w:rsidRPr="00336E5B">
        <w:rPr>
          <w:rFonts w:asciiTheme="minorHAnsi" w:hAnsiTheme="minorHAnsi" w:cstheme="minorHAnsi"/>
          <w:lang w:val="tr-TR"/>
        </w:rPr>
        <w:t xml:space="preserve"> </w:t>
      </w:r>
      <w:r w:rsidR="00B141B8" w:rsidRPr="00336E5B">
        <w:rPr>
          <w:rFonts w:asciiTheme="minorHAnsi" w:hAnsiTheme="minorHAnsi" w:cstheme="minorHAnsi"/>
          <w:lang w:val="tr-TR"/>
        </w:rPr>
        <w:t xml:space="preserve">işyeri ve </w:t>
      </w:r>
      <w:r w:rsidR="00D86ED0" w:rsidRPr="00336E5B">
        <w:rPr>
          <w:rFonts w:asciiTheme="minorHAnsi" w:hAnsiTheme="minorHAnsi" w:cstheme="minorHAnsi"/>
          <w:lang w:val="tr-TR"/>
        </w:rPr>
        <w:t>5</w:t>
      </w:r>
      <w:r w:rsidR="00E10FA7" w:rsidRPr="00336E5B">
        <w:rPr>
          <w:rFonts w:asciiTheme="minorHAnsi" w:hAnsiTheme="minorHAnsi" w:cstheme="minorHAnsi"/>
          <w:lang w:val="tr-TR"/>
        </w:rPr>
        <w:t>96.416</w:t>
      </w:r>
      <w:r w:rsidR="00B141B8" w:rsidRPr="00336E5B">
        <w:rPr>
          <w:rFonts w:asciiTheme="minorHAnsi" w:hAnsiTheme="minorHAnsi" w:cstheme="minorHAnsi"/>
          <w:lang w:val="tr-TR"/>
        </w:rPr>
        <w:t xml:space="preserve"> konut amaçlı bağımsız b</w:t>
      </w:r>
      <w:r w:rsidR="00D86ED0" w:rsidRPr="00336E5B">
        <w:rPr>
          <w:rFonts w:asciiTheme="minorHAnsi" w:hAnsiTheme="minorHAnsi" w:cstheme="minorHAnsi"/>
          <w:lang w:val="tr-TR"/>
        </w:rPr>
        <w:t>ölümün</w:t>
      </w:r>
      <w:r w:rsidR="00B141B8" w:rsidRPr="00336E5B">
        <w:rPr>
          <w:rFonts w:asciiTheme="minorHAnsi" w:hAnsiTheme="minorHAnsi" w:cstheme="minorHAnsi"/>
          <w:lang w:val="tr-TR"/>
        </w:rPr>
        <w:t xml:space="preserve"> </w:t>
      </w:r>
      <w:r w:rsidR="00D86ED0" w:rsidRPr="00336E5B">
        <w:rPr>
          <w:rFonts w:asciiTheme="minorHAnsi" w:hAnsiTheme="minorHAnsi" w:cstheme="minorHAnsi"/>
          <w:lang w:val="tr-TR"/>
        </w:rPr>
        <w:t xml:space="preserve">yeniden yapılması gerekeceğini </w:t>
      </w:r>
      <w:r w:rsidR="00746B26" w:rsidRPr="00336E5B">
        <w:rPr>
          <w:rFonts w:asciiTheme="minorHAnsi" w:hAnsiTheme="minorHAnsi" w:cstheme="minorHAnsi"/>
          <w:lang w:val="tr-TR"/>
        </w:rPr>
        <w:t>kabul ediyoruz</w:t>
      </w:r>
      <w:r w:rsidR="00B141B8" w:rsidRPr="00336E5B">
        <w:rPr>
          <w:rFonts w:asciiTheme="minorHAnsi" w:hAnsiTheme="minorHAnsi" w:cstheme="minorHAnsi"/>
          <w:lang w:val="tr-TR"/>
        </w:rPr>
        <w:t xml:space="preserve">.  </w:t>
      </w:r>
    </w:p>
    <w:p w14:paraId="63CE7CA1" w14:textId="65AF932C" w:rsidR="00B141B8" w:rsidRPr="00336E5B" w:rsidRDefault="008C29BF" w:rsidP="00020AF2">
      <w:pPr>
        <w:spacing w:after="120"/>
        <w:rPr>
          <w:rFonts w:asciiTheme="minorHAnsi" w:hAnsiTheme="minorHAnsi" w:cstheme="minorHAnsi"/>
          <w:lang w:val="tr-TR"/>
        </w:rPr>
      </w:pPr>
      <w:r w:rsidRPr="00336E5B">
        <w:rPr>
          <w:rFonts w:asciiTheme="minorHAnsi" w:hAnsiTheme="minorHAnsi" w:cstheme="minorHAnsi"/>
          <w:lang w:val="tr-TR"/>
        </w:rPr>
        <w:t xml:space="preserve">Yukarıda da not ettiğimiz gibi </w:t>
      </w:r>
      <w:r w:rsidR="005964E8" w:rsidRPr="00336E5B">
        <w:rPr>
          <w:rFonts w:asciiTheme="minorHAnsi" w:hAnsiTheme="minorHAnsi" w:cstheme="minorHAnsi"/>
          <w:lang w:val="tr-TR"/>
        </w:rPr>
        <w:t xml:space="preserve">hükümet </w:t>
      </w:r>
      <w:r w:rsidRPr="00336E5B">
        <w:rPr>
          <w:rFonts w:asciiTheme="minorHAnsi" w:hAnsiTheme="minorHAnsi" w:cstheme="minorHAnsi"/>
          <w:lang w:val="tr-TR"/>
        </w:rPr>
        <w:t xml:space="preserve">geçtiğimiz hafta içerisinde </w:t>
      </w:r>
      <w:r w:rsidR="005964E8" w:rsidRPr="00336E5B">
        <w:rPr>
          <w:rFonts w:asciiTheme="minorHAnsi" w:hAnsiTheme="minorHAnsi" w:cstheme="minorHAnsi"/>
          <w:lang w:val="tr-TR"/>
        </w:rPr>
        <w:t>orta hasarlı binaların da yıkılmasına</w:t>
      </w:r>
      <w:r w:rsidR="00DD03F6" w:rsidRPr="00336E5B">
        <w:rPr>
          <w:rFonts w:asciiTheme="minorHAnsi" w:hAnsiTheme="minorHAnsi" w:cstheme="minorHAnsi"/>
          <w:lang w:val="tr-TR"/>
        </w:rPr>
        <w:t>,</w:t>
      </w:r>
      <w:r w:rsidR="005964E8" w:rsidRPr="00336E5B">
        <w:rPr>
          <w:rFonts w:asciiTheme="minorHAnsi" w:hAnsiTheme="minorHAnsi" w:cstheme="minorHAnsi"/>
          <w:lang w:val="tr-TR"/>
        </w:rPr>
        <w:t xml:space="preserve"> mülk sahipleri</w:t>
      </w:r>
      <w:r w:rsidR="00DD03F6" w:rsidRPr="00336E5B">
        <w:rPr>
          <w:rFonts w:asciiTheme="minorHAnsi" w:hAnsiTheme="minorHAnsi" w:cstheme="minorHAnsi"/>
          <w:lang w:val="tr-TR"/>
        </w:rPr>
        <w:t xml:space="preserve"> için</w:t>
      </w:r>
      <w:r w:rsidR="005964E8" w:rsidRPr="00336E5B">
        <w:rPr>
          <w:rFonts w:asciiTheme="minorHAnsi" w:hAnsiTheme="minorHAnsi" w:cstheme="minorHAnsi"/>
          <w:lang w:val="tr-TR"/>
        </w:rPr>
        <w:t xml:space="preserve"> yeni binaların inşa edilmesine karar vermiştir.  </w:t>
      </w:r>
      <w:r w:rsidR="00384F61" w:rsidRPr="00336E5B">
        <w:rPr>
          <w:rFonts w:asciiTheme="minorHAnsi" w:hAnsiTheme="minorHAnsi" w:cstheme="minorHAnsi"/>
          <w:lang w:val="tr-TR"/>
        </w:rPr>
        <w:t xml:space="preserve">Bu durumda yaptığımız hesaba göre bütün hasar tespit çalışmaları tamamlandığında </w:t>
      </w:r>
      <w:r w:rsidR="00182D5B" w:rsidRPr="00336E5B">
        <w:rPr>
          <w:rFonts w:asciiTheme="minorHAnsi" w:hAnsiTheme="minorHAnsi" w:cstheme="minorHAnsi"/>
          <w:lang w:val="tr-TR"/>
        </w:rPr>
        <w:t>6</w:t>
      </w:r>
      <w:r w:rsidR="00384F61" w:rsidRPr="00336E5B">
        <w:rPr>
          <w:rFonts w:asciiTheme="minorHAnsi" w:hAnsiTheme="minorHAnsi" w:cstheme="minorHAnsi"/>
          <w:lang w:val="tr-TR"/>
        </w:rPr>
        <w:t>8</w:t>
      </w:r>
      <w:r w:rsidR="00182D5B" w:rsidRPr="00336E5B">
        <w:rPr>
          <w:rFonts w:asciiTheme="minorHAnsi" w:hAnsiTheme="minorHAnsi" w:cstheme="minorHAnsi"/>
          <w:lang w:val="tr-TR"/>
        </w:rPr>
        <w:t>5</w:t>
      </w:r>
      <w:r w:rsidR="00384F61" w:rsidRPr="00336E5B">
        <w:rPr>
          <w:rFonts w:asciiTheme="minorHAnsi" w:hAnsiTheme="minorHAnsi" w:cstheme="minorHAnsi"/>
          <w:lang w:val="tr-TR"/>
        </w:rPr>
        <w:t>.</w:t>
      </w:r>
      <w:r w:rsidR="00182D5B" w:rsidRPr="00336E5B">
        <w:rPr>
          <w:rFonts w:asciiTheme="minorHAnsi" w:hAnsiTheme="minorHAnsi" w:cstheme="minorHAnsi"/>
          <w:lang w:val="tr-TR"/>
        </w:rPr>
        <w:t>5</w:t>
      </w:r>
      <w:r w:rsidR="00384F61" w:rsidRPr="00336E5B">
        <w:rPr>
          <w:rFonts w:asciiTheme="minorHAnsi" w:hAnsiTheme="minorHAnsi" w:cstheme="minorHAnsi"/>
          <w:lang w:val="tr-TR"/>
        </w:rPr>
        <w:t>21’i konut bağımsız bölümü, 1</w:t>
      </w:r>
      <w:r w:rsidR="00182D5B" w:rsidRPr="00336E5B">
        <w:rPr>
          <w:rFonts w:asciiTheme="minorHAnsi" w:hAnsiTheme="minorHAnsi" w:cstheme="minorHAnsi"/>
          <w:lang w:val="tr-TR"/>
        </w:rPr>
        <w:t>29</w:t>
      </w:r>
      <w:r w:rsidR="00384F61" w:rsidRPr="00336E5B">
        <w:rPr>
          <w:rFonts w:asciiTheme="minorHAnsi" w:hAnsiTheme="minorHAnsi" w:cstheme="minorHAnsi"/>
          <w:lang w:val="tr-TR"/>
        </w:rPr>
        <w:t>.</w:t>
      </w:r>
      <w:r w:rsidR="00182D5B" w:rsidRPr="00336E5B">
        <w:rPr>
          <w:rFonts w:asciiTheme="minorHAnsi" w:hAnsiTheme="minorHAnsi" w:cstheme="minorHAnsi"/>
          <w:lang w:val="tr-TR"/>
        </w:rPr>
        <w:t>798</w:t>
      </w:r>
      <w:r w:rsidR="00384F61" w:rsidRPr="00336E5B">
        <w:rPr>
          <w:rFonts w:asciiTheme="minorHAnsi" w:hAnsiTheme="minorHAnsi" w:cstheme="minorHAnsi"/>
          <w:lang w:val="tr-TR"/>
        </w:rPr>
        <w:t>’</w:t>
      </w:r>
      <w:r w:rsidR="00182D5B" w:rsidRPr="00336E5B">
        <w:rPr>
          <w:rFonts w:asciiTheme="minorHAnsi" w:hAnsiTheme="minorHAnsi" w:cstheme="minorHAnsi"/>
          <w:lang w:val="tr-TR"/>
        </w:rPr>
        <w:t>i</w:t>
      </w:r>
      <w:r w:rsidR="00384F61" w:rsidRPr="00336E5B">
        <w:rPr>
          <w:rFonts w:asciiTheme="minorHAnsi" w:hAnsiTheme="minorHAnsi" w:cstheme="minorHAnsi"/>
          <w:lang w:val="tr-TR"/>
        </w:rPr>
        <w:t xml:space="preserve"> bağımsız işyeri bölümü, 11.000’i bağımsız işyeri binası, 17.500’ü ahır, 32.500’ü diğer hane bağımsız bölümü olmak üzere toplam 865.319 bağımsız bölüm yeniden inşa edilecektir.  Bakanlıktan verilen bilgileri dikkate aldığımızda</w:t>
      </w:r>
      <w:r w:rsidR="00631151" w:rsidRPr="00336E5B">
        <w:rPr>
          <w:rFonts w:asciiTheme="minorHAnsi" w:hAnsiTheme="minorHAnsi" w:cstheme="minorHAnsi"/>
          <w:lang w:val="tr-TR"/>
        </w:rPr>
        <w:t xml:space="preserve"> i</w:t>
      </w:r>
      <w:r w:rsidR="005C1138" w:rsidRPr="00336E5B">
        <w:rPr>
          <w:rFonts w:asciiTheme="minorHAnsi" w:hAnsiTheme="minorHAnsi" w:cstheme="minorHAnsi"/>
          <w:lang w:val="tr-TR"/>
        </w:rPr>
        <w:t>nşa</w:t>
      </w:r>
      <w:r w:rsidR="00631151" w:rsidRPr="00336E5B">
        <w:rPr>
          <w:rFonts w:asciiTheme="minorHAnsi" w:hAnsiTheme="minorHAnsi" w:cstheme="minorHAnsi"/>
          <w:lang w:val="tr-TR"/>
        </w:rPr>
        <w:t xml:space="preserve"> edil</w:t>
      </w:r>
      <w:r w:rsidR="00384F61" w:rsidRPr="00336E5B">
        <w:rPr>
          <w:rFonts w:asciiTheme="minorHAnsi" w:hAnsiTheme="minorHAnsi" w:cstheme="minorHAnsi"/>
          <w:lang w:val="tr-TR"/>
        </w:rPr>
        <w:t xml:space="preserve">ecek konutların 85.000’i köy evi, </w:t>
      </w:r>
      <w:r w:rsidR="00335949" w:rsidRPr="00336E5B">
        <w:rPr>
          <w:rFonts w:asciiTheme="minorHAnsi" w:hAnsiTheme="minorHAnsi" w:cstheme="minorHAnsi"/>
          <w:lang w:val="tr-TR"/>
        </w:rPr>
        <w:t>600</w:t>
      </w:r>
      <w:r w:rsidR="00384F61" w:rsidRPr="00336E5B">
        <w:rPr>
          <w:rFonts w:asciiTheme="minorHAnsi" w:hAnsiTheme="minorHAnsi" w:cstheme="minorHAnsi"/>
          <w:lang w:val="tr-TR"/>
        </w:rPr>
        <w:t>.</w:t>
      </w:r>
      <w:r w:rsidR="00335949" w:rsidRPr="00336E5B">
        <w:rPr>
          <w:rFonts w:asciiTheme="minorHAnsi" w:hAnsiTheme="minorHAnsi" w:cstheme="minorHAnsi"/>
          <w:lang w:val="tr-TR"/>
        </w:rPr>
        <w:t>5</w:t>
      </w:r>
      <w:r w:rsidR="00384F61" w:rsidRPr="00336E5B">
        <w:rPr>
          <w:rFonts w:asciiTheme="minorHAnsi" w:hAnsiTheme="minorHAnsi" w:cstheme="minorHAnsi"/>
          <w:lang w:val="tr-TR"/>
        </w:rPr>
        <w:t>21’i ise dört katlı apartmanlarda konut bağımsız bölümü olarak inşa edilecektir.</w:t>
      </w:r>
      <w:r w:rsidR="005C1138" w:rsidRPr="00336E5B">
        <w:rPr>
          <w:rFonts w:asciiTheme="minorHAnsi" w:hAnsiTheme="minorHAnsi" w:cstheme="minorHAnsi"/>
          <w:lang w:val="tr-TR"/>
        </w:rPr>
        <w:t xml:space="preserve"> </w:t>
      </w:r>
      <w:r w:rsidR="00F9636A" w:rsidRPr="00336E5B">
        <w:rPr>
          <w:rFonts w:asciiTheme="minorHAnsi" w:hAnsiTheme="minorHAnsi" w:cstheme="minorHAnsi"/>
          <w:lang w:val="tr-TR"/>
        </w:rPr>
        <w:t>K</w:t>
      </w:r>
      <w:r w:rsidR="00EA52B0" w:rsidRPr="00336E5B">
        <w:rPr>
          <w:rFonts w:asciiTheme="minorHAnsi" w:hAnsiTheme="minorHAnsi" w:cstheme="minorHAnsi"/>
          <w:lang w:val="tr-TR"/>
        </w:rPr>
        <w:t>öy ev</w:t>
      </w:r>
      <w:r w:rsidR="00384F61" w:rsidRPr="00336E5B">
        <w:rPr>
          <w:rFonts w:asciiTheme="minorHAnsi" w:hAnsiTheme="minorHAnsi" w:cstheme="minorHAnsi"/>
          <w:lang w:val="tr-TR"/>
        </w:rPr>
        <w:t>lerinin</w:t>
      </w:r>
      <w:r w:rsidR="00EA52B0" w:rsidRPr="00336E5B">
        <w:rPr>
          <w:rFonts w:asciiTheme="minorHAnsi" w:hAnsiTheme="minorHAnsi" w:cstheme="minorHAnsi"/>
          <w:lang w:val="tr-TR"/>
        </w:rPr>
        <w:t xml:space="preserve"> apartman daire</w:t>
      </w:r>
      <w:r w:rsidR="00384F61" w:rsidRPr="00336E5B">
        <w:rPr>
          <w:rFonts w:asciiTheme="minorHAnsi" w:hAnsiTheme="minorHAnsi" w:cstheme="minorHAnsi"/>
          <w:lang w:val="tr-TR"/>
        </w:rPr>
        <w:t>lerine</w:t>
      </w:r>
      <w:r w:rsidR="00EA52B0" w:rsidRPr="00336E5B">
        <w:rPr>
          <w:rFonts w:asciiTheme="minorHAnsi" w:hAnsiTheme="minorHAnsi" w:cstheme="minorHAnsi"/>
          <w:lang w:val="tr-TR"/>
        </w:rPr>
        <w:t xml:space="preserve"> göre daha küçük ve yaklaşık </w:t>
      </w:r>
      <w:r w:rsidR="000D510F">
        <w:rPr>
          <w:rFonts w:asciiTheme="minorHAnsi" w:hAnsiTheme="minorHAnsi" w:cstheme="minorHAnsi"/>
          <w:lang w:val="tr-TR"/>
        </w:rPr>
        <w:t xml:space="preserve">yüzde </w:t>
      </w:r>
      <w:r w:rsidR="00EA52B0" w:rsidRPr="00336E5B">
        <w:rPr>
          <w:rFonts w:asciiTheme="minorHAnsi" w:hAnsiTheme="minorHAnsi" w:cstheme="minorHAnsi"/>
          <w:lang w:val="tr-TR"/>
        </w:rPr>
        <w:t>3</w:t>
      </w:r>
      <w:r w:rsidR="006157D9" w:rsidRPr="00336E5B">
        <w:rPr>
          <w:rFonts w:asciiTheme="minorHAnsi" w:hAnsiTheme="minorHAnsi" w:cstheme="minorHAnsi"/>
          <w:lang w:val="tr-TR"/>
        </w:rPr>
        <w:t>5</w:t>
      </w:r>
      <w:r w:rsidR="00EA52B0" w:rsidRPr="00336E5B">
        <w:rPr>
          <w:rFonts w:asciiTheme="minorHAnsi" w:hAnsiTheme="minorHAnsi" w:cstheme="minorHAnsi"/>
          <w:lang w:val="tr-TR"/>
        </w:rPr>
        <w:t xml:space="preserve"> daha düşük maliyetli olacağını varsayıyoruz.</w:t>
      </w:r>
    </w:p>
    <w:p w14:paraId="114F0F8E" w14:textId="520459AB" w:rsidR="00894103" w:rsidRPr="00336E5B" w:rsidRDefault="00384F61" w:rsidP="00020AF2">
      <w:pPr>
        <w:spacing w:after="120"/>
        <w:rPr>
          <w:rFonts w:asciiTheme="minorHAnsi" w:hAnsiTheme="minorHAnsi" w:cstheme="minorHAnsi"/>
          <w:lang w:val="tr-TR"/>
        </w:rPr>
      </w:pPr>
      <w:r w:rsidRPr="00336E5B">
        <w:rPr>
          <w:rFonts w:asciiTheme="minorHAnsi" w:hAnsiTheme="minorHAnsi" w:cstheme="minorHAnsi"/>
          <w:lang w:val="tr-TR"/>
        </w:rPr>
        <w:t>Maliyet hesaplarında az hasarlı konut ve işyerlerinde yapılacak tamirat ve güçlendirme çalışmalarının maliyetlerini de toplam inşaat maliyetine ekleme</w:t>
      </w:r>
      <w:r w:rsidR="00AE1EB9" w:rsidRPr="00336E5B">
        <w:rPr>
          <w:rFonts w:asciiTheme="minorHAnsi" w:hAnsiTheme="minorHAnsi" w:cstheme="minorHAnsi"/>
          <w:lang w:val="tr-TR"/>
        </w:rPr>
        <w:t>k</w:t>
      </w:r>
      <w:r w:rsidRPr="00336E5B">
        <w:rPr>
          <w:rFonts w:asciiTheme="minorHAnsi" w:hAnsiTheme="minorHAnsi" w:cstheme="minorHAnsi"/>
          <w:lang w:val="tr-TR"/>
        </w:rPr>
        <w:t xml:space="preserve"> gereki</w:t>
      </w:r>
      <w:r w:rsidR="00495642" w:rsidRPr="00336E5B">
        <w:rPr>
          <w:rFonts w:asciiTheme="minorHAnsi" w:hAnsiTheme="minorHAnsi" w:cstheme="minorHAnsi"/>
          <w:lang w:val="tr-TR"/>
        </w:rPr>
        <w:t>yor</w:t>
      </w:r>
      <w:r w:rsidRPr="00336E5B">
        <w:rPr>
          <w:rFonts w:asciiTheme="minorHAnsi" w:hAnsiTheme="minorHAnsi" w:cstheme="minorHAnsi"/>
          <w:lang w:val="tr-TR"/>
        </w:rPr>
        <w:t xml:space="preserve">.  Bu çerçevede </w:t>
      </w:r>
      <w:r w:rsidR="00AE1EB9" w:rsidRPr="00336E5B">
        <w:rPr>
          <w:rFonts w:asciiTheme="minorHAnsi" w:hAnsiTheme="minorHAnsi" w:cstheme="minorHAnsi"/>
          <w:lang w:val="tr-TR"/>
        </w:rPr>
        <w:t>10</w:t>
      </w:r>
      <w:r w:rsidR="00894103" w:rsidRPr="00336E5B">
        <w:rPr>
          <w:rFonts w:asciiTheme="minorHAnsi" w:hAnsiTheme="minorHAnsi" w:cstheme="minorHAnsi"/>
          <w:lang w:val="tr-TR"/>
        </w:rPr>
        <w:t xml:space="preserve">.000 büyük işyeri binası ve </w:t>
      </w:r>
      <w:r w:rsidR="00AE1EB9" w:rsidRPr="00336E5B">
        <w:rPr>
          <w:rFonts w:asciiTheme="minorHAnsi" w:hAnsiTheme="minorHAnsi" w:cstheme="minorHAnsi"/>
          <w:lang w:val="tr-TR"/>
        </w:rPr>
        <w:t>2</w:t>
      </w:r>
      <w:r w:rsidR="00495642" w:rsidRPr="00336E5B">
        <w:rPr>
          <w:rFonts w:asciiTheme="minorHAnsi" w:hAnsiTheme="minorHAnsi" w:cstheme="minorHAnsi"/>
          <w:lang w:val="tr-TR"/>
        </w:rPr>
        <w:t>41</w:t>
      </w:r>
      <w:r w:rsidR="00AE1EB9" w:rsidRPr="00336E5B">
        <w:rPr>
          <w:rFonts w:asciiTheme="minorHAnsi" w:hAnsiTheme="minorHAnsi" w:cstheme="minorHAnsi"/>
          <w:lang w:val="tr-TR"/>
        </w:rPr>
        <w:t>.</w:t>
      </w:r>
      <w:r w:rsidR="00495642" w:rsidRPr="00336E5B">
        <w:rPr>
          <w:rFonts w:asciiTheme="minorHAnsi" w:hAnsiTheme="minorHAnsi" w:cstheme="minorHAnsi"/>
          <w:lang w:val="tr-TR"/>
        </w:rPr>
        <w:t>711</w:t>
      </w:r>
      <w:r w:rsidR="00894103" w:rsidRPr="00336E5B">
        <w:rPr>
          <w:rFonts w:asciiTheme="minorHAnsi" w:hAnsiTheme="minorHAnsi" w:cstheme="minorHAnsi"/>
          <w:lang w:val="tr-TR"/>
        </w:rPr>
        <w:t xml:space="preserve"> bağımsız </w:t>
      </w:r>
      <w:r w:rsidR="00AE1EB9" w:rsidRPr="00336E5B">
        <w:rPr>
          <w:rFonts w:asciiTheme="minorHAnsi" w:hAnsiTheme="minorHAnsi" w:cstheme="minorHAnsi"/>
          <w:lang w:val="tr-TR"/>
        </w:rPr>
        <w:t xml:space="preserve">işyeri </w:t>
      </w:r>
      <w:r w:rsidR="00894103" w:rsidRPr="00336E5B">
        <w:rPr>
          <w:rFonts w:asciiTheme="minorHAnsi" w:hAnsiTheme="minorHAnsi" w:cstheme="minorHAnsi"/>
          <w:lang w:val="tr-TR"/>
        </w:rPr>
        <w:t>b</w:t>
      </w:r>
      <w:r w:rsidR="00AE1EB9" w:rsidRPr="00336E5B">
        <w:rPr>
          <w:rFonts w:asciiTheme="minorHAnsi" w:hAnsiTheme="minorHAnsi" w:cstheme="minorHAnsi"/>
          <w:lang w:val="tr-TR"/>
        </w:rPr>
        <w:t>ölümü</w:t>
      </w:r>
      <w:r w:rsidR="00495642" w:rsidRPr="00336E5B">
        <w:rPr>
          <w:rFonts w:asciiTheme="minorHAnsi" w:hAnsiTheme="minorHAnsi" w:cstheme="minorHAnsi"/>
          <w:lang w:val="tr-TR"/>
        </w:rPr>
        <w:t xml:space="preserve"> ve</w:t>
      </w:r>
      <w:r w:rsidR="00894103" w:rsidRPr="00336E5B">
        <w:rPr>
          <w:rFonts w:asciiTheme="minorHAnsi" w:hAnsiTheme="minorHAnsi" w:cstheme="minorHAnsi"/>
          <w:lang w:val="tr-TR"/>
        </w:rPr>
        <w:t xml:space="preserve"> </w:t>
      </w:r>
      <w:r w:rsidR="00AE1EB9" w:rsidRPr="00336E5B">
        <w:rPr>
          <w:rFonts w:asciiTheme="minorHAnsi" w:hAnsiTheme="minorHAnsi" w:cstheme="minorHAnsi"/>
          <w:lang w:val="tr-TR"/>
        </w:rPr>
        <w:t>1.3</w:t>
      </w:r>
      <w:r w:rsidR="00495642" w:rsidRPr="00336E5B">
        <w:rPr>
          <w:rFonts w:asciiTheme="minorHAnsi" w:hAnsiTheme="minorHAnsi" w:cstheme="minorHAnsi"/>
          <w:lang w:val="tr-TR"/>
        </w:rPr>
        <w:t>69.693</w:t>
      </w:r>
      <w:r w:rsidR="00894103" w:rsidRPr="00336E5B">
        <w:rPr>
          <w:rFonts w:asciiTheme="minorHAnsi" w:hAnsiTheme="minorHAnsi" w:cstheme="minorHAnsi"/>
          <w:lang w:val="tr-TR"/>
        </w:rPr>
        <w:t xml:space="preserve"> bağımsız </w:t>
      </w:r>
      <w:r w:rsidR="00AE1EB9" w:rsidRPr="00336E5B">
        <w:rPr>
          <w:rFonts w:asciiTheme="minorHAnsi" w:hAnsiTheme="minorHAnsi" w:cstheme="minorHAnsi"/>
          <w:lang w:val="tr-TR"/>
        </w:rPr>
        <w:t>konu</w:t>
      </w:r>
      <w:r w:rsidR="00495642" w:rsidRPr="00336E5B">
        <w:rPr>
          <w:rFonts w:asciiTheme="minorHAnsi" w:hAnsiTheme="minorHAnsi" w:cstheme="minorHAnsi"/>
          <w:lang w:val="tr-TR"/>
        </w:rPr>
        <w:t>t</w:t>
      </w:r>
      <w:r w:rsidR="00AE1EB9" w:rsidRPr="00336E5B">
        <w:rPr>
          <w:rFonts w:asciiTheme="minorHAnsi" w:hAnsiTheme="minorHAnsi" w:cstheme="minorHAnsi"/>
          <w:lang w:val="tr-TR"/>
        </w:rPr>
        <w:t xml:space="preserve"> bölümüyle birlikte toplam 1.611.403 bağımsız bölümünün </w:t>
      </w:r>
      <w:r w:rsidR="00894103" w:rsidRPr="00336E5B">
        <w:rPr>
          <w:rFonts w:asciiTheme="minorHAnsi" w:hAnsiTheme="minorHAnsi" w:cstheme="minorHAnsi"/>
          <w:lang w:val="tr-TR"/>
        </w:rPr>
        <w:t xml:space="preserve">az hasarlı olduğunu </w:t>
      </w:r>
      <w:r w:rsidR="00AE1EB9" w:rsidRPr="00336E5B">
        <w:rPr>
          <w:rFonts w:asciiTheme="minorHAnsi" w:hAnsiTheme="minorHAnsi" w:cstheme="minorHAnsi"/>
          <w:lang w:val="tr-TR"/>
        </w:rPr>
        <w:t>kabul ediyoruz</w:t>
      </w:r>
      <w:r w:rsidR="00894103" w:rsidRPr="00336E5B">
        <w:rPr>
          <w:rFonts w:asciiTheme="minorHAnsi" w:hAnsiTheme="minorHAnsi" w:cstheme="minorHAnsi"/>
          <w:lang w:val="tr-TR"/>
        </w:rPr>
        <w:t>.</w:t>
      </w:r>
    </w:p>
    <w:p w14:paraId="7E112535" w14:textId="376D07E2" w:rsidR="00716249" w:rsidRPr="00336E5B" w:rsidRDefault="00716249" w:rsidP="00716249">
      <w:pPr>
        <w:spacing w:after="120"/>
        <w:rPr>
          <w:rFonts w:asciiTheme="minorHAnsi" w:hAnsiTheme="minorHAnsi" w:cstheme="minorHAnsi"/>
          <w:lang w:val="tr-TR"/>
        </w:rPr>
      </w:pPr>
      <w:r w:rsidRPr="00336E5B">
        <w:rPr>
          <w:rFonts w:asciiTheme="minorHAnsi" w:hAnsiTheme="minorHAnsi" w:cstheme="minorHAnsi"/>
          <w:lang w:val="tr-TR"/>
        </w:rPr>
        <w:lastRenderedPageBreak/>
        <w:t>Bütün hasar kategorilerindeki bağımsız işyeri binaları ve b</w:t>
      </w:r>
      <w:r w:rsidR="004C12EB" w:rsidRPr="00336E5B">
        <w:rPr>
          <w:rFonts w:asciiTheme="minorHAnsi" w:hAnsiTheme="minorHAnsi" w:cstheme="minorHAnsi"/>
          <w:lang w:val="tr-TR"/>
        </w:rPr>
        <w:t xml:space="preserve">ölümlerinin </w:t>
      </w:r>
      <w:r w:rsidRPr="00336E5B">
        <w:rPr>
          <w:rFonts w:asciiTheme="minorHAnsi" w:hAnsiTheme="minorHAnsi" w:cstheme="minorHAnsi"/>
          <w:lang w:val="tr-TR"/>
        </w:rPr>
        <w:t>toplamı</w:t>
      </w:r>
      <w:r w:rsidR="00E10FA7" w:rsidRPr="00336E5B">
        <w:rPr>
          <w:rFonts w:asciiTheme="minorHAnsi" w:hAnsiTheme="minorHAnsi" w:cstheme="minorHAnsi"/>
          <w:lang w:val="tr-TR"/>
        </w:rPr>
        <w:t xml:space="preserve"> </w:t>
      </w:r>
      <w:r w:rsidR="00D500CA" w:rsidRPr="00336E5B">
        <w:rPr>
          <w:rFonts w:asciiTheme="minorHAnsi" w:hAnsiTheme="minorHAnsi" w:cstheme="minorHAnsi"/>
          <w:lang w:val="tr-TR"/>
        </w:rPr>
        <w:t>7</w:t>
      </w:r>
      <w:r w:rsidR="004C12EB" w:rsidRPr="00336E5B">
        <w:rPr>
          <w:rFonts w:asciiTheme="minorHAnsi" w:hAnsiTheme="minorHAnsi" w:cstheme="minorHAnsi"/>
          <w:lang w:val="tr-TR"/>
        </w:rPr>
        <w:t>51.</w:t>
      </w:r>
      <w:r w:rsidR="00D500CA" w:rsidRPr="00336E5B">
        <w:rPr>
          <w:rFonts w:asciiTheme="minorHAnsi" w:hAnsiTheme="minorHAnsi" w:cstheme="minorHAnsi"/>
          <w:lang w:val="tr-TR"/>
        </w:rPr>
        <w:t>614</w:t>
      </w:r>
      <w:r w:rsidRPr="00336E5B">
        <w:rPr>
          <w:rFonts w:asciiTheme="minorHAnsi" w:hAnsiTheme="minorHAnsi" w:cstheme="minorHAnsi"/>
          <w:lang w:val="tr-TR"/>
        </w:rPr>
        <w:t>’</w:t>
      </w:r>
      <w:r w:rsidR="00D500CA" w:rsidRPr="00336E5B">
        <w:rPr>
          <w:rFonts w:asciiTheme="minorHAnsi" w:hAnsiTheme="minorHAnsi" w:cstheme="minorHAnsi"/>
          <w:lang w:val="tr-TR"/>
        </w:rPr>
        <w:t>e</w:t>
      </w:r>
      <w:r w:rsidRPr="00336E5B">
        <w:rPr>
          <w:rFonts w:asciiTheme="minorHAnsi" w:hAnsiTheme="minorHAnsi" w:cstheme="minorHAnsi"/>
          <w:lang w:val="tr-TR"/>
        </w:rPr>
        <w:t xml:space="preserve"> ulaşmaktadır. DB-11 bölgesinde toplam işyeri sayısıyla ilgili bir referans olması amacıyla</w:t>
      </w:r>
      <w:r w:rsidR="007F2F0A" w:rsidRPr="00336E5B">
        <w:rPr>
          <w:rFonts w:asciiTheme="minorHAnsi" w:hAnsiTheme="minorHAnsi" w:cstheme="minorHAnsi"/>
          <w:lang w:val="tr-TR"/>
        </w:rPr>
        <w:t>,</w:t>
      </w:r>
      <w:r w:rsidRPr="00336E5B">
        <w:rPr>
          <w:rFonts w:asciiTheme="minorHAnsi" w:hAnsiTheme="minorHAnsi" w:cstheme="minorHAnsi"/>
          <w:lang w:val="tr-TR"/>
        </w:rPr>
        <w:t xml:space="preserve"> TÜİK’in hem çalışan sayısına göre büyüklük hem de sektör ve il bazında yayınladığı işyeri sayısı istatistiklerin</w:t>
      </w:r>
      <w:r w:rsidR="007F2F0A" w:rsidRPr="00336E5B">
        <w:rPr>
          <w:rFonts w:asciiTheme="minorHAnsi" w:hAnsiTheme="minorHAnsi" w:cstheme="minorHAnsi"/>
          <w:lang w:val="tr-TR"/>
        </w:rPr>
        <w:t>i</w:t>
      </w:r>
      <w:r w:rsidRPr="00336E5B">
        <w:rPr>
          <w:rFonts w:asciiTheme="minorHAnsi" w:hAnsiTheme="minorHAnsi" w:cstheme="minorHAnsi"/>
          <w:lang w:val="tr-TR"/>
        </w:rPr>
        <w:t xml:space="preserve"> kullandık. Resmi istatistiklere göre DB-11 bölgesinde </w:t>
      </w:r>
      <w:r w:rsidR="009705B7" w:rsidRPr="00336E5B">
        <w:rPr>
          <w:rFonts w:asciiTheme="minorHAnsi" w:hAnsiTheme="minorHAnsi" w:cstheme="minorHAnsi"/>
          <w:lang w:val="tr-TR"/>
        </w:rPr>
        <w:t xml:space="preserve">2021 yılı itibarıyla </w:t>
      </w:r>
      <w:r w:rsidRPr="00336E5B">
        <w:rPr>
          <w:rFonts w:asciiTheme="minorHAnsi" w:hAnsiTheme="minorHAnsi" w:cstheme="minorHAnsi"/>
          <w:lang w:val="tr-TR"/>
        </w:rPr>
        <w:t>toplamda 538.</w:t>
      </w:r>
      <w:r w:rsidR="009D0830" w:rsidRPr="00336E5B">
        <w:rPr>
          <w:rFonts w:asciiTheme="minorHAnsi" w:hAnsiTheme="minorHAnsi" w:cstheme="minorHAnsi"/>
          <w:lang w:val="tr-TR"/>
        </w:rPr>
        <w:t>276</w:t>
      </w:r>
      <w:r w:rsidRPr="00336E5B">
        <w:rPr>
          <w:rFonts w:asciiTheme="minorHAnsi" w:hAnsiTheme="minorHAnsi" w:cstheme="minorHAnsi"/>
          <w:lang w:val="tr-TR"/>
        </w:rPr>
        <w:t xml:space="preserve"> işyeri bulunmaktadır. Ancak her işyerinin birden fazla bağımsız birimde faaliyetini sürdürmesi</w:t>
      </w:r>
      <w:r w:rsidR="009D0830" w:rsidRPr="00336E5B">
        <w:rPr>
          <w:rFonts w:asciiTheme="minorHAnsi" w:hAnsiTheme="minorHAnsi" w:cstheme="minorHAnsi"/>
          <w:lang w:val="tr-TR"/>
        </w:rPr>
        <w:t xml:space="preserve">, bir yıl içinde işyeri sayısındaki artış </w:t>
      </w:r>
      <w:r w:rsidRPr="00336E5B">
        <w:rPr>
          <w:rFonts w:asciiTheme="minorHAnsi" w:hAnsiTheme="minorHAnsi" w:cstheme="minorHAnsi"/>
          <w:lang w:val="tr-TR"/>
        </w:rPr>
        <w:t>ve kayıt dışı işyerlerinin de olma</w:t>
      </w:r>
      <w:r w:rsidR="009D0830" w:rsidRPr="00336E5B">
        <w:rPr>
          <w:rFonts w:asciiTheme="minorHAnsi" w:hAnsiTheme="minorHAnsi" w:cstheme="minorHAnsi"/>
          <w:lang w:val="tr-TR"/>
        </w:rPr>
        <w:t>sı</w:t>
      </w:r>
      <w:r w:rsidRPr="00336E5B">
        <w:rPr>
          <w:rFonts w:asciiTheme="minorHAnsi" w:hAnsiTheme="minorHAnsi" w:cstheme="minorHAnsi"/>
          <w:lang w:val="tr-TR"/>
        </w:rPr>
        <w:t xml:space="preserve"> ihtimalini dikkate al</w:t>
      </w:r>
      <w:r w:rsidR="009D0830" w:rsidRPr="00336E5B">
        <w:rPr>
          <w:rFonts w:asciiTheme="minorHAnsi" w:hAnsiTheme="minorHAnsi" w:cstheme="minorHAnsi"/>
          <w:lang w:val="tr-TR"/>
        </w:rPr>
        <w:t>dığımızda</w:t>
      </w:r>
      <w:r w:rsidRPr="00336E5B">
        <w:rPr>
          <w:rFonts w:asciiTheme="minorHAnsi" w:hAnsiTheme="minorHAnsi" w:cstheme="minorHAnsi"/>
          <w:lang w:val="tr-TR"/>
        </w:rPr>
        <w:t xml:space="preserve"> yaptığımız varsayımlar</w:t>
      </w:r>
      <w:r w:rsidR="009D0830" w:rsidRPr="00336E5B">
        <w:rPr>
          <w:rFonts w:asciiTheme="minorHAnsi" w:hAnsiTheme="minorHAnsi" w:cstheme="minorHAnsi"/>
          <w:lang w:val="tr-TR"/>
        </w:rPr>
        <w:t>da ulaşılan toplam işyeri bağımsız bölüm sayısının gerçek sayıdan çok da farklı olmayacağ</w:t>
      </w:r>
      <w:r w:rsidR="008D34B6" w:rsidRPr="00336E5B">
        <w:rPr>
          <w:rFonts w:asciiTheme="minorHAnsi" w:hAnsiTheme="minorHAnsi" w:cstheme="minorHAnsi"/>
          <w:lang w:val="tr-TR"/>
        </w:rPr>
        <w:t>ını</w:t>
      </w:r>
      <w:r w:rsidR="009D0830" w:rsidRPr="00336E5B">
        <w:rPr>
          <w:rFonts w:asciiTheme="minorHAnsi" w:hAnsiTheme="minorHAnsi" w:cstheme="minorHAnsi"/>
          <w:lang w:val="tr-TR"/>
        </w:rPr>
        <w:t xml:space="preserve"> düşünüyoruz.</w:t>
      </w:r>
    </w:p>
    <w:p w14:paraId="0B1C51C8" w14:textId="2281129C" w:rsidR="00020AF2" w:rsidRDefault="008A4BC0" w:rsidP="00020AF2">
      <w:pPr>
        <w:spacing w:after="120"/>
        <w:rPr>
          <w:rFonts w:asciiTheme="minorHAnsi" w:hAnsiTheme="minorHAnsi" w:cstheme="minorHAnsi"/>
          <w:lang w:val="tr-TR"/>
        </w:rPr>
      </w:pPr>
      <w:r w:rsidRPr="00336E5B">
        <w:rPr>
          <w:rFonts w:asciiTheme="minorHAnsi" w:hAnsiTheme="minorHAnsi" w:cstheme="minorHAnsi"/>
          <w:lang w:val="tr-TR"/>
        </w:rPr>
        <w:t>Bu varsayımlar sonucunda bölgenin tamamında h</w:t>
      </w:r>
      <w:r w:rsidR="00894103" w:rsidRPr="00336E5B">
        <w:rPr>
          <w:rFonts w:asciiTheme="minorHAnsi" w:hAnsiTheme="minorHAnsi" w:cstheme="minorHAnsi"/>
          <w:lang w:val="tr-TR"/>
        </w:rPr>
        <w:t xml:space="preserve">asarsız olduğunu varsaydıklarımızla birlikte </w:t>
      </w:r>
      <w:r w:rsidR="004C12EB" w:rsidRPr="00336E5B">
        <w:rPr>
          <w:rFonts w:asciiTheme="minorHAnsi" w:hAnsiTheme="minorHAnsi" w:cstheme="minorHAnsi"/>
          <w:lang w:val="tr-TR"/>
        </w:rPr>
        <w:t>46</w:t>
      </w:r>
      <w:r w:rsidR="00894103" w:rsidRPr="00336E5B">
        <w:rPr>
          <w:rFonts w:asciiTheme="minorHAnsi" w:hAnsiTheme="minorHAnsi" w:cstheme="minorHAnsi"/>
          <w:lang w:val="tr-TR"/>
        </w:rPr>
        <w:t>.000 büyük işyeri binasının da dahil olduğu toplam 1.</w:t>
      </w:r>
      <w:r w:rsidR="004C12EB" w:rsidRPr="00336E5B">
        <w:rPr>
          <w:rFonts w:asciiTheme="minorHAnsi" w:hAnsiTheme="minorHAnsi" w:cstheme="minorHAnsi"/>
          <w:lang w:val="tr-TR"/>
        </w:rPr>
        <w:t>701</w:t>
      </w:r>
      <w:r w:rsidR="00894103" w:rsidRPr="00336E5B">
        <w:rPr>
          <w:rFonts w:asciiTheme="minorHAnsi" w:hAnsiTheme="minorHAnsi" w:cstheme="minorHAnsi"/>
          <w:lang w:val="tr-TR"/>
        </w:rPr>
        <w:t>.</w:t>
      </w:r>
      <w:r w:rsidR="004C12EB" w:rsidRPr="00336E5B">
        <w:rPr>
          <w:rFonts w:asciiTheme="minorHAnsi" w:hAnsiTheme="minorHAnsi" w:cstheme="minorHAnsi"/>
          <w:lang w:val="tr-TR"/>
        </w:rPr>
        <w:t>096</w:t>
      </w:r>
      <w:r w:rsidR="00894103" w:rsidRPr="00336E5B">
        <w:rPr>
          <w:rFonts w:asciiTheme="minorHAnsi" w:hAnsiTheme="minorHAnsi" w:cstheme="minorHAnsi"/>
          <w:lang w:val="tr-TR"/>
        </w:rPr>
        <w:t xml:space="preserve"> binadaki </w:t>
      </w:r>
      <w:r w:rsidR="008D34B6" w:rsidRPr="00336E5B">
        <w:rPr>
          <w:rFonts w:asciiTheme="minorHAnsi" w:hAnsiTheme="minorHAnsi" w:cstheme="minorHAnsi"/>
          <w:lang w:val="tr-TR"/>
        </w:rPr>
        <w:t>7</w:t>
      </w:r>
      <w:r w:rsidR="004C12EB" w:rsidRPr="00336E5B">
        <w:rPr>
          <w:rFonts w:asciiTheme="minorHAnsi" w:hAnsiTheme="minorHAnsi" w:cstheme="minorHAnsi"/>
          <w:lang w:val="tr-TR"/>
        </w:rPr>
        <w:t>51</w:t>
      </w:r>
      <w:r w:rsidR="00894103" w:rsidRPr="00336E5B">
        <w:rPr>
          <w:rFonts w:asciiTheme="minorHAnsi" w:hAnsiTheme="minorHAnsi" w:cstheme="minorHAnsi"/>
          <w:lang w:val="tr-TR"/>
        </w:rPr>
        <w:t>.</w:t>
      </w:r>
      <w:r w:rsidR="008D34B6" w:rsidRPr="00336E5B">
        <w:rPr>
          <w:rFonts w:asciiTheme="minorHAnsi" w:hAnsiTheme="minorHAnsi" w:cstheme="minorHAnsi"/>
          <w:lang w:val="tr-TR"/>
        </w:rPr>
        <w:t>614</w:t>
      </w:r>
      <w:r w:rsidR="00894103" w:rsidRPr="00336E5B">
        <w:rPr>
          <w:rFonts w:asciiTheme="minorHAnsi" w:hAnsiTheme="minorHAnsi" w:cstheme="minorHAnsi"/>
          <w:lang w:val="tr-TR"/>
        </w:rPr>
        <w:t xml:space="preserve"> işyeri ve 4.</w:t>
      </w:r>
      <w:r w:rsidR="008D34B6" w:rsidRPr="00336E5B">
        <w:rPr>
          <w:rFonts w:asciiTheme="minorHAnsi" w:hAnsiTheme="minorHAnsi" w:cstheme="minorHAnsi"/>
          <w:lang w:val="tr-TR"/>
        </w:rPr>
        <w:t>2</w:t>
      </w:r>
      <w:r w:rsidR="004C12EB" w:rsidRPr="00336E5B">
        <w:rPr>
          <w:rFonts w:asciiTheme="minorHAnsi" w:hAnsiTheme="minorHAnsi" w:cstheme="minorHAnsi"/>
          <w:lang w:val="tr-TR"/>
        </w:rPr>
        <w:t>0</w:t>
      </w:r>
      <w:r w:rsidR="008D34B6" w:rsidRPr="00336E5B">
        <w:rPr>
          <w:rFonts w:asciiTheme="minorHAnsi" w:hAnsiTheme="minorHAnsi" w:cstheme="minorHAnsi"/>
          <w:lang w:val="tr-TR"/>
        </w:rPr>
        <w:t>9</w:t>
      </w:r>
      <w:r w:rsidR="00894103" w:rsidRPr="00336E5B">
        <w:rPr>
          <w:rFonts w:asciiTheme="minorHAnsi" w:hAnsiTheme="minorHAnsi" w:cstheme="minorHAnsi"/>
          <w:lang w:val="tr-TR"/>
        </w:rPr>
        <w:t>.</w:t>
      </w:r>
      <w:r w:rsidR="004C12EB" w:rsidRPr="00336E5B">
        <w:rPr>
          <w:rFonts w:asciiTheme="minorHAnsi" w:hAnsiTheme="minorHAnsi" w:cstheme="minorHAnsi"/>
          <w:lang w:val="tr-TR"/>
        </w:rPr>
        <w:t>1</w:t>
      </w:r>
      <w:r w:rsidR="008D34B6" w:rsidRPr="00336E5B">
        <w:rPr>
          <w:rFonts w:asciiTheme="minorHAnsi" w:hAnsiTheme="minorHAnsi" w:cstheme="minorHAnsi"/>
          <w:lang w:val="tr-TR"/>
        </w:rPr>
        <w:t>46</w:t>
      </w:r>
      <w:r w:rsidR="004C12EB" w:rsidRPr="00336E5B">
        <w:rPr>
          <w:rFonts w:asciiTheme="minorHAnsi" w:hAnsiTheme="minorHAnsi" w:cstheme="minorHAnsi"/>
          <w:lang w:val="tr-TR"/>
        </w:rPr>
        <w:t xml:space="preserve"> </w:t>
      </w:r>
      <w:r w:rsidR="00894103" w:rsidRPr="00336E5B">
        <w:rPr>
          <w:rFonts w:asciiTheme="minorHAnsi" w:hAnsiTheme="minorHAnsi" w:cstheme="minorHAnsi"/>
          <w:lang w:val="tr-TR"/>
        </w:rPr>
        <w:t>konut bağımsız b</w:t>
      </w:r>
      <w:r w:rsidR="004C12EB" w:rsidRPr="00336E5B">
        <w:rPr>
          <w:rFonts w:asciiTheme="minorHAnsi" w:hAnsiTheme="minorHAnsi" w:cstheme="minorHAnsi"/>
          <w:lang w:val="tr-TR"/>
        </w:rPr>
        <w:t>ölümüyle</w:t>
      </w:r>
      <w:r w:rsidR="00894103" w:rsidRPr="00336E5B">
        <w:rPr>
          <w:rFonts w:asciiTheme="minorHAnsi" w:hAnsiTheme="minorHAnsi" w:cstheme="minorHAnsi"/>
          <w:lang w:val="tr-TR"/>
        </w:rPr>
        <w:t xml:space="preserve"> bölgede toplam </w:t>
      </w:r>
      <w:r w:rsidR="004C12EB" w:rsidRPr="00336E5B">
        <w:rPr>
          <w:rFonts w:asciiTheme="minorHAnsi" w:hAnsiTheme="minorHAnsi" w:cstheme="minorHAnsi"/>
          <w:lang w:val="tr-TR"/>
        </w:rPr>
        <w:t>5</w:t>
      </w:r>
      <w:r w:rsidR="00894103" w:rsidRPr="00336E5B">
        <w:rPr>
          <w:rFonts w:asciiTheme="minorHAnsi" w:hAnsiTheme="minorHAnsi" w:cstheme="minorHAnsi"/>
          <w:lang w:val="tr-TR"/>
        </w:rPr>
        <w:t>.</w:t>
      </w:r>
      <w:r w:rsidR="00E10FA7" w:rsidRPr="00336E5B">
        <w:rPr>
          <w:rFonts w:asciiTheme="minorHAnsi" w:hAnsiTheme="minorHAnsi" w:cstheme="minorHAnsi"/>
          <w:lang w:val="tr-TR"/>
        </w:rPr>
        <w:t>010</w:t>
      </w:r>
      <w:r w:rsidR="00894103" w:rsidRPr="00336E5B">
        <w:rPr>
          <w:rFonts w:asciiTheme="minorHAnsi" w:hAnsiTheme="minorHAnsi" w:cstheme="minorHAnsi"/>
          <w:lang w:val="tr-TR"/>
        </w:rPr>
        <w:t>.</w:t>
      </w:r>
      <w:r w:rsidR="00E10FA7" w:rsidRPr="00336E5B">
        <w:rPr>
          <w:rFonts w:asciiTheme="minorHAnsi" w:hAnsiTheme="minorHAnsi" w:cstheme="minorHAnsi"/>
          <w:lang w:val="tr-TR"/>
        </w:rPr>
        <w:t>760</w:t>
      </w:r>
      <w:r w:rsidR="00894103" w:rsidRPr="00336E5B">
        <w:rPr>
          <w:rFonts w:asciiTheme="minorHAnsi" w:hAnsiTheme="minorHAnsi" w:cstheme="minorHAnsi"/>
          <w:lang w:val="tr-TR"/>
        </w:rPr>
        <w:t xml:space="preserve"> bağımsız </w:t>
      </w:r>
      <w:r w:rsidR="00E10FA7" w:rsidRPr="00336E5B">
        <w:rPr>
          <w:rFonts w:asciiTheme="minorHAnsi" w:hAnsiTheme="minorHAnsi" w:cstheme="minorHAnsi"/>
          <w:lang w:val="tr-TR"/>
        </w:rPr>
        <w:t>bölümün</w:t>
      </w:r>
      <w:r w:rsidR="00894103" w:rsidRPr="00336E5B">
        <w:rPr>
          <w:rFonts w:asciiTheme="minorHAnsi" w:hAnsiTheme="minorHAnsi" w:cstheme="minorHAnsi"/>
          <w:lang w:val="tr-TR"/>
        </w:rPr>
        <w:t xml:space="preserve"> o</w:t>
      </w:r>
      <w:r w:rsidR="005639BE" w:rsidRPr="00336E5B">
        <w:rPr>
          <w:rFonts w:asciiTheme="minorHAnsi" w:hAnsiTheme="minorHAnsi" w:cstheme="minorHAnsi"/>
          <w:lang w:val="tr-TR"/>
        </w:rPr>
        <w:t>l</w:t>
      </w:r>
      <w:r w:rsidR="00894103" w:rsidRPr="00336E5B">
        <w:rPr>
          <w:rFonts w:asciiTheme="minorHAnsi" w:hAnsiTheme="minorHAnsi" w:cstheme="minorHAnsi"/>
          <w:lang w:val="tr-TR"/>
        </w:rPr>
        <w:t>duğu sonucuna ulaşıyoruz.</w:t>
      </w:r>
    </w:p>
    <w:p w14:paraId="360E79A5" w14:textId="77777777" w:rsidR="009B6FDE" w:rsidRDefault="00524B14" w:rsidP="009B6FDE">
      <w:pPr>
        <w:spacing w:after="390"/>
        <w:rPr>
          <w:rFonts w:ascii="Calibri" w:hAnsi="Calibri" w:cs="Calibri"/>
          <w:b/>
          <w:bCs/>
          <w:color w:val="222222"/>
          <w:sz w:val="28"/>
          <w:szCs w:val="28"/>
          <w:lang w:val="tr-TR" w:eastAsia="tr-TR"/>
        </w:rPr>
      </w:pPr>
      <w:r w:rsidRPr="00655602">
        <w:rPr>
          <w:rFonts w:ascii="Calibri" w:hAnsi="Calibri" w:cs="Calibri"/>
          <w:b/>
          <w:bCs/>
          <w:color w:val="222222"/>
          <w:sz w:val="28"/>
          <w:szCs w:val="28"/>
          <w:lang w:val="tr-TR" w:eastAsia="tr-TR"/>
        </w:rPr>
        <w:t>Yeniden inşanın ekonomik maliyeti</w:t>
      </w:r>
    </w:p>
    <w:p w14:paraId="0D0E25ED" w14:textId="6CEF5EA3" w:rsidR="005E158F" w:rsidRPr="009B6FDE" w:rsidRDefault="00765F26" w:rsidP="009B6FDE">
      <w:pPr>
        <w:spacing w:after="390"/>
        <w:rPr>
          <w:rFonts w:ascii="Calibri" w:hAnsi="Calibri" w:cs="Calibri"/>
          <w:b/>
          <w:bCs/>
          <w:color w:val="222222"/>
          <w:sz w:val="28"/>
          <w:szCs w:val="28"/>
          <w:lang w:val="tr-TR" w:eastAsia="tr-TR"/>
        </w:rPr>
      </w:pPr>
      <w:r w:rsidRPr="00336E5B">
        <w:rPr>
          <w:rFonts w:asciiTheme="minorHAnsi" w:hAnsiTheme="minorHAnsi" w:cstheme="minorHAnsi"/>
          <w:lang w:val="tr-TR"/>
        </w:rPr>
        <w:t xml:space="preserve">Tablo </w:t>
      </w:r>
      <w:r w:rsidR="00A82BE8" w:rsidRPr="00336E5B">
        <w:rPr>
          <w:rFonts w:asciiTheme="minorHAnsi" w:hAnsiTheme="minorHAnsi" w:cstheme="minorHAnsi"/>
          <w:lang w:val="tr-TR"/>
        </w:rPr>
        <w:t>2</w:t>
      </w:r>
      <w:r w:rsidRPr="00336E5B">
        <w:rPr>
          <w:rFonts w:asciiTheme="minorHAnsi" w:hAnsiTheme="minorHAnsi" w:cstheme="minorHAnsi"/>
          <w:lang w:val="tr-TR"/>
        </w:rPr>
        <w:t>’</w:t>
      </w:r>
      <w:r w:rsidR="00A82BE8" w:rsidRPr="00336E5B">
        <w:rPr>
          <w:rFonts w:asciiTheme="minorHAnsi" w:hAnsiTheme="minorHAnsi" w:cstheme="minorHAnsi"/>
          <w:lang w:val="tr-TR"/>
        </w:rPr>
        <w:t>d</w:t>
      </w:r>
      <w:r w:rsidRPr="00336E5B">
        <w:rPr>
          <w:rFonts w:asciiTheme="minorHAnsi" w:hAnsiTheme="minorHAnsi" w:cstheme="minorHAnsi"/>
          <w:lang w:val="tr-TR"/>
        </w:rPr>
        <w:t>e yıkılan ve çok hasarlı bağımsız birimlerin yeniden inşasının birim maliyetinin metrekarede en az 1</w:t>
      </w:r>
      <w:r w:rsidR="0061585E" w:rsidRPr="00336E5B">
        <w:rPr>
          <w:rFonts w:asciiTheme="minorHAnsi" w:hAnsiTheme="minorHAnsi" w:cstheme="minorHAnsi"/>
          <w:lang w:val="tr-TR"/>
        </w:rPr>
        <w:t>3</w:t>
      </w:r>
      <w:r w:rsidRPr="00336E5B">
        <w:rPr>
          <w:rFonts w:asciiTheme="minorHAnsi" w:hAnsiTheme="minorHAnsi" w:cstheme="minorHAnsi"/>
          <w:lang w:val="tr-TR"/>
        </w:rPr>
        <w:t xml:space="preserve"> bin ve en çok 1</w:t>
      </w:r>
      <w:r w:rsidR="0061585E" w:rsidRPr="00336E5B">
        <w:rPr>
          <w:rFonts w:asciiTheme="minorHAnsi" w:hAnsiTheme="minorHAnsi" w:cstheme="minorHAnsi"/>
          <w:lang w:val="tr-TR"/>
        </w:rPr>
        <w:t>6</w:t>
      </w:r>
      <w:r w:rsidRPr="00336E5B">
        <w:rPr>
          <w:rFonts w:asciiTheme="minorHAnsi" w:hAnsiTheme="minorHAnsi" w:cstheme="minorHAnsi"/>
          <w:lang w:val="tr-TR"/>
        </w:rPr>
        <w:t xml:space="preserve"> bin </w:t>
      </w:r>
      <w:r w:rsidR="000279B6" w:rsidRPr="00336E5B">
        <w:rPr>
          <w:rFonts w:asciiTheme="minorHAnsi" w:hAnsiTheme="minorHAnsi" w:cstheme="minorHAnsi"/>
          <w:lang w:val="tr-TR"/>
        </w:rPr>
        <w:t xml:space="preserve">TL </w:t>
      </w:r>
      <w:r w:rsidRPr="00336E5B">
        <w:rPr>
          <w:rFonts w:asciiTheme="minorHAnsi" w:hAnsiTheme="minorHAnsi" w:cstheme="minorHAnsi"/>
          <w:lang w:val="tr-TR"/>
        </w:rPr>
        <w:t xml:space="preserve">civarında </w:t>
      </w:r>
      <w:r w:rsidR="003F25BC" w:rsidRPr="00336E5B">
        <w:rPr>
          <w:rFonts w:asciiTheme="minorHAnsi" w:hAnsiTheme="minorHAnsi" w:cstheme="minorHAnsi"/>
          <w:lang w:val="tr-TR"/>
        </w:rPr>
        <w:t>olduğunu tahmin ediyoruz</w:t>
      </w:r>
      <w:r w:rsidRPr="00336E5B">
        <w:rPr>
          <w:rFonts w:asciiTheme="minorHAnsi" w:hAnsiTheme="minorHAnsi" w:cstheme="minorHAnsi"/>
          <w:lang w:val="tr-TR"/>
        </w:rPr>
        <w:t xml:space="preserve">. Böylece, 100 metrekarelik bir </w:t>
      </w:r>
      <w:r w:rsidR="000279B6" w:rsidRPr="00336E5B">
        <w:rPr>
          <w:rFonts w:asciiTheme="minorHAnsi" w:hAnsiTheme="minorHAnsi" w:cstheme="minorHAnsi"/>
          <w:lang w:val="tr-TR"/>
        </w:rPr>
        <w:t>ikametgâh</w:t>
      </w:r>
      <w:r w:rsidRPr="00336E5B">
        <w:rPr>
          <w:rFonts w:asciiTheme="minorHAnsi" w:hAnsiTheme="minorHAnsi" w:cstheme="minorHAnsi"/>
          <w:lang w:val="tr-TR"/>
        </w:rPr>
        <w:t xml:space="preserve"> amaçlı bağımsız b</w:t>
      </w:r>
      <w:r w:rsidR="00EB53B8" w:rsidRPr="00336E5B">
        <w:rPr>
          <w:rFonts w:asciiTheme="minorHAnsi" w:hAnsiTheme="minorHAnsi" w:cstheme="minorHAnsi"/>
          <w:lang w:val="tr-TR"/>
        </w:rPr>
        <w:t>ölü</w:t>
      </w:r>
      <w:r w:rsidRPr="00336E5B">
        <w:rPr>
          <w:rFonts w:asciiTheme="minorHAnsi" w:hAnsiTheme="minorHAnsi" w:cstheme="minorHAnsi"/>
          <w:lang w:val="tr-TR"/>
        </w:rPr>
        <w:t>m</w:t>
      </w:r>
      <w:r w:rsidR="00EB53B8" w:rsidRPr="00336E5B">
        <w:rPr>
          <w:rFonts w:asciiTheme="minorHAnsi" w:hAnsiTheme="minorHAnsi" w:cstheme="minorHAnsi"/>
          <w:lang w:val="tr-TR"/>
        </w:rPr>
        <w:t>ü</w:t>
      </w:r>
      <w:r w:rsidRPr="00336E5B">
        <w:rPr>
          <w:rFonts w:asciiTheme="minorHAnsi" w:hAnsiTheme="minorHAnsi" w:cstheme="minorHAnsi"/>
          <w:lang w:val="tr-TR"/>
        </w:rPr>
        <w:t>n yeniden inşasının maliyeti 1,3 ila 1,6 milyon lira arasında olacaktır. Ancak</w:t>
      </w:r>
      <w:r w:rsidR="008A4BC0" w:rsidRPr="00336E5B">
        <w:rPr>
          <w:rFonts w:asciiTheme="minorHAnsi" w:hAnsiTheme="minorHAnsi" w:cstheme="minorHAnsi"/>
          <w:lang w:val="tr-TR"/>
        </w:rPr>
        <w:t>,</w:t>
      </w:r>
      <w:r w:rsidRPr="00336E5B">
        <w:rPr>
          <w:rFonts w:asciiTheme="minorHAnsi" w:hAnsiTheme="minorHAnsi" w:cstheme="minorHAnsi"/>
          <w:lang w:val="tr-TR"/>
        </w:rPr>
        <w:t xml:space="preserve"> </w:t>
      </w:r>
      <w:r w:rsidR="00591DF9" w:rsidRPr="00336E5B">
        <w:rPr>
          <w:rFonts w:asciiTheme="minorHAnsi" w:hAnsiTheme="minorHAnsi" w:cstheme="minorHAnsi"/>
          <w:lang w:val="tr-TR"/>
        </w:rPr>
        <w:t>60</w:t>
      </w:r>
      <w:r w:rsidR="008A4BC0" w:rsidRPr="00336E5B">
        <w:rPr>
          <w:rFonts w:asciiTheme="minorHAnsi" w:hAnsiTheme="minorHAnsi" w:cstheme="minorHAnsi"/>
          <w:lang w:val="tr-TR"/>
        </w:rPr>
        <w:t>0</w:t>
      </w:r>
      <w:r w:rsidR="00591DF9" w:rsidRPr="00336E5B">
        <w:rPr>
          <w:rFonts w:asciiTheme="minorHAnsi" w:hAnsiTheme="minorHAnsi" w:cstheme="minorHAnsi"/>
          <w:lang w:val="tr-TR"/>
        </w:rPr>
        <w:t>.521</w:t>
      </w:r>
      <w:r w:rsidRPr="00336E5B">
        <w:rPr>
          <w:rFonts w:asciiTheme="minorHAnsi" w:hAnsiTheme="minorHAnsi" w:cstheme="minorHAnsi"/>
          <w:lang w:val="tr-TR"/>
        </w:rPr>
        <w:t xml:space="preserve"> </w:t>
      </w:r>
      <w:r w:rsidR="00591DF9" w:rsidRPr="00336E5B">
        <w:rPr>
          <w:rFonts w:asciiTheme="minorHAnsi" w:hAnsiTheme="minorHAnsi" w:cstheme="minorHAnsi"/>
          <w:lang w:val="tr-TR"/>
        </w:rPr>
        <w:t xml:space="preserve">apartmanda bağımsız bölümün </w:t>
      </w:r>
      <w:r w:rsidRPr="00336E5B">
        <w:rPr>
          <w:rFonts w:asciiTheme="minorHAnsi" w:hAnsiTheme="minorHAnsi" w:cstheme="minorHAnsi"/>
          <w:lang w:val="tr-TR"/>
        </w:rPr>
        <w:t xml:space="preserve">hepsinin bir yıl içinde tamamlanması mümkün değildir. Şubat 2024’e kadar bir yıl içinde </w:t>
      </w:r>
      <w:r w:rsidR="008A4BC0" w:rsidRPr="00336E5B">
        <w:rPr>
          <w:rFonts w:asciiTheme="minorHAnsi" w:hAnsiTheme="minorHAnsi" w:cstheme="minorHAnsi"/>
          <w:lang w:val="tr-TR"/>
        </w:rPr>
        <w:t>8</w:t>
      </w:r>
      <w:r w:rsidR="00591DF9" w:rsidRPr="00336E5B">
        <w:rPr>
          <w:rFonts w:asciiTheme="minorHAnsi" w:hAnsiTheme="minorHAnsi" w:cstheme="minorHAnsi"/>
          <w:lang w:val="tr-TR"/>
        </w:rPr>
        <w:t>5</w:t>
      </w:r>
      <w:r w:rsidR="008A4BC0" w:rsidRPr="00336E5B">
        <w:rPr>
          <w:rFonts w:asciiTheme="minorHAnsi" w:hAnsiTheme="minorHAnsi" w:cstheme="minorHAnsi"/>
          <w:lang w:val="tr-TR"/>
        </w:rPr>
        <w:t xml:space="preserve"> bin köy eviyle</w:t>
      </w:r>
      <w:r w:rsidR="00591DF9" w:rsidRPr="00336E5B">
        <w:rPr>
          <w:rFonts w:asciiTheme="minorHAnsi" w:hAnsiTheme="minorHAnsi" w:cstheme="minorHAnsi"/>
          <w:lang w:val="tr-TR"/>
        </w:rPr>
        <w:t xml:space="preserve">, 17.500 ahır ve 32.500 diğer hane bölümüyle </w:t>
      </w:r>
      <w:r w:rsidR="008A4BC0" w:rsidRPr="00336E5B">
        <w:rPr>
          <w:rFonts w:asciiTheme="minorHAnsi" w:hAnsiTheme="minorHAnsi" w:cstheme="minorHAnsi"/>
          <w:lang w:val="tr-TR"/>
        </w:rPr>
        <w:t xml:space="preserve">birlikte </w:t>
      </w:r>
      <w:r w:rsidR="006157D9" w:rsidRPr="00336E5B">
        <w:rPr>
          <w:rFonts w:asciiTheme="minorHAnsi" w:hAnsiTheme="minorHAnsi" w:cstheme="minorHAnsi"/>
          <w:lang w:val="tr-TR"/>
        </w:rPr>
        <w:t>360.313</w:t>
      </w:r>
      <w:r w:rsidR="008A4BC0" w:rsidRPr="00336E5B">
        <w:rPr>
          <w:rFonts w:asciiTheme="minorHAnsi" w:hAnsiTheme="minorHAnsi" w:cstheme="minorHAnsi"/>
          <w:lang w:val="tr-TR"/>
        </w:rPr>
        <w:t xml:space="preserve"> afet konutunun</w:t>
      </w:r>
      <w:r w:rsidRPr="00336E5B">
        <w:rPr>
          <w:rFonts w:asciiTheme="minorHAnsi" w:hAnsiTheme="minorHAnsi" w:cstheme="minorHAnsi"/>
          <w:lang w:val="tr-TR"/>
        </w:rPr>
        <w:t>, Şubat 2024’ten Şubat 2025’e kadar da geri kalan 2</w:t>
      </w:r>
      <w:r w:rsidR="006157D9" w:rsidRPr="00336E5B">
        <w:rPr>
          <w:rFonts w:asciiTheme="minorHAnsi" w:hAnsiTheme="minorHAnsi" w:cstheme="minorHAnsi"/>
          <w:lang w:val="tr-TR"/>
        </w:rPr>
        <w:t>4</w:t>
      </w:r>
      <w:r w:rsidR="008A4BC0" w:rsidRPr="00336E5B">
        <w:rPr>
          <w:rFonts w:asciiTheme="minorHAnsi" w:hAnsiTheme="minorHAnsi" w:cstheme="minorHAnsi"/>
          <w:lang w:val="tr-TR"/>
        </w:rPr>
        <w:t>0</w:t>
      </w:r>
      <w:r w:rsidR="006157D9" w:rsidRPr="00336E5B">
        <w:rPr>
          <w:rFonts w:asciiTheme="minorHAnsi" w:hAnsiTheme="minorHAnsi" w:cstheme="minorHAnsi"/>
          <w:lang w:val="tr-TR"/>
        </w:rPr>
        <w:t>.208 apartman bağımsız bölümünün</w:t>
      </w:r>
      <w:r w:rsidRPr="00336E5B">
        <w:rPr>
          <w:rFonts w:asciiTheme="minorHAnsi" w:hAnsiTheme="minorHAnsi" w:cstheme="minorHAnsi"/>
          <w:lang w:val="tr-TR"/>
        </w:rPr>
        <w:t xml:space="preserve"> yapılacağını düşünüyoruz. Gelecek yıla kadar birim inşaat maliyetlerinin alt ve üst sınırının </w:t>
      </w:r>
      <w:r w:rsidR="00D534DA">
        <w:rPr>
          <w:rFonts w:asciiTheme="minorHAnsi" w:hAnsiTheme="minorHAnsi" w:cstheme="minorHAnsi"/>
          <w:lang w:val="tr-TR"/>
        </w:rPr>
        <w:t xml:space="preserve">yüzde </w:t>
      </w:r>
      <w:r w:rsidRPr="00336E5B">
        <w:rPr>
          <w:rFonts w:asciiTheme="minorHAnsi" w:hAnsiTheme="minorHAnsi" w:cstheme="minorHAnsi"/>
          <w:lang w:val="tr-TR"/>
        </w:rPr>
        <w:t>40 artacağını, döviz kurunun da bu 2023 içindeki ortalama 2</w:t>
      </w:r>
      <w:r w:rsidR="006C54EA" w:rsidRPr="00336E5B">
        <w:rPr>
          <w:rFonts w:asciiTheme="minorHAnsi" w:hAnsiTheme="minorHAnsi" w:cstheme="minorHAnsi"/>
          <w:lang w:val="tr-TR"/>
        </w:rPr>
        <w:t>1-22</w:t>
      </w:r>
      <w:r w:rsidRPr="00336E5B">
        <w:rPr>
          <w:rFonts w:asciiTheme="minorHAnsi" w:hAnsiTheme="minorHAnsi" w:cstheme="minorHAnsi"/>
          <w:lang w:val="tr-TR"/>
        </w:rPr>
        <w:t xml:space="preserve"> TL/dolardan </w:t>
      </w:r>
      <w:r w:rsidR="00D534DA">
        <w:rPr>
          <w:rFonts w:asciiTheme="minorHAnsi" w:hAnsiTheme="minorHAnsi" w:cstheme="minorHAnsi"/>
          <w:lang w:val="tr-TR"/>
        </w:rPr>
        <w:t xml:space="preserve">yüzde </w:t>
      </w:r>
      <w:r w:rsidR="002E779E" w:rsidRPr="00336E5B">
        <w:rPr>
          <w:rFonts w:asciiTheme="minorHAnsi" w:hAnsiTheme="minorHAnsi" w:cstheme="minorHAnsi"/>
          <w:lang w:val="tr-TR"/>
        </w:rPr>
        <w:t>3</w:t>
      </w:r>
      <w:r w:rsidRPr="00336E5B">
        <w:rPr>
          <w:rFonts w:asciiTheme="minorHAnsi" w:hAnsiTheme="minorHAnsi" w:cstheme="minorHAnsi"/>
          <w:lang w:val="tr-TR"/>
        </w:rPr>
        <w:t xml:space="preserve">0 artarak </w:t>
      </w:r>
      <w:r w:rsidR="002E779E" w:rsidRPr="00336E5B">
        <w:rPr>
          <w:rFonts w:asciiTheme="minorHAnsi" w:hAnsiTheme="minorHAnsi" w:cstheme="minorHAnsi"/>
          <w:lang w:val="tr-TR"/>
        </w:rPr>
        <w:t>2</w:t>
      </w:r>
      <w:r w:rsidR="006C54EA" w:rsidRPr="00336E5B">
        <w:rPr>
          <w:rFonts w:asciiTheme="minorHAnsi" w:hAnsiTheme="minorHAnsi" w:cstheme="minorHAnsi"/>
          <w:lang w:val="tr-TR"/>
        </w:rPr>
        <w:t>7</w:t>
      </w:r>
      <w:r w:rsidR="007F2F0A" w:rsidRPr="00336E5B">
        <w:rPr>
          <w:rFonts w:asciiTheme="minorHAnsi" w:hAnsiTheme="minorHAnsi" w:cstheme="minorHAnsi"/>
          <w:lang w:val="tr-TR"/>
        </w:rPr>
        <w:t>,</w:t>
      </w:r>
      <w:r w:rsidR="006C54EA" w:rsidRPr="00336E5B">
        <w:rPr>
          <w:rFonts w:asciiTheme="minorHAnsi" w:hAnsiTheme="minorHAnsi" w:cstheme="minorHAnsi"/>
          <w:lang w:val="tr-TR"/>
        </w:rPr>
        <w:t>3-28.6</w:t>
      </w:r>
      <w:r w:rsidRPr="00336E5B">
        <w:rPr>
          <w:rFonts w:asciiTheme="minorHAnsi" w:hAnsiTheme="minorHAnsi" w:cstheme="minorHAnsi"/>
          <w:lang w:val="tr-TR"/>
        </w:rPr>
        <w:t>’</w:t>
      </w:r>
      <w:r w:rsidR="006C54EA" w:rsidRPr="00336E5B">
        <w:rPr>
          <w:rFonts w:asciiTheme="minorHAnsi" w:hAnsiTheme="minorHAnsi" w:cstheme="minorHAnsi"/>
          <w:lang w:val="tr-TR"/>
        </w:rPr>
        <w:t>ya</w:t>
      </w:r>
      <w:r w:rsidRPr="00336E5B">
        <w:rPr>
          <w:rFonts w:asciiTheme="minorHAnsi" w:hAnsiTheme="minorHAnsi" w:cstheme="minorHAnsi"/>
          <w:lang w:val="tr-TR"/>
        </w:rPr>
        <w:t xml:space="preserve"> çıkacağını </w:t>
      </w:r>
      <w:r w:rsidR="002E779E" w:rsidRPr="00336E5B">
        <w:rPr>
          <w:rFonts w:asciiTheme="minorHAnsi" w:hAnsiTheme="minorHAnsi" w:cstheme="minorHAnsi"/>
          <w:lang w:val="tr-TR"/>
        </w:rPr>
        <w:t>varsayıyoruz</w:t>
      </w:r>
      <w:r w:rsidRPr="00336E5B">
        <w:rPr>
          <w:rFonts w:asciiTheme="minorHAnsi" w:hAnsiTheme="minorHAnsi" w:cstheme="minorHAnsi"/>
          <w:lang w:val="tr-TR"/>
        </w:rPr>
        <w:t>.</w:t>
      </w:r>
      <w:r w:rsidR="006C54EA" w:rsidRPr="00336E5B">
        <w:rPr>
          <w:rFonts w:asciiTheme="minorHAnsi" w:hAnsiTheme="minorHAnsi" w:cstheme="minorHAnsi"/>
          <w:lang w:val="tr-TR"/>
        </w:rPr>
        <w:t xml:space="preserve"> </w:t>
      </w:r>
    </w:p>
    <w:p w14:paraId="37DFAFCE" w14:textId="57BD1CFE" w:rsidR="00F75E35" w:rsidRPr="00336E5B" w:rsidRDefault="00F75E35" w:rsidP="00F75E35">
      <w:pPr>
        <w:jc w:val="center"/>
        <w:rPr>
          <w:rFonts w:asciiTheme="minorHAnsi" w:hAnsiTheme="minorHAnsi" w:cstheme="minorHAnsi"/>
          <w:b/>
          <w:bCs/>
          <w:lang w:val="tr-TR"/>
        </w:rPr>
      </w:pPr>
      <w:r w:rsidRPr="00336E5B">
        <w:rPr>
          <w:rFonts w:asciiTheme="minorHAnsi" w:hAnsiTheme="minorHAnsi" w:cstheme="minorHAnsi"/>
          <w:b/>
          <w:bCs/>
          <w:lang w:val="tr-TR"/>
        </w:rPr>
        <w:t xml:space="preserve">Tablo 2.  </w:t>
      </w:r>
      <w:r w:rsidR="00A26DA8" w:rsidRPr="00336E5B">
        <w:rPr>
          <w:rFonts w:asciiTheme="minorHAnsi" w:hAnsiTheme="minorHAnsi" w:cstheme="minorHAnsi"/>
          <w:b/>
          <w:bCs/>
          <w:lang w:val="tr-TR"/>
        </w:rPr>
        <w:t xml:space="preserve">Tahmini </w:t>
      </w:r>
      <w:r w:rsidRPr="00336E5B">
        <w:rPr>
          <w:rFonts w:asciiTheme="minorHAnsi" w:hAnsiTheme="minorHAnsi" w:cstheme="minorHAnsi"/>
          <w:b/>
          <w:bCs/>
          <w:lang w:val="tr-TR"/>
        </w:rPr>
        <w:t>Yeniden Yapım, Güçlendirme ve Tamirat Birim Maliyeti</w:t>
      </w:r>
      <w:r w:rsidR="00A26DA8" w:rsidRPr="00336E5B">
        <w:rPr>
          <w:rFonts w:asciiTheme="minorHAnsi" w:hAnsiTheme="minorHAnsi" w:cstheme="minorHAnsi"/>
          <w:b/>
          <w:bCs/>
          <w:lang w:val="tr-TR"/>
        </w:rPr>
        <w:t xml:space="preserve"> </w:t>
      </w:r>
      <w:r w:rsidRPr="00336E5B">
        <w:rPr>
          <w:rFonts w:asciiTheme="minorHAnsi" w:hAnsiTheme="minorHAnsi" w:cstheme="minorHAnsi"/>
          <w:b/>
          <w:bCs/>
          <w:lang w:val="tr-TR"/>
        </w:rPr>
        <w:t>(milyon TL)</w:t>
      </w:r>
    </w:p>
    <w:tbl>
      <w:tblPr>
        <w:tblW w:w="6094" w:type="dxa"/>
        <w:tblInd w:w="1560" w:type="dxa"/>
        <w:tblLayout w:type="fixed"/>
        <w:tblLook w:val="04A0" w:firstRow="1" w:lastRow="0" w:firstColumn="1" w:lastColumn="0" w:noHBand="0" w:noVBand="1"/>
      </w:tblPr>
      <w:tblGrid>
        <w:gridCol w:w="3826"/>
        <w:gridCol w:w="1134"/>
        <w:gridCol w:w="1134"/>
      </w:tblGrid>
      <w:tr w:rsidR="00F75E35" w:rsidRPr="00336E5B" w14:paraId="17E3220A" w14:textId="77777777" w:rsidTr="00B365F7">
        <w:trPr>
          <w:trHeight w:val="385"/>
        </w:trPr>
        <w:tc>
          <w:tcPr>
            <w:tcW w:w="3826" w:type="dxa"/>
            <w:tcBorders>
              <w:top w:val="double" w:sz="4" w:space="0" w:color="000000"/>
              <w:bottom w:val="single" w:sz="4" w:space="0" w:color="000000"/>
            </w:tcBorders>
            <w:shd w:val="clear" w:color="auto" w:fill="auto"/>
            <w:vAlign w:val="bottom"/>
          </w:tcPr>
          <w:p w14:paraId="1B684D2D" w14:textId="74AB04FA" w:rsidR="00F75E35" w:rsidRPr="00336E5B" w:rsidRDefault="005D69FC" w:rsidP="004F1270">
            <w:pPr>
              <w:widowControl w:val="0"/>
              <w:rPr>
                <w:rFonts w:asciiTheme="minorHAnsi" w:hAnsiTheme="minorHAnsi" w:cstheme="minorHAnsi"/>
                <w:b/>
                <w:bCs/>
                <w:color w:val="000000"/>
                <w:lang w:val="tr-TR"/>
              </w:rPr>
            </w:pPr>
            <w:r w:rsidRPr="00336E5B">
              <w:rPr>
                <w:rFonts w:asciiTheme="minorHAnsi" w:hAnsiTheme="minorHAnsi" w:cstheme="minorHAnsi"/>
                <w:b/>
                <w:bCs/>
                <w:color w:val="000000"/>
                <w:lang w:val="tr-TR"/>
              </w:rPr>
              <w:t>Birim M</w:t>
            </w:r>
            <w:r w:rsidR="00F75E35" w:rsidRPr="00336E5B">
              <w:rPr>
                <w:rFonts w:asciiTheme="minorHAnsi" w:hAnsiTheme="minorHAnsi" w:cstheme="minorHAnsi"/>
                <w:b/>
                <w:bCs/>
                <w:color w:val="000000"/>
                <w:lang w:val="tr-TR"/>
              </w:rPr>
              <w:t>aliyet</w:t>
            </w:r>
          </w:p>
        </w:tc>
        <w:tc>
          <w:tcPr>
            <w:tcW w:w="1134" w:type="dxa"/>
            <w:tcBorders>
              <w:top w:val="double" w:sz="4" w:space="0" w:color="000000"/>
              <w:bottom w:val="single" w:sz="4" w:space="0" w:color="000000"/>
            </w:tcBorders>
            <w:shd w:val="clear" w:color="auto" w:fill="auto"/>
            <w:vAlign w:val="bottom"/>
          </w:tcPr>
          <w:p w14:paraId="0B657AF0" w14:textId="77777777" w:rsidR="00F75E35" w:rsidRPr="00336E5B" w:rsidRDefault="00F75E35" w:rsidP="004F1270">
            <w:pPr>
              <w:widowControl w:val="0"/>
              <w:jc w:val="right"/>
              <w:rPr>
                <w:rFonts w:asciiTheme="minorHAnsi" w:hAnsiTheme="minorHAnsi" w:cstheme="minorHAnsi"/>
                <w:b/>
                <w:bCs/>
                <w:color w:val="000000"/>
                <w:lang w:val="tr-TR"/>
              </w:rPr>
            </w:pPr>
            <w:r w:rsidRPr="00336E5B">
              <w:rPr>
                <w:rFonts w:asciiTheme="minorHAnsi" w:hAnsiTheme="minorHAnsi" w:cstheme="minorHAnsi"/>
                <w:b/>
                <w:bCs/>
                <w:color w:val="000000"/>
                <w:lang w:val="tr-TR"/>
              </w:rPr>
              <w:t>Düşük</w:t>
            </w:r>
          </w:p>
        </w:tc>
        <w:tc>
          <w:tcPr>
            <w:tcW w:w="1134" w:type="dxa"/>
            <w:tcBorders>
              <w:top w:val="double" w:sz="4" w:space="0" w:color="000000"/>
              <w:bottom w:val="single" w:sz="4" w:space="0" w:color="000000"/>
            </w:tcBorders>
            <w:shd w:val="clear" w:color="auto" w:fill="auto"/>
            <w:vAlign w:val="bottom"/>
          </w:tcPr>
          <w:p w14:paraId="4F29F685" w14:textId="77777777" w:rsidR="00F75E35" w:rsidRPr="00336E5B" w:rsidRDefault="00F75E35" w:rsidP="004F1270">
            <w:pPr>
              <w:widowControl w:val="0"/>
              <w:jc w:val="right"/>
              <w:rPr>
                <w:rFonts w:asciiTheme="minorHAnsi" w:hAnsiTheme="minorHAnsi" w:cstheme="minorHAnsi"/>
                <w:b/>
                <w:bCs/>
                <w:color w:val="000000"/>
                <w:lang w:val="tr-TR"/>
              </w:rPr>
            </w:pPr>
            <w:r w:rsidRPr="00336E5B">
              <w:rPr>
                <w:rFonts w:asciiTheme="minorHAnsi" w:hAnsiTheme="minorHAnsi" w:cstheme="minorHAnsi"/>
                <w:b/>
                <w:bCs/>
                <w:color w:val="000000"/>
                <w:lang w:val="tr-TR"/>
              </w:rPr>
              <w:t>Yüksek</w:t>
            </w:r>
          </w:p>
        </w:tc>
      </w:tr>
      <w:tr w:rsidR="00F75E35" w:rsidRPr="00336E5B" w14:paraId="319807CD" w14:textId="77777777" w:rsidTr="00B365F7">
        <w:trPr>
          <w:trHeight w:val="284"/>
        </w:trPr>
        <w:tc>
          <w:tcPr>
            <w:tcW w:w="3826" w:type="dxa"/>
            <w:tcBorders>
              <w:top w:val="single" w:sz="4" w:space="0" w:color="000000"/>
            </w:tcBorders>
            <w:shd w:val="clear" w:color="auto" w:fill="auto"/>
            <w:vAlign w:val="bottom"/>
          </w:tcPr>
          <w:p w14:paraId="7F9D8550" w14:textId="0418E3BD" w:rsidR="00F75E35" w:rsidRPr="008C33D5" w:rsidRDefault="00A373B3" w:rsidP="00A373B3">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İşyeri </w:t>
            </w:r>
            <w:proofErr w:type="gramStart"/>
            <w:r w:rsidR="00F75E35" w:rsidRPr="008C33D5">
              <w:rPr>
                <w:rFonts w:asciiTheme="minorHAnsi" w:hAnsiTheme="minorHAnsi" w:cstheme="minorHAnsi"/>
                <w:color w:val="000000"/>
                <w:sz w:val="22"/>
                <w:szCs w:val="22"/>
                <w:lang w:val="tr-TR"/>
              </w:rPr>
              <w:t>Bina</w:t>
            </w:r>
            <w:r w:rsidR="004101D6" w:rsidRPr="008C33D5">
              <w:rPr>
                <w:rFonts w:asciiTheme="minorHAnsi" w:hAnsiTheme="minorHAnsi" w:cstheme="minorHAnsi"/>
                <w:color w:val="000000"/>
                <w:sz w:val="22"/>
                <w:szCs w:val="22"/>
                <w:lang w:val="tr-TR"/>
              </w:rPr>
              <w:t>sı</w:t>
            </w:r>
            <w:r w:rsidRPr="008C33D5">
              <w:rPr>
                <w:rFonts w:asciiTheme="minorHAnsi" w:hAnsiTheme="minorHAnsi" w:cstheme="minorHAnsi"/>
                <w:color w:val="000000"/>
                <w:sz w:val="22"/>
                <w:szCs w:val="22"/>
                <w:lang w:val="tr-TR"/>
              </w:rPr>
              <w:t xml:space="preserve">: </w:t>
            </w:r>
            <w:r w:rsidR="00B365F7" w:rsidRPr="008C33D5">
              <w:rPr>
                <w:rFonts w:asciiTheme="minorHAnsi" w:hAnsiTheme="minorHAnsi" w:cstheme="minorHAnsi"/>
                <w:color w:val="000000"/>
                <w:sz w:val="22"/>
                <w:szCs w:val="22"/>
                <w:lang w:val="tr-TR"/>
              </w:rPr>
              <w:t xml:space="preserve">  </w:t>
            </w:r>
            <w:proofErr w:type="gramEnd"/>
            <w:r w:rsidR="00B365F7" w:rsidRPr="008C33D5">
              <w:rPr>
                <w:rFonts w:asciiTheme="minorHAnsi" w:hAnsiTheme="minorHAnsi" w:cstheme="minorHAnsi"/>
                <w:color w:val="000000"/>
                <w:sz w:val="22"/>
                <w:szCs w:val="22"/>
                <w:lang w:val="tr-TR"/>
              </w:rPr>
              <w:t xml:space="preserve">          </w:t>
            </w:r>
            <w:r w:rsidR="00F75E35" w:rsidRPr="008C33D5">
              <w:rPr>
                <w:rFonts w:asciiTheme="minorHAnsi" w:hAnsiTheme="minorHAnsi" w:cstheme="minorHAnsi"/>
                <w:color w:val="000000"/>
                <w:sz w:val="22"/>
                <w:szCs w:val="22"/>
                <w:lang w:val="tr-TR"/>
              </w:rPr>
              <w:t xml:space="preserve">Yeniden Yapım </w:t>
            </w:r>
          </w:p>
        </w:tc>
        <w:tc>
          <w:tcPr>
            <w:tcW w:w="1134" w:type="dxa"/>
            <w:tcBorders>
              <w:top w:val="single" w:sz="4" w:space="0" w:color="000000"/>
            </w:tcBorders>
            <w:shd w:val="clear" w:color="auto" w:fill="auto"/>
            <w:vAlign w:val="bottom"/>
          </w:tcPr>
          <w:p w14:paraId="59104A4B" w14:textId="5E75CAB3" w:rsidR="00F75E35" w:rsidRPr="008C33D5" w:rsidRDefault="00551B76" w:rsidP="004F1270">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8</w:t>
            </w:r>
          </w:p>
        </w:tc>
        <w:tc>
          <w:tcPr>
            <w:tcW w:w="1134" w:type="dxa"/>
            <w:tcBorders>
              <w:top w:val="single" w:sz="4" w:space="0" w:color="000000"/>
            </w:tcBorders>
            <w:shd w:val="clear" w:color="auto" w:fill="auto"/>
            <w:vAlign w:val="bottom"/>
          </w:tcPr>
          <w:p w14:paraId="60FEFF61" w14:textId="6BDF6BAF" w:rsidR="00F75E35" w:rsidRPr="008C33D5" w:rsidRDefault="00551B76" w:rsidP="004F1270">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10</w:t>
            </w:r>
          </w:p>
        </w:tc>
      </w:tr>
      <w:tr w:rsidR="00F75E35" w:rsidRPr="00336E5B" w14:paraId="0CD6AA84" w14:textId="77777777" w:rsidTr="00B365F7">
        <w:trPr>
          <w:trHeight w:val="284"/>
        </w:trPr>
        <w:tc>
          <w:tcPr>
            <w:tcW w:w="3826" w:type="dxa"/>
            <w:shd w:val="clear" w:color="auto" w:fill="auto"/>
            <w:vAlign w:val="bottom"/>
          </w:tcPr>
          <w:p w14:paraId="30701BF7" w14:textId="6FE1AFC7" w:rsidR="00F75E35" w:rsidRPr="008C33D5" w:rsidRDefault="00F75E35" w:rsidP="005E158F">
            <w:pPr>
              <w:widowControl w:val="0"/>
              <w:ind w:left="-502" w:firstLine="502"/>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Orta </w:t>
            </w:r>
            <w:r w:rsidR="00A373B3" w:rsidRPr="008C33D5">
              <w:rPr>
                <w:rFonts w:asciiTheme="minorHAnsi" w:hAnsiTheme="minorHAnsi" w:cstheme="minorHAnsi"/>
                <w:color w:val="000000"/>
                <w:sz w:val="22"/>
                <w:szCs w:val="22"/>
                <w:lang w:val="tr-TR"/>
              </w:rPr>
              <w:t>H</w:t>
            </w:r>
            <w:r w:rsidRPr="008C33D5">
              <w:rPr>
                <w:rFonts w:asciiTheme="minorHAnsi" w:hAnsiTheme="minorHAnsi" w:cstheme="minorHAnsi"/>
                <w:color w:val="000000"/>
                <w:sz w:val="22"/>
                <w:szCs w:val="22"/>
                <w:lang w:val="tr-TR"/>
              </w:rPr>
              <w:t>asarlı</w:t>
            </w:r>
          </w:p>
        </w:tc>
        <w:tc>
          <w:tcPr>
            <w:tcW w:w="1134" w:type="dxa"/>
            <w:shd w:val="clear" w:color="auto" w:fill="auto"/>
            <w:vAlign w:val="bottom"/>
          </w:tcPr>
          <w:p w14:paraId="57ED9A10" w14:textId="37A33081" w:rsidR="00F75E35" w:rsidRPr="008C33D5" w:rsidRDefault="00551B76" w:rsidP="004F1270">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3</w:t>
            </w:r>
          </w:p>
        </w:tc>
        <w:tc>
          <w:tcPr>
            <w:tcW w:w="1134" w:type="dxa"/>
            <w:shd w:val="clear" w:color="auto" w:fill="auto"/>
            <w:vAlign w:val="bottom"/>
          </w:tcPr>
          <w:p w14:paraId="513C2EA7" w14:textId="5B013EA8" w:rsidR="00F75E35" w:rsidRPr="008C33D5" w:rsidRDefault="00551B76" w:rsidP="004F1270">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4</w:t>
            </w:r>
          </w:p>
        </w:tc>
      </w:tr>
      <w:tr w:rsidR="00F75E35" w:rsidRPr="00336E5B" w14:paraId="1D141C5B" w14:textId="77777777" w:rsidTr="00B365F7">
        <w:trPr>
          <w:trHeight w:val="284"/>
        </w:trPr>
        <w:tc>
          <w:tcPr>
            <w:tcW w:w="3826" w:type="dxa"/>
            <w:shd w:val="clear" w:color="auto" w:fill="auto"/>
            <w:vAlign w:val="bottom"/>
          </w:tcPr>
          <w:p w14:paraId="2258485F" w14:textId="5B1038D7" w:rsidR="00F75E35" w:rsidRPr="008C33D5" w:rsidRDefault="00F75E35"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Az </w:t>
            </w:r>
            <w:r w:rsidR="00A373B3" w:rsidRPr="008C33D5">
              <w:rPr>
                <w:rFonts w:asciiTheme="minorHAnsi" w:hAnsiTheme="minorHAnsi" w:cstheme="minorHAnsi"/>
                <w:color w:val="000000"/>
                <w:sz w:val="22"/>
                <w:szCs w:val="22"/>
                <w:lang w:val="tr-TR"/>
              </w:rPr>
              <w:t>H</w:t>
            </w:r>
            <w:r w:rsidRPr="008C33D5">
              <w:rPr>
                <w:rFonts w:asciiTheme="minorHAnsi" w:hAnsiTheme="minorHAnsi" w:cstheme="minorHAnsi"/>
                <w:color w:val="000000"/>
                <w:sz w:val="22"/>
                <w:szCs w:val="22"/>
                <w:lang w:val="tr-TR"/>
              </w:rPr>
              <w:t>asarlı</w:t>
            </w:r>
          </w:p>
        </w:tc>
        <w:tc>
          <w:tcPr>
            <w:tcW w:w="1134" w:type="dxa"/>
            <w:shd w:val="clear" w:color="auto" w:fill="auto"/>
            <w:vAlign w:val="bottom"/>
          </w:tcPr>
          <w:p w14:paraId="2FDD23C1" w14:textId="7EB468B6" w:rsidR="00F75E35" w:rsidRPr="008C33D5" w:rsidRDefault="00F75E35" w:rsidP="004F1270">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1</w:t>
            </w:r>
            <w:r w:rsidR="00551B76" w:rsidRPr="008C33D5">
              <w:rPr>
                <w:rFonts w:asciiTheme="minorHAnsi" w:hAnsiTheme="minorHAnsi" w:cstheme="minorHAnsi"/>
                <w:color w:val="000000"/>
                <w:sz w:val="22"/>
                <w:szCs w:val="22"/>
                <w:lang w:val="tr-TR"/>
              </w:rPr>
              <w:t>,5</w:t>
            </w:r>
          </w:p>
        </w:tc>
        <w:tc>
          <w:tcPr>
            <w:tcW w:w="1134" w:type="dxa"/>
            <w:shd w:val="clear" w:color="auto" w:fill="auto"/>
            <w:vAlign w:val="bottom"/>
          </w:tcPr>
          <w:p w14:paraId="51B16247" w14:textId="2CB22EE8" w:rsidR="00F75E35" w:rsidRPr="008C33D5" w:rsidRDefault="00551B76" w:rsidP="004F1270">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2</w:t>
            </w:r>
          </w:p>
        </w:tc>
      </w:tr>
      <w:tr w:rsidR="00A373B3" w:rsidRPr="00336E5B" w14:paraId="641CFE3F" w14:textId="77777777" w:rsidTr="00B365F7">
        <w:trPr>
          <w:trHeight w:val="284"/>
        </w:trPr>
        <w:tc>
          <w:tcPr>
            <w:tcW w:w="3826" w:type="dxa"/>
            <w:shd w:val="clear" w:color="auto" w:fill="auto"/>
            <w:vAlign w:val="bottom"/>
          </w:tcPr>
          <w:p w14:paraId="16496ECF" w14:textId="001B939C" w:rsidR="005E158F" w:rsidRPr="008C33D5" w:rsidRDefault="005E158F" w:rsidP="00EC5878">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İşyeri Bağ</w:t>
            </w:r>
            <w:r w:rsidR="00B365F7" w:rsidRPr="008C33D5">
              <w:rPr>
                <w:rFonts w:asciiTheme="minorHAnsi" w:hAnsiTheme="minorHAnsi" w:cstheme="minorHAnsi"/>
                <w:color w:val="000000"/>
                <w:sz w:val="22"/>
                <w:szCs w:val="22"/>
                <w:lang w:val="tr-TR"/>
              </w:rPr>
              <w:t>ımsız</w:t>
            </w:r>
            <w:r w:rsidRPr="008C33D5">
              <w:rPr>
                <w:rFonts w:asciiTheme="minorHAnsi" w:hAnsiTheme="minorHAnsi" w:cstheme="minorHAnsi"/>
                <w:color w:val="000000"/>
                <w:sz w:val="22"/>
                <w:szCs w:val="22"/>
                <w:lang w:val="tr-TR"/>
              </w:rPr>
              <w:t xml:space="preserve"> </w:t>
            </w:r>
            <w:proofErr w:type="gramStart"/>
            <w:r w:rsidRPr="008C33D5">
              <w:rPr>
                <w:rFonts w:asciiTheme="minorHAnsi" w:hAnsiTheme="minorHAnsi" w:cstheme="minorHAnsi"/>
                <w:color w:val="000000"/>
                <w:sz w:val="22"/>
                <w:szCs w:val="22"/>
                <w:lang w:val="tr-TR"/>
              </w:rPr>
              <w:t>Birim</w:t>
            </w:r>
            <w:r w:rsidR="00A373B3" w:rsidRPr="008C33D5">
              <w:rPr>
                <w:rFonts w:asciiTheme="minorHAnsi" w:hAnsiTheme="minorHAnsi" w:cstheme="minorHAnsi"/>
                <w:color w:val="000000"/>
                <w:sz w:val="22"/>
                <w:szCs w:val="22"/>
                <w:lang w:val="tr-TR"/>
              </w:rPr>
              <w:t>:</w:t>
            </w:r>
            <w:r w:rsidR="00B365F7" w:rsidRPr="008C33D5">
              <w:rPr>
                <w:rFonts w:asciiTheme="minorHAnsi" w:hAnsiTheme="minorHAnsi" w:cstheme="minorHAnsi"/>
                <w:color w:val="000000"/>
                <w:sz w:val="22"/>
                <w:szCs w:val="22"/>
                <w:lang w:val="tr-TR"/>
              </w:rPr>
              <w:t xml:space="preserve">  Y</w:t>
            </w:r>
            <w:r w:rsidRPr="008C33D5">
              <w:rPr>
                <w:rFonts w:asciiTheme="minorHAnsi" w:hAnsiTheme="minorHAnsi" w:cstheme="minorHAnsi"/>
                <w:color w:val="000000"/>
                <w:sz w:val="22"/>
                <w:szCs w:val="22"/>
                <w:lang w:val="tr-TR"/>
              </w:rPr>
              <w:t>eniden</w:t>
            </w:r>
            <w:proofErr w:type="gramEnd"/>
            <w:r w:rsidRPr="008C33D5">
              <w:rPr>
                <w:rFonts w:asciiTheme="minorHAnsi" w:hAnsiTheme="minorHAnsi" w:cstheme="minorHAnsi"/>
                <w:color w:val="000000"/>
                <w:sz w:val="22"/>
                <w:szCs w:val="22"/>
                <w:lang w:val="tr-TR"/>
              </w:rPr>
              <w:t xml:space="preserve"> Yapım</w:t>
            </w:r>
          </w:p>
        </w:tc>
        <w:tc>
          <w:tcPr>
            <w:tcW w:w="1134" w:type="dxa"/>
            <w:shd w:val="clear" w:color="auto" w:fill="auto"/>
            <w:vAlign w:val="bottom"/>
          </w:tcPr>
          <w:p w14:paraId="1A2CC59B" w14:textId="2FB8CFD3" w:rsidR="005E158F" w:rsidRPr="008C33D5" w:rsidRDefault="00551B76" w:rsidP="00EC5878">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0,8</w:t>
            </w:r>
          </w:p>
        </w:tc>
        <w:tc>
          <w:tcPr>
            <w:tcW w:w="1134" w:type="dxa"/>
            <w:shd w:val="clear" w:color="auto" w:fill="auto"/>
            <w:vAlign w:val="bottom"/>
          </w:tcPr>
          <w:p w14:paraId="42A58CF2" w14:textId="1A72E829" w:rsidR="005E158F" w:rsidRPr="008C33D5" w:rsidRDefault="00551B76" w:rsidP="00EC5878">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1</w:t>
            </w:r>
          </w:p>
        </w:tc>
      </w:tr>
      <w:tr w:rsidR="00A373B3" w:rsidRPr="00336E5B" w14:paraId="42CB5667" w14:textId="77777777" w:rsidTr="00B365F7">
        <w:trPr>
          <w:trHeight w:val="284"/>
        </w:trPr>
        <w:tc>
          <w:tcPr>
            <w:tcW w:w="3826" w:type="dxa"/>
            <w:shd w:val="clear" w:color="auto" w:fill="auto"/>
            <w:vAlign w:val="bottom"/>
          </w:tcPr>
          <w:p w14:paraId="4752AB07" w14:textId="40D08A36"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Orta </w:t>
            </w:r>
            <w:r w:rsidR="00A373B3" w:rsidRPr="008C33D5">
              <w:rPr>
                <w:rFonts w:asciiTheme="minorHAnsi" w:hAnsiTheme="minorHAnsi" w:cstheme="minorHAnsi"/>
                <w:color w:val="000000"/>
                <w:sz w:val="22"/>
                <w:szCs w:val="22"/>
                <w:lang w:val="tr-TR"/>
              </w:rPr>
              <w:t>H</w:t>
            </w:r>
            <w:r w:rsidRPr="008C33D5">
              <w:rPr>
                <w:rFonts w:asciiTheme="minorHAnsi" w:hAnsiTheme="minorHAnsi" w:cstheme="minorHAnsi"/>
                <w:color w:val="000000"/>
                <w:sz w:val="22"/>
                <w:szCs w:val="22"/>
                <w:lang w:val="tr-TR"/>
              </w:rPr>
              <w:t>asarlı</w:t>
            </w:r>
          </w:p>
        </w:tc>
        <w:tc>
          <w:tcPr>
            <w:tcW w:w="1134" w:type="dxa"/>
            <w:shd w:val="clear" w:color="auto" w:fill="auto"/>
            <w:vAlign w:val="bottom"/>
          </w:tcPr>
          <w:p w14:paraId="4977F3D9" w14:textId="6A0E2018"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w:t>
            </w:r>
            <w:r w:rsidR="00551B76" w:rsidRPr="008C33D5">
              <w:rPr>
                <w:rFonts w:asciiTheme="minorHAnsi" w:hAnsiTheme="minorHAnsi" w:cstheme="minorHAnsi"/>
                <w:color w:val="000000"/>
                <w:sz w:val="22"/>
                <w:szCs w:val="22"/>
                <w:lang w:val="tr-TR"/>
              </w:rPr>
              <w:t>3</w:t>
            </w:r>
          </w:p>
        </w:tc>
        <w:tc>
          <w:tcPr>
            <w:tcW w:w="1134" w:type="dxa"/>
            <w:shd w:val="clear" w:color="auto" w:fill="auto"/>
            <w:vAlign w:val="bottom"/>
          </w:tcPr>
          <w:p w14:paraId="19D2B08A" w14:textId="4A299DB7"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w:t>
            </w:r>
            <w:r w:rsidR="00551B76" w:rsidRPr="008C33D5">
              <w:rPr>
                <w:rFonts w:asciiTheme="minorHAnsi" w:hAnsiTheme="minorHAnsi" w:cstheme="minorHAnsi"/>
                <w:color w:val="000000"/>
                <w:sz w:val="22"/>
                <w:szCs w:val="22"/>
                <w:lang w:val="tr-TR"/>
              </w:rPr>
              <w:t>4</w:t>
            </w:r>
          </w:p>
        </w:tc>
      </w:tr>
      <w:tr w:rsidR="00A373B3" w:rsidRPr="00336E5B" w14:paraId="3FDD8AAC" w14:textId="77777777" w:rsidTr="00B365F7">
        <w:trPr>
          <w:trHeight w:val="284"/>
        </w:trPr>
        <w:tc>
          <w:tcPr>
            <w:tcW w:w="3826" w:type="dxa"/>
            <w:shd w:val="clear" w:color="auto" w:fill="auto"/>
            <w:vAlign w:val="bottom"/>
          </w:tcPr>
          <w:p w14:paraId="0DBE9712" w14:textId="487E8CB7"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Az </w:t>
            </w:r>
            <w:r w:rsidR="00A373B3" w:rsidRPr="008C33D5">
              <w:rPr>
                <w:rFonts w:asciiTheme="minorHAnsi" w:hAnsiTheme="minorHAnsi" w:cstheme="minorHAnsi"/>
                <w:color w:val="000000"/>
                <w:sz w:val="22"/>
                <w:szCs w:val="22"/>
                <w:lang w:val="tr-TR"/>
              </w:rPr>
              <w:t>H</w:t>
            </w:r>
            <w:r w:rsidRPr="008C33D5">
              <w:rPr>
                <w:rFonts w:asciiTheme="minorHAnsi" w:hAnsiTheme="minorHAnsi" w:cstheme="minorHAnsi"/>
                <w:color w:val="000000"/>
                <w:sz w:val="22"/>
                <w:szCs w:val="22"/>
                <w:lang w:val="tr-TR"/>
              </w:rPr>
              <w:t>asarlı</w:t>
            </w:r>
          </w:p>
        </w:tc>
        <w:tc>
          <w:tcPr>
            <w:tcW w:w="1134" w:type="dxa"/>
            <w:shd w:val="clear" w:color="auto" w:fill="auto"/>
            <w:vAlign w:val="bottom"/>
          </w:tcPr>
          <w:p w14:paraId="63B6455C" w14:textId="4730094F"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w:t>
            </w:r>
            <w:r w:rsidR="00551B76" w:rsidRPr="008C33D5">
              <w:rPr>
                <w:rFonts w:asciiTheme="minorHAnsi" w:hAnsiTheme="minorHAnsi" w:cstheme="minorHAnsi"/>
                <w:color w:val="000000"/>
                <w:sz w:val="22"/>
                <w:szCs w:val="22"/>
                <w:lang w:val="tr-TR"/>
              </w:rPr>
              <w:t>15</w:t>
            </w:r>
          </w:p>
        </w:tc>
        <w:tc>
          <w:tcPr>
            <w:tcW w:w="1134" w:type="dxa"/>
            <w:shd w:val="clear" w:color="auto" w:fill="auto"/>
            <w:vAlign w:val="bottom"/>
          </w:tcPr>
          <w:p w14:paraId="628FC09F" w14:textId="72CF58C9"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w:t>
            </w:r>
            <w:r w:rsidR="00551B76" w:rsidRPr="008C33D5">
              <w:rPr>
                <w:rFonts w:asciiTheme="minorHAnsi" w:hAnsiTheme="minorHAnsi" w:cstheme="minorHAnsi"/>
                <w:color w:val="000000"/>
                <w:sz w:val="22"/>
                <w:szCs w:val="22"/>
                <w:lang w:val="tr-TR"/>
              </w:rPr>
              <w:t>,</w:t>
            </w:r>
            <w:r w:rsidRPr="008C33D5">
              <w:rPr>
                <w:rFonts w:asciiTheme="minorHAnsi" w:hAnsiTheme="minorHAnsi" w:cstheme="minorHAnsi"/>
                <w:color w:val="000000"/>
                <w:sz w:val="22"/>
                <w:szCs w:val="22"/>
                <w:lang w:val="tr-TR"/>
              </w:rPr>
              <w:t>2</w:t>
            </w:r>
            <w:r w:rsidR="00551B76" w:rsidRPr="008C33D5">
              <w:rPr>
                <w:rFonts w:asciiTheme="minorHAnsi" w:hAnsiTheme="minorHAnsi" w:cstheme="minorHAnsi"/>
                <w:color w:val="000000"/>
                <w:sz w:val="22"/>
                <w:szCs w:val="22"/>
                <w:lang w:val="tr-TR"/>
              </w:rPr>
              <w:t>2</w:t>
            </w:r>
            <w:r w:rsidRPr="008C33D5">
              <w:rPr>
                <w:rFonts w:asciiTheme="minorHAnsi" w:hAnsiTheme="minorHAnsi" w:cstheme="minorHAnsi"/>
                <w:color w:val="000000"/>
                <w:sz w:val="22"/>
                <w:szCs w:val="22"/>
                <w:lang w:val="tr-TR"/>
              </w:rPr>
              <w:t>5</w:t>
            </w:r>
          </w:p>
        </w:tc>
      </w:tr>
      <w:tr w:rsidR="005E158F" w:rsidRPr="00336E5B" w14:paraId="0A12C848" w14:textId="77777777" w:rsidTr="00B365F7">
        <w:trPr>
          <w:trHeight w:val="284"/>
        </w:trPr>
        <w:tc>
          <w:tcPr>
            <w:tcW w:w="3826" w:type="dxa"/>
            <w:shd w:val="clear" w:color="auto" w:fill="auto"/>
            <w:vAlign w:val="bottom"/>
          </w:tcPr>
          <w:p w14:paraId="27908B61" w14:textId="7894D0CF" w:rsidR="005E158F" w:rsidRPr="008C33D5" w:rsidRDefault="005E158F" w:rsidP="005E158F">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Konut Bağ</w:t>
            </w:r>
            <w:r w:rsidR="00B365F7" w:rsidRPr="008C33D5">
              <w:rPr>
                <w:rFonts w:asciiTheme="minorHAnsi" w:hAnsiTheme="minorHAnsi" w:cstheme="minorHAnsi"/>
                <w:color w:val="000000"/>
                <w:sz w:val="22"/>
                <w:szCs w:val="22"/>
                <w:lang w:val="tr-TR"/>
              </w:rPr>
              <w:t>ımsız</w:t>
            </w:r>
            <w:r w:rsidRPr="008C33D5">
              <w:rPr>
                <w:rFonts w:asciiTheme="minorHAnsi" w:hAnsiTheme="minorHAnsi" w:cstheme="minorHAnsi"/>
                <w:color w:val="000000"/>
                <w:sz w:val="22"/>
                <w:szCs w:val="22"/>
                <w:lang w:val="tr-TR"/>
              </w:rPr>
              <w:t xml:space="preserve"> </w:t>
            </w:r>
            <w:proofErr w:type="gramStart"/>
            <w:r w:rsidRPr="008C33D5">
              <w:rPr>
                <w:rFonts w:asciiTheme="minorHAnsi" w:hAnsiTheme="minorHAnsi" w:cstheme="minorHAnsi"/>
                <w:color w:val="000000"/>
                <w:sz w:val="22"/>
                <w:szCs w:val="22"/>
                <w:lang w:val="tr-TR"/>
              </w:rPr>
              <w:t>Birim</w:t>
            </w:r>
            <w:r w:rsidR="00A373B3" w:rsidRPr="008C33D5">
              <w:rPr>
                <w:rFonts w:asciiTheme="minorHAnsi" w:hAnsiTheme="minorHAnsi" w:cstheme="minorHAnsi"/>
                <w:color w:val="000000"/>
                <w:sz w:val="22"/>
                <w:szCs w:val="22"/>
                <w:lang w:val="tr-TR"/>
              </w:rPr>
              <w:t xml:space="preserve">: </w:t>
            </w:r>
            <w:r w:rsidR="00B365F7" w:rsidRPr="008C33D5">
              <w:rPr>
                <w:rFonts w:asciiTheme="minorHAnsi" w:hAnsiTheme="minorHAnsi" w:cstheme="minorHAnsi"/>
                <w:color w:val="000000"/>
                <w:sz w:val="22"/>
                <w:szCs w:val="22"/>
                <w:lang w:val="tr-TR"/>
              </w:rPr>
              <w:t xml:space="preserve"> </w:t>
            </w:r>
            <w:r w:rsidRPr="008C33D5">
              <w:rPr>
                <w:rFonts w:asciiTheme="minorHAnsi" w:hAnsiTheme="minorHAnsi" w:cstheme="minorHAnsi"/>
                <w:color w:val="000000"/>
                <w:sz w:val="22"/>
                <w:szCs w:val="22"/>
                <w:lang w:val="tr-TR"/>
              </w:rPr>
              <w:t>Yeniden</w:t>
            </w:r>
            <w:proofErr w:type="gramEnd"/>
            <w:r w:rsidRPr="008C33D5">
              <w:rPr>
                <w:rFonts w:asciiTheme="minorHAnsi" w:hAnsiTheme="minorHAnsi" w:cstheme="minorHAnsi"/>
                <w:color w:val="000000"/>
                <w:sz w:val="22"/>
                <w:szCs w:val="22"/>
                <w:lang w:val="tr-TR"/>
              </w:rPr>
              <w:t xml:space="preserve"> Yapım</w:t>
            </w:r>
          </w:p>
        </w:tc>
        <w:tc>
          <w:tcPr>
            <w:tcW w:w="1134" w:type="dxa"/>
            <w:shd w:val="clear" w:color="auto" w:fill="auto"/>
            <w:vAlign w:val="bottom"/>
          </w:tcPr>
          <w:p w14:paraId="6F3FC42E" w14:textId="77777777"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1,3</w:t>
            </w:r>
          </w:p>
        </w:tc>
        <w:tc>
          <w:tcPr>
            <w:tcW w:w="1134" w:type="dxa"/>
            <w:shd w:val="clear" w:color="auto" w:fill="auto"/>
            <w:vAlign w:val="bottom"/>
          </w:tcPr>
          <w:p w14:paraId="7C55FE89" w14:textId="502E2915"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1</w:t>
            </w:r>
            <w:r w:rsidR="00551B76" w:rsidRPr="008C33D5">
              <w:rPr>
                <w:rFonts w:asciiTheme="minorHAnsi" w:hAnsiTheme="minorHAnsi" w:cstheme="minorHAnsi"/>
                <w:color w:val="000000"/>
                <w:sz w:val="22"/>
                <w:szCs w:val="22"/>
                <w:lang w:val="tr-TR"/>
              </w:rPr>
              <w:t>,</w:t>
            </w:r>
            <w:r w:rsidRPr="008C33D5">
              <w:rPr>
                <w:rFonts w:asciiTheme="minorHAnsi" w:hAnsiTheme="minorHAnsi" w:cstheme="minorHAnsi"/>
                <w:color w:val="000000"/>
                <w:sz w:val="22"/>
                <w:szCs w:val="22"/>
                <w:lang w:val="tr-TR"/>
              </w:rPr>
              <w:t>6</w:t>
            </w:r>
          </w:p>
        </w:tc>
      </w:tr>
      <w:tr w:rsidR="005E158F" w:rsidRPr="00336E5B" w14:paraId="7A55B1AD" w14:textId="77777777" w:rsidTr="00B365F7">
        <w:trPr>
          <w:trHeight w:val="284"/>
        </w:trPr>
        <w:tc>
          <w:tcPr>
            <w:tcW w:w="3826" w:type="dxa"/>
            <w:tcBorders>
              <w:bottom w:val="double" w:sz="4" w:space="0" w:color="000000"/>
            </w:tcBorders>
            <w:shd w:val="clear" w:color="auto" w:fill="auto"/>
            <w:vAlign w:val="bottom"/>
          </w:tcPr>
          <w:p w14:paraId="408D5AE0" w14:textId="1525DA65"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Az </w:t>
            </w:r>
            <w:r w:rsidR="00A373B3" w:rsidRPr="008C33D5">
              <w:rPr>
                <w:rFonts w:asciiTheme="minorHAnsi" w:hAnsiTheme="minorHAnsi" w:cstheme="minorHAnsi"/>
                <w:color w:val="000000"/>
                <w:sz w:val="22"/>
                <w:szCs w:val="22"/>
                <w:lang w:val="tr-TR"/>
              </w:rPr>
              <w:t>H</w:t>
            </w:r>
            <w:r w:rsidRPr="008C33D5">
              <w:rPr>
                <w:rFonts w:asciiTheme="minorHAnsi" w:hAnsiTheme="minorHAnsi" w:cstheme="minorHAnsi"/>
                <w:color w:val="000000"/>
                <w:sz w:val="22"/>
                <w:szCs w:val="22"/>
                <w:lang w:val="tr-TR"/>
              </w:rPr>
              <w:t>asarlı</w:t>
            </w:r>
          </w:p>
        </w:tc>
        <w:tc>
          <w:tcPr>
            <w:tcW w:w="1134" w:type="dxa"/>
            <w:tcBorders>
              <w:bottom w:val="double" w:sz="4" w:space="0" w:color="000000"/>
            </w:tcBorders>
            <w:shd w:val="clear" w:color="auto" w:fill="auto"/>
            <w:vAlign w:val="bottom"/>
          </w:tcPr>
          <w:p w14:paraId="09E416A0" w14:textId="77777777"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0,1</w:t>
            </w:r>
          </w:p>
        </w:tc>
        <w:tc>
          <w:tcPr>
            <w:tcW w:w="1134" w:type="dxa"/>
            <w:tcBorders>
              <w:bottom w:val="double" w:sz="4" w:space="0" w:color="000000"/>
            </w:tcBorders>
            <w:shd w:val="clear" w:color="auto" w:fill="auto"/>
            <w:vAlign w:val="bottom"/>
          </w:tcPr>
          <w:p w14:paraId="0E44A409" w14:textId="77777777" w:rsidR="005E158F" w:rsidRPr="008C33D5" w:rsidRDefault="005E158F" w:rsidP="005E158F">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0,125</w:t>
            </w:r>
          </w:p>
        </w:tc>
      </w:tr>
    </w:tbl>
    <w:p w14:paraId="448E33D5" w14:textId="77777777" w:rsidR="00F75E35" w:rsidRPr="00336E5B" w:rsidRDefault="00F75E35" w:rsidP="00F75E35">
      <w:pPr>
        <w:rPr>
          <w:rFonts w:asciiTheme="minorHAnsi" w:hAnsiTheme="minorHAnsi" w:cstheme="minorHAnsi"/>
          <w:lang w:val="tr-TR"/>
        </w:rPr>
      </w:pPr>
    </w:p>
    <w:p w14:paraId="6C43E5D4" w14:textId="2ECCD161" w:rsidR="00AD2A1B" w:rsidRPr="00336E5B" w:rsidRDefault="008C6AA5" w:rsidP="00AD2A1B">
      <w:pPr>
        <w:spacing w:after="120"/>
        <w:rPr>
          <w:rFonts w:asciiTheme="minorHAnsi" w:hAnsiTheme="minorHAnsi" w:cstheme="minorHAnsi"/>
          <w:lang w:val="tr-TR"/>
        </w:rPr>
      </w:pPr>
      <w:r w:rsidRPr="00336E5B">
        <w:rPr>
          <w:rFonts w:asciiTheme="minorHAnsi" w:hAnsiTheme="minorHAnsi" w:cstheme="minorHAnsi"/>
          <w:lang w:val="tr-TR"/>
        </w:rPr>
        <w:t xml:space="preserve">Benzer şekilde az hasarlı </w:t>
      </w:r>
      <w:r w:rsidR="002A3544" w:rsidRPr="00336E5B">
        <w:rPr>
          <w:rFonts w:asciiTheme="minorHAnsi" w:hAnsiTheme="minorHAnsi" w:cstheme="minorHAnsi"/>
          <w:lang w:val="tr-TR"/>
        </w:rPr>
        <w:t>ikametgâh</w:t>
      </w:r>
      <w:r w:rsidRPr="00336E5B">
        <w:rPr>
          <w:rFonts w:asciiTheme="minorHAnsi" w:hAnsiTheme="minorHAnsi" w:cstheme="minorHAnsi"/>
          <w:lang w:val="tr-TR"/>
        </w:rPr>
        <w:t xml:space="preserve"> amaçlı binalardaki bağımsız birimlerde yapılacak tamirat için düşük ve yüksek olmak üzere iki farklı maliyet </w:t>
      </w:r>
      <w:r w:rsidR="002A3544" w:rsidRPr="00336E5B">
        <w:rPr>
          <w:rFonts w:asciiTheme="minorHAnsi" w:hAnsiTheme="minorHAnsi" w:cstheme="minorHAnsi"/>
          <w:lang w:val="tr-TR"/>
        </w:rPr>
        <w:t xml:space="preserve">seçeneğiyle </w:t>
      </w:r>
      <w:r w:rsidRPr="00336E5B">
        <w:rPr>
          <w:rFonts w:asciiTheme="minorHAnsi" w:hAnsiTheme="minorHAnsi" w:cstheme="minorHAnsi"/>
          <w:lang w:val="tr-TR"/>
        </w:rPr>
        <w:t xml:space="preserve">çalışmak doğru olacaktır. Bu çerçevede az hasarlı binalarda yapılacak tamiratın ise bağımsız birim başına en az 100 en çok da </w:t>
      </w:r>
      <w:r w:rsidR="00E76E2B" w:rsidRPr="00336E5B">
        <w:rPr>
          <w:rFonts w:asciiTheme="minorHAnsi" w:hAnsiTheme="minorHAnsi" w:cstheme="minorHAnsi"/>
          <w:lang w:val="tr-TR"/>
        </w:rPr>
        <w:t>125</w:t>
      </w:r>
      <w:r w:rsidRPr="00336E5B">
        <w:rPr>
          <w:rFonts w:asciiTheme="minorHAnsi" w:hAnsiTheme="minorHAnsi" w:cstheme="minorHAnsi"/>
          <w:lang w:val="tr-TR"/>
        </w:rPr>
        <w:t xml:space="preserve"> bin lira ola</w:t>
      </w:r>
      <w:r w:rsidR="00D534DA">
        <w:rPr>
          <w:rFonts w:asciiTheme="minorHAnsi" w:hAnsiTheme="minorHAnsi" w:cstheme="minorHAnsi"/>
          <w:lang w:val="tr-TR"/>
        </w:rPr>
        <w:t>rak</w:t>
      </w:r>
      <w:r w:rsidR="003F25BC" w:rsidRPr="00336E5B">
        <w:rPr>
          <w:rFonts w:asciiTheme="minorHAnsi" w:hAnsiTheme="minorHAnsi" w:cstheme="minorHAnsi"/>
          <w:lang w:val="tr-TR"/>
        </w:rPr>
        <w:t xml:space="preserve"> tahmin ediyoruz.</w:t>
      </w:r>
    </w:p>
    <w:p w14:paraId="40C9BDFD" w14:textId="308CF4EE" w:rsidR="000E4B7D" w:rsidRPr="00336E5B" w:rsidRDefault="007B16E8" w:rsidP="000E4B7D">
      <w:pPr>
        <w:spacing w:after="120"/>
        <w:rPr>
          <w:rFonts w:asciiTheme="minorHAnsi" w:hAnsiTheme="minorHAnsi" w:cstheme="minorHAnsi"/>
          <w:lang w:val="tr-TR"/>
        </w:rPr>
      </w:pPr>
      <w:r w:rsidRPr="00336E5B">
        <w:rPr>
          <w:rFonts w:asciiTheme="minorHAnsi" w:hAnsiTheme="minorHAnsi" w:cstheme="minorHAnsi"/>
          <w:lang w:val="tr-TR"/>
        </w:rPr>
        <w:t>Son olarak, y</w:t>
      </w:r>
      <w:r w:rsidR="008C6AA5" w:rsidRPr="00336E5B">
        <w:rPr>
          <w:rFonts w:asciiTheme="minorHAnsi" w:hAnsiTheme="minorHAnsi" w:cstheme="minorHAnsi"/>
          <w:lang w:val="tr-TR"/>
        </w:rPr>
        <w:t xml:space="preserve">ıkılmış işyerleri için yeniden yapım, orta ve az hasarlı işyerleri için ise güçlendirme maliyetlerinin alt ve üst değerleriyle ilgili varsayımlar Tablo </w:t>
      </w:r>
      <w:r w:rsidR="00A82BE8" w:rsidRPr="00336E5B">
        <w:rPr>
          <w:rFonts w:asciiTheme="minorHAnsi" w:hAnsiTheme="minorHAnsi" w:cstheme="minorHAnsi"/>
          <w:lang w:val="tr-TR"/>
        </w:rPr>
        <w:t>2</w:t>
      </w:r>
      <w:r w:rsidR="008C6AA5" w:rsidRPr="00336E5B">
        <w:rPr>
          <w:rFonts w:asciiTheme="minorHAnsi" w:hAnsiTheme="minorHAnsi" w:cstheme="minorHAnsi"/>
          <w:lang w:val="tr-TR"/>
        </w:rPr>
        <w:t>’</w:t>
      </w:r>
      <w:r w:rsidR="00A82BE8" w:rsidRPr="00336E5B">
        <w:rPr>
          <w:rFonts w:asciiTheme="minorHAnsi" w:hAnsiTheme="minorHAnsi" w:cstheme="minorHAnsi"/>
          <w:lang w:val="tr-TR"/>
        </w:rPr>
        <w:t>d</w:t>
      </w:r>
      <w:r w:rsidR="008C6AA5" w:rsidRPr="00336E5B">
        <w:rPr>
          <w:rFonts w:asciiTheme="minorHAnsi" w:hAnsiTheme="minorHAnsi" w:cstheme="minorHAnsi"/>
          <w:lang w:val="tr-TR"/>
        </w:rPr>
        <w:t xml:space="preserve">e </w:t>
      </w:r>
      <w:r w:rsidR="003F25BC" w:rsidRPr="00336E5B">
        <w:rPr>
          <w:rFonts w:asciiTheme="minorHAnsi" w:hAnsiTheme="minorHAnsi" w:cstheme="minorHAnsi"/>
          <w:lang w:val="tr-TR"/>
        </w:rPr>
        <w:t>paylaşılıyor</w:t>
      </w:r>
      <w:r w:rsidR="008C6AA5" w:rsidRPr="00336E5B">
        <w:rPr>
          <w:rFonts w:asciiTheme="minorHAnsi" w:hAnsiTheme="minorHAnsi" w:cstheme="minorHAnsi"/>
          <w:lang w:val="tr-TR"/>
        </w:rPr>
        <w:t xml:space="preserve">. </w:t>
      </w:r>
      <w:r w:rsidR="00940BDF" w:rsidRPr="00336E5B">
        <w:rPr>
          <w:rFonts w:asciiTheme="minorHAnsi" w:hAnsiTheme="minorHAnsi" w:cstheme="minorHAnsi"/>
          <w:lang w:val="tr-TR"/>
        </w:rPr>
        <w:t>Büyük i</w:t>
      </w:r>
      <w:r w:rsidR="00982965" w:rsidRPr="00336E5B">
        <w:rPr>
          <w:rFonts w:asciiTheme="minorHAnsi" w:hAnsiTheme="minorHAnsi" w:cstheme="minorHAnsi"/>
          <w:lang w:val="tr-TR"/>
        </w:rPr>
        <w:t>şyer</w:t>
      </w:r>
      <w:r w:rsidR="00D74DA5" w:rsidRPr="00336E5B">
        <w:rPr>
          <w:rFonts w:asciiTheme="minorHAnsi" w:hAnsiTheme="minorHAnsi" w:cstheme="minorHAnsi"/>
          <w:lang w:val="tr-TR"/>
        </w:rPr>
        <w:t xml:space="preserve">i binalarının </w:t>
      </w:r>
      <w:r w:rsidR="00982965" w:rsidRPr="00336E5B">
        <w:rPr>
          <w:rFonts w:asciiTheme="minorHAnsi" w:hAnsiTheme="minorHAnsi" w:cstheme="minorHAnsi"/>
          <w:lang w:val="tr-TR"/>
        </w:rPr>
        <w:t xml:space="preserve">yeniden inşası, </w:t>
      </w:r>
      <w:r w:rsidR="00D74DA5" w:rsidRPr="00336E5B">
        <w:rPr>
          <w:rFonts w:asciiTheme="minorHAnsi" w:hAnsiTheme="minorHAnsi" w:cstheme="minorHAnsi"/>
          <w:lang w:val="tr-TR"/>
        </w:rPr>
        <w:t xml:space="preserve">güçlendirilmesi ve tamiratı </w:t>
      </w:r>
      <w:r w:rsidR="00982965" w:rsidRPr="00336E5B">
        <w:rPr>
          <w:rFonts w:asciiTheme="minorHAnsi" w:hAnsiTheme="minorHAnsi" w:cstheme="minorHAnsi"/>
          <w:lang w:val="tr-TR"/>
        </w:rPr>
        <w:t>için varsayılan alt</w:t>
      </w:r>
      <w:r w:rsidR="00D74DA5" w:rsidRPr="00336E5B">
        <w:rPr>
          <w:rFonts w:asciiTheme="minorHAnsi" w:hAnsiTheme="minorHAnsi" w:cstheme="minorHAnsi"/>
          <w:lang w:val="tr-TR"/>
        </w:rPr>
        <w:t xml:space="preserve"> ve üst birim ortalama maliyetler konut bağımsız birimleri için varsayılanlara göre daha yüksek</w:t>
      </w:r>
      <w:r w:rsidR="00BD59A5" w:rsidRPr="00336E5B">
        <w:rPr>
          <w:rFonts w:asciiTheme="minorHAnsi" w:hAnsiTheme="minorHAnsi" w:cstheme="minorHAnsi"/>
          <w:lang w:val="tr-TR"/>
        </w:rPr>
        <w:t>tir</w:t>
      </w:r>
      <w:r w:rsidR="00D74DA5" w:rsidRPr="00336E5B">
        <w:rPr>
          <w:rFonts w:asciiTheme="minorHAnsi" w:hAnsiTheme="minorHAnsi" w:cstheme="minorHAnsi"/>
          <w:lang w:val="tr-TR"/>
        </w:rPr>
        <w:t xml:space="preserve">. </w:t>
      </w:r>
      <w:r w:rsidR="00A569EE" w:rsidRPr="00336E5B">
        <w:rPr>
          <w:rFonts w:asciiTheme="minorHAnsi" w:hAnsiTheme="minorHAnsi" w:cstheme="minorHAnsi"/>
          <w:lang w:val="tr-TR"/>
        </w:rPr>
        <w:t xml:space="preserve">Bunun yanı sıra, görece küçük işyerlerine ait olan bağımsız işyeri birimlerinin yeniden yapım, </w:t>
      </w:r>
      <w:r w:rsidR="00A569EE" w:rsidRPr="00336E5B">
        <w:rPr>
          <w:rFonts w:asciiTheme="minorHAnsi" w:hAnsiTheme="minorHAnsi" w:cstheme="minorHAnsi"/>
          <w:lang w:val="tr-TR"/>
        </w:rPr>
        <w:lastRenderedPageBreak/>
        <w:t>gü</w:t>
      </w:r>
      <w:r w:rsidR="007F2F0A" w:rsidRPr="00336E5B">
        <w:rPr>
          <w:rFonts w:asciiTheme="minorHAnsi" w:hAnsiTheme="minorHAnsi" w:cstheme="minorHAnsi"/>
          <w:lang w:val="tr-TR"/>
        </w:rPr>
        <w:t>ç</w:t>
      </w:r>
      <w:r w:rsidR="00A569EE" w:rsidRPr="00336E5B">
        <w:rPr>
          <w:rFonts w:asciiTheme="minorHAnsi" w:hAnsiTheme="minorHAnsi" w:cstheme="minorHAnsi"/>
          <w:lang w:val="tr-TR"/>
        </w:rPr>
        <w:t>lendirme ve tamirat maliyetinin orta ve büyük ölçekteki işyerleri</w:t>
      </w:r>
      <w:r w:rsidR="00644E28" w:rsidRPr="00336E5B">
        <w:rPr>
          <w:rFonts w:asciiTheme="minorHAnsi" w:hAnsiTheme="minorHAnsi" w:cstheme="minorHAnsi"/>
          <w:lang w:val="tr-TR"/>
        </w:rPr>
        <w:t xml:space="preserve"> için gerekli olan maliyetin</w:t>
      </w:r>
      <w:r w:rsidR="00D14B9D" w:rsidRPr="00336E5B">
        <w:rPr>
          <w:rFonts w:asciiTheme="minorHAnsi" w:hAnsiTheme="minorHAnsi" w:cstheme="minorHAnsi"/>
          <w:lang w:val="tr-TR"/>
        </w:rPr>
        <w:t xml:space="preserve"> </w:t>
      </w:r>
      <w:r w:rsidR="0088714B">
        <w:rPr>
          <w:rFonts w:asciiTheme="minorHAnsi" w:hAnsiTheme="minorHAnsi" w:cstheme="minorHAnsi"/>
          <w:lang w:val="tr-TR"/>
        </w:rPr>
        <w:t xml:space="preserve">yüzde </w:t>
      </w:r>
      <w:r w:rsidR="00D14B9D" w:rsidRPr="00336E5B">
        <w:rPr>
          <w:rFonts w:asciiTheme="minorHAnsi" w:hAnsiTheme="minorHAnsi" w:cstheme="minorHAnsi"/>
          <w:lang w:val="tr-TR"/>
        </w:rPr>
        <w:t>10’u olduğu</w:t>
      </w:r>
      <w:r w:rsidR="007F2F0A" w:rsidRPr="00336E5B">
        <w:rPr>
          <w:rFonts w:asciiTheme="minorHAnsi" w:hAnsiTheme="minorHAnsi" w:cstheme="minorHAnsi"/>
          <w:lang w:val="tr-TR"/>
        </w:rPr>
        <w:t>nu</w:t>
      </w:r>
      <w:r w:rsidR="00D14B9D" w:rsidRPr="00336E5B">
        <w:rPr>
          <w:rFonts w:asciiTheme="minorHAnsi" w:hAnsiTheme="minorHAnsi" w:cstheme="minorHAnsi"/>
          <w:lang w:val="tr-TR"/>
        </w:rPr>
        <w:t xml:space="preserve"> varsayıyoruz.</w:t>
      </w:r>
    </w:p>
    <w:p w14:paraId="0FCB8831" w14:textId="15E6B06A" w:rsidR="000E4B7D" w:rsidRPr="00336E5B" w:rsidRDefault="00524942" w:rsidP="000E4B7D">
      <w:pPr>
        <w:spacing w:after="120"/>
        <w:rPr>
          <w:rFonts w:asciiTheme="minorHAnsi" w:hAnsiTheme="minorHAnsi" w:cstheme="minorHAnsi"/>
          <w:lang w:val="tr-TR"/>
        </w:rPr>
      </w:pPr>
      <w:r w:rsidRPr="00336E5B">
        <w:rPr>
          <w:rFonts w:asciiTheme="minorHAnsi" w:hAnsiTheme="minorHAnsi" w:cstheme="minorHAnsi"/>
          <w:lang w:val="tr-TR"/>
        </w:rPr>
        <w:t>Depremin konut ve sermaye stoku üzerindeki yıkıcı etkisi üzerine bakanlığın yayınladığı verileri baz alarak yapmış olduğumuz detaylı hesapla</w:t>
      </w:r>
      <w:r w:rsidR="00644E28" w:rsidRPr="00336E5B">
        <w:rPr>
          <w:rFonts w:asciiTheme="minorHAnsi" w:hAnsiTheme="minorHAnsi" w:cstheme="minorHAnsi"/>
          <w:lang w:val="tr-TR"/>
        </w:rPr>
        <w:t>mala</w:t>
      </w:r>
      <w:r w:rsidRPr="00336E5B">
        <w:rPr>
          <w:rFonts w:asciiTheme="minorHAnsi" w:hAnsiTheme="minorHAnsi" w:cstheme="minorHAnsi"/>
          <w:lang w:val="tr-TR"/>
        </w:rPr>
        <w:t>rın yanı sıra yeniden inşaat, güçlendirme ve tamirat birim</w:t>
      </w:r>
      <w:r w:rsidR="00D14B9D" w:rsidRPr="00336E5B">
        <w:rPr>
          <w:rFonts w:asciiTheme="minorHAnsi" w:hAnsiTheme="minorHAnsi" w:cstheme="minorHAnsi"/>
          <w:lang w:val="tr-TR"/>
        </w:rPr>
        <w:t xml:space="preserve"> </w:t>
      </w:r>
      <w:r w:rsidRPr="00336E5B">
        <w:rPr>
          <w:rFonts w:asciiTheme="minorHAnsi" w:hAnsiTheme="minorHAnsi" w:cstheme="minorHAnsi"/>
          <w:lang w:val="tr-TR"/>
        </w:rPr>
        <w:t>maliyetleriyle ilgili varsayımları kullanarak konut ve üretimdeki sermaye stokuna olan yıkıcı etkinin ekonomik maliyetiyle ilgili tahmin</w:t>
      </w:r>
      <w:r w:rsidR="007B16E8" w:rsidRPr="00336E5B">
        <w:rPr>
          <w:rFonts w:asciiTheme="minorHAnsi" w:hAnsiTheme="minorHAnsi" w:cstheme="minorHAnsi"/>
          <w:lang w:val="tr-TR"/>
        </w:rPr>
        <w:t xml:space="preserve">ler Tablo </w:t>
      </w:r>
      <w:r w:rsidR="00A82BE8" w:rsidRPr="00336E5B">
        <w:rPr>
          <w:rFonts w:asciiTheme="minorHAnsi" w:hAnsiTheme="minorHAnsi" w:cstheme="minorHAnsi"/>
          <w:lang w:val="tr-TR"/>
        </w:rPr>
        <w:t>3</w:t>
      </w:r>
      <w:r w:rsidR="007B16E8" w:rsidRPr="00336E5B">
        <w:rPr>
          <w:rFonts w:asciiTheme="minorHAnsi" w:hAnsiTheme="minorHAnsi" w:cstheme="minorHAnsi"/>
          <w:lang w:val="tr-TR"/>
        </w:rPr>
        <w:t>’te sunulmuştur.</w:t>
      </w:r>
    </w:p>
    <w:p w14:paraId="2A19A2ED" w14:textId="45230B4F" w:rsidR="00A26DA8" w:rsidRPr="00336E5B" w:rsidRDefault="00A26DA8" w:rsidP="00A26DA8">
      <w:pPr>
        <w:spacing w:after="120"/>
        <w:rPr>
          <w:rFonts w:asciiTheme="minorHAnsi" w:hAnsiTheme="minorHAnsi" w:cstheme="minorHAnsi"/>
          <w:lang w:val="tr-TR"/>
        </w:rPr>
      </w:pPr>
      <w:r w:rsidRPr="00336E5B">
        <w:rPr>
          <w:rFonts w:asciiTheme="minorHAnsi" w:hAnsiTheme="minorHAnsi" w:cstheme="minorHAnsi"/>
          <w:lang w:val="tr-TR"/>
        </w:rPr>
        <w:t>Yukarıda varsayılan alt ve üst maliyet verilerini kullanarak yapılan hesapla</w:t>
      </w:r>
      <w:r w:rsidR="00644E28" w:rsidRPr="00336E5B">
        <w:rPr>
          <w:rFonts w:asciiTheme="minorHAnsi" w:hAnsiTheme="minorHAnsi" w:cstheme="minorHAnsi"/>
          <w:lang w:val="tr-TR"/>
        </w:rPr>
        <w:t>mala</w:t>
      </w:r>
      <w:r w:rsidRPr="00336E5B">
        <w:rPr>
          <w:rFonts w:asciiTheme="minorHAnsi" w:hAnsiTheme="minorHAnsi" w:cstheme="minorHAnsi"/>
          <w:lang w:val="tr-TR"/>
        </w:rPr>
        <w:t xml:space="preserve">r depremde yıkılan, çok, orta ve az hasarlı konut stokunun yeni yapım, güçlendirme ve tamirat maliyetinin </w:t>
      </w:r>
      <w:r w:rsidR="00674624" w:rsidRPr="00336E5B">
        <w:rPr>
          <w:rFonts w:asciiTheme="minorHAnsi" w:hAnsiTheme="minorHAnsi" w:cstheme="minorHAnsi"/>
          <w:lang w:val="tr-TR"/>
        </w:rPr>
        <w:t>47</w:t>
      </w:r>
      <w:r w:rsidRPr="00336E5B">
        <w:rPr>
          <w:rFonts w:asciiTheme="minorHAnsi" w:hAnsiTheme="minorHAnsi" w:cstheme="minorHAnsi"/>
          <w:lang w:val="tr-TR"/>
        </w:rPr>
        <w:t>,</w:t>
      </w:r>
      <w:r w:rsidR="00674624" w:rsidRPr="00336E5B">
        <w:rPr>
          <w:rFonts w:asciiTheme="minorHAnsi" w:hAnsiTheme="minorHAnsi" w:cstheme="minorHAnsi"/>
          <w:lang w:val="tr-TR"/>
        </w:rPr>
        <w:t>9</w:t>
      </w:r>
      <w:r w:rsidRPr="00336E5B">
        <w:rPr>
          <w:rFonts w:asciiTheme="minorHAnsi" w:hAnsiTheme="minorHAnsi" w:cstheme="minorHAnsi"/>
          <w:lang w:val="tr-TR"/>
        </w:rPr>
        <w:t xml:space="preserve"> ila </w:t>
      </w:r>
      <w:r w:rsidR="00950B0C" w:rsidRPr="00336E5B">
        <w:rPr>
          <w:rFonts w:asciiTheme="minorHAnsi" w:hAnsiTheme="minorHAnsi" w:cstheme="minorHAnsi"/>
          <w:lang w:val="tr-TR"/>
        </w:rPr>
        <w:t>6</w:t>
      </w:r>
      <w:r w:rsidR="00674624" w:rsidRPr="00336E5B">
        <w:rPr>
          <w:rFonts w:asciiTheme="minorHAnsi" w:hAnsiTheme="minorHAnsi" w:cstheme="minorHAnsi"/>
          <w:lang w:val="tr-TR"/>
        </w:rPr>
        <w:t>1</w:t>
      </w:r>
      <w:r w:rsidRPr="00336E5B">
        <w:rPr>
          <w:rFonts w:asciiTheme="minorHAnsi" w:hAnsiTheme="minorHAnsi" w:cstheme="minorHAnsi"/>
          <w:lang w:val="tr-TR"/>
        </w:rPr>
        <w:t>,</w:t>
      </w:r>
      <w:r w:rsidR="00674624" w:rsidRPr="00336E5B">
        <w:rPr>
          <w:rFonts w:asciiTheme="minorHAnsi" w:hAnsiTheme="minorHAnsi" w:cstheme="minorHAnsi"/>
          <w:lang w:val="tr-TR"/>
        </w:rPr>
        <w:t>9</w:t>
      </w:r>
      <w:r w:rsidRPr="00336E5B">
        <w:rPr>
          <w:rFonts w:asciiTheme="minorHAnsi" w:hAnsiTheme="minorHAnsi" w:cstheme="minorHAnsi"/>
          <w:lang w:val="tr-TR"/>
        </w:rPr>
        <w:t xml:space="preserve"> milyar dolar arasında olacağını ortaya koyuyor. Benzer şekilde </w:t>
      </w:r>
      <w:r w:rsidR="00B47858" w:rsidRPr="00336E5B">
        <w:rPr>
          <w:rFonts w:asciiTheme="minorHAnsi" w:hAnsiTheme="minorHAnsi" w:cstheme="minorHAnsi"/>
          <w:lang w:val="tr-TR"/>
        </w:rPr>
        <w:t xml:space="preserve">büyük </w:t>
      </w:r>
      <w:r w:rsidRPr="00336E5B">
        <w:rPr>
          <w:rFonts w:asciiTheme="minorHAnsi" w:hAnsiTheme="minorHAnsi" w:cstheme="minorHAnsi"/>
          <w:lang w:val="tr-TR"/>
        </w:rPr>
        <w:t>işyer</w:t>
      </w:r>
      <w:r w:rsidR="004847C1" w:rsidRPr="00336E5B">
        <w:rPr>
          <w:rFonts w:asciiTheme="minorHAnsi" w:hAnsiTheme="minorHAnsi" w:cstheme="minorHAnsi"/>
          <w:lang w:val="tr-TR"/>
        </w:rPr>
        <w:t xml:space="preserve">i </w:t>
      </w:r>
      <w:r w:rsidR="00B47858" w:rsidRPr="00336E5B">
        <w:rPr>
          <w:rFonts w:asciiTheme="minorHAnsi" w:hAnsiTheme="minorHAnsi" w:cstheme="minorHAnsi"/>
          <w:lang w:val="tr-TR"/>
        </w:rPr>
        <w:t xml:space="preserve">binalarına </w:t>
      </w:r>
      <w:r w:rsidRPr="00336E5B">
        <w:rPr>
          <w:rFonts w:asciiTheme="minorHAnsi" w:hAnsiTheme="minorHAnsi" w:cstheme="minorHAnsi"/>
          <w:lang w:val="tr-TR"/>
        </w:rPr>
        <w:t xml:space="preserve">ve </w:t>
      </w:r>
      <w:r w:rsidR="00B47858" w:rsidRPr="00336E5B">
        <w:rPr>
          <w:rFonts w:asciiTheme="minorHAnsi" w:hAnsiTheme="minorHAnsi" w:cstheme="minorHAnsi"/>
          <w:lang w:val="tr-TR"/>
        </w:rPr>
        <w:t xml:space="preserve">bu binalardaki </w:t>
      </w:r>
      <w:r w:rsidRPr="00336E5B">
        <w:rPr>
          <w:rFonts w:asciiTheme="minorHAnsi" w:hAnsiTheme="minorHAnsi" w:cstheme="minorHAnsi"/>
          <w:lang w:val="tr-TR"/>
        </w:rPr>
        <w:t xml:space="preserve">sermaye stokuna verilen zararın giderilebilmesi için en az </w:t>
      </w:r>
      <w:r w:rsidR="00674624" w:rsidRPr="00336E5B">
        <w:rPr>
          <w:rFonts w:asciiTheme="minorHAnsi" w:hAnsiTheme="minorHAnsi" w:cstheme="minorHAnsi"/>
          <w:lang w:val="tr-TR"/>
        </w:rPr>
        <w:t>3,7 e</w:t>
      </w:r>
      <w:r w:rsidRPr="00336E5B">
        <w:rPr>
          <w:rFonts w:asciiTheme="minorHAnsi" w:hAnsiTheme="minorHAnsi" w:cstheme="minorHAnsi"/>
          <w:lang w:val="tr-TR"/>
        </w:rPr>
        <w:t xml:space="preserve">n çok da </w:t>
      </w:r>
      <w:r w:rsidR="00674624" w:rsidRPr="00336E5B">
        <w:rPr>
          <w:rFonts w:asciiTheme="minorHAnsi" w:hAnsiTheme="minorHAnsi" w:cstheme="minorHAnsi"/>
          <w:lang w:val="tr-TR"/>
        </w:rPr>
        <w:t>4</w:t>
      </w:r>
      <w:r w:rsidRPr="00336E5B">
        <w:rPr>
          <w:rFonts w:asciiTheme="minorHAnsi" w:hAnsiTheme="minorHAnsi" w:cstheme="minorHAnsi"/>
          <w:lang w:val="tr-TR"/>
        </w:rPr>
        <w:t>,</w:t>
      </w:r>
      <w:r w:rsidR="00674624" w:rsidRPr="00336E5B">
        <w:rPr>
          <w:rFonts w:asciiTheme="minorHAnsi" w:hAnsiTheme="minorHAnsi" w:cstheme="minorHAnsi"/>
          <w:lang w:val="tr-TR"/>
        </w:rPr>
        <w:t>9</w:t>
      </w:r>
      <w:r w:rsidRPr="00336E5B">
        <w:rPr>
          <w:rFonts w:asciiTheme="minorHAnsi" w:hAnsiTheme="minorHAnsi" w:cstheme="minorHAnsi"/>
          <w:lang w:val="tr-TR"/>
        </w:rPr>
        <w:t xml:space="preserve"> milyar dolarlık bir yatırım yapılması gerekmektedir. </w:t>
      </w:r>
      <w:r w:rsidR="00B47858" w:rsidRPr="00336E5B">
        <w:rPr>
          <w:rFonts w:asciiTheme="minorHAnsi" w:hAnsiTheme="minorHAnsi" w:cstheme="minorHAnsi"/>
          <w:lang w:val="tr-TR"/>
        </w:rPr>
        <w:t>Öte yandan küçük işyerlerine verilen zararın giderilmesi için harcanması gereken kaynak 6 ila 8,</w:t>
      </w:r>
      <w:r w:rsidR="00674624" w:rsidRPr="00336E5B">
        <w:rPr>
          <w:rFonts w:asciiTheme="minorHAnsi" w:hAnsiTheme="minorHAnsi" w:cstheme="minorHAnsi"/>
          <w:lang w:val="tr-TR"/>
        </w:rPr>
        <w:t>3</w:t>
      </w:r>
      <w:r w:rsidR="00B47858" w:rsidRPr="00336E5B">
        <w:rPr>
          <w:rFonts w:asciiTheme="minorHAnsi" w:hAnsiTheme="minorHAnsi" w:cstheme="minorHAnsi"/>
          <w:lang w:val="tr-TR"/>
        </w:rPr>
        <w:t xml:space="preserve"> milyar dolar arasında değişmektedir. </w:t>
      </w:r>
      <w:r w:rsidRPr="00336E5B">
        <w:rPr>
          <w:rFonts w:asciiTheme="minorHAnsi" w:hAnsiTheme="minorHAnsi" w:cstheme="minorHAnsi"/>
          <w:lang w:val="tr-TR"/>
        </w:rPr>
        <w:t xml:space="preserve">Altyapı sermaye stoku üzerindeki etkinin ise </w:t>
      </w:r>
      <w:r w:rsidR="00674624" w:rsidRPr="00336E5B">
        <w:rPr>
          <w:rFonts w:asciiTheme="minorHAnsi" w:hAnsiTheme="minorHAnsi" w:cstheme="minorHAnsi"/>
          <w:lang w:val="tr-TR"/>
        </w:rPr>
        <w:t>7</w:t>
      </w:r>
      <w:r w:rsidRPr="00336E5B">
        <w:rPr>
          <w:rFonts w:asciiTheme="minorHAnsi" w:hAnsiTheme="minorHAnsi" w:cstheme="minorHAnsi"/>
          <w:lang w:val="tr-TR"/>
        </w:rPr>
        <w:t>,</w:t>
      </w:r>
      <w:r w:rsidR="00674624" w:rsidRPr="00336E5B">
        <w:rPr>
          <w:rFonts w:asciiTheme="minorHAnsi" w:hAnsiTheme="minorHAnsi" w:cstheme="minorHAnsi"/>
          <w:lang w:val="tr-TR"/>
        </w:rPr>
        <w:t>5</w:t>
      </w:r>
      <w:r w:rsidRPr="00336E5B">
        <w:rPr>
          <w:rFonts w:asciiTheme="minorHAnsi" w:hAnsiTheme="minorHAnsi" w:cstheme="minorHAnsi"/>
          <w:lang w:val="tr-TR"/>
        </w:rPr>
        <w:t xml:space="preserve"> ila </w:t>
      </w:r>
      <w:r w:rsidR="00674624" w:rsidRPr="00336E5B">
        <w:rPr>
          <w:rFonts w:asciiTheme="minorHAnsi" w:hAnsiTheme="minorHAnsi" w:cstheme="minorHAnsi"/>
          <w:lang w:val="tr-TR"/>
        </w:rPr>
        <w:t>9</w:t>
      </w:r>
      <w:r w:rsidRPr="00336E5B">
        <w:rPr>
          <w:rFonts w:asciiTheme="minorHAnsi" w:hAnsiTheme="minorHAnsi" w:cstheme="minorHAnsi"/>
          <w:lang w:val="tr-TR"/>
        </w:rPr>
        <w:t>,0 milyar dolar arasında gerçekleş</w:t>
      </w:r>
      <w:r w:rsidR="00644E28" w:rsidRPr="00336E5B">
        <w:rPr>
          <w:rFonts w:asciiTheme="minorHAnsi" w:hAnsiTheme="minorHAnsi" w:cstheme="minorHAnsi"/>
          <w:lang w:val="tr-TR"/>
        </w:rPr>
        <w:t>eceğini</w:t>
      </w:r>
      <w:r w:rsidRPr="00336E5B">
        <w:rPr>
          <w:rFonts w:asciiTheme="minorHAnsi" w:hAnsiTheme="minorHAnsi" w:cstheme="minorHAnsi"/>
          <w:lang w:val="tr-TR"/>
        </w:rPr>
        <w:t xml:space="preserve"> varsayıyoruz.</w:t>
      </w:r>
      <w:r w:rsidR="00674624" w:rsidRPr="00336E5B">
        <w:rPr>
          <w:rStyle w:val="DipnotBavurusu"/>
          <w:rFonts w:asciiTheme="minorHAnsi" w:hAnsiTheme="minorHAnsi" w:cstheme="minorHAnsi"/>
          <w:lang w:val="tr-TR"/>
        </w:rPr>
        <w:footnoteReference w:id="5"/>
      </w:r>
      <w:r w:rsidRPr="00336E5B">
        <w:rPr>
          <w:rFonts w:asciiTheme="minorHAnsi" w:hAnsiTheme="minorHAnsi" w:cstheme="minorHAnsi"/>
          <w:lang w:val="tr-TR"/>
        </w:rPr>
        <w:t xml:space="preserve"> </w:t>
      </w:r>
    </w:p>
    <w:p w14:paraId="1B8EEDC6" w14:textId="061BB8BB" w:rsidR="00524942" w:rsidRPr="00336E5B" w:rsidRDefault="00524942" w:rsidP="00524942">
      <w:pPr>
        <w:jc w:val="center"/>
        <w:rPr>
          <w:rFonts w:asciiTheme="minorHAnsi" w:hAnsiTheme="minorHAnsi" w:cstheme="minorHAnsi"/>
          <w:b/>
          <w:bCs/>
          <w:lang w:val="tr-TR"/>
        </w:rPr>
      </w:pPr>
      <w:r w:rsidRPr="00336E5B">
        <w:rPr>
          <w:rFonts w:asciiTheme="minorHAnsi" w:hAnsiTheme="minorHAnsi" w:cstheme="minorHAnsi"/>
          <w:b/>
          <w:bCs/>
          <w:lang w:val="tr-TR"/>
        </w:rPr>
        <w:t xml:space="preserve">Tablo </w:t>
      </w:r>
      <w:r w:rsidR="00A82BE8" w:rsidRPr="00336E5B">
        <w:rPr>
          <w:rFonts w:asciiTheme="minorHAnsi" w:hAnsiTheme="minorHAnsi" w:cstheme="minorHAnsi"/>
          <w:b/>
          <w:bCs/>
          <w:lang w:val="tr-TR"/>
        </w:rPr>
        <w:t>3</w:t>
      </w:r>
      <w:r w:rsidRPr="00336E5B">
        <w:rPr>
          <w:rFonts w:asciiTheme="minorHAnsi" w:hAnsiTheme="minorHAnsi" w:cstheme="minorHAnsi"/>
          <w:b/>
          <w:bCs/>
          <w:lang w:val="tr-TR"/>
        </w:rPr>
        <w:t>. Depremin Ekonomik Maliyet Tahmin</w:t>
      </w:r>
      <w:r w:rsidR="00392E10" w:rsidRPr="00336E5B">
        <w:rPr>
          <w:rFonts w:asciiTheme="minorHAnsi" w:hAnsiTheme="minorHAnsi" w:cstheme="minorHAnsi"/>
          <w:b/>
          <w:bCs/>
          <w:lang w:val="tr-TR"/>
        </w:rPr>
        <w:t>i</w:t>
      </w:r>
      <w:r w:rsidRPr="00336E5B">
        <w:rPr>
          <w:rFonts w:asciiTheme="minorHAnsi" w:hAnsiTheme="minorHAnsi" w:cstheme="minorHAnsi"/>
          <w:b/>
          <w:bCs/>
          <w:lang w:val="tr-TR"/>
        </w:rPr>
        <w:t xml:space="preserve"> </w:t>
      </w:r>
    </w:p>
    <w:p w14:paraId="554480F2" w14:textId="77777777" w:rsidR="00524942" w:rsidRPr="00336E5B" w:rsidRDefault="00524942" w:rsidP="00524942">
      <w:pPr>
        <w:jc w:val="center"/>
        <w:rPr>
          <w:rFonts w:asciiTheme="minorHAnsi" w:hAnsiTheme="minorHAnsi" w:cstheme="minorHAnsi"/>
          <w:b/>
          <w:bCs/>
          <w:lang w:val="tr-TR"/>
        </w:rPr>
      </w:pPr>
      <w:r w:rsidRPr="00336E5B">
        <w:rPr>
          <w:rFonts w:asciiTheme="minorHAnsi" w:hAnsiTheme="minorHAnsi" w:cstheme="minorHAnsi"/>
          <w:b/>
          <w:bCs/>
          <w:color w:val="000000"/>
          <w:lang w:val="tr-TR"/>
        </w:rPr>
        <w:t>(</w:t>
      </w:r>
      <w:proofErr w:type="gramStart"/>
      <w:r w:rsidRPr="00336E5B">
        <w:rPr>
          <w:rFonts w:asciiTheme="minorHAnsi" w:hAnsiTheme="minorHAnsi" w:cstheme="minorHAnsi"/>
          <w:b/>
          <w:bCs/>
          <w:color w:val="000000"/>
          <w:lang w:val="tr-TR"/>
        </w:rPr>
        <w:t>milyar</w:t>
      </w:r>
      <w:proofErr w:type="gramEnd"/>
      <w:r w:rsidRPr="00336E5B">
        <w:rPr>
          <w:rFonts w:asciiTheme="minorHAnsi" w:hAnsiTheme="minorHAnsi" w:cstheme="minorHAnsi"/>
          <w:b/>
          <w:bCs/>
          <w:color w:val="000000"/>
          <w:lang w:val="tr-TR"/>
        </w:rPr>
        <w:t xml:space="preserve"> dolar)</w:t>
      </w:r>
    </w:p>
    <w:tbl>
      <w:tblPr>
        <w:tblW w:w="7675" w:type="dxa"/>
        <w:tblInd w:w="851" w:type="dxa"/>
        <w:tblLayout w:type="fixed"/>
        <w:tblLook w:val="04A0" w:firstRow="1" w:lastRow="0" w:firstColumn="1" w:lastColumn="0" w:noHBand="0" w:noVBand="1"/>
      </w:tblPr>
      <w:tblGrid>
        <w:gridCol w:w="5785"/>
        <w:gridCol w:w="900"/>
        <w:gridCol w:w="990"/>
      </w:tblGrid>
      <w:tr w:rsidR="004305FD" w:rsidRPr="00336E5B" w14:paraId="3E4C5BAC" w14:textId="77777777" w:rsidTr="008C33D5">
        <w:trPr>
          <w:trHeight w:val="284"/>
        </w:trPr>
        <w:tc>
          <w:tcPr>
            <w:tcW w:w="5785" w:type="dxa"/>
            <w:tcBorders>
              <w:top w:val="double" w:sz="4" w:space="0" w:color="000000"/>
              <w:bottom w:val="single" w:sz="4" w:space="0" w:color="000000"/>
            </w:tcBorders>
            <w:shd w:val="clear" w:color="auto" w:fill="auto"/>
            <w:vAlign w:val="center"/>
          </w:tcPr>
          <w:p w14:paraId="4013B0B6" w14:textId="0BC843C7" w:rsidR="004305FD" w:rsidRPr="00336E5B" w:rsidRDefault="004305FD" w:rsidP="004305FD">
            <w:pPr>
              <w:widowControl w:val="0"/>
              <w:jc w:val="center"/>
              <w:rPr>
                <w:rFonts w:asciiTheme="minorHAnsi" w:hAnsiTheme="minorHAnsi" w:cstheme="minorHAnsi"/>
                <w:b/>
                <w:bCs/>
                <w:color w:val="000000"/>
              </w:rPr>
            </w:pPr>
          </w:p>
        </w:tc>
        <w:tc>
          <w:tcPr>
            <w:tcW w:w="900" w:type="dxa"/>
            <w:tcBorders>
              <w:top w:val="double" w:sz="4" w:space="0" w:color="000000"/>
              <w:bottom w:val="single" w:sz="4" w:space="0" w:color="000000"/>
            </w:tcBorders>
            <w:shd w:val="clear" w:color="auto" w:fill="auto"/>
            <w:vAlign w:val="center"/>
          </w:tcPr>
          <w:p w14:paraId="4E6F0611" w14:textId="77777777" w:rsidR="004305FD" w:rsidRPr="00336E5B" w:rsidRDefault="004305FD" w:rsidP="004305FD">
            <w:pPr>
              <w:widowControl w:val="0"/>
              <w:jc w:val="right"/>
              <w:rPr>
                <w:rFonts w:asciiTheme="minorHAnsi" w:hAnsiTheme="minorHAnsi" w:cstheme="minorHAnsi"/>
                <w:b/>
                <w:bCs/>
                <w:color w:val="000000"/>
                <w:lang w:val="tr-TR"/>
              </w:rPr>
            </w:pPr>
            <w:r w:rsidRPr="00336E5B">
              <w:rPr>
                <w:rFonts w:asciiTheme="minorHAnsi" w:hAnsiTheme="minorHAnsi" w:cstheme="minorHAnsi"/>
                <w:b/>
                <w:bCs/>
                <w:color w:val="000000"/>
                <w:lang w:val="tr-TR"/>
              </w:rPr>
              <w:t>Düşük</w:t>
            </w:r>
          </w:p>
        </w:tc>
        <w:tc>
          <w:tcPr>
            <w:tcW w:w="990" w:type="dxa"/>
            <w:tcBorders>
              <w:top w:val="double" w:sz="4" w:space="0" w:color="000000"/>
              <w:bottom w:val="single" w:sz="4" w:space="0" w:color="000000"/>
            </w:tcBorders>
            <w:vAlign w:val="center"/>
          </w:tcPr>
          <w:p w14:paraId="14488CC0" w14:textId="77777777" w:rsidR="004305FD" w:rsidRPr="00336E5B" w:rsidRDefault="004305FD" w:rsidP="004305FD">
            <w:pPr>
              <w:widowControl w:val="0"/>
              <w:jc w:val="right"/>
              <w:rPr>
                <w:rFonts w:asciiTheme="minorHAnsi" w:hAnsiTheme="minorHAnsi" w:cstheme="minorHAnsi"/>
                <w:b/>
                <w:bCs/>
                <w:color w:val="000000"/>
                <w:lang w:val="tr-TR"/>
              </w:rPr>
            </w:pPr>
            <w:r w:rsidRPr="00336E5B">
              <w:rPr>
                <w:rFonts w:asciiTheme="minorHAnsi" w:hAnsiTheme="minorHAnsi" w:cstheme="minorHAnsi"/>
                <w:b/>
                <w:bCs/>
                <w:color w:val="000000"/>
                <w:lang w:val="tr-TR"/>
              </w:rPr>
              <w:t>Yüksek</w:t>
            </w:r>
          </w:p>
        </w:tc>
      </w:tr>
      <w:tr w:rsidR="004305FD" w:rsidRPr="00B461F4" w14:paraId="452A1C36" w14:textId="77777777" w:rsidTr="008C33D5">
        <w:trPr>
          <w:trHeight w:val="284"/>
        </w:trPr>
        <w:tc>
          <w:tcPr>
            <w:tcW w:w="5785" w:type="dxa"/>
            <w:tcBorders>
              <w:top w:val="single" w:sz="4" w:space="0" w:color="000000"/>
            </w:tcBorders>
            <w:shd w:val="clear" w:color="auto" w:fill="auto"/>
            <w:vAlign w:val="center"/>
          </w:tcPr>
          <w:p w14:paraId="6909B0C3" w14:textId="7B5277A3" w:rsidR="004305FD" w:rsidRPr="00B461F4" w:rsidRDefault="004305FD" w:rsidP="004305FD">
            <w:pPr>
              <w:widowControl w:val="0"/>
              <w:rPr>
                <w:rFonts w:asciiTheme="minorHAnsi" w:hAnsiTheme="minorHAnsi" w:cstheme="minorHAnsi"/>
                <w:b/>
                <w:bCs/>
                <w:color w:val="000000"/>
                <w:sz w:val="22"/>
                <w:szCs w:val="22"/>
                <w:lang w:val="tr-TR"/>
              </w:rPr>
            </w:pPr>
            <w:r w:rsidRPr="00B461F4">
              <w:rPr>
                <w:rFonts w:asciiTheme="minorHAnsi" w:hAnsiTheme="minorHAnsi" w:cstheme="minorHAnsi"/>
                <w:b/>
                <w:bCs/>
                <w:color w:val="000000"/>
                <w:sz w:val="22"/>
                <w:szCs w:val="22"/>
                <w:lang w:val="tr-TR"/>
              </w:rPr>
              <w:t xml:space="preserve">Toplam Maliyet </w:t>
            </w:r>
          </w:p>
        </w:tc>
        <w:tc>
          <w:tcPr>
            <w:tcW w:w="900" w:type="dxa"/>
            <w:tcBorders>
              <w:top w:val="single" w:sz="4" w:space="0" w:color="000000"/>
            </w:tcBorders>
            <w:shd w:val="clear" w:color="auto" w:fill="auto"/>
            <w:vAlign w:val="bottom"/>
          </w:tcPr>
          <w:p w14:paraId="33CF25D2" w14:textId="3177C425" w:rsidR="004305FD" w:rsidRPr="00B461F4" w:rsidRDefault="0005211B" w:rsidP="004305FD">
            <w:pPr>
              <w:widowControl w:val="0"/>
              <w:jc w:val="right"/>
              <w:rPr>
                <w:rFonts w:asciiTheme="minorHAnsi" w:hAnsiTheme="minorHAnsi" w:cstheme="minorHAnsi"/>
                <w:b/>
                <w:bCs/>
                <w:color w:val="000000"/>
                <w:sz w:val="22"/>
                <w:szCs w:val="22"/>
                <w:u w:val="single"/>
                <w:lang w:val="tr-TR"/>
              </w:rPr>
            </w:pPr>
            <w:r w:rsidRPr="00B461F4">
              <w:rPr>
                <w:rFonts w:asciiTheme="minorHAnsi" w:hAnsiTheme="minorHAnsi" w:cstheme="minorHAnsi"/>
                <w:b/>
                <w:bCs/>
                <w:color w:val="000000"/>
                <w:sz w:val="22"/>
                <w:szCs w:val="22"/>
                <w:lang w:val="tr-TR"/>
              </w:rPr>
              <w:t>7</w:t>
            </w:r>
            <w:r w:rsidR="00095100" w:rsidRPr="00B461F4">
              <w:rPr>
                <w:rFonts w:asciiTheme="minorHAnsi" w:hAnsiTheme="minorHAnsi" w:cstheme="minorHAnsi"/>
                <w:b/>
                <w:bCs/>
                <w:color w:val="000000"/>
                <w:sz w:val="22"/>
                <w:szCs w:val="22"/>
                <w:lang w:val="tr-TR"/>
              </w:rPr>
              <w:t>7</w:t>
            </w:r>
            <w:r w:rsidR="004305FD" w:rsidRPr="00B461F4">
              <w:rPr>
                <w:rFonts w:asciiTheme="minorHAnsi" w:hAnsiTheme="minorHAnsi" w:cstheme="minorHAnsi"/>
                <w:b/>
                <w:bCs/>
                <w:color w:val="000000"/>
                <w:sz w:val="22"/>
                <w:szCs w:val="22"/>
                <w:lang w:val="tr-TR"/>
              </w:rPr>
              <w:t>,</w:t>
            </w:r>
            <w:r w:rsidRPr="00B461F4">
              <w:rPr>
                <w:rFonts w:asciiTheme="minorHAnsi" w:hAnsiTheme="minorHAnsi" w:cstheme="minorHAnsi"/>
                <w:b/>
                <w:bCs/>
                <w:color w:val="000000"/>
                <w:sz w:val="22"/>
                <w:szCs w:val="22"/>
                <w:lang w:val="tr-TR"/>
              </w:rPr>
              <w:t>4</w:t>
            </w:r>
          </w:p>
        </w:tc>
        <w:tc>
          <w:tcPr>
            <w:tcW w:w="990" w:type="dxa"/>
            <w:tcBorders>
              <w:top w:val="single" w:sz="4" w:space="0" w:color="000000"/>
            </w:tcBorders>
            <w:vAlign w:val="bottom"/>
          </w:tcPr>
          <w:p w14:paraId="2CEAC23B" w14:textId="5E356245" w:rsidR="004305FD" w:rsidRPr="00B461F4" w:rsidRDefault="00D85F0C" w:rsidP="004305FD">
            <w:pPr>
              <w:widowControl w:val="0"/>
              <w:jc w:val="right"/>
              <w:rPr>
                <w:rFonts w:asciiTheme="minorHAnsi" w:hAnsiTheme="minorHAnsi" w:cstheme="minorHAnsi"/>
                <w:b/>
                <w:bCs/>
                <w:color w:val="000000"/>
                <w:sz w:val="22"/>
                <w:szCs w:val="22"/>
                <w:u w:val="single"/>
                <w:lang w:val="tr-TR"/>
              </w:rPr>
            </w:pPr>
            <w:r w:rsidRPr="00B461F4">
              <w:rPr>
                <w:rFonts w:asciiTheme="minorHAnsi" w:hAnsiTheme="minorHAnsi" w:cstheme="minorHAnsi"/>
                <w:b/>
                <w:bCs/>
                <w:color w:val="000000"/>
                <w:sz w:val="22"/>
                <w:szCs w:val="22"/>
              </w:rPr>
              <w:t>1</w:t>
            </w:r>
            <w:r w:rsidR="00950B0C" w:rsidRPr="00B461F4">
              <w:rPr>
                <w:rFonts w:asciiTheme="minorHAnsi" w:hAnsiTheme="minorHAnsi" w:cstheme="minorHAnsi"/>
                <w:b/>
                <w:bCs/>
                <w:color w:val="000000"/>
                <w:sz w:val="22"/>
                <w:szCs w:val="22"/>
              </w:rPr>
              <w:t>0</w:t>
            </w:r>
            <w:r w:rsidR="00095100" w:rsidRPr="00B461F4">
              <w:rPr>
                <w:rFonts w:asciiTheme="minorHAnsi" w:hAnsiTheme="minorHAnsi" w:cstheme="minorHAnsi"/>
                <w:b/>
                <w:bCs/>
                <w:color w:val="000000"/>
                <w:sz w:val="22"/>
                <w:szCs w:val="22"/>
              </w:rPr>
              <w:t>4</w:t>
            </w:r>
            <w:r w:rsidR="004305FD" w:rsidRPr="00B461F4">
              <w:rPr>
                <w:rFonts w:asciiTheme="minorHAnsi" w:hAnsiTheme="minorHAnsi" w:cstheme="minorHAnsi"/>
                <w:b/>
                <w:bCs/>
                <w:color w:val="000000"/>
                <w:sz w:val="22"/>
                <w:szCs w:val="22"/>
                <w:lang w:val="tr-TR"/>
              </w:rPr>
              <w:t>,</w:t>
            </w:r>
            <w:r w:rsidR="00095100" w:rsidRPr="00B461F4">
              <w:rPr>
                <w:rFonts w:asciiTheme="minorHAnsi" w:hAnsiTheme="minorHAnsi" w:cstheme="minorHAnsi"/>
                <w:b/>
                <w:bCs/>
                <w:color w:val="000000"/>
                <w:sz w:val="22"/>
                <w:szCs w:val="22"/>
                <w:lang w:val="tr-TR"/>
              </w:rPr>
              <w:t>8</w:t>
            </w:r>
          </w:p>
        </w:tc>
      </w:tr>
      <w:tr w:rsidR="004305FD" w:rsidRPr="00B461F4" w14:paraId="76A1B3AD" w14:textId="77777777" w:rsidTr="008C33D5">
        <w:trPr>
          <w:trHeight w:val="321"/>
        </w:trPr>
        <w:tc>
          <w:tcPr>
            <w:tcW w:w="5785" w:type="dxa"/>
            <w:tcBorders>
              <w:bottom w:val="single" w:sz="4" w:space="0" w:color="000000"/>
            </w:tcBorders>
            <w:shd w:val="clear" w:color="auto" w:fill="auto"/>
            <w:vAlign w:val="center"/>
          </w:tcPr>
          <w:p w14:paraId="7B892818" w14:textId="7849C413" w:rsidR="004305FD" w:rsidRPr="00B461F4" w:rsidRDefault="004305FD" w:rsidP="004305FD">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 xml:space="preserve">    GSYH oranı</w:t>
            </w:r>
          </w:p>
        </w:tc>
        <w:tc>
          <w:tcPr>
            <w:tcW w:w="900" w:type="dxa"/>
            <w:tcBorders>
              <w:bottom w:val="single" w:sz="4" w:space="0" w:color="000000"/>
            </w:tcBorders>
            <w:shd w:val="clear" w:color="auto" w:fill="auto"/>
            <w:vAlign w:val="bottom"/>
          </w:tcPr>
          <w:p w14:paraId="57D410CF" w14:textId="5B7D79B1" w:rsidR="004305FD" w:rsidRPr="00B461F4" w:rsidRDefault="004305FD" w:rsidP="004305FD">
            <w:pPr>
              <w:widowControl w:val="0"/>
              <w:jc w:val="right"/>
              <w:rPr>
                <w:rFonts w:asciiTheme="minorHAnsi" w:hAnsiTheme="minorHAnsi" w:cstheme="minorHAnsi"/>
                <w:b/>
                <w:bCs/>
                <w:color w:val="000000"/>
                <w:sz w:val="22"/>
                <w:szCs w:val="22"/>
                <w:lang w:val="tr-TR"/>
              </w:rPr>
            </w:pPr>
            <w:r w:rsidRPr="00B461F4">
              <w:rPr>
                <w:rFonts w:asciiTheme="minorHAnsi" w:hAnsiTheme="minorHAnsi" w:cstheme="minorHAnsi"/>
                <w:color w:val="000000"/>
                <w:sz w:val="22"/>
                <w:szCs w:val="22"/>
              </w:rPr>
              <w:t>%</w:t>
            </w:r>
            <w:r w:rsidR="00950B0C" w:rsidRPr="00B461F4">
              <w:rPr>
                <w:rFonts w:asciiTheme="minorHAnsi" w:hAnsiTheme="minorHAnsi" w:cstheme="minorHAnsi"/>
                <w:color w:val="000000"/>
                <w:sz w:val="22"/>
                <w:szCs w:val="22"/>
              </w:rPr>
              <w:t>8</w:t>
            </w:r>
            <w:r w:rsidRPr="00B461F4">
              <w:rPr>
                <w:rFonts w:asciiTheme="minorHAnsi" w:hAnsiTheme="minorHAnsi" w:cstheme="minorHAnsi"/>
                <w:color w:val="000000"/>
                <w:sz w:val="22"/>
                <w:szCs w:val="22"/>
                <w:lang w:val="tr-TR"/>
              </w:rPr>
              <w:t>,</w:t>
            </w:r>
            <w:r w:rsidR="00095100" w:rsidRPr="00B461F4">
              <w:rPr>
                <w:rFonts w:asciiTheme="minorHAnsi" w:hAnsiTheme="minorHAnsi" w:cstheme="minorHAnsi"/>
                <w:color w:val="000000"/>
                <w:sz w:val="22"/>
                <w:szCs w:val="22"/>
                <w:lang w:val="tr-TR"/>
              </w:rPr>
              <w:t>6</w:t>
            </w:r>
          </w:p>
        </w:tc>
        <w:tc>
          <w:tcPr>
            <w:tcW w:w="990" w:type="dxa"/>
            <w:tcBorders>
              <w:bottom w:val="single" w:sz="4" w:space="0" w:color="000000"/>
            </w:tcBorders>
            <w:vAlign w:val="bottom"/>
          </w:tcPr>
          <w:p w14:paraId="7D95CB35" w14:textId="0CA8AAD3" w:rsidR="004305FD" w:rsidRPr="00B461F4" w:rsidRDefault="004305FD" w:rsidP="004305FD">
            <w:pPr>
              <w:widowControl w:val="0"/>
              <w:jc w:val="right"/>
              <w:rPr>
                <w:rFonts w:asciiTheme="minorHAnsi" w:hAnsiTheme="minorHAnsi" w:cstheme="minorHAnsi"/>
                <w:b/>
                <w:bCs/>
                <w:color w:val="000000"/>
                <w:sz w:val="22"/>
                <w:szCs w:val="22"/>
                <w:lang w:val="tr-TR"/>
              </w:rPr>
            </w:pPr>
            <w:r w:rsidRPr="00B461F4">
              <w:rPr>
                <w:rFonts w:asciiTheme="minorHAnsi" w:hAnsiTheme="minorHAnsi" w:cstheme="minorHAnsi"/>
                <w:color w:val="000000"/>
                <w:sz w:val="22"/>
                <w:szCs w:val="22"/>
              </w:rPr>
              <w:t>%1</w:t>
            </w:r>
            <w:r w:rsidR="00095100" w:rsidRPr="00B461F4">
              <w:rPr>
                <w:rFonts w:asciiTheme="minorHAnsi" w:hAnsiTheme="minorHAnsi" w:cstheme="minorHAnsi"/>
                <w:color w:val="000000"/>
                <w:sz w:val="22"/>
                <w:szCs w:val="22"/>
              </w:rPr>
              <w:t>1</w:t>
            </w:r>
            <w:r w:rsidRPr="00B461F4">
              <w:rPr>
                <w:rFonts w:asciiTheme="minorHAnsi" w:hAnsiTheme="minorHAnsi" w:cstheme="minorHAnsi"/>
                <w:color w:val="000000"/>
                <w:sz w:val="22"/>
                <w:szCs w:val="22"/>
                <w:lang w:val="tr-TR"/>
              </w:rPr>
              <w:t>,</w:t>
            </w:r>
            <w:r w:rsidR="00095100" w:rsidRPr="00B461F4">
              <w:rPr>
                <w:rFonts w:asciiTheme="minorHAnsi" w:hAnsiTheme="minorHAnsi" w:cstheme="minorHAnsi"/>
                <w:color w:val="000000"/>
                <w:sz w:val="22"/>
                <w:szCs w:val="22"/>
                <w:lang w:val="tr-TR"/>
              </w:rPr>
              <w:t>6</w:t>
            </w:r>
          </w:p>
        </w:tc>
      </w:tr>
      <w:tr w:rsidR="0005211B" w:rsidRPr="00B461F4" w14:paraId="1EFF0FAD" w14:textId="77777777" w:rsidTr="008C33D5">
        <w:trPr>
          <w:trHeight w:val="284"/>
        </w:trPr>
        <w:tc>
          <w:tcPr>
            <w:tcW w:w="5785" w:type="dxa"/>
            <w:tcBorders>
              <w:top w:val="single" w:sz="4" w:space="0" w:color="000000"/>
              <w:bottom w:val="single" w:sz="4" w:space="0" w:color="000000"/>
            </w:tcBorders>
            <w:shd w:val="clear" w:color="auto" w:fill="auto"/>
            <w:vAlign w:val="center"/>
          </w:tcPr>
          <w:p w14:paraId="036A920B" w14:textId="23DEECB1" w:rsidR="0005211B" w:rsidRPr="00B461F4" w:rsidRDefault="0005211B" w:rsidP="0005211B">
            <w:pPr>
              <w:widowControl w:val="0"/>
              <w:rPr>
                <w:rFonts w:asciiTheme="minorHAnsi" w:hAnsiTheme="minorHAnsi" w:cstheme="minorHAnsi"/>
                <w:b/>
                <w:bCs/>
                <w:color w:val="000000"/>
                <w:sz w:val="22"/>
                <w:szCs w:val="22"/>
                <w:lang w:val="tr-TR"/>
              </w:rPr>
            </w:pPr>
            <w:r w:rsidRPr="00B461F4">
              <w:rPr>
                <w:rFonts w:asciiTheme="minorHAnsi" w:hAnsiTheme="minorHAnsi" w:cstheme="minorHAnsi"/>
                <w:b/>
                <w:bCs/>
                <w:color w:val="000000"/>
                <w:sz w:val="22"/>
                <w:szCs w:val="22"/>
                <w:lang w:val="tr-TR"/>
              </w:rPr>
              <w:t xml:space="preserve">Doğrudan Konut ve Sermaye </w:t>
            </w:r>
            <w:r w:rsidR="000F3B69" w:rsidRPr="00B461F4">
              <w:rPr>
                <w:rFonts w:asciiTheme="minorHAnsi" w:hAnsiTheme="minorHAnsi" w:cstheme="minorHAnsi"/>
                <w:b/>
                <w:bCs/>
                <w:color w:val="000000"/>
                <w:sz w:val="22"/>
                <w:szCs w:val="22"/>
                <w:lang w:val="tr-TR"/>
              </w:rPr>
              <w:t xml:space="preserve">Üzerinde </w:t>
            </w:r>
            <w:r w:rsidRPr="00B461F4">
              <w:rPr>
                <w:rFonts w:asciiTheme="minorHAnsi" w:hAnsiTheme="minorHAnsi" w:cstheme="minorHAnsi"/>
                <w:b/>
                <w:bCs/>
                <w:color w:val="000000"/>
                <w:sz w:val="22"/>
                <w:szCs w:val="22"/>
                <w:lang w:val="tr-TR"/>
              </w:rPr>
              <w:t>Stok</w:t>
            </w:r>
            <w:r w:rsidR="000F3B69" w:rsidRPr="00B461F4">
              <w:rPr>
                <w:rFonts w:asciiTheme="minorHAnsi" w:hAnsiTheme="minorHAnsi" w:cstheme="minorHAnsi"/>
                <w:b/>
                <w:bCs/>
                <w:color w:val="000000"/>
                <w:sz w:val="22"/>
                <w:szCs w:val="22"/>
                <w:lang w:val="tr-TR"/>
              </w:rPr>
              <w:t xml:space="preserve"> </w:t>
            </w:r>
            <w:r w:rsidRPr="00B461F4">
              <w:rPr>
                <w:rFonts w:asciiTheme="minorHAnsi" w:hAnsiTheme="minorHAnsi" w:cstheme="minorHAnsi"/>
                <w:b/>
                <w:bCs/>
                <w:color w:val="000000"/>
                <w:sz w:val="22"/>
                <w:szCs w:val="22"/>
                <w:lang w:val="tr-TR"/>
              </w:rPr>
              <w:t xml:space="preserve">Etkisi  </w:t>
            </w:r>
          </w:p>
        </w:tc>
        <w:tc>
          <w:tcPr>
            <w:tcW w:w="900" w:type="dxa"/>
            <w:tcBorders>
              <w:top w:val="single" w:sz="4" w:space="0" w:color="000000"/>
              <w:bottom w:val="single" w:sz="4" w:space="0" w:color="000000"/>
            </w:tcBorders>
            <w:shd w:val="clear" w:color="auto" w:fill="auto"/>
            <w:vAlign w:val="bottom"/>
          </w:tcPr>
          <w:p w14:paraId="2A715F81" w14:textId="1E628806" w:rsidR="0005211B" w:rsidRPr="00B461F4" w:rsidRDefault="0005211B" w:rsidP="0005211B">
            <w:pPr>
              <w:widowControl w:val="0"/>
              <w:jc w:val="right"/>
              <w:rPr>
                <w:rFonts w:asciiTheme="minorHAnsi" w:hAnsiTheme="minorHAnsi" w:cstheme="minorHAnsi"/>
                <w:b/>
                <w:bCs/>
                <w:color w:val="000000"/>
                <w:sz w:val="22"/>
                <w:szCs w:val="22"/>
              </w:rPr>
            </w:pPr>
            <w:r w:rsidRPr="00B461F4">
              <w:rPr>
                <w:rFonts w:asciiTheme="minorHAnsi" w:hAnsiTheme="minorHAnsi" w:cstheme="minorHAnsi"/>
                <w:b/>
                <w:bCs/>
                <w:color w:val="000000"/>
                <w:sz w:val="22"/>
                <w:szCs w:val="22"/>
              </w:rPr>
              <w:t>6</w:t>
            </w:r>
            <w:r w:rsidR="00095100" w:rsidRPr="00B461F4">
              <w:rPr>
                <w:rFonts w:asciiTheme="minorHAnsi" w:hAnsiTheme="minorHAnsi" w:cstheme="minorHAnsi"/>
                <w:b/>
                <w:bCs/>
                <w:color w:val="000000"/>
                <w:sz w:val="22"/>
                <w:szCs w:val="22"/>
              </w:rPr>
              <w:t>6</w:t>
            </w:r>
            <w:r w:rsidRPr="00B461F4">
              <w:rPr>
                <w:rFonts w:asciiTheme="minorHAnsi" w:hAnsiTheme="minorHAnsi" w:cstheme="minorHAnsi"/>
                <w:b/>
                <w:bCs/>
                <w:color w:val="000000"/>
                <w:sz w:val="22"/>
                <w:szCs w:val="22"/>
              </w:rPr>
              <w:t>,0</w:t>
            </w:r>
          </w:p>
        </w:tc>
        <w:tc>
          <w:tcPr>
            <w:tcW w:w="990" w:type="dxa"/>
            <w:tcBorders>
              <w:top w:val="single" w:sz="4" w:space="0" w:color="000000"/>
              <w:bottom w:val="single" w:sz="4" w:space="0" w:color="000000"/>
            </w:tcBorders>
            <w:vAlign w:val="bottom"/>
          </w:tcPr>
          <w:p w14:paraId="5A69917B" w14:textId="57C64C38" w:rsidR="0005211B" w:rsidRPr="00B461F4" w:rsidRDefault="0005211B" w:rsidP="0005211B">
            <w:pPr>
              <w:widowControl w:val="0"/>
              <w:jc w:val="right"/>
              <w:rPr>
                <w:rFonts w:asciiTheme="minorHAnsi" w:hAnsiTheme="minorHAnsi" w:cstheme="minorHAnsi"/>
                <w:b/>
                <w:bCs/>
                <w:color w:val="000000"/>
                <w:sz w:val="22"/>
                <w:szCs w:val="22"/>
              </w:rPr>
            </w:pPr>
            <w:r w:rsidRPr="00B461F4">
              <w:rPr>
                <w:rFonts w:asciiTheme="minorHAnsi" w:hAnsiTheme="minorHAnsi" w:cstheme="minorHAnsi"/>
                <w:b/>
                <w:bCs/>
                <w:color w:val="000000"/>
                <w:sz w:val="22"/>
                <w:szCs w:val="22"/>
              </w:rPr>
              <w:t>8</w:t>
            </w:r>
            <w:r w:rsidR="00095100" w:rsidRPr="00B461F4">
              <w:rPr>
                <w:rFonts w:asciiTheme="minorHAnsi" w:hAnsiTheme="minorHAnsi" w:cstheme="minorHAnsi"/>
                <w:b/>
                <w:bCs/>
                <w:color w:val="000000"/>
                <w:sz w:val="22"/>
                <w:szCs w:val="22"/>
              </w:rPr>
              <w:t>5,5</w:t>
            </w:r>
          </w:p>
        </w:tc>
      </w:tr>
      <w:tr w:rsidR="0005211B" w:rsidRPr="00B461F4" w14:paraId="104946E1" w14:textId="77777777" w:rsidTr="008C33D5">
        <w:trPr>
          <w:trHeight w:val="284"/>
        </w:trPr>
        <w:tc>
          <w:tcPr>
            <w:tcW w:w="5785" w:type="dxa"/>
            <w:tcBorders>
              <w:top w:val="single" w:sz="4" w:space="0" w:color="000000"/>
            </w:tcBorders>
            <w:shd w:val="clear" w:color="auto" w:fill="auto"/>
            <w:vAlign w:val="center"/>
          </w:tcPr>
          <w:p w14:paraId="3A091A38" w14:textId="26DBAEA8" w:rsidR="0005211B" w:rsidRPr="00B461F4" w:rsidRDefault="0005211B" w:rsidP="0005211B">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Konut B. B. (Yıkık, acil yıkılacak, ağır, orta veya az hasarlı)</w:t>
            </w:r>
          </w:p>
        </w:tc>
        <w:tc>
          <w:tcPr>
            <w:tcW w:w="900" w:type="dxa"/>
            <w:tcBorders>
              <w:top w:val="single" w:sz="4" w:space="0" w:color="000000"/>
            </w:tcBorders>
            <w:shd w:val="clear" w:color="auto" w:fill="auto"/>
            <w:vAlign w:val="bottom"/>
          </w:tcPr>
          <w:p w14:paraId="0A3F9CEE" w14:textId="39E3329F" w:rsidR="0005211B" w:rsidRPr="00B461F4" w:rsidRDefault="0005211B" w:rsidP="0005211B">
            <w:pPr>
              <w:widowControl w:val="0"/>
              <w:jc w:val="right"/>
              <w:rPr>
                <w:rFonts w:asciiTheme="minorHAnsi" w:hAnsiTheme="minorHAnsi" w:cstheme="minorHAnsi"/>
                <w:color w:val="000000"/>
                <w:sz w:val="22"/>
                <w:szCs w:val="22"/>
              </w:rPr>
            </w:pPr>
            <w:r w:rsidRPr="00B461F4">
              <w:rPr>
                <w:rFonts w:asciiTheme="minorHAnsi" w:hAnsiTheme="minorHAnsi" w:cstheme="minorHAnsi"/>
                <w:color w:val="000000"/>
                <w:sz w:val="22"/>
                <w:szCs w:val="22"/>
              </w:rPr>
              <w:t>47,9</w:t>
            </w:r>
          </w:p>
        </w:tc>
        <w:tc>
          <w:tcPr>
            <w:tcW w:w="990" w:type="dxa"/>
            <w:tcBorders>
              <w:top w:val="single" w:sz="4" w:space="0" w:color="000000"/>
            </w:tcBorders>
            <w:vAlign w:val="bottom"/>
          </w:tcPr>
          <w:p w14:paraId="45740DFC" w14:textId="5FE21097" w:rsidR="0005211B" w:rsidRPr="00B461F4" w:rsidRDefault="0005211B" w:rsidP="0005211B">
            <w:pPr>
              <w:widowControl w:val="0"/>
              <w:jc w:val="right"/>
              <w:rPr>
                <w:rFonts w:asciiTheme="minorHAnsi" w:hAnsiTheme="minorHAnsi" w:cstheme="minorHAnsi"/>
                <w:color w:val="000000"/>
                <w:sz w:val="22"/>
                <w:szCs w:val="22"/>
              </w:rPr>
            </w:pPr>
            <w:r w:rsidRPr="00B461F4">
              <w:rPr>
                <w:rFonts w:asciiTheme="minorHAnsi" w:hAnsiTheme="minorHAnsi" w:cstheme="minorHAnsi"/>
                <w:color w:val="000000"/>
                <w:sz w:val="22"/>
                <w:szCs w:val="22"/>
              </w:rPr>
              <w:t>61,9</w:t>
            </w:r>
          </w:p>
        </w:tc>
      </w:tr>
      <w:tr w:rsidR="0005211B" w:rsidRPr="00B461F4" w14:paraId="57C78537" w14:textId="77777777" w:rsidTr="008C33D5">
        <w:trPr>
          <w:trHeight w:val="284"/>
        </w:trPr>
        <w:tc>
          <w:tcPr>
            <w:tcW w:w="5785" w:type="dxa"/>
            <w:shd w:val="clear" w:color="auto" w:fill="auto"/>
            <w:vAlign w:val="center"/>
          </w:tcPr>
          <w:p w14:paraId="6630E068" w14:textId="54C83321" w:rsidR="0005211B" w:rsidRPr="00B461F4" w:rsidRDefault="0005211B" w:rsidP="0005211B">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İşyeri Bina (Yıkık, acil yıkılacak, ağır, orta veya az hasarlı)</w:t>
            </w:r>
          </w:p>
        </w:tc>
        <w:tc>
          <w:tcPr>
            <w:tcW w:w="900" w:type="dxa"/>
            <w:shd w:val="clear" w:color="auto" w:fill="auto"/>
            <w:vAlign w:val="bottom"/>
          </w:tcPr>
          <w:p w14:paraId="7C1DD83C" w14:textId="254A77E5" w:rsidR="0005211B" w:rsidRPr="00B461F4" w:rsidRDefault="0005211B" w:rsidP="0005211B">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3,7</w:t>
            </w:r>
          </w:p>
        </w:tc>
        <w:tc>
          <w:tcPr>
            <w:tcW w:w="990" w:type="dxa"/>
            <w:vAlign w:val="bottom"/>
          </w:tcPr>
          <w:p w14:paraId="1FFD6990" w14:textId="04AEA08D" w:rsidR="0005211B" w:rsidRPr="00B461F4" w:rsidRDefault="0005211B" w:rsidP="0005211B">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4,9</w:t>
            </w:r>
          </w:p>
        </w:tc>
      </w:tr>
      <w:tr w:rsidR="00B64304" w:rsidRPr="00B461F4" w14:paraId="1825DE31" w14:textId="77777777" w:rsidTr="008C33D5">
        <w:trPr>
          <w:trHeight w:val="284"/>
        </w:trPr>
        <w:tc>
          <w:tcPr>
            <w:tcW w:w="5785" w:type="dxa"/>
            <w:shd w:val="clear" w:color="auto" w:fill="auto"/>
            <w:vAlign w:val="center"/>
          </w:tcPr>
          <w:p w14:paraId="49AC12C7" w14:textId="1F5E5980" w:rsidR="00B64304" w:rsidRPr="00B461F4" w:rsidRDefault="00B64304" w:rsidP="00F66411">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İşyeri B. B. (Yıkık, acil yıkılacak, ağır, orta veya az hasarlı)</w:t>
            </w:r>
          </w:p>
        </w:tc>
        <w:tc>
          <w:tcPr>
            <w:tcW w:w="900" w:type="dxa"/>
            <w:shd w:val="clear" w:color="auto" w:fill="auto"/>
            <w:vAlign w:val="bottom"/>
          </w:tcPr>
          <w:p w14:paraId="69594BA2" w14:textId="77777777" w:rsidR="00B64304" w:rsidRPr="00B461F4" w:rsidRDefault="00B64304" w:rsidP="00F66411">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6,0</w:t>
            </w:r>
          </w:p>
        </w:tc>
        <w:tc>
          <w:tcPr>
            <w:tcW w:w="990" w:type="dxa"/>
            <w:vAlign w:val="bottom"/>
          </w:tcPr>
          <w:p w14:paraId="21B782E9" w14:textId="77777777" w:rsidR="00B64304" w:rsidRPr="00B461F4" w:rsidRDefault="00B64304" w:rsidP="00F66411">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8,3</w:t>
            </w:r>
          </w:p>
        </w:tc>
      </w:tr>
      <w:tr w:rsidR="00950B0C" w:rsidRPr="00B461F4" w14:paraId="4AFFD616" w14:textId="77777777" w:rsidTr="008C33D5">
        <w:trPr>
          <w:trHeight w:val="284"/>
        </w:trPr>
        <w:tc>
          <w:tcPr>
            <w:tcW w:w="5785" w:type="dxa"/>
            <w:shd w:val="clear" w:color="auto" w:fill="auto"/>
            <w:vAlign w:val="center"/>
          </w:tcPr>
          <w:p w14:paraId="01E009DC" w14:textId="7DFE5BC9" w:rsidR="00950B0C" w:rsidRPr="00B461F4" w:rsidRDefault="0088714B" w:rsidP="00950B0C">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A</w:t>
            </w:r>
            <w:r w:rsidR="00950B0C" w:rsidRPr="00B461F4">
              <w:rPr>
                <w:rFonts w:asciiTheme="minorHAnsi" w:hAnsiTheme="minorHAnsi" w:cstheme="minorHAnsi"/>
                <w:color w:val="000000"/>
                <w:sz w:val="22"/>
                <w:szCs w:val="22"/>
                <w:lang w:val="tr-TR"/>
              </w:rPr>
              <w:t>ltyapı Sermaye Stoku</w:t>
            </w:r>
          </w:p>
        </w:tc>
        <w:tc>
          <w:tcPr>
            <w:tcW w:w="900" w:type="dxa"/>
            <w:shd w:val="clear" w:color="auto" w:fill="auto"/>
            <w:vAlign w:val="bottom"/>
          </w:tcPr>
          <w:p w14:paraId="0AE6DE7E" w14:textId="1828DDB5" w:rsidR="00950B0C" w:rsidRPr="00B461F4" w:rsidRDefault="00950B0C" w:rsidP="00950B0C">
            <w:pPr>
              <w:widowControl w:val="0"/>
              <w:jc w:val="right"/>
              <w:rPr>
                <w:rFonts w:asciiTheme="minorHAnsi" w:hAnsiTheme="minorHAnsi" w:cstheme="minorHAnsi"/>
                <w:color w:val="000000"/>
                <w:sz w:val="22"/>
                <w:szCs w:val="22"/>
              </w:rPr>
            </w:pPr>
            <w:r w:rsidRPr="00B461F4">
              <w:rPr>
                <w:rFonts w:asciiTheme="minorHAnsi" w:hAnsiTheme="minorHAnsi" w:cstheme="minorHAnsi"/>
                <w:color w:val="000000"/>
                <w:sz w:val="22"/>
                <w:szCs w:val="22"/>
              </w:rPr>
              <w:t>7,5</w:t>
            </w:r>
          </w:p>
        </w:tc>
        <w:tc>
          <w:tcPr>
            <w:tcW w:w="990" w:type="dxa"/>
            <w:vAlign w:val="bottom"/>
          </w:tcPr>
          <w:p w14:paraId="55F249A3" w14:textId="70D366C4" w:rsidR="00950B0C" w:rsidRPr="00B461F4" w:rsidRDefault="00950B0C" w:rsidP="00950B0C">
            <w:pPr>
              <w:widowControl w:val="0"/>
              <w:jc w:val="right"/>
              <w:rPr>
                <w:rFonts w:asciiTheme="minorHAnsi" w:hAnsiTheme="minorHAnsi" w:cstheme="minorHAnsi"/>
                <w:color w:val="000000"/>
                <w:sz w:val="22"/>
                <w:szCs w:val="22"/>
              </w:rPr>
            </w:pPr>
            <w:r w:rsidRPr="00B461F4">
              <w:rPr>
                <w:rFonts w:asciiTheme="minorHAnsi" w:hAnsiTheme="minorHAnsi" w:cstheme="minorHAnsi"/>
                <w:color w:val="000000"/>
                <w:sz w:val="22"/>
                <w:szCs w:val="22"/>
              </w:rPr>
              <w:t>9,0</w:t>
            </w:r>
          </w:p>
        </w:tc>
      </w:tr>
      <w:tr w:rsidR="00950B0C" w:rsidRPr="00B461F4" w14:paraId="4A704820" w14:textId="77777777" w:rsidTr="008C33D5">
        <w:trPr>
          <w:trHeight w:val="284"/>
        </w:trPr>
        <w:tc>
          <w:tcPr>
            <w:tcW w:w="5785" w:type="dxa"/>
            <w:tcBorders>
              <w:bottom w:val="single" w:sz="4" w:space="0" w:color="000000"/>
            </w:tcBorders>
            <w:shd w:val="clear" w:color="auto" w:fill="auto"/>
            <w:vAlign w:val="center"/>
          </w:tcPr>
          <w:p w14:paraId="02DCFFE5" w14:textId="22142515" w:rsidR="00950B0C" w:rsidRPr="00B461F4" w:rsidRDefault="00950B0C" w:rsidP="00950B0C">
            <w:pPr>
              <w:widowControl w:val="0"/>
              <w:ind w:right="-101"/>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Enkaz Altında Kalan Eşya ve Taşıt Kaybı</w:t>
            </w:r>
          </w:p>
        </w:tc>
        <w:tc>
          <w:tcPr>
            <w:tcW w:w="900" w:type="dxa"/>
            <w:tcBorders>
              <w:bottom w:val="single" w:sz="4" w:space="0" w:color="000000"/>
            </w:tcBorders>
            <w:shd w:val="clear" w:color="auto" w:fill="auto"/>
            <w:vAlign w:val="bottom"/>
          </w:tcPr>
          <w:p w14:paraId="7351ABC9" w14:textId="11B23E26" w:rsidR="00950B0C" w:rsidRPr="00B461F4" w:rsidRDefault="00095100" w:rsidP="00950B0C">
            <w:pPr>
              <w:widowControl w:val="0"/>
              <w:jc w:val="right"/>
              <w:rPr>
                <w:rFonts w:asciiTheme="minorHAnsi" w:hAnsiTheme="minorHAnsi" w:cstheme="minorHAnsi"/>
                <w:color w:val="000000"/>
                <w:sz w:val="22"/>
                <w:szCs w:val="22"/>
              </w:rPr>
            </w:pPr>
            <w:r w:rsidRPr="00B461F4">
              <w:rPr>
                <w:rFonts w:asciiTheme="minorHAnsi" w:hAnsiTheme="minorHAnsi" w:cstheme="minorHAnsi"/>
                <w:color w:val="000000"/>
                <w:sz w:val="22"/>
                <w:szCs w:val="22"/>
              </w:rPr>
              <w:t>1</w:t>
            </w:r>
            <w:r w:rsidR="00950B0C" w:rsidRPr="00B461F4">
              <w:rPr>
                <w:rFonts w:asciiTheme="minorHAnsi" w:hAnsiTheme="minorHAnsi" w:cstheme="minorHAnsi"/>
                <w:color w:val="000000"/>
                <w:sz w:val="22"/>
                <w:szCs w:val="22"/>
              </w:rPr>
              <w:t>,0</w:t>
            </w:r>
          </w:p>
        </w:tc>
        <w:tc>
          <w:tcPr>
            <w:tcW w:w="990" w:type="dxa"/>
            <w:tcBorders>
              <w:bottom w:val="single" w:sz="4" w:space="0" w:color="000000"/>
            </w:tcBorders>
            <w:vAlign w:val="bottom"/>
          </w:tcPr>
          <w:p w14:paraId="1F3835AF" w14:textId="2590B68D" w:rsidR="00950B0C" w:rsidRPr="00B461F4" w:rsidRDefault="00095100" w:rsidP="00950B0C">
            <w:pPr>
              <w:widowControl w:val="0"/>
              <w:jc w:val="right"/>
              <w:rPr>
                <w:rFonts w:asciiTheme="minorHAnsi" w:hAnsiTheme="minorHAnsi" w:cstheme="minorHAnsi"/>
                <w:color w:val="000000"/>
                <w:sz w:val="22"/>
                <w:szCs w:val="22"/>
              </w:rPr>
            </w:pPr>
            <w:r w:rsidRPr="00B461F4">
              <w:rPr>
                <w:rFonts w:asciiTheme="minorHAnsi" w:hAnsiTheme="minorHAnsi" w:cstheme="minorHAnsi"/>
                <w:color w:val="000000"/>
                <w:sz w:val="22"/>
                <w:szCs w:val="22"/>
              </w:rPr>
              <w:t>1</w:t>
            </w:r>
            <w:r w:rsidR="00950B0C" w:rsidRPr="00B461F4">
              <w:rPr>
                <w:rFonts w:asciiTheme="minorHAnsi" w:hAnsiTheme="minorHAnsi" w:cstheme="minorHAnsi"/>
                <w:color w:val="000000"/>
                <w:sz w:val="22"/>
                <w:szCs w:val="22"/>
              </w:rPr>
              <w:t>,</w:t>
            </w:r>
            <w:r w:rsidRPr="00B461F4">
              <w:rPr>
                <w:rFonts w:asciiTheme="minorHAnsi" w:hAnsiTheme="minorHAnsi" w:cstheme="minorHAnsi"/>
                <w:color w:val="000000"/>
                <w:sz w:val="22"/>
                <w:szCs w:val="22"/>
              </w:rPr>
              <w:t>4</w:t>
            </w:r>
          </w:p>
        </w:tc>
      </w:tr>
      <w:tr w:rsidR="00D85F0C" w:rsidRPr="00B461F4" w14:paraId="34C7588E" w14:textId="77777777" w:rsidTr="008C33D5">
        <w:trPr>
          <w:trHeight w:val="284"/>
        </w:trPr>
        <w:tc>
          <w:tcPr>
            <w:tcW w:w="5785" w:type="dxa"/>
            <w:tcBorders>
              <w:top w:val="single" w:sz="4" w:space="0" w:color="000000"/>
              <w:bottom w:val="single" w:sz="4" w:space="0" w:color="000000"/>
            </w:tcBorders>
            <w:shd w:val="clear" w:color="auto" w:fill="auto"/>
            <w:vAlign w:val="center"/>
          </w:tcPr>
          <w:p w14:paraId="02653784" w14:textId="4AECE74A" w:rsidR="00D85F0C" w:rsidRPr="00B461F4" w:rsidRDefault="00705133" w:rsidP="00D85F0C">
            <w:pPr>
              <w:widowControl w:val="0"/>
              <w:rPr>
                <w:rFonts w:asciiTheme="minorHAnsi" w:hAnsiTheme="minorHAnsi" w:cstheme="minorHAnsi"/>
                <w:b/>
                <w:bCs/>
                <w:color w:val="000000"/>
                <w:sz w:val="22"/>
                <w:szCs w:val="22"/>
                <w:lang w:val="tr-TR"/>
              </w:rPr>
            </w:pPr>
            <w:r w:rsidRPr="00B461F4">
              <w:rPr>
                <w:rFonts w:asciiTheme="minorHAnsi" w:hAnsiTheme="minorHAnsi" w:cstheme="minorHAnsi"/>
                <w:b/>
                <w:bCs/>
                <w:color w:val="000000"/>
                <w:sz w:val="22"/>
                <w:szCs w:val="22"/>
                <w:lang w:val="tr-TR"/>
              </w:rPr>
              <w:t xml:space="preserve">GSYH </w:t>
            </w:r>
            <w:r w:rsidR="000F3B69" w:rsidRPr="00B461F4">
              <w:rPr>
                <w:rFonts w:asciiTheme="minorHAnsi" w:hAnsiTheme="minorHAnsi" w:cstheme="minorHAnsi"/>
                <w:b/>
                <w:bCs/>
                <w:color w:val="000000"/>
                <w:sz w:val="22"/>
                <w:szCs w:val="22"/>
                <w:lang w:val="tr-TR"/>
              </w:rPr>
              <w:t>Ü</w:t>
            </w:r>
            <w:r w:rsidRPr="00B461F4">
              <w:rPr>
                <w:rFonts w:asciiTheme="minorHAnsi" w:hAnsiTheme="minorHAnsi" w:cstheme="minorHAnsi"/>
                <w:b/>
                <w:bCs/>
                <w:color w:val="000000"/>
                <w:sz w:val="22"/>
                <w:szCs w:val="22"/>
                <w:lang w:val="tr-TR"/>
              </w:rPr>
              <w:t xml:space="preserve">zerinde </w:t>
            </w:r>
            <w:r w:rsidR="000F3B69" w:rsidRPr="00B461F4">
              <w:rPr>
                <w:rFonts w:asciiTheme="minorHAnsi" w:hAnsiTheme="minorHAnsi" w:cstheme="minorHAnsi"/>
                <w:b/>
                <w:bCs/>
                <w:color w:val="000000"/>
                <w:sz w:val="22"/>
                <w:szCs w:val="22"/>
                <w:lang w:val="tr-TR"/>
              </w:rPr>
              <w:t>A</w:t>
            </w:r>
            <w:r w:rsidRPr="00B461F4">
              <w:rPr>
                <w:rFonts w:asciiTheme="minorHAnsi" w:hAnsiTheme="minorHAnsi" w:cstheme="minorHAnsi"/>
                <w:b/>
                <w:bCs/>
                <w:color w:val="000000"/>
                <w:sz w:val="22"/>
                <w:szCs w:val="22"/>
                <w:lang w:val="tr-TR"/>
              </w:rPr>
              <w:t xml:space="preserve">kım </w:t>
            </w:r>
            <w:r w:rsidR="000F3B69" w:rsidRPr="00B461F4">
              <w:rPr>
                <w:rFonts w:asciiTheme="minorHAnsi" w:hAnsiTheme="minorHAnsi" w:cstheme="minorHAnsi"/>
                <w:b/>
                <w:bCs/>
                <w:color w:val="000000"/>
                <w:sz w:val="22"/>
                <w:szCs w:val="22"/>
                <w:lang w:val="tr-TR"/>
              </w:rPr>
              <w:t>E</w:t>
            </w:r>
            <w:r w:rsidRPr="00B461F4">
              <w:rPr>
                <w:rFonts w:asciiTheme="minorHAnsi" w:hAnsiTheme="minorHAnsi" w:cstheme="minorHAnsi"/>
                <w:b/>
                <w:bCs/>
                <w:color w:val="000000"/>
                <w:sz w:val="22"/>
                <w:szCs w:val="22"/>
                <w:lang w:val="tr-TR"/>
              </w:rPr>
              <w:t>tkisi</w:t>
            </w:r>
            <w:r w:rsidR="00D85F0C" w:rsidRPr="00B461F4">
              <w:rPr>
                <w:rFonts w:asciiTheme="minorHAnsi" w:hAnsiTheme="minorHAnsi" w:cstheme="minorHAnsi"/>
                <w:b/>
                <w:bCs/>
                <w:color w:val="000000"/>
                <w:sz w:val="22"/>
                <w:szCs w:val="22"/>
                <w:lang w:val="tr-TR"/>
              </w:rPr>
              <w:t xml:space="preserve">  </w:t>
            </w:r>
          </w:p>
        </w:tc>
        <w:tc>
          <w:tcPr>
            <w:tcW w:w="900" w:type="dxa"/>
            <w:tcBorders>
              <w:top w:val="single" w:sz="4" w:space="0" w:color="000000"/>
              <w:bottom w:val="single" w:sz="4" w:space="0" w:color="000000"/>
            </w:tcBorders>
            <w:shd w:val="clear" w:color="auto" w:fill="auto"/>
            <w:vAlign w:val="bottom"/>
          </w:tcPr>
          <w:p w14:paraId="000F7A54" w14:textId="2059EF99" w:rsidR="00D85F0C" w:rsidRPr="00B461F4" w:rsidRDefault="00D85F0C" w:rsidP="00D85F0C">
            <w:pPr>
              <w:widowControl w:val="0"/>
              <w:jc w:val="right"/>
              <w:rPr>
                <w:rFonts w:asciiTheme="minorHAnsi" w:hAnsiTheme="minorHAnsi" w:cstheme="minorHAnsi"/>
                <w:b/>
                <w:bCs/>
                <w:color w:val="000000"/>
                <w:sz w:val="22"/>
                <w:szCs w:val="22"/>
                <w:lang w:val="tr-TR"/>
              </w:rPr>
            </w:pPr>
            <w:r w:rsidRPr="00B461F4">
              <w:rPr>
                <w:rFonts w:asciiTheme="minorHAnsi" w:hAnsiTheme="minorHAnsi" w:cstheme="minorHAnsi"/>
                <w:b/>
                <w:bCs/>
                <w:color w:val="000000"/>
                <w:sz w:val="22"/>
                <w:szCs w:val="22"/>
              </w:rPr>
              <w:t>11</w:t>
            </w:r>
            <w:r w:rsidR="00950B0C" w:rsidRPr="00B461F4">
              <w:rPr>
                <w:rFonts w:asciiTheme="minorHAnsi" w:hAnsiTheme="minorHAnsi" w:cstheme="minorHAnsi"/>
                <w:b/>
                <w:bCs/>
                <w:color w:val="000000"/>
                <w:sz w:val="22"/>
                <w:szCs w:val="22"/>
              </w:rPr>
              <w:t>,4</w:t>
            </w:r>
          </w:p>
        </w:tc>
        <w:tc>
          <w:tcPr>
            <w:tcW w:w="990" w:type="dxa"/>
            <w:tcBorders>
              <w:top w:val="single" w:sz="4" w:space="0" w:color="000000"/>
              <w:bottom w:val="single" w:sz="4" w:space="0" w:color="000000"/>
            </w:tcBorders>
            <w:vAlign w:val="bottom"/>
          </w:tcPr>
          <w:p w14:paraId="6CD4A4E8" w14:textId="0A38AE24" w:rsidR="00D85F0C" w:rsidRPr="00B461F4" w:rsidRDefault="00950B0C" w:rsidP="00D85F0C">
            <w:pPr>
              <w:widowControl w:val="0"/>
              <w:jc w:val="right"/>
              <w:rPr>
                <w:rFonts w:asciiTheme="minorHAnsi" w:hAnsiTheme="minorHAnsi" w:cstheme="minorHAnsi"/>
                <w:b/>
                <w:bCs/>
                <w:color w:val="000000"/>
                <w:sz w:val="22"/>
                <w:szCs w:val="22"/>
              </w:rPr>
            </w:pPr>
            <w:r w:rsidRPr="00B461F4">
              <w:rPr>
                <w:rFonts w:asciiTheme="minorHAnsi" w:hAnsiTheme="minorHAnsi" w:cstheme="minorHAnsi"/>
                <w:b/>
                <w:bCs/>
                <w:color w:val="000000"/>
                <w:sz w:val="22"/>
                <w:szCs w:val="22"/>
              </w:rPr>
              <w:t>19,2</w:t>
            </w:r>
          </w:p>
        </w:tc>
      </w:tr>
      <w:tr w:rsidR="00D85F0C" w:rsidRPr="00B461F4" w14:paraId="5DCF11A8" w14:textId="77777777" w:rsidTr="008C33D5">
        <w:trPr>
          <w:trHeight w:val="284"/>
        </w:trPr>
        <w:tc>
          <w:tcPr>
            <w:tcW w:w="5785" w:type="dxa"/>
            <w:tcBorders>
              <w:top w:val="single" w:sz="4" w:space="0" w:color="000000"/>
            </w:tcBorders>
            <w:shd w:val="clear" w:color="auto" w:fill="auto"/>
            <w:vAlign w:val="center"/>
          </w:tcPr>
          <w:p w14:paraId="5E9D074A" w14:textId="3B89DA2D" w:rsidR="00D85F0C" w:rsidRPr="00B461F4" w:rsidRDefault="00D85F0C" w:rsidP="00D85F0C">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 xml:space="preserve"> Üretimdeki Kayıp (1,5-2,5 ay)</w:t>
            </w:r>
          </w:p>
        </w:tc>
        <w:tc>
          <w:tcPr>
            <w:tcW w:w="900" w:type="dxa"/>
            <w:tcBorders>
              <w:top w:val="single" w:sz="4" w:space="0" w:color="000000"/>
            </w:tcBorders>
            <w:shd w:val="clear" w:color="auto" w:fill="auto"/>
            <w:vAlign w:val="bottom"/>
          </w:tcPr>
          <w:p w14:paraId="492D9B91" w14:textId="34076EB1" w:rsidR="00D85F0C" w:rsidRPr="00B461F4" w:rsidRDefault="00D85F0C" w:rsidP="00D85F0C">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7</w:t>
            </w:r>
            <w:r w:rsidR="00950B0C" w:rsidRPr="00B461F4">
              <w:rPr>
                <w:rFonts w:asciiTheme="minorHAnsi" w:hAnsiTheme="minorHAnsi" w:cstheme="minorHAnsi"/>
                <w:color w:val="000000"/>
                <w:sz w:val="22"/>
                <w:szCs w:val="22"/>
              </w:rPr>
              <w:t>,</w:t>
            </w:r>
            <w:r w:rsidRPr="00B461F4">
              <w:rPr>
                <w:rFonts w:asciiTheme="minorHAnsi" w:hAnsiTheme="minorHAnsi" w:cstheme="minorHAnsi"/>
                <w:color w:val="000000"/>
                <w:sz w:val="22"/>
                <w:szCs w:val="22"/>
              </w:rPr>
              <w:t>6</w:t>
            </w:r>
          </w:p>
        </w:tc>
        <w:tc>
          <w:tcPr>
            <w:tcW w:w="990" w:type="dxa"/>
            <w:tcBorders>
              <w:top w:val="single" w:sz="4" w:space="0" w:color="000000"/>
            </w:tcBorders>
            <w:vAlign w:val="bottom"/>
          </w:tcPr>
          <w:p w14:paraId="75B5E2EA" w14:textId="74649D24" w:rsidR="00D85F0C" w:rsidRPr="00B461F4" w:rsidRDefault="00D85F0C" w:rsidP="00D85F0C">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12</w:t>
            </w:r>
            <w:r w:rsidR="00950B0C" w:rsidRPr="00B461F4">
              <w:rPr>
                <w:rFonts w:asciiTheme="minorHAnsi" w:hAnsiTheme="minorHAnsi" w:cstheme="minorHAnsi"/>
                <w:color w:val="000000"/>
                <w:sz w:val="22"/>
                <w:szCs w:val="22"/>
              </w:rPr>
              <w:t>,</w:t>
            </w:r>
            <w:r w:rsidRPr="00B461F4">
              <w:rPr>
                <w:rFonts w:asciiTheme="minorHAnsi" w:hAnsiTheme="minorHAnsi" w:cstheme="minorHAnsi"/>
                <w:color w:val="000000"/>
                <w:sz w:val="22"/>
                <w:szCs w:val="22"/>
              </w:rPr>
              <w:t>6</w:t>
            </w:r>
          </w:p>
        </w:tc>
      </w:tr>
      <w:tr w:rsidR="00D85F0C" w:rsidRPr="00B461F4" w14:paraId="7F340251" w14:textId="77777777" w:rsidTr="008C33D5">
        <w:trPr>
          <w:trHeight w:val="284"/>
        </w:trPr>
        <w:tc>
          <w:tcPr>
            <w:tcW w:w="5785" w:type="dxa"/>
            <w:shd w:val="clear" w:color="auto" w:fill="auto"/>
            <w:vAlign w:val="center"/>
          </w:tcPr>
          <w:p w14:paraId="3E6FBC2E" w14:textId="4CF84B79" w:rsidR="00D85F0C" w:rsidRPr="00B461F4" w:rsidRDefault="00D85F0C" w:rsidP="00D85F0C">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 xml:space="preserve"> Turizm Sektörü Gelir Kaybı (</w:t>
            </w:r>
            <w:proofErr w:type="gramStart"/>
            <w:r w:rsidRPr="00B461F4">
              <w:rPr>
                <w:rFonts w:asciiTheme="minorHAnsi" w:hAnsiTheme="minorHAnsi" w:cstheme="minorHAnsi"/>
                <w:color w:val="000000"/>
                <w:sz w:val="22"/>
                <w:szCs w:val="22"/>
                <w:lang w:val="tr-TR"/>
              </w:rPr>
              <w:t>%5</w:t>
            </w:r>
            <w:proofErr w:type="gramEnd"/>
            <w:r w:rsidRPr="00B461F4">
              <w:rPr>
                <w:rFonts w:asciiTheme="minorHAnsi" w:hAnsiTheme="minorHAnsi" w:cstheme="minorHAnsi"/>
                <w:color w:val="000000"/>
                <w:sz w:val="22"/>
                <w:szCs w:val="22"/>
                <w:lang w:val="tr-TR"/>
              </w:rPr>
              <w:t>-10)</w:t>
            </w:r>
          </w:p>
        </w:tc>
        <w:tc>
          <w:tcPr>
            <w:tcW w:w="900" w:type="dxa"/>
            <w:shd w:val="clear" w:color="auto" w:fill="auto"/>
            <w:vAlign w:val="bottom"/>
          </w:tcPr>
          <w:p w14:paraId="5F931710" w14:textId="198F13DF" w:rsidR="00D85F0C" w:rsidRPr="00B461F4" w:rsidRDefault="00D85F0C" w:rsidP="00D85F0C">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2</w:t>
            </w:r>
            <w:r w:rsidR="00950B0C" w:rsidRPr="00B461F4">
              <w:rPr>
                <w:rFonts w:asciiTheme="minorHAnsi" w:hAnsiTheme="minorHAnsi" w:cstheme="minorHAnsi"/>
                <w:color w:val="000000"/>
                <w:sz w:val="22"/>
                <w:szCs w:val="22"/>
              </w:rPr>
              <w:t>,</w:t>
            </w:r>
            <w:r w:rsidRPr="00B461F4">
              <w:rPr>
                <w:rFonts w:asciiTheme="minorHAnsi" w:hAnsiTheme="minorHAnsi" w:cstheme="minorHAnsi"/>
                <w:color w:val="000000"/>
                <w:sz w:val="22"/>
                <w:szCs w:val="22"/>
              </w:rPr>
              <w:t>3</w:t>
            </w:r>
          </w:p>
        </w:tc>
        <w:tc>
          <w:tcPr>
            <w:tcW w:w="990" w:type="dxa"/>
            <w:vAlign w:val="bottom"/>
          </w:tcPr>
          <w:p w14:paraId="28E89F4C" w14:textId="79E32F84" w:rsidR="00D85F0C" w:rsidRPr="00B461F4" w:rsidRDefault="00D85F0C" w:rsidP="00D85F0C">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4</w:t>
            </w:r>
            <w:r w:rsidR="00950B0C" w:rsidRPr="00B461F4">
              <w:rPr>
                <w:rFonts w:asciiTheme="minorHAnsi" w:hAnsiTheme="minorHAnsi" w:cstheme="minorHAnsi"/>
                <w:color w:val="000000"/>
                <w:sz w:val="22"/>
                <w:szCs w:val="22"/>
              </w:rPr>
              <w:t>,</w:t>
            </w:r>
            <w:r w:rsidRPr="00B461F4">
              <w:rPr>
                <w:rFonts w:asciiTheme="minorHAnsi" w:hAnsiTheme="minorHAnsi" w:cstheme="minorHAnsi"/>
                <w:color w:val="000000"/>
                <w:sz w:val="22"/>
                <w:szCs w:val="22"/>
              </w:rPr>
              <w:t>6</w:t>
            </w:r>
          </w:p>
        </w:tc>
      </w:tr>
      <w:tr w:rsidR="00D85F0C" w:rsidRPr="00B461F4" w14:paraId="54F8CF1A" w14:textId="77777777" w:rsidTr="008C33D5">
        <w:trPr>
          <w:trHeight w:val="284"/>
        </w:trPr>
        <w:tc>
          <w:tcPr>
            <w:tcW w:w="5785" w:type="dxa"/>
            <w:tcBorders>
              <w:bottom w:val="single" w:sz="4" w:space="0" w:color="000000"/>
            </w:tcBorders>
            <w:shd w:val="clear" w:color="auto" w:fill="auto"/>
            <w:vAlign w:val="center"/>
          </w:tcPr>
          <w:p w14:paraId="6BE55489" w14:textId="6C744D3A" w:rsidR="00D85F0C" w:rsidRPr="00B461F4" w:rsidRDefault="00D85F0C" w:rsidP="00D85F0C">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 xml:space="preserve">  Acil Kurtarma, Enkaz Kaldırma vd.</w:t>
            </w:r>
          </w:p>
        </w:tc>
        <w:tc>
          <w:tcPr>
            <w:tcW w:w="900" w:type="dxa"/>
            <w:tcBorders>
              <w:bottom w:val="single" w:sz="4" w:space="0" w:color="000000"/>
            </w:tcBorders>
            <w:shd w:val="clear" w:color="auto" w:fill="auto"/>
            <w:vAlign w:val="bottom"/>
          </w:tcPr>
          <w:p w14:paraId="57E90B4C" w14:textId="39F55E9B" w:rsidR="00D85F0C" w:rsidRPr="00B461F4" w:rsidRDefault="00950B0C" w:rsidP="00D85F0C">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1,5</w:t>
            </w:r>
          </w:p>
        </w:tc>
        <w:tc>
          <w:tcPr>
            <w:tcW w:w="990" w:type="dxa"/>
            <w:tcBorders>
              <w:bottom w:val="single" w:sz="4" w:space="0" w:color="000000"/>
            </w:tcBorders>
            <w:vAlign w:val="bottom"/>
          </w:tcPr>
          <w:p w14:paraId="22634272" w14:textId="067D6768" w:rsidR="00D85F0C" w:rsidRPr="00B461F4" w:rsidRDefault="00950B0C" w:rsidP="00D85F0C">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rPr>
              <w:t>2,</w:t>
            </w:r>
            <w:r w:rsidR="00D85F0C" w:rsidRPr="00B461F4">
              <w:rPr>
                <w:rFonts w:asciiTheme="minorHAnsi" w:hAnsiTheme="minorHAnsi" w:cstheme="minorHAnsi"/>
                <w:color w:val="000000"/>
                <w:sz w:val="22"/>
                <w:szCs w:val="22"/>
              </w:rPr>
              <w:t>0</w:t>
            </w:r>
          </w:p>
        </w:tc>
      </w:tr>
      <w:tr w:rsidR="004305FD" w:rsidRPr="00B461F4" w14:paraId="119E70C1" w14:textId="77777777" w:rsidTr="008C33D5">
        <w:trPr>
          <w:trHeight w:val="284"/>
        </w:trPr>
        <w:tc>
          <w:tcPr>
            <w:tcW w:w="5785" w:type="dxa"/>
            <w:tcBorders>
              <w:top w:val="single" w:sz="4" w:space="0" w:color="000000"/>
              <w:bottom w:val="single" w:sz="4" w:space="0" w:color="000000"/>
            </w:tcBorders>
            <w:shd w:val="clear" w:color="auto" w:fill="auto"/>
            <w:vAlign w:val="center"/>
          </w:tcPr>
          <w:p w14:paraId="2ADC6BD6" w14:textId="49821842" w:rsidR="004305FD" w:rsidRPr="00B461F4" w:rsidRDefault="004305FD" w:rsidP="004305FD">
            <w:pPr>
              <w:widowControl w:val="0"/>
              <w:rPr>
                <w:rFonts w:asciiTheme="minorHAnsi" w:hAnsiTheme="minorHAnsi" w:cstheme="minorHAnsi"/>
                <w:b/>
                <w:bCs/>
                <w:color w:val="000000"/>
                <w:sz w:val="22"/>
                <w:szCs w:val="22"/>
                <w:lang w:val="tr-TR"/>
              </w:rPr>
            </w:pPr>
            <w:r w:rsidRPr="00B461F4">
              <w:rPr>
                <w:rFonts w:asciiTheme="minorHAnsi" w:hAnsiTheme="minorHAnsi" w:cstheme="minorHAnsi"/>
                <w:b/>
                <w:bCs/>
                <w:color w:val="000000"/>
                <w:sz w:val="22"/>
                <w:szCs w:val="22"/>
                <w:lang w:val="tr-TR"/>
              </w:rPr>
              <w:t xml:space="preserve">İkincil Etkiler </w:t>
            </w:r>
          </w:p>
        </w:tc>
        <w:tc>
          <w:tcPr>
            <w:tcW w:w="900" w:type="dxa"/>
            <w:tcBorders>
              <w:top w:val="single" w:sz="4" w:space="0" w:color="000000"/>
              <w:bottom w:val="single" w:sz="4" w:space="0" w:color="000000"/>
            </w:tcBorders>
            <w:shd w:val="clear" w:color="auto" w:fill="auto"/>
            <w:vAlign w:val="center"/>
          </w:tcPr>
          <w:p w14:paraId="6521A9C3" w14:textId="77777777" w:rsidR="004305FD" w:rsidRPr="00B461F4" w:rsidRDefault="004305FD" w:rsidP="004305FD">
            <w:pPr>
              <w:widowControl w:val="0"/>
              <w:jc w:val="right"/>
              <w:rPr>
                <w:rFonts w:asciiTheme="minorHAnsi" w:hAnsiTheme="minorHAnsi" w:cstheme="minorHAnsi"/>
                <w:b/>
                <w:bCs/>
                <w:color w:val="000000"/>
                <w:sz w:val="22"/>
                <w:szCs w:val="22"/>
              </w:rPr>
            </w:pPr>
          </w:p>
        </w:tc>
        <w:tc>
          <w:tcPr>
            <w:tcW w:w="990" w:type="dxa"/>
            <w:tcBorders>
              <w:top w:val="single" w:sz="4" w:space="0" w:color="000000"/>
              <w:bottom w:val="single" w:sz="4" w:space="0" w:color="000000"/>
            </w:tcBorders>
            <w:vAlign w:val="center"/>
          </w:tcPr>
          <w:p w14:paraId="577A8072" w14:textId="77777777" w:rsidR="004305FD" w:rsidRPr="00B461F4" w:rsidRDefault="004305FD" w:rsidP="004305FD">
            <w:pPr>
              <w:widowControl w:val="0"/>
              <w:jc w:val="right"/>
              <w:rPr>
                <w:rFonts w:asciiTheme="minorHAnsi" w:hAnsiTheme="minorHAnsi" w:cstheme="minorHAnsi"/>
                <w:b/>
                <w:bCs/>
                <w:color w:val="000000"/>
                <w:sz w:val="22"/>
                <w:szCs w:val="22"/>
              </w:rPr>
            </w:pPr>
          </w:p>
        </w:tc>
      </w:tr>
      <w:tr w:rsidR="00950B0C" w:rsidRPr="00B461F4" w14:paraId="5133CB9E" w14:textId="77777777" w:rsidTr="001F5DA9">
        <w:trPr>
          <w:trHeight w:val="284"/>
        </w:trPr>
        <w:tc>
          <w:tcPr>
            <w:tcW w:w="5785" w:type="dxa"/>
            <w:tcBorders>
              <w:top w:val="single" w:sz="4" w:space="0" w:color="000000"/>
            </w:tcBorders>
            <w:shd w:val="clear" w:color="auto" w:fill="auto"/>
            <w:vAlign w:val="center"/>
          </w:tcPr>
          <w:p w14:paraId="16A37939" w14:textId="091E17B9" w:rsidR="00950B0C" w:rsidRPr="00B461F4" w:rsidRDefault="00950B0C" w:rsidP="004305FD">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Cari Açık Etki</w:t>
            </w:r>
            <w:r w:rsidR="008475DD" w:rsidRPr="00B461F4">
              <w:rPr>
                <w:rFonts w:asciiTheme="minorHAnsi" w:hAnsiTheme="minorHAnsi" w:cstheme="minorHAnsi"/>
                <w:color w:val="000000"/>
                <w:sz w:val="22"/>
                <w:szCs w:val="22"/>
                <w:lang w:val="tr-TR"/>
              </w:rPr>
              <w:t>si</w:t>
            </w:r>
          </w:p>
        </w:tc>
        <w:tc>
          <w:tcPr>
            <w:tcW w:w="900" w:type="dxa"/>
            <w:tcBorders>
              <w:top w:val="single" w:sz="4" w:space="0" w:color="000000"/>
            </w:tcBorders>
            <w:shd w:val="clear" w:color="auto" w:fill="auto"/>
            <w:vAlign w:val="center"/>
          </w:tcPr>
          <w:p w14:paraId="186E4D56" w14:textId="197F85CD" w:rsidR="00950B0C" w:rsidRPr="00B461F4" w:rsidRDefault="008475DD" w:rsidP="004305FD">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1</w:t>
            </w:r>
            <w:r w:rsidR="0005211B" w:rsidRPr="00B461F4">
              <w:rPr>
                <w:rFonts w:asciiTheme="minorHAnsi" w:hAnsiTheme="minorHAnsi" w:cstheme="minorHAnsi"/>
                <w:color w:val="000000"/>
                <w:sz w:val="22"/>
                <w:szCs w:val="22"/>
                <w:lang w:val="tr-TR"/>
              </w:rPr>
              <w:t>4</w:t>
            </w:r>
            <w:r w:rsidRPr="00B461F4">
              <w:rPr>
                <w:rFonts w:asciiTheme="minorHAnsi" w:hAnsiTheme="minorHAnsi" w:cstheme="minorHAnsi"/>
                <w:color w:val="000000"/>
                <w:sz w:val="22"/>
                <w:szCs w:val="22"/>
                <w:lang w:val="tr-TR"/>
              </w:rPr>
              <w:t>,</w:t>
            </w:r>
            <w:r w:rsidR="00984A23" w:rsidRPr="00B461F4">
              <w:rPr>
                <w:rFonts w:asciiTheme="minorHAnsi" w:hAnsiTheme="minorHAnsi" w:cstheme="minorHAnsi"/>
                <w:color w:val="000000"/>
                <w:sz w:val="22"/>
                <w:szCs w:val="22"/>
                <w:lang w:val="tr-TR"/>
              </w:rPr>
              <w:t>7</w:t>
            </w:r>
          </w:p>
        </w:tc>
        <w:tc>
          <w:tcPr>
            <w:tcW w:w="990" w:type="dxa"/>
            <w:tcBorders>
              <w:top w:val="single" w:sz="4" w:space="0" w:color="000000"/>
            </w:tcBorders>
            <w:vAlign w:val="center"/>
          </w:tcPr>
          <w:p w14:paraId="5A99969C" w14:textId="50F5CA47" w:rsidR="00950B0C" w:rsidRPr="00B461F4" w:rsidRDefault="008475DD" w:rsidP="004305FD">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2</w:t>
            </w:r>
            <w:r w:rsidR="0005211B" w:rsidRPr="00B461F4">
              <w:rPr>
                <w:rFonts w:asciiTheme="minorHAnsi" w:hAnsiTheme="minorHAnsi" w:cstheme="minorHAnsi"/>
                <w:color w:val="000000"/>
                <w:sz w:val="22"/>
                <w:szCs w:val="22"/>
                <w:lang w:val="tr-TR"/>
              </w:rPr>
              <w:t>0</w:t>
            </w:r>
            <w:r w:rsidRPr="00B461F4">
              <w:rPr>
                <w:rFonts w:asciiTheme="minorHAnsi" w:hAnsiTheme="minorHAnsi" w:cstheme="minorHAnsi"/>
                <w:color w:val="000000"/>
                <w:sz w:val="22"/>
                <w:szCs w:val="22"/>
                <w:lang w:val="tr-TR"/>
              </w:rPr>
              <w:t>,</w:t>
            </w:r>
            <w:r w:rsidR="00984A23" w:rsidRPr="00B461F4">
              <w:rPr>
                <w:rFonts w:asciiTheme="minorHAnsi" w:hAnsiTheme="minorHAnsi" w:cstheme="minorHAnsi"/>
                <w:color w:val="000000"/>
                <w:sz w:val="22"/>
                <w:szCs w:val="22"/>
                <w:lang w:val="tr-TR"/>
              </w:rPr>
              <w:t>5</w:t>
            </w:r>
          </w:p>
        </w:tc>
      </w:tr>
      <w:tr w:rsidR="004305FD" w:rsidRPr="00B461F4" w14:paraId="66A11D24" w14:textId="77777777" w:rsidTr="001F5DA9">
        <w:trPr>
          <w:trHeight w:val="284"/>
        </w:trPr>
        <w:tc>
          <w:tcPr>
            <w:tcW w:w="5785" w:type="dxa"/>
            <w:tcBorders>
              <w:bottom w:val="double" w:sz="4" w:space="0" w:color="auto"/>
            </w:tcBorders>
            <w:shd w:val="clear" w:color="auto" w:fill="auto"/>
            <w:vAlign w:val="center"/>
          </w:tcPr>
          <w:p w14:paraId="06585FB4" w14:textId="4D1A11E4" w:rsidR="004305FD" w:rsidRPr="00B461F4" w:rsidRDefault="004305FD" w:rsidP="004305FD">
            <w:pPr>
              <w:widowControl w:val="0"/>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 xml:space="preserve"> Yeniden İnşaat Faaliyetinin </w:t>
            </w:r>
            <w:r w:rsidR="00950B0C" w:rsidRPr="00B461F4">
              <w:rPr>
                <w:rFonts w:asciiTheme="minorHAnsi" w:hAnsiTheme="minorHAnsi" w:cstheme="minorHAnsi"/>
                <w:color w:val="000000"/>
                <w:sz w:val="22"/>
                <w:szCs w:val="22"/>
                <w:lang w:val="tr-TR"/>
              </w:rPr>
              <w:t>yol açacağı İthalat</w:t>
            </w:r>
            <w:r w:rsidRPr="00B461F4">
              <w:rPr>
                <w:rFonts w:asciiTheme="minorHAnsi" w:hAnsiTheme="minorHAnsi" w:cstheme="minorHAnsi"/>
                <w:color w:val="000000"/>
                <w:sz w:val="22"/>
                <w:szCs w:val="22"/>
                <w:lang w:val="tr-TR"/>
              </w:rPr>
              <w:t xml:space="preserve"> </w:t>
            </w:r>
            <w:r w:rsidR="00950B0C" w:rsidRPr="00B461F4">
              <w:rPr>
                <w:rFonts w:asciiTheme="minorHAnsi" w:hAnsiTheme="minorHAnsi" w:cstheme="minorHAnsi"/>
                <w:color w:val="000000"/>
                <w:sz w:val="22"/>
                <w:szCs w:val="22"/>
                <w:lang w:val="tr-TR"/>
              </w:rPr>
              <w:t>Artışı</w:t>
            </w:r>
          </w:p>
        </w:tc>
        <w:tc>
          <w:tcPr>
            <w:tcW w:w="900" w:type="dxa"/>
            <w:tcBorders>
              <w:bottom w:val="double" w:sz="4" w:space="0" w:color="auto"/>
            </w:tcBorders>
            <w:shd w:val="clear" w:color="auto" w:fill="auto"/>
            <w:vAlign w:val="center"/>
          </w:tcPr>
          <w:p w14:paraId="075C29BA" w14:textId="2B6FECBC" w:rsidR="004305FD" w:rsidRPr="00B461F4" w:rsidRDefault="008475DD" w:rsidP="004305FD">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1</w:t>
            </w:r>
            <w:r w:rsidR="0005211B" w:rsidRPr="00B461F4">
              <w:rPr>
                <w:rFonts w:asciiTheme="minorHAnsi" w:hAnsiTheme="minorHAnsi" w:cstheme="minorHAnsi"/>
                <w:color w:val="000000"/>
                <w:sz w:val="22"/>
                <w:szCs w:val="22"/>
                <w:lang w:val="tr-TR"/>
              </w:rPr>
              <w:t>2</w:t>
            </w:r>
            <w:r w:rsidRPr="00B461F4">
              <w:rPr>
                <w:rFonts w:asciiTheme="minorHAnsi" w:hAnsiTheme="minorHAnsi" w:cstheme="minorHAnsi"/>
                <w:color w:val="000000"/>
                <w:sz w:val="22"/>
                <w:szCs w:val="22"/>
                <w:lang w:val="tr-TR"/>
              </w:rPr>
              <w:t>,</w:t>
            </w:r>
            <w:r w:rsidR="00984A23" w:rsidRPr="00B461F4">
              <w:rPr>
                <w:rFonts w:asciiTheme="minorHAnsi" w:hAnsiTheme="minorHAnsi" w:cstheme="minorHAnsi"/>
                <w:color w:val="000000"/>
                <w:sz w:val="22"/>
                <w:szCs w:val="22"/>
                <w:lang w:val="tr-TR"/>
              </w:rPr>
              <w:t>4</w:t>
            </w:r>
          </w:p>
        </w:tc>
        <w:tc>
          <w:tcPr>
            <w:tcW w:w="990" w:type="dxa"/>
            <w:tcBorders>
              <w:bottom w:val="double" w:sz="4" w:space="0" w:color="auto"/>
            </w:tcBorders>
            <w:vAlign w:val="center"/>
          </w:tcPr>
          <w:p w14:paraId="75B973EC" w14:textId="1552B00B" w:rsidR="004305FD" w:rsidRPr="00B461F4" w:rsidRDefault="004305FD" w:rsidP="004305FD">
            <w:pPr>
              <w:widowControl w:val="0"/>
              <w:jc w:val="right"/>
              <w:rPr>
                <w:rFonts w:asciiTheme="minorHAnsi" w:hAnsiTheme="minorHAnsi" w:cstheme="minorHAnsi"/>
                <w:color w:val="000000"/>
                <w:sz w:val="22"/>
                <w:szCs w:val="22"/>
                <w:lang w:val="tr-TR"/>
              </w:rPr>
            </w:pPr>
            <w:r w:rsidRPr="00B461F4">
              <w:rPr>
                <w:rFonts w:asciiTheme="minorHAnsi" w:hAnsiTheme="minorHAnsi" w:cstheme="minorHAnsi"/>
                <w:color w:val="000000"/>
                <w:sz w:val="22"/>
                <w:szCs w:val="22"/>
                <w:lang w:val="tr-TR"/>
              </w:rPr>
              <w:t>1</w:t>
            </w:r>
            <w:r w:rsidR="00984A23" w:rsidRPr="00B461F4">
              <w:rPr>
                <w:rFonts w:asciiTheme="minorHAnsi" w:hAnsiTheme="minorHAnsi" w:cstheme="minorHAnsi"/>
                <w:color w:val="000000"/>
                <w:sz w:val="22"/>
                <w:szCs w:val="22"/>
                <w:lang w:val="tr-TR"/>
              </w:rPr>
              <w:t>5</w:t>
            </w:r>
            <w:r w:rsidR="008475DD" w:rsidRPr="00B461F4">
              <w:rPr>
                <w:rFonts w:asciiTheme="minorHAnsi" w:hAnsiTheme="minorHAnsi" w:cstheme="minorHAnsi"/>
                <w:color w:val="000000"/>
                <w:sz w:val="22"/>
                <w:szCs w:val="22"/>
                <w:lang w:val="tr-TR"/>
              </w:rPr>
              <w:t>,</w:t>
            </w:r>
            <w:r w:rsidR="00984A23" w:rsidRPr="00B461F4">
              <w:rPr>
                <w:rFonts w:asciiTheme="minorHAnsi" w:hAnsiTheme="minorHAnsi" w:cstheme="minorHAnsi"/>
                <w:color w:val="000000"/>
                <w:sz w:val="22"/>
                <w:szCs w:val="22"/>
                <w:lang w:val="tr-TR"/>
              </w:rPr>
              <w:t>9</w:t>
            </w:r>
          </w:p>
        </w:tc>
      </w:tr>
    </w:tbl>
    <w:p w14:paraId="3A1DB238" w14:textId="5FFD7F96" w:rsidR="00524942" w:rsidRPr="00336E5B" w:rsidRDefault="00524942" w:rsidP="00524942">
      <w:pPr>
        <w:rPr>
          <w:rFonts w:asciiTheme="minorHAnsi" w:hAnsiTheme="minorHAnsi" w:cstheme="minorHAnsi"/>
          <w:lang w:val="tr-TR"/>
        </w:rPr>
      </w:pPr>
    </w:p>
    <w:p w14:paraId="1B14795C" w14:textId="654181F1" w:rsidR="00CE15D0" w:rsidRDefault="00CE15D0" w:rsidP="00463F7B">
      <w:pPr>
        <w:spacing w:after="120"/>
        <w:rPr>
          <w:rFonts w:asciiTheme="minorHAnsi" w:hAnsiTheme="minorHAnsi" w:cstheme="minorHAnsi"/>
          <w:lang w:val="tr-TR"/>
        </w:rPr>
      </w:pPr>
      <w:r w:rsidRPr="00336E5B">
        <w:rPr>
          <w:rFonts w:asciiTheme="minorHAnsi" w:hAnsiTheme="minorHAnsi" w:cstheme="minorHAnsi"/>
          <w:lang w:val="tr-TR"/>
        </w:rPr>
        <w:t xml:space="preserve">Her yıkılan evde 80 ila 120 bin lira arasında, </w:t>
      </w:r>
      <w:r w:rsidR="00313264" w:rsidRPr="00336E5B">
        <w:rPr>
          <w:rFonts w:asciiTheme="minorHAnsi" w:hAnsiTheme="minorHAnsi" w:cstheme="minorHAnsi"/>
          <w:lang w:val="tr-TR"/>
        </w:rPr>
        <w:t xml:space="preserve">acil yıkılacak evlerde ise </w:t>
      </w:r>
      <w:r w:rsidRPr="00336E5B">
        <w:rPr>
          <w:rFonts w:asciiTheme="minorHAnsi" w:hAnsiTheme="minorHAnsi" w:cstheme="minorHAnsi"/>
          <w:lang w:val="tr-TR"/>
        </w:rPr>
        <w:t xml:space="preserve">çok hasarlı evlerde ise </w:t>
      </w:r>
      <w:r w:rsidR="00313264" w:rsidRPr="00336E5B">
        <w:rPr>
          <w:rFonts w:asciiTheme="minorHAnsi" w:hAnsiTheme="minorHAnsi" w:cstheme="minorHAnsi"/>
          <w:lang w:val="tr-TR"/>
        </w:rPr>
        <w:t>40 ila 6</w:t>
      </w:r>
      <w:r w:rsidRPr="00336E5B">
        <w:rPr>
          <w:rFonts w:asciiTheme="minorHAnsi" w:hAnsiTheme="minorHAnsi" w:cstheme="minorHAnsi"/>
          <w:lang w:val="tr-TR"/>
        </w:rPr>
        <w:t xml:space="preserve">0 bin lira arasında olmak üzere yıkılan ve çok hasarlı evlerdeki eşya kaybının değeri </w:t>
      </w:r>
      <w:r w:rsidR="00313264" w:rsidRPr="00336E5B">
        <w:rPr>
          <w:rFonts w:asciiTheme="minorHAnsi" w:hAnsiTheme="minorHAnsi" w:cstheme="minorHAnsi"/>
          <w:lang w:val="tr-TR"/>
        </w:rPr>
        <w:t>480</w:t>
      </w:r>
      <w:r w:rsidRPr="00336E5B">
        <w:rPr>
          <w:rFonts w:asciiTheme="minorHAnsi" w:hAnsiTheme="minorHAnsi" w:cstheme="minorHAnsi"/>
          <w:lang w:val="tr-TR"/>
        </w:rPr>
        <w:t xml:space="preserve"> ila </w:t>
      </w:r>
      <w:r w:rsidR="00313264" w:rsidRPr="00336E5B">
        <w:rPr>
          <w:rFonts w:asciiTheme="minorHAnsi" w:hAnsiTheme="minorHAnsi" w:cstheme="minorHAnsi"/>
          <w:lang w:val="tr-TR"/>
        </w:rPr>
        <w:t xml:space="preserve">730 milyon </w:t>
      </w:r>
      <w:r w:rsidRPr="00336E5B">
        <w:rPr>
          <w:rFonts w:asciiTheme="minorHAnsi" w:hAnsiTheme="minorHAnsi" w:cstheme="minorHAnsi"/>
          <w:lang w:val="tr-TR"/>
        </w:rPr>
        <w:t>dolar arasın</w:t>
      </w:r>
      <w:r w:rsidR="00313264" w:rsidRPr="00336E5B">
        <w:rPr>
          <w:rFonts w:asciiTheme="minorHAnsi" w:hAnsiTheme="minorHAnsi" w:cstheme="minorHAnsi"/>
          <w:lang w:val="tr-TR"/>
        </w:rPr>
        <w:t>d</w:t>
      </w:r>
      <w:r w:rsidRPr="00336E5B">
        <w:rPr>
          <w:rFonts w:asciiTheme="minorHAnsi" w:hAnsiTheme="minorHAnsi" w:cstheme="minorHAnsi"/>
          <w:lang w:val="tr-TR"/>
        </w:rPr>
        <w:t xml:space="preserve">a bir </w:t>
      </w:r>
      <w:r w:rsidR="00313264" w:rsidRPr="00336E5B">
        <w:rPr>
          <w:rFonts w:asciiTheme="minorHAnsi" w:hAnsiTheme="minorHAnsi" w:cstheme="minorHAnsi"/>
          <w:lang w:val="tr-TR"/>
        </w:rPr>
        <w:t>toplama</w:t>
      </w:r>
      <w:r w:rsidRPr="00336E5B">
        <w:rPr>
          <w:rFonts w:asciiTheme="minorHAnsi" w:hAnsiTheme="minorHAnsi" w:cstheme="minorHAnsi"/>
          <w:lang w:val="tr-TR"/>
        </w:rPr>
        <w:t xml:space="preserve"> ulaşmaktadır.</w:t>
      </w:r>
      <w:r w:rsidR="008F076B" w:rsidRPr="00336E5B">
        <w:rPr>
          <w:rFonts w:asciiTheme="minorHAnsi" w:hAnsiTheme="minorHAnsi" w:cstheme="minorHAnsi"/>
          <w:lang w:val="tr-TR"/>
        </w:rPr>
        <w:t xml:space="preserve">  </w:t>
      </w:r>
      <w:r w:rsidRPr="00336E5B">
        <w:rPr>
          <w:rFonts w:asciiTheme="minorHAnsi" w:hAnsiTheme="minorHAnsi" w:cstheme="minorHAnsi"/>
          <w:lang w:val="tr-TR"/>
        </w:rPr>
        <w:t>Yıkılan her binanın enkazı altında bir taşıt (otomobil, kamyonet, traktör, v</w:t>
      </w:r>
      <w:r w:rsidR="002835C9" w:rsidRPr="00336E5B">
        <w:rPr>
          <w:rFonts w:asciiTheme="minorHAnsi" w:hAnsiTheme="minorHAnsi" w:cstheme="minorHAnsi"/>
          <w:lang w:val="tr-TR"/>
        </w:rPr>
        <w:t>d.</w:t>
      </w:r>
      <w:r w:rsidRPr="00336E5B">
        <w:rPr>
          <w:rFonts w:asciiTheme="minorHAnsi" w:hAnsiTheme="minorHAnsi" w:cstheme="minorHAnsi"/>
          <w:lang w:val="tr-TR"/>
        </w:rPr>
        <w:t xml:space="preserve">) kalmış olabileceğini varsayıyoruz. Ortalama araç başına </w:t>
      </w:r>
      <w:r w:rsidR="006D5648" w:rsidRPr="00336E5B">
        <w:rPr>
          <w:rFonts w:asciiTheme="minorHAnsi" w:hAnsiTheme="minorHAnsi" w:cstheme="minorHAnsi"/>
          <w:lang w:val="tr-TR"/>
        </w:rPr>
        <w:t>gerçekleşen</w:t>
      </w:r>
      <w:r w:rsidR="008F076B" w:rsidRPr="00336E5B">
        <w:rPr>
          <w:rFonts w:asciiTheme="minorHAnsi" w:hAnsiTheme="minorHAnsi" w:cstheme="minorHAnsi"/>
          <w:lang w:val="tr-TR"/>
        </w:rPr>
        <w:t xml:space="preserve"> </w:t>
      </w:r>
      <w:r w:rsidRPr="00336E5B">
        <w:rPr>
          <w:rFonts w:asciiTheme="minorHAnsi" w:hAnsiTheme="minorHAnsi" w:cstheme="minorHAnsi"/>
          <w:lang w:val="tr-TR"/>
        </w:rPr>
        <w:t xml:space="preserve">hasar değerini 250 ila 350 bin lira arasında varsaydığımız zaman enkaz altında kalmış olan taşıtların </w:t>
      </w:r>
      <w:r w:rsidR="006D5648" w:rsidRPr="00336E5B">
        <w:rPr>
          <w:rFonts w:asciiTheme="minorHAnsi" w:hAnsiTheme="minorHAnsi" w:cstheme="minorHAnsi"/>
          <w:lang w:val="tr-TR"/>
        </w:rPr>
        <w:t>toplam hasarını</w:t>
      </w:r>
      <w:r w:rsidRPr="00336E5B">
        <w:rPr>
          <w:rFonts w:asciiTheme="minorHAnsi" w:hAnsiTheme="minorHAnsi" w:cstheme="minorHAnsi"/>
          <w:lang w:val="tr-TR"/>
        </w:rPr>
        <w:t xml:space="preserve"> </w:t>
      </w:r>
      <w:r w:rsidR="002835C9" w:rsidRPr="00336E5B">
        <w:rPr>
          <w:rFonts w:asciiTheme="minorHAnsi" w:hAnsiTheme="minorHAnsi" w:cstheme="minorHAnsi"/>
          <w:lang w:val="tr-TR"/>
        </w:rPr>
        <w:t>5</w:t>
      </w:r>
      <w:r w:rsidR="00664E65" w:rsidRPr="00336E5B">
        <w:rPr>
          <w:rFonts w:asciiTheme="minorHAnsi" w:hAnsiTheme="minorHAnsi" w:cstheme="minorHAnsi"/>
          <w:lang w:val="tr-TR"/>
        </w:rPr>
        <w:t>14</w:t>
      </w:r>
      <w:r w:rsidRPr="00336E5B">
        <w:rPr>
          <w:rFonts w:asciiTheme="minorHAnsi" w:hAnsiTheme="minorHAnsi" w:cstheme="minorHAnsi"/>
          <w:lang w:val="tr-TR"/>
        </w:rPr>
        <w:t xml:space="preserve"> ila</w:t>
      </w:r>
      <w:r w:rsidR="00664E65" w:rsidRPr="00336E5B">
        <w:rPr>
          <w:rFonts w:asciiTheme="minorHAnsi" w:hAnsiTheme="minorHAnsi" w:cstheme="minorHAnsi"/>
          <w:lang w:val="tr-TR"/>
        </w:rPr>
        <w:t xml:space="preserve"> 719</w:t>
      </w:r>
      <w:r w:rsidRPr="00336E5B">
        <w:rPr>
          <w:rFonts w:asciiTheme="minorHAnsi" w:hAnsiTheme="minorHAnsi" w:cstheme="minorHAnsi"/>
          <w:lang w:val="tr-TR"/>
        </w:rPr>
        <w:t xml:space="preserve"> milyon dolar arasında bir rakam olarak buluyoruz. Böylece, yıkılan konut binalarının enkazı altında kalan eşya ve araç kaybının en az </w:t>
      </w:r>
      <w:r w:rsidR="00A330C1" w:rsidRPr="00336E5B">
        <w:rPr>
          <w:rFonts w:asciiTheme="minorHAnsi" w:hAnsiTheme="minorHAnsi" w:cstheme="minorHAnsi"/>
          <w:lang w:val="tr-TR"/>
        </w:rPr>
        <w:t>1</w:t>
      </w:r>
      <w:r w:rsidRPr="00336E5B">
        <w:rPr>
          <w:rFonts w:asciiTheme="minorHAnsi" w:hAnsiTheme="minorHAnsi" w:cstheme="minorHAnsi"/>
          <w:lang w:val="tr-TR"/>
        </w:rPr>
        <w:t>,</w:t>
      </w:r>
      <w:r w:rsidR="00313264" w:rsidRPr="00336E5B">
        <w:rPr>
          <w:rFonts w:asciiTheme="minorHAnsi" w:hAnsiTheme="minorHAnsi" w:cstheme="minorHAnsi"/>
          <w:lang w:val="tr-TR"/>
        </w:rPr>
        <w:t>0</w:t>
      </w:r>
      <w:r w:rsidRPr="00336E5B">
        <w:rPr>
          <w:rFonts w:asciiTheme="minorHAnsi" w:hAnsiTheme="minorHAnsi" w:cstheme="minorHAnsi"/>
          <w:lang w:val="tr-TR"/>
        </w:rPr>
        <w:t xml:space="preserve"> en çok da </w:t>
      </w:r>
      <w:r w:rsidR="00313264" w:rsidRPr="00336E5B">
        <w:rPr>
          <w:rFonts w:asciiTheme="minorHAnsi" w:hAnsiTheme="minorHAnsi" w:cstheme="minorHAnsi"/>
          <w:lang w:val="tr-TR"/>
        </w:rPr>
        <w:t>1</w:t>
      </w:r>
      <w:r w:rsidRPr="00336E5B">
        <w:rPr>
          <w:rFonts w:asciiTheme="minorHAnsi" w:hAnsiTheme="minorHAnsi" w:cstheme="minorHAnsi"/>
          <w:lang w:val="tr-TR"/>
        </w:rPr>
        <w:t>,</w:t>
      </w:r>
      <w:r w:rsidR="00313264" w:rsidRPr="00336E5B">
        <w:rPr>
          <w:rFonts w:asciiTheme="minorHAnsi" w:hAnsiTheme="minorHAnsi" w:cstheme="minorHAnsi"/>
          <w:lang w:val="tr-TR"/>
        </w:rPr>
        <w:t xml:space="preserve">44 </w:t>
      </w:r>
      <w:r w:rsidRPr="00336E5B">
        <w:rPr>
          <w:rFonts w:asciiTheme="minorHAnsi" w:hAnsiTheme="minorHAnsi" w:cstheme="minorHAnsi"/>
          <w:lang w:val="tr-TR"/>
        </w:rPr>
        <w:t xml:space="preserve">milyar dolara eşit olacağını hesaplıyoruz. </w:t>
      </w:r>
      <w:r w:rsidR="008F076B" w:rsidRPr="00336E5B">
        <w:rPr>
          <w:rFonts w:asciiTheme="minorHAnsi" w:hAnsiTheme="minorHAnsi" w:cstheme="minorHAnsi"/>
          <w:lang w:val="tr-TR"/>
        </w:rPr>
        <w:t>Deprem</w:t>
      </w:r>
      <w:r w:rsidRPr="00336E5B">
        <w:rPr>
          <w:rFonts w:asciiTheme="minorHAnsi" w:hAnsiTheme="minorHAnsi" w:cstheme="minorHAnsi"/>
          <w:lang w:val="tr-TR"/>
        </w:rPr>
        <w:t xml:space="preserve"> </w:t>
      </w:r>
      <w:r w:rsidR="008F076B" w:rsidRPr="00336E5B">
        <w:rPr>
          <w:rFonts w:asciiTheme="minorHAnsi" w:hAnsiTheme="minorHAnsi" w:cstheme="minorHAnsi"/>
          <w:lang w:val="tr-TR"/>
        </w:rPr>
        <w:t>bölgesinde kasko sigortasının ç</w:t>
      </w:r>
      <w:r w:rsidR="00313264" w:rsidRPr="00336E5B">
        <w:rPr>
          <w:rFonts w:asciiTheme="minorHAnsi" w:hAnsiTheme="minorHAnsi" w:cstheme="minorHAnsi"/>
          <w:lang w:val="tr-TR"/>
        </w:rPr>
        <w:t>o</w:t>
      </w:r>
      <w:r w:rsidR="008F076B" w:rsidRPr="00336E5B">
        <w:rPr>
          <w:rFonts w:asciiTheme="minorHAnsi" w:hAnsiTheme="minorHAnsi" w:cstheme="minorHAnsi"/>
          <w:lang w:val="tr-TR"/>
        </w:rPr>
        <w:t>k yaygın olmadığını</w:t>
      </w:r>
      <w:r w:rsidR="00A20463" w:rsidRPr="00336E5B">
        <w:rPr>
          <w:rFonts w:asciiTheme="minorHAnsi" w:hAnsiTheme="minorHAnsi" w:cstheme="minorHAnsi"/>
          <w:lang w:val="tr-TR"/>
        </w:rPr>
        <w:t xml:space="preserve"> (bölgedeki araçların sadece </w:t>
      </w:r>
      <w:proofErr w:type="gramStart"/>
      <w:r w:rsidR="00A20463" w:rsidRPr="00336E5B">
        <w:rPr>
          <w:rFonts w:asciiTheme="minorHAnsi" w:hAnsiTheme="minorHAnsi" w:cstheme="minorHAnsi"/>
          <w:lang w:val="tr-TR"/>
        </w:rPr>
        <w:t>%17</w:t>
      </w:r>
      <w:proofErr w:type="gramEnd"/>
      <w:r w:rsidR="00A20463" w:rsidRPr="00336E5B">
        <w:rPr>
          <w:rFonts w:asciiTheme="minorHAnsi" w:hAnsiTheme="minorHAnsi" w:cstheme="minorHAnsi"/>
          <w:lang w:val="tr-TR"/>
        </w:rPr>
        <w:t xml:space="preserve">’sinin kasko </w:t>
      </w:r>
      <w:r w:rsidR="00A20463" w:rsidRPr="00336E5B">
        <w:rPr>
          <w:rFonts w:asciiTheme="minorHAnsi" w:hAnsiTheme="minorHAnsi" w:cstheme="minorHAnsi"/>
          <w:lang w:val="tr-TR"/>
        </w:rPr>
        <w:lastRenderedPageBreak/>
        <w:t>sigortası vardır)</w:t>
      </w:r>
      <w:r w:rsidR="008F076B" w:rsidRPr="00336E5B">
        <w:rPr>
          <w:rFonts w:asciiTheme="minorHAnsi" w:hAnsiTheme="minorHAnsi" w:cstheme="minorHAnsi"/>
          <w:lang w:val="tr-TR"/>
        </w:rPr>
        <w:t xml:space="preserve"> dikkate alarak hasarın </w:t>
      </w:r>
      <w:r w:rsidRPr="00336E5B">
        <w:rPr>
          <w:rFonts w:asciiTheme="minorHAnsi" w:hAnsiTheme="minorHAnsi" w:cstheme="minorHAnsi"/>
          <w:lang w:val="tr-TR"/>
        </w:rPr>
        <w:t>büyük bir kısmının mal sahipleri</w:t>
      </w:r>
      <w:r w:rsidR="006D5648" w:rsidRPr="00336E5B">
        <w:rPr>
          <w:rFonts w:asciiTheme="minorHAnsi" w:hAnsiTheme="minorHAnsi" w:cstheme="minorHAnsi"/>
          <w:lang w:val="tr-TR"/>
        </w:rPr>
        <w:t>,</w:t>
      </w:r>
      <w:r w:rsidRPr="00336E5B">
        <w:rPr>
          <w:rFonts w:asciiTheme="minorHAnsi" w:hAnsiTheme="minorHAnsi" w:cstheme="minorHAnsi"/>
          <w:lang w:val="tr-TR"/>
        </w:rPr>
        <w:t xml:space="preserve"> küçük bir kısmının da sigorta şirketleri tarafından karşılanmasını bekliyoruz.</w:t>
      </w:r>
    </w:p>
    <w:p w14:paraId="4D766559" w14:textId="77777777" w:rsidR="009B6FDE" w:rsidRPr="008C33D5" w:rsidRDefault="0088714B" w:rsidP="009B6FDE">
      <w:pPr>
        <w:spacing w:after="390"/>
        <w:rPr>
          <w:rFonts w:ascii="Calibri" w:hAnsi="Calibri" w:cs="Calibri"/>
          <w:b/>
          <w:bCs/>
          <w:color w:val="222222"/>
          <w:lang w:val="tr-TR" w:eastAsia="tr-TR"/>
        </w:rPr>
      </w:pPr>
      <w:r w:rsidRPr="008C33D5">
        <w:rPr>
          <w:rFonts w:ascii="Calibri" w:hAnsi="Calibri" w:cs="Calibri"/>
          <w:b/>
          <w:bCs/>
          <w:color w:val="222222"/>
          <w:sz w:val="28"/>
          <w:szCs w:val="28"/>
          <w:lang w:val="tr-TR" w:eastAsia="tr-TR"/>
        </w:rPr>
        <w:t>Depremin ekonomiye etkileri</w:t>
      </w:r>
    </w:p>
    <w:p w14:paraId="11346516" w14:textId="77777777" w:rsidR="004C6167" w:rsidRDefault="002F15E6" w:rsidP="004C6167">
      <w:pPr>
        <w:spacing w:after="120"/>
        <w:rPr>
          <w:rFonts w:ascii="Calibri" w:hAnsi="Calibri" w:cs="Calibri"/>
          <w:b/>
          <w:bCs/>
          <w:color w:val="222222"/>
          <w:lang w:val="tr-TR" w:eastAsia="tr-TR"/>
        </w:rPr>
      </w:pPr>
      <w:r w:rsidRPr="008C33D5">
        <w:rPr>
          <w:rFonts w:asciiTheme="minorHAnsi" w:hAnsiTheme="minorHAnsi" w:cstheme="minorHAnsi"/>
          <w:color w:val="222222"/>
          <w:lang w:val="tr-TR" w:eastAsia="tr-TR"/>
        </w:rPr>
        <w:t xml:space="preserve">Kahramanmaraş depremleri sadece konut, işyeri ve altyapı üzerinde yıkıcı bir etki yapmakla kalmadı aynı zamanda </w:t>
      </w:r>
      <w:proofErr w:type="spellStart"/>
      <w:r w:rsidRPr="008C33D5">
        <w:rPr>
          <w:rFonts w:asciiTheme="minorHAnsi" w:hAnsiTheme="minorHAnsi" w:cstheme="minorHAnsi"/>
          <w:color w:val="222222"/>
          <w:lang w:val="tr-TR" w:eastAsia="tr-TR"/>
        </w:rPr>
        <w:t>GSYH’yı</w:t>
      </w:r>
      <w:proofErr w:type="spellEnd"/>
      <w:r w:rsidRPr="008C33D5">
        <w:rPr>
          <w:rFonts w:asciiTheme="minorHAnsi" w:hAnsiTheme="minorHAnsi" w:cstheme="minorHAnsi"/>
          <w:color w:val="222222"/>
          <w:lang w:val="tr-TR" w:eastAsia="tr-TR"/>
        </w:rPr>
        <w:t xml:space="preserve"> diğer ifadeyle gelirleri azaltıcı etkiler </w:t>
      </w:r>
      <w:r w:rsidR="00F05AC2" w:rsidRPr="008C33D5">
        <w:rPr>
          <w:rFonts w:asciiTheme="minorHAnsi" w:hAnsiTheme="minorHAnsi" w:cstheme="minorHAnsi"/>
          <w:color w:val="222222"/>
          <w:lang w:val="tr-TR" w:eastAsia="tr-TR"/>
        </w:rPr>
        <w:t xml:space="preserve">de </w:t>
      </w:r>
      <w:r w:rsidRPr="008C33D5">
        <w:rPr>
          <w:rFonts w:asciiTheme="minorHAnsi" w:hAnsiTheme="minorHAnsi" w:cstheme="minorHAnsi"/>
          <w:color w:val="222222"/>
          <w:lang w:val="tr-TR" w:eastAsia="tr-TR"/>
        </w:rPr>
        <w:t xml:space="preserve">ortaya çıkardı.  </w:t>
      </w:r>
      <w:r w:rsidR="0088714B" w:rsidRPr="008C33D5">
        <w:rPr>
          <w:rFonts w:asciiTheme="minorHAnsi" w:hAnsiTheme="minorHAnsi" w:cstheme="minorHAnsi"/>
          <w:lang w:val="tr-TR"/>
        </w:rPr>
        <w:t xml:space="preserve">Deprem sonucunda DB-7 bölgesinde üretimin en az 1,5 ay, en çok da 2,5 ay duracağını düşünüyoruz. DB-7 bölgesinin milli gelirden aldığı payın </w:t>
      </w:r>
      <w:r w:rsidRPr="008C33D5">
        <w:rPr>
          <w:rFonts w:asciiTheme="minorHAnsi" w:hAnsiTheme="minorHAnsi" w:cstheme="minorHAnsi"/>
          <w:lang w:val="tr-TR"/>
        </w:rPr>
        <w:t xml:space="preserve">yüzde </w:t>
      </w:r>
      <w:r w:rsidR="0088714B" w:rsidRPr="008C33D5">
        <w:rPr>
          <w:rFonts w:asciiTheme="minorHAnsi" w:hAnsiTheme="minorHAnsi" w:cstheme="minorHAnsi"/>
          <w:lang w:val="tr-TR"/>
        </w:rPr>
        <w:t>5,7 olduğunu ve bölgenin görece</w:t>
      </w:r>
      <w:r w:rsidR="0088714B" w:rsidRPr="00336E5B">
        <w:rPr>
          <w:rFonts w:asciiTheme="minorHAnsi" w:hAnsiTheme="minorHAnsi" w:cstheme="minorHAnsi"/>
          <w:lang w:val="tr-TR"/>
        </w:rPr>
        <w:t xml:space="preserve"> az hasar almış diğer illerin hasar gören ilçeleri için milli gelir oranını </w:t>
      </w:r>
      <w:r>
        <w:rPr>
          <w:rFonts w:asciiTheme="minorHAnsi" w:hAnsiTheme="minorHAnsi" w:cstheme="minorHAnsi"/>
          <w:lang w:val="tr-TR"/>
        </w:rPr>
        <w:t xml:space="preserve">yüzde </w:t>
      </w:r>
      <w:r w:rsidR="0088714B" w:rsidRPr="00336E5B">
        <w:rPr>
          <w:rFonts w:asciiTheme="minorHAnsi" w:hAnsiTheme="minorHAnsi" w:cstheme="minorHAnsi"/>
          <w:lang w:val="tr-TR"/>
        </w:rPr>
        <w:t>1 varsayarsak ve 2022 GSYH’sinin de 905 milyar dolar olduğunu da dikkate alırsak bölgede üretim tesislerinin hasar görmesi nedeniyle karşılaşılacak ulusal gelir kaybının en az 7,6 en çok da 12,6 milyar dolar tahmin ediyoruz</w:t>
      </w:r>
      <w:r w:rsidR="0088714B">
        <w:rPr>
          <w:rFonts w:asciiTheme="minorHAnsi" w:hAnsiTheme="minorHAnsi" w:cstheme="minorHAnsi"/>
          <w:lang w:val="tr-TR"/>
        </w:rPr>
        <w:t xml:space="preserve">. </w:t>
      </w:r>
    </w:p>
    <w:p w14:paraId="69F8E2E4" w14:textId="77777777" w:rsidR="004C6167" w:rsidRDefault="00A85119" w:rsidP="004C6167">
      <w:pPr>
        <w:spacing w:after="120"/>
        <w:rPr>
          <w:rFonts w:ascii="Calibri" w:hAnsi="Calibri" w:cs="Calibri"/>
          <w:b/>
          <w:bCs/>
          <w:color w:val="222222"/>
          <w:lang w:val="tr-TR" w:eastAsia="tr-TR"/>
        </w:rPr>
      </w:pPr>
      <w:r w:rsidRPr="00336E5B">
        <w:rPr>
          <w:rFonts w:asciiTheme="minorHAnsi" w:hAnsiTheme="minorHAnsi" w:cstheme="minorHAnsi"/>
          <w:lang w:val="tr-TR"/>
        </w:rPr>
        <w:t>Bu noktada</w:t>
      </w:r>
      <w:r w:rsidR="00096428" w:rsidRPr="00336E5B">
        <w:rPr>
          <w:rFonts w:asciiTheme="minorHAnsi" w:hAnsiTheme="minorHAnsi" w:cstheme="minorHAnsi"/>
          <w:lang w:val="tr-TR"/>
        </w:rPr>
        <w:t>,</w:t>
      </w:r>
      <w:r w:rsidRPr="00336E5B">
        <w:rPr>
          <w:rFonts w:asciiTheme="minorHAnsi" w:hAnsiTheme="minorHAnsi" w:cstheme="minorHAnsi"/>
          <w:lang w:val="tr-TR"/>
        </w:rPr>
        <w:t xml:space="preserve"> bölgeden ülkenin farklı bölgelerine doğru yaşanan önemli bir göç olduğunu biliyoruz. </w:t>
      </w:r>
      <w:r w:rsidR="007628D1" w:rsidRPr="00336E5B">
        <w:rPr>
          <w:rFonts w:asciiTheme="minorHAnsi" w:hAnsiTheme="minorHAnsi" w:cstheme="minorHAnsi"/>
          <w:lang w:val="tr-TR"/>
        </w:rPr>
        <w:t xml:space="preserve">17 </w:t>
      </w:r>
      <w:r w:rsidRPr="00336E5B">
        <w:rPr>
          <w:rFonts w:asciiTheme="minorHAnsi" w:hAnsiTheme="minorHAnsi" w:cstheme="minorHAnsi"/>
          <w:lang w:val="tr-TR"/>
        </w:rPr>
        <w:t>Şubat</w:t>
      </w:r>
      <w:r w:rsidR="007628D1" w:rsidRPr="00336E5B">
        <w:rPr>
          <w:rFonts w:asciiTheme="minorHAnsi" w:hAnsiTheme="minorHAnsi" w:cstheme="minorHAnsi"/>
          <w:lang w:val="tr-TR"/>
        </w:rPr>
        <w:t>’ta</w:t>
      </w:r>
      <w:r w:rsidRPr="00336E5B">
        <w:rPr>
          <w:rFonts w:asciiTheme="minorHAnsi" w:hAnsiTheme="minorHAnsi" w:cstheme="minorHAnsi"/>
          <w:lang w:val="tr-TR"/>
        </w:rPr>
        <w:t xml:space="preserve"> </w:t>
      </w:r>
      <w:r w:rsidR="00392BC8" w:rsidRPr="00336E5B">
        <w:rPr>
          <w:rFonts w:asciiTheme="minorHAnsi" w:hAnsiTheme="minorHAnsi" w:cstheme="minorHAnsi"/>
          <w:lang w:val="tr-TR"/>
        </w:rPr>
        <w:t xml:space="preserve">medyada </w:t>
      </w:r>
      <w:r w:rsidRPr="00336E5B">
        <w:rPr>
          <w:rFonts w:asciiTheme="minorHAnsi" w:hAnsiTheme="minorHAnsi" w:cstheme="minorHAnsi"/>
          <w:lang w:val="tr-TR"/>
        </w:rPr>
        <w:t>bölgeye kayıtlı 2</w:t>
      </w:r>
      <w:r w:rsidR="00096428" w:rsidRPr="00336E5B">
        <w:rPr>
          <w:rFonts w:asciiTheme="minorHAnsi" w:hAnsiTheme="minorHAnsi" w:cstheme="minorHAnsi"/>
          <w:lang w:val="tr-TR"/>
        </w:rPr>
        <w:t>,</w:t>
      </w:r>
      <w:r w:rsidRPr="00336E5B">
        <w:rPr>
          <w:rFonts w:asciiTheme="minorHAnsi" w:hAnsiTheme="minorHAnsi" w:cstheme="minorHAnsi"/>
          <w:lang w:val="tr-TR"/>
        </w:rPr>
        <w:t xml:space="preserve">5 milyon mobil telefonun bölge dışından sinyaller verdiğine dair haberler yayınlanmaktaydı. </w:t>
      </w:r>
      <w:r w:rsidR="00392BC8" w:rsidRPr="00336E5B">
        <w:rPr>
          <w:rFonts w:asciiTheme="minorHAnsi" w:hAnsiTheme="minorHAnsi" w:cstheme="minorHAnsi"/>
          <w:lang w:val="tr-TR"/>
        </w:rPr>
        <w:t>Bu veriler</w:t>
      </w:r>
      <w:r w:rsidR="004A6B25" w:rsidRPr="00336E5B">
        <w:rPr>
          <w:rFonts w:asciiTheme="minorHAnsi" w:hAnsiTheme="minorHAnsi" w:cstheme="minorHAnsi"/>
          <w:lang w:val="tr-TR"/>
        </w:rPr>
        <w:t>den yola çıkarak 4 ya</w:t>
      </w:r>
      <w:r w:rsidR="00096428" w:rsidRPr="00336E5B">
        <w:rPr>
          <w:rFonts w:asciiTheme="minorHAnsi" w:hAnsiTheme="minorHAnsi" w:cstheme="minorHAnsi"/>
          <w:lang w:val="tr-TR"/>
        </w:rPr>
        <w:t xml:space="preserve"> </w:t>
      </w:r>
      <w:r w:rsidR="004A6B25" w:rsidRPr="00336E5B">
        <w:rPr>
          <w:rFonts w:asciiTheme="minorHAnsi" w:hAnsiTheme="minorHAnsi" w:cstheme="minorHAnsi"/>
          <w:lang w:val="tr-TR"/>
        </w:rPr>
        <w:t>da 5 milyon kiş</w:t>
      </w:r>
      <w:r w:rsidR="00AC250A" w:rsidRPr="00336E5B">
        <w:rPr>
          <w:rFonts w:asciiTheme="minorHAnsi" w:hAnsiTheme="minorHAnsi" w:cstheme="minorHAnsi"/>
          <w:lang w:val="tr-TR"/>
        </w:rPr>
        <w:t>i</w:t>
      </w:r>
      <w:r w:rsidR="004A6B25" w:rsidRPr="00336E5B">
        <w:rPr>
          <w:rFonts w:asciiTheme="minorHAnsi" w:hAnsiTheme="minorHAnsi" w:cstheme="minorHAnsi"/>
          <w:lang w:val="tr-TR"/>
        </w:rPr>
        <w:t>nin bölgeyi terk ettiği sonucuna varılıyor (Birgün, 21.02.2023). Bu göçün kalıcı olması halinde bölgedeki üretimin yavaşlaması kaçınılmaz olacaktır. Bu durumda</w:t>
      </w:r>
      <w:r w:rsidR="00096428" w:rsidRPr="00336E5B">
        <w:rPr>
          <w:rFonts w:asciiTheme="minorHAnsi" w:hAnsiTheme="minorHAnsi" w:cstheme="minorHAnsi"/>
          <w:lang w:val="tr-TR"/>
        </w:rPr>
        <w:t>,</w:t>
      </w:r>
      <w:r w:rsidR="004A6B25" w:rsidRPr="00336E5B">
        <w:rPr>
          <w:rFonts w:asciiTheme="minorHAnsi" w:hAnsiTheme="minorHAnsi" w:cstheme="minorHAnsi"/>
          <w:lang w:val="tr-TR"/>
        </w:rPr>
        <w:t xml:space="preserve"> </w:t>
      </w:r>
      <w:r w:rsidR="00096428" w:rsidRPr="00336E5B">
        <w:rPr>
          <w:rFonts w:asciiTheme="minorHAnsi" w:hAnsiTheme="minorHAnsi" w:cstheme="minorHAnsi"/>
          <w:lang w:val="tr-TR"/>
        </w:rPr>
        <w:t xml:space="preserve">üretimin yalnızca </w:t>
      </w:r>
      <w:r w:rsidR="004A6B25" w:rsidRPr="00336E5B">
        <w:rPr>
          <w:rFonts w:asciiTheme="minorHAnsi" w:hAnsiTheme="minorHAnsi" w:cstheme="minorHAnsi"/>
          <w:lang w:val="tr-TR"/>
        </w:rPr>
        <w:t xml:space="preserve">1,5 ila 2,5 ay durabileceği </w:t>
      </w:r>
      <w:r w:rsidR="00096428" w:rsidRPr="00336E5B">
        <w:rPr>
          <w:rFonts w:asciiTheme="minorHAnsi" w:hAnsiTheme="minorHAnsi" w:cstheme="minorHAnsi"/>
          <w:lang w:val="tr-TR"/>
        </w:rPr>
        <w:t xml:space="preserve">şeklindeki </w:t>
      </w:r>
      <w:r w:rsidR="004A6B25" w:rsidRPr="00336E5B">
        <w:rPr>
          <w:rFonts w:asciiTheme="minorHAnsi" w:hAnsiTheme="minorHAnsi" w:cstheme="minorHAnsi"/>
          <w:lang w:val="tr-TR"/>
        </w:rPr>
        <w:t>varsayımımız çok iyimser kalaca</w:t>
      </w:r>
      <w:r w:rsidR="00AC250A" w:rsidRPr="00336E5B">
        <w:rPr>
          <w:rFonts w:asciiTheme="minorHAnsi" w:hAnsiTheme="minorHAnsi" w:cstheme="minorHAnsi"/>
          <w:lang w:val="tr-TR"/>
        </w:rPr>
        <w:t>k</w:t>
      </w:r>
      <w:r w:rsidR="00096428" w:rsidRPr="00336E5B">
        <w:rPr>
          <w:rFonts w:asciiTheme="minorHAnsi" w:hAnsiTheme="minorHAnsi" w:cstheme="minorHAnsi"/>
          <w:lang w:val="tr-TR"/>
        </w:rPr>
        <w:t>;</w:t>
      </w:r>
      <w:r w:rsidR="004A6B25" w:rsidRPr="00336E5B">
        <w:rPr>
          <w:rFonts w:asciiTheme="minorHAnsi" w:hAnsiTheme="minorHAnsi" w:cstheme="minorHAnsi"/>
          <w:lang w:val="tr-TR"/>
        </w:rPr>
        <w:t xml:space="preserve"> bölgedeki gelir kayb</w:t>
      </w:r>
      <w:r w:rsidR="00AC250A" w:rsidRPr="00336E5B">
        <w:rPr>
          <w:rFonts w:asciiTheme="minorHAnsi" w:hAnsiTheme="minorHAnsi" w:cstheme="minorHAnsi"/>
          <w:lang w:val="tr-TR"/>
        </w:rPr>
        <w:t>ı</w:t>
      </w:r>
      <w:r w:rsidR="00096428" w:rsidRPr="00336E5B">
        <w:rPr>
          <w:rFonts w:asciiTheme="minorHAnsi" w:hAnsiTheme="minorHAnsi" w:cstheme="minorHAnsi"/>
          <w:lang w:val="tr-TR"/>
        </w:rPr>
        <w:t>,</w:t>
      </w:r>
      <w:r w:rsidR="00AC250A" w:rsidRPr="00336E5B">
        <w:rPr>
          <w:rFonts w:asciiTheme="minorHAnsi" w:hAnsiTheme="minorHAnsi" w:cstheme="minorHAnsi"/>
          <w:lang w:val="tr-TR"/>
        </w:rPr>
        <w:t xml:space="preserve"> elde ettiğimiz </w:t>
      </w:r>
      <w:r w:rsidR="003C10C2" w:rsidRPr="00336E5B">
        <w:rPr>
          <w:rFonts w:asciiTheme="minorHAnsi" w:hAnsiTheme="minorHAnsi" w:cstheme="minorHAnsi"/>
          <w:lang w:val="tr-TR"/>
        </w:rPr>
        <w:t xml:space="preserve">12,6 milyar dolarlık üst sınırın </w:t>
      </w:r>
      <w:r w:rsidR="00AC250A" w:rsidRPr="00336E5B">
        <w:rPr>
          <w:rFonts w:asciiTheme="minorHAnsi" w:hAnsiTheme="minorHAnsi" w:cstheme="minorHAnsi"/>
          <w:lang w:val="tr-TR"/>
        </w:rPr>
        <w:t>üzerinde gerçekleşebilecektir.</w:t>
      </w:r>
    </w:p>
    <w:p w14:paraId="1AE860E0" w14:textId="77777777" w:rsidR="004C6167" w:rsidRDefault="00A87604" w:rsidP="004C6167">
      <w:pPr>
        <w:spacing w:after="120"/>
        <w:rPr>
          <w:rFonts w:ascii="Calibri" w:hAnsi="Calibri" w:cs="Calibri"/>
          <w:b/>
          <w:bCs/>
          <w:color w:val="222222"/>
          <w:lang w:val="tr-TR" w:eastAsia="tr-TR"/>
        </w:rPr>
      </w:pPr>
      <w:r w:rsidRPr="00336E5B">
        <w:rPr>
          <w:rFonts w:asciiTheme="minorHAnsi" w:hAnsiTheme="minorHAnsi" w:cstheme="minorHAnsi"/>
          <w:lang w:val="tr-TR"/>
        </w:rPr>
        <w:t>Deprem</w:t>
      </w:r>
      <w:r w:rsidR="009F217E" w:rsidRPr="00336E5B">
        <w:rPr>
          <w:rFonts w:asciiTheme="minorHAnsi" w:hAnsiTheme="minorHAnsi" w:cstheme="minorHAnsi"/>
          <w:lang w:val="tr-TR"/>
        </w:rPr>
        <w:t xml:space="preserve">in bölge dışında da önemli etkileri olması beklenir. </w:t>
      </w:r>
      <w:r w:rsidR="00986EF6" w:rsidRPr="00336E5B">
        <w:rPr>
          <w:rFonts w:asciiTheme="minorHAnsi" w:hAnsiTheme="minorHAnsi" w:cstheme="minorHAnsi"/>
          <w:lang w:val="tr-TR"/>
        </w:rPr>
        <w:t>G</w:t>
      </w:r>
      <w:r w:rsidR="009F217E" w:rsidRPr="00336E5B">
        <w:rPr>
          <w:rFonts w:asciiTheme="minorHAnsi" w:hAnsiTheme="minorHAnsi" w:cstheme="minorHAnsi"/>
          <w:lang w:val="tr-TR"/>
        </w:rPr>
        <w:t>öç eden ailelerin getireceği ek tale</w:t>
      </w:r>
      <w:r w:rsidR="00096428" w:rsidRPr="00336E5B">
        <w:rPr>
          <w:rFonts w:asciiTheme="minorHAnsi" w:hAnsiTheme="minorHAnsi" w:cstheme="minorHAnsi"/>
          <w:lang w:val="tr-TR"/>
        </w:rPr>
        <w:t>bin</w:t>
      </w:r>
      <w:r w:rsidR="009F217E" w:rsidRPr="00336E5B">
        <w:rPr>
          <w:rFonts w:asciiTheme="minorHAnsi" w:hAnsiTheme="minorHAnsi" w:cstheme="minorHAnsi"/>
          <w:lang w:val="tr-TR"/>
        </w:rPr>
        <w:t xml:space="preserve"> bölgeden önemli oranda nüfus çeken şehirlerde kiraları yukarı çekmesi beklenir. Bu dolaylı etkileri burada detaylı olarak çalışmamız mümkün </w:t>
      </w:r>
      <w:r w:rsidR="00986EF6" w:rsidRPr="00336E5B">
        <w:rPr>
          <w:rFonts w:asciiTheme="minorHAnsi" w:hAnsiTheme="minorHAnsi" w:cstheme="minorHAnsi"/>
          <w:lang w:val="tr-TR"/>
        </w:rPr>
        <w:t xml:space="preserve">olmasa da </w:t>
      </w:r>
      <w:r w:rsidR="009F217E" w:rsidRPr="00336E5B">
        <w:rPr>
          <w:rFonts w:asciiTheme="minorHAnsi" w:hAnsiTheme="minorHAnsi" w:cstheme="minorHAnsi"/>
          <w:lang w:val="tr-TR"/>
        </w:rPr>
        <w:t>depremin ülke</w:t>
      </w:r>
      <w:r w:rsidR="003C10C2" w:rsidRPr="00336E5B">
        <w:rPr>
          <w:rFonts w:asciiTheme="minorHAnsi" w:hAnsiTheme="minorHAnsi" w:cstheme="minorHAnsi"/>
          <w:lang w:val="tr-TR"/>
        </w:rPr>
        <w:t xml:space="preserve">ye gelen yabancı turist sayısı ve turizmden elde edilen </w:t>
      </w:r>
      <w:r w:rsidR="009F217E" w:rsidRPr="00336E5B">
        <w:rPr>
          <w:rFonts w:asciiTheme="minorHAnsi" w:hAnsiTheme="minorHAnsi" w:cstheme="minorHAnsi"/>
          <w:lang w:val="tr-TR"/>
        </w:rPr>
        <w:t>gelir</w:t>
      </w:r>
      <w:r w:rsidR="003C10C2" w:rsidRPr="00336E5B">
        <w:rPr>
          <w:rFonts w:asciiTheme="minorHAnsi" w:hAnsiTheme="minorHAnsi" w:cstheme="minorHAnsi"/>
          <w:lang w:val="tr-TR"/>
        </w:rPr>
        <w:t xml:space="preserve"> üzerindeki olumsuz etkisini vurgulama</w:t>
      </w:r>
      <w:r w:rsidR="00986EF6" w:rsidRPr="00336E5B">
        <w:rPr>
          <w:rFonts w:asciiTheme="minorHAnsi" w:hAnsiTheme="minorHAnsi" w:cstheme="minorHAnsi"/>
          <w:lang w:val="tr-TR"/>
        </w:rPr>
        <w:t>mız</w:t>
      </w:r>
      <w:r w:rsidR="003C10C2" w:rsidRPr="00336E5B">
        <w:rPr>
          <w:rFonts w:asciiTheme="minorHAnsi" w:hAnsiTheme="minorHAnsi" w:cstheme="minorHAnsi"/>
          <w:lang w:val="tr-TR"/>
        </w:rPr>
        <w:t xml:space="preserve"> gerekir. Deprem sonucunda </w:t>
      </w:r>
      <w:r w:rsidRPr="00336E5B">
        <w:rPr>
          <w:rFonts w:asciiTheme="minorHAnsi" w:hAnsiTheme="minorHAnsi" w:cstheme="minorHAnsi"/>
          <w:lang w:val="tr-TR"/>
        </w:rPr>
        <w:t>ortaya çıkan büyük can kaybı ve büyük yıkım</w:t>
      </w:r>
      <w:r w:rsidR="003C10C2" w:rsidRPr="00336E5B">
        <w:rPr>
          <w:rFonts w:asciiTheme="minorHAnsi" w:hAnsiTheme="minorHAnsi" w:cstheme="minorHAnsi"/>
          <w:lang w:val="tr-TR"/>
        </w:rPr>
        <w:t xml:space="preserve">la birlikte İstanbul’da da bir deprem beklendiğine dair haberlerin </w:t>
      </w:r>
      <w:r w:rsidRPr="00336E5B">
        <w:rPr>
          <w:rFonts w:asciiTheme="minorHAnsi" w:hAnsiTheme="minorHAnsi" w:cstheme="minorHAnsi"/>
          <w:lang w:val="tr-TR"/>
        </w:rPr>
        <w:t>dünya medyasında yer almasının ardından Türkiye’</w:t>
      </w:r>
      <w:r w:rsidR="003C10C2" w:rsidRPr="00336E5B">
        <w:rPr>
          <w:rFonts w:asciiTheme="minorHAnsi" w:hAnsiTheme="minorHAnsi" w:cstheme="minorHAnsi"/>
          <w:lang w:val="tr-TR"/>
        </w:rPr>
        <w:t xml:space="preserve">nin </w:t>
      </w:r>
      <w:r w:rsidRPr="00336E5B">
        <w:rPr>
          <w:rFonts w:asciiTheme="minorHAnsi" w:hAnsiTheme="minorHAnsi" w:cstheme="minorHAnsi"/>
          <w:lang w:val="tr-TR"/>
        </w:rPr>
        <w:t xml:space="preserve">turizm gelirlerinin </w:t>
      </w:r>
      <w:r w:rsidR="003C10C2" w:rsidRPr="00336E5B">
        <w:rPr>
          <w:rFonts w:asciiTheme="minorHAnsi" w:hAnsiTheme="minorHAnsi" w:cstheme="minorHAnsi"/>
          <w:lang w:val="tr-TR"/>
        </w:rPr>
        <w:t xml:space="preserve">olumsuz </w:t>
      </w:r>
      <w:r w:rsidRPr="00336E5B">
        <w:rPr>
          <w:rFonts w:asciiTheme="minorHAnsi" w:hAnsiTheme="minorHAnsi" w:cstheme="minorHAnsi"/>
          <w:lang w:val="tr-TR"/>
        </w:rPr>
        <w:t>etkilenmesi</w:t>
      </w:r>
      <w:r w:rsidR="003C10C2" w:rsidRPr="00336E5B">
        <w:rPr>
          <w:rFonts w:asciiTheme="minorHAnsi" w:hAnsiTheme="minorHAnsi" w:cstheme="minorHAnsi"/>
          <w:lang w:val="tr-TR"/>
        </w:rPr>
        <w:t xml:space="preserve"> kaçınılmazdır. Şu anda b</w:t>
      </w:r>
      <w:r w:rsidRPr="00336E5B">
        <w:rPr>
          <w:rFonts w:asciiTheme="minorHAnsi" w:hAnsiTheme="minorHAnsi" w:cstheme="minorHAnsi"/>
          <w:lang w:val="tr-TR"/>
        </w:rPr>
        <w:t>u etkinin </w:t>
      </w:r>
      <w:r w:rsidR="003C10C2" w:rsidRPr="00336E5B">
        <w:rPr>
          <w:rFonts w:asciiTheme="minorHAnsi" w:hAnsiTheme="minorHAnsi" w:cstheme="minorHAnsi"/>
          <w:lang w:val="tr-TR"/>
        </w:rPr>
        <w:t>sınırlı olacağını varsaymak gerçekçi bir yaklaşım olacaktır. Bu çerçevede</w:t>
      </w:r>
      <w:r w:rsidR="001E2BF8" w:rsidRPr="00336E5B">
        <w:rPr>
          <w:rFonts w:asciiTheme="minorHAnsi" w:hAnsiTheme="minorHAnsi" w:cstheme="minorHAnsi"/>
          <w:lang w:val="tr-TR"/>
        </w:rPr>
        <w:t>,</w:t>
      </w:r>
      <w:r w:rsidR="003C10C2" w:rsidRPr="00336E5B">
        <w:rPr>
          <w:rFonts w:asciiTheme="minorHAnsi" w:hAnsiTheme="minorHAnsi" w:cstheme="minorHAnsi"/>
          <w:lang w:val="tr-TR"/>
        </w:rPr>
        <w:t xml:space="preserve"> </w:t>
      </w:r>
      <w:r w:rsidRPr="00336E5B">
        <w:rPr>
          <w:rFonts w:asciiTheme="minorHAnsi" w:hAnsiTheme="minorHAnsi" w:cstheme="minorHAnsi"/>
          <w:lang w:val="tr-TR"/>
        </w:rPr>
        <w:t>şimdilik depremin turizm gelirlerini</w:t>
      </w:r>
      <w:r w:rsidR="009B6FDE">
        <w:rPr>
          <w:rFonts w:asciiTheme="minorHAnsi" w:hAnsiTheme="minorHAnsi" w:cstheme="minorHAnsi"/>
          <w:lang w:val="tr-TR"/>
        </w:rPr>
        <w:t xml:space="preserve"> yüzde</w:t>
      </w:r>
      <w:r w:rsidRPr="00336E5B">
        <w:rPr>
          <w:rFonts w:asciiTheme="minorHAnsi" w:hAnsiTheme="minorHAnsi" w:cstheme="minorHAnsi"/>
          <w:lang w:val="tr-TR"/>
        </w:rPr>
        <w:t xml:space="preserve"> ila </w:t>
      </w:r>
      <w:r w:rsidR="009B6FDE">
        <w:rPr>
          <w:rFonts w:asciiTheme="minorHAnsi" w:hAnsiTheme="minorHAnsi" w:cstheme="minorHAnsi"/>
          <w:lang w:val="tr-TR"/>
        </w:rPr>
        <w:t xml:space="preserve">yüzde </w:t>
      </w:r>
      <w:r w:rsidRPr="00336E5B">
        <w:rPr>
          <w:rFonts w:asciiTheme="minorHAnsi" w:hAnsiTheme="minorHAnsi" w:cstheme="minorHAnsi"/>
          <w:lang w:val="tr-TR"/>
        </w:rPr>
        <w:t>10 arasında düşürebileceği</w:t>
      </w:r>
      <w:r w:rsidR="001E2BF8" w:rsidRPr="00336E5B">
        <w:rPr>
          <w:rFonts w:asciiTheme="minorHAnsi" w:hAnsiTheme="minorHAnsi" w:cstheme="minorHAnsi"/>
          <w:lang w:val="tr-TR"/>
        </w:rPr>
        <w:t>ni</w:t>
      </w:r>
      <w:r w:rsidR="003C10C2" w:rsidRPr="00336E5B">
        <w:rPr>
          <w:rFonts w:asciiTheme="minorHAnsi" w:hAnsiTheme="minorHAnsi" w:cstheme="minorHAnsi"/>
          <w:lang w:val="tr-TR"/>
        </w:rPr>
        <w:t xml:space="preserve"> varsaymakla yetiniyoruz</w:t>
      </w:r>
      <w:r w:rsidRPr="00336E5B">
        <w:rPr>
          <w:rFonts w:asciiTheme="minorHAnsi" w:hAnsiTheme="minorHAnsi" w:cstheme="minorHAnsi"/>
          <w:lang w:val="tr-TR"/>
        </w:rPr>
        <w:t>. Geçen yıl</w:t>
      </w:r>
      <w:r w:rsidR="001E2BF8" w:rsidRPr="00336E5B">
        <w:rPr>
          <w:rFonts w:asciiTheme="minorHAnsi" w:hAnsiTheme="minorHAnsi" w:cstheme="minorHAnsi"/>
          <w:lang w:val="tr-TR"/>
        </w:rPr>
        <w:t>,</w:t>
      </w:r>
      <w:r w:rsidRPr="00336E5B">
        <w:rPr>
          <w:rFonts w:asciiTheme="minorHAnsi" w:hAnsiTheme="minorHAnsi" w:cstheme="minorHAnsi"/>
          <w:lang w:val="tr-TR"/>
        </w:rPr>
        <w:t xml:space="preserve"> turizm gelirlerinin 46 milyar dolar olduğunu </w:t>
      </w:r>
      <w:r w:rsidR="00AC0CD7" w:rsidRPr="00336E5B">
        <w:rPr>
          <w:rFonts w:asciiTheme="minorHAnsi" w:hAnsiTheme="minorHAnsi" w:cstheme="minorHAnsi"/>
          <w:lang w:val="tr-TR"/>
        </w:rPr>
        <w:t>dikkate al</w:t>
      </w:r>
      <w:r w:rsidR="001E2BF8" w:rsidRPr="00336E5B">
        <w:rPr>
          <w:rFonts w:asciiTheme="minorHAnsi" w:hAnsiTheme="minorHAnsi" w:cstheme="minorHAnsi"/>
          <w:lang w:val="tr-TR"/>
        </w:rPr>
        <w:t>ar</w:t>
      </w:r>
      <w:r w:rsidR="00AC0CD7" w:rsidRPr="00336E5B">
        <w:rPr>
          <w:rFonts w:asciiTheme="minorHAnsi" w:hAnsiTheme="minorHAnsi" w:cstheme="minorHAnsi"/>
          <w:lang w:val="tr-TR"/>
        </w:rPr>
        <w:t>ak</w:t>
      </w:r>
      <w:r w:rsidR="003C10C2" w:rsidRPr="00336E5B">
        <w:rPr>
          <w:rFonts w:asciiTheme="minorHAnsi" w:hAnsiTheme="minorHAnsi" w:cstheme="minorHAnsi"/>
          <w:lang w:val="tr-TR"/>
        </w:rPr>
        <w:t xml:space="preserve">, depremin 2023’te </w:t>
      </w:r>
      <w:r w:rsidR="00AC0CD7" w:rsidRPr="00336E5B">
        <w:rPr>
          <w:rFonts w:asciiTheme="minorHAnsi" w:hAnsiTheme="minorHAnsi" w:cstheme="minorHAnsi"/>
          <w:lang w:val="tr-TR"/>
        </w:rPr>
        <w:t xml:space="preserve">turizm gelirlerinde 2,3 ila 4,6 milyar dolar arasında bir düşüş </w:t>
      </w:r>
      <w:r w:rsidR="003C10C2" w:rsidRPr="00336E5B">
        <w:rPr>
          <w:rFonts w:asciiTheme="minorHAnsi" w:hAnsiTheme="minorHAnsi" w:cstheme="minorHAnsi"/>
          <w:lang w:val="tr-TR"/>
        </w:rPr>
        <w:t xml:space="preserve">yaratmasını </w:t>
      </w:r>
      <w:r w:rsidR="00AC0CD7" w:rsidRPr="00336E5B">
        <w:rPr>
          <w:rFonts w:asciiTheme="minorHAnsi" w:hAnsiTheme="minorHAnsi" w:cstheme="minorHAnsi"/>
          <w:lang w:val="tr-TR"/>
        </w:rPr>
        <w:t>bekl</w:t>
      </w:r>
      <w:r w:rsidR="003C10C2" w:rsidRPr="00336E5B">
        <w:rPr>
          <w:rFonts w:asciiTheme="minorHAnsi" w:hAnsiTheme="minorHAnsi" w:cstheme="minorHAnsi"/>
          <w:lang w:val="tr-TR"/>
        </w:rPr>
        <w:t>iyoruz</w:t>
      </w:r>
      <w:r w:rsidR="00AC0CD7" w:rsidRPr="00336E5B">
        <w:rPr>
          <w:rFonts w:asciiTheme="minorHAnsi" w:hAnsiTheme="minorHAnsi" w:cstheme="minorHAnsi"/>
          <w:lang w:val="tr-TR"/>
        </w:rPr>
        <w:t>.</w:t>
      </w:r>
    </w:p>
    <w:p w14:paraId="6C36D383" w14:textId="77777777" w:rsidR="004C6167" w:rsidRDefault="00524942" w:rsidP="004C6167">
      <w:pPr>
        <w:spacing w:after="120"/>
        <w:rPr>
          <w:rFonts w:ascii="Calibri" w:hAnsi="Calibri" w:cs="Calibri"/>
          <w:b/>
          <w:bCs/>
          <w:color w:val="222222"/>
          <w:lang w:val="tr-TR" w:eastAsia="tr-TR"/>
        </w:rPr>
      </w:pPr>
      <w:r w:rsidRPr="00336E5B">
        <w:rPr>
          <w:rFonts w:asciiTheme="minorHAnsi" w:hAnsiTheme="minorHAnsi" w:cstheme="minorHAnsi"/>
          <w:lang w:val="tr-TR"/>
        </w:rPr>
        <w:t>Depremin dolaylı etkisi olarak acil kurtarma, enkaz kaldırma, çadır ve konteyner kentler kurma gibi birçok ek faaliyetin masraflarının</w:t>
      </w:r>
      <w:r w:rsidR="001E2BF8" w:rsidRPr="00336E5B">
        <w:rPr>
          <w:rFonts w:asciiTheme="minorHAnsi" w:hAnsiTheme="minorHAnsi" w:cstheme="minorHAnsi"/>
          <w:lang w:val="tr-TR"/>
        </w:rPr>
        <w:t>,</w:t>
      </w:r>
      <w:r w:rsidRPr="00336E5B">
        <w:rPr>
          <w:rFonts w:asciiTheme="minorHAnsi" w:hAnsiTheme="minorHAnsi" w:cstheme="minorHAnsi"/>
          <w:lang w:val="tr-TR"/>
        </w:rPr>
        <w:t xml:space="preserve"> bağışlar tarafından karşılanan</w:t>
      </w:r>
      <w:r w:rsidR="001E2BF8" w:rsidRPr="00336E5B">
        <w:rPr>
          <w:rFonts w:asciiTheme="minorHAnsi" w:hAnsiTheme="minorHAnsi" w:cstheme="minorHAnsi"/>
          <w:lang w:val="tr-TR"/>
        </w:rPr>
        <w:t>lar</w:t>
      </w:r>
      <w:r w:rsidRPr="00336E5B">
        <w:rPr>
          <w:rFonts w:asciiTheme="minorHAnsi" w:hAnsiTheme="minorHAnsi" w:cstheme="minorHAnsi"/>
          <w:lang w:val="tr-TR"/>
        </w:rPr>
        <w:t xml:space="preserve"> dışındaki bölümünün de en az </w:t>
      </w:r>
      <w:r w:rsidR="00B90EC0" w:rsidRPr="00336E5B">
        <w:rPr>
          <w:rFonts w:asciiTheme="minorHAnsi" w:hAnsiTheme="minorHAnsi" w:cstheme="minorHAnsi"/>
          <w:lang w:val="tr-TR"/>
        </w:rPr>
        <w:t>1</w:t>
      </w:r>
      <w:r w:rsidR="003413F3" w:rsidRPr="00336E5B">
        <w:rPr>
          <w:rFonts w:asciiTheme="minorHAnsi" w:hAnsiTheme="minorHAnsi" w:cstheme="minorHAnsi"/>
          <w:lang w:val="tr-TR"/>
        </w:rPr>
        <w:t>,5</w:t>
      </w:r>
      <w:r w:rsidRPr="00336E5B">
        <w:rPr>
          <w:rFonts w:asciiTheme="minorHAnsi" w:hAnsiTheme="minorHAnsi" w:cstheme="minorHAnsi"/>
          <w:lang w:val="tr-TR"/>
        </w:rPr>
        <w:t xml:space="preserve"> en çok da </w:t>
      </w:r>
      <w:r w:rsidR="00B90EC0" w:rsidRPr="00336E5B">
        <w:rPr>
          <w:rFonts w:asciiTheme="minorHAnsi" w:hAnsiTheme="minorHAnsi" w:cstheme="minorHAnsi"/>
          <w:lang w:val="tr-TR"/>
        </w:rPr>
        <w:t>2</w:t>
      </w:r>
      <w:r w:rsidR="008B0ADC" w:rsidRPr="00336E5B">
        <w:rPr>
          <w:rFonts w:asciiTheme="minorHAnsi" w:hAnsiTheme="minorHAnsi" w:cstheme="minorHAnsi"/>
          <w:lang w:val="tr-TR"/>
        </w:rPr>
        <w:t>,</w:t>
      </w:r>
      <w:r w:rsidR="00B90EC0" w:rsidRPr="00336E5B">
        <w:rPr>
          <w:rFonts w:asciiTheme="minorHAnsi" w:hAnsiTheme="minorHAnsi" w:cstheme="minorHAnsi"/>
          <w:lang w:val="tr-TR"/>
        </w:rPr>
        <w:t>0</w:t>
      </w:r>
      <w:r w:rsidRPr="00336E5B">
        <w:rPr>
          <w:rFonts w:asciiTheme="minorHAnsi" w:hAnsiTheme="minorHAnsi" w:cstheme="minorHAnsi"/>
          <w:lang w:val="tr-TR"/>
        </w:rPr>
        <w:t xml:space="preserve"> milyar dolar olacağını düşünüyoruz. </w:t>
      </w:r>
    </w:p>
    <w:p w14:paraId="30073882" w14:textId="137AE1D8" w:rsidR="004C6167" w:rsidRPr="004C6167" w:rsidRDefault="00964FB0" w:rsidP="004C6167">
      <w:pPr>
        <w:spacing w:after="120"/>
        <w:rPr>
          <w:rFonts w:ascii="Calibri" w:hAnsi="Calibri" w:cs="Calibri"/>
          <w:b/>
          <w:bCs/>
          <w:color w:val="222222"/>
          <w:lang w:val="tr-TR" w:eastAsia="tr-TR"/>
        </w:rPr>
      </w:pPr>
      <w:r w:rsidRPr="00336E5B">
        <w:rPr>
          <w:rFonts w:asciiTheme="minorHAnsi" w:hAnsiTheme="minorHAnsi" w:cstheme="minorHAnsi"/>
          <w:b/>
          <w:bCs/>
          <w:lang w:val="tr-TR"/>
        </w:rPr>
        <w:t>Bütün bu kalemleri alt alta koyup topladığımızda Türkiye ekonomisinin Kahramanmaraş deprem</w:t>
      </w:r>
      <w:r w:rsidR="00B64304" w:rsidRPr="00336E5B">
        <w:rPr>
          <w:rFonts w:asciiTheme="minorHAnsi" w:hAnsiTheme="minorHAnsi" w:cstheme="minorHAnsi"/>
          <w:b/>
          <w:bCs/>
          <w:lang w:val="tr-TR"/>
        </w:rPr>
        <w:t>ler</w:t>
      </w:r>
      <w:r w:rsidRPr="00336E5B">
        <w:rPr>
          <w:rFonts w:asciiTheme="minorHAnsi" w:hAnsiTheme="minorHAnsi" w:cstheme="minorHAnsi"/>
          <w:b/>
          <w:bCs/>
          <w:lang w:val="tr-TR"/>
        </w:rPr>
        <w:t>inin yıkıcı etkisi</w:t>
      </w:r>
      <w:r w:rsidR="00B24657" w:rsidRPr="00336E5B">
        <w:rPr>
          <w:rFonts w:asciiTheme="minorHAnsi" w:hAnsiTheme="minorHAnsi" w:cstheme="minorHAnsi"/>
          <w:b/>
          <w:bCs/>
          <w:lang w:val="tr-TR"/>
        </w:rPr>
        <w:t xml:space="preserve"> sonucunda </w:t>
      </w:r>
      <w:r w:rsidRPr="00336E5B">
        <w:rPr>
          <w:rFonts w:asciiTheme="minorHAnsi" w:hAnsiTheme="minorHAnsi" w:cstheme="minorHAnsi"/>
          <w:b/>
          <w:bCs/>
          <w:lang w:val="tr-TR"/>
        </w:rPr>
        <w:t xml:space="preserve">karşı karşıya kaldığı kaybın </w:t>
      </w:r>
      <w:r w:rsidR="00095100" w:rsidRPr="00336E5B">
        <w:rPr>
          <w:rFonts w:asciiTheme="minorHAnsi" w:hAnsiTheme="minorHAnsi" w:cstheme="minorHAnsi"/>
          <w:b/>
          <w:bCs/>
          <w:lang w:val="tr-TR"/>
        </w:rPr>
        <w:t>77</w:t>
      </w:r>
      <w:r w:rsidR="00E033D1" w:rsidRPr="00336E5B">
        <w:rPr>
          <w:rFonts w:asciiTheme="minorHAnsi" w:hAnsiTheme="minorHAnsi" w:cstheme="minorHAnsi"/>
          <w:b/>
          <w:bCs/>
          <w:lang w:val="tr-TR"/>
        </w:rPr>
        <w:t>,</w:t>
      </w:r>
      <w:r w:rsidR="00095100" w:rsidRPr="00336E5B">
        <w:rPr>
          <w:rFonts w:asciiTheme="minorHAnsi" w:hAnsiTheme="minorHAnsi" w:cstheme="minorHAnsi"/>
          <w:b/>
          <w:bCs/>
          <w:lang w:val="tr-TR"/>
        </w:rPr>
        <w:t>4</w:t>
      </w:r>
      <w:r w:rsidRPr="00336E5B">
        <w:rPr>
          <w:rFonts w:asciiTheme="minorHAnsi" w:hAnsiTheme="minorHAnsi" w:cstheme="minorHAnsi"/>
          <w:b/>
          <w:bCs/>
          <w:lang w:val="tr-TR"/>
        </w:rPr>
        <w:t xml:space="preserve"> ile </w:t>
      </w:r>
      <w:r w:rsidR="00B24657" w:rsidRPr="00336E5B">
        <w:rPr>
          <w:rFonts w:asciiTheme="minorHAnsi" w:hAnsiTheme="minorHAnsi" w:cstheme="minorHAnsi"/>
          <w:b/>
          <w:bCs/>
          <w:lang w:val="tr-TR"/>
        </w:rPr>
        <w:t>1</w:t>
      </w:r>
      <w:r w:rsidR="00095100" w:rsidRPr="00336E5B">
        <w:rPr>
          <w:rFonts w:asciiTheme="minorHAnsi" w:hAnsiTheme="minorHAnsi" w:cstheme="minorHAnsi"/>
          <w:b/>
          <w:bCs/>
          <w:lang w:val="tr-TR"/>
        </w:rPr>
        <w:t>04</w:t>
      </w:r>
      <w:r w:rsidR="007A1C70" w:rsidRPr="00336E5B">
        <w:rPr>
          <w:rFonts w:asciiTheme="minorHAnsi" w:hAnsiTheme="minorHAnsi" w:cstheme="minorHAnsi"/>
          <w:b/>
          <w:bCs/>
          <w:lang w:val="tr-TR"/>
        </w:rPr>
        <w:t>,</w:t>
      </w:r>
      <w:r w:rsidR="00095100" w:rsidRPr="00336E5B">
        <w:rPr>
          <w:rFonts w:asciiTheme="minorHAnsi" w:hAnsiTheme="minorHAnsi" w:cstheme="minorHAnsi"/>
          <w:b/>
          <w:bCs/>
          <w:lang w:val="tr-TR"/>
        </w:rPr>
        <w:t>8</w:t>
      </w:r>
      <w:r w:rsidR="00E033D1" w:rsidRPr="00336E5B">
        <w:rPr>
          <w:rFonts w:asciiTheme="minorHAnsi" w:hAnsiTheme="minorHAnsi" w:cstheme="minorHAnsi"/>
          <w:b/>
          <w:bCs/>
          <w:lang w:val="tr-TR"/>
        </w:rPr>
        <w:t xml:space="preserve"> </w:t>
      </w:r>
      <w:r w:rsidRPr="00336E5B">
        <w:rPr>
          <w:rFonts w:asciiTheme="minorHAnsi" w:hAnsiTheme="minorHAnsi" w:cstheme="minorHAnsi"/>
          <w:b/>
          <w:bCs/>
          <w:lang w:val="tr-TR"/>
        </w:rPr>
        <w:t xml:space="preserve">milyar dolar (ulusal GSYH’nin </w:t>
      </w:r>
      <w:r w:rsidR="009B6FDE">
        <w:rPr>
          <w:rFonts w:asciiTheme="minorHAnsi" w:hAnsiTheme="minorHAnsi" w:cstheme="minorHAnsi"/>
          <w:b/>
          <w:bCs/>
          <w:lang w:val="tr-TR"/>
        </w:rPr>
        <w:t xml:space="preserve">yüzde </w:t>
      </w:r>
      <w:r w:rsidR="00E033D1" w:rsidRPr="00336E5B">
        <w:rPr>
          <w:rFonts w:asciiTheme="minorHAnsi" w:hAnsiTheme="minorHAnsi" w:cstheme="minorHAnsi"/>
          <w:b/>
          <w:bCs/>
          <w:lang w:val="tr-TR"/>
        </w:rPr>
        <w:t>8</w:t>
      </w:r>
      <w:r w:rsidR="007A1C70" w:rsidRPr="00336E5B">
        <w:rPr>
          <w:rFonts w:asciiTheme="minorHAnsi" w:hAnsiTheme="minorHAnsi" w:cstheme="minorHAnsi"/>
          <w:b/>
          <w:bCs/>
          <w:lang w:val="tr-TR"/>
        </w:rPr>
        <w:t>,</w:t>
      </w:r>
      <w:r w:rsidR="00095100" w:rsidRPr="00336E5B">
        <w:rPr>
          <w:rFonts w:asciiTheme="minorHAnsi" w:hAnsiTheme="minorHAnsi" w:cstheme="minorHAnsi"/>
          <w:b/>
          <w:bCs/>
          <w:lang w:val="tr-TR"/>
        </w:rPr>
        <w:t>6</w:t>
      </w:r>
      <w:r w:rsidRPr="00336E5B">
        <w:rPr>
          <w:rFonts w:asciiTheme="minorHAnsi" w:hAnsiTheme="minorHAnsi" w:cstheme="minorHAnsi"/>
          <w:b/>
          <w:bCs/>
          <w:lang w:val="tr-TR"/>
        </w:rPr>
        <w:t xml:space="preserve"> ile </w:t>
      </w:r>
      <w:r w:rsidR="009B6FDE">
        <w:rPr>
          <w:rFonts w:asciiTheme="minorHAnsi" w:hAnsiTheme="minorHAnsi" w:cstheme="minorHAnsi"/>
          <w:b/>
          <w:bCs/>
          <w:lang w:val="tr-TR"/>
        </w:rPr>
        <w:t xml:space="preserve">yüzde </w:t>
      </w:r>
      <w:r w:rsidRPr="00336E5B">
        <w:rPr>
          <w:rFonts w:asciiTheme="minorHAnsi" w:hAnsiTheme="minorHAnsi" w:cstheme="minorHAnsi"/>
          <w:b/>
          <w:bCs/>
          <w:lang w:val="tr-TR"/>
        </w:rPr>
        <w:t>1</w:t>
      </w:r>
      <w:r w:rsidR="00095100" w:rsidRPr="00336E5B">
        <w:rPr>
          <w:rFonts w:asciiTheme="minorHAnsi" w:hAnsiTheme="minorHAnsi" w:cstheme="minorHAnsi"/>
          <w:b/>
          <w:bCs/>
          <w:lang w:val="tr-TR"/>
        </w:rPr>
        <w:t>1</w:t>
      </w:r>
      <w:r w:rsidR="007A1C70" w:rsidRPr="00336E5B">
        <w:rPr>
          <w:rFonts w:asciiTheme="minorHAnsi" w:hAnsiTheme="minorHAnsi" w:cstheme="minorHAnsi"/>
          <w:b/>
          <w:bCs/>
          <w:lang w:val="tr-TR"/>
        </w:rPr>
        <w:t>,</w:t>
      </w:r>
      <w:r w:rsidR="00095100" w:rsidRPr="00336E5B">
        <w:rPr>
          <w:rFonts w:asciiTheme="minorHAnsi" w:hAnsiTheme="minorHAnsi" w:cstheme="minorHAnsi"/>
          <w:b/>
          <w:bCs/>
          <w:lang w:val="tr-TR"/>
        </w:rPr>
        <w:t>6</w:t>
      </w:r>
      <w:r w:rsidRPr="00336E5B">
        <w:rPr>
          <w:rFonts w:asciiTheme="minorHAnsi" w:hAnsiTheme="minorHAnsi" w:cstheme="minorHAnsi"/>
          <w:b/>
          <w:bCs/>
          <w:lang w:val="tr-TR"/>
        </w:rPr>
        <w:t>’</w:t>
      </w:r>
      <w:r w:rsidR="00664E65" w:rsidRPr="00336E5B">
        <w:rPr>
          <w:rFonts w:asciiTheme="minorHAnsi" w:hAnsiTheme="minorHAnsi" w:cstheme="minorHAnsi"/>
          <w:b/>
          <w:bCs/>
          <w:lang w:val="tr-TR"/>
        </w:rPr>
        <w:t>s</w:t>
      </w:r>
      <w:r w:rsidR="00095100" w:rsidRPr="00336E5B">
        <w:rPr>
          <w:rFonts w:asciiTheme="minorHAnsi" w:hAnsiTheme="minorHAnsi" w:cstheme="minorHAnsi"/>
          <w:b/>
          <w:bCs/>
          <w:lang w:val="tr-TR"/>
        </w:rPr>
        <w:t>ı</w:t>
      </w:r>
      <w:r w:rsidRPr="00336E5B">
        <w:rPr>
          <w:rFonts w:asciiTheme="minorHAnsi" w:hAnsiTheme="minorHAnsi" w:cstheme="minorHAnsi"/>
          <w:b/>
          <w:bCs/>
          <w:lang w:val="tr-TR"/>
        </w:rPr>
        <w:t xml:space="preserve"> arasında </w:t>
      </w:r>
      <w:r w:rsidR="00B24657" w:rsidRPr="00336E5B">
        <w:rPr>
          <w:rFonts w:asciiTheme="minorHAnsi" w:hAnsiTheme="minorHAnsi" w:cstheme="minorHAnsi"/>
          <w:b/>
          <w:bCs/>
          <w:lang w:val="tr-TR"/>
        </w:rPr>
        <w:t>(ortalama 9</w:t>
      </w:r>
      <w:r w:rsidR="00E84C02" w:rsidRPr="00336E5B">
        <w:rPr>
          <w:rFonts w:asciiTheme="minorHAnsi" w:hAnsiTheme="minorHAnsi" w:cstheme="minorHAnsi"/>
          <w:b/>
          <w:bCs/>
          <w:lang w:val="tr-TR"/>
        </w:rPr>
        <w:t>1</w:t>
      </w:r>
      <w:r w:rsidR="00B24657" w:rsidRPr="00336E5B">
        <w:rPr>
          <w:rFonts w:asciiTheme="minorHAnsi" w:hAnsiTheme="minorHAnsi" w:cstheme="minorHAnsi"/>
          <w:b/>
          <w:bCs/>
          <w:lang w:val="tr-TR"/>
        </w:rPr>
        <w:t xml:space="preserve"> milyar dolar, GSYH’ye oranı </w:t>
      </w:r>
      <w:r w:rsidR="00F05AC2">
        <w:rPr>
          <w:rFonts w:asciiTheme="minorHAnsi" w:hAnsiTheme="minorHAnsi" w:cstheme="minorHAnsi"/>
          <w:b/>
          <w:bCs/>
          <w:lang w:val="tr-TR"/>
        </w:rPr>
        <w:t xml:space="preserve">yüzde </w:t>
      </w:r>
      <w:r w:rsidR="00B24657" w:rsidRPr="00336E5B">
        <w:rPr>
          <w:rFonts w:asciiTheme="minorHAnsi" w:hAnsiTheme="minorHAnsi" w:cstheme="minorHAnsi"/>
          <w:b/>
          <w:bCs/>
          <w:lang w:val="tr-TR"/>
        </w:rPr>
        <w:t>10,</w:t>
      </w:r>
      <w:r w:rsidR="00E84C02" w:rsidRPr="00336E5B">
        <w:rPr>
          <w:rFonts w:asciiTheme="minorHAnsi" w:hAnsiTheme="minorHAnsi" w:cstheme="minorHAnsi"/>
          <w:b/>
          <w:bCs/>
          <w:lang w:val="tr-TR"/>
        </w:rPr>
        <w:t>1</w:t>
      </w:r>
      <w:r w:rsidR="00B24657" w:rsidRPr="00336E5B">
        <w:rPr>
          <w:rFonts w:asciiTheme="minorHAnsi" w:hAnsiTheme="minorHAnsi" w:cstheme="minorHAnsi"/>
          <w:b/>
          <w:bCs/>
          <w:lang w:val="tr-TR"/>
        </w:rPr>
        <w:t xml:space="preserve">) </w:t>
      </w:r>
      <w:r w:rsidR="00EE6B94" w:rsidRPr="00336E5B">
        <w:rPr>
          <w:rFonts w:asciiTheme="minorHAnsi" w:hAnsiTheme="minorHAnsi" w:cstheme="minorHAnsi"/>
          <w:b/>
          <w:bCs/>
          <w:lang w:val="tr-TR"/>
        </w:rPr>
        <w:t>gerçekleşece</w:t>
      </w:r>
      <w:r w:rsidRPr="00336E5B">
        <w:rPr>
          <w:rFonts w:asciiTheme="minorHAnsi" w:hAnsiTheme="minorHAnsi" w:cstheme="minorHAnsi"/>
          <w:b/>
          <w:bCs/>
          <w:lang w:val="tr-TR"/>
        </w:rPr>
        <w:t>ğini tahmin ediyoruz.</w:t>
      </w:r>
    </w:p>
    <w:p w14:paraId="288469D5" w14:textId="78468DFE" w:rsidR="00693196" w:rsidRDefault="005D1BC6" w:rsidP="005D620F">
      <w:pPr>
        <w:spacing w:after="390"/>
        <w:rPr>
          <w:rFonts w:asciiTheme="minorHAnsi" w:hAnsiTheme="minorHAnsi" w:cstheme="minorHAnsi"/>
          <w:b/>
          <w:bCs/>
          <w:lang w:val="tr-TR"/>
        </w:rPr>
      </w:pPr>
      <w:r w:rsidRPr="00336E5B">
        <w:rPr>
          <w:rFonts w:asciiTheme="minorHAnsi" w:hAnsiTheme="minorHAnsi" w:cstheme="minorHAnsi"/>
          <w:lang w:val="tr-TR"/>
        </w:rPr>
        <w:lastRenderedPageBreak/>
        <w:t>B</w:t>
      </w:r>
      <w:r w:rsidR="00C87E8A" w:rsidRPr="00336E5B">
        <w:rPr>
          <w:rFonts w:asciiTheme="minorHAnsi" w:hAnsiTheme="minorHAnsi" w:cstheme="minorHAnsi"/>
          <w:lang w:val="tr-TR"/>
        </w:rPr>
        <w:t xml:space="preserve">ölgedeki yeniden inşaat, </w:t>
      </w:r>
      <w:r w:rsidRPr="00336E5B">
        <w:rPr>
          <w:rFonts w:asciiTheme="minorHAnsi" w:hAnsiTheme="minorHAnsi" w:cstheme="minorHAnsi"/>
          <w:lang w:val="tr-TR"/>
        </w:rPr>
        <w:t>güçlendirme</w:t>
      </w:r>
      <w:r w:rsidR="009B6FDE">
        <w:rPr>
          <w:rFonts w:asciiTheme="minorHAnsi" w:hAnsiTheme="minorHAnsi" w:cstheme="minorHAnsi"/>
          <w:lang w:val="tr-TR"/>
        </w:rPr>
        <w:t>,</w:t>
      </w:r>
      <w:r w:rsidRPr="00336E5B">
        <w:rPr>
          <w:rFonts w:asciiTheme="minorHAnsi" w:hAnsiTheme="minorHAnsi" w:cstheme="minorHAnsi"/>
          <w:lang w:val="tr-TR"/>
        </w:rPr>
        <w:t xml:space="preserve"> </w:t>
      </w:r>
      <w:r w:rsidR="00C87E8A" w:rsidRPr="00336E5B">
        <w:rPr>
          <w:rFonts w:asciiTheme="minorHAnsi" w:hAnsiTheme="minorHAnsi" w:cstheme="minorHAnsi"/>
          <w:lang w:val="tr-TR"/>
        </w:rPr>
        <w:t>tamirat, altyapı ve üretken sermaye yatırımları</w:t>
      </w:r>
      <w:r w:rsidRPr="00336E5B">
        <w:rPr>
          <w:rFonts w:asciiTheme="minorHAnsi" w:hAnsiTheme="minorHAnsi" w:cstheme="minorHAnsi"/>
          <w:lang w:val="tr-TR"/>
        </w:rPr>
        <w:t>nda kullanılacak</w:t>
      </w:r>
      <w:r w:rsidR="00C87E8A" w:rsidRPr="00336E5B">
        <w:rPr>
          <w:rFonts w:asciiTheme="minorHAnsi" w:hAnsiTheme="minorHAnsi" w:cstheme="minorHAnsi"/>
          <w:lang w:val="tr-TR"/>
        </w:rPr>
        <w:t xml:space="preserve"> </w:t>
      </w:r>
      <w:r w:rsidRPr="00336E5B">
        <w:rPr>
          <w:rFonts w:asciiTheme="minorHAnsi" w:hAnsiTheme="minorHAnsi" w:cstheme="minorHAnsi"/>
          <w:lang w:val="tr-TR"/>
        </w:rPr>
        <w:t>doğrudan malzeme ve ara malı ithalatı</w:t>
      </w:r>
      <w:r w:rsidR="00EE6B94" w:rsidRPr="00336E5B">
        <w:rPr>
          <w:rFonts w:asciiTheme="minorHAnsi" w:hAnsiTheme="minorHAnsi" w:cstheme="minorHAnsi"/>
          <w:lang w:val="tr-TR"/>
        </w:rPr>
        <w:t>nın</w:t>
      </w:r>
      <w:r w:rsidR="001E2BF8" w:rsidRPr="00336E5B">
        <w:rPr>
          <w:rFonts w:asciiTheme="minorHAnsi" w:hAnsiTheme="minorHAnsi" w:cstheme="minorHAnsi"/>
          <w:lang w:val="tr-TR"/>
        </w:rPr>
        <w:t>,</w:t>
      </w:r>
      <w:r w:rsidRPr="00336E5B">
        <w:rPr>
          <w:rFonts w:asciiTheme="minorHAnsi" w:hAnsiTheme="minorHAnsi" w:cstheme="minorHAnsi"/>
          <w:lang w:val="tr-TR"/>
        </w:rPr>
        <w:t xml:space="preserve"> toplam </w:t>
      </w:r>
      <w:r w:rsidR="00EE6B94" w:rsidRPr="00336E5B">
        <w:rPr>
          <w:rFonts w:asciiTheme="minorHAnsi" w:hAnsiTheme="minorHAnsi" w:cstheme="minorHAnsi"/>
          <w:lang w:val="tr-TR"/>
        </w:rPr>
        <w:t xml:space="preserve">inşaat </w:t>
      </w:r>
      <w:r w:rsidRPr="00336E5B">
        <w:rPr>
          <w:rFonts w:asciiTheme="minorHAnsi" w:hAnsiTheme="minorHAnsi" w:cstheme="minorHAnsi"/>
          <w:lang w:val="tr-TR"/>
        </w:rPr>
        <w:t>harcama</w:t>
      </w:r>
      <w:r w:rsidR="00EE6B94" w:rsidRPr="00336E5B">
        <w:rPr>
          <w:rFonts w:asciiTheme="minorHAnsi" w:hAnsiTheme="minorHAnsi" w:cstheme="minorHAnsi"/>
          <w:lang w:val="tr-TR"/>
        </w:rPr>
        <w:t>ları</w:t>
      </w:r>
      <w:r w:rsidRPr="00336E5B">
        <w:rPr>
          <w:rFonts w:asciiTheme="minorHAnsi" w:hAnsiTheme="minorHAnsi" w:cstheme="minorHAnsi"/>
          <w:lang w:val="tr-TR"/>
        </w:rPr>
        <w:t xml:space="preserve">nın </w:t>
      </w:r>
      <w:r w:rsidR="009B6FDE">
        <w:rPr>
          <w:rFonts w:asciiTheme="minorHAnsi" w:hAnsiTheme="minorHAnsi" w:cstheme="minorHAnsi"/>
          <w:lang w:val="tr-TR"/>
        </w:rPr>
        <w:t xml:space="preserve">yüzde </w:t>
      </w:r>
      <w:r w:rsidRPr="00336E5B">
        <w:rPr>
          <w:rFonts w:asciiTheme="minorHAnsi" w:hAnsiTheme="minorHAnsi" w:cstheme="minorHAnsi"/>
          <w:lang w:val="tr-TR"/>
        </w:rPr>
        <w:t>20’si oranında</w:t>
      </w:r>
      <w:r w:rsidR="001E2BF8" w:rsidRPr="00336E5B">
        <w:rPr>
          <w:rFonts w:asciiTheme="minorHAnsi" w:hAnsiTheme="minorHAnsi" w:cstheme="minorHAnsi"/>
          <w:lang w:val="tr-TR"/>
        </w:rPr>
        <w:t>,</w:t>
      </w:r>
      <w:r w:rsidRPr="00336E5B">
        <w:rPr>
          <w:rFonts w:asciiTheme="minorHAnsi" w:hAnsiTheme="minorHAnsi" w:cstheme="minorHAnsi"/>
          <w:lang w:val="tr-TR"/>
        </w:rPr>
        <w:t xml:space="preserve"> </w:t>
      </w:r>
      <w:r w:rsidR="009F7E1D" w:rsidRPr="00336E5B">
        <w:rPr>
          <w:rFonts w:asciiTheme="minorHAnsi" w:hAnsiTheme="minorHAnsi" w:cstheme="minorHAnsi"/>
          <w:lang w:val="tr-TR"/>
        </w:rPr>
        <w:t>1</w:t>
      </w:r>
      <w:r w:rsidR="00E84C02" w:rsidRPr="00336E5B">
        <w:rPr>
          <w:rFonts w:asciiTheme="minorHAnsi" w:hAnsiTheme="minorHAnsi" w:cstheme="minorHAnsi"/>
          <w:lang w:val="tr-TR"/>
        </w:rPr>
        <w:t>2</w:t>
      </w:r>
      <w:r w:rsidR="00EE6B94" w:rsidRPr="00336E5B">
        <w:rPr>
          <w:rFonts w:asciiTheme="minorHAnsi" w:hAnsiTheme="minorHAnsi" w:cstheme="minorHAnsi"/>
          <w:lang w:val="tr-TR"/>
        </w:rPr>
        <w:t>,</w:t>
      </w:r>
      <w:r w:rsidR="00E84C02" w:rsidRPr="00336E5B">
        <w:rPr>
          <w:rFonts w:asciiTheme="minorHAnsi" w:hAnsiTheme="minorHAnsi" w:cstheme="minorHAnsi"/>
          <w:lang w:val="tr-TR"/>
        </w:rPr>
        <w:t>4</w:t>
      </w:r>
      <w:r w:rsidR="009F7E1D" w:rsidRPr="00336E5B">
        <w:rPr>
          <w:rFonts w:asciiTheme="minorHAnsi" w:hAnsiTheme="minorHAnsi" w:cstheme="minorHAnsi"/>
          <w:lang w:val="tr-TR"/>
        </w:rPr>
        <w:t xml:space="preserve"> ile </w:t>
      </w:r>
      <w:r w:rsidR="00EE6B94" w:rsidRPr="00336E5B">
        <w:rPr>
          <w:rFonts w:asciiTheme="minorHAnsi" w:hAnsiTheme="minorHAnsi" w:cstheme="minorHAnsi"/>
          <w:lang w:val="tr-TR"/>
        </w:rPr>
        <w:t>1</w:t>
      </w:r>
      <w:r w:rsidR="00E84C02" w:rsidRPr="00336E5B">
        <w:rPr>
          <w:rFonts w:asciiTheme="minorHAnsi" w:hAnsiTheme="minorHAnsi" w:cstheme="minorHAnsi"/>
          <w:lang w:val="tr-TR"/>
        </w:rPr>
        <w:t>5,9</w:t>
      </w:r>
      <w:r w:rsidR="009F7E1D" w:rsidRPr="00336E5B">
        <w:rPr>
          <w:rFonts w:asciiTheme="minorHAnsi" w:hAnsiTheme="minorHAnsi" w:cstheme="minorHAnsi"/>
          <w:lang w:val="tr-TR"/>
        </w:rPr>
        <w:t xml:space="preserve"> milyar dolar arasında </w:t>
      </w:r>
      <w:r w:rsidRPr="00336E5B">
        <w:rPr>
          <w:rFonts w:asciiTheme="minorHAnsi" w:hAnsiTheme="minorHAnsi" w:cstheme="minorHAnsi"/>
          <w:lang w:val="tr-TR"/>
        </w:rPr>
        <w:t xml:space="preserve">olacağını </w:t>
      </w:r>
      <w:r w:rsidR="009F7E1D" w:rsidRPr="00336E5B">
        <w:rPr>
          <w:rFonts w:asciiTheme="minorHAnsi" w:hAnsiTheme="minorHAnsi" w:cstheme="minorHAnsi"/>
          <w:lang w:val="tr-TR"/>
        </w:rPr>
        <w:t>tahmin ediyoruz</w:t>
      </w:r>
      <w:r w:rsidRPr="00336E5B">
        <w:rPr>
          <w:rFonts w:asciiTheme="minorHAnsi" w:hAnsiTheme="minorHAnsi" w:cstheme="minorHAnsi"/>
          <w:lang w:val="tr-TR"/>
        </w:rPr>
        <w:t xml:space="preserve">. </w:t>
      </w:r>
      <w:r w:rsidR="00E84C02" w:rsidRPr="00336E5B">
        <w:rPr>
          <w:rStyle w:val="DipnotBavurusu"/>
          <w:rFonts w:asciiTheme="minorHAnsi" w:hAnsiTheme="minorHAnsi" w:cstheme="minorHAnsi"/>
          <w:lang w:val="tr-TR"/>
        </w:rPr>
        <w:footnoteReference w:id="6"/>
      </w:r>
    </w:p>
    <w:p w14:paraId="1895E2A8" w14:textId="77777777" w:rsidR="006141E8" w:rsidRDefault="006141E8" w:rsidP="00C87E8A">
      <w:pPr>
        <w:spacing w:after="120"/>
        <w:rPr>
          <w:rFonts w:asciiTheme="minorHAnsi" w:hAnsiTheme="minorHAnsi" w:cstheme="minorHAnsi"/>
          <w:b/>
          <w:bCs/>
          <w:lang w:val="tr-TR"/>
        </w:rPr>
      </w:pPr>
    </w:p>
    <w:p w14:paraId="272A4545" w14:textId="6C7D28DF" w:rsidR="00C7399F" w:rsidRPr="00336E5B" w:rsidRDefault="00C7399F" w:rsidP="00C87E8A">
      <w:pPr>
        <w:spacing w:after="120"/>
        <w:rPr>
          <w:rFonts w:asciiTheme="minorHAnsi" w:hAnsiTheme="minorHAnsi" w:cstheme="minorHAnsi"/>
          <w:b/>
          <w:bCs/>
          <w:lang w:val="tr-TR"/>
        </w:rPr>
      </w:pPr>
      <w:r w:rsidRPr="00336E5B">
        <w:rPr>
          <w:rFonts w:asciiTheme="minorHAnsi" w:hAnsiTheme="minorHAnsi" w:cstheme="minorHAnsi"/>
          <w:b/>
          <w:bCs/>
          <w:lang w:val="tr-TR"/>
        </w:rPr>
        <w:t>Faturanın ne kadarını kamu ne kadarını özel sektör yüklenecek?</w:t>
      </w:r>
    </w:p>
    <w:p w14:paraId="00975003" w14:textId="60B72B28" w:rsidR="00DA631C" w:rsidRPr="00336E5B" w:rsidRDefault="00C87E8A" w:rsidP="00C87E8A">
      <w:pPr>
        <w:spacing w:after="120"/>
        <w:rPr>
          <w:rFonts w:asciiTheme="minorHAnsi" w:hAnsiTheme="minorHAnsi" w:cstheme="minorHAnsi"/>
          <w:lang w:val="tr-TR"/>
        </w:rPr>
      </w:pPr>
      <w:r w:rsidRPr="00336E5B">
        <w:rPr>
          <w:rFonts w:asciiTheme="minorHAnsi" w:hAnsiTheme="minorHAnsi" w:cstheme="minorHAnsi"/>
          <w:lang w:val="tr-TR"/>
        </w:rPr>
        <w:t>Depremin ülke ekonomisine olan mali yükünü tahmin ettikten sonra</w:t>
      </w:r>
      <w:r w:rsidR="001E2BF8" w:rsidRPr="00336E5B">
        <w:rPr>
          <w:rFonts w:asciiTheme="minorHAnsi" w:hAnsiTheme="minorHAnsi" w:cstheme="minorHAnsi"/>
          <w:lang w:val="tr-TR"/>
        </w:rPr>
        <w:t>,</w:t>
      </w:r>
      <w:r w:rsidRPr="00336E5B">
        <w:rPr>
          <w:rFonts w:asciiTheme="minorHAnsi" w:hAnsiTheme="minorHAnsi" w:cstheme="minorHAnsi"/>
          <w:lang w:val="tr-TR"/>
        </w:rPr>
        <w:t xml:space="preserve"> bu faturanın ne kadarının kamu tarafından </w:t>
      </w:r>
      <w:r w:rsidR="00887800" w:rsidRPr="00336E5B">
        <w:rPr>
          <w:rFonts w:asciiTheme="minorHAnsi" w:hAnsiTheme="minorHAnsi" w:cstheme="minorHAnsi"/>
          <w:lang w:val="tr-TR"/>
        </w:rPr>
        <w:t xml:space="preserve">ne kadarının da özel sektör tarafından </w:t>
      </w:r>
      <w:r w:rsidRPr="00336E5B">
        <w:rPr>
          <w:rFonts w:asciiTheme="minorHAnsi" w:hAnsiTheme="minorHAnsi" w:cstheme="minorHAnsi"/>
          <w:lang w:val="tr-TR"/>
        </w:rPr>
        <w:t>karşılanacağın</w:t>
      </w:r>
      <w:r w:rsidR="001E2BF8" w:rsidRPr="00336E5B">
        <w:rPr>
          <w:rFonts w:asciiTheme="minorHAnsi" w:hAnsiTheme="minorHAnsi" w:cstheme="minorHAnsi"/>
          <w:lang w:val="tr-TR"/>
        </w:rPr>
        <w:t>a</w:t>
      </w:r>
      <w:r w:rsidRPr="00336E5B">
        <w:rPr>
          <w:rFonts w:asciiTheme="minorHAnsi" w:hAnsiTheme="minorHAnsi" w:cstheme="minorHAnsi"/>
          <w:lang w:val="tr-TR"/>
        </w:rPr>
        <w:t xml:space="preserve"> </w:t>
      </w:r>
      <w:r w:rsidR="00DA631C" w:rsidRPr="00336E5B">
        <w:rPr>
          <w:rFonts w:asciiTheme="minorHAnsi" w:hAnsiTheme="minorHAnsi" w:cstheme="minorHAnsi"/>
          <w:lang w:val="tr-TR"/>
        </w:rPr>
        <w:t xml:space="preserve">dair </w:t>
      </w:r>
      <w:r w:rsidRPr="00336E5B">
        <w:rPr>
          <w:rFonts w:asciiTheme="minorHAnsi" w:hAnsiTheme="minorHAnsi" w:cstheme="minorHAnsi"/>
          <w:lang w:val="tr-TR"/>
        </w:rPr>
        <w:t>hesapla</w:t>
      </w:r>
      <w:r w:rsidR="00DA631C" w:rsidRPr="00336E5B">
        <w:rPr>
          <w:rFonts w:asciiTheme="minorHAnsi" w:hAnsiTheme="minorHAnsi" w:cstheme="minorHAnsi"/>
          <w:lang w:val="tr-TR"/>
        </w:rPr>
        <w:t xml:space="preserve">rı Tablo </w:t>
      </w:r>
      <w:r w:rsidR="00A82BE8" w:rsidRPr="00336E5B">
        <w:rPr>
          <w:rFonts w:asciiTheme="minorHAnsi" w:hAnsiTheme="minorHAnsi" w:cstheme="minorHAnsi"/>
          <w:lang w:val="tr-TR"/>
        </w:rPr>
        <w:t>4</w:t>
      </w:r>
      <w:r w:rsidR="00DA631C" w:rsidRPr="00336E5B">
        <w:rPr>
          <w:rFonts w:asciiTheme="minorHAnsi" w:hAnsiTheme="minorHAnsi" w:cstheme="minorHAnsi"/>
          <w:lang w:val="tr-TR"/>
        </w:rPr>
        <w:t>’</w:t>
      </w:r>
      <w:r w:rsidR="00A82BE8" w:rsidRPr="00336E5B">
        <w:rPr>
          <w:rFonts w:asciiTheme="minorHAnsi" w:hAnsiTheme="minorHAnsi" w:cstheme="minorHAnsi"/>
          <w:lang w:val="tr-TR"/>
        </w:rPr>
        <w:t>t</w:t>
      </w:r>
      <w:r w:rsidR="00DA631C" w:rsidRPr="00336E5B">
        <w:rPr>
          <w:rFonts w:asciiTheme="minorHAnsi" w:hAnsiTheme="minorHAnsi" w:cstheme="minorHAnsi"/>
          <w:lang w:val="tr-TR"/>
        </w:rPr>
        <w:t>e sunuyoruz</w:t>
      </w:r>
      <w:r w:rsidRPr="00336E5B">
        <w:rPr>
          <w:rFonts w:asciiTheme="minorHAnsi" w:hAnsiTheme="minorHAnsi" w:cstheme="minorHAnsi"/>
          <w:lang w:val="tr-TR"/>
        </w:rPr>
        <w:t>.</w:t>
      </w:r>
    </w:p>
    <w:p w14:paraId="7D37E11D" w14:textId="799891CE" w:rsidR="002F4BB9" w:rsidRPr="00336E5B" w:rsidRDefault="002F4BB9" w:rsidP="002F4BB9">
      <w:pPr>
        <w:jc w:val="center"/>
        <w:rPr>
          <w:rFonts w:asciiTheme="minorHAnsi" w:hAnsiTheme="minorHAnsi" w:cstheme="minorHAnsi"/>
          <w:b/>
          <w:bCs/>
          <w:lang w:val="tr-TR"/>
        </w:rPr>
      </w:pPr>
      <w:r w:rsidRPr="00336E5B">
        <w:rPr>
          <w:rFonts w:asciiTheme="minorHAnsi" w:hAnsiTheme="minorHAnsi" w:cstheme="minorHAnsi"/>
          <w:b/>
          <w:bCs/>
          <w:lang w:val="tr-TR"/>
        </w:rPr>
        <w:t xml:space="preserve">Tablo </w:t>
      </w:r>
      <w:r w:rsidR="00A82BE8" w:rsidRPr="00336E5B">
        <w:rPr>
          <w:rFonts w:asciiTheme="minorHAnsi" w:hAnsiTheme="minorHAnsi" w:cstheme="minorHAnsi"/>
          <w:b/>
          <w:bCs/>
          <w:lang w:val="tr-TR"/>
        </w:rPr>
        <w:t>4</w:t>
      </w:r>
      <w:r w:rsidRPr="00336E5B">
        <w:rPr>
          <w:rFonts w:asciiTheme="minorHAnsi" w:hAnsiTheme="minorHAnsi" w:cstheme="minorHAnsi"/>
          <w:b/>
          <w:bCs/>
          <w:lang w:val="tr-TR"/>
        </w:rPr>
        <w:t xml:space="preserve">. Depremin Ekonomik Faturasının Paylaşımı </w:t>
      </w:r>
    </w:p>
    <w:p w14:paraId="63C41164" w14:textId="77777777" w:rsidR="002F4BB9" w:rsidRPr="00336E5B" w:rsidRDefault="002F4BB9" w:rsidP="002F4BB9">
      <w:pPr>
        <w:jc w:val="center"/>
        <w:rPr>
          <w:rFonts w:asciiTheme="minorHAnsi" w:hAnsiTheme="minorHAnsi" w:cstheme="minorHAnsi"/>
          <w:b/>
          <w:bCs/>
          <w:lang w:val="tr-TR"/>
        </w:rPr>
      </w:pPr>
      <w:r w:rsidRPr="00336E5B">
        <w:rPr>
          <w:rFonts w:asciiTheme="minorHAnsi" w:hAnsiTheme="minorHAnsi" w:cstheme="minorHAnsi"/>
          <w:b/>
          <w:bCs/>
          <w:color w:val="000000"/>
          <w:lang w:val="tr-TR"/>
        </w:rPr>
        <w:t>(</w:t>
      </w:r>
      <w:proofErr w:type="gramStart"/>
      <w:r w:rsidRPr="00336E5B">
        <w:rPr>
          <w:rFonts w:asciiTheme="minorHAnsi" w:hAnsiTheme="minorHAnsi" w:cstheme="minorHAnsi"/>
          <w:b/>
          <w:bCs/>
          <w:color w:val="000000"/>
          <w:lang w:val="tr-TR"/>
        </w:rPr>
        <w:t>milyar</w:t>
      </w:r>
      <w:proofErr w:type="gramEnd"/>
      <w:r w:rsidRPr="00336E5B">
        <w:rPr>
          <w:rFonts w:asciiTheme="minorHAnsi" w:hAnsiTheme="minorHAnsi" w:cstheme="minorHAnsi"/>
          <w:b/>
          <w:bCs/>
          <w:color w:val="000000"/>
          <w:lang w:val="tr-TR"/>
        </w:rPr>
        <w:t xml:space="preserve"> dolar)</w:t>
      </w:r>
    </w:p>
    <w:tbl>
      <w:tblPr>
        <w:tblW w:w="7229" w:type="dxa"/>
        <w:tblInd w:w="851" w:type="dxa"/>
        <w:tblLayout w:type="fixed"/>
        <w:tblLook w:val="04A0" w:firstRow="1" w:lastRow="0" w:firstColumn="1" w:lastColumn="0" w:noHBand="0" w:noVBand="1"/>
      </w:tblPr>
      <w:tblGrid>
        <w:gridCol w:w="5386"/>
        <w:gridCol w:w="851"/>
        <w:gridCol w:w="992"/>
      </w:tblGrid>
      <w:tr w:rsidR="00450C2D" w:rsidRPr="00336E5B" w14:paraId="49249DCD" w14:textId="77777777" w:rsidTr="00FF49BB">
        <w:trPr>
          <w:trHeight w:val="328"/>
        </w:trPr>
        <w:tc>
          <w:tcPr>
            <w:tcW w:w="5386" w:type="dxa"/>
            <w:tcBorders>
              <w:top w:val="double" w:sz="4" w:space="0" w:color="000000"/>
              <w:bottom w:val="single" w:sz="4" w:space="0" w:color="000000"/>
            </w:tcBorders>
            <w:shd w:val="clear" w:color="auto" w:fill="auto"/>
          </w:tcPr>
          <w:p w14:paraId="73DC0CE8" w14:textId="77777777" w:rsidR="002F4BB9" w:rsidRPr="00336E5B" w:rsidRDefault="002F4BB9" w:rsidP="00364DC5">
            <w:pPr>
              <w:widowControl w:val="0"/>
              <w:rPr>
                <w:rFonts w:asciiTheme="minorHAnsi" w:hAnsiTheme="minorHAnsi" w:cstheme="minorHAnsi"/>
                <w:b/>
                <w:bCs/>
                <w:color w:val="000000"/>
                <w:lang w:val="tr-TR"/>
              </w:rPr>
            </w:pPr>
          </w:p>
        </w:tc>
        <w:tc>
          <w:tcPr>
            <w:tcW w:w="851" w:type="dxa"/>
            <w:tcBorders>
              <w:top w:val="double" w:sz="4" w:space="0" w:color="000000"/>
              <w:bottom w:val="single" w:sz="4" w:space="0" w:color="000000"/>
            </w:tcBorders>
            <w:shd w:val="clear" w:color="auto" w:fill="auto"/>
          </w:tcPr>
          <w:p w14:paraId="5BE8097B" w14:textId="77777777" w:rsidR="002F4BB9" w:rsidRPr="00336E5B" w:rsidRDefault="002F4BB9" w:rsidP="00364DC5">
            <w:pPr>
              <w:widowControl w:val="0"/>
              <w:jc w:val="right"/>
              <w:rPr>
                <w:rFonts w:asciiTheme="minorHAnsi" w:hAnsiTheme="minorHAnsi" w:cstheme="minorHAnsi"/>
                <w:lang w:val="tr-TR"/>
              </w:rPr>
            </w:pPr>
            <w:r w:rsidRPr="00336E5B">
              <w:rPr>
                <w:rFonts w:asciiTheme="minorHAnsi" w:hAnsiTheme="minorHAnsi" w:cstheme="minorHAnsi"/>
                <w:b/>
                <w:bCs/>
                <w:color w:val="000000"/>
                <w:lang w:val="tr-TR"/>
              </w:rPr>
              <w:t>Düşük</w:t>
            </w:r>
          </w:p>
        </w:tc>
        <w:tc>
          <w:tcPr>
            <w:tcW w:w="992" w:type="dxa"/>
            <w:tcBorders>
              <w:top w:val="double" w:sz="4" w:space="0" w:color="000000"/>
              <w:bottom w:val="single" w:sz="4" w:space="0" w:color="000000"/>
            </w:tcBorders>
          </w:tcPr>
          <w:p w14:paraId="6FC08E6B" w14:textId="77777777" w:rsidR="002F4BB9" w:rsidRPr="00336E5B" w:rsidRDefault="002F4BB9" w:rsidP="00364DC5">
            <w:pPr>
              <w:widowControl w:val="0"/>
              <w:jc w:val="right"/>
              <w:rPr>
                <w:rFonts w:asciiTheme="minorHAnsi" w:hAnsiTheme="minorHAnsi" w:cstheme="minorHAnsi"/>
                <w:lang w:val="tr-TR"/>
              </w:rPr>
            </w:pPr>
            <w:r w:rsidRPr="00336E5B">
              <w:rPr>
                <w:rFonts w:asciiTheme="minorHAnsi" w:hAnsiTheme="minorHAnsi" w:cstheme="minorHAnsi"/>
                <w:b/>
                <w:bCs/>
                <w:color w:val="000000"/>
                <w:lang w:val="tr-TR"/>
              </w:rPr>
              <w:t>Yüksek</w:t>
            </w:r>
          </w:p>
        </w:tc>
      </w:tr>
      <w:tr w:rsidR="0084734E" w:rsidRPr="00336E5B" w14:paraId="2D956214" w14:textId="77777777" w:rsidTr="00FF49BB">
        <w:trPr>
          <w:trHeight w:val="328"/>
        </w:trPr>
        <w:tc>
          <w:tcPr>
            <w:tcW w:w="5386" w:type="dxa"/>
            <w:tcBorders>
              <w:top w:val="single" w:sz="4" w:space="0" w:color="000000"/>
            </w:tcBorders>
            <w:shd w:val="clear" w:color="auto" w:fill="auto"/>
            <w:vAlign w:val="center"/>
          </w:tcPr>
          <w:p w14:paraId="30DA9629" w14:textId="426BEE3D" w:rsidR="0084734E" w:rsidRPr="008C33D5" w:rsidRDefault="0084734E" w:rsidP="0084734E">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Toplam Maliyet</w:t>
            </w:r>
          </w:p>
        </w:tc>
        <w:tc>
          <w:tcPr>
            <w:tcW w:w="851" w:type="dxa"/>
            <w:tcBorders>
              <w:top w:val="single" w:sz="4" w:space="0" w:color="000000"/>
            </w:tcBorders>
            <w:shd w:val="clear" w:color="auto" w:fill="auto"/>
            <w:vAlign w:val="bottom"/>
          </w:tcPr>
          <w:p w14:paraId="4CBF7E62" w14:textId="4A98BA42" w:rsidR="0084734E" w:rsidRPr="008C33D5" w:rsidRDefault="0084734E" w:rsidP="0084734E">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7</w:t>
            </w:r>
            <w:r w:rsidR="00B7733A" w:rsidRPr="008C33D5">
              <w:rPr>
                <w:rFonts w:asciiTheme="minorHAnsi" w:hAnsiTheme="minorHAnsi" w:cstheme="minorHAnsi"/>
                <w:b/>
                <w:bCs/>
                <w:color w:val="000000"/>
                <w:sz w:val="22"/>
                <w:szCs w:val="22"/>
                <w:lang w:val="tr-TR"/>
              </w:rPr>
              <w:t>7</w:t>
            </w:r>
            <w:r w:rsidRPr="008C33D5">
              <w:rPr>
                <w:rFonts w:asciiTheme="minorHAnsi" w:hAnsiTheme="minorHAnsi" w:cstheme="minorHAnsi"/>
                <w:b/>
                <w:bCs/>
                <w:color w:val="000000"/>
                <w:sz w:val="22"/>
                <w:szCs w:val="22"/>
                <w:lang w:val="tr-TR"/>
              </w:rPr>
              <w:t>,</w:t>
            </w:r>
            <w:r w:rsidR="00B7733A" w:rsidRPr="008C33D5">
              <w:rPr>
                <w:rFonts w:asciiTheme="minorHAnsi" w:hAnsiTheme="minorHAnsi" w:cstheme="minorHAnsi"/>
                <w:b/>
                <w:bCs/>
                <w:color w:val="000000"/>
                <w:sz w:val="22"/>
                <w:szCs w:val="22"/>
                <w:lang w:val="tr-TR"/>
              </w:rPr>
              <w:t>4</w:t>
            </w:r>
          </w:p>
        </w:tc>
        <w:tc>
          <w:tcPr>
            <w:tcW w:w="992" w:type="dxa"/>
            <w:tcBorders>
              <w:top w:val="single" w:sz="4" w:space="0" w:color="000000"/>
            </w:tcBorders>
            <w:vAlign w:val="bottom"/>
          </w:tcPr>
          <w:p w14:paraId="6960471F" w14:textId="5E741B13" w:rsidR="0084734E" w:rsidRPr="008C33D5" w:rsidRDefault="00B7733A" w:rsidP="0084734E">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104</w:t>
            </w:r>
            <w:r w:rsidR="0084734E" w:rsidRPr="008C33D5">
              <w:rPr>
                <w:rFonts w:asciiTheme="minorHAnsi" w:hAnsiTheme="minorHAnsi" w:cstheme="minorHAnsi"/>
                <w:b/>
                <w:bCs/>
                <w:color w:val="000000"/>
                <w:sz w:val="22"/>
                <w:szCs w:val="22"/>
                <w:lang w:val="tr-TR"/>
              </w:rPr>
              <w:t>,</w:t>
            </w:r>
            <w:r w:rsidRPr="008C33D5">
              <w:rPr>
                <w:rFonts w:asciiTheme="minorHAnsi" w:hAnsiTheme="minorHAnsi" w:cstheme="minorHAnsi"/>
                <w:b/>
                <w:bCs/>
                <w:color w:val="000000"/>
                <w:sz w:val="22"/>
                <w:szCs w:val="22"/>
                <w:lang w:val="tr-TR"/>
              </w:rPr>
              <w:t>8</w:t>
            </w:r>
          </w:p>
        </w:tc>
      </w:tr>
      <w:tr w:rsidR="0084734E" w:rsidRPr="00336E5B" w14:paraId="5D052557" w14:textId="77777777" w:rsidTr="00FF49BB">
        <w:trPr>
          <w:trHeight w:val="328"/>
        </w:trPr>
        <w:tc>
          <w:tcPr>
            <w:tcW w:w="5386" w:type="dxa"/>
            <w:tcBorders>
              <w:top w:val="single" w:sz="4" w:space="0" w:color="000000"/>
            </w:tcBorders>
            <w:shd w:val="clear" w:color="auto" w:fill="auto"/>
            <w:vAlign w:val="center"/>
          </w:tcPr>
          <w:p w14:paraId="1CC68FED" w14:textId="014EEC4A" w:rsidR="0084734E" w:rsidRPr="008C33D5" w:rsidRDefault="00FB3F3E" w:rsidP="0084734E">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 xml:space="preserve"> </w:t>
            </w:r>
            <w:r w:rsidR="0084734E" w:rsidRPr="008C33D5">
              <w:rPr>
                <w:rFonts w:asciiTheme="minorHAnsi" w:hAnsiTheme="minorHAnsi" w:cstheme="minorHAnsi"/>
                <w:b/>
                <w:bCs/>
                <w:color w:val="000000"/>
                <w:sz w:val="22"/>
                <w:szCs w:val="22"/>
                <w:lang w:val="tr-TR"/>
              </w:rPr>
              <w:t xml:space="preserve"> </w:t>
            </w:r>
            <w:r w:rsidR="00B7733A" w:rsidRPr="008C33D5">
              <w:rPr>
                <w:rFonts w:asciiTheme="minorHAnsi" w:hAnsiTheme="minorHAnsi" w:cstheme="minorHAnsi"/>
                <w:b/>
                <w:bCs/>
                <w:color w:val="000000"/>
                <w:sz w:val="22"/>
                <w:szCs w:val="22"/>
                <w:lang w:val="tr-TR"/>
              </w:rPr>
              <w:t xml:space="preserve">Özel </w:t>
            </w:r>
            <w:proofErr w:type="gramStart"/>
            <w:r w:rsidR="00B7733A" w:rsidRPr="008C33D5">
              <w:rPr>
                <w:rFonts w:asciiTheme="minorHAnsi" w:hAnsiTheme="minorHAnsi" w:cstheme="minorHAnsi"/>
                <w:b/>
                <w:bCs/>
                <w:color w:val="000000"/>
                <w:sz w:val="22"/>
                <w:szCs w:val="22"/>
                <w:lang w:val="tr-TR"/>
              </w:rPr>
              <w:t>Sektör -</w:t>
            </w:r>
            <w:proofErr w:type="gramEnd"/>
            <w:r w:rsidR="00B7733A" w:rsidRPr="008C33D5">
              <w:rPr>
                <w:rFonts w:asciiTheme="minorHAnsi" w:hAnsiTheme="minorHAnsi" w:cstheme="minorHAnsi"/>
                <w:b/>
                <w:bCs/>
                <w:color w:val="000000"/>
                <w:sz w:val="22"/>
                <w:szCs w:val="22"/>
                <w:lang w:val="tr-TR"/>
              </w:rPr>
              <w:t xml:space="preserve"> </w:t>
            </w:r>
            <w:r w:rsidR="00FF49BB" w:rsidRPr="008C33D5">
              <w:rPr>
                <w:rFonts w:asciiTheme="minorHAnsi" w:hAnsiTheme="minorHAnsi" w:cstheme="minorHAnsi"/>
                <w:b/>
                <w:bCs/>
                <w:color w:val="000000"/>
                <w:sz w:val="22"/>
                <w:szCs w:val="22"/>
                <w:lang w:val="tr-TR"/>
              </w:rPr>
              <w:t xml:space="preserve">Şirketler ve Haneler </w:t>
            </w:r>
          </w:p>
        </w:tc>
        <w:tc>
          <w:tcPr>
            <w:tcW w:w="851" w:type="dxa"/>
            <w:tcBorders>
              <w:top w:val="single" w:sz="4" w:space="0" w:color="000000"/>
            </w:tcBorders>
            <w:shd w:val="clear" w:color="auto" w:fill="auto"/>
            <w:vAlign w:val="bottom"/>
          </w:tcPr>
          <w:p w14:paraId="088C3165" w14:textId="0C0EAB68" w:rsidR="0084734E" w:rsidRPr="008C33D5" w:rsidRDefault="0084734E" w:rsidP="0084734E">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1</w:t>
            </w:r>
            <w:r w:rsidR="00B7733A" w:rsidRPr="008C33D5">
              <w:rPr>
                <w:rFonts w:asciiTheme="minorHAnsi" w:hAnsiTheme="minorHAnsi" w:cstheme="minorHAnsi"/>
                <w:b/>
                <w:bCs/>
                <w:color w:val="000000"/>
                <w:sz w:val="22"/>
                <w:szCs w:val="22"/>
                <w:lang w:val="tr-TR"/>
              </w:rPr>
              <w:t>2</w:t>
            </w:r>
            <w:r w:rsidRPr="008C33D5">
              <w:rPr>
                <w:rFonts w:asciiTheme="minorHAnsi" w:hAnsiTheme="minorHAnsi" w:cstheme="minorHAnsi"/>
                <w:b/>
                <w:bCs/>
                <w:color w:val="000000"/>
                <w:sz w:val="22"/>
                <w:szCs w:val="22"/>
                <w:lang w:val="tr-TR"/>
              </w:rPr>
              <w:t>,</w:t>
            </w:r>
            <w:r w:rsidR="00EF3C07" w:rsidRPr="008C33D5">
              <w:rPr>
                <w:rFonts w:asciiTheme="minorHAnsi" w:hAnsiTheme="minorHAnsi" w:cstheme="minorHAnsi"/>
                <w:b/>
                <w:bCs/>
                <w:color w:val="000000"/>
                <w:sz w:val="22"/>
                <w:szCs w:val="22"/>
                <w:lang w:val="tr-TR"/>
              </w:rPr>
              <w:t>8</w:t>
            </w:r>
          </w:p>
        </w:tc>
        <w:tc>
          <w:tcPr>
            <w:tcW w:w="992" w:type="dxa"/>
            <w:tcBorders>
              <w:top w:val="single" w:sz="4" w:space="0" w:color="000000"/>
            </w:tcBorders>
            <w:vAlign w:val="bottom"/>
          </w:tcPr>
          <w:p w14:paraId="054FAF4F" w14:textId="71C980C1" w:rsidR="0084734E" w:rsidRPr="008C33D5" w:rsidRDefault="0084734E" w:rsidP="0084734E">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2</w:t>
            </w:r>
            <w:r w:rsidR="00B7733A" w:rsidRPr="008C33D5">
              <w:rPr>
                <w:rFonts w:asciiTheme="minorHAnsi" w:hAnsiTheme="minorHAnsi" w:cstheme="minorHAnsi"/>
                <w:b/>
                <w:bCs/>
                <w:color w:val="000000"/>
                <w:sz w:val="22"/>
                <w:szCs w:val="22"/>
                <w:lang w:val="tr-TR"/>
              </w:rPr>
              <w:t>0</w:t>
            </w:r>
            <w:r w:rsidRPr="008C33D5">
              <w:rPr>
                <w:rFonts w:asciiTheme="minorHAnsi" w:hAnsiTheme="minorHAnsi" w:cstheme="minorHAnsi"/>
                <w:b/>
                <w:bCs/>
                <w:color w:val="000000"/>
                <w:sz w:val="22"/>
                <w:szCs w:val="22"/>
                <w:lang w:val="tr-TR"/>
              </w:rPr>
              <w:t>,</w:t>
            </w:r>
            <w:r w:rsidR="00EF3C07" w:rsidRPr="008C33D5">
              <w:rPr>
                <w:rFonts w:asciiTheme="minorHAnsi" w:hAnsiTheme="minorHAnsi" w:cstheme="minorHAnsi"/>
                <w:b/>
                <w:bCs/>
                <w:color w:val="000000"/>
                <w:sz w:val="22"/>
                <w:szCs w:val="22"/>
                <w:lang w:val="tr-TR"/>
              </w:rPr>
              <w:t>6</w:t>
            </w:r>
          </w:p>
        </w:tc>
      </w:tr>
      <w:tr w:rsidR="0084734E" w:rsidRPr="00336E5B" w14:paraId="66D9EEA8" w14:textId="77777777" w:rsidTr="00FF49BB">
        <w:trPr>
          <w:trHeight w:val="328"/>
        </w:trPr>
        <w:tc>
          <w:tcPr>
            <w:tcW w:w="5386" w:type="dxa"/>
            <w:tcBorders>
              <w:bottom w:val="single" w:sz="4" w:space="0" w:color="000000"/>
            </w:tcBorders>
            <w:shd w:val="clear" w:color="auto" w:fill="auto"/>
            <w:vAlign w:val="center"/>
          </w:tcPr>
          <w:p w14:paraId="29766AED" w14:textId="11B90058" w:rsidR="0084734E" w:rsidRPr="008C33D5" w:rsidRDefault="00FF49BB" w:rsidP="0084734E">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w:t>
            </w:r>
            <w:r w:rsidR="00FB3F3E" w:rsidRPr="008C33D5">
              <w:rPr>
                <w:rFonts w:asciiTheme="minorHAnsi" w:hAnsiTheme="minorHAnsi" w:cstheme="minorHAnsi"/>
                <w:color w:val="000000"/>
                <w:sz w:val="22"/>
                <w:szCs w:val="22"/>
                <w:lang w:val="tr-TR"/>
              </w:rPr>
              <w:t xml:space="preserve"> </w:t>
            </w:r>
            <w:r w:rsidR="0084734E" w:rsidRPr="008C33D5">
              <w:rPr>
                <w:rFonts w:asciiTheme="minorHAnsi" w:hAnsiTheme="minorHAnsi" w:cstheme="minorHAnsi"/>
                <w:color w:val="000000"/>
                <w:sz w:val="22"/>
                <w:szCs w:val="22"/>
                <w:lang w:val="tr-TR"/>
              </w:rPr>
              <w:t xml:space="preserve">GSYH Oranı </w:t>
            </w:r>
          </w:p>
        </w:tc>
        <w:tc>
          <w:tcPr>
            <w:tcW w:w="851" w:type="dxa"/>
            <w:tcBorders>
              <w:bottom w:val="single" w:sz="4" w:space="0" w:color="000000"/>
            </w:tcBorders>
            <w:shd w:val="clear" w:color="auto" w:fill="auto"/>
            <w:vAlign w:val="bottom"/>
          </w:tcPr>
          <w:p w14:paraId="3EF0C44A" w14:textId="01D2DC63" w:rsidR="0084734E" w:rsidRPr="008C33D5" w:rsidRDefault="0084734E" w:rsidP="0084734E">
            <w:pPr>
              <w:widowControl w:val="0"/>
              <w:jc w:val="right"/>
              <w:rPr>
                <w:rFonts w:asciiTheme="minorHAnsi" w:hAnsiTheme="minorHAnsi" w:cstheme="minorHAnsi"/>
                <w:b/>
                <w:bCs/>
                <w:color w:val="000000"/>
                <w:sz w:val="22"/>
                <w:szCs w:val="22"/>
                <w:lang w:val="tr-TR"/>
              </w:rPr>
            </w:pPr>
            <w:proofErr w:type="gramStart"/>
            <w:r w:rsidRPr="008C33D5">
              <w:rPr>
                <w:rFonts w:asciiTheme="minorHAnsi" w:hAnsiTheme="minorHAnsi" w:cstheme="minorHAnsi"/>
                <w:color w:val="000000"/>
                <w:sz w:val="22"/>
                <w:szCs w:val="22"/>
                <w:lang w:val="tr-TR"/>
              </w:rPr>
              <w:t>%1,</w:t>
            </w:r>
            <w:r w:rsidR="00B7733A" w:rsidRPr="008C33D5">
              <w:rPr>
                <w:rFonts w:asciiTheme="minorHAnsi" w:hAnsiTheme="minorHAnsi" w:cstheme="minorHAnsi"/>
                <w:color w:val="000000"/>
                <w:sz w:val="22"/>
                <w:szCs w:val="22"/>
                <w:lang w:val="tr-TR"/>
              </w:rPr>
              <w:t>4</w:t>
            </w:r>
            <w:proofErr w:type="gramEnd"/>
          </w:p>
        </w:tc>
        <w:tc>
          <w:tcPr>
            <w:tcW w:w="992" w:type="dxa"/>
            <w:tcBorders>
              <w:bottom w:val="single" w:sz="4" w:space="0" w:color="000000"/>
            </w:tcBorders>
            <w:vAlign w:val="bottom"/>
          </w:tcPr>
          <w:p w14:paraId="35A71B95" w14:textId="498A99C8" w:rsidR="0084734E" w:rsidRPr="008C33D5" w:rsidRDefault="0084734E" w:rsidP="0084734E">
            <w:pPr>
              <w:widowControl w:val="0"/>
              <w:jc w:val="right"/>
              <w:rPr>
                <w:rFonts w:asciiTheme="minorHAnsi" w:hAnsiTheme="minorHAnsi" w:cstheme="minorHAnsi"/>
                <w:b/>
                <w:bCs/>
                <w:color w:val="000000"/>
                <w:sz w:val="22"/>
                <w:szCs w:val="22"/>
                <w:lang w:val="tr-TR"/>
              </w:rPr>
            </w:pPr>
            <w:proofErr w:type="gramStart"/>
            <w:r w:rsidRPr="008C33D5">
              <w:rPr>
                <w:rFonts w:asciiTheme="minorHAnsi" w:hAnsiTheme="minorHAnsi" w:cstheme="minorHAnsi"/>
                <w:color w:val="000000"/>
                <w:sz w:val="22"/>
                <w:szCs w:val="22"/>
                <w:lang w:val="tr-TR"/>
              </w:rPr>
              <w:t>%2,</w:t>
            </w:r>
            <w:r w:rsidR="00EF3C07" w:rsidRPr="008C33D5">
              <w:rPr>
                <w:rFonts w:asciiTheme="minorHAnsi" w:hAnsiTheme="minorHAnsi" w:cstheme="minorHAnsi"/>
                <w:color w:val="000000"/>
                <w:sz w:val="22"/>
                <w:szCs w:val="22"/>
                <w:lang w:val="tr-TR"/>
              </w:rPr>
              <w:t>3</w:t>
            </w:r>
            <w:proofErr w:type="gramEnd"/>
          </w:p>
        </w:tc>
      </w:tr>
      <w:tr w:rsidR="00B9268B" w:rsidRPr="00336E5B" w14:paraId="577CA902" w14:textId="77777777" w:rsidTr="00FF49BB">
        <w:trPr>
          <w:trHeight w:val="328"/>
        </w:trPr>
        <w:tc>
          <w:tcPr>
            <w:tcW w:w="5386" w:type="dxa"/>
            <w:shd w:val="clear" w:color="auto" w:fill="auto"/>
            <w:vAlign w:val="center"/>
          </w:tcPr>
          <w:p w14:paraId="0F355B79" w14:textId="3C94BACD" w:rsidR="00B9268B" w:rsidRPr="008C33D5" w:rsidRDefault="00B9268B" w:rsidP="00B9268B">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Enkazda Eşya ve Taşıt </w:t>
            </w:r>
            <w:proofErr w:type="gramStart"/>
            <w:r w:rsidRPr="008C33D5">
              <w:rPr>
                <w:rFonts w:asciiTheme="minorHAnsi" w:hAnsiTheme="minorHAnsi" w:cstheme="minorHAnsi"/>
                <w:color w:val="000000"/>
                <w:sz w:val="22"/>
                <w:szCs w:val="22"/>
                <w:lang w:val="tr-TR"/>
              </w:rPr>
              <w:t>Kaybı -</w:t>
            </w:r>
            <w:proofErr w:type="gramEnd"/>
            <w:r w:rsidRPr="008C33D5">
              <w:rPr>
                <w:rFonts w:asciiTheme="minorHAnsi" w:hAnsiTheme="minorHAnsi" w:cstheme="minorHAnsi"/>
                <w:color w:val="000000"/>
                <w:sz w:val="22"/>
                <w:szCs w:val="22"/>
                <w:lang w:val="tr-TR"/>
              </w:rPr>
              <w:t xml:space="preserve"> Konut sahibi</w:t>
            </w:r>
          </w:p>
        </w:tc>
        <w:tc>
          <w:tcPr>
            <w:tcW w:w="851" w:type="dxa"/>
            <w:shd w:val="clear" w:color="auto" w:fill="auto"/>
            <w:vAlign w:val="bottom"/>
          </w:tcPr>
          <w:p w14:paraId="0D02DEF7" w14:textId="27E7594A"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0,9</w:t>
            </w:r>
          </w:p>
        </w:tc>
        <w:tc>
          <w:tcPr>
            <w:tcW w:w="992" w:type="dxa"/>
            <w:vAlign w:val="bottom"/>
          </w:tcPr>
          <w:p w14:paraId="42307170" w14:textId="24731E98"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1,3</w:t>
            </w:r>
          </w:p>
        </w:tc>
      </w:tr>
      <w:tr w:rsidR="00B9268B" w:rsidRPr="00336E5B" w14:paraId="6FE5E9E3" w14:textId="77777777" w:rsidTr="00FF49BB">
        <w:trPr>
          <w:trHeight w:val="352"/>
        </w:trPr>
        <w:tc>
          <w:tcPr>
            <w:tcW w:w="5386" w:type="dxa"/>
            <w:shd w:val="clear" w:color="auto" w:fill="auto"/>
            <w:vAlign w:val="bottom"/>
          </w:tcPr>
          <w:p w14:paraId="463B372A" w14:textId="5B331A7B" w:rsidR="00B9268B" w:rsidRPr="008C33D5" w:rsidRDefault="00B9268B" w:rsidP="00B9268B">
            <w:pPr>
              <w:widowControl w:val="0"/>
              <w:ind w:right="-101"/>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Az Hasarlı </w:t>
            </w:r>
            <w:r w:rsidR="003E565B" w:rsidRPr="008C33D5">
              <w:rPr>
                <w:rFonts w:asciiTheme="minorHAnsi" w:hAnsiTheme="minorHAnsi" w:cstheme="minorHAnsi"/>
                <w:color w:val="000000"/>
                <w:sz w:val="22"/>
                <w:szCs w:val="22"/>
                <w:lang w:val="tr-TR"/>
              </w:rPr>
              <w:t xml:space="preserve">Konutların </w:t>
            </w:r>
            <w:proofErr w:type="gramStart"/>
            <w:r w:rsidRPr="008C33D5">
              <w:rPr>
                <w:rFonts w:asciiTheme="minorHAnsi" w:hAnsiTheme="minorHAnsi" w:cstheme="minorHAnsi"/>
                <w:color w:val="000000"/>
                <w:sz w:val="22"/>
                <w:szCs w:val="22"/>
                <w:lang w:val="tr-TR"/>
              </w:rPr>
              <w:t>Onarım</w:t>
            </w:r>
            <w:r w:rsidR="003E565B" w:rsidRPr="008C33D5">
              <w:rPr>
                <w:rFonts w:asciiTheme="minorHAnsi" w:hAnsiTheme="minorHAnsi" w:cstheme="minorHAnsi"/>
                <w:color w:val="000000"/>
                <w:sz w:val="22"/>
                <w:szCs w:val="22"/>
                <w:lang w:val="tr-TR"/>
              </w:rPr>
              <w:t>ı</w:t>
            </w:r>
            <w:r w:rsidR="008C33D5">
              <w:rPr>
                <w:rFonts w:asciiTheme="minorHAnsi" w:hAnsiTheme="minorHAnsi" w:cstheme="minorHAnsi"/>
                <w:color w:val="000000"/>
                <w:sz w:val="22"/>
                <w:szCs w:val="22"/>
                <w:lang w:val="tr-TR"/>
              </w:rPr>
              <w:t xml:space="preserve"> </w:t>
            </w:r>
            <w:r w:rsidRPr="008C33D5">
              <w:rPr>
                <w:rFonts w:asciiTheme="minorHAnsi" w:hAnsiTheme="minorHAnsi" w:cstheme="minorHAnsi"/>
                <w:color w:val="000000"/>
                <w:sz w:val="22"/>
                <w:szCs w:val="22"/>
                <w:lang w:val="tr-TR"/>
              </w:rPr>
              <w:t>-</w:t>
            </w:r>
            <w:proofErr w:type="gramEnd"/>
            <w:r w:rsidRPr="008C33D5">
              <w:rPr>
                <w:rFonts w:asciiTheme="minorHAnsi" w:hAnsiTheme="minorHAnsi" w:cstheme="minorHAnsi"/>
                <w:color w:val="000000"/>
                <w:sz w:val="22"/>
                <w:szCs w:val="22"/>
                <w:lang w:val="tr-TR"/>
              </w:rPr>
              <w:t xml:space="preserve"> Konut Sahibi (1/2)</w:t>
            </w:r>
          </w:p>
        </w:tc>
        <w:tc>
          <w:tcPr>
            <w:tcW w:w="851" w:type="dxa"/>
            <w:shd w:val="clear" w:color="auto" w:fill="auto"/>
            <w:vAlign w:val="bottom"/>
          </w:tcPr>
          <w:p w14:paraId="68C018FA" w14:textId="0370D9F6"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2,7</w:t>
            </w:r>
          </w:p>
        </w:tc>
        <w:tc>
          <w:tcPr>
            <w:tcW w:w="992" w:type="dxa"/>
            <w:vAlign w:val="bottom"/>
          </w:tcPr>
          <w:p w14:paraId="2C8B1D0B" w14:textId="30B1E711"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3,0</w:t>
            </w:r>
          </w:p>
        </w:tc>
      </w:tr>
      <w:tr w:rsidR="00B9268B" w:rsidRPr="00336E5B" w14:paraId="5D51CDD8" w14:textId="77777777" w:rsidTr="00FF49BB">
        <w:trPr>
          <w:trHeight w:val="352"/>
        </w:trPr>
        <w:tc>
          <w:tcPr>
            <w:tcW w:w="5386" w:type="dxa"/>
            <w:shd w:val="clear" w:color="auto" w:fill="auto"/>
            <w:vAlign w:val="bottom"/>
          </w:tcPr>
          <w:p w14:paraId="0FCB6CE2" w14:textId="0DE8E040" w:rsidR="00B9268B" w:rsidRPr="008C33D5" w:rsidRDefault="00B9268B" w:rsidP="00B9268B">
            <w:pPr>
              <w:widowControl w:val="0"/>
              <w:ind w:right="-101"/>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Az ve Orta Hasarlı </w:t>
            </w:r>
            <w:proofErr w:type="gramStart"/>
            <w:r w:rsidRPr="008C33D5">
              <w:rPr>
                <w:rFonts w:asciiTheme="minorHAnsi" w:hAnsiTheme="minorHAnsi" w:cstheme="minorHAnsi"/>
                <w:color w:val="000000"/>
                <w:sz w:val="22"/>
                <w:szCs w:val="22"/>
                <w:lang w:val="tr-TR"/>
              </w:rPr>
              <w:t>Onarım -</w:t>
            </w:r>
            <w:proofErr w:type="gramEnd"/>
            <w:r w:rsidRPr="008C33D5">
              <w:rPr>
                <w:rFonts w:asciiTheme="minorHAnsi" w:hAnsiTheme="minorHAnsi" w:cstheme="minorHAnsi"/>
                <w:color w:val="000000"/>
                <w:sz w:val="22"/>
                <w:szCs w:val="22"/>
                <w:lang w:val="tr-TR"/>
              </w:rPr>
              <w:t xml:space="preserve"> İşyeri Sahibi (1/2)</w:t>
            </w:r>
          </w:p>
        </w:tc>
        <w:tc>
          <w:tcPr>
            <w:tcW w:w="851" w:type="dxa"/>
            <w:shd w:val="clear" w:color="auto" w:fill="auto"/>
            <w:vAlign w:val="bottom"/>
          </w:tcPr>
          <w:p w14:paraId="0A1CD1DA" w14:textId="3FCE7EA1"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1,4</w:t>
            </w:r>
          </w:p>
        </w:tc>
        <w:tc>
          <w:tcPr>
            <w:tcW w:w="992" w:type="dxa"/>
            <w:vAlign w:val="bottom"/>
          </w:tcPr>
          <w:p w14:paraId="0EAB5112" w14:textId="4293D2A8"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2,0</w:t>
            </w:r>
          </w:p>
        </w:tc>
      </w:tr>
      <w:tr w:rsidR="00B9268B" w:rsidRPr="00336E5B" w14:paraId="5375BBCF" w14:textId="77777777" w:rsidTr="00FF49BB">
        <w:trPr>
          <w:trHeight w:val="352"/>
        </w:trPr>
        <w:tc>
          <w:tcPr>
            <w:tcW w:w="5386" w:type="dxa"/>
            <w:shd w:val="clear" w:color="auto" w:fill="auto"/>
            <w:vAlign w:val="bottom"/>
          </w:tcPr>
          <w:p w14:paraId="646C8AF7" w14:textId="26545FB8" w:rsidR="00B9268B" w:rsidRPr="008C33D5" w:rsidRDefault="00B9268B" w:rsidP="00B9268B">
            <w:pPr>
              <w:widowControl w:val="0"/>
              <w:ind w:right="-101"/>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Üretim &amp; Turizm Gelir Kaybı (-</w:t>
            </w:r>
            <w:proofErr w:type="gramStart"/>
            <w:r w:rsidRPr="008C33D5">
              <w:rPr>
                <w:rFonts w:asciiTheme="minorHAnsi" w:hAnsiTheme="minorHAnsi" w:cstheme="minorHAnsi"/>
                <w:color w:val="000000"/>
                <w:sz w:val="22"/>
                <w:szCs w:val="22"/>
                <w:lang w:val="tr-TR"/>
              </w:rPr>
              <w:t>Vergi -</w:t>
            </w:r>
            <w:proofErr w:type="gramEnd"/>
            <w:r w:rsidRPr="008C33D5">
              <w:rPr>
                <w:rFonts w:asciiTheme="minorHAnsi" w:hAnsiTheme="minorHAnsi" w:cstheme="minorHAnsi"/>
                <w:color w:val="000000"/>
                <w:sz w:val="22"/>
                <w:szCs w:val="22"/>
                <w:lang w:val="tr-TR"/>
              </w:rPr>
              <w:t xml:space="preserve"> Devlet Desteği)</w:t>
            </w:r>
          </w:p>
        </w:tc>
        <w:tc>
          <w:tcPr>
            <w:tcW w:w="851" w:type="dxa"/>
            <w:shd w:val="clear" w:color="auto" w:fill="auto"/>
            <w:vAlign w:val="bottom"/>
          </w:tcPr>
          <w:p w14:paraId="331C0C62" w14:textId="2806B876"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7,</w:t>
            </w:r>
            <w:r w:rsidR="00EF3C07" w:rsidRPr="008C33D5">
              <w:rPr>
                <w:rFonts w:asciiTheme="minorHAnsi" w:hAnsiTheme="minorHAnsi" w:cstheme="minorHAnsi"/>
                <w:color w:val="000000"/>
                <w:sz w:val="22"/>
                <w:szCs w:val="22"/>
              </w:rPr>
              <w:t>7</w:t>
            </w:r>
          </w:p>
        </w:tc>
        <w:tc>
          <w:tcPr>
            <w:tcW w:w="992" w:type="dxa"/>
            <w:vAlign w:val="bottom"/>
          </w:tcPr>
          <w:p w14:paraId="5613DF98" w14:textId="54BAC162"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w:t>
            </w:r>
            <w:r w:rsidR="00EF3C07" w:rsidRPr="008C33D5">
              <w:rPr>
                <w:rFonts w:asciiTheme="minorHAnsi" w:hAnsiTheme="minorHAnsi" w:cstheme="minorHAnsi"/>
                <w:color w:val="000000"/>
                <w:sz w:val="22"/>
                <w:szCs w:val="22"/>
              </w:rPr>
              <w:t>4</w:t>
            </w:r>
            <w:r w:rsidRPr="008C33D5">
              <w:rPr>
                <w:rFonts w:asciiTheme="minorHAnsi" w:hAnsiTheme="minorHAnsi" w:cstheme="minorHAnsi"/>
                <w:color w:val="000000"/>
                <w:sz w:val="22"/>
                <w:szCs w:val="22"/>
              </w:rPr>
              <w:t>,</w:t>
            </w:r>
            <w:r w:rsidR="00EF3C07" w:rsidRPr="008C33D5">
              <w:rPr>
                <w:rFonts w:asciiTheme="minorHAnsi" w:hAnsiTheme="minorHAnsi" w:cstheme="minorHAnsi"/>
                <w:color w:val="000000"/>
                <w:sz w:val="22"/>
                <w:szCs w:val="22"/>
              </w:rPr>
              <w:t>1</w:t>
            </w:r>
          </w:p>
        </w:tc>
      </w:tr>
      <w:tr w:rsidR="00B9268B" w:rsidRPr="00336E5B" w14:paraId="570DD1C2" w14:textId="77777777" w:rsidTr="00FF49BB">
        <w:trPr>
          <w:trHeight w:val="328"/>
        </w:trPr>
        <w:tc>
          <w:tcPr>
            <w:tcW w:w="5386" w:type="dxa"/>
            <w:tcBorders>
              <w:bottom w:val="single" w:sz="4" w:space="0" w:color="000000"/>
            </w:tcBorders>
            <w:shd w:val="clear" w:color="auto" w:fill="auto"/>
            <w:vAlign w:val="bottom"/>
          </w:tcPr>
          <w:p w14:paraId="198F87D5" w14:textId="022CDE65" w:rsidR="00B9268B" w:rsidRPr="008C33D5" w:rsidRDefault="00B9268B" w:rsidP="00B9268B">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Sigortacılık Sektörü</w:t>
            </w:r>
          </w:p>
        </w:tc>
        <w:tc>
          <w:tcPr>
            <w:tcW w:w="851" w:type="dxa"/>
            <w:tcBorders>
              <w:bottom w:val="single" w:sz="4" w:space="0" w:color="000000"/>
            </w:tcBorders>
            <w:shd w:val="clear" w:color="auto" w:fill="auto"/>
            <w:vAlign w:val="bottom"/>
          </w:tcPr>
          <w:p w14:paraId="325AC342" w14:textId="03AF4762"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0,1</w:t>
            </w:r>
          </w:p>
        </w:tc>
        <w:tc>
          <w:tcPr>
            <w:tcW w:w="992" w:type="dxa"/>
            <w:tcBorders>
              <w:bottom w:val="single" w:sz="4" w:space="0" w:color="000000"/>
            </w:tcBorders>
            <w:vAlign w:val="bottom"/>
          </w:tcPr>
          <w:p w14:paraId="5F017C63" w14:textId="1A3E2762"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0,1</w:t>
            </w:r>
          </w:p>
        </w:tc>
      </w:tr>
      <w:tr w:rsidR="00B9268B" w:rsidRPr="00336E5B" w14:paraId="3EEBF7FE" w14:textId="77777777" w:rsidTr="00FF49BB">
        <w:trPr>
          <w:trHeight w:val="297"/>
        </w:trPr>
        <w:tc>
          <w:tcPr>
            <w:tcW w:w="5386" w:type="dxa"/>
            <w:tcBorders>
              <w:top w:val="single" w:sz="4" w:space="0" w:color="000000"/>
            </w:tcBorders>
            <w:shd w:val="clear" w:color="auto" w:fill="auto"/>
            <w:vAlign w:val="bottom"/>
          </w:tcPr>
          <w:p w14:paraId="66B2DC1F" w14:textId="746B6F38" w:rsidR="00B9268B" w:rsidRPr="008C33D5" w:rsidRDefault="00B9268B" w:rsidP="00B9268B">
            <w:pPr>
              <w:widowControl w:val="0"/>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lang w:val="tr-TR"/>
              </w:rPr>
              <w:t xml:space="preserve">  Devlet </w:t>
            </w:r>
          </w:p>
        </w:tc>
        <w:tc>
          <w:tcPr>
            <w:tcW w:w="851" w:type="dxa"/>
            <w:tcBorders>
              <w:top w:val="single" w:sz="4" w:space="0" w:color="000000"/>
            </w:tcBorders>
            <w:shd w:val="clear" w:color="auto" w:fill="auto"/>
            <w:vAlign w:val="bottom"/>
          </w:tcPr>
          <w:p w14:paraId="76B38EFD" w14:textId="2361B55A" w:rsidR="00B9268B" w:rsidRPr="008C33D5" w:rsidRDefault="00B9268B" w:rsidP="00B9268B">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rPr>
              <w:t>6</w:t>
            </w:r>
            <w:r w:rsidR="00EF3C07" w:rsidRPr="008C33D5">
              <w:rPr>
                <w:rFonts w:asciiTheme="minorHAnsi" w:hAnsiTheme="minorHAnsi" w:cstheme="minorHAnsi"/>
                <w:b/>
                <w:bCs/>
                <w:color w:val="000000"/>
                <w:sz w:val="22"/>
                <w:szCs w:val="22"/>
              </w:rPr>
              <w:t>3</w:t>
            </w:r>
            <w:r w:rsidRPr="008C33D5">
              <w:rPr>
                <w:rFonts w:asciiTheme="minorHAnsi" w:hAnsiTheme="minorHAnsi" w:cstheme="minorHAnsi"/>
                <w:b/>
                <w:bCs/>
                <w:color w:val="000000"/>
                <w:sz w:val="22"/>
                <w:szCs w:val="22"/>
              </w:rPr>
              <w:t>,</w:t>
            </w:r>
            <w:r w:rsidR="00EF3C07" w:rsidRPr="008C33D5">
              <w:rPr>
                <w:rFonts w:asciiTheme="minorHAnsi" w:hAnsiTheme="minorHAnsi" w:cstheme="minorHAnsi"/>
                <w:b/>
                <w:bCs/>
                <w:color w:val="000000"/>
                <w:sz w:val="22"/>
                <w:szCs w:val="22"/>
              </w:rPr>
              <w:t>5</w:t>
            </w:r>
          </w:p>
        </w:tc>
        <w:tc>
          <w:tcPr>
            <w:tcW w:w="992" w:type="dxa"/>
            <w:tcBorders>
              <w:top w:val="single" w:sz="4" w:space="0" w:color="000000"/>
            </w:tcBorders>
            <w:vAlign w:val="bottom"/>
          </w:tcPr>
          <w:p w14:paraId="6181782B" w14:textId="7D04694F" w:rsidR="00B9268B" w:rsidRPr="008C33D5" w:rsidRDefault="00B9268B" w:rsidP="00B9268B">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b/>
                <w:bCs/>
                <w:color w:val="000000"/>
                <w:sz w:val="22"/>
                <w:szCs w:val="22"/>
              </w:rPr>
              <w:t>82</w:t>
            </w:r>
            <w:r w:rsidR="00EF3C07" w:rsidRPr="008C33D5">
              <w:rPr>
                <w:rFonts w:asciiTheme="minorHAnsi" w:hAnsiTheme="minorHAnsi" w:cstheme="minorHAnsi"/>
                <w:b/>
                <w:bCs/>
                <w:color w:val="000000"/>
                <w:sz w:val="22"/>
                <w:szCs w:val="22"/>
              </w:rPr>
              <w:t>.3</w:t>
            </w:r>
          </w:p>
        </w:tc>
      </w:tr>
      <w:tr w:rsidR="00B9268B" w:rsidRPr="00336E5B" w14:paraId="3956DF16" w14:textId="77777777" w:rsidTr="00FF49BB">
        <w:trPr>
          <w:trHeight w:val="345"/>
        </w:trPr>
        <w:tc>
          <w:tcPr>
            <w:tcW w:w="5386" w:type="dxa"/>
            <w:tcBorders>
              <w:bottom w:val="single" w:sz="4" w:space="0" w:color="000000"/>
            </w:tcBorders>
            <w:shd w:val="clear" w:color="auto" w:fill="auto"/>
            <w:vAlign w:val="bottom"/>
          </w:tcPr>
          <w:p w14:paraId="7D95941A" w14:textId="58969E85" w:rsidR="00B9268B" w:rsidRPr="008C33D5" w:rsidRDefault="00B9268B" w:rsidP="00B9268B">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GSYH oranı</w:t>
            </w:r>
          </w:p>
        </w:tc>
        <w:tc>
          <w:tcPr>
            <w:tcW w:w="851" w:type="dxa"/>
            <w:tcBorders>
              <w:bottom w:val="single" w:sz="4" w:space="0" w:color="000000"/>
            </w:tcBorders>
            <w:shd w:val="clear" w:color="auto" w:fill="auto"/>
            <w:vAlign w:val="bottom"/>
          </w:tcPr>
          <w:p w14:paraId="6E5F9890" w14:textId="35880284" w:rsidR="00B9268B" w:rsidRPr="008C33D5" w:rsidRDefault="00B9268B" w:rsidP="00B9268B">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color w:val="000000"/>
                <w:sz w:val="22"/>
                <w:szCs w:val="22"/>
              </w:rPr>
              <w:t>%7,</w:t>
            </w:r>
            <w:r w:rsidR="00EF3C07" w:rsidRPr="008C33D5">
              <w:rPr>
                <w:rFonts w:asciiTheme="minorHAnsi" w:hAnsiTheme="minorHAnsi" w:cstheme="minorHAnsi"/>
                <w:color w:val="000000"/>
                <w:sz w:val="22"/>
                <w:szCs w:val="22"/>
              </w:rPr>
              <w:t>0</w:t>
            </w:r>
          </w:p>
        </w:tc>
        <w:tc>
          <w:tcPr>
            <w:tcW w:w="992" w:type="dxa"/>
            <w:tcBorders>
              <w:bottom w:val="single" w:sz="4" w:space="0" w:color="000000"/>
            </w:tcBorders>
            <w:vAlign w:val="bottom"/>
          </w:tcPr>
          <w:p w14:paraId="646CB489" w14:textId="6398A2CD" w:rsidR="00B9268B" w:rsidRPr="008C33D5" w:rsidRDefault="00B9268B" w:rsidP="00B9268B">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color w:val="000000"/>
                <w:sz w:val="22"/>
                <w:szCs w:val="22"/>
              </w:rPr>
              <w:t>%9,</w:t>
            </w:r>
            <w:r w:rsidR="00EF3C07" w:rsidRPr="008C33D5">
              <w:rPr>
                <w:rFonts w:asciiTheme="minorHAnsi" w:hAnsiTheme="minorHAnsi" w:cstheme="minorHAnsi"/>
                <w:color w:val="000000"/>
                <w:sz w:val="22"/>
                <w:szCs w:val="22"/>
              </w:rPr>
              <w:t>1</w:t>
            </w:r>
          </w:p>
        </w:tc>
      </w:tr>
      <w:tr w:rsidR="00B9268B" w:rsidRPr="00336E5B" w14:paraId="48CB7084" w14:textId="77777777" w:rsidTr="00FF49BB">
        <w:trPr>
          <w:trHeight w:val="328"/>
        </w:trPr>
        <w:tc>
          <w:tcPr>
            <w:tcW w:w="5386" w:type="dxa"/>
            <w:tcBorders>
              <w:top w:val="single" w:sz="4" w:space="0" w:color="000000"/>
            </w:tcBorders>
            <w:shd w:val="clear" w:color="auto" w:fill="auto"/>
            <w:vAlign w:val="bottom"/>
          </w:tcPr>
          <w:p w14:paraId="54B9175F" w14:textId="21570C81" w:rsidR="00B9268B" w:rsidRPr="008C33D5" w:rsidRDefault="00B9268B" w:rsidP="00B9268B">
            <w:pPr>
              <w:widowControl w:val="0"/>
              <w:spacing w:line="276" w:lineRule="auto"/>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Yıkım/Hasar, Enkaz Kaldırma </w:t>
            </w:r>
            <w:proofErr w:type="spellStart"/>
            <w:r w:rsidRPr="008C33D5">
              <w:rPr>
                <w:rFonts w:asciiTheme="minorHAnsi" w:hAnsiTheme="minorHAnsi" w:cstheme="minorHAnsi"/>
                <w:color w:val="000000"/>
                <w:sz w:val="22"/>
                <w:szCs w:val="22"/>
                <w:lang w:val="tr-TR"/>
              </w:rPr>
              <w:t>vs</w:t>
            </w:r>
            <w:proofErr w:type="spellEnd"/>
            <w:r w:rsidRPr="008C33D5">
              <w:rPr>
                <w:rFonts w:asciiTheme="minorHAnsi" w:hAnsiTheme="minorHAnsi" w:cstheme="minorHAnsi"/>
                <w:color w:val="000000"/>
                <w:sz w:val="22"/>
                <w:szCs w:val="22"/>
                <w:lang w:val="tr-TR"/>
              </w:rPr>
              <w:t xml:space="preserve"> Maliyeti</w:t>
            </w:r>
          </w:p>
        </w:tc>
        <w:tc>
          <w:tcPr>
            <w:tcW w:w="851" w:type="dxa"/>
            <w:tcBorders>
              <w:top w:val="single" w:sz="4" w:space="0" w:color="000000"/>
            </w:tcBorders>
            <w:shd w:val="clear" w:color="auto" w:fill="auto"/>
            <w:vAlign w:val="bottom"/>
          </w:tcPr>
          <w:p w14:paraId="5BC2832F" w14:textId="51B4B797" w:rsidR="00B9268B" w:rsidRPr="008C33D5" w:rsidRDefault="00B9268B" w:rsidP="00B9268B">
            <w:pPr>
              <w:widowControl w:val="0"/>
              <w:spacing w:line="276" w:lineRule="auto"/>
              <w:jc w:val="right"/>
              <w:rPr>
                <w:rFonts w:asciiTheme="minorHAnsi" w:hAnsiTheme="minorHAnsi" w:cstheme="minorHAnsi"/>
                <w:sz w:val="22"/>
                <w:szCs w:val="22"/>
                <w:lang w:val="tr-TR"/>
              </w:rPr>
            </w:pPr>
            <w:r w:rsidRPr="008C33D5">
              <w:rPr>
                <w:rFonts w:asciiTheme="minorHAnsi" w:hAnsiTheme="minorHAnsi" w:cstheme="minorHAnsi"/>
                <w:color w:val="000000"/>
                <w:sz w:val="22"/>
                <w:szCs w:val="22"/>
              </w:rPr>
              <w:t>61,4</w:t>
            </w:r>
          </w:p>
        </w:tc>
        <w:tc>
          <w:tcPr>
            <w:tcW w:w="992" w:type="dxa"/>
            <w:tcBorders>
              <w:top w:val="single" w:sz="4" w:space="0" w:color="000000"/>
            </w:tcBorders>
            <w:vAlign w:val="bottom"/>
          </w:tcPr>
          <w:p w14:paraId="502F7C96" w14:textId="12A4204F" w:rsidR="00B9268B" w:rsidRPr="008C33D5" w:rsidRDefault="00B9268B" w:rsidP="00B9268B">
            <w:pPr>
              <w:widowControl w:val="0"/>
              <w:spacing w:line="276" w:lineRule="auto"/>
              <w:jc w:val="right"/>
              <w:rPr>
                <w:rFonts w:asciiTheme="minorHAnsi" w:hAnsiTheme="minorHAnsi" w:cstheme="minorHAnsi"/>
                <w:sz w:val="22"/>
                <w:szCs w:val="22"/>
                <w:lang w:val="tr-TR"/>
              </w:rPr>
            </w:pPr>
            <w:r w:rsidRPr="008C33D5">
              <w:rPr>
                <w:rFonts w:asciiTheme="minorHAnsi" w:hAnsiTheme="minorHAnsi" w:cstheme="minorHAnsi"/>
                <w:color w:val="000000"/>
                <w:sz w:val="22"/>
                <w:szCs w:val="22"/>
              </w:rPr>
              <w:t>79,2</w:t>
            </w:r>
          </w:p>
        </w:tc>
      </w:tr>
      <w:tr w:rsidR="00B9268B" w:rsidRPr="00336E5B" w14:paraId="26F5DECC" w14:textId="77777777" w:rsidTr="00FF49BB">
        <w:trPr>
          <w:trHeight w:val="328"/>
        </w:trPr>
        <w:tc>
          <w:tcPr>
            <w:tcW w:w="5386" w:type="dxa"/>
            <w:shd w:val="clear" w:color="auto" w:fill="auto"/>
            <w:vAlign w:val="bottom"/>
          </w:tcPr>
          <w:p w14:paraId="3FA8529E" w14:textId="631C49BA" w:rsidR="00B9268B" w:rsidRPr="008C33D5" w:rsidRDefault="00B9268B" w:rsidP="00B9268B">
            <w:pPr>
              <w:widowControl w:val="0"/>
              <w:spacing w:line="276" w:lineRule="auto"/>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Depremzedelere Gelir Desteği</w:t>
            </w:r>
          </w:p>
        </w:tc>
        <w:tc>
          <w:tcPr>
            <w:tcW w:w="851" w:type="dxa"/>
            <w:shd w:val="clear" w:color="auto" w:fill="auto"/>
            <w:vAlign w:val="bottom"/>
          </w:tcPr>
          <w:p w14:paraId="377648FF" w14:textId="3AC82818" w:rsidR="00B9268B" w:rsidRPr="008C33D5" w:rsidRDefault="00B9268B" w:rsidP="00B9268B">
            <w:pPr>
              <w:widowControl w:val="0"/>
              <w:spacing w:line="276" w:lineRule="auto"/>
              <w:jc w:val="right"/>
              <w:rPr>
                <w:rFonts w:asciiTheme="minorHAnsi" w:hAnsiTheme="minorHAnsi" w:cstheme="minorHAnsi"/>
                <w:sz w:val="22"/>
                <w:szCs w:val="22"/>
                <w:lang w:val="tr-TR"/>
              </w:rPr>
            </w:pPr>
            <w:r w:rsidRPr="008C33D5">
              <w:rPr>
                <w:rFonts w:asciiTheme="minorHAnsi" w:hAnsiTheme="minorHAnsi" w:cstheme="minorHAnsi"/>
                <w:color w:val="000000"/>
                <w:sz w:val="22"/>
                <w:szCs w:val="22"/>
              </w:rPr>
              <w:t>1,</w:t>
            </w:r>
            <w:r w:rsidR="00EF3C07" w:rsidRPr="008C33D5">
              <w:rPr>
                <w:rFonts w:asciiTheme="minorHAnsi" w:hAnsiTheme="minorHAnsi" w:cstheme="minorHAnsi"/>
                <w:color w:val="000000"/>
                <w:sz w:val="22"/>
                <w:szCs w:val="22"/>
              </w:rPr>
              <w:t>2</w:t>
            </w:r>
          </w:p>
        </w:tc>
        <w:tc>
          <w:tcPr>
            <w:tcW w:w="992" w:type="dxa"/>
            <w:vAlign w:val="bottom"/>
          </w:tcPr>
          <w:p w14:paraId="4FDB310F" w14:textId="34C915F6" w:rsidR="00B9268B" w:rsidRPr="008C33D5" w:rsidRDefault="00EF3C07" w:rsidP="00B9268B">
            <w:pPr>
              <w:widowControl w:val="0"/>
              <w:spacing w:line="276" w:lineRule="auto"/>
              <w:jc w:val="right"/>
              <w:rPr>
                <w:rFonts w:asciiTheme="minorHAnsi" w:hAnsiTheme="minorHAnsi" w:cstheme="minorHAnsi"/>
                <w:sz w:val="22"/>
                <w:szCs w:val="22"/>
                <w:lang w:val="tr-TR"/>
              </w:rPr>
            </w:pPr>
            <w:r w:rsidRPr="008C33D5">
              <w:rPr>
                <w:rFonts w:asciiTheme="minorHAnsi" w:hAnsiTheme="minorHAnsi" w:cstheme="minorHAnsi"/>
                <w:color w:val="000000"/>
                <w:sz w:val="22"/>
                <w:szCs w:val="22"/>
              </w:rPr>
              <w:t>1</w:t>
            </w:r>
            <w:r w:rsidR="00B9268B" w:rsidRPr="008C33D5">
              <w:rPr>
                <w:rFonts w:asciiTheme="minorHAnsi" w:hAnsiTheme="minorHAnsi" w:cstheme="minorHAnsi"/>
                <w:color w:val="000000"/>
                <w:sz w:val="22"/>
                <w:szCs w:val="22"/>
              </w:rPr>
              <w:t>,</w:t>
            </w:r>
            <w:r w:rsidRPr="008C33D5">
              <w:rPr>
                <w:rFonts w:asciiTheme="minorHAnsi" w:hAnsiTheme="minorHAnsi" w:cstheme="minorHAnsi"/>
                <w:color w:val="000000"/>
                <w:sz w:val="22"/>
                <w:szCs w:val="22"/>
              </w:rPr>
              <w:t>4</w:t>
            </w:r>
          </w:p>
        </w:tc>
      </w:tr>
      <w:tr w:rsidR="00B9268B" w:rsidRPr="00336E5B" w14:paraId="56100016" w14:textId="77777777" w:rsidTr="0016755A">
        <w:trPr>
          <w:trHeight w:val="279"/>
        </w:trPr>
        <w:tc>
          <w:tcPr>
            <w:tcW w:w="5386" w:type="dxa"/>
            <w:shd w:val="clear" w:color="auto" w:fill="auto"/>
            <w:vAlign w:val="bottom"/>
          </w:tcPr>
          <w:p w14:paraId="06456FA8" w14:textId="178B77B5" w:rsidR="00B9268B" w:rsidRPr="008C33D5" w:rsidRDefault="00B9268B" w:rsidP="00B9268B">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Vergi Geliri Kaybı  </w:t>
            </w:r>
          </w:p>
        </w:tc>
        <w:tc>
          <w:tcPr>
            <w:tcW w:w="851" w:type="dxa"/>
            <w:shd w:val="clear" w:color="auto" w:fill="auto"/>
            <w:vAlign w:val="bottom"/>
          </w:tcPr>
          <w:p w14:paraId="30D934C8" w14:textId="3A4B0E58"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0,9</w:t>
            </w:r>
          </w:p>
        </w:tc>
        <w:tc>
          <w:tcPr>
            <w:tcW w:w="992" w:type="dxa"/>
            <w:vAlign w:val="bottom"/>
          </w:tcPr>
          <w:p w14:paraId="17CAB1B4" w14:textId="267E6C03" w:rsidR="00B9268B" w:rsidRPr="008C33D5" w:rsidRDefault="00B9268B" w:rsidP="00B9268B">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1,7</w:t>
            </w:r>
          </w:p>
        </w:tc>
      </w:tr>
      <w:tr w:rsidR="00EF3C07" w:rsidRPr="00336E5B" w14:paraId="25EDD61F" w14:textId="77777777" w:rsidTr="0016755A">
        <w:trPr>
          <w:trHeight w:val="325"/>
        </w:trPr>
        <w:tc>
          <w:tcPr>
            <w:tcW w:w="5386" w:type="dxa"/>
            <w:tcBorders>
              <w:bottom w:val="single" w:sz="4" w:space="0" w:color="auto"/>
            </w:tcBorders>
            <w:shd w:val="clear" w:color="auto" w:fill="auto"/>
            <w:vAlign w:val="bottom"/>
          </w:tcPr>
          <w:p w14:paraId="74FBBB0D" w14:textId="47F750FA" w:rsidR="00EF3C07" w:rsidRPr="008C33D5" w:rsidRDefault="00EF3C07" w:rsidP="00EF3C07">
            <w:pPr>
              <w:widowControl w:val="0"/>
              <w:rPr>
                <w:rFonts w:asciiTheme="minorHAnsi" w:hAnsiTheme="minorHAnsi" w:cstheme="minorHAnsi"/>
                <w:b/>
                <w:bCs/>
                <w:color w:val="000000"/>
                <w:sz w:val="22"/>
                <w:szCs w:val="22"/>
                <w:lang w:val="tr-TR"/>
              </w:rPr>
            </w:pPr>
            <w:r w:rsidRPr="008C33D5">
              <w:rPr>
                <w:rFonts w:asciiTheme="minorHAnsi" w:hAnsiTheme="minorHAnsi" w:cstheme="minorHAnsi"/>
                <w:color w:val="000000"/>
                <w:sz w:val="22"/>
                <w:szCs w:val="22"/>
                <w:lang w:val="tr-TR"/>
              </w:rPr>
              <w:t xml:space="preserve">    DASK sigorta ödemesi   </w:t>
            </w:r>
          </w:p>
        </w:tc>
        <w:tc>
          <w:tcPr>
            <w:tcW w:w="851" w:type="dxa"/>
            <w:tcBorders>
              <w:bottom w:val="single" w:sz="4" w:space="0" w:color="auto"/>
            </w:tcBorders>
            <w:shd w:val="clear" w:color="auto" w:fill="auto"/>
            <w:vAlign w:val="bottom"/>
          </w:tcPr>
          <w:p w14:paraId="7843CEA1" w14:textId="71749748" w:rsidR="00EF3C07" w:rsidRPr="008C33D5" w:rsidRDefault="00EF3C07" w:rsidP="00EF3C07">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color w:val="000000"/>
                <w:sz w:val="22"/>
                <w:szCs w:val="22"/>
              </w:rPr>
              <w:t>0,2</w:t>
            </w:r>
          </w:p>
        </w:tc>
        <w:tc>
          <w:tcPr>
            <w:tcW w:w="992" w:type="dxa"/>
            <w:tcBorders>
              <w:bottom w:val="single" w:sz="4" w:space="0" w:color="auto"/>
            </w:tcBorders>
            <w:vAlign w:val="bottom"/>
          </w:tcPr>
          <w:p w14:paraId="5C5AE41B" w14:textId="18378626" w:rsidR="00EF3C07" w:rsidRPr="008C33D5" w:rsidRDefault="00EF3C07" w:rsidP="00EF3C07">
            <w:pPr>
              <w:widowControl w:val="0"/>
              <w:jc w:val="right"/>
              <w:rPr>
                <w:rFonts w:asciiTheme="minorHAnsi" w:hAnsiTheme="minorHAnsi" w:cstheme="minorHAnsi"/>
                <w:b/>
                <w:bCs/>
                <w:color w:val="000000"/>
                <w:sz w:val="22"/>
                <w:szCs w:val="22"/>
                <w:lang w:val="tr-TR"/>
              </w:rPr>
            </w:pPr>
            <w:r w:rsidRPr="008C33D5">
              <w:rPr>
                <w:rFonts w:asciiTheme="minorHAnsi" w:hAnsiTheme="minorHAnsi" w:cstheme="minorHAnsi"/>
                <w:color w:val="000000"/>
                <w:sz w:val="22"/>
                <w:szCs w:val="22"/>
              </w:rPr>
              <w:t>0,3</w:t>
            </w:r>
          </w:p>
        </w:tc>
      </w:tr>
      <w:tr w:rsidR="00EF3C07" w:rsidRPr="00336E5B" w14:paraId="71CD7290" w14:textId="77777777" w:rsidTr="0016755A">
        <w:trPr>
          <w:trHeight w:val="325"/>
        </w:trPr>
        <w:tc>
          <w:tcPr>
            <w:tcW w:w="5386" w:type="dxa"/>
            <w:tcBorders>
              <w:top w:val="single" w:sz="4" w:space="0" w:color="auto"/>
            </w:tcBorders>
            <w:shd w:val="clear" w:color="auto" w:fill="auto"/>
            <w:vAlign w:val="bottom"/>
          </w:tcPr>
          <w:p w14:paraId="3EE02096" w14:textId="499DF780" w:rsidR="00EF3C07" w:rsidRPr="008C33D5" w:rsidRDefault="00EF3C07" w:rsidP="00EF3C07">
            <w:pPr>
              <w:widowControl w:val="0"/>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lang w:val="tr-TR"/>
              </w:rPr>
              <w:t xml:space="preserve">  Yurtdışı Sigortacılık Sektörü (Reasürans)</w:t>
            </w:r>
          </w:p>
        </w:tc>
        <w:tc>
          <w:tcPr>
            <w:tcW w:w="851" w:type="dxa"/>
            <w:tcBorders>
              <w:top w:val="single" w:sz="4" w:space="0" w:color="auto"/>
            </w:tcBorders>
            <w:shd w:val="clear" w:color="auto" w:fill="auto"/>
            <w:vAlign w:val="bottom"/>
          </w:tcPr>
          <w:p w14:paraId="374EF71B" w14:textId="4ADA9684" w:rsidR="00EF3C07" w:rsidRPr="008C33D5" w:rsidRDefault="00EF3C07" w:rsidP="00EF3C07">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rPr>
              <w:t>1,1</w:t>
            </w:r>
          </w:p>
        </w:tc>
        <w:tc>
          <w:tcPr>
            <w:tcW w:w="992" w:type="dxa"/>
            <w:tcBorders>
              <w:top w:val="single" w:sz="4" w:space="0" w:color="auto"/>
            </w:tcBorders>
            <w:vAlign w:val="bottom"/>
          </w:tcPr>
          <w:p w14:paraId="6B6A8DC3" w14:textId="133FD869" w:rsidR="00EF3C07" w:rsidRPr="008C33D5" w:rsidRDefault="00EF3C07" w:rsidP="00EF3C07">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b/>
                <w:bCs/>
                <w:color w:val="000000"/>
                <w:sz w:val="22"/>
                <w:szCs w:val="22"/>
              </w:rPr>
              <w:t>1,8</w:t>
            </w:r>
          </w:p>
        </w:tc>
      </w:tr>
      <w:tr w:rsidR="00EF3C07" w:rsidRPr="00336E5B" w14:paraId="2628F637" w14:textId="77777777" w:rsidTr="00FF49BB">
        <w:trPr>
          <w:trHeight w:val="349"/>
        </w:trPr>
        <w:tc>
          <w:tcPr>
            <w:tcW w:w="5386" w:type="dxa"/>
            <w:tcBorders>
              <w:bottom w:val="double" w:sz="4" w:space="0" w:color="000000"/>
            </w:tcBorders>
            <w:shd w:val="clear" w:color="auto" w:fill="auto"/>
            <w:vAlign w:val="bottom"/>
          </w:tcPr>
          <w:p w14:paraId="4171037D" w14:textId="6E0F1E1A" w:rsidR="00EF3C07" w:rsidRPr="008C33D5" w:rsidRDefault="00EF3C07" w:rsidP="00EF3C07">
            <w:pPr>
              <w:widowControl w:val="0"/>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lang w:val="tr-TR"/>
              </w:rPr>
              <w:t xml:space="preserve">  GSYH oranı</w:t>
            </w:r>
          </w:p>
        </w:tc>
        <w:tc>
          <w:tcPr>
            <w:tcW w:w="851" w:type="dxa"/>
            <w:tcBorders>
              <w:bottom w:val="double" w:sz="4" w:space="0" w:color="000000"/>
            </w:tcBorders>
            <w:shd w:val="clear" w:color="auto" w:fill="auto"/>
            <w:vAlign w:val="bottom"/>
          </w:tcPr>
          <w:p w14:paraId="279FA1E9" w14:textId="5CEDB011" w:rsidR="00EF3C07" w:rsidRPr="008C33D5" w:rsidRDefault="00EF3C07" w:rsidP="00EF3C07">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%0,1</w:t>
            </w:r>
          </w:p>
        </w:tc>
        <w:tc>
          <w:tcPr>
            <w:tcW w:w="992" w:type="dxa"/>
            <w:tcBorders>
              <w:bottom w:val="double" w:sz="4" w:space="0" w:color="000000"/>
            </w:tcBorders>
            <w:vAlign w:val="bottom"/>
          </w:tcPr>
          <w:p w14:paraId="321336C5" w14:textId="7A448A07" w:rsidR="00EF3C07" w:rsidRPr="008C33D5" w:rsidRDefault="00EF3C07" w:rsidP="00EF3C07">
            <w:pPr>
              <w:widowControl w:val="0"/>
              <w:jc w:val="right"/>
              <w:rPr>
                <w:rFonts w:asciiTheme="minorHAnsi" w:hAnsiTheme="minorHAnsi" w:cstheme="minorHAnsi"/>
                <w:color w:val="000000"/>
                <w:sz w:val="22"/>
                <w:szCs w:val="22"/>
                <w:lang w:val="tr-TR"/>
              </w:rPr>
            </w:pPr>
            <w:r w:rsidRPr="008C33D5">
              <w:rPr>
                <w:rFonts w:asciiTheme="minorHAnsi" w:hAnsiTheme="minorHAnsi" w:cstheme="minorHAnsi"/>
                <w:color w:val="000000"/>
                <w:sz w:val="22"/>
                <w:szCs w:val="22"/>
              </w:rPr>
              <w:t>%0,2</w:t>
            </w:r>
          </w:p>
        </w:tc>
      </w:tr>
    </w:tbl>
    <w:p w14:paraId="0C7A5CDF" w14:textId="77777777" w:rsidR="002F4BB9" w:rsidRPr="00336E5B" w:rsidRDefault="002F4BB9" w:rsidP="002F4BB9">
      <w:pPr>
        <w:rPr>
          <w:rFonts w:asciiTheme="minorHAnsi" w:hAnsiTheme="minorHAnsi" w:cstheme="minorHAnsi"/>
          <w:lang w:val="tr-TR"/>
        </w:rPr>
      </w:pPr>
    </w:p>
    <w:p w14:paraId="66AF8319" w14:textId="77777777" w:rsidR="00693196" w:rsidRPr="00336E5B" w:rsidRDefault="00693196" w:rsidP="00693196">
      <w:pPr>
        <w:spacing w:after="120"/>
        <w:rPr>
          <w:rFonts w:asciiTheme="minorHAnsi" w:hAnsiTheme="minorHAnsi" w:cstheme="minorHAnsi"/>
          <w:lang w:val="tr-TR"/>
        </w:rPr>
      </w:pPr>
      <w:r w:rsidRPr="00336E5B">
        <w:rPr>
          <w:rFonts w:asciiTheme="minorHAnsi" w:hAnsiTheme="minorHAnsi" w:cstheme="minorHAnsi"/>
          <w:lang w:val="tr-TR"/>
        </w:rPr>
        <w:t xml:space="preserve">Yıkılan ve ağır hasır gören konut bağımsız birim ve işyerlerinin bir kısmı sigortalı olduğu için oralarda oluşan hasarın bir kısmının sigorta tarafından karşılanması beklenir.  Bir devlet kurumu olan Doğal Afet Sigortaları Kurumu’nun (DASK) web sitesindeki verilere göre bölgedeki binaların yarısı DASK tarafından sigortalanmıştır. Bu bilgiye göre, 11 ilde ikametgâh için kullanılan toplam 2.073.000 binanın 1.034.000’i DASK tarafından sigortalanmıştır.  Ancak bu veriler bazı kafa karışıklıklarına da yol açmaktadır; zira DASK sigortası bina bazında değil bağımsız konut birimi bazında yapılmaktadır. ÇŞİD Bakanlığı’nın bölgede tespit ettiği toplam konut bağımsız birim sayısı, </w:t>
      </w:r>
      <w:proofErr w:type="spellStart"/>
      <w:r w:rsidRPr="00336E5B">
        <w:rPr>
          <w:rFonts w:asciiTheme="minorHAnsi" w:hAnsiTheme="minorHAnsi" w:cstheme="minorHAnsi"/>
          <w:lang w:val="tr-TR"/>
        </w:rPr>
        <w:t>DASK’ın</w:t>
      </w:r>
      <w:proofErr w:type="spellEnd"/>
      <w:r w:rsidRPr="00336E5B">
        <w:rPr>
          <w:rFonts w:asciiTheme="minorHAnsi" w:hAnsiTheme="minorHAnsi" w:cstheme="minorHAnsi"/>
          <w:lang w:val="tr-TR"/>
        </w:rPr>
        <w:t xml:space="preserve"> web sitesinde yer alan rakamın iki katından fazladır. </w:t>
      </w:r>
    </w:p>
    <w:p w14:paraId="146B146C" w14:textId="77777777" w:rsidR="00693196" w:rsidRDefault="00693196" w:rsidP="00693196">
      <w:pPr>
        <w:spacing w:after="120"/>
        <w:rPr>
          <w:rFonts w:asciiTheme="minorHAnsi" w:hAnsiTheme="minorHAnsi" w:cstheme="minorHAnsi"/>
          <w:lang w:val="tr-TR"/>
        </w:rPr>
      </w:pPr>
      <w:r w:rsidRPr="00336E5B">
        <w:rPr>
          <w:rFonts w:asciiTheme="minorHAnsi" w:hAnsiTheme="minorHAnsi" w:cstheme="minorHAnsi"/>
          <w:lang w:val="tr-TR"/>
        </w:rPr>
        <w:t xml:space="preserve">DASK tarafından sigortalanmış konut sayısını bakanlık tarafından açıklanan toplam konut sayısına böldüğümüz zaman bölgedeki DASK kapsama oranının sadece </w:t>
      </w:r>
      <w:r>
        <w:rPr>
          <w:rFonts w:asciiTheme="minorHAnsi" w:hAnsiTheme="minorHAnsi" w:cstheme="minorHAnsi"/>
          <w:lang w:val="tr-TR"/>
        </w:rPr>
        <w:t xml:space="preserve">yüzde </w:t>
      </w:r>
      <w:r w:rsidRPr="00336E5B">
        <w:rPr>
          <w:rFonts w:asciiTheme="minorHAnsi" w:hAnsiTheme="minorHAnsi" w:cstheme="minorHAnsi"/>
          <w:lang w:val="tr-TR"/>
        </w:rPr>
        <w:t xml:space="preserve">20,6 olduğu </w:t>
      </w:r>
      <w:r w:rsidRPr="00336E5B">
        <w:rPr>
          <w:rFonts w:asciiTheme="minorHAnsi" w:hAnsiTheme="minorHAnsi" w:cstheme="minorHAnsi"/>
          <w:lang w:val="tr-TR"/>
        </w:rPr>
        <w:lastRenderedPageBreak/>
        <w:t xml:space="preserve">sonucuna ulaşıyoruz. Bu oranı orta nokta olarak kabul edersek, bölgede yıkılan veya ağır hasarlı olan binaların sadece </w:t>
      </w:r>
      <w:r>
        <w:rPr>
          <w:rFonts w:asciiTheme="minorHAnsi" w:hAnsiTheme="minorHAnsi" w:cstheme="minorHAnsi"/>
          <w:lang w:val="tr-TR"/>
        </w:rPr>
        <w:t xml:space="preserve">yüzde </w:t>
      </w:r>
      <w:r w:rsidRPr="00336E5B">
        <w:rPr>
          <w:rFonts w:asciiTheme="minorHAnsi" w:hAnsiTheme="minorHAnsi" w:cstheme="minorHAnsi"/>
          <w:lang w:val="tr-TR"/>
        </w:rPr>
        <w:t xml:space="preserve">18,5 ila </w:t>
      </w:r>
      <w:r>
        <w:rPr>
          <w:rFonts w:asciiTheme="minorHAnsi" w:hAnsiTheme="minorHAnsi" w:cstheme="minorHAnsi"/>
          <w:lang w:val="tr-TR"/>
        </w:rPr>
        <w:t xml:space="preserve">yüzde </w:t>
      </w:r>
      <w:r w:rsidRPr="00336E5B">
        <w:rPr>
          <w:rFonts w:asciiTheme="minorHAnsi" w:hAnsiTheme="minorHAnsi" w:cstheme="minorHAnsi"/>
          <w:lang w:val="tr-TR"/>
        </w:rPr>
        <w:t>22,5’ünün yeniden yapımı için DASK tarafından 180 ila 220 bin lira arasında sigorta ödemesi yapılacağını varsayabiliriz.</w:t>
      </w:r>
      <w:r w:rsidRPr="00336E5B">
        <w:rPr>
          <w:rStyle w:val="DipnotBavurusu"/>
          <w:rFonts w:asciiTheme="minorHAnsi" w:hAnsiTheme="minorHAnsi" w:cstheme="minorHAnsi"/>
          <w:lang w:val="tr-TR"/>
        </w:rPr>
        <w:footnoteReference w:id="7"/>
      </w:r>
      <w:r w:rsidRPr="00336E5B">
        <w:rPr>
          <w:rFonts w:asciiTheme="minorHAnsi" w:hAnsiTheme="minorHAnsi" w:cstheme="minorHAnsi"/>
          <w:lang w:val="tr-TR"/>
        </w:rPr>
        <w:t xml:space="preserve"> Bu hesaba göre, yıkılmış, acil yıkılacak veya ağır hasar görmüş 600.521 bağımsız konut </w:t>
      </w:r>
      <w:proofErr w:type="gramStart"/>
      <w:r w:rsidRPr="00336E5B">
        <w:rPr>
          <w:rFonts w:asciiTheme="minorHAnsi" w:hAnsiTheme="minorHAnsi" w:cstheme="minorHAnsi"/>
          <w:lang w:val="tr-TR"/>
        </w:rPr>
        <w:t>bölümünün  yeniden</w:t>
      </w:r>
      <w:proofErr w:type="gramEnd"/>
      <w:r w:rsidRPr="00336E5B">
        <w:rPr>
          <w:rFonts w:asciiTheme="minorHAnsi" w:hAnsiTheme="minorHAnsi" w:cstheme="minorHAnsi"/>
          <w:lang w:val="tr-TR"/>
        </w:rPr>
        <w:t xml:space="preserve"> yapım maliyetinin 1,1 ila 1,6 milyar dolarlık bölümü DASK tarafından karşılanacaktır.  </w:t>
      </w:r>
    </w:p>
    <w:p w14:paraId="56CD5C72" w14:textId="07319699" w:rsidR="00693196" w:rsidRPr="00336E5B" w:rsidRDefault="00693196" w:rsidP="00693196">
      <w:pPr>
        <w:spacing w:after="120"/>
        <w:rPr>
          <w:rFonts w:asciiTheme="minorHAnsi" w:hAnsiTheme="minorHAnsi" w:cstheme="minorHAnsi"/>
          <w:lang w:val="tr-TR"/>
        </w:rPr>
      </w:pPr>
      <w:r w:rsidRPr="00336E5B">
        <w:rPr>
          <w:rFonts w:asciiTheme="minorHAnsi" w:hAnsiTheme="minorHAnsi" w:cstheme="minorHAnsi"/>
          <w:lang w:val="tr-TR"/>
        </w:rPr>
        <w:t xml:space="preserve">Bu ödeme deprem bölgesinde yıkılan veya ağır hasarlı bütün konutların yeniden yapım maliyetinin yaklaşık </w:t>
      </w:r>
      <w:r>
        <w:rPr>
          <w:rFonts w:asciiTheme="minorHAnsi" w:hAnsiTheme="minorHAnsi" w:cstheme="minorHAnsi"/>
          <w:lang w:val="tr-TR"/>
        </w:rPr>
        <w:t xml:space="preserve">yüzde </w:t>
      </w:r>
      <w:r w:rsidRPr="00336E5B">
        <w:rPr>
          <w:rFonts w:asciiTheme="minorHAnsi" w:hAnsiTheme="minorHAnsi" w:cstheme="minorHAnsi"/>
          <w:lang w:val="tr-TR"/>
        </w:rPr>
        <w:t xml:space="preserve">3’üne karşılık gelmektedir.  Ancak, DASK da diğer sigorta şirketleri gibi elindeki sigorta poliçelerinin kendi üzerindeki yükünü azaltmak için yurtdışı reasürans hizmetlerinden faydalandığı için bu meblağın sadece </w:t>
      </w:r>
      <w:r>
        <w:rPr>
          <w:rFonts w:asciiTheme="minorHAnsi" w:hAnsiTheme="minorHAnsi" w:cstheme="minorHAnsi"/>
          <w:lang w:val="tr-TR"/>
        </w:rPr>
        <w:t xml:space="preserve">yüzde </w:t>
      </w:r>
      <w:r w:rsidRPr="00336E5B">
        <w:rPr>
          <w:rFonts w:asciiTheme="minorHAnsi" w:hAnsiTheme="minorHAnsi" w:cstheme="minorHAnsi"/>
          <w:lang w:val="tr-TR"/>
        </w:rPr>
        <w:t xml:space="preserve">20’si DASK tarafından kalanı yurtdışındaki reasürans şirketleri tarafından ödenecektir. </w:t>
      </w:r>
    </w:p>
    <w:p w14:paraId="0A9845AD" w14:textId="43DEA6A3" w:rsidR="00111743" w:rsidRPr="00336E5B" w:rsidRDefault="00111743" w:rsidP="00111743">
      <w:pPr>
        <w:spacing w:after="120"/>
        <w:rPr>
          <w:rFonts w:asciiTheme="minorHAnsi" w:hAnsiTheme="minorHAnsi" w:cstheme="minorHAnsi"/>
          <w:lang w:val="tr-TR"/>
        </w:rPr>
      </w:pPr>
      <w:r w:rsidRPr="00336E5B">
        <w:rPr>
          <w:rFonts w:asciiTheme="minorHAnsi" w:hAnsiTheme="minorHAnsi" w:cstheme="minorHAnsi"/>
          <w:lang w:val="tr-TR"/>
        </w:rPr>
        <w:t>Herhangi bir zorunluluk olmaması</w:t>
      </w:r>
      <w:r w:rsidR="00F47A16" w:rsidRPr="00336E5B">
        <w:rPr>
          <w:rFonts w:asciiTheme="minorHAnsi" w:hAnsiTheme="minorHAnsi" w:cstheme="minorHAnsi"/>
          <w:lang w:val="tr-TR"/>
        </w:rPr>
        <w:t>na rağmen</w:t>
      </w:r>
      <w:r w:rsidRPr="00336E5B">
        <w:rPr>
          <w:rFonts w:asciiTheme="minorHAnsi" w:hAnsiTheme="minorHAnsi" w:cstheme="minorHAnsi"/>
          <w:lang w:val="tr-TR"/>
        </w:rPr>
        <w:t xml:space="preserve"> büyük işyer</w:t>
      </w:r>
      <w:r w:rsidR="00F47A16" w:rsidRPr="00336E5B">
        <w:rPr>
          <w:rFonts w:asciiTheme="minorHAnsi" w:hAnsiTheme="minorHAnsi" w:cstheme="minorHAnsi"/>
          <w:lang w:val="tr-TR"/>
        </w:rPr>
        <w:t>i</w:t>
      </w:r>
      <w:r w:rsidRPr="00336E5B">
        <w:rPr>
          <w:rFonts w:asciiTheme="minorHAnsi" w:hAnsiTheme="minorHAnsi" w:cstheme="minorHAnsi"/>
          <w:lang w:val="tr-TR"/>
        </w:rPr>
        <w:t xml:space="preserve"> binalarının sigortalanma ve teminat altına alınma oranının konutlardaki oranın </w:t>
      </w:r>
      <w:r w:rsidR="004B16AD" w:rsidRPr="00336E5B">
        <w:rPr>
          <w:rFonts w:asciiTheme="minorHAnsi" w:hAnsiTheme="minorHAnsi" w:cstheme="minorHAnsi"/>
          <w:lang w:val="tr-TR"/>
        </w:rPr>
        <w:t xml:space="preserve">1,5 katı </w:t>
      </w:r>
      <w:r w:rsidRPr="00336E5B">
        <w:rPr>
          <w:rFonts w:asciiTheme="minorHAnsi" w:hAnsiTheme="minorHAnsi" w:cstheme="minorHAnsi"/>
          <w:lang w:val="tr-TR"/>
        </w:rPr>
        <w:t xml:space="preserve">olduğunu ve bina başına sigorta tarafından karşılanacak miktarın toplam yıkım ya da hasar değerinin </w:t>
      </w:r>
      <w:r w:rsidR="008F1864">
        <w:rPr>
          <w:rFonts w:asciiTheme="minorHAnsi" w:hAnsiTheme="minorHAnsi" w:cstheme="minorHAnsi"/>
          <w:lang w:val="tr-TR"/>
        </w:rPr>
        <w:t xml:space="preserve">yüzde </w:t>
      </w:r>
      <w:r w:rsidRPr="00336E5B">
        <w:rPr>
          <w:rFonts w:asciiTheme="minorHAnsi" w:hAnsiTheme="minorHAnsi" w:cstheme="minorHAnsi"/>
          <w:lang w:val="tr-TR"/>
        </w:rPr>
        <w:t xml:space="preserve">25’i ila </w:t>
      </w:r>
      <w:r w:rsidR="008F1864">
        <w:rPr>
          <w:rFonts w:asciiTheme="minorHAnsi" w:hAnsiTheme="minorHAnsi" w:cstheme="minorHAnsi"/>
          <w:lang w:val="tr-TR"/>
        </w:rPr>
        <w:t xml:space="preserve">yüzde </w:t>
      </w:r>
      <w:r w:rsidRPr="00336E5B">
        <w:rPr>
          <w:rFonts w:asciiTheme="minorHAnsi" w:hAnsiTheme="minorHAnsi" w:cstheme="minorHAnsi"/>
          <w:lang w:val="tr-TR"/>
        </w:rPr>
        <w:t>35’ine eşit olduğunu varsaydığımızda bölgede işyeri binalarındaki yıkım ve ağır hasar için sigortalar tarafından 0,26 ila 0,59 milyar dolar arasında bir ödeme yapılacağını tahmin ediyoruz. Yıkılan binaların enkazı altında kalan araçlar</w:t>
      </w:r>
      <w:r w:rsidR="00F47A16" w:rsidRPr="00336E5B">
        <w:rPr>
          <w:rFonts w:asciiTheme="minorHAnsi" w:hAnsiTheme="minorHAnsi" w:cstheme="minorHAnsi"/>
          <w:lang w:val="tr-TR"/>
        </w:rPr>
        <w:t>ın</w:t>
      </w:r>
      <w:r w:rsidRPr="00336E5B">
        <w:rPr>
          <w:rFonts w:asciiTheme="minorHAnsi" w:hAnsiTheme="minorHAnsi" w:cstheme="minorHAnsi"/>
          <w:lang w:val="tr-TR"/>
        </w:rPr>
        <w:t xml:space="preserve"> </w:t>
      </w:r>
      <w:r w:rsidR="008F1864">
        <w:rPr>
          <w:rFonts w:asciiTheme="minorHAnsi" w:hAnsiTheme="minorHAnsi" w:cstheme="minorHAnsi"/>
          <w:lang w:val="tr-TR"/>
        </w:rPr>
        <w:t xml:space="preserve">yüzde </w:t>
      </w:r>
      <w:r w:rsidR="00F47A16" w:rsidRPr="00336E5B">
        <w:rPr>
          <w:rFonts w:asciiTheme="minorHAnsi" w:hAnsiTheme="minorHAnsi" w:cstheme="minorHAnsi"/>
          <w:lang w:val="tr-TR"/>
        </w:rPr>
        <w:t>17’sinin kasko sigortası olduğu varsayımı altında sigortalar tarafından 87 ila 122 milyon dolarlık bir ödeme yapılması beklenebilir. Bütün bu ödemeleri topladığımızda</w:t>
      </w:r>
      <w:r w:rsidRPr="00336E5B">
        <w:rPr>
          <w:rFonts w:asciiTheme="minorHAnsi" w:hAnsiTheme="minorHAnsi" w:cstheme="minorHAnsi"/>
          <w:lang w:val="tr-TR"/>
        </w:rPr>
        <w:t>, depremin yol açtığı konut ve işyeri yıkımlarının tahmini olarak 1,</w:t>
      </w:r>
      <w:r w:rsidR="00F47A16" w:rsidRPr="00336E5B">
        <w:rPr>
          <w:rFonts w:asciiTheme="minorHAnsi" w:hAnsiTheme="minorHAnsi" w:cstheme="minorHAnsi"/>
          <w:lang w:val="tr-TR"/>
        </w:rPr>
        <w:t>4</w:t>
      </w:r>
      <w:r w:rsidRPr="00336E5B">
        <w:rPr>
          <w:rFonts w:asciiTheme="minorHAnsi" w:hAnsiTheme="minorHAnsi" w:cstheme="minorHAnsi"/>
          <w:lang w:val="tr-TR"/>
        </w:rPr>
        <w:t xml:space="preserve"> il</w:t>
      </w:r>
      <w:r w:rsidR="00F47A16" w:rsidRPr="00336E5B">
        <w:rPr>
          <w:rFonts w:asciiTheme="minorHAnsi" w:hAnsiTheme="minorHAnsi" w:cstheme="minorHAnsi"/>
          <w:lang w:val="tr-TR"/>
        </w:rPr>
        <w:t>a</w:t>
      </w:r>
      <w:r w:rsidRPr="00336E5B">
        <w:rPr>
          <w:rFonts w:asciiTheme="minorHAnsi" w:hAnsiTheme="minorHAnsi" w:cstheme="minorHAnsi"/>
          <w:lang w:val="tr-TR"/>
        </w:rPr>
        <w:t xml:space="preserve"> 2,</w:t>
      </w:r>
      <w:r w:rsidR="00F47A16" w:rsidRPr="00336E5B">
        <w:rPr>
          <w:rFonts w:asciiTheme="minorHAnsi" w:hAnsiTheme="minorHAnsi" w:cstheme="minorHAnsi"/>
          <w:lang w:val="tr-TR"/>
        </w:rPr>
        <w:t>3</w:t>
      </w:r>
      <w:r w:rsidRPr="00336E5B">
        <w:rPr>
          <w:rFonts w:asciiTheme="minorHAnsi" w:hAnsiTheme="minorHAnsi" w:cstheme="minorHAnsi"/>
          <w:lang w:val="tr-TR"/>
        </w:rPr>
        <w:t xml:space="preserve"> milyar dolarlık kısmının </w:t>
      </w:r>
      <w:r w:rsidR="00F47A16" w:rsidRPr="00336E5B">
        <w:rPr>
          <w:rFonts w:asciiTheme="minorHAnsi" w:hAnsiTheme="minorHAnsi" w:cstheme="minorHAnsi"/>
          <w:lang w:val="tr-TR"/>
        </w:rPr>
        <w:t xml:space="preserve">DASK ve </w:t>
      </w:r>
      <w:r w:rsidRPr="00336E5B">
        <w:rPr>
          <w:rFonts w:asciiTheme="minorHAnsi" w:hAnsiTheme="minorHAnsi" w:cstheme="minorHAnsi"/>
          <w:lang w:val="tr-TR"/>
        </w:rPr>
        <w:t>sigortacılık sektörü tarafından karşılanacağı sonucuna ulaşıyoruz.</w:t>
      </w:r>
    </w:p>
    <w:p w14:paraId="26746972" w14:textId="67A6F458" w:rsidR="00B96916" w:rsidRPr="00336E5B" w:rsidRDefault="00F07F72" w:rsidP="00F07F72">
      <w:pPr>
        <w:spacing w:after="120"/>
        <w:rPr>
          <w:rFonts w:asciiTheme="minorHAnsi" w:hAnsiTheme="minorHAnsi" w:cstheme="minorHAnsi"/>
          <w:lang w:val="tr-TR"/>
        </w:rPr>
      </w:pPr>
      <w:r w:rsidRPr="00336E5B">
        <w:rPr>
          <w:rFonts w:asciiTheme="minorHAnsi" w:hAnsiTheme="minorHAnsi" w:cstheme="minorHAnsi"/>
          <w:lang w:val="tr-TR"/>
        </w:rPr>
        <w:t xml:space="preserve">Tablo </w:t>
      </w:r>
      <w:r w:rsidR="00A82BE8" w:rsidRPr="00336E5B">
        <w:rPr>
          <w:rFonts w:asciiTheme="minorHAnsi" w:hAnsiTheme="minorHAnsi" w:cstheme="minorHAnsi"/>
          <w:lang w:val="tr-TR"/>
        </w:rPr>
        <w:t>3</w:t>
      </w:r>
      <w:r w:rsidRPr="00336E5B">
        <w:rPr>
          <w:rFonts w:asciiTheme="minorHAnsi" w:hAnsiTheme="minorHAnsi" w:cstheme="minorHAnsi"/>
          <w:lang w:val="tr-TR"/>
        </w:rPr>
        <w:t xml:space="preserve">’deki hesaplarımıza göre </w:t>
      </w:r>
      <w:r w:rsidR="000E67EB" w:rsidRPr="00336E5B">
        <w:rPr>
          <w:rFonts w:asciiTheme="minorHAnsi" w:hAnsiTheme="minorHAnsi" w:cstheme="minorHAnsi"/>
          <w:lang w:val="tr-TR"/>
        </w:rPr>
        <w:t xml:space="preserve">bölgedeki üretim kaybı sonucu </w:t>
      </w:r>
      <w:r w:rsidR="009B52D6" w:rsidRPr="00336E5B">
        <w:rPr>
          <w:rFonts w:asciiTheme="minorHAnsi" w:hAnsiTheme="minorHAnsi" w:cstheme="minorHAnsi"/>
          <w:lang w:val="tr-TR"/>
        </w:rPr>
        <w:t>7</w:t>
      </w:r>
      <w:r w:rsidRPr="00336E5B">
        <w:rPr>
          <w:rFonts w:asciiTheme="minorHAnsi" w:hAnsiTheme="minorHAnsi" w:cstheme="minorHAnsi"/>
          <w:lang w:val="tr-TR"/>
        </w:rPr>
        <w:t>,</w:t>
      </w:r>
      <w:r w:rsidR="009B52D6" w:rsidRPr="00336E5B">
        <w:rPr>
          <w:rFonts w:asciiTheme="minorHAnsi" w:hAnsiTheme="minorHAnsi" w:cstheme="minorHAnsi"/>
          <w:lang w:val="tr-TR"/>
        </w:rPr>
        <w:t>6</w:t>
      </w:r>
      <w:r w:rsidRPr="00336E5B">
        <w:rPr>
          <w:rFonts w:asciiTheme="minorHAnsi" w:hAnsiTheme="minorHAnsi" w:cstheme="minorHAnsi"/>
          <w:lang w:val="tr-TR"/>
        </w:rPr>
        <w:t xml:space="preserve"> ile </w:t>
      </w:r>
      <w:r w:rsidR="009B52D6" w:rsidRPr="00336E5B">
        <w:rPr>
          <w:rFonts w:asciiTheme="minorHAnsi" w:hAnsiTheme="minorHAnsi" w:cstheme="minorHAnsi"/>
          <w:lang w:val="tr-TR"/>
        </w:rPr>
        <w:t>12,6</w:t>
      </w:r>
      <w:r w:rsidRPr="00336E5B">
        <w:rPr>
          <w:rFonts w:asciiTheme="minorHAnsi" w:hAnsiTheme="minorHAnsi" w:cstheme="minorHAnsi"/>
          <w:lang w:val="tr-TR"/>
        </w:rPr>
        <w:t xml:space="preserve"> milyar dolar</w:t>
      </w:r>
      <w:r w:rsidR="000E67EB" w:rsidRPr="00336E5B">
        <w:rPr>
          <w:rFonts w:asciiTheme="minorHAnsi" w:hAnsiTheme="minorHAnsi" w:cstheme="minorHAnsi"/>
          <w:lang w:val="tr-TR"/>
        </w:rPr>
        <w:t xml:space="preserve">, ülke </w:t>
      </w:r>
      <w:r w:rsidR="00374D8D" w:rsidRPr="00336E5B">
        <w:rPr>
          <w:rFonts w:asciiTheme="minorHAnsi" w:hAnsiTheme="minorHAnsi" w:cstheme="minorHAnsi"/>
          <w:lang w:val="tr-TR"/>
        </w:rPr>
        <w:t>çapında depremin etkisiyle turizm gelirlerin</w:t>
      </w:r>
      <w:r w:rsidR="000E67EB" w:rsidRPr="00336E5B">
        <w:rPr>
          <w:rFonts w:asciiTheme="minorHAnsi" w:hAnsiTheme="minorHAnsi" w:cstheme="minorHAnsi"/>
          <w:lang w:val="tr-TR"/>
        </w:rPr>
        <w:t xml:space="preserve">in </w:t>
      </w:r>
      <w:r w:rsidR="008035C8">
        <w:rPr>
          <w:rFonts w:asciiTheme="minorHAnsi" w:hAnsiTheme="minorHAnsi" w:cstheme="minorHAnsi"/>
          <w:lang w:val="tr-TR"/>
        </w:rPr>
        <w:t xml:space="preserve">yüzde </w:t>
      </w:r>
      <w:r w:rsidR="000E67EB" w:rsidRPr="00336E5B">
        <w:rPr>
          <w:rFonts w:asciiTheme="minorHAnsi" w:hAnsiTheme="minorHAnsi" w:cstheme="minorHAnsi"/>
          <w:lang w:val="tr-TR"/>
        </w:rPr>
        <w:t>5-</w:t>
      </w:r>
      <w:proofErr w:type="gramStart"/>
      <w:r w:rsidR="000E67EB" w:rsidRPr="00336E5B">
        <w:rPr>
          <w:rFonts w:asciiTheme="minorHAnsi" w:hAnsiTheme="minorHAnsi" w:cstheme="minorHAnsi"/>
          <w:lang w:val="tr-TR"/>
        </w:rPr>
        <w:t>10  arasında</w:t>
      </w:r>
      <w:proofErr w:type="gramEnd"/>
      <w:r w:rsidR="000E67EB" w:rsidRPr="00336E5B">
        <w:rPr>
          <w:rFonts w:asciiTheme="minorHAnsi" w:hAnsiTheme="minorHAnsi" w:cstheme="minorHAnsi"/>
          <w:lang w:val="tr-TR"/>
        </w:rPr>
        <w:t xml:space="preserve"> düşmesiyle 2,3 ile 4,6 milyar dolar olmak üzere toplamda özel sektörün 9,9 ila 17,2 milyar dolar arasında gelir kaybı yaşamasını bekleyebiliriz. </w:t>
      </w:r>
    </w:p>
    <w:p w14:paraId="5AFE09D6" w14:textId="77777777" w:rsidR="00B96916" w:rsidRPr="00336E5B" w:rsidRDefault="00B96916" w:rsidP="00B96916">
      <w:pPr>
        <w:spacing w:after="120"/>
        <w:rPr>
          <w:rFonts w:asciiTheme="minorHAnsi" w:hAnsiTheme="minorHAnsi" w:cstheme="minorHAnsi"/>
          <w:lang w:val="tr-TR"/>
        </w:rPr>
      </w:pPr>
      <w:r w:rsidRPr="00336E5B">
        <w:rPr>
          <w:rFonts w:asciiTheme="minorHAnsi" w:hAnsiTheme="minorHAnsi" w:cstheme="minorHAnsi"/>
          <w:lang w:val="tr-TR"/>
        </w:rPr>
        <w:t>Elbette bölge ya da bölge dışındaki gelir kayıplarıyla birlikte devletin elde ettiği vergi gelirlerinde de bir düşüş olması kaçınılmaz gözükmektedir. Turizm gelirlerindeki düşüş ve bölgedeki üretim faaliyetlerinin 1,5 ile 2,5 ay arasında sekteye uğraması sonucunda oluşacak vergi kaybının 0,9 ila 1,7 milyar dolar arasında olmasını bekliyoruz.</w:t>
      </w:r>
    </w:p>
    <w:p w14:paraId="1019DCB0" w14:textId="5FD31831" w:rsidR="00B96916" w:rsidRPr="00336E5B" w:rsidRDefault="00B96916" w:rsidP="00B96916">
      <w:pPr>
        <w:spacing w:after="120"/>
        <w:rPr>
          <w:rFonts w:asciiTheme="minorHAnsi" w:hAnsiTheme="minorHAnsi" w:cstheme="minorHAnsi"/>
          <w:lang w:val="tr-TR"/>
        </w:rPr>
      </w:pPr>
      <w:r w:rsidRPr="00336E5B">
        <w:rPr>
          <w:rFonts w:asciiTheme="minorHAnsi" w:hAnsiTheme="minorHAnsi" w:cstheme="minorHAnsi"/>
          <w:lang w:val="tr-TR"/>
        </w:rPr>
        <w:t>Öte yandan, h</w:t>
      </w:r>
      <w:r w:rsidR="00441EC3" w:rsidRPr="00336E5B">
        <w:rPr>
          <w:rFonts w:asciiTheme="minorHAnsi" w:hAnsiTheme="minorHAnsi" w:cstheme="minorHAnsi"/>
          <w:lang w:val="tr-TR"/>
        </w:rPr>
        <w:t xml:space="preserve">ane halklarının deprem nedeniyle yaşadığı gelir kaybının bir kısmını </w:t>
      </w:r>
      <w:r w:rsidR="00F07F72" w:rsidRPr="00336E5B">
        <w:rPr>
          <w:rFonts w:asciiTheme="minorHAnsi" w:hAnsiTheme="minorHAnsi" w:cstheme="minorHAnsi"/>
          <w:lang w:val="tr-TR"/>
        </w:rPr>
        <w:t xml:space="preserve">telafi etmek </w:t>
      </w:r>
      <w:r w:rsidR="00441EC3" w:rsidRPr="00336E5B">
        <w:rPr>
          <w:rFonts w:asciiTheme="minorHAnsi" w:hAnsiTheme="minorHAnsi" w:cstheme="minorHAnsi"/>
          <w:lang w:val="tr-TR"/>
        </w:rPr>
        <w:t>ve evlerinin uğradığı yıkım sonrasında barınma</w:t>
      </w:r>
      <w:r w:rsidR="00F07F72" w:rsidRPr="00336E5B">
        <w:rPr>
          <w:rFonts w:asciiTheme="minorHAnsi" w:hAnsiTheme="minorHAnsi" w:cstheme="minorHAnsi"/>
          <w:lang w:val="tr-TR"/>
        </w:rPr>
        <w:t xml:space="preserve"> ihtiyaçlarına destek olmak </w:t>
      </w:r>
      <w:r w:rsidR="00441EC3" w:rsidRPr="00336E5B">
        <w:rPr>
          <w:rFonts w:asciiTheme="minorHAnsi" w:hAnsiTheme="minorHAnsi" w:cstheme="minorHAnsi"/>
          <w:lang w:val="tr-TR"/>
        </w:rPr>
        <w:t>için</w:t>
      </w:r>
      <w:r w:rsidR="0084340A" w:rsidRPr="00336E5B">
        <w:rPr>
          <w:rFonts w:asciiTheme="minorHAnsi" w:hAnsiTheme="minorHAnsi" w:cstheme="minorHAnsi"/>
          <w:lang w:val="tr-TR"/>
        </w:rPr>
        <w:t>,</w:t>
      </w:r>
      <w:r w:rsidR="00441EC3" w:rsidRPr="00336E5B">
        <w:rPr>
          <w:rFonts w:asciiTheme="minorHAnsi" w:hAnsiTheme="minorHAnsi" w:cstheme="minorHAnsi"/>
          <w:lang w:val="tr-TR"/>
        </w:rPr>
        <w:t xml:space="preserve"> </w:t>
      </w:r>
      <w:r w:rsidR="00F07F72" w:rsidRPr="00336E5B">
        <w:rPr>
          <w:rFonts w:asciiTheme="minorHAnsi" w:hAnsiTheme="minorHAnsi" w:cstheme="minorHAnsi"/>
          <w:lang w:val="tr-TR"/>
        </w:rPr>
        <w:t>devletin</w:t>
      </w:r>
      <w:r w:rsidR="00441EC3" w:rsidRPr="00336E5B">
        <w:rPr>
          <w:rFonts w:asciiTheme="minorHAnsi" w:hAnsiTheme="minorHAnsi" w:cstheme="minorHAnsi"/>
          <w:lang w:val="tr-TR"/>
        </w:rPr>
        <w:t xml:space="preserve"> en çok etkilenen hanelere gelir yardımı yapması beklenir.</w:t>
      </w:r>
      <w:r w:rsidRPr="00336E5B">
        <w:rPr>
          <w:rFonts w:asciiTheme="minorHAnsi" w:hAnsiTheme="minorHAnsi" w:cstheme="minorHAnsi"/>
          <w:lang w:val="tr-TR"/>
        </w:rPr>
        <w:t xml:space="preserve">  Devletin depremzedelere yapacağı gelir yardımı da özel sektörün (hane halkları ve şirketler) net gelir kaybını azaltıcı etki yapacaktır.</w:t>
      </w:r>
    </w:p>
    <w:p w14:paraId="0ABCF56C" w14:textId="56F8A6BF" w:rsidR="00B96916" w:rsidRPr="00336E5B" w:rsidRDefault="00441EC3" w:rsidP="000E4B7D">
      <w:pPr>
        <w:spacing w:after="120"/>
        <w:rPr>
          <w:rFonts w:asciiTheme="minorHAnsi" w:hAnsiTheme="minorHAnsi" w:cstheme="minorHAnsi"/>
          <w:lang w:val="tr-TR"/>
        </w:rPr>
      </w:pPr>
      <w:r w:rsidRPr="00336E5B">
        <w:rPr>
          <w:rFonts w:asciiTheme="minorHAnsi" w:hAnsiTheme="minorHAnsi" w:cstheme="minorHAnsi"/>
          <w:lang w:val="tr-TR"/>
        </w:rPr>
        <w:t>Nitekim, devletin farklı kuruluşları</w:t>
      </w:r>
      <w:r w:rsidR="0084340A" w:rsidRPr="00336E5B">
        <w:rPr>
          <w:rFonts w:asciiTheme="minorHAnsi" w:hAnsiTheme="minorHAnsi" w:cstheme="minorHAnsi"/>
          <w:lang w:val="tr-TR"/>
        </w:rPr>
        <w:t>,</w:t>
      </w:r>
      <w:r w:rsidRPr="00336E5B">
        <w:rPr>
          <w:rFonts w:asciiTheme="minorHAnsi" w:hAnsiTheme="minorHAnsi" w:cstheme="minorHAnsi"/>
          <w:lang w:val="tr-TR"/>
        </w:rPr>
        <w:t xml:space="preserve"> d</w:t>
      </w:r>
      <w:r w:rsidR="00126B59" w:rsidRPr="00336E5B">
        <w:rPr>
          <w:rFonts w:asciiTheme="minorHAnsi" w:hAnsiTheme="minorHAnsi" w:cstheme="minorHAnsi"/>
          <w:lang w:val="tr-TR"/>
        </w:rPr>
        <w:t xml:space="preserve">eprem sonrasında devletin </w:t>
      </w:r>
      <w:r w:rsidRPr="00336E5B">
        <w:rPr>
          <w:rFonts w:asciiTheme="minorHAnsi" w:hAnsiTheme="minorHAnsi" w:cstheme="minorHAnsi"/>
          <w:lang w:val="tr-TR"/>
        </w:rPr>
        <w:t xml:space="preserve">depremzedelere yapacağı </w:t>
      </w:r>
      <w:r w:rsidR="00126B59" w:rsidRPr="00336E5B">
        <w:rPr>
          <w:rFonts w:asciiTheme="minorHAnsi" w:hAnsiTheme="minorHAnsi" w:cstheme="minorHAnsi"/>
          <w:lang w:val="tr-TR"/>
        </w:rPr>
        <w:t xml:space="preserve">doğrudan gelir yardımlarını </w:t>
      </w:r>
      <w:r w:rsidRPr="00336E5B">
        <w:rPr>
          <w:rFonts w:asciiTheme="minorHAnsi" w:hAnsiTheme="minorHAnsi" w:cstheme="minorHAnsi"/>
          <w:lang w:val="tr-TR"/>
        </w:rPr>
        <w:t>ilan etmiş</w:t>
      </w:r>
      <w:r w:rsidR="0084340A" w:rsidRPr="00336E5B">
        <w:rPr>
          <w:rFonts w:asciiTheme="minorHAnsi" w:hAnsiTheme="minorHAnsi" w:cstheme="minorHAnsi"/>
          <w:lang w:val="tr-TR"/>
        </w:rPr>
        <w:t>lerdir</w:t>
      </w:r>
      <w:r w:rsidR="00126B59" w:rsidRPr="00336E5B">
        <w:rPr>
          <w:rFonts w:asciiTheme="minorHAnsi" w:hAnsiTheme="minorHAnsi" w:cstheme="minorHAnsi"/>
          <w:lang w:val="tr-TR"/>
        </w:rPr>
        <w:t xml:space="preserve">: Depremde enkaz altında hayatını kaybeden her kişi için yakınlarına 100 bin lira maddi yardım, evi yıkılan her aileye 10 bin lira maddi yardım, </w:t>
      </w:r>
      <w:r w:rsidR="000E67EB" w:rsidRPr="00336E5B">
        <w:rPr>
          <w:rFonts w:asciiTheme="minorHAnsi" w:hAnsiTheme="minorHAnsi" w:cstheme="minorHAnsi"/>
          <w:lang w:val="tr-TR"/>
        </w:rPr>
        <w:t xml:space="preserve">depremden önce kirada oturanlara aylık 3 bin, ev sahiplerine aylık </w:t>
      </w:r>
      <w:r w:rsidR="00CA0640" w:rsidRPr="00336E5B">
        <w:rPr>
          <w:rFonts w:asciiTheme="minorHAnsi" w:hAnsiTheme="minorHAnsi" w:cstheme="minorHAnsi"/>
          <w:lang w:val="tr-TR"/>
        </w:rPr>
        <w:t>5</w:t>
      </w:r>
      <w:r w:rsidR="00397289" w:rsidRPr="00336E5B">
        <w:rPr>
          <w:rFonts w:asciiTheme="minorHAnsi" w:hAnsiTheme="minorHAnsi" w:cstheme="minorHAnsi"/>
          <w:lang w:val="tr-TR"/>
        </w:rPr>
        <w:t xml:space="preserve"> bin</w:t>
      </w:r>
      <w:r w:rsidR="00126B59" w:rsidRPr="00336E5B">
        <w:rPr>
          <w:rFonts w:asciiTheme="minorHAnsi" w:hAnsiTheme="minorHAnsi" w:cstheme="minorHAnsi"/>
          <w:lang w:val="tr-TR"/>
        </w:rPr>
        <w:t xml:space="preserve"> lira olmak üzere yıllık </w:t>
      </w:r>
      <w:r w:rsidR="000E67EB" w:rsidRPr="00336E5B">
        <w:rPr>
          <w:rFonts w:asciiTheme="minorHAnsi" w:hAnsiTheme="minorHAnsi" w:cstheme="minorHAnsi"/>
          <w:lang w:val="tr-TR"/>
        </w:rPr>
        <w:t xml:space="preserve">36 ve </w:t>
      </w:r>
      <w:r w:rsidR="00CA0640" w:rsidRPr="00336E5B">
        <w:rPr>
          <w:rFonts w:asciiTheme="minorHAnsi" w:hAnsiTheme="minorHAnsi" w:cstheme="minorHAnsi"/>
          <w:lang w:val="tr-TR"/>
        </w:rPr>
        <w:t>60</w:t>
      </w:r>
      <w:r w:rsidR="00126B59" w:rsidRPr="00336E5B">
        <w:rPr>
          <w:rFonts w:asciiTheme="minorHAnsi" w:hAnsiTheme="minorHAnsi" w:cstheme="minorHAnsi"/>
          <w:lang w:val="tr-TR"/>
        </w:rPr>
        <w:t xml:space="preserve"> bin lira kira yardımı, bölgeden taşınmak isteyen ailelere 15 bin lira taşınma yardımı. </w:t>
      </w:r>
      <w:r w:rsidR="003C1552" w:rsidRPr="00336E5B">
        <w:rPr>
          <w:rFonts w:asciiTheme="minorHAnsi" w:hAnsiTheme="minorHAnsi" w:cstheme="minorHAnsi"/>
          <w:lang w:val="tr-TR"/>
        </w:rPr>
        <w:t xml:space="preserve">Depremde yaşamını kaybeden kişi sayısının </w:t>
      </w:r>
      <w:r w:rsidR="000E67EB" w:rsidRPr="00336E5B">
        <w:rPr>
          <w:rFonts w:asciiTheme="minorHAnsi" w:hAnsiTheme="minorHAnsi" w:cstheme="minorHAnsi"/>
          <w:lang w:val="tr-TR"/>
        </w:rPr>
        <w:t xml:space="preserve">resmi verilerle </w:t>
      </w:r>
      <w:r w:rsidR="00126B59" w:rsidRPr="00336E5B">
        <w:rPr>
          <w:rFonts w:asciiTheme="minorHAnsi" w:hAnsiTheme="minorHAnsi" w:cstheme="minorHAnsi"/>
          <w:lang w:val="tr-TR"/>
        </w:rPr>
        <w:t>5</w:t>
      </w:r>
      <w:r w:rsidR="000E67EB" w:rsidRPr="00336E5B">
        <w:rPr>
          <w:rFonts w:asciiTheme="minorHAnsi" w:hAnsiTheme="minorHAnsi" w:cstheme="minorHAnsi"/>
          <w:lang w:val="tr-TR"/>
        </w:rPr>
        <w:t>0</w:t>
      </w:r>
      <w:r w:rsidR="00126B59" w:rsidRPr="00336E5B">
        <w:rPr>
          <w:rFonts w:asciiTheme="minorHAnsi" w:hAnsiTheme="minorHAnsi" w:cstheme="minorHAnsi"/>
          <w:lang w:val="tr-TR"/>
        </w:rPr>
        <w:t xml:space="preserve"> bin, yıkılan ve ağır hasarlı bağımsız konut birim</w:t>
      </w:r>
      <w:r w:rsidR="003C1552" w:rsidRPr="00336E5B">
        <w:rPr>
          <w:rFonts w:asciiTheme="minorHAnsi" w:hAnsiTheme="minorHAnsi" w:cstheme="minorHAnsi"/>
          <w:lang w:val="tr-TR"/>
        </w:rPr>
        <w:t xml:space="preserve"> sayısının </w:t>
      </w:r>
      <w:r w:rsidR="00CC4D62" w:rsidRPr="00336E5B">
        <w:rPr>
          <w:rFonts w:asciiTheme="minorHAnsi" w:hAnsiTheme="minorHAnsi" w:cstheme="minorHAnsi"/>
          <w:lang w:val="tr-TR"/>
        </w:rPr>
        <w:t xml:space="preserve">685 </w:t>
      </w:r>
      <w:r w:rsidR="003C1552" w:rsidRPr="00336E5B">
        <w:rPr>
          <w:rFonts w:asciiTheme="minorHAnsi" w:hAnsiTheme="minorHAnsi" w:cstheme="minorHAnsi"/>
          <w:lang w:val="tr-TR"/>
        </w:rPr>
        <w:t>bin</w:t>
      </w:r>
      <w:r w:rsidR="00B96916" w:rsidRPr="00336E5B">
        <w:rPr>
          <w:rFonts w:asciiTheme="minorHAnsi" w:hAnsiTheme="minorHAnsi" w:cstheme="minorHAnsi"/>
          <w:lang w:val="tr-TR"/>
        </w:rPr>
        <w:t xml:space="preserve"> konutta oturan ailelerin yarısının kirada yarısının da bölgede konteyner ve prefabrik evlerde oturacağını varsayıyoruz. </w:t>
      </w:r>
      <w:r w:rsidR="00126B59" w:rsidRPr="00336E5B">
        <w:rPr>
          <w:rFonts w:asciiTheme="minorHAnsi" w:hAnsiTheme="minorHAnsi" w:cstheme="minorHAnsi"/>
          <w:lang w:val="tr-TR"/>
        </w:rPr>
        <w:t xml:space="preserve"> </w:t>
      </w:r>
      <w:r w:rsidR="00B96916" w:rsidRPr="00336E5B">
        <w:rPr>
          <w:rFonts w:asciiTheme="minorHAnsi" w:hAnsiTheme="minorHAnsi" w:cstheme="minorHAnsi"/>
          <w:lang w:val="tr-TR"/>
        </w:rPr>
        <w:t xml:space="preserve">Yine bu çerçevede </w:t>
      </w:r>
      <w:r w:rsidR="00126B59" w:rsidRPr="00336E5B">
        <w:rPr>
          <w:rFonts w:asciiTheme="minorHAnsi" w:hAnsiTheme="minorHAnsi" w:cstheme="minorHAnsi"/>
          <w:lang w:val="tr-TR"/>
        </w:rPr>
        <w:t>evleri yıkılan ve</w:t>
      </w:r>
      <w:r w:rsidR="0084340A" w:rsidRPr="00336E5B">
        <w:rPr>
          <w:rFonts w:asciiTheme="minorHAnsi" w:hAnsiTheme="minorHAnsi" w:cstheme="minorHAnsi"/>
          <w:lang w:val="tr-TR"/>
        </w:rPr>
        <w:t>ya</w:t>
      </w:r>
      <w:r w:rsidR="00126B59" w:rsidRPr="00336E5B">
        <w:rPr>
          <w:rFonts w:asciiTheme="minorHAnsi" w:hAnsiTheme="minorHAnsi" w:cstheme="minorHAnsi"/>
          <w:lang w:val="tr-TR"/>
        </w:rPr>
        <w:t xml:space="preserve"> ağır hasarlı</w:t>
      </w:r>
      <w:r w:rsidR="0084340A" w:rsidRPr="00336E5B">
        <w:rPr>
          <w:rFonts w:asciiTheme="minorHAnsi" w:hAnsiTheme="minorHAnsi" w:cstheme="minorHAnsi"/>
          <w:lang w:val="tr-TR"/>
        </w:rPr>
        <w:t xml:space="preserve"> olan</w:t>
      </w:r>
      <w:r w:rsidR="00126B59" w:rsidRPr="00336E5B">
        <w:rPr>
          <w:rFonts w:asciiTheme="minorHAnsi" w:hAnsiTheme="minorHAnsi" w:cstheme="minorHAnsi"/>
          <w:lang w:val="tr-TR"/>
        </w:rPr>
        <w:t xml:space="preserve"> ailelerinin beşte birinin bölgeden taşın</w:t>
      </w:r>
      <w:r w:rsidR="0084340A" w:rsidRPr="00336E5B">
        <w:rPr>
          <w:rFonts w:asciiTheme="minorHAnsi" w:hAnsiTheme="minorHAnsi" w:cstheme="minorHAnsi"/>
          <w:lang w:val="tr-TR"/>
        </w:rPr>
        <w:t>acağını</w:t>
      </w:r>
      <w:r w:rsidR="003C1552" w:rsidRPr="00336E5B">
        <w:rPr>
          <w:rFonts w:asciiTheme="minorHAnsi" w:hAnsiTheme="minorHAnsi" w:cstheme="minorHAnsi"/>
          <w:lang w:val="tr-TR"/>
        </w:rPr>
        <w:t xml:space="preserve"> varsay</w:t>
      </w:r>
      <w:r w:rsidR="00B96916" w:rsidRPr="00336E5B">
        <w:rPr>
          <w:rFonts w:asciiTheme="minorHAnsi" w:hAnsiTheme="minorHAnsi" w:cstheme="minorHAnsi"/>
          <w:lang w:val="tr-TR"/>
        </w:rPr>
        <w:t xml:space="preserve">ıyoruz.  Bu </w:t>
      </w:r>
      <w:r w:rsidR="00B96916" w:rsidRPr="00336E5B">
        <w:rPr>
          <w:rFonts w:asciiTheme="minorHAnsi" w:hAnsiTheme="minorHAnsi" w:cstheme="minorHAnsi"/>
          <w:lang w:val="tr-TR"/>
        </w:rPr>
        <w:lastRenderedPageBreak/>
        <w:t>varsayımlar sonucunda</w:t>
      </w:r>
      <w:r w:rsidR="0084340A" w:rsidRPr="00336E5B">
        <w:rPr>
          <w:rFonts w:asciiTheme="minorHAnsi" w:hAnsiTheme="minorHAnsi" w:cstheme="minorHAnsi"/>
          <w:lang w:val="tr-TR"/>
        </w:rPr>
        <w:t>,</w:t>
      </w:r>
      <w:r w:rsidR="003C1552" w:rsidRPr="00336E5B">
        <w:rPr>
          <w:rFonts w:asciiTheme="minorHAnsi" w:hAnsiTheme="minorHAnsi" w:cstheme="minorHAnsi"/>
          <w:lang w:val="tr-TR"/>
        </w:rPr>
        <w:t xml:space="preserve"> </w:t>
      </w:r>
      <w:r w:rsidR="00B96916" w:rsidRPr="00336E5B">
        <w:rPr>
          <w:rFonts w:asciiTheme="minorHAnsi" w:hAnsiTheme="minorHAnsi" w:cstheme="minorHAnsi"/>
          <w:lang w:val="tr-TR"/>
        </w:rPr>
        <w:t>devletin depremzedelere gelir dest</w:t>
      </w:r>
      <w:r w:rsidR="00710BCD" w:rsidRPr="00336E5B">
        <w:rPr>
          <w:rFonts w:asciiTheme="minorHAnsi" w:hAnsiTheme="minorHAnsi" w:cstheme="minorHAnsi"/>
          <w:lang w:val="tr-TR"/>
        </w:rPr>
        <w:t>e</w:t>
      </w:r>
      <w:r w:rsidR="00B96916" w:rsidRPr="00336E5B">
        <w:rPr>
          <w:rFonts w:asciiTheme="minorHAnsi" w:hAnsiTheme="minorHAnsi" w:cstheme="minorHAnsi"/>
          <w:lang w:val="tr-TR"/>
        </w:rPr>
        <w:t xml:space="preserve">ğinin </w:t>
      </w:r>
      <w:r w:rsidR="00126B59" w:rsidRPr="00336E5B">
        <w:rPr>
          <w:rFonts w:asciiTheme="minorHAnsi" w:hAnsiTheme="minorHAnsi" w:cstheme="minorHAnsi"/>
          <w:lang w:val="tr-TR"/>
        </w:rPr>
        <w:t xml:space="preserve">toplam değerinin </w:t>
      </w:r>
      <w:r w:rsidR="00B96916" w:rsidRPr="00336E5B">
        <w:rPr>
          <w:rFonts w:asciiTheme="minorHAnsi" w:hAnsiTheme="minorHAnsi" w:cstheme="minorHAnsi"/>
          <w:lang w:val="tr-TR"/>
        </w:rPr>
        <w:t>1</w:t>
      </w:r>
      <w:r w:rsidR="00397289" w:rsidRPr="00336E5B">
        <w:rPr>
          <w:rFonts w:asciiTheme="minorHAnsi" w:hAnsiTheme="minorHAnsi" w:cstheme="minorHAnsi"/>
          <w:lang w:val="tr-TR"/>
        </w:rPr>
        <w:t>,</w:t>
      </w:r>
      <w:r w:rsidR="00B96916" w:rsidRPr="00336E5B">
        <w:rPr>
          <w:rFonts w:asciiTheme="minorHAnsi" w:hAnsiTheme="minorHAnsi" w:cstheme="minorHAnsi"/>
          <w:lang w:val="tr-TR"/>
        </w:rPr>
        <w:t>2</w:t>
      </w:r>
      <w:r w:rsidR="009D3E2A" w:rsidRPr="00336E5B">
        <w:rPr>
          <w:rFonts w:asciiTheme="minorHAnsi" w:hAnsiTheme="minorHAnsi" w:cstheme="minorHAnsi"/>
          <w:lang w:val="tr-TR"/>
        </w:rPr>
        <w:t xml:space="preserve"> il</w:t>
      </w:r>
      <w:r w:rsidR="0084340A" w:rsidRPr="00336E5B">
        <w:rPr>
          <w:rFonts w:asciiTheme="minorHAnsi" w:hAnsiTheme="minorHAnsi" w:cstheme="minorHAnsi"/>
          <w:lang w:val="tr-TR"/>
        </w:rPr>
        <w:t>a</w:t>
      </w:r>
      <w:r w:rsidR="009D3E2A" w:rsidRPr="00336E5B">
        <w:rPr>
          <w:rFonts w:asciiTheme="minorHAnsi" w:hAnsiTheme="minorHAnsi" w:cstheme="minorHAnsi"/>
          <w:lang w:val="tr-TR"/>
        </w:rPr>
        <w:t xml:space="preserve"> </w:t>
      </w:r>
      <w:r w:rsidR="00F64339" w:rsidRPr="00336E5B">
        <w:rPr>
          <w:rFonts w:asciiTheme="minorHAnsi" w:hAnsiTheme="minorHAnsi" w:cstheme="minorHAnsi"/>
          <w:lang w:val="tr-TR"/>
        </w:rPr>
        <w:t>1</w:t>
      </w:r>
      <w:r w:rsidR="00397289" w:rsidRPr="00336E5B">
        <w:rPr>
          <w:rFonts w:asciiTheme="minorHAnsi" w:hAnsiTheme="minorHAnsi" w:cstheme="minorHAnsi"/>
          <w:lang w:val="tr-TR"/>
        </w:rPr>
        <w:t>,</w:t>
      </w:r>
      <w:r w:rsidR="00B96916" w:rsidRPr="00336E5B">
        <w:rPr>
          <w:rFonts w:asciiTheme="minorHAnsi" w:hAnsiTheme="minorHAnsi" w:cstheme="minorHAnsi"/>
          <w:lang w:val="tr-TR"/>
        </w:rPr>
        <w:t>4</w:t>
      </w:r>
      <w:r w:rsidR="00126B59" w:rsidRPr="00336E5B">
        <w:rPr>
          <w:rFonts w:asciiTheme="minorHAnsi" w:hAnsiTheme="minorHAnsi" w:cstheme="minorHAnsi"/>
          <w:lang w:val="tr-TR"/>
        </w:rPr>
        <w:t xml:space="preserve"> milyar dolar</w:t>
      </w:r>
      <w:r w:rsidR="009D3E2A" w:rsidRPr="00336E5B">
        <w:rPr>
          <w:rFonts w:asciiTheme="minorHAnsi" w:hAnsiTheme="minorHAnsi" w:cstheme="minorHAnsi"/>
          <w:lang w:val="tr-TR"/>
        </w:rPr>
        <w:t xml:space="preserve"> arasında </w:t>
      </w:r>
      <w:r w:rsidR="00126B59" w:rsidRPr="00336E5B">
        <w:rPr>
          <w:rFonts w:asciiTheme="minorHAnsi" w:hAnsiTheme="minorHAnsi" w:cstheme="minorHAnsi"/>
          <w:lang w:val="tr-TR"/>
        </w:rPr>
        <w:t xml:space="preserve">bir </w:t>
      </w:r>
      <w:r w:rsidR="0084340A" w:rsidRPr="00336E5B">
        <w:rPr>
          <w:rFonts w:asciiTheme="minorHAnsi" w:hAnsiTheme="minorHAnsi" w:cstheme="minorHAnsi"/>
          <w:lang w:val="tr-TR"/>
        </w:rPr>
        <w:t xml:space="preserve">miktara </w:t>
      </w:r>
      <w:r w:rsidR="00126B59" w:rsidRPr="00336E5B">
        <w:rPr>
          <w:rFonts w:asciiTheme="minorHAnsi" w:hAnsiTheme="minorHAnsi" w:cstheme="minorHAnsi"/>
          <w:lang w:val="tr-TR"/>
        </w:rPr>
        <w:t>ulaş</w:t>
      </w:r>
      <w:r w:rsidR="003C1552" w:rsidRPr="00336E5B">
        <w:rPr>
          <w:rFonts w:asciiTheme="minorHAnsi" w:hAnsiTheme="minorHAnsi" w:cstheme="minorHAnsi"/>
          <w:lang w:val="tr-TR"/>
        </w:rPr>
        <w:t>acağını söyley</w:t>
      </w:r>
      <w:r w:rsidR="00536C8F" w:rsidRPr="00336E5B">
        <w:rPr>
          <w:rFonts w:asciiTheme="minorHAnsi" w:hAnsiTheme="minorHAnsi" w:cstheme="minorHAnsi"/>
          <w:lang w:val="tr-TR"/>
        </w:rPr>
        <w:t>e</w:t>
      </w:r>
      <w:r w:rsidR="003C1552" w:rsidRPr="00336E5B">
        <w:rPr>
          <w:rFonts w:asciiTheme="minorHAnsi" w:hAnsiTheme="minorHAnsi" w:cstheme="minorHAnsi"/>
          <w:lang w:val="tr-TR"/>
        </w:rPr>
        <w:t>biliriz.</w:t>
      </w:r>
      <w:r w:rsidR="00F07F72" w:rsidRPr="00336E5B">
        <w:rPr>
          <w:rFonts w:asciiTheme="minorHAnsi" w:hAnsiTheme="minorHAnsi" w:cstheme="minorHAnsi"/>
          <w:lang w:val="tr-TR"/>
        </w:rPr>
        <w:t xml:space="preserve"> </w:t>
      </w:r>
    </w:p>
    <w:p w14:paraId="72800663" w14:textId="7DB46340" w:rsidR="00F07F72" w:rsidRPr="00336E5B" w:rsidRDefault="00F07F72" w:rsidP="000E4B7D">
      <w:pPr>
        <w:spacing w:after="120"/>
        <w:rPr>
          <w:rFonts w:asciiTheme="minorHAnsi" w:hAnsiTheme="minorHAnsi" w:cstheme="minorHAnsi"/>
          <w:lang w:val="tr-TR"/>
        </w:rPr>
      </w:pPr>
      <w:r w:rsidRPr="00336E5B">
        <w:rPr>
          <w:rFonts w:asciiTheme="minorHAnsi" w:hAnsiTheme="minorHAnsi" w:cstheme="minorHAnsi"/>
          <w:lang w:val="tr-TR"/>
        </w:rPr>
        <w:t xml:space="preserve">Devletin gelir desteğini de eklediğimizde özel sektörün </w:t>
      </w:r>
      <w:r w:rsidR="00F64339" w:rsidRPr="00336E5B">
        <w:rPr>
          <w:rFonts w:asciiTheme="minorHAnsi" w:hAnsiTheme="minorHAnsi" w:cstheme="minorHAnsi"/>
          <w:lang w:val="tr-TR"/>
        </w:rPr>
        <w:t xml:space="preserve">bölgesel </w:t>
      </w:r>
      <w:r w:rsidRPr="00336E5B">
        <w:rPr>
          <w:rFonts w:asciiTheme="minorHAnsi" w:hAnsiTheme="minorHAnsi" w:cstheme="minorHAnsi"/>
          <w:lang w:val="tr-TR"/>
        </w:rPr>
        <w:t xml:space="preserve">üretim </w:t>
      </w:r>
      <w:r w:rsidR="00F64339" w:rsidRPr="00336E5B">
        <w:rPr>
          <w:rFonts w:asciiTheme="minorHAnsi" w:hAnsiTheme="minorHAnsi" w:cstheme="minorHAnsi"/>
          <w:lang w:val="tr-TR"/>
        </w:rPr>
        <w:t xml:space="preserve">ve ulusal turizmde </w:t>
      </w:r>
      <w:r w:rsidRPr="00336E5B">
        <w:rPr>
          <w:rFonts w:asciiTheme="minorHAnsi" w:hAnsiTheme="minorHAnsi" w:cstheme="minorHAnsi"/>
          <w:lang w:val="tr-TR"/>
        </w:rPr>
        <w:t xml:space="preserve">yaşadığı net gelir kaybının </w:t>
      </w:r>
      <w:r w:rsidR="00B96916" w:rsidRPr="00336E5B">
        <w:rPr>
          <w:rFonts w:asciiTheme="minorHAnsi" w:hAnsiTheme="minorHAnsi" w:cstheme="minorHAnsi"/>
          <w:lang w:val="tr-TR"/>
        </w:rPr>
        <w:t>7</w:t>
      </w:r>
      <w:r w:rsidRPr="00336E5B">
        <w:rPr>
          <w:rFonts w:asciiTheme="minorHAnsi" w:hAnsiTheme="minorHAnsi" w:cstheme="minorHAnsi"/>
          <w:lang w:val="tr-TR"/>
        </w:rPr>
        <w:t>,</w:t>
      </w:r>
      <w:r w:rsidR="00B96916" w:rsidRPr="00336E5B">
        <w:rPr>
          <w:rFonts w:asciiTheme="minorHAnsi" w:hAnsiTheme="minorHAnsi" w:cstheme="minorHAnsi"/>
          <w:lang w:val="tr-TR"/>
        </w:rPr>
        <w:t>7</w:t>
      </w:r>
      <w:r w:rsidRPr="00336E5B">
        <w:rPr>
          <w:rFonts w:asciiTheme="minorHAnsi" w:hAnsiTheme="minorHAnsi" w:cstheme="minorHAnsi"/>
          <w:lang w:val="tr-TR"/>
        </w:rPr>
        <w:t xml:space="preserve"> il</w:t>
      </w:r>
      <w:r w:rsidR="0084340A" w:rsidRPr="00336E5B">
        <w:rPr>
          <w:rFonts w:asciiTheme="minorHAnsi" w:hAnsiTheme="minorHAnsi" w:cstheme="minorHAnsi"/>
          <w:lang w:val="tr-TR"/>
        </w:rPr>
        <w:t>a</w:t>
      </w:r>
      <w:r w:rsidRPr="00336E5B">
        <w:rPr>
          <w:rFonts w:asciiTheme="minorHAnsi" w:hAnsiTheme="minorHAnsi" w:cstheme="minorHAnsi"/>
          <w:lang w:val="tr-TR"/>
        </w:rPr>
        <w:t xml:space="preserve"> </w:t>
      </w:r>
      <w:r w:rsidR="00F64339" w:rsidRPr="00336E5B">
        <w:rPr>
          <w:rFonts w:asciiTheme="minorHAnsi" w:hAnsiTheme="minorHAnsi" w:cstheme="minorHAnsi"/>
          <w:lang w:val="tr-TR"/>
        </w:rPr>
        <w:t>14</w:t>
      </w:r>
      <w:r w:rsidRPr="00336E5B">
        <w:rPr>
          <w:rFonts w:asciiTheme="minorHAnsi" w:hAnsiTheme="minorHAnsi" w:cstheme="minorHAnsi"/>
          <w:lang w:val="tr-TR"/>
        </w:rPr>
        <w:t>,</w:t>
      </w:r>
      <w:r w:rsidR="00B96916" w:rsidRPr="00336E5B">
        <w:rPr>
          <w:rFonts w:asciiTheme="minorHAnsi" w:hAnsiTheme="minorHAnsi" w:cstheme="minorHAnsi"/>
          <w:lang w:val="tr-TR"/>
        </w:rPr>
        <w:t>1</w:t>
      </w:r>
      <w:r w:rsidRPr="00336E5B">
        <w:rPr>
          <w:rFonts w:asciiTheme="minorHAnsi" w:hAnsiTheme="minorHAnsi" w:cstheme="minorHAnsi"/>
          <w:lang w:val="tr-TR"/>
        </w:rPr>
        <w:t xml:space="preserve"> milyar dolar arasında olacağı sonucuna ulaşı</w:t>
      </w:r>
      <w:r w:rsidR="00F64339" w:rsidRPr="00336E5B">
        <w:rPr>
          <w:rFonts w:asciiTheme="minorHAnsi" w:hAnsiTheme="minorHAnsi" w:cstheme="minorHAnsi"/>
          <w:lang w:val="tr-TR"/>
        </w:rPr>
        <w:t>yoruz</w:t>
      </w:r>
      <w:r w:rsidRPr="00336E5B">
        <w:rPr>
          <w:rFonts w:asciiTheme="minorHAnsi" w:hAnsiTheme="minorHAnsi" w:cstheme="minorHAnsi"/>
          <w:lang w:val="tr-TR"/>
        </w:rPr>
        <w:t>.</w:t>
      </w:r>
    </w:p>
    <w:p w14:paraId="3A1889DE" w14:textId="65D6266C" w:rsidR="000D126B" w:rsidRPr="00336E5B" w:rsidRDefault="000E4B7D" w:rsidP="000E4B7D">
      <w:pPr>
        <w:spacing w:after="120"/>
        <w:rPr>
          <w:rFonts w:asciiTheme="minorHAnsi" w:hAnsiTheme="minorHAnsi" w:cstheme="minorHAnsi"/>
          <w:lang w:val="tr-TR"/>
        </w:rPr>
      </w:pPr>
      <w:r w:rsidRPr="00336E5B">
        <w:rPr>
          <w:rFonts w:asciiTheme="minorHAnsi" w:hAnsiTheme="minorHAnsi" w:cstheme="minorHAnsi"/>
          <w:lang w:val="tr-TR"/>
        </w:rPr>
        <w:t xml:space="preserve">Bu miktarın yanı sıra özel sektör tarafından karşılanacak ev eşyası ve taşıma araçlarına olan </w:t>
      </w:r>
      <w:r w:rsidR="00467D6F" w:rsidRPr="00336E5B">
        <w:rPr>
          <w:rFonts w:asciiTheme="minorHAnsi" w:hAnsiTheme="minorHAnsi" w:cstheme="minorHAnsi"/>
          <w:lang w:val="tr-TR"/>
        </w:rPr>
        <w:t>0</w:t>
      </w:r>
      <w:r w:rsidRPr="00336E5B">
        <w:rPr>
          <w:rFonts w:asciiTheme="minorHAnsi" w:hAnsiTheme="minorHAnsi" w:cstheme="minorHAnsi"/>
          <w:lang w:val="tr-TR"/>
        </w:rPr>
        <w:t>,</w:t>
      </w:r>
      <w:r w:rsidR="00467D6F" w:rsidRPr="00336E5B">
        <w:rPr>
          <w:rFonts w:asciiTheme="minorHAnsi" w:hAnsiTheme="minorHAnsi" w:cstheme="minorHAnsi"/>
          <w:lang w:val="tr-TR"/>
        </w:rPr>
        <w:t>9</w:t>
      </w:r>
      <w:r w:rsidRPr="00336E5B">
        <w:rPr>
          <w:rFonts w:asciiTheme="minorHAnsi" w:hAnsiTheme="minorHAnsi" w:cstheme="minorHAnsi"/>
          <w:lang w:val="tr-TR"/>
        </w:rPr>
        <w:t xml:space="preserve"> ile 1,</w:t>
      </w:r>
      <w:r w:rsidR="00467D6F" w:rsidRPr="00336E5B">
        <w:rPr>
          <w:rFonts w:asciiTheme="minorHAnsi" w:hAnsiTheme="minorHAnsi" w:cstheme="minorHAnsi"/>
          <w:lang w:val="tr-TR"/>
        </w:rPr>
        <w:t>3</w:t>
      </w:r>
      <w:r w:rsidRPr="00336E5B">
        <w:rPr>
          <w:rFonts w:asciiTheme="minorHAnsi" w:hAnsiTheme="minorHAnsi" w:cstheme="minorHAnsi"/>
          <w:lang w:val="tr-TR"/>
        </w:rPr>
        <w:t xml:space="preserve"> milyar dolarlık zararı da </w:t>
      </w:r>
      <w:r w:rsidR="000D126B" w:rsidRPr="00336E5B">
        <w:rPr>
          <w:rFonts w:asciiTheme="minorHAnsi" w:hAnsiTheme="minorHAnsi" w:cstheme="minorHAnsi"/>
          <w:lang w:val="tr-TR"/>
        </w:rPr>
        <w:t xml:space="preserve">eklediğimiz zaman deprem faturasının özel sektör tarafından karşılanacak bölümünün </w:t>
      </w:r>
      <w:r w:rsidR="00F64339" w:rsidRPr="00336E5B">
        <w:rPr>
          <w:rFonts w:asciiTheme="minorHAnsi" w:hAnsiTheme="minorHAnsi" w:cstheme="minorHAnsi"/>
          <w:lang w:val="tr-TR"/>
        </w:rPr>
        <w:t>1</w:t>
      </w:r>
      <w:r w:rsidR="00467D6F" w:rsidRPr="00336E5B">
        <w:rPr>
          <w:rFonts w:asciiTheme="minorHAnsi" w:hAnsiTheme="minorHAnsi" w:cstheme="minorHAnsi"/>
          <w:lang w:val="tr-TR"/>
        </w:rPr>
        <w:t>2</w:t>
      </w:r>
      <w:r w:rsidR="000D126B" w:rsidRPr="00336E5B">
        <w:rPr>
          <w:rFonts w:asciiTheme="minorHAnsi" w:hAnsiTheme="minorHAnsi" w:cstheme="minorHAnsi"/>
          <w:lang w:val="tr-TR"/>
        </w:rPr>
        <w:t>,</w:t>
      </w:r>
      <w:r w:rsidR="00BB0BF0">
        <w:rPr>
          <w:rFonts w:asciiTheme="minorHAnsi" w:hAnsiTheme="minorHAnsi" w:cstheme="minorHAnsi"/>
          <w:lang w:val="tr-TR"/>
        </w:rPr>
        <w:t>8</w:t>
      </w:r>
      <w:r w:rsidR="000D126B" w:rsidRPr="00336E5B">
        <w:rPr>
          <w:rFonts w:asciiTheme="minorHAnsi" w:hAnsiTheme="minorHAnsi" w:cstheme="minorHAnsi"/>
          <w:lang w:val="tr-TR"/>
        </w:rPr>
        <w:t xml:space="preserve"> il</w:t>
      </w:r>
      <w:r w:rsidR="0084340A" w:rsidRPr="00336E5B">
        <w:rPr>
          <w:rFonts w:asciiTheme="minorHAnsi" w:hAnsiTheme="minorHAnsi" w:cstheme="minorHAnsi"/>
          <w:lang w:val="tr-TR"/>
        </w:rPr>
        <w:t>a</w:t>
      </w:r>
      <w:r w:rsidR="000D126B" w:rsidRPr="00336E5B">
        <w:rPr>
          <w:rFonts w:asciiTheme="minorHAnsi" w:hAnsiTheme="minorHAnsi" w:cstheme="minorHAnsi"/>
          <w:lang w:val="tr-TR"/>
        </w:rPr>
        <w:t xml:space="preserve"> </w:t>
      </w:r>
      <w:r w:rsidR="00F64339" w:rsidRPr="00336E5B">
        <w:rPr>
          <w:rFonts w:asciiTheme="minorHAnsi" w:hAnsiTheme="minorHAnsi" w:cstheme="minorHAnsi"/>
          <w:lang w:val="tr-TR"/>
        </w:rPr>
        <w:t>2</w:t>
      </w:r>
      <w:r w:rsidR="00467D6F" w:rsidRPr="00336E5B">
        <w:rPr>
          <w:rFonts w:asciiTheme="minorHAnsi" w:hAnsiTheme="minorHAnsi" w:cstheme="minorHAnsi"/>
          <w:lang w:val="tr-TR"/>
        </w:rPr>
        <w:t>0</w:t>
      </w:r>
      <w:r w:rsidR="000D126B" w:rsidRPr="00336E5B">
        <w:rPr>
          <w:rFonts w:asciiTheme="minorHAnsi" w:hAnsiTheme="minorHAnsi" w:cstheme="minorHAnsi"/>
          <w:lang w:val="tr-TR"/>
        </w:rPr>
        <w:t>,</w:t>
      </w:r>
      <w:r w:rsidR="00BB0BF0">
        <w:rPr>
          <w:rFonts w:asciiTheme="minorHAnsi" w:hAnsiTheme="minorHAnsi" w:cstheme="minorHAnsi"/>
          <w:lang w:val="tr-TR"/>
        </w:rPr>
        <w:t>6</w:t>
      </w:r>
      <w:r w:rsidR="000D126B" w:rsidRPr="00336E5B">
        <w:rPr>
          <w:rFonts w:asciiTheme="minorHAnsi" w:hAnsiTheme="minorHAnsi" w:cstheme="minorHAnsi"/>
          <w:lang w:val="tr-TR"/>
        </w:rPr>
        <w:t xml:space="preserve"> milyar dolar (ulusal GSYH’nin </w:t>
      </w:r>
      <w:proofErr w:type="gramStart"/>
      <w:r w:rsidR="000D126B" w:rsidRPr="00336E5B">
        <w:rPr>
          <w:rFonts w:asciiTheme="minorHAnsi" w:hAnsiTheme="minorHAnsi" w:cstheme="minorHAnsi"/>
          <w:lang w:val="tr-TR"/>
        </w:rPr>
        <w:t>%</w:t>
      </w:r>
      <w:r w:rsidR="00F64339" w:rsidRPr="00336E5B">
        <w:rPr>
          <w:rFonts w:asciiTheme="minorHAnsi" w:hAnsiTheme="minorHAnsi" w:cstheme="minorHAnsi"/>
          <w:lang w:val="tr-TR"/>
        </w:rPr>
        <w:t>1</w:t>
      </w:r>
      <w:r w:rsidR="000D126B" w:rsidRPr="00336E5B">
        <w:rPr>
          <w:rFonts w:asciiTheme="minorHAnsi" w:hAnsiTheme="minorHAnsi" w:cstheme="minorHAnsi"/>
          <w:lang w:val="tr-TR"/>
        </w:rPr>
        <w:t>,</w:t>
      </w:r>
      <w:r w:rsidR="00467D6F" w:rsidRPr="00336E5B">
        <w:rPr>
          <w:rFonts w:asciiTheme="minorHAnsi" w:hAnsiTheme="minorHAnsi" w:cstheme="minorHAnsi"/>
          <w:lang w:val="tr-TR"/>
        </w:rPr>
        <w:t>4</w:t>
      </w:r>
      <w:proofErr w:type="gramEnd"/>
      <w:r w:rsidR="00F64339" w:rsidRPr="00336E5B">
        <w:rPr>
          <w:rFonts w:asciiTheme="minorHAnsi" w:hAnsiTheme="minorHAnsi" w:cstheme="minorHAnsi"/>
          <w:lang w:val="tr-TR"/>
        </w:rPr>
        <w:t>’i</w:t>
      </w:r>
      <w:r w:rsidR="000D126B" w:rsidRPr="00336E5B">
        <w:rPr>
          <w:rFonts w:asciiTheme="minorHAnsi" w:hAnsiTheme="minorHAnsi" w:cstheme="minorHAnsi"/>
          <w:lang w:val="tr-TR"/>
        </w:rPr>
        <w:t xml:space="preserve"> ile %</w:t>
      </w:r>
      <w:r w:rsidR="00F64339" w:rsidRPr="00336E5B">
        <w:rPr>
          <w:rFonts w:asciiTheme="minorHAnsi" w:hAnsiTheme="minorHAnsi" w:cstheme="minorHAnsi"/>
          <w:lang w:val="tr-TR"/>
        </w:rPr>
        <w:t>2</w:t>
      </w:r>
      <w:r w:rsidR="000D126B" w:rsidRPr="00336E5B">
        <w:rPr>
          <w:rFonts w:asciiTheme="minorHAnsi" w:hAnsiTheme="minorHAnsi" w:cstheme="minorHAnsi"/>
          <w:lang w:val="tr-TR"/>
        </w:rPr>
        <w:t>,</w:t>
      </w:r>
      <w:r w:rsidR="00467D6F" w:rsidRPr="00336E5B">
        <w:rPr>
          <w:rFonts w:asciiTheme="minorHAnsi" w:hAnsiTheme="minorHAnsi" w:cstheme="minorHAnsi"/>
          <w:lang w:val="tr-TR"/>
        </w:rPr>
        <w:t>3</w:t>
      </w:r>
      <w:r w:rsidR="000D126B" w:rsidRPr="00336E5B">
        <w:rPr>
          <w:rFonts w:asciiTheme="minorHAnsi" w:hAnsiTheme="minorHAnsi" w:cstheme="minorHAnsi"/>
          <w:lang w:val="tr-TR"/>
        </w:rPr>
        <w:t>’</w:t>
      </w:r>
      <w:r w:rsidR="00467D6F" w:rsidRPr="00336E5B">
        <w:rPr>
          <w:rFonts w:asciiTheme="minorHAnsi" w:hAnsiTheme="minorHAnsi" w:cstheme="minorHAnsi"/>
          <w:lang w:val="tr-TR"/>
        </w:rPr>
        <w:t>ü</w:t>
      </w:r>
      <w:r w:rsidR="000D126B" w:rsidRPr="00336E5B">
        <w:rPr>
          <w:rFonts w:asciiTheme="minorHAnsi" w:hAnsiTheme="minorHAnsi" w:cstheme="minorHAnsi"/>
          <w:lang w:val="tr-TR"/>
        </w:rPr>
        <w:t>) arasında olacağını hesaplıyoruz.</w:t>
      </w:r>
    </w:p>
    <w:p w14:paraId="0FCFCA07" w14:textId="28342403" w:rsidR="008D3196" w:rsidRPr="00336E5B" w:rsidRDefault="000D126B" w:rsidP="000E4B7D">
      <w:pPr>
        <w:spacing w:after="120"/>
        <w:rPr>
          <w:rFonts w:asciiTheme="minorHAnsi" w:hAnsiTheme="minorHAnsi" w:cstheme="minorHAnsi"/>
          <w:b/>
          <w:bCs/>
          <w:lang w:val="tr-TR"/>
        </w:rPr>
      </w:pPr>
      <w:r w:rsidRPr="00336E5B">
        <w:rPr>
          <w:rFonts w:asciiTheme="minorHAnsi" w:hAnsiTheme="minorHAnsi" w:cstheme="minorHAnsi"/>
          <w:b/>
          <w:bCs/>
          <w:lang w:val="tr-TR"/>
        </w:rPr>
        <w:t>Yıkılan ve</w:t>
      </w:r>
      <w:r w:rsidR="0084340A" w:rsidRPr="00336E5B">
        <w:rPr>
          <w:rFonts w:asciiTheme="minorHAnsi" w:hAnsiTheme="minorHAnsi" w:cstheme="minorHAnsi"/>
          <w:b/>
          <w:bCs/>
          <w:lang w:val="tr-TR"/>
        </w:rPr>
        <w:t>ya</w:t>
      </w:r>
      <w:r w:rsidRPr="00336E5B">
        <w:rPr>
          <w:rFonts w:asciiTheme="minorHAnsi" w:hAnsiTheme="minorHAnsi" w:cstheme="minorHAnsi"/>
          <w:b/>
          <w:bCs/>
          <w:lang w:val="tr-TR"/>
        </w:rPr>
        <w:t xml:space="preserve"> hasarlı </w:t>
      </w:r>
      <w:r w:rsidR="0084340A" w:rsidRPr="00336E5B">
        <w:rPr>
          <w:rFonts w:asciiTheme="minorHAnsi" w:hAnsiTheme="minorHAnsi" w:cstheme="minorHAnsi"/>
          <w:b/>
          <w:bCs/>
          <w:lang w:val="tr-TR"/>
        </w:rPr>
        <w:t xml:space="preserve">olan </w:t>
      </w:r>
      <w:r w:rsidRPr="00336E5B">
        <w:rPr>
          <w:rFonts w:asciiTheme="minorHAnsi" w:hAnsiTheme="minorHAnsi" w:cstheme="minorHAnsi"/>
          <w:b/>
          <w:bCs/>
          <w:lang w:val="tr-TR"/>
        </w:rPr>
        <w:t xml:space="preserve">konut ve işyerlerinin yeniden yapım, güçlendirme ve tamiratıyla enkaz kaldırma ve acil kurtarma faaliyetleri için harcanacak </w:t>
      </w:r>
      <w:r w:rsidR="008035C8">
        <w:rPr>
          <w:rFonts w:asciiTheme="minorHAnsi" w:hAnsiTheme="minorHAnsi" w:cstheme="minorHAnsi"/>
          <w:b/>
          <w:bCs/>
          <w:lang w:val="tr-TR"/>
        </w:rPr>
        <w:t>tutara</w:t>
      </w:r>
      <w:r w:rsidR="0050560E" w:rsidRPr="00336E5B">
        <w:rPr>
          <w:rFonts w:asciiTheme="minorHAnsi" w:hAnsiTheme="minorHAnsi" w:cstheme="minorHAnsi"/>
          <w:b/>
          <w:bCs/>
          <w:lang w:val="tr-TR"/>
        </w:rPr>
        <w:t>,</w:t>
      </w:r>
      <w:r w:rsidRPr="00336E5B">
        <w:rPr>
          <w:rFonts w:asciiTheme="minorHAnsi" w:hAnsiTheme="minorHAnsi" w:cstheme="minorHAnsi"/>
          <w:b/>
          <w:bCs/>
          <w:lang w:val="tr-TR"/>
        </w:rPr>
        <w:t xml:space="preserve"> devlet tarafından depremzedelere yapılacak gelir yardımını ve devletin bölgede yaşayacağı gelir vergisi kaybını eklediğimiz zaman deprem</w:t>
      </w:r>
      <w:r w:rsidR="0084340A" w:rsidRPr="00336E5B">
        <w:rPr>
          <w:rFonts w:asciiTheme="minorHAnsi" w:hAnsiTheme="minorHAnsi" w:cstheme="minorHAnsi"/>
          <w:b/>
          <w:bCs/>
          <w:lang w:val="tr-TR"/>
        </w:rPr>
        <w:t>in</w:t>
      </w:r>
      <w:r w:rsidRPr="00336E5B">
        <w:rPr>
          <w:rFonts w:asciiTheme="minorHAnsi" w:hAnsiTheme="minorHAnsi" w:cstheme="minorHAnsi"/>
          <w:b/>
          <w:bCs/>
          <w:lang w:val="tr-TR"/>
        </w:rPr>
        <w:t xml:space="preserve"> faturasının devlet tarafından karşılanacak kısmının </w:t>
      </w:r>
      <w:r w:rsidR="00387F39" w:rsidRPr="00336E5B">
        <w:rPr>
          <w:rFonts w:asciiTheme="minorHAnsi" w:hAnsiTheme="minorHAnsi" w:cstheme="minorHAnsi"/>
          <w:b/>
          <w:bCs/>
          <w:lang w:val="tr-TR"/>
        </w:rPr>
        <w:t>6</w:t>
      </w:r>
      <w:r w:rsidR="00EF3C07" w:rsidRPr="00336E5B">
        <w:rPr>
          <w:rFonts w:asciiTheme="minorHAnsi" w:hAnsiTheme="minorHAnsi" w:cstheme="minorHAnsi"/>
          <w:b/>
          <w:bCs/>
          <w:lang w:val="tr-TR"/>
        </w:rPr>
        <w:t>3,5</w:t>
      </w:r>
      <w:r w:rsidRPr="00336E5B">
        <w:rPr>
          <w:rFonts w:asciiTheme="minorHAnsi" w:hAnsiTheme="minorHAnsi" w:cstheme="minorHAnsi"/>
          <w:b/>
          <w:bCs/>
          <w:lang w:val="tr-TR"/>
        </w:rPr>
        <w:t>-</w:t>
      </w:r>
      <w:r w:rsidR="00EF3C07" w:rsidRPr="00336E5B">
        <w:rPr>
          <w:rFonts w:asciiTheme="minorHAnsi" w:hAnsiTheme="minorHAnsi" w:cstheme="minorHAnsi"/>
          <w:b/>
          <w:bCs/>
          <w:lang w:val="tr-TR"/>
        </w:rPr>
        <w:t>82,</w:t>
      </w:r>
      <w:r w:rsidR="00710BCD" w:rsidRPr="00336E5B">
        <w:rPr>
          <w:rFonts w:asciiTheme="minorHAnsi" w:hAnsiTheme="minorHAnsi" w:cstheme="minorHAnsi"/>
          <w:b/>
          <w:bCs/>
          <w:lang w:val="tr-TR"/>
        </w:rPr>
        <w:t>3</w:t>
      </w:r>
      <w:r w:rsidR="00EF3C07" w:rsidRPr="00336E5B">
        <w:rPr>
          <w:rFonts w:asciiTheme="minorHAnsi" w:hAnsiTheme="minorHAnsi" w:cstheme="minorHAnsi"/>
          <w:b/>
          <w:bCs/>
          <w:lang w:val="tr-TR"/>
        </w:rPr>
        <w:t xml:space="preserve"> </w:t>
      </w:r>
      <w:r w:rsidRPr="00336E5B">
        <w:rPr>
          <w:rFonts w:asciiTheme="minorHAnsi" w:hAnsiTheme="minorHAnsi" w:cstheme="minorHAnsi"/>
          <w:b/>
          <w:bCs/>
          <w:lang w:val="tr-TR"/>
        </w:rPr>
        <w:t xml:space="preserve">milyar dolar </w:t>
      </w:r>
      <w:r w:rsidR="008D3196" w:rsidRPr="00336E5B">
        <w:rPr>
          <w:rFonts w:asciiTheme="minorHAnsi" w:hAnsiTheme="minorHAnsi" w:cstheme="minorHAnsi"/>
          <w:b/>
          <w:bCs/>
          <w:lang w:val="tr-TR"/>
        </w:rPr>
        <w:t xml:space="preserve">(ulusal GSYH’nin </w:t>
      </w:r>
      <w:r w:rsidR="008035C8">
        <w:rPr>
          <w:rFonts w:asciiTheme="minorHAnsi" w:hAnsiTheme="minorHAnsi" w:cstheme="minorHAnsi"/>
          <w:b/>
          <w:bCs/>
          <w:lang w:val="tr-TR"/>
        </w:rPr>
        <w:t xml:space="preserve">yüzde </w:t>
      </w:r>
      <w:r w:rsidR="00EF3C07" w:rsidRPr="00336E5B">
        <w:rPr>
          <w:rFonts w:asciiTheme="minorHAnsi" w:hAnsiTheme="minorHAnsi" w:cstheme="minorHAnsi"/>
          <w:b/>
          <w:bCs/>
          <w:lang w:val="tr-TR"/>
        </w:rPr>
        <w:t>7</w:t>
      </w:r>
      <w:r w:rsidR="00387F39" w:rsidRPr="00336E5B">
        <w:rPr>
          <w:rFonts w:asciiTheme="minorHAnsi" w:hAnsiTheme="minorHAnsi" w:cstheme="minorHAnsi"/>
          <w:b/>
          <w:bCs/>
          <w:lang w:val="tr-TR"/>
        </w:rPr>
        <w:t>,0</w:t>
      </w:r>
      <w:r w:rsidR="0084340A" w:rsidRPr="00336E5B">
        <w:rPr>
          <w:rFonts w:asciiTheme="minorHAnsi" w:hAnsiTheme="minorHAnsi" w:cstheme="minorHAnsi"/>
          <w:b/>
          <w:bCs/>
          <w:lang w:val="tr-TR"/>
        </w:rPr>
        <w:t>’s</w:t>
      </w:r>
      <w:r w:rsidR="00EF3C07" w:rsidRPr="00336E5B">
        <w:rPr>
          <w:rFonts w:asciiTheme="minorHAnsi" w:hAnsiTheme="minorHAnsi" w:cstheme="minorHAnsi"/>
          <w:b/>
          <w:bCs/>
          <w:lang w:val="tr-TR"/>
        </w:rPr>
        <w:t>i</w:t>
      </w:r>
      <w:r w:rsidR="008D3196" w:rsidRPr="00336E5B">
        <w:rPr>
          <w:rFonts w:asciiTheme="minorHAnsi" w:hAnsiTheme="minorHAnsi" w:cstheme="minorHAnsi"/>
          <w:b/>
          <w:bCs/>
          <w:lang w:val="tr-TR"/>
        </w:rPr>
        <w:t xml:space="preserve"> ile </w:t>
      </w:r>
      <w:r w:rsidR="008035C8">
        <w:rPr>
          <w:rFonts w:asciiTheme="minorHAnsi" w:hAnsiTheme="minorHAnsi" w:cstheme="minorHAnsi"/>
          <w:b/>
          <w:bCs/>
          <w:lang w:val="tr-TR"/>
        </w:rPr>
        <w:t xml:space="preserve">yüzde </w:t>
      </w:r>
      <w:r w:rsidR="00EF3C07" w:rsidRPr="00336E5B">
        <w:rPr>
          <w:rFonts w:asciiTheme="minorHAnsi" w:hAnsiTheme="minorHAnsi" w:cstheme="minorHAnsi"/>
          <w:b/>
          <w:bCs/>
          <w:lang w:val="tr-TR"/>
        </w:rPr>
        <w:t>9</w:t>
      </w:r>
      <w:r w:rsidR="008D3196" w:rsidRPr="00336E5B">
        <w:rPr>
          <w:rFonts w:asciiTheme="minorHAnsi" w:hAnsiTheme="minorHAnsi" w:cstheme="minorHAnsi"/>
          <w:b/>
          <w:bCs/>
          <w:lang w:val="tr-TR"/>
        </w:rPr>
        <w:t>,</w:t>
      </w:r>
      <w:r w:rsidR="00EF3C07" w:rsidRPr="00336E5B">
        <w:rPr>
          <w:rFonts w:asciiTheme="minorHAnsi" w:hAnsiTheme="minorHAnsi" w:cstheme="minorHAnsi"/>
          <w:b/>
          <w:bCs/>
          <w:lang w:val="tr-TR"/>
        </w:rPr>
        <w:t>1</w:t>
      </w:r>
      <w:r w:rsidR="008D3196" w:rsidRPr="00336E5B">
        <w:rPr>
          <w:rFonts w:asciiTheme="minorHAnsi" w:hAnsiTheme="minorHAnsi" w:cstheme="minorHAnsi"/>
          <w:b/>
          <w:bCs/>
          <w:lang w:val="tr-TR"/>
        </w:rPr>
        <w:t>’</w:t>
      </w:r>
      <w:r w:rsidR="00387F39" w:rsidRPr="00336E5B">
        <w:rPr>
          <w:rFonts w:asciiTheme="minorHAnsi" w:hAnsiTheme="minorHAnsi" w:cstheme="minorHAnsi"/>
          <w:b/>
          <w:bCs/>
          <w:lang w:val="tr-TR"/>
        </w:rPr>
        <w:t>i</w:t>
      </w:r>
      <w:r w:rsidR="008D3196" w:rsidRPr="00336E5B">
        <w:rPr>
          <w:rFonts w:asciiTheme="minorHAnsi" w:hAnsiTheme="minorHAnsi" w:cstheme="minorHAnsi"/>
          <w:b/>
          <w:bCs/>
          <w:lang w:val="tr-TR"/>
        </w:rPr>
        <w:t xml:space="preserve">) </w:t>
      </w:r>
      <w:r w:rsidRPr="00336E5B">
        <w:rPr>
          <w:rFonts w:asciiTheme="minorHAnsi" w:hAnsiTheme="minorHAnsi" w:cstheme="minorHAnsi"/>
          <w:b/>
          <w:bCs/>
          <w:lang w:val="tr-TR"/>
        </w:rPr>
        <w:t xml:space="preserve">arasında gerçekleşeceğini </w:t>
      </w:r>
      <w:r w:rsidR="008D3196" w:rsidRPr="00336E5B">
        <w:rPr>
          <w:rFonts w:asciiTheme="minorHAnsi" w:hAnsiTheme="minorHAnsi" w:cstheme="minorHAnsi"/>
          <w:b/>
          <w:bCs/>
          <w:lang w:val="tr-TR"/>
        </w:rPr>
        <w:t>tahmin ediyoruz.</w:t>
      </w:r>
    </w:p>
    <w:p w14:paraId="4FCA45A4" w14:textId="77777777" w:rsidR="0099324B" w:rsidRPr="00336E5B" w:rsidRDefault="0099324B" w:rsidP="00C87E8A">
      <w:pPr>
        <w:spacing w:after="120"/>
        <w:rPr>
          <w:rFonts w:asciiTheme="minorHAnsi" w:hAnsiTheme="minorHAnsi" w:cstheme="minorHAnsi"/>
          <w:b/>
          <w:bCs/>
          <w:lang w:val="tr-TR"/>
        </w:rPr>
      </w:pPr>
    </w:p>
    <w:p w14:paraId="4F8492AC" w14:textId="50EA9C52" w:rsidR="00074A5E" w:rsidRPr="00336E5B" w:rsidRDefault="003E565B" w:rsidP="00C87E8A">
      <w:pPr>
        <w:spacing w:after="120"/>
        <w:rPr>
          <w:rFonts w:asciiTheme="minorHAnsi" w:hAnsiTheme="minorHAnsi" w:cstheme="minorHAnsi"/>
          <w:b/>
          <w:bCs/>
          <w:lang w:val="tr-TR"/>
        </w:rPr>
      </w:pPr>
      <w:r w:rsidRPr="00336E5B">
        <w:rPr>
          <w:rFonts w:asciiTheme="minorHAnsi" w:hAnsiTheme="minorHAnsi" w:cstheme="minorHAnsi"/>
          <w:b/>
          <w:bCs/>
          <w:lang w:val="tr-TR"/>
        </w:rPr>
        <w:t>Bölgesel Üretim Kaybı</w:t>
      </w:r>
      <w:r w:rsidR="0099324B" w:rsidRPr="00336E5B">
        <w:rPr>
          <w:rFonts w:asciiTheme="minorHAnsi" w:hAnsiTheme="minorHAnsi" w:cstheme="minorHAnsi"/>
          <w:b/>
          <w:bCs/>
          <w:lang w:val="tr-TR"/>
        </w:rPr>
        <w:t>, Yeniden İnşa Harcamaları ve Büyüme</w:t>
      </w:r>
      <w:r w:rsidR="00E04764" w:rsidRPr="00336E5B">
        <w:rPr>
          <w:rFonts w:asciiTheme="minorHAnsi" w:hAnsiTheme="minorHAnsi" w:cstheme="minorHAnsi"/>
          <w:b/>
          <w:bCs/>
          <w:lang w:val="tr-TR"/>
        </w:rPr>
        <w:t xml:space="preserve"> </w:t>
      </w:r>
      <w:r w:rsidR="002E6A25" w:rsidRPr="00336E5B">
        <w:rPr>
          <w:rFonts w:asciiTheme="minorHAnsi" w:hAnsiTheme="minorHAnsi" w:cstheme="minorHAnsi"/>
          <w:b/>
          <w:bCs/>
          <w:lang w:val="tr-TR"/>
        </w:rPr>
        <w:t>Etki</w:t>
      </w:r>
      <w:r w:rsidRPr="00336E5B">
        <w:rPr>
          <w:rFonts w:asciiTheme="minorHAnsi" w:hAnsiTheme="minorHAnsi" w:cstheme="minorHAnsi"/>
          <w:b/>
          <w:bCs/>
          <w:lang w:val="tr-TR"/>
        </w:rPr>
        <w:t>si</w:t>
      </w:r>
    </w:p>
    <w:p w14:paraId="249E5CBB" w14:textId="2A5C4F69" w:rsidR="00000A30" w:rsidRPr="00336E5B" w:rsidRDefault="00387F39" w:rsidP="00C87E8A">
      <w:pPr>
        <w:spacing w:after="120"/>
        <w:rPr>
          <w:rFonts w:asciiTheme="minorHAnsi" w:hAnsiTheme="minorHAnsi" w:cstheme="minorHAnsi"/>
          <w:lang w:val="tr-TR"/>
        </w:rPr>
      </w:pPr>
      <w:r w:rsidRPr="00336E5B">
        <w:rPr>
          <w:rFonts w:asciiTheme="minorHAnsi" w:hAnsiTheme="minorHAnsi" w:cstheme="minorHAnsi"/>
          <w:lang w:val="tr-TR"/>
        </w:rPr>
        <w:t>Şu ana kadar</w:t>
      </w:r>
      <w:r w:rsidR="0084340A" w:rsidRPr="00336E5B">
        <w:rPr>
          <w:rFonts w:asciiTheme="minorHAnsi" w:hAnsiTheme="minorHAnsi" w:cstheme="minorHAnsi"/>
          <w:lang w:val="tr-TR"/>
        </w:rPr>
        <w:t>,</w:t>
      </w:r>
      <w:r w:rsidRPr="00336E5B">
        <w:rPr>
          <w:rFonts w:asciiTheme="minorHAnsi" w:hAnsiTheme="minorHAnsi" w:cstheme="minorHAnsi"/>
          <w:lang w:val="tr-TR"/>
        </w:rPr>
        <w:t xml:space="preserve"> depremin sermaye stoku üzerinde </w:t>
      </w:r>
      <w:r w:rsidR="0084340A" w:rsidRPr="00336E5B">
        <w:rPr>
          <w:rFonts w:asciiTheme="minorHAnsi" w:hAnsiTheme="minorHAnsi" w:cstheme="minorHAnsi"/>
          <w:lang w:val="tr-TR"/>
        </w:rPr>
        <w:t xml:space="preserve">yarattığı </w:t>
      </w:r>
      <w:r w:rsidR="00196CDA" w:rsidRPr="00336E5B">
        <w:rPr>
          <w:rFonts w:asciiTheme="minorHAnsi" w:hAnsiTheme="minorHAnsi" w:cstheme="minorHAnsi"/>
          <w:lang w:val="tr-TR"/>
        </w:rPr>
        <w:t xml:space="preserve">doğrudan </w:t>
      </w:r>
      <w:r w:rsidRPr="00336E5B">
        <w:rPr>
          <w:rFonts w:asciiTheme="minorHAnsi" w:hAnsiTheme="minorHAnsi" w:cstheme="minorHAnsi"/>
          <w:lang w:val="tr-TR"/>
        </w:rPr>
        <w:t>yıkım etkisi</w:t>
      </w:r>
      <w:r w:rsidR="00196CDA" w:rsidRPr="00336E5B">
        <w:rPr>
          <w:rFonts w:asciiTheme="minorHAnsi" w:hAnsiTheme="minorHAnsi" w:cstheme="minorHAnsi"/>
          <w:lang w:val="tr-TR"/>
        </w:rPr>
        <w:t>ni</w:t>
      </w:r>
      <w:r w:rsidR="00144206" w:rsidRPr="00336E5B">
        <w:rPr>
          <w:rFonts w:asciiTheme="minorHAnsi" w:hAnsiTheme="minorHAnsi" w:cstheme="minorHAnsi"/>
          <w:lang w:val="tr-TR"/>
        </w:rPr>
        <w:t>n</w:t>
      </w:r>
      <w:r w:rsidRPr="00336E5B">
        <w:rPr>
          <w:rFonts w:asciiTheme="minorHAnsi" w:hAnsiTheme="minorHAnsi" w:cstheme="minorHAnsi"/>
          <w:lang w:val="tr-TR"/>
        </w:rPr>
        <w:t xml:space="preserve"> ve dolaylı </w:t>
      </w:r>
      <w:r w:rsidRPr="00EF4A91">
        <w:rPr>
          <w:rFonts w:asciiTheme="minorHAnsi" w:hAnsiTheme="minorHAnsi" w:cstheme="minorHAnsi"/>
          <w:lang w:val="tr-TR"/>
        </w:rPr>
        <w:t>olarak da gelir kaybı ve ek harcamalar</w:t>
      </w:r>
      <w:r w:rsidR="00196CDA" w:rsidRPr="00EF4A91">
        <w:rPr>
          <w:rFonts w:asciiTheme="minorHAnsi" w:hAnsiTheme="minorHAnsi" w:cstheme="minorHAnsi"/>
          <w:lang w:val="tr-TR"/>
        </w:rPr>
        <w:t>ın</w:t>
      </w:r>
      <w:r w:rsidRPr="00EF4A91">
        <w:rPr>
          <w:rFonts w:asciiTheme="minorHAnsi" w:hAnsiTheme="minorHAnsi" w:cstheme="minorHAnsi"/>
          <w:lang w:val="tr-TR"/>
        </w:rPr>
        <w:t xml:space="preserve"> üzerinde durduk. Deprem sonucunda bölgede ekonomik faaliyet</w:t>
      </w:r>
      <w:r w:rsidR="00196CDA" w:rsidRPr="00EF4A91">
        <w:rPr>
          <w:rFonts w:asciiTheme="minorHAnsi" w:hAnsiTheme="minorHAnsi" w:cstheme="minorHAnsi"/>
          <w:lang w:val="tr-TR"/>
        </w:rPr>
        <w:t>lerin</w:t>
      </w:r>
      <w:r w:rsidRPr="00EF4A91">
        <w:rPr>
          <w:rFonts w:asciiTheme="minorHAnsi" w:hAnsiTheme="minorHAnsi" w:cstheme="minorHAnsi"/>
          <w:lang w:val="tr-TR"/>
        </w:rPr>
        <w:t xml:space="preserve"> 1,5 ila 2,5 ay arasında durması</w:t>
      </w:r>
      <w:r w:rsidR="0012541E" w:rsidRPr="00EF4A91">
        <w:rPr>
          <w:rFonts w:asciiTheme="minorHAnsi" w:hAnsiTheme="minorHAnsi" w:cstheme="minorHAnsi"/>
          <w:lang w:val="tr-TR"/>
        </w:rPr>
        <w:t>nın</w:t>
      </w:r>
      <w:r w:rsidR="00196CDA" w:rsidRPr="00EF4A91">
        <w:rPr>
          <w:rFonts w:asciiTheme="minorHAnsi" w:hAnsiTheme="minorHAnsi" w:cstheme="minorHAnsi"/>
          <w:lang w:val="tr-TR"/>
        </w:rPr>
        <w:t>,</w:t>
      </w:r>
      <w:r w:rsidR="0012541E" w:rsidRPr="00EF4A91">
        <w:rPr>
          <w:rFonts w:asciiTheme="minorHAnsi" w:hAnsiTheme="minorHAnsi" w:cstheme="minorHAnsi"/>
          <w:lang w:val="tr-TR"/>
        </w:rPr>
        <w:t xml:space="preserve"> </w:t>
      </w:r>
      <w:r w:rsidR="00D7149F" w:rsidRPr="00EF4A91">
        <w:rPr>
          <w:rFonts w:asciiTheme="minorHAnsi" w:hAnsiTheme="minorHAnsi" w:cstheme="minorHAnsi"/>
          <w:lang w:val="tr-TR"/>
        </w:rPr>
        <w:t>2023</w:t>
      </w:r>
      <w:r w:rsidR="00093FEE" w:rsidRPr="00EF4A91">
        <w:rPr>
          <w:rFonts w:asciiTheme="minorHAnsi" w:hAnsiTheme="minorHAnsi" w:cstheme="minorHAnsi"/>
          <w:lang w:val="tr-TR"/>
        </w:rPr>
        <w:t>’ün birinci ve ikinci çeyreklerinde</w:t>
      </w:r>
      <w:r w:rsidR="00CA2AA4" w:rsidRPr="00EF4A91">
        <w:rPr>
          <w:rFonts w:asciiTheme="minorHAnsi" w:hAnsiTheme="minorHAnsi" w:cstheme="minorHAnsi"/>
          <w:lang w:val="tr-TR"/>
        </w:rPr>
        <w:t xml:space="preserve"> </w:t>
      </w:r>
      <w:r w:rsidR="00D7149F" w:rsidRPr="00EF4A91">
        <w:rPr>
          <w:rFonts w:asciiTheme="minorHAnsi" w:hAnsiTheme="minorHAnsi" w:cstheme="minorHAnsi"/>
          <w:lang w:val="tr-TR"/>
        </w:rPr>
        <w:t xml:space="preserve">GSYH büyüme hızını </w:t>
      </w:r>
      <w:r w:rsidR="00093FEE" w:rsidRPr="00EF4A91">
        <w:rPr>
          <w:rFonts w:asciiTheme="minorHAnsi" w:hAnsiTheme="minorHAnsi" w:cstheme="minorHAnsi"/>
          <w:lang w:val="tr-TR"/>
        </w:rPr>
        <w:t xml:space="preserve">olumsuz etkiyecektir. 2022 yılının ikinci yarısında çeyrekten çeyreğe büyümenin </w:t>
      </w:r>
      <w:r w:rsidR="00DE1840" w:rsidRPr="00EF4A91">
        <w:rPr>
          <w:rFonts w:asciiTheme="minorHAnsi" w:hAnsiTheme="minorHAnsi" w:cstheme="minorHAnsi"/>
          <w:lang w:val="tr-TR"/>
        </w:rPr>
        <w:t xml:space="preserve">hız kaybederek yüzde 1 civarına düştüğünü dikkate alırsak 2023 yılının ilk ve ikinci çeyreklerinde depremin doğrudan ve dolaylı etkisi ile </w:t>
      </w:r>
      <w:r w:rsidR="00F05AC2" w:rsidRPr="00EF4A91">
        <w:rPr>
          <w:rFonts w:asciiTheme="minorHAnsi" w:hAnsiTheme="minorHAnsi" w:cstheme="minorHAnsi"/>
          <w:lang w:val="tr-TR"/>
        </w:rPr>
        <w:t xml:space="preserve">çeyreklik büyümenin </w:t>
      </w:r>
      <w:r w:rsidR="00DE1840" w:rsidRPr="00EF4A91">
        <w:rPr>
          <w:rFonts w:asciiTheme="minorHAnsi" w:hAnsiTheme="minorHAnsi" w:cstheme="minorHAnsi"/>
          <w:lang w:val="tr-TR"/>
        </w:rPr>
        <w:t xml:space="preserve">yüzde 0 civarına gerilemesi kuvvetle muhtemeldir. </w:t>
      </w:r>
      <w:r w:rsidR="00D7149F" w:rsidRPr="00EF4A91">
        <w:rPr>
          <w:rFonts w:asciiTheme="minorHAnsi" w:hAnsiTheme="minorHAnsi" w:cstheme="minorHAnsi"/>
          <w:lang w:val="tr-TR"/>
        </w:rPr>
        <w:t xml:space="preserve"> </w:t>
      </w:r>
      <w:r w:rsidR="00DE1840" w:rsidRPr="00EF4A91">
        <w:rPr>
          <w:rFonts w:asciiTheme="minorHAnsi" w:hAnsiTheme="minorHAnsi" w:cstheme="minorHAnsi"/>
          <w:lang w:val="tr-TR"/>
        </w:rPr>
        <w:t xml:space="preserve">Buna karşılık </w:t>
      </w:r>
      <w:r w:rsidR="00EF4A91" w:rsidRPr="00EF4A91">
        <w:rPr>
          <w:rFonts w:asciiTheme="minorHAnsi" w:hAnsiTheme="minorHAnsi" w:cstheme="minorHAnsi"/>
          <w:lang w:val="tr-TR"/>
        </w:rPr>
        <w:t>h</w:t>
      </w:r>
      <w:r w:rsidRPr="00336E5B">
        <w:rPr>
          <w:rFonts w:asciiTheme="minorHAnsi" w:hAnsiTheme="minorHAnsi" w:cstheme="minorHAnsi"/>
          <w:lang w:val="tr-TR"/>
        </w:rPr>
        <w:t>ükümetin seçim döneminde kendisine avantaj sağlamak amacıyla da olsa yeniden inşa faaliyetlerine çok hızlı başlaması</w:t>
      </w:r>
      <w:r w:rsidR="0012541E" w:rsidRPr="00336E5B">
        <w:rPr>
          <w:rFonts w:asciiTheme="minorHAnsi" w:hAnsiTheme="minorHAnsi" w:cstheme="minorHAnsi"/>
          <w:lang w:val="tr-TR"/>
        </w:rPr>
        <w:t>yla deprem sonrası yeniden yapım faaliyetlerinin</w:t>
      </w:r>
      <w:r w:rsidR="00074A5E" w:rsidRPr="00336E5B">
        <w:rPr>
          <w:rFonts w:asciiTheme="minorHAnsi" w:hAnsiTheme="minorHAnsi" w:cstheme="minorHAnsi"/>
          <w:lang w:val="tr-TR"/>
        </w:rPr>
        <w:t xml:space="preserve"> </w:t>
      </w:r>
      <w:r w:rsidRPr="00336E5B">
        <w:rPr>
          <w:rFonts w:asciiTheme="minorHAnsi" w:hAnsiTheme="minorHAnsi" w:cstheme="minorHAnsi"/>
          <w:lang w:val="tr-TR"/>
        </w:rPr>
        <w:t>ikinci çeyrek</w:t>
      </w:r>
      <w:r w:rsidR="00074A5E" w:rsidRPr="00336E5B">
        <w:rPr>
          <w:rFonts w:asciiTheme="minorHAnsi" w:hAnsiTheme="minorHAnsi" w:cstheme="minorHAnsi"/>
          <w:lang w:val="tr-TR"/>
        </w:rPr>
        <w:t>te</w:t>
      </w:r>
      <w:r w:rsidR="0012541E" w:rsidRPr="00336E5B">
        <w:rPr>
          <w:rFonts w:asciiTheme="minorHAnsi" w:hAnsiTheme="minorHAnsi" w:cstheme="minorHAnsi"/>
          <w:lang w:val="tr-TR"/>
        </w:rPr>
        <w:t>n itibaren</w:t>
      </w:r>
      <w:r w:rsidR="00196CDA" w:rsidRPr="00336E5B">
        <w:rPr>
          <w:rFonts w:asciiTheme="minorHAnsi" w:hAnsiTheme="minorHAnsi" w:cstheme="minorHAnsi"/>
          <w:lang w:val="tr-TR"/>
        </w:rPr>
        <w:t xml:space="preserve"> </w:t>
      </w:r>
      <w:r w:rsidR="00144206" w:rsidRPr="00336E5B">
        <w:rPr>
          <w:rFonts w:asciiTheme="minorHAnsi" w:hAnsiTheme="minorHAnsi" w:cstheme="minorHAnsi"/>
          <w:lang w:val="tr-TR"/>
        </w:rPr>
        <w:t>özellikle</w:t>
      </w:r>
      <w:r w:rsidR="00DE1840">
        <w:rPr>
          <w:rFonts w:asciiTheme="minorHAnsi" w:hAnsiTheme="minorHAnsi" w:cstheme="minorHAnsi"/>
          <w:lang w:val="tr-TR"/>
        </w:rPr>
        <w:t xml:space="preserve"> de</w:t>
      </w:r>
      <w:r w:rsidR="00144206" w:rsidRPr="00336E5B">
        <w:rPr>
          <w:rFonts w:asciiTheme="minorHAnsi" w:hAnsiTheme="minorHAnsi" w:cstheme="minorHAnsi"/>
          <w:lang w:val="tr-TR"/>
        </w:rPr>
        <w:t xml:space="preserve"> </w:t>
      </w:r>
      <w:r w:rsidR="00074A5E" w:rsidRPr="00336E5B">
        <w:rPr>
          <w:rFonts w:asciiTheme="minorHAnsi" w:hAnsiTheme="minorHAnsi" w:cstheme="minorHAnsi"/>
          <w:lang w:val="tr-TR"/>
        </w:rPr>
        <w:t>yılın ikinci yarısında büyüme hızını yukarı çek</w:t>
      </w:r>
      <w:r w:rsidR="00DE1840">
        <w:rPr>
          <w:rFonts w:asciiTheme="minorHAnsi" w:hAnsiTheme="minorHAnsi" w:cstheme="minorHAnsi"/>
          <w:lang w:val="tr-TR"/>
        </w:rPr>
        <w:t>mesi beklenir.</w:t>
      </w:r>
    </w:p>
    <w:p w14:paraId="57180B58" w14:textId="518D6A0D" w:rsidR="00000A30" w:rsidRPr="00336E5B" w:rsidRDefault="0099324B" w:rsidP="00C87E8A">
      <w:pPr>
        <w:spacing w:after="120"/>
        <w:rPr>
          <w:rFonts w:asciiTheme="minorHAnsi" w:hAnsiTheme="minorHAnsi" w:cstheme="minorHAnsi"/>
          <w:lang w:val="tr-TR"/>
        </w:rPr>
      </w:pPr>
      <w:r w:rsidRPr="00336E5B">
        <w:rPr>
          <w:rFonts w:asciiTheme="minorHAnsi" w:hAnsiTheme="minorHAnsi" w:cstheme="minorHAnsi"/>
          <w:lang w:val="tr-TR"/>
        </w:rPr>
        <w:t>Tablo 3’te</w:t>
      </w:r>
      <w:r w:rsidR="00E04764" w:rsidRPr="00336E5B">
        <w:rPr>
          <w:rFonts w:asciiTheme="minorHAnsi" w:hAnsiTheme="minorHAnsi" w:cstheme="minorHAnsi"/>
          <w:lang w:val="tr-TR"/>
        </w:rPr>
        <w:t>ki tahminler</w:t>
      </w:r>
      <w:r w:rsidR="00196CDA" w:rsidRPr="00336E5B">
        <w:rPr>
          <w:rFonts w:asciiTheme="minorHAnsi" w:hAnsiTheme="minorHAnsi" w:cstheme="minorHAnsi"/>
          <w:lang w:val="tr-TR"/>
        </w:rPr>
        <w:t>,</w:t>
      </w:r>
      <w:r w:rsidRPr="00336E5B">
        <w:rPr>
          <w:rFonts w:asciiTheme="minorHAnsi" w:hAnsiTheme="minorHAnsi" w:cstheme="minorHAnsi"/>
          <w:lang w:val="tr-TR"/>
        </w:rPr>
        <w:t xml:space="preserve"> deprem sonrası yapılacak inşaat faaliyetlerinin toplamda </w:t>
      </w:r>
      <w:r w:rsidR="00E02B7D" w:rsidRPr="00336E5B">
        <w:rPr>
          <w:rFonts w:asciiTheme="minorHAnsi" w:hAnsiTheme="minorHAnsi" w:cstheme="minorHAnsi"/>
          <w:lang w:val="tr-TR"/>
        </w:rPr>
        <w:t>85</w:t>
      </w:r>
      <w:r w:rsidRPr="00336E5B">
        <w:rPr>
          <w:rFonts w:asciiTheme="minorHAnsi" w:hAnsiTheme="minorHAnsi" w:cstheme="minorHAnsi"/>
          <w:lang w:val="tr-TR"/>
        </w:rPr>
        <w:t xml:space="preserve"> milyar dolar</w:t>
      </w:r>
      <w:r w:rsidR="00196CDA" w:rsidRPr="00336E5B">
        <w:rPr>
          <w:rFonts w:asciiTheme="minorHAnsi" w:hAnsiTheme="minorHAnsi" w:cstheme="minorHAnsi"/>
          <w:lang w:val="tr-TR"/>
        </w:rPr>
        <w:t>ı</w:t>
      </w:r>
      <w:r w:rsidR="00E04764" w:rsidRPr="00336E5B">
        <w:rPr>
          <w:rFonts w:asciiTheme="minorHAnsi" w:hAnsiTheme="minorHAnsi" w:cstheme="minorHAnsi"/>
          <w:lang w:val="tr-TR"/>
        </w:rPr>
        <w:t xml:space="preserve"> bulacak bir ek harcamaya yol açacağını gösteriyor. Elbette bu meblağın tamamı 2023 yılı içinde harcanmayacak</w:t>
      </w:r>
      <w:r w:rsidR="00401184" w:rsidRPr="00336E5B">
        <w:rPr>
          <w:rFonts w:asciiTheme="minorHAnsi" w:hAnsiTheme="minorHAnsi" w:cstheme="minorHAnsi"/>
          <w:lang w:val="tr-TR"/>
        </w:rPr>
        <w:t>,</w:t>
      </w:r>
      <w:r w:rsidR="00E04764" w:rsidRPr="00336E5B">
        <w:rPr>
          <w:rFonts w:asciiTheme="minorHAnsi" w:hAnsiTheme="minorHAnsi" w:cstheme="minorHAnsi"/>
          <w:lang w:val="tr-TR"/>
        </w:rPr>
        <w:t xml:space="preserve"> </w:t>
      </w:r>
      <w:r w:rsidR="00401184" w:rsidRPr="00336E5B">
        <w:rPr>
          <w:rFonts w:asciiTheme="minorHAnsi" w:hAnsiTheme="minorHAnsi" w:cstheme="minorHAnsi"/>
          <w:lang w:val="tr-TR"/>
        </w:rPr>
        <w:t>i</w:t>
      </w:r>
      <w:r w:rsidR="00E04764" w:rsidRPr="00336E5B">
        <w:rPr>
          <w:rFonts w:asciiTheme="minorHAnsi" w:hAnsiTheme="minorHAnsi" w:cstheme="minorHAnsi"/>
          <w:lang w:val="tr-TR"/>
        </w:rPr>
        <w:t>nşa</w:t>
      </w:r>
      <w:r w:rsidR="000E617D" w:rsidRPr="00336E5B">
        <w:rPr>
          <w:rFonts w:asciiTheme="minorHAnsi" w:hAnsiTheme="minorHAnsi" w:cstheme="minorHAnsi"/>
          <w:lang w:val="tr-TR"/>
        </w:rPr>
        <w:t>at faaliyet</w:t>
      </w:r>
      <w:r w:rsidR="00196CDA" w:rsidRPr="00336E5B">
        <w:rPr>
          <w:rFonts w:asciiTheme="minorHAnsi" w:hAnsiTheme="minorHAnsi" w:cstheme="minorHAnsi"/>
          <w:lang w:val="tr-TR"/>
        </w:rPr>
        <w:t>ler</w:t>
      </w:r>
      <w:r w:rsidR="000E617D" w:rsidRPr="00336E5B">
        <w:rPr>
          <w:rFonts w:asciiTheme="minorHAnsi" w:hAnsiTheme="minorHAnsi" w:cstheme="minorHAnsi"/>
          <w:lang w:val="tr-TR"/>
        </w:rPr>
        <w:t>i 2024’</w:t>
      </w:r>
      <w:r w:rsidR="00401184" w:rsidRPr="00336E5B">
        <w:rPr>
          <w:rFonts w:asciiTheme="minorHAnsi" w:hAnsiTheme="minorHAnsi" w:cstheme="minorHAnsi"/>
          <w:lang w:val="tr-TR"/>
        </w:rPr>
        <w:t>ün tamamına yayılacaktır</w:t>
      </w:r>
      <w:r w:rsidR="000E617D" w:rsidRPr="00336E5B">
        <w:rPr>
          <w:rFonts w:asciiTheme="minorHAnsi" w:hAnsiTheme="minorHAnsi" w:cstheme="minorHAnsi"/>
          <w:lang w:val="tr-TR"/>
        </w:rPr>
        <w:t xml:space="preserve">. 2023 ve 2024 yıllarında ne kadar harcama yapılacağını görebilmek için inşa edilecek afet konutları, köy evleri, işyeri bina ve bağımsız birimlerinin ne kadarının 2023’te ne kadarının 2024’te yapılacağına karar vermek gerekiyor. </w:t>
      </w:r>
      <w:r w:rsidR="00710BCD" w:rsidRPr="00336E5B">
        <w:rPr>
          <w:rFonts w:asciiTheme="minorHAnsi" w:hAnsiTheme="minorHAnsi" w:cstheme="minorHAnsi"/>
          <w:lang w:val="tr-TR"/>
        </w:rPr>
        <w:t>A</w:t>
      </w:r>
      <w:r w:rsidR="005A2116" w:rsidRPr="00336E5B">
        <w:rPr>
          <w:rFonts w:asciiTheme="minorHAnsi" w:hAnsiTheme="minorHAnsi" w:cstheme="minorHAnsi"/>
          <w:lang w:val="tr-TR"/>
        </w:rPr>
        <w:t xml:space="preserve">z hasarlı binalardaki tamirat maliyetlerinin </w:t>
      </w:r>
      <w:r w:rsidR="00710BCD" w:rsidRPr="00336E5B">
        <w:rPr>
          <w:rFonts w:asciiTheme="minorHAnsi" w:hAnsiTheme="minorHAnsi" w:cstheme="minorHAnsi"/>
          <w:lang w:val="tr-TR"/>
        </w:rPr>
        <w:t xml:space="preserve">tamamının </w:t>
      </w:r>
      <w:r w:rsidR="005A2116" w:rsidRPr="00336E5B">
        <w:rPr>
          <w:rFonts w:asciiTheme="minorHAnsi" w:hAnsiTheme="minorHAnsi" w:cstheme="minorHAnsi"/>
          <w:lang w:val="tr-TR"/>
        </w:rPr>
        <w:t>ve y</w:t>
      </w:r>
      <w:r w:rsidR="000E617D" w:rsidRPr="00336E5B">
        <w:rPr>
          <w:rFonts w:asciiTheme="minorHAnsi" w:hAnsiTheme="minorHAnsi" w:cstheme="minorHAnsi"/>
          <w:lang w:val="tr-TR"/>
        </w:rPr>
        <w:t>ıkılan</w:t>
      </w:r>
      <w:r w:rsidR="00710BCD" w:rsidRPr="00336E5B">
        <w:rPr>
          <w:rFonts w:asciiTheme="minorHAnsi" w:hAnsiTheme="minorHAnsi" w:cstheme="minorHAnsi"/>
          <w:lang w:val="tr-TR"/>
        </w:rPr>
        <w:t xml:space="preserve">, acil yıkılacak, </w:t>
      </w:r>
      <w:r w:rsidR="000E617D" w:rsidRPr="00336E5B">
        <w:rPr>
          <w:rFonts w:asciiTheme="minorHAnsi" w:hAnsiTheme="minorHAnsi" w:cstheme="minorHAnsi"/>
          <w:lang w:val="tr-TR"/>
        </w:rPr>
        <w:t xml:space="preserve">ağır </w:t>
      </w:r>
      <w:r w:rsidR="00710BCD" w:rsidRPr="00336E5B">
        <w:rPr>
          <w:rFonts w:asciiTheme="minorHAnsi" w:hAnsiTheme="minorHAnsi" w:cstheme="minorHAnsi"/>
          <w:lang w:val="tr-TR"/>
        </w:rPr>
        <w:t xml:space="preserve">ya da orta </w:t>
      </w:r>
      <w:r w:rsidR="000E617D" w:rsidRPr="00336E5B">
        <w:rPr>
          <w:rFonts w:asciiTheme="minorHAnsi" w:hAnsiTheme="minorHAnsi" w:cstheme="minorHAnsi"/>
          <w:lang w:val="tr-TR"/>
        </w:rPr>
        <w:t>hasar</w:t>
      </w:r>
      <w:r w:rsidR="00710BCD" w:rsidRPr="00336E5B">
        <w:rPr>
          <w:rFonts w:asciiTheme="minorHAnsi" w:hAnsiTheme="minorHAnsi" w:cstheme="minorHAnsi"/>
          <w:lang w:val="tr-TR"/>
        </w:rPr>
        <w:t>lı</w:t>
      </w:r>
      <w:r w:rsidR="000E617D" w:rsidRPr="00336E5B">
        <w:rPr>
          <w:rFonts w:asciiTheme="minorHAnsi" w:hAnsiTheme="minorHAnsi" w:cstheme="minorHAnsi"/>
          <w:lang w:val="tr-TR"/>
        </w:rPr>
        <w:t xml:space="preserve"> </w:t>
      </w:r>
      <w:r w:rsidR="00710BCD" w:rsidRPr="00336E5B">
        <w:rPr>
          <w:rFonts w:asciiTheme="minorHAnsi" w:hAnsiTheme="minorHAnsi" w:cstheme="minorHAnsi"/>
          <w:lang w:val="tr-TR"/>
        </w:rPr>
        <w:t xml:space="preserve">olan </w:t>
      </w:r>
      <w:r w:rsidR="003270F6" w:rsidRPr="00336E5B">
        <w:rPr>
          <w:rFonts w:asciiTheme="minorHAnsi" w:hAnsiTheme="minorHAnsi" w:cstheme="minorHAnsi"/>
          <w:lang w:val="tr-TR"/>
        </w:rPr>
        <w:t xml:space="preserve">üstyapı </w:t>
      </w:r>
      <w:r w:rsidR="000E617D" w:rsidRPr="00336E5B">
        <w:rPr>
          <w:rFonts w:asciiTheme="minorHAnsi" w:hAnsiTheme="minorHAnsi" w:cstheme="minorHAnsi"/>
          <w:lang w:val="tr-TR"/>
        </w:rPr>
        <w:t>ve altyapı</w:t>
      </w:r>
      <w:r w:rsidR="003270F6" w:rsidRPr="00336E5B">
        <w:rPr>
          <w:rFonts w:asciiTheme="minorHAnsi" w:hAnsiTheme="minorHAnsi" w:cstheme="minorHAnsi"/>
          <w:lang w:val="tr-TR"/>
        </w:rPr>
        <w:t xml:space="preserve"> inşaatının </w:t>
      </w:r>
      <w:r w:rsidR="00423B72">
        <w:rPr>
          <w:rFonts w:asciiTheme="minorHAnsi" w:hAnsiTheme="minorHAnsi" w:cstheme="minorHAnsi"/>
          <w:lang w:val="tr-TR"/>
        </w:rPr>
        <w:t xml:space="preserve">yüzde </w:t>
      </w:r>
      <w:r w:rsidR="00710BCD" w:rsidRPr="00336E5B">
        <w:rPr>
          <w:rFonts w:asciiTheme="minorHAnsi" w:hAnsiTheme="minorHAnsi" w:cstheme="minorHAnsi"/>
          <w:lang w:val="tr-TR"/>
        </w:rPr>
        <w:t>60’ı</w:t>
      </w:r>
      <w:r w:rsidR="003270F6" w:rsidRPr="00336E5B">
        <w:rPr>
          <w:rFonts w:asciiTheme="minorHAnsi" w:hAnsiTheme="minorHAnsi" w:cstheme="minorHAnsi"/>
          <w:lang w:val="tr-TR"/>
        </w:rPr>
        <w:t>nın</w:t>
      </w:r>
      <w:r w:rsidR="000E617D" w:rsidRPr="00336E5B">
        <w:rPr>
          <w:rFonts w:asciiTheme="minorHAnsi" w:hAnsiTheme="minorHAnsi" w:cstheme="minorHAnsi"/>
          <w:lang w:val="tr-TR"/>
        </w:rPr>
        <w:t xml:space="preserve"> 2023’te geriye kalan bölümünün de 2024’te tamamlanacağını</w:t>
      </w:r>
      <w:r w:rsidR="005A2116" w:rsidRPr="00336E5B">
        <w:rPr>
          <w:rFonts w:asciiTheme="minorHAnsi" w:hAnsiTheme="minorHAnsi" w:cstheme="minorHAnsi"/>
          <w:lang w:val="tr-TR"/>
        </w:rPr>
        <w:t xml:space="preserve"> </w:t>
      </w:r>
      <w:r w:rsidR="000E617D" w:rsidRPr="00336E5B">
        <w:rPr>
          <w:rFonts w:asciiTheme="minorHAnsi" w:hAnsiTheme="minorHAnsi" w:cstheme="minorHAnsi"/>
          <w:lang w:val="tr-TR"/>
        </w:rPr>
        <w:t>varsay</w:t>
      </w:r>
      <w:r w:rsidR="003270F6" w:rsidRPr="00336E5B">
        <w:rPr>
          <w:rFonts w:asciiTheme="minorHAnsi" w:hAnsiTheme="minorHAnsi" w:cstheme="minorHAnsi"/>
          <w:lang w:val="tr-TR"/>
        </w:rPr>
        <w:t xml:space="preserve">dığımız zaman toplam yeniden yapım, güçlendirme ve tamirat faaliyetleri için harcanacak </w:t>
      </w:r>
      <w:r w:rsidR="004C677D" w:rsidRPr="00336E5B">
        <w:rPr>
          <w:rFonts w:asciiTheme="minorHAnsi" w:hAnsiTheme="minorHAnsi" w:cstheme="minorHAnsi"/>
          <w:lang w:val="tr-TR"/>
        </w:rPr>
        <w:t>(ithal girdi ve makine teçhizatın değeri</w:t>
      </w:r>
      <w:r w:rsidR="00196CDA" w:rsidRPr="00336E5B">
        <w:rPr>
          <w:rFonts w:asciiTheme="minorHAnsi" w:hAnsiTheme="minorHAnsi" w:cstheme="minorHAnsi"/>
          <w:lang w:val="tr-TR"/>
        </w:rPr>
        <w:t>ni</w:t>
      </w:r>
      <w:r w:rsidR="004C677D" w:rsidRPr="00336E5B">
        <w:rPr>
          <w:rFonts w:asciiTheme="minorHAnsi" w:hAnsiTheme="minorHAnsi" w:cstheme="minorHAnsi"/>
          <w:lang w:val="tr-TR"/>
        </w:rPr>
        <w:t xml:space="preserve"> çık</w:t>
      </w:r>
      <w:r w:rsidR="00423B72">
        <w:rPr>
          <w:rFonts w:asciiTheme="minorHAnsi" w:hAnsiTheme="minorHAnsi" w:cstheme="minorHAnsi"/>
          <w:lang w:val="tr-TR"/>
        </w:rPr>
        <w:t>ard</w:t>
      </w:r>
      <w:r w:rsidR="004C677D" w:rsidRPr="00336E5B">
        <w:rPr>
          <w:rFonts w:asciiTheme="minorHAnsi" w:hAnsiTheme="minorHAnsi" w:cstheme="minorHAnsi"/>
          <w:lang w:val="tr-TR"/>
        </w:rPr>
        <w:t xml:space="preserve">ıktan sonra) maksimum </w:t>
      </w:r>
      <w:r w:rsidR="007A0263" w:rsidRPr="00336E5B">
        <w:rPr>
          <w:rFonts w:asciiTheme="minorHAnsi" w:hAnsiTheme="minorHAnsi" w:cstheme="minorHAnsi"/>
          <w:lang w:val="tr-TR"/>
        </w:rPr>
        <w:t>85,</w:t>
      </w:r>
      <w:r w:rsidR="00E02B7D" w:rsidRPr="00336E5B">
        <w:rPr>
          <w:rFonts w:asciiTheme="minorHAnsi" w:hAnsiTheme="minorHAnsi" w:cstheme="minorHAnsi"/>
          <w:lang w:val="tr-TR"/>
        </w:rPr>
        <w:t>5</w:t>
      </w:r>
      <w:r w:rsidR="004C677D" w:rsidRPr="00336E5B">
        <w:rPr>
          <w:rFonts w:asciiTheme="minorHAnsi" w:hAnsiTheme="minorHAnsi" w:cstheme="minorHAnsi"/>
          <w:lang w:val="tr-TR"/>
        </w:rPr>
        <w:t xml:space="preserve"> milyar doların </w:t>
      </w:r>
      <w:r w:rsidR="00EE4D65">
        <w:rPr>
          <w:rFonts w:asciiTheme="minorHAnsi" w:hAnsiTheme="minorHAnsi" w:cstheme="minorHAnsi"/>
          <w:lang w:val="tr-TR"/>
        </w:rPr>
        <w:t>50</w:t>
      </w:r>
      <w:r w:rsidR="004C677D" w:rsidRPr="00336E5B">
        <w:rPr>
          <w:rFonts w:asciiTheme="minorHAnsi" w:hAnsiTheme="minorHAnsi" w:cstheme="minorHAnsi"/>
          <w:lang w:val="tr-TR"/>
        </w:rPr>
        <w:t xml:space="preserve"> </w:t>
      </w:r>
      <w:r w:rsidR="000A56CF" w:rsidRPr="00336E5B">
        <w:rPr>
          <w:rFonts w:asciiTheme="minorHAnsi" w:hAnsiTheme="minorHAnsi" w:cstheme="minorHAnsi"/>
          <w:lang w:val="tr-TR"/>
        </w:rPr>
        <w:t>milyar dolar</w:t>
      </w:r>
      <w:r w:rsidR="004C677D" w:rsidRPr="00336E5B">
        <w:rPr>
          <w:rFonts w:asciiTheme="minorHAnsi" w:hAnsiTheme="minorHAnsi" w:cstheme="minorHAnsi"/>
          <w:lang w:val="tr-TR"/>
        </w:rPr>
        <w:t>lık kısmının</w:t>
      </w:r>
      <w:r w:rsidR="000A56CF" w:rsidRPr="00336E5B">
        <w:rPr>
          <w:rFonts w:asciiTheme="minorHAnsi" w:hAnsiTheme="minorHAnsi" w:cstheme="minorHAnsi"/>
          <w:lang w:val="tr-TR"/>
        </w:rPr>
        <w:t xml:space="preserve"> </w:t>
      </w:r>
      <w:r w:rsidR="003270F6" w:rsidRPr="00336E5B">
        <w:rPr>
          <w:rFonts w:asciiTheme="minorHAnsi" w:hAnsiTheme="minorHAnsi" w:cstheme="minorHAnsi"/>
          <w:lang w:val="tr-TR"/>
        </w:rPr>
        <w:t>2023’te</w:t>
      </w:r>
      <w:r w:rsidR="00196CDA" w:rsidRPr="00336E5B">
        <w:rPr>
          <w:rFonts w:asciiTheme="minorHAnsi" w:hAnsiTheme="minorHAnsi" w:cstheme="minorHAnsi"/>
          <w:lang w:val="tr-TR"/>
        </w:rPr>
        <w:t>,</w:t>
      </w:r>
      <w:r w:rsidR="003270F6" w:rsidRPr="00336E5B">
        <w:rPr>
          <w:rFonts w:asciiTheme="minorHAnsi" w:hAnsiTheme="minorHAnsi" w:cstheme="minorHAnsi"/>
          <w:lang w:val="tr-TR"/>
        </w:rPr>
        <w:t xml:space="preserve"> </w:t>
      </w:r>
      <w:r w:rsidR="004C677D" w:rsidRPr="00336E5B">
        <w:rPr>
          <w:rFonts w:asciiTheme="minorHAnsi" w:hAnsiTheme="minorHAnsi" w:cstheme="minorHAnsi"/>
          <w:lang w:val="tr-TR"/>
        </w:rPr>
        <w:t>3</w:t>
      </w:r>
      <w:r w:rsidR="007A0263" w:rsidRPr="00336E5B">
        <w:rPr>
          <w:rFonts w:asciiTheme="minorHAnsi" w:hAnsiTheme="minorHAnsi" w:cstheme="minorHAnsi"/>
          <w:lang w:val="tr-TR"/>
        </w:rPr>
        <w:t>5,6</w:t>
      </w:r>
      <w:r w:rsidR="000A56CF" w:rsidRPr="00336E5B">
        <w:rPr>
          <w:rFonts w:asciiTheme="minorHAnsi" w:hAnsiTheme="minorHAnsi" w:cstheme="minorHAnsi"/>
          <w:lang w:val="tr-TR"/>
        </w:rPr>
        <w:t xml:space="preserve"> milyar dolar</w:t>
      </w:r>
      <w:r w:rsidR="004C677D" w:rsidRPr="00336E5B">
        <w:rPr>
          <w:rFonts w:asciiTheme="minorHAnsi" w:hAnsiTheme="minorHAnsi" w:cstheme="minorHAnsi"/>
          <w:lang w:val="tr-TR"/>
        </w:rPr>
        <w:t>lık kısmının</w:t>
      </w:r>
      <w:r w:rsidR="000A56CF" w:rsidRPr="00336E5B">
        <w:rPr>
          <w:rFonts w:asciiTheme="minorHAnsi" w:hAnsiTheme="minorHAnsi" w:cstheme="minorHAnsi"/>
          <w:lang w:val="tr-TR"/>
        </w:rPr>
        <w:t xml:space="preserve"> da 2024’te ekonomik aktiviteye katkı yapması</w:t>
      </w:r>
      <w:r w:rsidR="00196CDA" w:rsidRPr="00336E5B">
        <w:rPr>
          <w:rFonts w:asciiTheme="minorHAnsi" w:hAnsiTheme="minorHAnsi" w:cstheme="minorHAnsi"/>
          <w:lang w:val="tr-TR"/>
        </w:rPr>
        <w:t>nı</w:t>
      </w:r>
      <w:r w:rsidR="000A56CF" w:rsidRPr="00336E5B">
        <w:rPr>
          <w:rFonts w:asciiTheme="minorHAnsi" w:hAnsiTheme="minorHAnsi" w:cstheme="minorHAnsi"/>
          <w:lang w:val="tr-TR"/>
        </w:rPr>
        <w:t xml:space="preserve"> bekle</w:t>
      </w:r>
      <w:r w:rsidR="00196CDA" w:rsidRPr="00336E5B">
        <w:rPr>
          <w:rFonts w:asciiTheme="minorHAnsi" w:hAnsiTheme="minorHAnsi" w:cstheme="minorHAnsi"/>
          <w:lang w:val="tr-TR"/>
        </w:rPr>
        <w:t>yebiliriz</w:t>
      </w:r>
      <w:r w:rsidR="000A56CF" w:rsidRPr="00336E5B">
        <w:rPr>
          <w:rFonts w:asciiTheme="minorHAnsi" w:hAnsiTheme="minorHAnsi" w:cstheme="minorHAnsi"/>
          <w:lang w:val="tr-TR"/>
        </w:rPr>
        <w:t>.</w:t>
      </w:r>
    </w:p>
    <w:p w14:paraId="12760C30" w14:textId="3F9273A8" w:rsidR="005C76E1" w:rsidRPr="000F3B69" w:rsidRDefault="00C428A2" w:rsidP="00C87E8A">
      <w:pPr>
        <w:spacing w:after="120"/>
        <w:rPr>
          <w:rFonts w:asciiTheme="minorHAnsi" w:hAnsiTheme="minorHAnsi" w:cstheme="minorHAnsi"/>
          <w:lang w:val="tr-TR"/>
        </w:rPr>
      </w:pPr>
      <w:r w:rsidRPr="000F3B69">
        <w:rPr>
          <w:rFonts w:asciiTheme="minorHAnsi" w:hAnsiTheme="minorHAnsi" w:cstheme="minorHAnsi"/>
          <w:lang w:val="tr-TR"/>
        </w:rPr>
        <w:t>Depremin üretim</w:t>
      </w:r>
      <w:r w:rsidR="00DD0D61" w:rsidRPr="000F3B69">
        <w:rPr>
          <w:rFonts w:asciiTheme="minorHAnsi" w:hAnsiTheme="minorHAnsi" w:cstheme="minorHAnsi"/>
          <w:lang w:val="tr-TR"/>
        </w:rPr>
        <w:t xml:space="preserve"> üzerindeki </w:t>
      </w:r>
      <w:r w:rsidR="00CA2AA4" w:rsidRPr="000F3B69">
        <w:rPr>
          <w:rFonts w:asciiTheme="minorHAnsi" w:hAnsiTheme="minorHAnsi" w:cstheme="minorHAnsi"/>
          <w:lang w:val="tr-TR"/>
        </w:rPr>
        <w:t>negatif</w:t>
      </w:r>
      <w:r w:rsidRPr="000F3B69">
        <w:rPr>
          <w:rFonts w:asciiTheme="minorHAnsi" w:hAnsiTheme="minorHAnsi" w:cstheme="minorHAnsi"/>
          <w:lang w:val="tr-TR"/>
        </w:rPr>
        <w:t xml:space="preserve"> etkisini</w:t>
      </w:r>
      <w:r w:rsidR="00DD0D61" w:rsidRPr="000F3B69">
        <w:rPr>
          <w:rFonts w:asciiTheme="minorHAnsi" w:hAnsiTheme="minorHAnsi" w:cstheme="minorHAnsi"/>
          <w:lang w:val="tr-TR"/>
        </w:rPr>
        <w:t xml:space="preserve">n </w:t>
      </w:r>
      <w:r w:rsidRPr="000F3B69">
        <w:rPr>
          <w:rFonts w:asciiTheme="minorHAnsi" w:hAnsiTheme="minorHAnsi" w:cstheme="minorHAnsi"/>
          <w:lang w:val="tr-TR"/>
        </w:rPr>
        <w:t>yanı sıra</w:t>
      </w:r>
      <w:r w:rsidR="003D347F" w:rsidRPr="000F3B69">
        <w:rPr>
          <w:rFonts w:asciiTheme="minorHAnsi" w:hAnsiTheme="minorHAnsi" w:cstheme="minorHAnsi"/>
          <w:lang w:val="tr-TR"/>
        </w:rPr>
        <w:t xml:space="preserve"> yeniden inşaat yatırımları için </w:t>
      </w:r>
      <w:r w:rsidRPr="000F3B69">
        <w:rPr>
          <w:rFonts w:asciiTheme="minorHAnsi" w:hAnsiTheme="minorHAnsi" w:cstheme="minorHAnsi"/>
          <w:lang w:val="tr-TR"/>
        </w:rPr>
        <w:t xml:space="preserve">yıl içinde </w:t>
      </w:r>
      <w:r w:rsidR="003D347F" w:rsidRPr="000F3B69">
        <w:rPr>
          <w:rFonts w:asciiTheme="minorHAnsi" w:hAnsiTheme="minorHAnsi" w:cstheme="minorHAnsi"/>
          <w:lang w:val="tr-TR"/>
        </w:rPr>
        <w:t xml:space="preserve">harcanacak </w:t>
      </w:r>
      <w:r w:rsidR="00DD0D61" w:rsidRPr="000F3B69">
        <w:rPr>
          <w:rFonts w:asciiTheme="minorHAnsi" w:hAnsiTheme="minorHAnsi" w:cstheme="minorHAnsi"/>
          <w:lang w:val="tr-TR"/>
        </w:rPr>
        <w:t>3</w:t>
      </w:r>
      <w:r w:rsidR="008F2224" w:rsidRPr="000F3B69">
        <w:rPr>
          <w:rFonts w:asciiTheme="minorHAnsi" w:hAnsiTheme="minorHAnsi" w:cstheme="minorHAnsi"/>
          <w:lang w:val="tr-TR"/>
        </w:rPr>
        <w:t>1</w:t>
      </w:r>
      <w:r w:rsidR="00DD0D61" w:rsidRPr="000F3B69">
        <w:rPr>
          <w:rFonts w:asciiTheme="minorHAnsi" w:hAnsiTheme="minorHAnsi" w:cstheme="minorHAnsi"/>
          <w:lang w:val="tr-TR"/>
        </w:rPr>
        <w:t>,</w:t>
      </w:r>
      <w:r w:rsidR="008F2224" w:rsidRPr="000F3B69">
        <w:rPr>
          <w:rFonts w:asciiTheme="minorHAnsi" w:hAnsiTheme="minorHAnsi" w:cstheme="minorHAnsi"/>
          <w:lang w:val="tr-TR"/>
        </w:rPr>
        <w:t>3</w:t>
      </w:r>
      <w:r w:rsidR="00DD0D61" w:rsidRPr="000F3B69">
        <w:rPr>
          <w:rFonts w:asciiTheme="minorHAnsi" w:hAnsiTheme="minorHAnsi" w:cstheme="minorHAnsi"/>
          <w:lang w:val="tr-TR"/>
        </w:rPr>
        <w:t>-</w:t>
      </w:r>
      <w:r w:rsidR="008F2224" w:rsidRPr="000F3B69">
        <w:rPr>
          <w:rFonts w:asciiTheme="minorHAnsi" w:hAnsiTheme="minorHAnsi" w:cstheme="minorHAnsi"/>
          <w:lang w:val="tr-TR"/>
        </w:rPr>
        <w:t>40</w:t>
      </w:r>
      <w:r w:rsidR="00DD0D61" w:rsidRPr="000F3B69">
        <w:rPr>
          <w:rFonts w:asciiTheme="minorHAnsi" w:hAnsiTheme="minorHAnsi" w:cstheme="minorHAnsi"/>
          <w:lang w:val="tr-TR"/>
        </w:rPr>
        <w:t>,</w:t>
      </w:r>
      <w:r w:rsidR="008F2224" w:rsidRPr="000F3B69">
        <w:rPr>
          <w:rFonts w:asciiTheme="minorHAnsi" w:hAnsiTheme="minorHAnsi" w:cstheme="minorHAnsi"/>
          <w:lang w:val="tr-TR"/>
        </w:rPr>
        <w:t>7</w:t>
      </w:r>
      <w:r w:rsidR="00DD0D61" w:rsidRPr="000F3B69">
        <w:rPr>
          <w:rFonts w:asciiTheme="minorHAnsi" w:hAnsiTheme="minorHAnsi" w:cstheme="minorHAnsi"/>
          <w:lang w:val="tr-TR"/>
        </w:rPr>
        <w:t xml:space="preserve"> milyar dolarlık </w:t>
      </w:r>
      <w:r w:rsidR="003D347F" w:rsidRPr="000F3B69">
        <w:rPr>
          <w:rFonts w:asciiTheme="minorHAnsi" w:hAnsiTheme="minorHAnsi" w:cstheme="minorHAnsi"/>
          <w:lang w:val="tr-TR"/>
        </w:rPr>
        <w:t>m</w:t>
      </w:r>
      <w:r w:rsidR="00FB1547" w:rsidRPr="000F3B69">
        <w:rPr>
          <w:rFonts w:asciiTheme="minorHAnsi" w:hAnsiTheme="minorHAnsi" w:cstheme="minorHAnsi"/>
          <w:lang w:val="tr-TR"/>
        </w:rPr>
        <w:t>eblağı</w:t>
      </w:r>
      <w:r w:rsidRPr="000F3B69">
        <w:rPr>
          <w:rFonts w:asciiTheme="minorHAnsi" w:hAnsiTheme="minorHAnsi" w:cstheme="minorHAnsi"/>
          <w:lang w:val="tr-TR"/>
        </w:rPr>
        <w:t xml:space="preserve"> </w:t>
      </w:r>
      <w:r w:rsidR="003D347F" w:rsidRPr="000F3B69">
        <w:rPr>
          <w:rFonts w:asciiTheme="minorHAnsi" w:hAnsiTheme="minorHAnsi" w:cstheme="minorHAnsi"/>
          <w:lang w:val="tr-TR"/>
        </w:rPr>
        <w:t xml:space="preserve">dikkate alırsak </w:t>
      </w:r>
      <w:r w:rsidRPr="000F3B69">
        <w:rPr>
          <w:rFonts w:asciiTheme="minorHAnsi" w:hAnsiTheme="minorHAnsi" w:cstheme="minorHAnsi"/>
          <w:lang w:val="tr-TR"/>
        </w:rPr>
        <w:t>2023</w:t>
      </w:r>
      <w:r w:rsidR="00423B72" w:rsidRPr="000F3B69">
        <w:rPr>
          <w:rFonts w:asciiTheme="minorHAnsi" w:hAnsiTheme="minorHAnsi" w:cstheme="minorHAnsi"/>
          <w:lang w:val="tr-TR"/>
        </w:rPr>
        <w:t xml:space="preserve"> yılının bütününde </w:t>
      </w:r>
      <w:r w:rsidRPr="000F3B69">
        <w:rPr>
          <w:rFonts w:asciiTheme="minorHAnsi" w:hAnsiTheme="minorHAnsi" w:cstheme="minorHAnsi"/>
          <w:lang w:val="tr-TR"/>
        </w:rPr>
        <w:t xml:space="preserve">büyümenin </w:t>
      </w:r>
      <w:r w:rsidR="00DD4CCE" w:rsidRPr="000F3B69">
        <w:rPr>
          <w:rFonts w:asciiTheme="minorHAnsi" w:hAnsiTheme="minorHAnsi" w:cstheme="minorHAnsi"/>
          <w:lang w:val="tr-TR"/>
        </w:rPr>
        <w:t xml:space="preserve">ilave yatırımların etkisiyle </w:t>
      </w:r>
      <w:r w:rsidR="00A026EC" w:rsidRPr="000F3B69">
        <w:rPr>
          <w:rFonts w:asciiTheme="minorHAnsi" w:hAnsiTheme="minorHAnsi" w:cstheme="minorHAnsi"/>
          <w:lang w:val="tr-TR"/>
        </w:rPr>
        <w:t>2</w:t>
      </w:r>
      <w:r w:rsidR="00DE1BEC">
        <w:rPr>
          <w:rFonts w:asciiTheme="minorHAnsi" w:hAnsiTheme="minorHAnsi" w:cstheme="minorHAnsi"/>
          <w:lang w:val="tr-TR"/>
        </w:rPr>
        <w:t xml:space="preserve">,4 ila 2,6 </w:t>
      </w:r>
      <w:r w:rsidR="00423B72" w:rsidRPr="000F3B69">
        <w:rPr>
          <w:rFonts w:asciiTheme="minorHAnsi" w:hAnsiTheme="minorHAnsi" w:cstheme="minorHAnsi"/>
          <w:lang w:val="tr-TR"/>
        </w:rPr>
        <w:t xml:space="preserve">yüzde </w:t>
      </w:r>
      <w:r w:rsidRPr="000F3B69">
        <w:rPr>
          <w:rFonts w:asciiTheme="minorHAnsi" w:hAnsiTheme="minorHAnsi" w:cstheme="minorHAnsi"/>
          <w:lang w:val="tr-TR"/>
        </w:rPr>
        <w:t xml:space="preserve">puan </w:t>
      </w:r>
      <w:r w:rsidR="00A026EC" w:rsidRPr="000F3B69">
        <w:rPr>
          <w:rFonts w:asciiTheme="minorHAnsi" w:hAnsiTheme="minorHAnsi" w:cstheme="minorHAnsi"/>
          <w:lang w:val="tr-TR"/>
        </w:rPr>
        <w:t xml:space="preserve">arasında </w:t>
      </w:r>
      <w:r w:rsidRPr="000F3B69">
        <w:rPr>
          <w:rFonts w:asciiTheme="minorHAnsi" w:hAnsiTheme="minorHAnsi" w:cstheme="minorHAnsi"/>
          <w:lang w:val="tr-TR"/>
        </w:rPr>
        <w:t>yükselebileceğini söyle</w:t>
      </w:r>
      <w:r w:rsidR="00333A9D" w:rsidRPr="000F3B69">
        <w:rPr>
          <w:rFonts w:asciiTheme="minorHAnsi" w:hAnsiTheme="minorHAnsi" w:cstheme="minorHAnsi"/>
          <w:lang w:val="tr-TR"/>
        </w:rPr>
        <w:t>ye</w:t>
      </w:r>
      <w:r w:rsidRPr="000F3B69">
        <w:rPr>
          <w:rFonts w:asciiTheme="minorHAnsi" w:hAnsiTheme="minorHAnsi" w:cstheme="minorHAnsi"/>
          <w:lang w:val="tr-TR"/>
        </w:rPr>
        <w:t>biliriz.</w:t>
      </w:r>
      <w:r w:rsidR="00FD1A73" w:rsidRPr="00FD1A73">
        <w:rPr>
          <w:rStyle w:val="DipnotBavurusu"/>
          <w:rFonts w:asciiTheme="minorHAnsi" w:hAnsiTheme="minorHAnsi" w:cstheme="minorHAnsi"/>
          <w:lang w:val="tr-TR"/>
        </w:rPr>
        <w:t xml:space="preserve"> </w:t>
      </w:r>
    </w:p>
    <w:p w14:paraId="3F701BF6" w14:textId="560A0935" w:rsidR="000B01FD" w:rsidRPr="007E5644" w:rsidRDefault="00333A9D" w:rsidP="00C87E8A">
      <w:pPr>
        <w:spacing w:after="120"/>
        <w:rPr>
          <w:rFonts w:asciiTheme="minorHAnsi" w:hAnsiTheme="minorHAnsi" w:cstheme="minorHAnsi"/>
          <w:color w:val="FF0000"/>
          <w:lang w:val="tr-TR"/>
        </w:rPr>
      </w:pPr>
      <w:r w:rsidRPr="000F3B69">
        <w:rPr>
          <w:rFonts w:asciiTheme="minorHAnsi" w:hAnsiTheme="minorHAnsi" w:cstheme="minorHAnsi"/>
          <w:lang w:val="tr-TR"/>
        </w:rPr>
        <w:lastRenderedPageBreak/>
        <w:t xml:space="preserve">İlk çeyrekte depremin etkisiyle büyüme hızı </w:t>
      </w:r>
      <w:r w:rsidR="00DD0D61" w:rsidRPr="000F3B69">
        <w:rPr>
          <w:rFonts w:asciiTheme="minorHAnsi" w:hAnsiTheme="minorHAnsi" w:cstheme="minorHAnsi"/>
          <w:lang w:val="tr-TR"/>
        </w:rPr>
        <w:t>2,5 il</w:t>
      </w:r>
      <w:r w:rsidR="00196CDA" w:rsidRPr="000F3B69">
        <w:rPr>
          <w:rFonts w:asciiTheme="minorHAnsi" w:hAnsiTheme="minorHAnsi" w:cstheme="minorHAnsi"/>
          <w:lang w:val="tr-TR"/>
        </w:rPr>
        <w:t>a</w:t>
      </w:r>
      <w:r w:rsidR="00DD0D61" w:rsidRPr="000F3B69">
        <w:rPr>
          <w:rFonts w:asciiTheme="minorHAnsi" w:hAnsiTheme="minorHAnsi" w:cstheme="minorHAnsi"/>
          <w:lang w:val="tr-TR"/>
        </w:rPr>
        <w:t xml:space="preserve"> 4,</w:t>
      </w:r>
      <w:r w:rsidR="005C2AB5" w:rsidRPr="000F3B69">
        <w:rPr>
          <w:rFonts w:asciiTheme="minorHAnsi" w:hAnsiTheme="minorHAnsi" w:cstheme="minorHAnsi"/>
          <w:lang w:val="tr-TR"/>
        </w:rPr>
        <w:t>2</w:t>
      </w:r>
      <w:r w:rsidR="00DD0D61" w:rsidRPr="000F3B69">
        <w:rPr>
          <w:rFonts w:asciiTheme="minorHAnsi" w:hAnsiTheme="minorHAnsi" w:cstheme="minorHAnsi"/>
          <w:lang w:val="tr-TR"/>
        </w:rPr>
        <w:t xml:space="preserve"> </w:t>
      </w:r>
      <w:r w:rsidR="007E5644" w:rsidRPr="000F3B69">
        <w:rPr>
          <w:rFonts w:asciiTheme="minorHAnsi" w:hAnsiTheme="minorHAnsi" w:cstheme="minorHAnsi"/>
          <w:lang w:val="tr-TR"/>
        </w:rPr>
        <w:t xml:space="preserve">yüzde </w:t>
      </w:r>
      <w:r w:rsidR="00DD0D61" w:rsidRPr="000F3B69">
        <w:rPr>
          <w:rFonts w:asciiTheme="minorHAnsi" w:hAnsiTheme="minorHAnsi" w:cstheme="minorHAnsi"/>
          <w:lang w:val="tr-TR"/>
        </w:rPr>
        <w:t>puan arasında</w:t>
      </w:r>
      <w:r w:rsidRPr="000F3B69">
        <w:rPr>
          <w:rFonts w:asciiTheme="minorHAnsi" w:hAnsiTheme="minorHAnsi" w:cstheme="minorHAnsi"/>
          <w:lang w:val="tr-TR"/>
        </w:rPr>
        <w:t xml:space="preserve"> düşerken, ikinci çeyrekte depremin üretim</w:t>
      </w:r>
      <w:r w:rsidR="00EA7DD4" w:rsidRPr="000F3B69">
        <w:rPr>
          <w:rFonts w:asciiTheme="minorHAnsi" w:hAnsiTheme="minorHAnsi" w:cstheme="minorHAnsi"/>
          <w:lang w:val="tr-TR"/>
        </w:rPr>
        <w:t xml:space="preserve"> üzerindeki olumsuz etkisinin bir bölümünün yansıması</w:t>
      </w:r>
      <w:r w:rsidRPr="000F3B69">
        <w:rPr>
          <w:rFonts w:asciiTheme="minorHAnsi" w:hAnsiTheme="minorHAnsi" w:cstheme="minorHAnsi"/>
          <w:lang w:val="tr-TR"/>
        </w:rPr>
        <w:t xml:space="preserve"> ve harcamaların devreye girmesi</w:t>
      </w:r>
      <w:r w:rsidR="00EA7DD4" w:rsidRPr="000F3B69">
        <w:rPr>
          <w:rFonts w:asciiTheme="minorHAnsi" w:hAnsiTheme="minorHAnsi" w:cstheme="minorHAnsi"/>
          <w:lang w:val="tr-TR"/>
        </w:rPr>
        <w:t xml:space="preserve">yle </w:t>
      </w:r>
      <w:r w:rsidR="00196CDA" w:rsidRPr="000F3B69">
        <w:rPr>
          <w:rFonts w:asciiTheme="minorHAnsi" w:hAnsiTheme="minorHAnsi" w:cstheme="minorHAnsi"/>
          <w:lang w:val="tr-TR"/>
        </w:rPr>
        <w:t xml:space="preserve">birlikte deprem, </w:t>
      </w:r>
      <w:r w:rsidRPr="000F3B69">
        <w:rPr>
          <w:rFonts w:asciiTheme="minorHAnsi" w:hAnsiTheme="minorHAnsi" w:cstheme="minorHAnsi"/>
          <w:lang w:val="tr-TR"/>
        </w:rPr>
        <w:t xml:space="preserve">büyüme hızına net </w:t>
      </w:r>
      <w:r w:rsidR="00AD4ABE" w:rsidRPr="000F3B69">
        <w:rPr>
          <w:rFonts w:asciiTheme="minorHAnsi" w:hAnsiTheme="minorHAnsi" w:cstheme="minorHAnsi"/>
          <w:lang w:val="tr-TR"/>
        </w:rPr>
        <w:t>1</w:t>
      </w:r>
      <w:r w:rsidR="00EA7DD4" w:rsidRPr="000F3B69">
        <w:rPr>
          <w:rFonts w:asciiTheme="minorHAnsi" w:hAnsiTheme="minorHAnsi" w:cstheme="minorHAnsi"/>
          <w:lang w:val="tr-TR"/>
        </w:rPr>
        <w:t>,</w:t>
      </w:r>
      <w:r w:rsidR="00AD4ABE" w:rsidRPr="000F3B69">
        <w:rPr>
          <w:rFonts w:asciiTheme="minorHAnsi" w:hAnsiTheme="minorHAnsi" w:cstheme="minorHAnsi"/>
          <w:lang w:val="tr-TR"/>
        </w:rPr>
        <w:t>7</w:t>
      </w:r>
      <w:r w:rsidRPr="000F3B69">
        <w:rPr>
          <w:rFonts w:asciiTheme="minorHAnsi" w:hAnsiTheme="minorHAnsi" w:cstheme="minorHAnsi"/>
          <w:lang w:val="tr-TR"/>
        </w:rPr>
        <w:t xml:space="preserve"> </w:t>
      </w:r>
      <w:r w:rsidR="00170ACF" w:rsidRPr="000F3B69">
        <w:rPr>
          <w:rFonts w:asciiTheme="minorHAnsi" w:hAnsiTheme="minorHAnsi" w:cstheme="minorHAnsi"/>
          <w:lang w:val="tr-TR"/>
        </w:rPr>
        <w:t xml:space="preserve">yüzde </w:t>
      </w:r>
      <w:r w:rsidRPr="000F3B69">
        <w:rPr>
          <w:rFonts w:asciiTheme="minorHAnsi" w:hAnsiTheme="minorHAnsi" w:cstheme="minorHAnsi"/>
          <w:lang w:val="tr-TR"/>
        </w:rPr>
        <w:t>puan</w:t>
      </w:r>
      <w:r w:rsidR="00EA7DD4" w:rsidRPr="000F3B69">
        <w:rPr>
          <w:rFonts w:asciiTheme="minorHAnsi" w:hAnsiTheme="minorHAnsi" w:cstheme="minorHAnsi"/>
          <w:lang w:val="tr-TR"/>
        </w:rPr>
        <w:t xml:space="preserve"> ek </w:t>
      </w:r>
      <w:r w:rsidRPr="000F3B69">
        <w:rPr>
          <w:rFonts w:asciiTheme="minorHAnsi" w:hAnsiTheme="minorHAnsi" w:cstheme="minorHAnsi"/>
          <w:lang w:val="tr-TR"/>
        </w:rPr>
        <w:t xml:space="preserve">katkı yapabilir. Harcamaların tam olarak </w:t>
      </w:r>
      <w:r w:rsidR="009610F4" w:rsidRPr="000F3B69">
        <w:rPr>
          <w:rFonts w:asciiTheme="minorHAnsi" w:hAnsiTheme="minorHAnsi" w:cstheme="minorHAnsi"/>
          <w:lang w:val="tr-TR"/>
        </w:rPr>
        <w:t xml:space="preserve">devreye girmesiyle </w:t>
      </w:r>
      <w:r w:rsidRPr="000F3B69">
        <w:rPr>
          <w:rFonts w:asciiTheme="minorHAnsi" w:hAnsiTheme="minorHAnsi" w:cstheme="minorHAnsi"/>
          <w:lang w:val="tr-TR"/>
        </w:rPr>
        <w:t xml:space="preserve">3. ve 4. çeyrekte büyüme hızına maksimum </w:t>
      </w:r>
      <w:r w:rsidR="000073EF">
        <w:rPr>
          <w:rFonts w:asciiTheme="minorHAnsi" w:hAnsiTheme="minorHAnsi" w:cstheme="minorHAnsi"/>
          <w:lang w:val="tr-TR"/>
        </w:rPr>
        <w:t>3</w:t>
      </w:r>
      <w:r w:rsidR="009610F4" w:rsidRPr="000F3B69">
        <w:rPr>
          <w:rFonts w:asciiTheme="minorHAnsi" w:hAnsiTheme="minorHAnsi" w:cstheme="minorHAnsi"/>
          <w:lang w:val="tr-TR"/>
        </w:rPr>
        <w:t>,</w:t>
      </w:r>
      <w:r w:rsidR="000073EF">
        <w:rPr>
          <w:rFonts w:asciiTheme="minorHAnsi" w:hAnsiTheme="minorHAnsi" w:cstheme="minorHAnsi"/>
          <w:lang w:val="tr-TR"/>
        </w:rPr>
        <w:t>7</w:t>
      </w:r>
      <w:r w:rsidR="009610F4" w:rsidRPr="000F3B69">
        <w:rPr>
          <w:rFonts w:asciiTheme="minorHAnsi" w:hAnsiTheme="minorHAnsi" w:cstheme="minorHAnsi"/>
          <w:lang w:val="tr-TR"/>
        </w:rPr>
        <w:t xml:space="preserve"> il</w:t>
      </w:r>
      <w:r w:rsidR="00196CDA" w:rsidRPr="000F3B69">
        <w:rPr>
          <w:rFonts w:asciiTheme="minorHAnsi" w:hAnsiTheme="minorHAnsi" w:cstheme="minorHAnsi"/>
          <w:lang w:val="tr-TR"/>
        </w:rPr>
        <w:t>a</w:t>
      </w:r>
      <w:r w:rsidR="009610F4" w:rsidRPr="000F3B69">
        <w:rPr>
          <w:rFonts w:asciiTheme="minorHAnsi" w:hAnsiTheme="minorHAnsi" w:cstheme="minorHAnsi"/>
          <w:lang w:val="tr-TR"/>
        </w:rPr>
        <w:t xml:space="preserve"> </w:t>
      </w:r>
      <w:r w:rsidR="000F3B69">
        <w:rPr>
          <w:rFonts w:asciiTheme="minorHAnsi" w:hAnsiTheme="minorHAnsi" w:cstheme="minorHAnsi"/>
          <w:lang w:val="tr-TR"/>
        </w:rPr>
        <w:t>5</w:t>
      </w:r>
      <w:r w:rsidRPr="000F3B69">
        <w:rPr>
          <w:rFonts w:asciiTheme="minorHAnsi" w:hAnsiTheme="minorHAnsi" w:cstheme="minorHAnsi"/>
          <w:lang w:val="tr-TR"/>
        </w:rPr>
        <w:t xml:space="preserve"> </w:t>
      </w:r>
      <w:r w:rsidR="007E5644" w:rsidRPr="000F3B69">
        <w:rPr>
          <w:rFonts w:asciiTheme="minorHAnsi" w:hAnsiTheme="minorHAnsi" w:cstheme="minorHAnsi"/>
          <w:lang w:val="tr-TR"/>
        </w:rPr>
        <w:t xml:space="preserve">yüzde </w:t>
      </w:r>
      <w:r w:rsidRPr="000F3B69">
        <w:rPr>
          <w:rFonts w:asciiTheme="minorHAnsi" w:hAnsiTheme="minorHAnsi" w:cstheme="minorHAnsi"/>
          <w:lang w:val="tr-TR"/>
        </w:rPr>
        <w:t>puan</w:t>
      </w:r>
      <w:r w:rsidR="000073EF">
        <w:rPr>
          <w:rFonts w:asciiTheme="minorHAnsi" w:hAnsiTheme="minorHAnsi" w:cstheme="minorHAnsi"/>
          <w:lang w:val="tr-TR"/>
        </w:rPr>
        <w:t xml:space="preserve"> arasında</w:t>
      </w:r>
      <w:r w:rsidRPr="000F3B69">
        <w:rPr>
          <w:rFonts w:asciiTheme="minorHAnsi" w:hAnsiTheme="minorHAnsi" w:cstheme="minorHAnsi"/>
          <w:lang w:val="tr-TR"/>
        </w:rPr>
        <w:t xml:space="preserve"> </w:t>
      </w:r>
      <w:r w:rsidR="009610F4" w:rsidRPr="000F3B69">
        <w:rPr>
          <w:rFonts w:asciiTheme="minorHAnsi" w:hAnsiTheme="minorHAnsi" w:cstheme="minorHAnsi"/>
          <w:lang w:val="tr-TR"/>
        </w:rPr>
        <w:t xml:space="preserve">pozitif </w:t>
      </w:r>
      <w:r w:rsidRPr="000F3B69">
        <w:rPr>
          <w:rFonts w:asciiTheme="minorHAnsi" w:hAnsiTheme="minorHAnsi" w:cstheme="minorHAnsi"/>
          <w:lang w:val="tr-TR"/>
        </w:rPr>
        <w:t>bir etki</w:t>
      </w:r>
      <w:r w:rsidR="009610F4" w:rsidRPr="000F3B69">
        <w:rPr>
          <w:rFonts w:asciiTheme="minorHAnsi" w:hAnsiTheme="minorHAnsi" w:cstheme="minorHAnsi"/>
          <w:lang w:val="tr-TR"/>
        </w:rPr>
        <w:t>si</w:t>
      </w:r>
      <w:r w:rsidRPr="000F3B69">
        <w:rPr>
          <w:rFonts w:asciiTheme="minorHAnsi" w:hAnsiTheme="minorHAnsi" w:cstheme="minorHAnsi"/>
          <w:lang w:val="tr-TR"/>
        </w:rPr>
        <w:t xml:space="preserve"> olması beklenebilir.</w:t>
      </w:r>
      <w:r w:rsidR="000A5D0B">
        <w:rPr>
          <w:rStyle w:val="DipnotBavurusu"/>
          <w:rFonts w:asciiTheme="minorHAnsi" w:hAnsiTheme="minorHAnsi" w:cstheme="minorHAnsi"/>
          <w:lang w:val="tr-TR"/>
        </w:rPr>
        <w:footnoteReference w:id="8"/>
      </w:r>
    </w:p>
    <w:p w14:paraId="354E96C1" w14:textId="6B064612" w:rsidR="00F45D4C" w:rsidRDefault="000B0726" w:rsidP="00C87E8A">
      <w:pPr>
        <w:spacing w:after="120"/>
        <w:rPr>
          <w:rFonts w:asciiTheme="minorHAnsi" w:hAnsiTheme="minorHAnsi" w:cstheme="minorHAnsi"/>
          <w:color w:val="FF0000"/>
          <w:lang w:val="tr-TR"/>
        </w:rPr>
      </w:pPr>
      <w:r w:rsidRPr="00336E5B">
        <w:rPr>
          <w:rFonts w:asciiTheme="minorHAnsi" w:hAnsiTheme="minorHAnsi" w:cstheme="minorHAnsi"/>
          <w:lang w:val="tr-TR"/>
        </w:rPr>
        <w:t xml:space="preserve">Şu ana kadar depremin ulusal gelir üzerindeki etkisinin depremden dolayı ortaya çıkan üretim kaybı ile yeniden inşa için yapılacak ek yatırımların etkisinden ibaret olduğunu varsaydık. </w:t>
      </w:r>
      <w:r w:rsidR="00333A9D" w:rsidRPr="00336E5B">
        <w:rPr>
          <w:rFonts w:asciiTheme="minorHAnsi" w:hAnsiTheme="minorHAnsi" w:cstheme="minorHAnsi"/>
          <w:lang w:val="tr-TR"/>
        </w:rPr>
        <w:t>Ancak</w:t>
      </w:r>
      <w:r w:rsidRPr="00336E5B">
        <w:rPr>
          <w:rFonts w:asciiTheme="minorHAnsi" w:hAnsiTheme="minorHAnsi" w:cstheme="minorHAnsi"/>
          <w:lang w:val="tr-TR"/>
        </w:rPr>
        <w:t>,</w:t>
      </w:r>
      <w:r w:rsidR="00333A9D" w:rsidRPr="00336E5B">
        <w:rPr>
          <w:rFonts w:asciiTheme="minorHAnsi" w:hAnsiTheme="minorHAnsi" w:cstheme="minorHAnsi"/>
          <w:lang w:val="tr-TR"/>
        </w:rPr>
        <w:t xml:space="preserve"> bölgedeki yeniden yapım yatırımlarının finansmanının borçlanma faizlerini yukarı çekmesi ve </w:t>
      </w:r>
      <w:r w:rsidR="008B65C5" w:rsidRPr="00336E5B">
        <w:rPr>
          <w:rFonts w:asciiTheme="minorHAnsi" w:hAnsiTheme="minorHAnsi" w:cstheme="minorHAnsi"/>
          <w:lang w:val="tr-TR"/>
        </w:rPr>
        <w:t xml:space="preserve">inşaat sektörünün diğer bölgelerde bulunan </w:t>
      </w:r>
      <w:r w:rsidR="00333A9D" w:rsidRPr="00336E5B">
        <w:rPr>
          <w:rFonts w:asciiTheme="minorHAnsi" w:hAnsiTheme="minorHAnsi" w:cstheme="minorHAnsi"/>
          <w:lang w:val="tr-TR"/>
        </w:rPr>
        <w:t>makine</w:t>
      </w:r>
      <w:r w:rsidR="008B65C5" w:rsidRPr="00336E5B">
        <w:rPr>
          <w:rFonts w:asciiTheme="minorHAnsi" w:hAnsiTheme="minorHAnsi" w:cstheme="minorHAnsi"/>
          <w:lang w:val="tr-TR"/>
        </w:rPr>
        <w:t xml:space="preserve"> stoku</w:t>
      </w:r>
      <w:r w:rsidR="00333A9D" w:rsidRPr="00336E5B">
        <w:rPr>
          <w:rFonts w:asciiTheme="minorHAnsi" w:hAnsiTheme="minorHAnsi" w:cstheme="minorHAnsi"/>
          <w:lang w:val="tr-TR"/>
        </w:rPr>
        <w:t xml:space="preserve"> ve çalışanların </w:t>
      </w:r>
      <w:r w:rsidR="008B65C5" w:rsidRPr="00336E5B">
        <w:rPr>
          <w:rFonts w:asciiTheme="minorHAnsi" w:hAnsiTheme="minorHAnsi" w:cstheme="minorHAnsi"/>
          <w:lang w:val="tr-TR"/>
        </w:rPr>
        <w:t xml:space="preserve">önemli bir bölümünün </w:t>
      </w:r>
      <w:r w:rsidR="00333A9D" w:rsidRPr="00336E5B">
        <w:rPr>
          <w:rFonts w:asciiTheme="minorHAnsi" w:hAnsiTheme="minorHAnsi" w:cstheme="minorHAnsi"/>
          <w:lang w:val="tr-TR"/>
        </w:rPr>
        <w:t xml:space="preserve">deprem bölgesine çekilmesiyle bir fırsat maliyeti yaratması kaçınılmaz görünmektedir. </w:t>
      </w:r>
      <w:r w:rsidR="008E1361" w:rsidRPr="00336E5B">
        <w:rPr>
          <w:rFonts w:asciiTheme="minorHAnsi" w:hAnsiTheme="minorHAnsi" w:cstheme="minorHAnsi"/>
          <w:lang w:val="tr-TR"/>
        </w:rPr>
        <w:t>Bu durumda</w:t>
      </w:r>
      <w:r w:rsidR="00196CDA" w:rsidRPr="00336E5B">
        <w:rPr>
          <w:rFonts w:asciiTheme="minorHAnsi" w:hAnsiTheme="minorHAnsi" w:cstheme="minorHAnsi"/>
          <w:lang w:val="tr-TR"/>
        </w:rPr>
        <w:t>,</w:t>
      </w:r>
      <w:r w:rsidR="008E1361" w:rsidRPr="00336E5B">
        <w:rPr>
          <w:rFonts w:asciiTheme="minorHAnsi" w:hAnsiTheme="minorHAnsi" w:cstheme="minorHAnsi"/>
          <w:lang w:val="tr-TR"/>
        </w:rPr>
        <w:t xml:space="preserve"> </w:t>
      </w:r>
      <w:r w:rsidR="00F45D4C" w:rsidRPr="00336E5B">
        <w:rPr>
          <w:rFonts w:asciiTheme="minorHAnsi" w:hAnsiTheme="minorHAnsi" w:cstheme="minorHAnsi"/>
          <w:lang w:val="tr-TR"/>
        </w:rPr>
        <w:t xml:space="preserve">yeniden yapım yatırım harcamalarının </w:t>
      </w:r>
      <w:r w:rsidR="008E1361" w:rsidRPr="00336E5B">
        <w:rPr>
          <w:rFonts w:asciiTheme="minorHAnsi" w:hAnsiTheme="minorHAnsi" w:cstheme="minorHAnsi"/>
          <w:lang w:val="tr-TR"/>
        </w:rPr>
        <w:t>büyüme üzerindeki</w:t>
      </w:r>
      <w:r w:rsidR="00F45D4C" w:rsidRPr="00336E5B">
        <w:rPr>
          <w:rFonts w:asciiTheme="minorHAnsi" w:hAnsiTheme="minorHAnsi" w:cstheme="minorHAnsi"/>
          <w:lang w:val="tr-TR"/>
        </w:rPr>
        <w:t xml:space="preserve"> net etkisi daha düşük gerçekleşecektir. </w:t>
      </w:r>
      <w:r w:rsidR="005C2AB5" w:rsidRPr="00336E5B">
        <w:rPr>
          <w:rFonts w:asciiTheme="minorHAnsi" w:hAnsiTheme="minorHAnsi" w:cstheme="minorHAnsi"/>
          <w:lang w:val="tr-TR"/>
        </w:rPr>
        <w:t>Ancak</w:t>
      </w:r>
      <w:r w:rsidR="004673A6" w:rsidRPr="00336E5B">
        <w:rPr>
          <w:rFonts w:asciiTheme="minorHAnsi" w:hAnsiTheme="minorHAnsi" w:cstheme="minorHAnsi"/>
          <w:lang w:val="tr-TR"/>
        </w:rPr>
        <w:t>,</w:t>
      </w:r>
      <w:r w:rsidR="005C2AB5" w:rsidRPr="00336E5B">
        <w:rPr>
          <w:rFonts w:asciiTheme="minorHAnsi" w:hAnsiTheme="minorHAnsi" w:cstheme="minorHAnsi"/>
          <w:lang w:val="tr-TR"/>
        </w:rPr>
        <w:t xml:space="preserve"> borçlanma maliyetlerindeki artış ile fırsat maliyeti</w:t>
      </w:r>
      <w:r w:rsidR="00D3081F" w:rsidRPr="00336E5B">
        <w:rPr>
          <w:rFonts w:asciiTheme="minorHAnsi" w:hAnsiTheme="minorHAnsi" w:cstheme="minorHAnsi"/>
          <w:lang w:val="tr-TR"/>
        </w:rPr>
        <w:t xml:space="preserve">nin </w:t>
      </w:r>
      <w:r w:rsidR="008C7160" w:rsidRPr="00336E5B">
        <w:rPr>
          <w:rFonts w:asciiTheme="minorHAnsi" w:hAnsiTheme="minorHAnsi" w:cstheme="minorHAnsi"/>
          <w:lang w:val="tr-TR"/>
        </w:rPr>
        <w:t>2023’te</w:t>
      </w:r>
      <w:r w:rsidR="008C7160">
        <w:rPr>
          <w:rFonts w:asciiTheme="minorHAnsi" w:hAnsiTheme="minorHAnsi" w:cstheme="minorHAnsi"/>
          <w:lang w:val="tr-TR"/>
        </w:rPr>
        <w:t>ki</w:t>
      </w:r>
      <w:r w:rsidR="008C7160" w:rsidRPr="00336E5B">
        <w:rPr>
          <w:rFonts w:asciiTheme="minorHAnsi" w:hAnsiTheme="minorHAnsi" w:cstheme="minorHAnsi"/>
          <w:lang w:val="tr-TR"/>
        </w:rPr>
        <w:t xml:space="preserve"> </w:t>
      </w:r>
      <w:r w:rsidR="0001480B" w:rsidRPr="00336E5B">
        <w:rPr>
          <w:rFonts w:asciiTheme="minorHAnsi" w:hAnsiTheme="minorHAnsi" w:cstheme="minorHAnsi"/>
          <w:lang w:val="tr-TR"/>
        </w:rPr>
        <w:t xml:space="preserve">yukarı yönlü net </w:t>
      </w:r>
      <w:r w:rsidR="005C2AB5" w:rsidRPr="00336E5B">
        <w:rPr>
          <w:rFonts w:asciiTheme="minorHAnsi" w:hAnsiTheme="minorHAnsi" w:cstheme="minorHAnsi"/>
          <w:lang w:val="tr-TR"/>
        </w:rPr>
        <w:t>büyüme etkisini 1</w:t>
      </w:r>
      <w:r w:rsidR="00D3081F" w:rsidRPr="00336E5B">
        <w:rPr>
          <w:rFonts w:asciiTheme="minorHAnsi" w:hAnsiTheme="minorHAnsi" w:cstheme="minorHAnsi"/>
          <w:lang w:val="tr-TR"/>
        </w:rPr>
        <w:t>,</w:t>
      </w:r>
      <w:r w:rsidR="008C7160">
        <w:rPr>
          <w:rFonts w:asciiTheme="minorHAnsi" w:hAnsiTheme="minorHAnsi" w:cstheme="minorHAnsi"/>
          <w:lang w:val="tr-TR"/>
        </w:rPr>
        <w:t>2 yüzde puana</w:t>
      </w:r>
      <w:r w:rsidR="005C2AB5" w:rsidRPr="00336E5B">
        <w:rPr>
          <w:rFonts w:asciiTheme="minorHAnsi" w:hAnsiTheme="minorHAnsi" w:cstheme="minorHAnsi"/>
          <w:lang w:val="tr-TR"/>
        </w:rPr>
        <w:t xml:space="preserve"> çekmesi söz konusu olabilir</w:t>
      </w:r>
      <w:r w:rsidR="005C2AB5" w:rsidRPr="007E5644">
        <w:rPr>
          <w:rFonts w:asciiTheme="minorHAnsi" w:hAnsiTheme="minorHAnsi" w:cstheme="minorHAnsi"/>
          <w:strike/>
          <w:lang w:val="tr-TR"/>
        </w:rPr>
        <w:t>.</w:t>
      </w:r>
    </w:p>
    <w:p w14:paraId="1032B73F" w14:textId="458065C9" w:rsidR="007E5644" w:rsidRDefault="007E5644" w:rsidP="007E5644">
      <w:pPr>
        <w:spacing w:after="120"/>
        <w:rPr>
          <w:rFonts w:asciiTheme="minorHAnsi" w:hAnsiTheme="minorHAnsi" w:cstheme="minorHAnsi"/>
          <w:lang w:val="tr-TR"/>
        </w:rPr>
      </w:pPr>
      <w:r w:rsidRPr="008C33D5">
        <w:rPr>
          <w:rFonts w:asciiTheme="minorHAnsi" w:hAnsiTheme="minorHAnsi" w:cstheme="minorHAnsi"/>
          <w:lang w:val="tr-TR"/>
        </w:rPr>
        <w:t xml:space="preserve">Bu tahminlerin büyük miktarda ilave yatırımların finans kaynaklarının bulunabildiği varsayım altında geçerli olduğunu hatırlatmak gerekiyor. Oysa bu varsayımın ne ölçüde </w:t>
      </w:r>
      <w:r w:rsidR="00AF2D80" w:rsidRPr="008C33D5">
        <w:rPr>
          <w:rFonts w:asciiTheme="minorHAnsi" w:hAnsiTheme="minorHAnsi" w:cstheme="minorHAnsi"/>
          <w:lang w:val="tr-TR"/>
        </w:rPr>
        <w:t>geçerli olduğu</w:t>
      </w:r>
      <w:r w:rsidRPr="008C33D5">
        <w:rPr>
          <w:rFonts w:asciiTheme="minorHAnsi" w:hAnsiTheme="minorHAnsi" w:cstheme="minorHAnsi"/>
          <w:lang w:val="tr-TR"/>
        </w:rPr>
        <w:t xml:space="preserve"> tartışmaya açıktır. Son olarak </w:t>
      </w:r>
      <w:r w:rsidR="00AF2D80" w:rsidRPr="008C33D5">
        <w:rPr>
          <w:rFonts w:asciiTheme="minorHAnsi" w:hAnsiTheme="minorHAnsi" w:cstheme="minorHAnsi"/>
          <w:lang w:val="tr-TR"/>
        </w:rPr>
        <w:t>bu tartışmayı gündeme getirmek istiyoruz.</w:t>
      </w:r>
    </w:p>
    <w:p w14:paraId="70084652" w14:textId="77777777" w:rsidR="007E5644" w:rsidRDefault="007E5644" w:rsidP="007E5644">
      <w:pPr>
        <w:spacing w:after="120"/>
        <w:rPr>
          <w:rFonts w:asciiTheme="minorHAnsi" w:hAnsiTheme="minorHAnsi" w:cstheme="minorHAnsi"/>
          <w:lang w:val="tr-TR"/>
        </w:rPr>
      </w:pPr>
    </w:p>
    <w:p w14:paraId="1CD5602D" w14:textId="04ACB0D3" w:rsidR="00BE0F01" w:rsidRPr="00BE0F01" w:rsidRDefault="00BE0F01" w:rsidP="007E5644">
      <w:pPr>
        <w:spacing w:after="120"/>
        <w:rPr>
          <w:rFonts w:ascii="Calibri" w:hAnsi="Calibri" w:cs="Calibri"/>
          <w:b/>
          <w:bCs/>
          <w:sz w:val="28"/>
          <w:szCs w:val="28"/>
          <w:lang w:val="tr-TR" w:eastAsia="tr-TR"/>
        </w:rPr>
      </w:pPr>
      <w:r w:rsidRPr="008C33D5">
        <w:rPr>
          <w:rFonts w:ascii="Calibri" w:hAnsi="Calibri" w:cs="Calibri"/>
          <w:b/>
          <w:bCs/>
          <w:sz w:val="28"/>
          <w:szCs w:val="28"/>
          <w:lang w:val="tr-TR" w:eastAsia="tr-TR"/>
        </w:rPr>
        <w:t>Ek kamu harcamalarının finansmanında muhtemel güçlükler ve senaryolar</w:t>
      </w:r>
    </w:p>
    <w:p w14:paraId="14EB92EF" w14:textId="77777777" w:rsidR="00C87E8A" w:rsidRPr="00336E5B" w:rsidRDefault="00C87E8A" w:rsidP="00C87E8A">
      <w:pPr>
        <w:rPr>
          <w:rFonts w:asciiTheme="minorHAnsi" w:hAnsiTheme="minorHAnsi" w:cstheme="minorHAnsi"/>
          <w:lang w:val="tr-TR"/>
        </w:rPr>
      </w:pPr>
    </w:p>
    <w:p w14:paraId="0707A044" w14:textId="39C3D79C" w:rsidR="000B7DB8" w:rsidRPr="00336E5B" w:rsidRDefault="000B1C30" w:rsidP="000B7DB8">
      <w:pPr>
        <w:spacing w:after="120"/>
        <w:rPr>
          <w:rFonts w:asciiTheme="minorHAnsi" w:hAnsiTheme="minorHAnsi" w:cstheme="minorHAnsi"/>
          <w:lang w:val="tr-TR"/>
        </w:rPr>
      </w:pPr>
      <w:r w:rsidRPr="00336E5B">
        <w:rPr>
          <w:rFonts w:asciiTheme="minorHAnsi" w:hAnsiTheme="minorHAnsi" w:cstheme="minorHAnsi"/>
          <w:lang w:val="tr-TR"/>
        </w:rPr>
        <w:t>Yo</w:t>
      </w:r>
      <w:r w:rsidR="00C87E8A" w:rsidRPr="00336E5B">
        <w:rPr>
          <w:rFonts w:asciiTheme="minorHAnsi" w:hAnsiTheme="minorHAnsi" w:cstheme="minorHAnsi"/>
          <w:lang w:val="tr-TR"/>
        </w:rPr>
        <w:t>l aç</w:t>
      </w:r>
      <w:r w:rsidRPr="00336E5B">
        <w:rPr>
          <w:rFonts w:asciiTheme="minorHAnsi" w:hAnsiTheme="minorHAnsi" w:cstheme="minorHAnsi"/>
          <w:lang w:val="tr-TR"/>
        </w:rPr>
        <w:t>tığı</w:t>
      </w:r>
      <w:r w:rsidR="00C87E8A" w:rsidRPr="00336E5B">
        <w:rPr>
          <w:rFonts w:asciiTheme="minorHAnsi" w:hAnsiTheme="minorHAnsi" w:cstheme="minorHAnsi"/>
          <w:lang w:val="tr-TR"/>
        </w:rPr>
        <w:t xml:space="preserve"> </w:t>
      </w:r>
      <w:r w:rsidR="00CE4B46" w:rsidRPr="00336E5B">
        <w:rPr>
          <w:rFonts w:asciiTheme="minorHAnsi" w:hAnsiTheme="minorHAnsi" w:cstheme="minorHAnsi"/>
          <w:lang w:val="tr-TR"/>
        </w:rPr>
        <w:t>ölü</w:t>
      </w:r>
      <w:r w:rsidR="00C415B1" w:rsidRPr="00336E5B">
        <w:rPr>
          <w:rFonts w:asciiTheme="minorHAnsi" w:hAnsiTheme="minorHAnsi" w:cstheme="minorHAnsi"/>
          <w:lang w:val="tr-TR"/>
        </w:rPr>
        <w:t xml:space="preserve"> ve</w:t>
      </w:r>
      <w:r w:rsidRPr="00336E5B">
        <w:rPr>
          <w:rFonts w:asciiTheme="minorHAnsi" w:hAnsiTheme="minorHAnsi" w:cstheme="minorHAnsi"/>
          <w:lang w:val="tr-TR"/>
        </w:rPr>
        <w:t xml:space="preserve"> </w:t>
      </w:r>
      <w:r w:rsidR="00CE4B46" w:rsidRPr="00336E5B">
        <w:rPr>
          <w:rFonts w:asciiTheme="minorHAnsi" w:hAnsiTheme="minorHAnsi" w:cstheme="minorHAnsi"/>
          <w:lang w:val="tr-TR"/>
        </w:rPr>
        <w:t>yaralı sayısı</w:t>
      </w:r>
      <w:r w:rsidRPr="00336E5B">
        <w:rPr>
          <w:rFonts w:asciiTheme="minorHAnsi" w:hAnsiTheme="minorHAnsi" w:cstheme="minorHAnsi"/>
          <w:lang w:val="tr-TR"/>
        </w:rPr>
        <w:t>, etkilediği alanın büyüklüğü</w:t>
      </w:r>
      <w:r w:rsidR="00CE4B46" w:rsidRPr="00336E5B">
        <w:rPr>
          <w:rFonts w:asciiTheme="minorHAnsi" w:hAnsiTheme="minorHAnsi" w:cstheme="minorHAnsi"/>
          <w:lang w:val="tr-TR"/>
        </w:rPr>
        <w:t xml:space="preserve"> ve </w:t>
      </w:r>
      <w:r w:rsidRPr="00336E5B">
        <w:rPr>
          <w:rFonts w:asciiTheme="minorHAnsi" w:hAnsiTheme="minorHAnsi" w:cstheme="minorHAnsi"/>
          <w:lang w:val="tr-TR"/>
        </w:rPr>
        <w:t xml:space="preserve">vermiş olduğu </w:t>
      </w:r>
      <w:r w:rsidR="00CE4B46" w:rsidRPr="00336E5B">
        <w:rPr>
          <w:rFonts w:asciiTheme="minorHAnsi" w:hAnsiTheme="minorHAnsi" w:cstheme="minorHAnsi"/>
          <w:lang w:val="tr-TR"/>
        </w:rPr>
        <w:t>maddi hasar</w:t>
      </w:r>
      <w:r w:rsidRPr="00336E5B">
        <w:rPr>
          <w:rFonts w:asciiTheme="minorHAnsi" w:hAnsiTheme="minorHAnsi" w:cstheme="minorHAnsi"/>
          <w:lang w:val="tr-TR"/>
        </w:rPr>
        <w:t>ıyla</w:t>
      </w:r>
      <w:r w:rsidR="00CE4B46" w:rsidRPr="00336E5B">
        <w:rPr>
          <w:rFonts w:asciiTheme="minorHAnsi" w:hAnsiTheme="minorHAnsi" w:cstheme="minorHAnsi"/>
          <w:lang w:val="tr-TR"/>
        </w:rPr>
        <w:t xml:space="preserve"> </w:t>
      </w:r>
      <w:r w:rsidRPr="00336E5B">
        <w:rPr>
          <w:rFonts w:asciiTheme="minorHAnsi" w:hAnsiTheme="minorHAnsi" w:cstheme="minorHAnsi"/>
          <w:lang w:val="tr-TR"/>
        </w:rPr>
        <w:t xml:space="preserve">2023 Kahramanmaraş depremlerinin maliyeti </w:t>
      </w:r>
      <w:r w:rsidR="00CE4B46" w:rsidRPr="00336E5B">
        <w:rPr>
          <w:rFonts w:asciiTheme="minorHAnsi" w:hAnsiTheme="minorHAnsi" w:cstheme="minorHAnsi"/>
          <w:lang w:val="tr-TR"/>
        </w:rPr>
        <w:t xml:space="preserve">1999 Marmara depreminden </w:t>
      </w:r>
      <w:r w:rsidR="00C87E8A" w:rsidRPr="00336E5B">
        <w:rPr>
          <w:rFonts w:asciiTheme="minorHAnsi" w:hAnsiTheme="minorHAnsi" w:cstheme="minorHAnsi"/>
          <w:lang w:val="tr-TR"/>
        </w:rPr>
        <w:t xml:space="preserve">çok </w:t>
      </w:r>
      <w:r w:rsidR="00CE4B46" w:rsidRPr="00336E5B">
        <w:rPr>
          <w:rFonts w:asciiTheme="minorHAnsi" w:hAnsiTheme="minorHAnsi" w:cstheme="minorHAnsi"/>
          <w:lang w:val="tr-TR"/>
        </w:rPr>
        <w:t xml:space="preserve">daha </w:t>
      </w:r>
      <w:r w:rsidRPr="00336E5B">
        <w:rPr>
          <w:rFonts w:asciiTheme="minorHAnsi" w:hAnsiTheme="minorHAnsi" w:cstheme="minorHAnsi"/>
          <w:lang w:val="tr-TR"/>
        </w:rPr>
        <w:t>yüksek</w:t>
      </w:r>
      <w:r w:rsidR="00C87E8A" w:rsidRPr="00336E5B">
        <w:rPr>
          <w:rFonts w:asciiTheme="minorHAnsi" w:hAnsiTheme="minorHAnsi" w:cstheme="minorHAnsi"/>
          <w:lang w:val="tr-TR"/>
        </w:rPr>
        <w:t xml:space="preserve"> </w:t>
      </w:r>
      <w:r w:rsidRPr="00336E5B">
        <w:rPr>
          <w:rFonts w:asciiTheme="minorHAnsi" w:hAnsiTheme="minorHAnsi" w:cstheme="minorHAnsi"/>
          <w:lang w:val="tr-TR"/>
        </w:rPr>
        <w:t>olmuştur</w:t>
      </w:r>
      <w:r w:rsidR="00C87E8A" w:rsidRPr="00336E5B">
        <w:rPr>
          <w:rFonts w:asciiTheme="minorHAnsi" w:hAnsiTheme="minorHAnsi" w:cstheme="minorHAnsi"/>
          <w:lang w:val="tr-TR"/>
        </w:rPr>
        <w:t>. 1999 yılında devletin borç</w:t>
      </w:r>
      <w:r w:rsidR="00F461C3" w:rsidRPr="00336E5B">
        <w:rPr>
          <w:rFonts w:asciiTheme="minorHAnsi" w:hAnsiTheme="minorHAnsi" w:cstheme="minorHAnsi"/>
          <w:lang w:val="tr-TR"/>
        </w:rPr>
        <w:t xml:space="preserve"> </w:t>
      </w:r>
      <w:r w:rsidR="00C87E8A" w:rsidRPr="00336E5B">
        <w:rPr>
          <w:rFonts w:asciiTheme="minorHAnsi" w:hAnsiTheme="minorHAnsi" w:cstheme="minorHAnsi"/>
          <w:lang w:val="tr-TR"/>
        </w:rPr>
        <w:t>yükünün yüksek olması depremin faturasının kamu tarafından karşılanmasın</w:t>
      </w:r>
      <w:r w:rsidRPr="00336E5B">
        <w:rPr>
          <w:rFonts w:asciiTheme="minorHAnsi" w:hAnsiTheme="minorHAnsi" w:cstheme="minorHAnsi"/>
          <w:lang w:val="tr-TR"/>
        </w:rPr>
        <w:t>ı</w:t>
      </w:r>
      <w:r w:rsidR="00F461C3" w:rsidRPr="00336E5B">
        <w:rPr>
          <w:rFonts w:asciiTheme="minorHAnsi" w:hAnsiTheme="minorHAnsi" w:cstheme="minorHAnsi"/>
          <w:lang w:val="tr-TR"/>
        </w:rPr>
        <w:t xml:space="preserve"> </w:t>
      </w:r>
      <w:r w:rsidR="00C87E8A" w:rsidRPr="00336E5B">
        <w:rPr>
          <w:rFonts w:asciiTheme="minorHAnsi" w:hAnsiTheme="minorHAnsi" w:cstheme="minorHAnsi"/>
          <w:lang w:val="tr-TR"/>
        </w:rPr>
        <w:t xml:space="preserve">zorlaştırmıştır. </w:t>
      </w:r>
      <w:r w:rsidRPr="00336E5B">
        <w:rPr>
          <w:rFonts w:asciiTheme="minorHAnsi" w:hAnsiTheme="minorHAnsi" w:cstheme="minorHAnsi"/>
          <w:lang w:val="tr-TR"/>
        </w:rPr>
        <w:t>O</w:t>
      </w:r>
      <w:r w:rsidR="00C87E8A" w:rsidRPr="00336E5B">
        <w:rPr>
          <w:rFonts w:asciiTheme="minorHAnsi" w:hAnsiTheme="minorHAnsi" w:cstheme="minorHAnsi"/>
          <w:lang w:val="tr-TR"/>
        </w:rPr>
        <w:t xml:space="preserve"> zamanki hük</w:t>
      </w:r>
      <w:r w:rsidRPr="00336E5B">
        <w:rPr>
          <w:rFonts w:asciiTheme="minorHAnsi" w:hAnsiTheme="minorHAnsi" w:cstheme="minorHAnsi"/>
          <w:lang w:val="tr-TR"/>
        </w:rPr>
        <w:t>ü</w:t>
      </w:r>
      <w:r w:rsidR="00C87E8A" w:rsidRPr="00336E5B">
        <w:rPr>
          <w:rFonts w:asciiTheme="minorHAnsi" w:hAnsiTheme="minorHAnsi" w:cstheme="minorHAnsi"/>
          <w:lang w:val="tr-TR"/>
        </w:rPr>
        <w:t>met</w:t>
      </w:r>
      <w:r w:rsidR="00C415B1" w:rsidRPr="00336E5B">
        <w:rPr>
          <w:rFonts w:asciiTheme="minorHAnsi" w:hAnsiTheme="minorHAnsi" w:cstheme="minorHAnsi"/>
          <w:lang w:val="tr-TR"/>
        </w:rPr>
        <w:t>,</w:t>
      </w:r>
      <w:r w:rsidR="00C87E8A" w:rsidRPr="00336E5B">
        <w:rPr>
          <w:rFonts w:asciiTheme="minorHAnsi" w:hAnsiTheme="minorHAnsi" w:cstheme="minorHAnsi"/>
          <w:lang w:val="tr-TR"/>
        </w:rPr>
        <w:t xml:space="preserve"> </w:t>
      </w:r>
      <w:r w:rsidRPr="00336E5B">
        <w:rPr>
          <w:rFonts w:asciiTheme="minorHAnsi" w:hAnsiTheme="minorHAnsi" w:cstheme="minorHAnsi"/>
          <w:lang w:val="tr-TR"/>
        </w:rPr>
        <w:t xml:space="preserve">deprem sonrasında enflasyonu ve </w:t>
      </w:r>
      <w:r w:rsidR="00C87E8A" w:rsidRPr="00336E5B">
        <w:rPr>
          <w:rFonts w:asciiTheme="minorHAnsi" w:hAnsiTheme="minorHAnsi" w:cstheme="minorHAnsi"/>
          <w:lang w:val="tr-TR"/>
        </w:rPr>
        <w:t>bütçe açıklarını kontrol altına almak</w:t>
      </w:r>
      <w:r w:rsidR="00C415B1" w:rsidRPr="00336E5B">
        <w:rPr>
          <w:rFonts w:asciiTheme="minorHAnsi" w:hAnsiTheme="minorHAnsi" w:cstheme="minorHAnsi"/>
          <w:lang w:val="tr-TR"/>
        </w:rPr>
        <w:t xml:space="preserve"> ve</w:t>
      </w:r>
      <w:r w:rsidR="00C87E8A" w:rsidRPr="00336E5B">
        <w:rPr>
          <w:rFonts w:asciiTheme="minorHAnsi" w:hAnsiTheme="minorHAnsi" w:cstheme="minorHAnsi"/>
          <w:lang w:val="tr-TR"/>
        </w:rPr>
        <w:t xml:space="preserve"> yüksek borç yükünü sürdürüle</w:t>
      </w:r>
      <w:r w:rsidRPr="00336E5B">
        <w:rPr>
          <w:rFonts w:asciiTheme="minorHAnsi" w:hAnsiTheme="minorHAnsi" w:cstheme="minorHAnsi"/>
          <w:lang w:val="tr-TR"/>
        </w:rPr>
        <w:t>bilir</w:t>
      </w:r>
      <w:r w:rsidR="00C87E8A" w:rsidRPr="00336E5B">
        <w:rPr>
          <w:rFonts w:asciiTheme="minorHAnsi" w:hAnsiTheme="minorHAnsi" w:cstheme="minorHAnsi"/>
          <w:lang w:val="tr-TR"/>
        </w:rPr>
        <w:t xml:space="preserve"> hale getirmek için IMF’yle bir </w:t>
      </w:r>
      <w:proofErr w:type="spellStart"/>
      <w:r w:rsidR="00C87E8A" w:rsidRPr="00336E5B">
        <w:rPr>
          <w:rFonts w:asciiTheme="minorHAnsi" w:hAnsiTheme="minorHAnsi" w:cstheme="minorHAnsi"/>
          <w:lang w:val="tr-TR"/>
        </w:rPr>
        <w:t>stand</w:t>
      </w:r>
      <w:r w:rsidR="00F461C3" w:rsidRPr="00336E5B">
        <w:rPr>
          <w:rFonts w:asciiTheme="minorHAnsi" w:hAnsiTheme="minorHAnsi" w:cstheme="minorHAnsi"/>
          <w:lang w:val="tr-TR"/>
        </w:rPr>
        <w:t>-</w:t>
      </w:r>
      <w:r w:rsidR="00C87E8A" w:rsidRPr="00336E5B">
        <w:rPr>
          <w:rFonts w:asciiTheme="minorHAnsi" w:hAnsiTheme="minorHAnsi" w:cstheme="minorHAnsi"/>
          <w:lang w:val="tr-TR"/>
        </w:rPr>
        <w:t>by</w:t>
      </w:r>
      <w:proofErr w:type="spellEnd"/>
      <w:r w:rsidR="00C87E8A" w:rsidRPr="00336E5B">
        <w:rPr>
          <w:rFonts w:asciiTheme="minorHAnsi" w:hAnsiTheme="minorHAnsi" w:cstheme="minorHAnsi"/>
          <w:lang w:val="tr-TR"/>
        </w:rPr>
        <w:t xml:space="preserve"> </w:t>
      </w:r>
      <w:r w:rsidRPr="00336E5B">
        <w:rPr>
          <w:rFonts w:asciiTheme="minorHAnsi" w:hAnsiTheme="minorHAnsi" w:cstheme="minorHAnsi"/>
          <w:lang w:val="tr-TR"/>
        </w:rPr>
        <w:t xml:space="preserve">programı </w:t>
      </w:r>
      <w:r w:rsidR="00C87E8A" w:rsidRPr="00336E5B">
        <w:rPr>
          <w:rFonts w:asciiTheme="minorHAnsi" w:hAnsiTheme="minorHAnsi" w:cstheme="minorHAnsi"/>
          <w:lang w:val="tr-TR"/>
        </w:rPr>
        <w:t>anlaşması yapmış</w:t>
      </w:r>
      <w:r w:rsidRPr="00336E5B">
        <w:rPr>
          <w:rFonts w:asciiTheme="minorHAnsi" w:hAnsiTheme="minorHAnsi" w:cstheme="minorHAnsi"/>
          <w:lang w:val="tr-TR"/>
        </w:rPr>
        <w:t xml:space="preserve"> ve bu anlaşma çerçevesinde</w:t>
      </w:r>
      <w:r w:rsidR="00C87E8A" w:rsidRPr="00336E5B">
        <w:rPr>
          <w:rFonts w:asciiTheme="minorHAnsi" w:hAnsiTheme="minorHAnsi" w:cstheme="minorHAnsi"/>
          <w:lang w:val="tr-TR"/>
        </w:rPr>
        <w:t xml:space="preserve"> 2000 yılı boyunca döviz kuruna dayalı dezenflasyon programını uygulamıştır. Ancak </w:t>
      </w:r>
      <w:r w:rsidRPr="00336E5B">
        <w:rPr>
          <w:rFonts w:asciiTheme="minorHAnsi" w:hAnsiTheme="minorHAnsi" w:cstheme="minorHAnsi"/>
          <w:lang w:val="tr-TR"/>
        </w:rPr>
        <w:t>bankacılık sektörünün baskısı karşısında hükümetin sektörün düzenlenmesi ve denetimine yönelik adımları atmaktaki isteksizliği ekonomideki kırılganlıkları artırmış ve</w:t>
      </w:r>
      <w:r w:rsidR="000D5C90" w:rsidRPr="00336E5B">
        <w:rPr>
          <w:rFonts w:asciiTheme="minorHAnsi" w:hAnsiTheme="minorHAnsi" w:cstheme="minorHAnsi"/>
          <w:lang w:val="tr-TR"/>
        </w:rPr>
        <w:t xml:space="preserve"> Şubat 2001’de ülke ciddi bir mali ve ekonomik krize sürüklenmiştir.</w:t>
      </w:r>
    </w:p>
    <w:p w14:paraId="178AAA60" w14:textId="5D97E666" w:rsidR="000B7DB8" w:rsidRPr="00336E5B" w:rsidRDefault="00F461C3" w:rsidP="000B7DB8">
      <w:pPr>
        <w:spacing w:after="120"/>
        <w:rPr>
          <w:rFonts w:asciiTheme="minorHAnsi" w:hAnsiTheme="minorHAnsi" w:cstheme="minorHAnsi"/>
          <w:b/>
          <w:bCs/>
          <w:lang w:val="tr-TR"/>
        </w:rPr>
      </w:pPr>
      <w:r w:rsidRPr="00336E5B">
        <w:rPr>
          <w:rFonts w:asciiTheme="minorHAnsi" w:hAnsiTheme="minorHAnsi" w:cstheme="minorHAnsi"/>
          <w:b/>
          <w:bCs/>
          <w:lang w:val="tr-TR"/>
        </w:rPr>
        <w:t>1999 depremin</w:t>
      </w:r>
      <w:r w:rsidR="00D26025" w:rsidRPr="00336E5B">
        <w:rPr>
          <w:rFonts w:asciiTheme="minorHAnsi" w:hAnsiTheme="minorHAnsi" w:cstheme="minorHAnsi"/>
          <w:b/>
          <w:bCs/>
          <w:lang w:val="tr-TR"/>
        </w:rPr>
        <w:t>den</w:t>
      </w:r>
      <w:r w:rsidRPr="00336E5B">
        <w:rPr>
          <w:rFonts w:asciiTheme="minorHAnsi" w:hAnsiTheme="minorHAnsi" w:cstheme="minorHAnsi"/>
          <w:b/>
          <w:bCs/>
          <w:lang w:val="tr-TR"/>
        </w:rPr>
        <w:t xml:space="preserve"> 1,5 yıl sonra ülkenin tarihinin en ağır </w:t>
      </w:r>
      <w:r w:rsidR="005233D4" w:rsidRPr="00336E5B">
        <w:rPr>
          <w:rFonts w:asciiTheme="minorHAnsi" w:hAnsiTheme="minorHAnsi" w:cstheme="minorHAnsi"/>
          <w:b/>
          <w:bCs/>
          <w:lang w:val="tr-TR"/>
        </w:rPr>
        <w:t xml:space="preserve">ekonomik </w:t>
      </w:r>
      <w:r w:rsidRPr="00336E5B">
        <w:rPr>
          <w:rFonts w:asciiTheme="minorHAnsi" w:hAnsiTheme="minorHAnsi" w:cstheme="minorHAnsi"/>
          <w:b/>
          <w:bCs/>
          <w:lang w:val="tr-TR"/>
        </w:rPr>
        <w:t>krizine girmesi bugün için de benzer soruları akla getirmektedir: T.C. D</w:t>
      </w:r>
      <w:r w:rsidR="000D5C90" w:rsidRPr="00336E5B">
        <w:rPr>
          <w:rFonts w:asciiTheme="minorHAnsi" w:hAnsiTheme="minorHAnsi" w:cstheme="minorHAnsi"/>
          <w:b/>
          <w:bCs/>
          <w:lang w:val="tr-TR"/>
        </w:rPr>
        <w:t>evlet</w:t>
      </w:r>
      <w:r w:rsidRPr="00336E5B">
        <w:rPr>
          <w:rFonts w:asciiTheme="minorHAnsi" w:hAnsiTheme="minorHAnsi" w:cstheme="minorHAnsi"/>
          <w:b/>
          <w:bCs/>
          <w:lang w:val="tr-TR"/>
        </w:rPr>
        <w:t>i</w:t>
      </w:r>
      <w:r w:rsidR="00D26025" w:rsidRPr="00336E5B">
        <w:rPr>
          <w:rFonts w:asciiTheme="minorHAnsi" w:hAnsiTheme="minorHAnsi" w:cstheme="minorHAnsi"/>
          <w:b/>
          <w:bCs/>
          <w:lang w:val="tr-TR"/>
        </w:rPr>
        <w:t>,</w:t>
      </w:r>
      <w:r w:rsidR="000D5C90" w:rsidRPr="00336E5B">
        <w:rPr>
          <w:rFonts w:asciiTheme="minorHAnsi" w:hAnsiTheme="minorHAnsi" w:cstheme="minorHAnsi"/>
          <w:b/>
          <w:bCs/>
          <w:lang w:val="tr-TR"/>
        </w:rPr>
        <w:t xml:space="preserve"> </w:t>
      </w:r>
      <w:r w:rsidRPr="00336E5B">
        <w:rPr>
          <w:rFonts w:asciiTheme="minorHAnsi" w:hAnsiTheme="minorHAnsi" w:cstheme="minorHAnsi"/>
          <w:b/>
          <w:bCs/>
          <w:lang w:val="tr-TR"/>
        </w:rPr>
        <w:t xml:space="preserve">Kahramanmaraş depremlerinin ardından ortaya çıkan mali </w:t>
      </w:r>
      <w:r w:rsidR="000D5C90" w:rsidRPr="00336E5B">
        <w:rPr>
          <w:rFonts w:asciiTheme="minorHAnsi" w:hAnsiTheme="minorHAnsi" w:cstheme="minorHAnsi"/>
          <w:b/>
          <w:bCs/>
          <w:lang w:val="tr-TR"/>
        </w:rPr>
        <w:t xml:space="preserve">yükü </w:t>
      </w:r>
      <w:r w:rsidR="00D26025" w:rsidRPr="00336E5B">
        <w:rPr>
          <w:rFonts w:asciiTheme="minorHAnsi" w:hAnsiTheme="minorHAnsi" w:cstheme="minorHAnsi"/>
          <w:b/>
          <w:bCs/>
          <w:lang w:val="tr-TR"/>
        </w:rPr>
        <w:t xml:space="preserve">kısa ve orta vadede </w:t>
      </w:r>
      <w:r w:rsidRPr="00336E5B">
        <w:rPr>
          <w:rFonts w:asciiTheme="minorHAnsi" w:hAnsiTheme="minorHAnsi" w:cstheme="minorHAnsi"/>
          <w:b/>
          <w:bCs/>
          <w:lang w:val="tr-TR"/>
        </w:rPr>
        <w:t xml:space="preserve">herhangi </w:t>
      </w:r>
      <w:r w:rsidR="000D5C90" w:rsidRPr="00336E5B">
        <w:rPr>
          <w:rFonts w:asciiTheme="minorHAnsi" w:hAnsiTheme="minorHAnsi" w:cstheme="minorHAnsi"/>
          <w:b/>
          <w:bCs/>
          <w:lang w:val="tr-TR"/>
        </w:rPr>
        <w:t>bir ekonomi</w:t>
      </w:r>
      <w:r w:rsidRPr="00336E5B">
        <w:rPr>
          <w:rFonts w:asciiTheme="minorHAnsi" w:hAnsiTheme="minorHAnsi" w:cstheme="minorHAnsi"/>
          <w:b/>
          <w:bCs/>
          <w:lang w:val="tr-TR"/>
        </w:rPr>
        <w:t>k</w:t>
      </w:r>
      <w:r w:rsidR="000D5C90" w:rsidRPr="00336E5B">
        <w:rPr>
          <w:rFonts w:asciiTheme="minorHAnsi" w:hAnsiTheme="minorHAnsi" w:cstheme="minorHAnsi"/>
          <w:b/>
          <w:bCs/>
          <w:lang w:val="tr-TR"/>
        </w:rPr>
        <w:t xml:space="preserve"> krize yakalanmadan çevir</w:t>
      </w:r>
      <w:r w:rsidRPr="00336E5B">
        <w:rPr>
          <w:rFonts w:asciiTheme="minorHAnsi" w:hAnsiTheme="minorHAnsi" w:cstheme="minorHAnsi"/>
          <w:b/>
          <w:bCs/>
          <w:lang w:val="tr-TR"/>
        </w:rPr>
        <w:t xml:space="preserve">ecek </w:t>
      </w:r>
      <w:r w:rsidR="00E327E5" w:rsidRPr="00336E5B">
        <w:rPr>
          <w:rFonts w:asciiTheme="minorHAnsi" w:hAnsiTheme="minorHAnsi" w:cstheme="minorHAnsi"/>
          <w:b/>
          <w:bCs/>
          <w:lang w:val="tr-TR"/>
        </w:rPr>
        <w:t>imkân</w:t>
      </w:r>
      <w:r w:rsidRPr="00336E5B">
        <w:rPr>
          <w:rFonts w:asciiTheme="minorHAnsi" w:hAnsiTheme="minorHAnsi" w:cstheme="minorHAnsi"/>
          <w:b/>
          <w:bCs/>
          <w:lang w:val="tr-TR"/>
        </w:rPr>
        <w:t xml:space="preserve"> ve finansman kaynaklarına sahip midir?</w:t>
      </w:r>
    </w:p>
    <w:p w14:paraId="482141A1" w14:textId="166AF037" w:rsidR="0050560E" w:rsidRPr="00336E5B" w:rsidRDefault="0023722C" w:rsidP="000B7DB8">
      <w:pPr>
        <w:spacing w:after="120"/>
        <w:rPr>
          <w:rFonts w:asciiTheme="minorHAnsi" w:hAnsiTheme="minorHAnsi" w:cstheme="minorHAnsi"/>
          <w:b/>
          <w:bCs/>
          <w:lang w:val="tr-TR"/>
        </w:rPr>
      </w:pPr>
      <w:r w:rsidRPr="00336E5B">
        <w:rPr>
          <w:rFonts w:asciiTheme="minorHAnsi" w:hAnsiTheme="minorHAnsi" w:cstheme="minorHAnsi"/>
          <w:lang w:val="tr-TR"/>
        </w:rPr>
        <w:t xml:space="preserve">Bu sorunun cevabına geçmeden önce depremin </w:t>
      </w:r>
      <w:r w:rsidR="002D11B2" w:rsidRPr="00336E5B">
        <w:rPr>
          <w:rFonts w:asciiTheme="minorHAnsi" w:hAnsiTheme="minorHAnsi" w:cstheme="minorHAnsi"/>
          <w:lang w:val="tr-TR"/>
        </w:rPr>
        <w:t xml:space="preserve">devlet tarafından karşılanması beklenen </w:t>
      </w:r>
      <w:r w:rsidRPr="00336E5B">
        <w:rPr>
          <w:rFonts w:asciiTheme="minorHAnsi" w:hAnsiTheme="minorHAnsi" w:cstheme="minorHAnsi"/>
          <w:lang w:val="tr-TR"/>
        </w:rPr>
        <w:t xml:space="preserve">mali faturanın büyüklüğü olarak yukarıda hesaplamış olduğumuz </w:t>
      </w:r>
      <w:r w:rsidR="005233D4" w:rsidRPr="00336E5B">
        <w:rPr>
          <w:rFonts w:asciiTheme="minorHAnsi" w:hAnsiTheme="minorHAnsi" w:cstheme="minorHAnsi"/>
          <w:lang w:val="tr-TR"/>
        </w:rPr>
        <w:t>ü</w:t>
      </w:r>
      <w:r w:rsidRPr="00336E5B">
        <w:rPr>
          <w:rFonts w:asciiTheme="minorHAnsi" w:hAnsiTheme="minorHAnsi" w:cstheme="minorHAnsi"/>
          <w:lang w:val="tr-TR"/>
        </w:rPr>
        <w:t>st sınır</w:t>
      </w:r>
      <w:r w:rsidR="005233D4" w:rsidRPr="00336E5B">
        <w:rPr>
          <w:rFonts w:asciiTheme="minorHAnsi" w:hAnsiTheme="minorHAnsi" w:cstheme="minorHAnsi"/>
          <w:lang w:val="tr-TR"/>
        </w:rPr>
        <w:t xml:space="preserve"> olan </w:t>
      </w:r>
      <w:r w:rsidR="003449C7" w:rsidRPr="00336E5B">
        <w:rPr>
          <w:rFonts w:asciiTheme="minorHAnsi" w:hAnsiTheme="minorHAnsi" w:cstheme="minorHAnsi"/>
          <w:lang w:val="tr-TR"/>
        </w:rPr>
        <w:t>82</w:t>
      </w:r>
      <w:r w:rsidR="00655602">
        <w:rPr>
          <w:rFonts w:asciiTheme="minorHAnsi" w:hAnsiTheme="minorHAnsi" w:cstheme="minorHAnsi"/>
          <w:lang w:val="tr-TR"/>
        </w:rPr>
        <w:t>,</w:t>
      </w:r>
      <w:r w:rsidR="003449C7" w:rsidRPr="00336E5B">
        <w:rPr>
          <w:rFonts w:asciiTheme="minorHAnsi" w:hAnsiTheme="minorHAnsi" w:cstheme="minorHAnsi"/>
          <w:lang w:val="tr-TR"/>
        </w:rPr>
        <w:t xml:space="preserve">3 </w:t>
      </w:r>
      <w:r w:rsidR="005233D4" w:rsidRPr="00336E5B">
        <w:rPr>
          <w:rFonts w:asciiTheme="minorHAnsi" w:hAnsiTheme="minorHAnsi" w:cstheme="minorHAnsi"/>
          <w:lang w:val="tr-TR"/>
        </w:rPr>
        <w:t>milyar doları</w:t>
      </w:r>
      <w:r w:rsidR="00F6695C" w:rsidRPr="00336E5B">
        <w:rPr>
          <w:rFonts w:asciiTheme="minorHAnsi" w:hAnsiTheme="minorHAnsi" w:cstheme="minorHAnsi"/>
          <w:lang w:val="tr-TR"/>
        </w:rPr>
        <w:t xml:space="preserve"> </w:t>
      </w:r>
      <w:r w:rsidR="005233D4" w:rsidRPr="00336E5B">
        <w:rPr>
          <w:rFonts w:asciiTheme="minorHAnsi" w:hAnsiTheme="minorHAnsi" w:cstheme="minorHAnsi"/>
          <w:lang w:val="tr-TR"/>
        </w:rPr>
        <w:t>aldığımız zaman</w:t>
      </w:r>
      <w:r w:rsidR="00C415B1" w:rsidRPr="00336E5B">
        <w:rPr>
          <w:rFonts w:asciiTheme="minorHAnsi" w:hAnsiTheme="minorHAnsi" w:cstheme="minorHAnsi"/>
          <w:lang w:val="tr-TR"/>
        </w:rPr>
        <w:t>,</w:t>
      </w:r>
      <w:r w:rsidR="005233D4" w:rsidRPr="00336E5B">
        <w:rPr>
          <w:rFonts w:asciiTheme="minorHAnsi" w:hAnsiTheme="minorHAnsi" w:cstheme="minorHAnsi"/>
          <w:lang w:val="tr-TR"/>
        </w:rPr>
        <w:t xml:space="preserve"> bu</w:t>
      </w:r>
      <w:r w:rsidR="00C415B1" w:rsidRPr="00336E5B">
        <w:rPr>
          <w:rFonts w:asciiTheme="minorHAnsi" w:hAnsiTheme="minorHAnsi" w:cstheme="minorHAnsi"/>
          <w:lang w:val="tr-TR"/>
        </w:rPr>
        <w:t xml:space="preserve"> miktarın</w:t>
      </w:r>
      <w:r w:rsidR="005233D4" w:rsidRPr="00336E5B">
        <w:rPr>
          <w:rFonts w:asciiTheme="minorHAnsi" w:hAnsiTheme="minorHAnsi" w:cstheme="minorHAnsi"/>
          <w:lang w:val="tr-TR"/>
        </w:rPr>
        <w:t xml:space="preserve"> ulusal </w:t>
      </w:r>
      <w:r w:rsidRPr="00336E5B">
        <w:rPr>
          <w:rFonts w:asciiTheme="minorHAnsi" w:hAnsiTheme="minorHAnsi" w:cstheme="minorHAnsi"/>
          <w:lang w:val="tr-TR"/>
        </w:rPr>
        <w:t xml:space="preserve">GSYH’nin </w:t>
      </w:r>
      <w:r w:rsidR="00AF2D80">
        <w:rPr>
          <w:rFonts w:asciiTheme="minorHAnsi" w:hAnsiTheme="minorHAnsi" w:cstheme="minorHAnsi"/>
          <w:lang w:val="tr-TR"/>
        </w:rPr>
        <w:t xml:space="preserve">yüzde </w:t>
      </w:r>
      <w:r w:rsidR="003449C7" w:rsidRPr="00336E5B">
        <w:rPr>
          <w:rFonts w:asciiTheme="minorHAnsi" w:hAnsiTheme="minorHAnsi" w:cstheme="minorHAnsi"/>
          <w:lang w:val="tr-TR"/>
        </w:rPr>
        <w:t>9</w:t>
      </w:r>
      <w:r w:rsidR="005233D4" w:rsidRPr="00336E5B">
        <w:rPr>
          <w:rFonts w:asciiTheme="minorHAnsi" w:hAnsiTheme="minorHAnsi" w:cstheme="minorHAnsi"/>
          <w:lang w:val="tr-TR"/>
        </w:rPr>
        <w:t>,</w:t>
      </w:r>
      <w:r w:rsidR="003449C7" w:rsidRPr="00336E5B">
        <w:rPr>
          <w:rFonts w:asciiTheme="minorHAnsi" w:hAnsiTheme="minorHAnsi" w:cstheme="minorHAnsi"/>
          <w:lang w:val="tr-TR"/>
        </w:rPr>
        <w:t>1</w:t>
      </w:r>
      <w:r w:rsidRPr="00336E5B">
        <w:rPr>
          <w:rFonts w:asciiTheme="minorHAnsi" w:hAnsiTheme="minorHAnsi" w:cstheme="minorHAnsi"/>
          <w:lang w:val="tr-TR"/>
        </w:rPr>
        <w:t>’</w:t>
      </w:r>
      <w:r w:rsidR="005233D4" w:rsidRPr="00336E5B">
        <w:rPr>
          <w:rFonts w:asciiTheme="minorHAnsi" w:hAnsiTheme="minorHAnsi" w:cstheme="minorHAnsi"/>
          <w:lang w:val="tr-TR"/>
        </w:rPr>
        <w:t>i</w:t>
      </w:r>
      <w:r w:rsidRPr="00336E5B">
        <w:rPr>
          <w:rFonts w:asciiTheme="minorHAnsi" w:hAnsiTheme="minorHAnsi" w:cstheme="minorHAnsi"/>
          <w:lang w:val="tr-TR"/>
        </w:rPr>
        <w:t>ne karşılık gel</w:t>
      </w:r>
      <w:r w:rsidR="005233D4" w:rsidRPr="00336E5B">
        <w:rPr>
          <w:rFonts w:asciiTheme="minorHAnsi" w:hAnsiTheme="minorHAnsi" w:cstheme="minorHAnsi"/>
          <w:lang w:val="tr-TR"/>
        </w:rPr>
        <w:t>diğini görüyoruz.</w:t>
      </w:r>
    </w:p>
    <w:p w14:paraId="7AD6A69F" w14:textId="4CE28854" w:rsidR="000B7DB8" w:rsidRPr="00336E5B" w:rsidRDefault="005961C6" w:rsidP="000B7DB8">
      <w:pPr>
        <w:spacing w:after="120"/>
        <w:rPr>
          <w:rFonts w:asciiTheme="minorHAnsi" w:hAnsiTheme="minorHAnsi" w:cstheme="minorHAnsi"/>
          <w:lang w:val="tr-TR"/>
        </w:rPr>
      </w:pPr>
      <w:r w:rsidRPr="00336E5B">
        <w:rPr>
          <w:rFonts w:asciiTheme="minorHAnsi" w:hAnsiTheme="minorHAnsi" w:cstheme="minorHAnsi"/>
          <w:lang w:val="tr-TR"/>
        </w:rPr>
        <w:t xml:space="preserve">Devletin karşılaması gereken bu </w:t>
      </w:r>
      <w:r w:rsidR="00A17A85" w:rsidRPr="00336E5B">
        <w:rPr>
          <w:rFonts w:asciiTheme="minorHAnsi" w:hAnsiTheme="minorHAnsi" w:cstheme="minorHAnsi"/>
          <w:lang w:val="tr-TR"/>
        </w:rPr>
        <w:t>mali yük</w:t>
      </w:r>
      <w:r w:rsidR="00C415B1" w:rsidRPr="00336E5B">
        <w:rPr>
          <w:rFonts w:asciiTheme="minorHAnsi" w:hAnsiTheme="minorHAnsi" w:cstheme="minorHAnsi"/>
          <w:lang w:val="tr-TR"/>
        </w:rPr>
        <w:t>,</w:t>
      </w:r>
      <w:r w:rsidRPr="00336E5B">
        <w:rPr>
          <w:rFonts w:asciiTheme="minorHAnsi" w:hAnsiTheme="minorHAnsi" w:cstheme="minorHAnsi"/>
          <w:lang w:val="tr-TR"/>
        </w:rPr>
        <w:t xml:space="preserve"> bir yandan bütçe açığının artmasına müsaade edilerek</w:t>
      </w:r>
      <w:r w:rsidR="00C415B1" w:rsidRPr="00336E5B">
        <w:rPr>
          <w:rFonts w:asciiTheme="minorHAnsi" w:hAnsiTheme="minorHAnsi" w:cstheme="minorHAnsi"/>
          <w:lang w:val="tr-TR"/>
        </w:rPr>
        <w:t>,</w:t>
      </w:r>
      <w:r w:rsidRPr="00336E5B">
        <w:rPr>
          <w:rFonts w:asciiTheme="minorHAnsi" w:hAnsiTheme="minorHAnsi" w:cstheme="minorHAnsi"/>
          <w:lang w:val="tr-TR"/>
        </w:rPr>
        <w:t xml:space="preserve"> bir yandan da geçici olarak </w:t>
      </w:r>
      <w:r w:rsidR="00A17A85" w:rsidRPr="00336E5B">
        <w:rPr>
          <w:rFonts w:asciiTheme="minorHAnsi" w:hAnsiTheme="minorHAnsi" w:cstheme="minorHAnsi"/>
          <w:lang w:val="tr-TR"/>
        </w:rPr>
        <w:t xml:space="preserve">bazı vergilerin </w:t>
      </w:r>
      <w:r w:rsidR="00C415B1" w:rsidRPr="00336E5B">
        <w:rPr>
          <w:rFonts w:asciiTheme="minorHAnsi" w:hAnsiTheme="minorHAnsi" w:cstheme="minorHAnsi"/>
          <w:lang w:val="tr-TR"/>
        </w:rPr>
        <w:t>-</w:t>
      </w:r>
      <w:r w:rsidR="00A17A85" w:rsidRPr="00336E5B">
        <w:rPr>
          <w:rFonts w:asciiTheme="minorHAnsi" w:hAnsiTheme="minorHAnsi" w:cstheme="minorHAnsi"/>
          <w:lang w:val="tr-TR"/>
        </w:rPr>
        <w:t xml:space="preserve">örneğin </w:t>
      </w:r>
      <w:r w:rsidRPr="00336E5B">
        <w:rPr>
          <w:rFonts w:asciiTheme="minorHAnsi" w:hAnsiTheme="minorHAnsi" w:cstheme="minorHAnsi"/>
          <w:lang w:val="tr-TR"/>
        </w:rPr>
        <w:t>kurumlar vergisinin</w:t>
      </w:r>
      <w:r w:rsidR="00C415B1" w:rsidRPr="00336E5B">
        <w:rPr>
          <w:rFonts w:asciiTheme="minorHAnsi" w:hAnsiTheme="minorHAnsi" w:cstheme="minorHAnsi"/>
          <w:lang w:val="tr-TR"/>
        </w:rPr>
        <w:t>-</w:t>
      </w:r>
      <w:r w:rsidRPr="00336E5B">
        <w:rPr>
          <w:rFonts w:asciiTheme="minorHAnsi" w:hAnsiTheme="minorHAnsi" w:cstheme="minorHAnsi"/>
          <w:lang w:val="tr-TR"/>
        </w:rPr>
        <w:t xml:space="preserve"> artırılmasıyla </w:t>
      </w:r>
      <w:r w:rsidRPr="00336E5B">
        <w:rPr>
          <w:rFonts w:asciiTheme="minorHAnsi" w:hAnsiTheme="minorHAnsi" w:cstheme="minorHAnsi"/>
          <w:lang w:val="tr-TR"/>
        </w:rPr>
        <w:lastRenderedPageBreak/>
        <w:t xml:space="preserve">finanse edilebilir. </w:t>
      </w:r>
      <w:r w:rsidR="00B9109E" w:rsidRPr="00336E5B">
        <w:rPr>
          <w:rFonts w:asciiTheme="minorHAnsi" w:hAnsiTheme="minorHAnsi" w:cstheme="minorHAnsi"/>
          <w:lang w:val="tr-TR"/>
        </w:rPr>
        <w:t xml:space="preserve">Öte yandan, depremlerde büyük yıkıma neden olan çürük yapılaşmanın temelinde daha fazla imar rantı yaratmak arzusu olduğu herkesin malumudur. </w:t>
      </w:r>
      <w:r w:rsidR="002D11B2" w:rsidRPr="00336E5B">
        <w:rPr>
          <w:rFonts w:asciiTheme="minorHAnsi" w:hAnsiTheme="minorHAnsi" w:cstheme="minorHAnsi"/>
          <w:lang w:val="tr-TR"/>
        </w:rPr>
        <w:t>Kurumlar vergisinin yanı sıra</w:t>
      </w:r>
      <w:r w:rsidRPr="00336E5B">
        <w:rPr>
          <w:rFonts w:asciiTheme="minorHAnsi" w:hAnsiTheme="minorHAnsi" w:cstheme="minorHAnsi"/>
          <w:lang w:val="tr-TR"/>
        </w:rPr>
        <w:t xml:space="preserve"> </w:t>
      </w:r>
      <w:r w:rsidR="00E068F1" w:rsidRPr="00336E5B">
        <w:rPr>
          <w:rFonts w:asciiTheme="minorHAnsi" w:hAnsiTheme="minorHAnsi" w:cstheme="minorHAnsi"/>
          <w:lang w:val="tr-TR"/>
        </w:rPr>
        <w:t xml:space="preserve">imar rantı üzerindeki emlak vergilerinin (özellikle </w:t>
      </w:r>
      <w:r w:rsidR="009C1907" w:rsidRPr="00336E5B">
        <w:rPr>
          <w:rFonts w:asciiTheme="minorHAnsi" w:hAnsiTheme="minorHAnsi" w:cstheme="minorHAnsi"/>
          <w:lang w:val="tr-TR"/>
        </w:rPr>
        <w:t xml:space="preserve">iki </w:t>
      </w:r>
      <w:r w:rsidR="00E068F1" w:rsidRPr="00336E5B">
        <w:rPr>
          <w:rFonts w:asciiTheme="minorHAnsi" w:hAnsiTheme="minorHAnsi" w:cstheme="minorHAnsi"/>
          <w:lang w:val="tr-TR"/>
        </w:rPr>
        <w:t xml:space="preserve">ve </w:t>
      </w:r>
      <w:r w:rsidR="00B9109E" w:rsidRPr="00336E5B">
        <w:rPr>
          <w:rFonts w:asciiTheme="minorHAnsi" w:hAnsiTheme="minorHAnsi" w:cstheme="minorHAnsi"/>
          <w:lang w:val="tr-TR"/>
        </w:rPr>
        <w:t xml:space="preserve">daha fazla sayıda </w:t>
      </w:r>
      <w:r w:rsidR="00E068F1" w:rsidRPr="00336E5B">
        <w:rPr>
          <w:rFonts w:asciiTheme="minorHAnsi" w:hAnsiTheme="minorHAnsi" w:cstheme="minorHAnsi"/>
          <w:lang w:val="tr-TR"/>
        </w:rPr>
        <w:t xml:space="preserve">konut sahibi olanların gayrimenkulleri üzerindeki vergilerin) seçim sonrasında </w:t>
      </w:r>
      <w:r w:rsidR="009D6E31" w:rsidRPr="00336E5B">
        <w:rPr>
          <w:rFonts w:asciiTheme="minorHAnsi" w:hAnsiTheme="minorHAnsi" w:cstheme="minorHAnsi"/>
          <w:lang w:val="tr-TR"/>
        </w:rPr>
        <w:t xml:space="preserve">mutlaka </w:t>
      </w:r>
      <w:r w:rsidR="00E068F1" w:rsidRPr="00336E5B">
        <w:rPr>
          <w:rFonts w:asciiTheme="minorHAnsi" w:hAnsiTheme="minorHAnsi" w:cstheme="minorHAnsi"/>
          <w:lang w:val="tr-TR"/>
        </w:rPr>
        <w:t xml:space="preserve">artırılması </w:t>
      </w:r>
      <w:r w:rsidR="009D6E31" w:rsidRPr="00336E5B">
        <w:rPr>
          <w:rFonts w:asciiTheme="minorHAnsi" w:hAnsiTheme="minorHAnsi" w:cstheme="minorHAnsi"/>
          <w:lang w:val="tr-TR"/>
        </w:rPr>
        <w:t>gerekir</w:t>
      </w:r>
      <w:r w:rsidR="00E068F1" w:rsidRPr="00336E5B">
        <w:rPr>
          <w:rFonts w:asciiTheme="minorHAnsi" w:hAnsiTheme="minorHAnsi" w:cstheme="minorHAnsi"/>
          <w:lang w:val="tr-TR"/>
        </w:rPr>
        <w:t xml:space="preserve">. </w:t>
      </w:r>
    </w:p>
    <w:p w14:paraId="7BA3FFF6" w14:textId="7E07CB29" w:rsidR="000B7DB8" w:rsidRPr="00336E5B" w:rsidRDefault="00E96FA5" w:rsidP="000B7DB8">
      <w:pPr>
        <w:spacing w:after="120"/>
        <w:rPr>
          <w:rFonts w:asciiTheme="minorHAnsi" w:hAnsiTheme="minorHAnsi" w:cstheme="minorHAnsi"/>
          <w:lang w:val="tr-TR"/>
        </w:rPr>
      </w:pPr>
      <w:r w:rsidRPr="00336E5B">
        <w:rPr>
          <w:rFonts w:asciiTheme="minorHAnsi" w:hAnsiTheme="minorHAnsi" w:cstheme="minorHAnsi"/>
          <w:lang w:val="tr-TR"/>
        </w:rPr>
        <w:t xml:space="preserve">Tek başına </w:t>
      </w:r>
      <w:r w:rsidR="002D11B2" w:rsidRPr="00336E5B">
        <w:rPr>
          <w:rFonts w:asciiTheme="minorHAnsi" w:hAnsiTheme="minorHAnsi" w:cstheme="minorHAnsi"/>
          <w:lang w:val="tr-TR"/>
        </w:rPr>
        <w:t xml:space="preserve">birkaç kalem </w:t>
      </w:r>
      <w:r w:rsidRPr="00336E5B">
        <w:rPr>
          <w:rFonts w:asciiTheme="minorHAnsi" w:hAnsiTheme="minorHAnsi" w:cstheme="minorHAnsi"/>
          <w:lang w:val="tr-TR"/>
        </w:rPr>
        <w:t>v</w:t>
      </w:r>
      <w:r w:rsidR="000E6DEC" w:rsidRPr="00336E5B">
        <w:rPr>
          <w:rFonts w:asciiTheme="minorHAnsi" w:hAnsiTheme="minorHAnsi" w:cstheme="minorHAnsi"/>
          <w:lang w:val="tr-TR"/>
        </w:rPr>
        <w:t>ergi</w:t>
      </w:r>
      <w:r w:rsidRPr="00336E5B">
        <w:rPr>
          <w:rFonts w:asciiTheme="minorHAnsi" w:hAnsiTheme="minorHAnsi" w:cstheme="minorHAnsi"/>
          <w:lang w:val="tr-TR"/>
        </w:rPr>
        <w:t xml:space="preserve">de artışa gitmenin yeterli olmayacağı açıktır. </w:t>
      </w:r>
      <w:r w:rsidR="00D84D59" w:rsidRPr="00336E5B">
        <w:rPr>
          <w:rFonts w:asciiTheme="minorHAnsi" w:hAnsiTheme="minorHAnsi" w:cstheme="minorHAnsi"/>
          <w:lang w:val="tr-TR"/>
        </w:rPr>
        <w:t xml:space="preserve">İki yılda </w:t>
      </w:r>
      <w:r w:rsidR="00AF2D80">
        <w:rPr>
          <w:rFonts w:asciiTheme="minorHAnsi" w:hAnsiTheme="minorHAnsi" w:cstheme="minorHAnsi"/>
          <w:lang w:val="tr-TR"/>
        </w:rPr>
        <w:t xml:space="preserve">yüzde </w:t>
      </w:r>
      <w:r w:rsidR="00D84D59" w:rsidRPr="00336E5B">
        <w:rPr>
          <w:rFonts w:asciiTheme="minorHAnsi" w:hAnsiTheme="minorHAnsi" w:cstheme="minorHAnsi"/>
          <w:lang w:val="tr-TR"/>
        </w:rPr>
        <w:t>2</w:t>
      </w:r>
      <w:r w:rsidR="00C63B11" w:rsidRPr="00336E5B">
        <w:rPr>
          <w:rFonts w:asciiTheme="minorHAnsi" w:hAnsiTheme="minorHAnsi" w:cstheme="minorHAnsi"/>
          <w:lang w:val="tr-TR"/>
        </w:rPr>
        <w:t>,5</w:t>
      </w:r>
      <w:r w:rsidR="00D84D59" w:rsidRPr="00336E5B">
        <w:rPr>
          <w:rFonts w:asciiTheme="minorHAnsi" w:hAnsiTheme="minorHAnsi" w:cstheme="minorHAnsi"/>
          <w:lang w:val="tr-TR"/>
        </w:rPr>
        <w:t xml:space="preserve">’e yakın gelir sağlanacak şekilde vergi artışlarının uygulanması durumunda, </w:t>
      </w:r>
      <w:r w:rsidR="00C63B11" w:rsidRPr="00336E5B">
        <w:rPr>
          <w:rFonts w:asciiTheme="minorHAnsi" w:hAnsiTheme="minorHAnsi" w:cstheme="minorHAnsi"/>
          <w:lang w:val="tr-TR"/>
        </w:rPr>
        <w:t xml:space="preserve">buna </w:t>
      </w:r>
      <w:r w:rsidR="00D84D59" w:rsidRPr="00336E5B">
        <w:rPr>
          <w:rFonts w:asciiTheme="minorHAnsi" w:hAnsiTheme="minorHAnsi" w:cstheme="minorHAnsi"/>
          <w:lang w:val="tr-TR"/>
        </w:rPr>
        <w:t xml:space="preserve">ek olarak </w:t>
      </w:r>
      <w:r w:rsidRPr="00336E5B">
        <w:rPr>
          <w:rFonts w:asciiTheme="minorHAnsi" w:hAnsiTheme="minorHAnsi" w:cstheme="minorHAnsi"/>
          <w:lang w:val="tr-TR"/>
        </w:rPr>
        <w:t>üç yıl</w:t>
      </w:r>
      <w:r w:rsidR="00D84D59" w:rsidRPr="00336E5B">
        <w:rPr>
          <w:rFonts w:asciiTheme="minorHAnsi" w:hAnsiTheme="minorHAnsi" w:cstheme="minorHAnsi"/>
          <w:lang w:val="tr-TR"/>
        </w:rPr>
        <w:t xml:space="preserve">lık dönemde </w:t>
      </w:r>
      <w:r w:rsidRPr="00336E5B">
        <w:rPr>
          <w:rFonts w:asciiTheme="minorHAnsi" w:hAnsiTheme="minorHAnsi" w:cstheme="minorHAnsi"/>
          <w:lang w:val="tr-TR"/>
        </w:rPr>
        <w:t>kamu bütçe</w:t>
      </w:r>
      <w:r w:rsidR="00D84D59" w:rsidRPr="00336E5B">
        <w:rPr>
          <w:rFonts w:asciiTheme="minorHAnsi" w:hAnsiTheme="minorHAnsi" w:cstheme="minorHAnsi"/>
          <w:lang w:val="tr-TR"/>
        </w:rPr>
        <w:t>sinin</w:t>
      </w:r>
      <w:r w:rsidRPr="00336E5B">
        <w:rPr>
          <w:rFonts w:asciiTheme="minorHAnsi" w:hAnsiTheme="minorHAnsi" w:cstheme="minorHAnsi"/>
          <w:lang w:val="tr-TR"/>
        </w:rPr>
        <w:t xml:space="preserve"> </w:t>
      </w:r>
      <w:r w:rsidR="00D84D59" w:rsidRPr="00336E5B">
        <w:rPr>
          <w:rFonts w:asciiTheme="minorHAnsi" w:hAnsiTheme="minorHAnsi" w:cstheme="minorHAnsi"/>
          <w:lang w:val="tr-TR"/>
        </w:rPr>
        <w:t xml:space="preserve">toplamda </w:t>
      </w:r>
      <w:r w:rsidR="00AF2D80">
        <w:rPr>
          <w:rFonts w:asciiTheme="minorHAnsi" w:hAnsiTheme="minorHAnsi" w:cstheme="minorHAnsi"/>
          <w:lang w:val="tr-TR"/>
        </w:rPr>
        <w:t xml:space="preserve">yüzde </w:t>
      </w:r>
      <w:r w:rsidR="00C63B11" w:rsidRPr="00336E5B">
        <w:rPr>
          <w:rFonts w:asciiTheme="minorHAnsi" w:hAnsiTheme="minorHAnsi" w:cstheme="minorHAnsi"/>
          <w:lang w:val="tr-TR"/>
        </w:rPr>
        <w:t>6,</w:t>
      </w:r>
      <w:r w:rsidR="00F07E8C" w:rsidRPr="00336E5B">
        <w:rPr>
          <w:rFonts w:asciiTheme="minorHAnsi" w:hAnsiTheme="minorHAnsi" w:cstheme="minorHAnsi"/>
          <w:lang w:val="tr-TR"/>
        </w:rPr>
        <w:t>6</w:t>
      </w:r>
      <w:r w:rsidR="00D84D59" w:rsidRPr="00336E5B">
        <w:rPr>
          <w:rFonts w:asciiTheme="minorHAnsi" w:hAnsiTheme="minorHAnsi" w:cstheme="minorHAnsi"/>
          <w:lang w:val="tr-TR"/>
        </w:rPr>
        <w:t xml:space="preserve"> </w:t>
      </w:r>
      <w:r w:rsidR="00C63B11" w:rsidRPr="00336E5B">
        <w:rPr>
          <w:rFonts w:asciiTheme="minorHAnsi" w:hAnsiTheme="minorHAnsi" w:cstheme="minorHAnsi"/>
          <w:lang w:val="tr-TR"/>
        </w:rPr>
        <w:t xml:space="preserve">civarında </w:t>
      </w:r>
      <w:r w:rsidR="00D84D59" w:rsidRPr="00336E5B">
        <w:rPr>
          <w:rFonts w:asciiTheme="minorHAnsi" w:hAnsiTheme="minorHAnsi" w:cstheme="minorHAnsi"/>
          <w:lang w:val="tr-TR"/>
        </w:rPr>
        <w:t xml:space="preserve">(2023’te </w:t>
      </w:r>
      <w:r w:rsidR="00AF2D80">
        <w:rPr>
          <w:rFonts w:asciiTheme="minorHAnsi" w:hAnsiTheme="minorHAnsi" w:cstheme="minorHAnsi"/>
          <w:lang w:val="tr-TR"/>
        </w:rPr>
        <w:t xml:space="preserve">yüzde </w:t>
      </w:r>
      <w:r w:rsidR="00D84D59" w:rsidRPr="00336E5B">
        <w:rPr>
          <w:rFonts w:asciiTheme="minorHAnsi" w:hAnsiTheme="minorHAnsi" w:cstheme="minorHAnsi"/>
          <w:lang w:val="tr-TR"/>
        </w:rPr>
        <w:t xml:space="preserve">2,5, 2024’te </w:t>
      </w:r>
      <w:r w:rsidR="00AF2D80">
        <w:rPr>
          <w:rFonts w:asciiTheme="minorHAnsi" w:hAnsiTheme="minorHAnsi" w:cstheme="minorHAnsi"/>
          <w:lang w:val="tr-TR"/>
        </w:rPr>
        <w:t xml:space="preserve">yüzde </w:t>
      </w:r>
      <w:r w:rsidR="00C63B11" w:rsidRPr="00336E5B">
        <w:rPr>
          <w:rFonts w:asciiTheme="minorHAnsi" w:hAnsiTheme="minorHAnsi" w:cstheme="minorHAnsi"/>
          <w:lang w:val="tr-TR"/>
        </w:rPr>
        <w:t>2</w:t>
      </w:r>
      <w:r w:rsidR="00F07E8C" w:rsidRPr="00336E5B">
        <w:rPr>
          <w:rFonts w:asciiTheme="minorHAnsi" w:hAnsiTheme="minorHAnsi" w:cstheme="minorHAnsi"/>
          <w:lang w:val="tr-TR"/>
        </w:rPr>
        <w:t>,1</w:t>
      </w:r>
      <w:r w:rsidR="00D84D59" w:rsidRPr="00336E5B">
        <w:rPr>
          <w:rFonts w:asciiTheme="minorHAnsi" w:hAnsiTheme="minorHAnsi" w:cstheme="minorHAnsi"/>
          <w:lang w:val="tr-TR"/>
        </w:rPr>
        <w:t xml:space="preserve"> ve 2025’te </w:t>
      </w:r>
      <w:r w:rsidR="00AF2D80">
        <w:rPr>
          <w:rFonts w:asciiTheme="minorHAnsi" w:hAnsiTheme="minorHAnsi" w:cstheme="minorHAnsi"/>
          <w:lang w:val="tr-TR"/>
        </w:rPr>
        <w:t xml:space="preserve">yüzde </w:t>
      </w:r>
      <w:r w:rsidR="00F07E8C" w:rsidRPr="00336E5B">
        <w:rPr>
          <w:rFonts w:asciiTheme="minorHAnsi" w:hAnsiTheme="minorHAnsi" w:cstheme="minorHAnsi"/>
          <w:lang w:val="tr-TR"/>
        </w:rPr>
        <w:t>2</w:t>
      </w:r>
      <w:r w:rsidR="00D84D59" w:rsidRPr="00336E5B">
        <w:rPr>
          <w:rFonts w:asciiTheme="minorHAnsi" w:hAnsiTheme="minorHAnsi" w:cstheme="minorHAnsi"/>
          <w:lang w:val="tr-TR"/>
        </w:rPr>
        <w:t xml:space="preserve"> olacak şekilde) ek açık vermesi ve bu açığın </w:t>
      </w:r>
      <w:r w:rsidR="005961C6" w:rsidRPr="00336E5B">
        <w:rPr>
          <w:rFonts w:asciiTheme="minorHAnsi" w:hAnsiTheme="minorHAnsi" w:cstheme="minorHAnsi"/>
          <w:lang w:val="tr-TR"/>
        </w:rPr>
        <w:t xml:space="preserve">yurt içi ve uluslararası piyasalardan borçlanmayla finanse </w:t>
      </w:r>
      <w:r w:rsidR="00D84D59" w:rsidRPr="00336E5B">
        <w:rPr>
          <w:rFonts w:asciiTheme="minorHAnsi" w:hAnsiTheme="minorHAnsi" w:cstheme="minorHAnsi"/>
          <w:lang w:val="tr-TR"/>
        </w:rPr>
        <w:t xml:space="preserve">edilmesi </w:t>
      </w:r>
      <w:r w:rsidR="00767BBF" w:rsidRPr="00336E5B">
        <w:rPr>
          <w:rFonts w:asciiTheme="minorHAnsi" w:hAnsiTheme="minorHAnsi" w:cstheme="minorHAnsi"/>
          <w:lang w:val="tr-TR"/>
        </w:rPr>
        <w:t xml:space="preserve">prensipte </w:t>
      </w:r>
      <w:r w:rsidR="00D84D59" w:rsidRPr="00336E5B">
        <w:rPr>
          <w:rFonts w:asciiTheme="minorHAnsi" w:hAnsiTheme="minorHAnsi" w:cstheme="minorHAnsi"/>
          <w:lang w:val="tr-TR"/>
        </w:rPr>
        <w:t xml:space="preserve">mümkündür. </w:t>
      </w:r>
    </w:p>
    <w:p w14:paraId="685C82D1" w14:textId="4A37B942" w:rsidR="005D55AA" w:rsidRPr="00336E5B" w:rsidRDefault="000A7169" w:rsidP="005D55AA">
      <w:pPr>
        <w:spacing w:after="120"/>
        <w:rPr>
          <w:rFonts w:asciiTheme="minorHAnsi" w:hAnsiTheme="minorHAnsi" w:cstheme="minorHAnsi"/>
          <w:lang w:val="tr-TR"/>
        </w:rPr>
      </w:pPr>
      <w:r w:rsidRPr="00336E5B">
        <w:rPr>
          <w:rFonts w:asciiTheme="minorHAnsi" w:hAnsiTheme="minorHAnsi" w:cstheme="minorHAnsi"/>
          <w:lang w:val="tr-TR"/>
        </w:rPr>
        <w:t>Eylül 2022’de yayınlanan Orta Vadeli Program’a</w:t>
      </w:r>
      <w:r w:rsidR="00735230" w:rsidRPr="00336E5B">
        <w:rPr>
          <w:rStyle w:val="DipnotBavurusu"/>
          <w:rFonts w:asciiTheme="minorHAnsi" w:hAnsiTheme="minorHAnsi" w:cstheme="minorHAnsi"/>
          <w:lang w:val="tr-TR"/>
        </w:rPr>
        <w:footnoteReference w:id="9"/>
      </w:r>
      <w:r w:rsidRPr="00336E5B">
        <w:rPr>
          <w:rFonts w:asciiTheme="minorHAnsi" w:hAnsiTheme="minorHAnsi" w:cstheme="minorHAnsi"/>
          <w:lang w:val="tr-TR"/>
        </w:rPr>
        <w:t xml:space="preserve"> göre 2021 yılı sonunda %42 olan kamu borç stokunun GSYH’ye oranının 2022 sonu itibarıyla </w:t>
      </w:r>
      <w:r w:rsidR="00AF2D80">
        <w:rPr>
          <w:rFonts w:asciiTheme="minorHAnsi" w:hAnsiTheme="minorHAnsi" w:cstheme="minorHAnsi"/>
          <w:lang w:val="tr-TR"/>
        </w:rPr>
        <w:t xml:space="preserve">yüzde </w:t>
      </w:r>
      <w:proofErr w:type="gramStart"/>
      <w:r w:rsidRPr="00336E5B">
        <w:rPr>
          <w:rFonts w:asciiTheme="minorHAnsi" w:hAnsiTheme="minorHAnsi" w:cstheme="minorHAnsi"/>
          <w:lang w:val="tr-TR"/>
        </w:rPr>
        <w:t>36.7</w:t>
      </w:r>
      <w:proofErr w:type="gramEnd"/>
      <w:r w:rsidRPr="00336E5B">
        <w:rPr>
          <w:rFonts w:asciiTheme="minorHAnsi" w:hAnsiTheme="minorHAnsi" w:cstheme="minorHAnsi"/>
          <w:lang w:val="tr-TR"/>
        </w:rPr>
        <w:t xml:space="preserve">’ye düşmesi </w:t>
      </w:r>
      <w:r w:rsidR="002D11B2" w:rsidRPr="00336E5B">
        <w:rPr>
          <w:rFonts w:asciiTheme="minorHAnsi" w:hAnsiTheme="minorHAnsi" w:cstheme="minorHAnsi"/>
          <w:lang w:val="tr-TR"/>
        </w:rPr>
        <w:t>söz konusudur</w:t>
      </w:r>
      <w:r w:rsidRPr="00336E5B">
        <w:rPr>
          <w:rFonts w:asciiTheme="minorHAnsi" w:hAnsiTheme="minorHAnsi" w:cstheme="minorHAnsi"/>
          <w:lang w:val="tr-TR"/>
        </w:rPr>
        <w:t xml:space="preserve">. </w:t>
      </w:r>
      <w:r w:rsidR="005D55AA" w:rsidRPr="00336E5B">
        <w:rPr>
          <w:rFonts w:asciiTheme="minorHAnsi" w:hAnsiTheme="minorHAnsi" w:cstheme="minorHAnsi"/>
          <w:lang w:val="tr-TR"/>
        </w:rPr>
        <w:t>Kamu borç stokunun görece düşük olmasıyla birlikte ekonomi politikaları da sağlam temeller üzerine oturmuş olsaydı deprem bölgesinde yapılacak kamu harcamalarının ek vergiler ve borçlanmayla finanse edilmesi mümkün olabilirdi.</w:t>
      </w:r>
    </w:p>
    <w:p w14:paraId="333FF640" w14:textId="53B9038E" w:rsidR="000B7DB8" w:rsidRPr="00B42454" w:rsidRDefault="00D84D59" w:rsidP="000B7DB8">
      <w:pPr>
        <w:spacing w:after="120"/>
        <w:rPr>
          <w:rFonts w:asciiTheme="minorHAnsi" w:hAnsiTheme="minorHAnsi" w:cstheme="minorHAnsi"/>
          <w:color w:val="FF0000"/>
          <w:lang w:val="tr-TR"/>
        </w:rPr>
      </w:pPr>
      <w:r w:rsidRPr="00655602">
        <w:rPr>
          <w:rFonts w:asciiTheme="minorHAnsi" w:hAnsiTheme="minorHAnsi" w:cstheme="minorHAnsi"/>
          <w:lang w:val="tr-TR"/>
        </w:rPr>
        <w:t>Ancak</w:t>
      </w:r>
      <w:r w:rsidR="005D55AA" w:rsidRPr="00655602">
        <w:rPr>
          <w:rFonts w:asciiTheme="minorHAnsi" w:hAnsiTheme="minorHAnsi" w:cstheme="minorHAnsi"/>
          <w:lang w:val="tr-TR"/>
        </w:rPr>
        <w:t>,</w:t>
      </w:r>
      <w:r w:rsidRPr="00655602">
        <w:rPr>
          <w:rFonts w:asciiTheme="minorHAnsi" w:hAnsiTheme="minorHAnsi" w:cstheme="minorHAnsi"/>
          <w:lang w:val="tr-TR"/>
        </w:rPr>
        <w:t xml:space="preserve"> 2023’te deprem bölgesi harcamaları için bütçe açığının </w:t>
      </w:r>
      <w:r w:rsidR="00AF2D80" w:rsidRPr="00655602">
        <w:rPr>
          <w:rFonts w:asciiTheme="minorHAnsi" w:hAnsiTheme="minorHAnsi" w:cstheme="minorHAnsi"/>
          <w:lang w:val="tr-TR"/>
        </w:rPr>
        <w:t xml:space="preserve">yüzde </w:t>
      </w:r>
      <w:r w:rsidRPr="00655602">
        <w:rPr>
          <w:rFonts w:asciiTheme="minorHAnsi" w:hAnsiTheme="minorHAnsi" w:cstheme="minorHAnsi"/>
          <w:lang w:val="tr-TR"/>
        </w:rPr>
        <w:t xml:space="preserve">6’ya çıkacak şekilde artması </w:t>
      </w:r>
      <w:r w:rsidR="00DC3650" w:rsidRPr="00655602">
        <w:rPr>
          <w:rFonts w:asciiTheme="minorHAnsi" w:hAnsiTheme="minorHAnsi" w:cstheme="minorHAnsi"/>
          <w:lang w:val="tr-TR"/>
        </w:rPr>
        <w:t xml:space="preserve">yurt </w:t>
      </w:r>
      <w:r w:rsidR="000A7169" w:rsidRPr="00655602">
        <w:rPr>
          <w:rFonts w:asciiTheme="minorHAnsi" w:hAnsiTheme="minorHAnsi" w:cstheme="minorHAnsi"/>
          <w:lang w:val="tr-TR"/>
        </w:rPr>
        <w:t>dış</w:t>
      </w:r>
      <w:r w:rsidR="00DC3650" w:rsidRPr="00655602">
        <w:rPr>
          <w:rFonts w:asciiTheme="minorHAnsi" w:hAnsiTheme="minorHAnsi" w:cstheme="minorHAnsi"/>
          <w:lang w:val="tr-TR"/>
        </w:rPr>
        <w:t xml:space="preserve">ından borçlanmayı </w:t>
      </w:r>
      <w:r w:rsidR="000A7169" w:rsidRPr="00655602">
        <w:rPr>
          <w:rFonts w:asciiTheme="minorHAnsi" w:hAnsiTheme="minorHAnsi" w:cstheme="minorHAnsi"/>
          <w:lang w:val="tr-TR"/>
        </w:rPr>
        <w:t xml:space="preserve">zorunlu kılmaktadır. </w:t>
      </w:r>
      <w:r w:rsidR="005D55AA" w:rsidRPr="00655602">
        <w:rPr>
          <w:rFonts w:asciiTheme="minorHAnsi" w:hAnsiTheme="minorHAnsi" w:cstheme="minorHAnsi"/>
          <w:lang w:val="tr-TR"/>
        </w:rPr>
        <w:t>Buna karşın</w:t>
      </w:r>
      <w:r w:rsidR="006728F0" w:rsidRPr="00655602">
        <w:rPr>
          <w:rFonts w:asciiTheme="minorHAnsi" w:hAnsiTheme="minorHAnsi" w:cstheme="minorHAnsi"/>
          <w:lang w:val="tr-TR"/>
        </w:rPr>
        <w:t xml:space="preserve"> Eylül 2021’den bu yana </w:t>
      </w:r>
      <w:r w:rsidR="00DE7CD1" w:rsidRPr="00655602">
        <w:rPr>
          <w:rFonts w:asciiTheme="minorHAnsi" w:hAnsiTheme="minorHAnsi" w:cstheme="minorHAnsi"/>
          <w:lang w:val="tr-TR"/>
        </w:rPr>
        <w:t xml:space="preserve">artan enflasyona rağmen </w:t>
      </w:r>
      <w:r w:rsidR="006728F0" w:rsidRPr="00655602">
        <w:rPr>
          <w:rFonts w:asciiTheme="minorHAnsi" w:hAnsiTheme="minorHAnsi" w:cstheme="minorHAnsi"/>
          <w:lang w:val="tr-TR"/>
        </w:rPr>
        <w:t xml:space="preserve">izlenen </w:t>
      </w:r>
      <w:r w:rsidR="00DE7CD1" w:rsidRPr="00655602">
        <w:rPr>
          <w:rFonts w:asciiTheme="minorHAnsi" w:hAnsiTheme="minorHAnsi" w:cstheme="minorHAnsi"/>
          <w:lang w:val="tr-TR"/>
        </w:rPr>
        <w:t xml:space="preserve">düşük faiz </w:t>
      </w:r>
      <w:r w:rsidR="002B2731" w:rsidRPr="00655602">
        <w:rPr>
          <w:rFonts w:asciiTheme="minorHAnsi" w:hAnsiTheme="minorHAnsi" w:cstheme="minorHAnsi"/>
          <w:lang w:val="tr-TR"/>
        </w:rPr>
        <w:t>odaklı</w:t>
      </w:r>
      <w:r w:rsidR="00AF2D80" w:rsidRPr="00655602">
        <w:rPr>
          <w:rFonts w:asciiTheme="minorHAnsi" w:hAnsiTheme="minorHAnsi" w:cstheme="minorHAnsi"/>
          <w:lang w:val="tr-TR"/>
        </w:rPr>
        <w:t xml:space="preserve"> (büyük çapta negatif reel faiz)</w:t>
      </w:r>
      <w:r w:rsidR="002B2731" w:rsidRPr="00655602">
        <w:rPr>
          <w:rFonts w:asciiTheme="minorHAnsi" w:hAnsiTheme="minorHAnsi" w:cstheme="minorHAnsi"/>
          <w:lang w:val="tr-TR"/>
        </w:rPr>
        <w:t xml:space="preserve"> </w:t>
      </w:r>
      <w:r w:rsidR="00DE7CD1" w:rsidRPr="00655602">
        <w:rPr>
          <w:rFonts w:asciiTheme="minorHAnsi" w:hAnsiTheme="minorHAnsi" w:cstheme="minorHAnsi"/>
          <w:lang w:val="tr-TR"/>
        </w:rPr>
        <w:t xml:space="preserve">para ve kamu maliyesi </w:t>
      </w:r>
      <w:r w:rsidR="006728F0" w:rsidRPr="00655602">
        <w:rPr>
          <w:rFonts w:asciiTheme="minorHAnsi" w:hAnsiTheme="minorHAnsi" w:cstheme="minorHAnsi"/>
          <w:lang w:val="tr-TR"/>
        </w:rPr>
        <w:t>politikaları</w:t>
      </w:r>
      <w:r w:rsidR="00DE7CD1" w:rsidRPr="00655602">
        <w:rPr>
          <w:rFonts w:asciiTheme="minorHAnsi" w:hAnsiTheme="minorHAnsi" w:cstheme="minorHAnsi"/>
          <w:lang w:val="tr-TR"/>
        </w:rPr>
        <w:t xml:space="preserve"> </w:t>
      </w:r>
      <w:r w:rsidR="00B42454" w:rsidRPr="00655602">
        <w:rPr>
          <w:rFonts w:asciiTheme="minorHAnsi" w:hAnsiTheme="minorHAnsi" w:cstheme="minorHAnsi"/>
          <w:lang w:val="tr-TR"/>
        </w:rPr>
        <w:t xml:space="preserve">ile </w:t>
      </w:r>
      <w:r w:rsidR="00AF2D80" w:rsidRPr="00655602">
        <w:rPr>
          <w:rFonts w:asciiTheme="minorHAnsi" w:hAnsiTheme="minorHAnsi" w:cstheme="minorHAnsi"/>
          <w:lang w:val="tr-TR"/>
        </w:rPr>
        <w:t xml:space="preserve">sermaye hareketleri serbestliğine ve döviz işlemlerine getirilen kısıtlamalar </w:t>
      </w:r>
      <w:r w:rsidR="00DE7CD1" w:rsidRPr="00655602">
        <w:rPr>
          <w:rFonts w:asciiTheme="minorHAnsi" w:hAnsiTheme="minorHAnsi" w:cstheme="minorHAnsi"/>
          <w:lang w:val="tr-TR"/>
        </w:rPr>
        <w:t xml:space="preserve">Türkiye </w:t>
      </w:r>
      <w:r w:rsidR="006728F0" w:rsidRPr="00655602">
        <w:rPr>
          <w:rFonts w:asciiTheme="minorHAnsi" w:hAnsiTheme="minorHAnsi" w:cstheme="minorHAnsi"/>
          <w:lang w:val="tr-TR"/>
        </w:rPr>
        <w:t>ekonomi</w:t>
      </w:r>
      <w:r w:rsidR="00DE7CD1" w:rsidRPr="00655602">
        <w:rPr>
          <w:rFonts w:asciiTheme="minorHAnsi" w:hAnsiTheme="minorHAnsi" w:cstheme="minorHAnsi"/>
          <w:lang w:val="tr-TR"/>
        </w:rPr>
        <w:t>si</w:t>
      </w:r>
      <w:r w:rsidR="006728F0" w:rsidRPr="00655602">
        <w:rPr>
          <w:rFonts w:asciiTheme="minorHAnsi" w:hAnsiTheme="minorHAnsi" w:cstheme="minorHAnsi"/>
          <w:lang w:val="tr-TR"/>
        </w:rPr>
        <w:t>nin kırılganlığını çok artır</w:t>
      </w:r>
      <w:r w:rsidR="00B42454" w:rsidRPr="00655602">
        <w:rPr>
          <w:rFonts w:asciiTheme="minorHAnsi" w:hAnsiTheme="minorHAnsi" w:cstheme="minorHAnsi"/>
          <w:lang w:val="tr-TR"/>
        </w:rPr>
        <w:t>dı ve CDS oranları büyük ölçüde yükselerek (halen 500 baz puanın üzerinde) uluslararası piyasalardan borçlanmanın maliyetinin fazlasıyla artırdı.</w:t>
      </w:r>
      <w:r w:rsidR="00B42454">
        <w:rPr>
          <w:rFonts w:asciiTheme="minorHAnsi" w:hAnsiTheme="minorHAnsi" w:cstheme="minorHAnsi"/>
          <w:lang w:val="tr-TR"/>
        </w:rPr>
        <w:t xml:space="preserve"> </w:t>
      </w:r>
    </w:p>
    <w:p w14:paraId="4F1BB9DF" w14:textId="57F37024" w:rsidR="000B7DB8" w:rsidRPr="00336E5B" w:rsidRDefault="000E6830" w:rsidP="000B7DB8">
      <w:pPr>
        <w:spacing w:after="120"/>
        <w:rPr>
          <w:rFonts w:asciiTheme="minorHAnsi" w:hAnsiTheme="minorHAnsi" w:cstheme="minorHAnsi"/>
          <w:lang w:val="tr-TR"/>
        </w:rPr>
      </w:pPr>
      <w:r w:rsidRPr="00336E5B">
        <w:rPr>
          <w:rFonts w:asciiTheme="minorHAnsi" w:hAnsiTheme="minorHAnsi" w:cstheme="minorHAnsi"/>
          <w:lang w:val="tr-TR"/>
        </w:rPr>
        <w:t>14 Mayıs’ta</w:t>
      </w:r>
      <w:r w:rsidR="00A32810" w:rsidRPr="00336E5B">
        <w:rPr>
          <w:rFonts w:asciiTheme="minorHAnsi" w:hAnsiTheme="minorHAnsi" w:cstheme="minorHAnsi"/>
          <w:lang w:val="tr-TR"/>
        </w:rPr>
        <w:t xml:space="preserve"> yapılacak seçimlerde yoluna devam etmesi durumunda </w:t>
      </w:r>
      <w:r w:rsidR="00D85F0D" w:rsidRPr="00336E5B">
        <w:rPr>
          <w:rFonts w:asciiTheme="minorHAnsi" w:hAnsiTheme="minorHAnsi" w:cstheme="minorHAnsi"/>
          <w:lang w:val="tr-TR"/>
        </w:rPr>
        <w:t xml:space="preserve">iktidarın </w:t>
      </w:r>
      <w:r w:rsidR="002B2731" w:rsidRPr="00336E5B">
        <w:rPr>
          <w:rFonts w:asciiTheme="minorHAnsi" w:hAnsiTheme="minorHAnsi" w:cstheme="minorHAnsi"/>
          <w:lang w:val="tr-TR"/>
        </w:rPr>
        <w:t>son 17 aydır izlediği politikalarda ısrar e</w:t>
      </w:r>
      <w:r w:rsidR="00AA6018" w:rsidRPr="00336E5B">
        <w:rPr>
          <w:rFonts w:asciiTheme="minorHAnsi" w:hAnsiTheme="minorHAnsi" w:cstheme="minorHAnsi"/>
          <w:lang w:val="tr-TR"/>
        </w:rPr>
        <w:t xml:space="preserve">deceği kesindir. </w:t>
      </w:r>
      <w:r w:rsidR="00A32810" w:rsidRPr="00336E5B">
        <w:rPr>
          <w:rFonts w:asciiTheme="minorHAnsi" w:hAnsiTheme="minorHAnsi" w:cstheme="minorHAnsi"/>
          <w:lang w:val="tr-TR"/>
        </w:rPr>
        <w:t xml:space="preserve">Bu şartlarda </w:t>
      </w:r>
      <w:r w:rsidR="002B2731" w:rsidRPr="00336E5B">
        <w:rPr>
          <w:rFonts w:asciiTheme="minorHAnsi" w:hAnsiTheme="minorHAnsi" w:cstheme="minorHAnsi"/>
          <w:lang w:val="tr-TR"/>
        </w:rPr>
        <w:t xml:space="preserve">depremin getireceği ek mali yükü taşımak </w:t>
      </w:r>
      <w:r w:rsidR="00A32810" w:rsidRPr="00336E5B">
        <w:rPr>
          <w:rFonts w:asciiTheme="minorHAnsi" w:hAnsiTheme="minorHAnsi" w:cstheme="minorHAnsi"/>
          <w:lang w:val="tr-TR"/>
        </w:rPr>
        <w:t xml:space="preserve">çok daha zor </w:t>
      </w:r>
      <w:r w:rsidR="002B2731" w:rsidRPr="00336E5B">
        <w:rPr>
          <w:rFonts w:asciiTheme="minorHAnsi" w:hAnsiTheme="minorHAnsi" w:cstheme="minorHAnsi"/>
          <w:lang w:val="tr-TR"/>
        </w:rPr>
        <w:t xml:space="preserve">olacaktır. </w:t>
      </w:r>
      <w:r w:rsidR="003234DF" w:rsidRPr="00336E5B">
        <w:rPr>
          <w:rFonts w:asciiTheme="minorHAnsi" w:hAnsiTheme="minorHAnsi" w:cstheme="minorHAnsi"/>
          <w:lang w:val="tr-TR"/>
        </w:rPr>
        <w:t>Kamu bütçesine binecek m</w:t>
      </w:r>
      <w:r w:rsidR="006A4F11" w:rsidRPr="00336E5B">
        <w:rPr>
          <w:rFonts w:asciiTheme="minorHAnsi" w:hAnsiTheme="minorHAnsi" w:cstheme="minorHAnsi"/>
          <w:lang w:val="tr-TR"/>
        </w:rPr>
        <w:t xml:space="preserve">ali yükün yanı sıra ortaya çıkacak </w:t>
      </w:r>
      <w:r w:rsidR="007105B6" w:rsidRPr="00336E5B">
        <w:rPr>
          <w:rFonts w:asciiTheme="minorHAnsi" w:hAnsiTheme="minorHAnsi" w:cstheme="minorHAnsi"/>
          <w:lang w:val="tr-TR"/>
        </w:rPr>
        <w:t>2</w:t>
      </w:r>
      <w:r w:rsidR="006A4F11" w:rsidRPr="00336E5B">
        <w:rPr>
          <w:rFonts w:asciiTheme="minorHAnsi" w:hAnsiTheme="minorHAnsi" w:cstheme="minorHAnsi"/>
          <w:lang w:val="tr-TR"/>
        </w:rPr>
        <w:t xml:space="preserve">0 milyar dolara yakın ek cari açık da </w:t>
      </w:r>
      <w:r w:rsidR="007105B6" w:rsidRPr="00336E5B">
        <w:rPr>
          <w:rFonts w:asciiTheme="minorHAnsi" w:hAnsiTheme="minorHAnsi" w:cstheme="minorHAnsi"/>
          <w:lang w:val="tr-TR"/>
        </w:rPr>
        <w:t xml:space="preserve">deprem öncesinde </w:t>
      </w:r>
      <w:r w:rsidR="006A4F11" w:rsidRPr="00336E5B">
        <w:rPr>
          <w:rFonts w:asciiTheme="minorHAnsi" w:hAnsiTheme="minorHAnsi" w:cstheme="minorHAnsi"/>
          <w:lang w:val="tr-TR"/>
        </w:rPr>
        <w:t>202</w:t>
      </w:r>
      <w:r w:rsidR="007105B6" w:rsidRPr="00336E5B">
        <w:rPr>
          <w:rFonts w:asciiTheme="minorHAnsi" w:hAnsiTheme="minorHAnsi" w:cstheme="minorHAnsi"/>
          <w:lang w:val="tr-TR"/>
        </w:rPr>
        <w:t>3</w:t>
      </w:r>
      <w:r w:rsidR="006A4F11" w:rsidRPr="00336E5B">
        <w:rPr>
          <w:rFonts w:asciiTheme="minorHAnsi" w:hAnsiTheme="minorHAnsi" w:cstheme="minorHAnsi"/>
          <w:lang w:val="tr-TR"/>
        </w:rPr>
        <w:t>’</w:t>
      </w:r>
      <w:r w:rsidR="007105B6" w:rsidRPr="00336E5B">
        <w:rPr>
          <w:rFonts w:asciiTheme="minorHAnsi" w:hAnsiTheme="minorHAnsi" w:cstheme="minorHAnsi"/>
          <w:lang w:val="tr-TR"/>
        </w:rPr>
        <w:t>t</w:t>
      </w:r>
      <w:r w:rsidR="006A4F11" w:rsidRPr="00336E5B">
        <w:rPr>
          <w:rFonts w:asciiTheme="minorHAnsi" w:hAnsiTheme="minorHAnsi" w:cstheme="minorHAnsi"/>
          <w:lang w:val="tr-TR"/>
        </w:rPr>
        <w:t xml:space="preserve">e </w:t>
      </w:r>
      <w:r w:rsidR="007105B6" w:rsidRPr="00336E5B">
        <w:rPr>
          <w:rFonts w:asciiTheme="minorHAnsi" w:hAnsiTheme="minorHAnsi" w:cstheme="minorHAnsi"/>
          <w:lang w:val="tr-TR"/>
        </w:rPr>
        <w:t xml:space="preserve">35 </w:t>
      </w:r>
      <w:r w:rsidR="006A4F11" w:rsidRPr="00336E5B">
        <w:rPr>
          <w:rFonts w:asciiTheme="minorHAnsi" w:hAnsiTheme="minorHAnsi" w:cstheme="minorHAnsi"/>
          <w:lang w:val="tr-TR"/>
        </w:rPr>
        <w:t>milyar dolar</w:t>
      </w:r>
      <w:r w:rsidR="007105B6" w:rsidRPr="00336E5B">
        <w:rPr>
          <w:rFonts w:asciiTheme="minorHAnsi" w:hAnsiTheme="minorHAnsi" w:cstheme="minorHAnsi"/>
          <w:lang w:val="tr-TR"/>
        </w:rPr>
        <w:t xml:space="preserve"> civarında olması beklenen </w:t>
      </w:r>
      <w:r w:rsidR="00992760" w:rsidRPr="00336E5B">
        <w:rPr>
          <w:rFonts w:asciiTheme="minorHAnsi" w:hAnsiTheme="minorHAnsi" w:cstheme="minorHAnsi"/>
          <w:lang w:val="tr-TR"/>
        </w:rPr>
        <w:t>toplam cari açığı</w:t>
      </w:r>
      <w:r w:rsidR="007105B6" w:rsidRPr="00336E5B">
        <w:rPr>
          <w:rFonts w:asciiTheme="minorHAnsi" w:hAnsiTheme="minorHAnsi" w:cstheme="minorHAnsi"/>
          <w:lang w:val="tr-TR"/>
        </w:rPr>
        <w:t xml:space="preserve"> 55</w:t>
      </w:r>
      <w:r w:rsidR="00D135DB" w:rsidRPr="00336E5B">
        <w:rPr>
          <w:rFonts w:asciiTheme="minorHAnsi" w:hAnsiTheme="minorHAnsi" w:cstheme="minorHAnsi"/>
          <w:lang w:val="tr-TR"/>
        </w:rPr>
        <w:t xml:space="preserve"> </w:t>
      </w:r>
      <w:r w:rsidR="006A4F11" w:rsidRPr="00336E5B">
        <w:rPr>
          <w:rFonts w:asciiTheme="minorHAnsi" w:hAnsiTheme="minorHAnsi" w:cstheme="minorHAnsi"/>
          <w:lang w:val="tr-TR"/>
        </w:rPr>
        <w:t>milyar dolar</w:t>
      </w:r>
      <w:r w:rsidR="003234DF" w:rsidRPr="00336E5B">
        <w:rPr>
          <w:rFonts w:asciiTheme="minorHAnsi" w:hAnsiTheme="minorHAnsi" w:cstheme="minorHAnsi"/>
          <w:lang w:val="tr-TR"/>
        </w:rPr>
        <w:t>a</w:t>
      </w:r>
      <w:r w:rsidR="00992760" w:rsidRPr="00336E5B">
        <w:rPr>
          <w:rFonts w:asciiTheme="minorHAnsi" w:hAnsiTheme="minorHAnsi" w:cstheme="minorHAnsi"/>
          <w:lang w:val="tr-TR"/>
        </w:rPr>
        <w:t xml:space="preserve"> </w:t>
      </w:r>
      <w:r w:rsidR="00D135DB" w:rsidRPr="00336E5B">
        <w:rPr>
          <w:rFonts w:asciiTheme="minorHAnsi" w:hAnsiTheme="minorHAnsi" w:cstheme="minorHAnsi"/>
          <w:lang w:val="tr-TR"/>
        </w:rPr>
        <w:t xml:space="preserve">doğru </w:t>
      </w:r>
      <w:r w:rsidR="006A4F11" w:rsidRPr="00336E5B">
        <w:rPr>
          <w:rFonts w:asciiTheme="minorHAnsi" w:hAnsiTheme="minorHAnsi" w:cstheme="minorHAnsi"/>
          <w:lang w:val="tr-TR"/>
        </w:rPr>
        <w:t>taşı</w:t>
      </w:r>
      <w:r w:rsidR="00992760" w:rsidRPr="00336E5B">
        <w:rPr>
          <w:rFonts w:asciiTheme="minorHAnsi" w:hAnsiTheme="minorHAnsi" w:cstheme="minorHAnsi"/>
          <w:lang w:val="tr-TR"/>
        </w:rPr>
        <w:t>yacaktır.</w:t>
      </w:r>
      <w:r w:rsidR="00A32810" w:rsidRPr="00336E5B">
        <w:rPr>
          <w:rFonts w:asciiTheme="minorHAnsi" w:hAnsiTheme="minorHAnsi" w:cstheme="minorHAnsi"/>
          <w:lang w:val="tr-TR"/>
        </w:rPr>
        <w:t xml:space="preserve"> </w:t>
      </w:r>
      <w:r w:rsidR="008354F9" w:rsidRPr="00336E5B">
        <w:rPr>
          <w:rFonts w:asciiTheme="minorHAnsi" w:hAnsiTheme="minorHAnsi" w:cstheme="minorHAnsi"/>
          <w:lang w:val="tr-TR"/>
        </w:rPr>
        <w:t xml:space="preserve">Bir de buna </w:t>
      </w:r>
      <w:r w:rsidR="00567324" w:rsidRPr="00336E5B">
        <w:rPr>
          <w:rFonts w:asciiTheme="minorHAnsi" w:hAnsiTheme="minorHAnsi" w:cstheme="minorHAnsi"/>
          <w:lang w:val="tr-TR"/>
        </w:rPr>
        <w:t>bir yıl içinde çevrilmesi gereken 190,2 milyar dolar dış borç stoku eklenince</w:t>
      </w:r>
      <w:r w:rsidR="00D135DB" w:rsidRPr="00336E5B">
        <w:rPr>
          <w:rFonts w:asciiTheme="minorHAnsi" w:hAnsiTheme="minorHAnsi" w:cstheme="minorHAnsi"/>
          <w:lang w:val="tr-TR"/>
        </w:rPr>
        <w:t>,</w:t>
      </w:r>
      <w:r w:rsidR="00567324" w:rsidRPr="00336E5B">
        <w:rPr>
          <w:rFonts w:asciiTheme="minorHAnsi" w:hAnsiTheme="minorHAnsi" w:cstheme="minorHAnsi"/>
          <w:lang w:val="tr-TR"/>
        </w:rPr>
        <w:t xml:space="preserve"> Türkiye’nin 2023’te yurt dışından 2</w:t>
      </w:r>
      <w:r w:rsidR="00D135DB" w:rsidRPr="00336E5B">
        <w:rPr>
          <w:rFonts w:asciiTheme="minorHAnsi" w:hAnsiTheme="minorHAnsi" w:cstheme="minorHAnsi"/>
          <w:lang w:val="tr-TR"/>
        </w:rPr>
        <w:t>50</w:t>
      </w:r>
      <w:r w:rsidR="00567324" w:rsidRPr="00336E5B">
        <w:rPr>
          <w:rFonts w:asciiTheme="minorHAnsi" w:hAnsiTheme="minorHAnsi" w:cstheme="minorHAnsi"/>
          <w:lang w:val="tr-TR"/>
        </w:rPr>
        <w:t xml:space="preserve"> milyar dolara yakın bir finansman</w:t>
      </w:r>
      <w:r w:rsidR="00D135DB" w:rsidRPr="00336E5B">
        <w:rPr>
          <w:rFonts w:asciiTheme="minorHAnsi" w:hAnsiTheme="minorHAnsi" w:cstheme="minorHAnsi"/>
          <w:lang w:val="tr-TR"/>
        </w:rPr>
        <w:t xml:space="preserve"> ihtiyacı </w:t>
      </w:r>
      <w:r w:rsidR="00567324" w:rsidRPr="00336E5B">
        <w:rPr>
          <w:rFonts w:asciiTheme="minorHAnsi" w:hAnsiTheme="minorHAnsi" w:cstheme="minorHAnsi"/>
          <w:lang w:val="tr-TR"/>
        </w:rPr>
        <w:t>ortaya çı</w:t>
      </w:r>
      <w:r w:rsidR="003234DF" w:rsidRPr="00336E5B">
        <w:rPr>
          <w:rFonts w:asciiTheme="minorHAnsi" w:hAnsiTheme="minorHAnsi" w:cstheme="minorHAnsi"/>
          <w:lang w:val="tr-TR"/>
        </w:rPr>
        <w:t>k</w:t>
      </w:r>
      <w:r w:rsidR="00B2028B" w:rsidRPr="00336E5B">
        <w:rPr>
          <w:rFonts w:asciiTheme="minorHAnsi" w:hAnsiTheme="minorHAnsi" w:cstheme="minorHAnsi"/>
          <w:lang w:val="tr-TR"/>
        </w:rPr>
        <w:t>acaktır</w:t>
      </w:r>
      <w:r w:rsidR="00567324" w:rsidRPr="00336E5B">
        <w:rPr>
          <w:rFonts w:asciiTheme="minorHAnsi" w:hAnsiTheme="minorHAnsi" w:cstheme="minorHAnsi"/>
          <w:lang w:val="tr-TR"/>
        </w:rPr>
        <w:t xml:space="preserve">. </w:t>
      </w:r>
      <w:r w:rsidR="001D0561" w:rsidRPr="00336E5B">
        <w:rPr>
          <w:rFonts w:asciiTheme="minorHAnsi" w:hAnsiTheme="minorHAnsi" w:cstheme="minorHAnsi"/>
          <w:lang w:val="tr-TR"/>
        </w:rPr>
        <w:t xml:space="preserve">Ek olarak, hükümetin </w:t>
      </w:r>
      <w:r w:rsidR="00AA6018" w:rsidRPr="00336E5B">
        <w:rPr>
          <w:rFonts w:asciiTheme="minorHAnsi" w:hAnsiTheme="minorHAnsi" w:cstheme="minorHAnsi"/>
          <w:lang w:val="tr-TR"/>
        </w:rPr>
        <w:t xml:space="preserve">bütçe açığının finansmanı için daha fazla parasal finansmana </w:t>
      </w:r>
      <w:r w:rsidR="001D0561" w:rsidRPr="00336E5B">
        <w:rPr>
          <w:rFonts w:asciiTheme="minorHAnsi" w:hAnsiTheme="minorHAnsi" w:cstheme="minorHAnsi"/>
          <w:lang w:val="tr-TR"/>
        </w:rPr>
        <w:t>başvurma ihtimali yüksektir</w:t>
      </w:r>
      <w:r w:rsidR="00AA6018" w:rsidRPr="00336E5B">
        <w:rPr>
          <w:rFonts w:asciiTheme="minorHAnsi" w:hAnsiTheme="minorHAnsi" w:cstheme="minorHAnsi"/>
          <w:lang w:val="tr-TR"/>
        </w:rPr>
        <w:t>;</w:t>
      </w:r>
      <w:r w:rsidR="001D0561" w:rsidRPr="00336E5B">
        <w:rPr>
          <w:rFonts w:asciiTheme="minorHAnsi" w:hAnsiTheme="minorHAnsi" w:cstheme="minorHAnsi"/>
          <w:lang w:val="tr-TR"/>
        </w:rPr>
        <w:t xml:space="preserve"> ki bu hali hazırda çok yük</w:t>
      </w:r>
      <w:r w:rsidR="001D0561" w:rsidRPr="008C33D5">
        <w:rPr>
          <w:rFonts w:asciiTheme="minorHAnsi" w:hAnsiTheme="minorHAnsi" w:cstheme="minorHAnsi"/>
          <w:lang w:val="tr-TR"/>
        </w:rPr>
        <w:t>sek olan enflasyonu üç haneli seviyeler</w:t>
      </w:r>
      <w:r w:rsidR="00B42454" w:rsidRPr="008C33D5">
        <w:rPr>
          <w:rFonts w:asciiTheme="minorHAnsi" w:hAnsiTheme="minorHAnsi" w:cstheme="minorHAnsi"/>
          <w:lang w:val="tr-TR"/>
        </w:rPr>
        <w:t>e yükseltebilir</w:t>
      </w:r>
      <w:r w:rsidR="008C33D5" w:rsidRPr="008C33D5">
        <w:rPr>
          <w:rFonts w:asciiTheme="minorHAnsi" w:hAnsiTheme="minorHAnsi" w:cstheme="minorHAnsi"/>
          <w:strike/>
          <w:lang w:val="tr-TR"/>
        </w:rPr>
        <w:t>.</w:t>
      </w:r>
    </w:p>
    <w:p w14:paraId="17E97A51" w14:textId="70C85C34" w:rsidR="000B7DB8" w:rsidRPr="00336E5B" w:rsidRDefault="008C2566" w:rsidP="000B7DB8">
      <w:pPr>
        <w:spacing w:after="120"/>
        <w:rPr>
          <w:rFonts w:asciiTheme="minorHAnsi" w:hAnsiTheme="minorHAnsi" w:cstheme="minorHAnsi"/>
          <w:lang w:val="tr-TR"/>
        </w:rPr>
      </w:pPr>
      <w:r w:rsidRPr="00336E5B">
        <w:rPr>
          <w:rFonts w:asciiTheme="minorHAnsi" w:hAnsiTheme="minorHAnsi" w:cstheme="minorHAnsi"/>
          <w:lang w:val="tr-TR"/>
        </w:rPr>
        <w:t xml:space="preserve">Böyle bir konjonktürde </w:t>
      </w:r>
      <w:r w:rsidR="002D602E" w:rsidRPr="00336E5B">
        <w:rPr>
          <w:rFonts w:asciiTheme="minorHAnsi" w:hAnsiTheme="minorHAnsi" w:cstheme="minorHAnsi"/>
          <w:lang w:val="tr-TR"/>
        </w:rPr>
        <w:t xml:space="preserve">kamunun karşı karşıya kaldığı büyük mali yükü finanse edebilmesi için </w:t>
      </w:r>
      <w:r w:rsidRPr="00336E5B">
        <w:rPr>
          <w:rFonts w:asciiTheme="minorHAnsi" w:hAnsiTheme="minorHAnsi" w:cstheme="minorHAnsi"/>
          <w:lang w:val="tr-TR"/>
        </w:rPr>
        <w:t>yabancı sermaye</w:t>
      </w:r>
      <w:r w:rsidR="00B2028B" w:rsidRPr="00336E5B">
        <w:rPr>
          <w:rFonts w:asciiTheme="minorHAnsi" w:hAnsiTheme="minorHAnsi" w:cstheme="minorHAnsi"/>
          <w:lang w:val="tr-TR"/>
        </w:rPr>
        <w:t>den</w:t>
      </w:r>
      <w:r w:rsidRPr="00336E5B">
        <w:rPr>
          <w:rFonts w:asciiTheme="minorHAnsi" w:hAnsiTheme="minorHAnsi" w:cstheme="minorHAnsi"/>
          <w:lang w:val="tr-TR"/>
        </w:rPr>
        <w:t xml:space="preserve"> </w:t>
      </w:r>
      <w:r w:rsidR="002D602E" w:rsidRPr="00336E5B">
        <w:rPr>
          <w:rFonts w:asciiTheme="minorHAnsi" w:hAnsiTheme="minorHAnsi" w:cstheme="minorHAnsi"/>
          <w:lang w:val="tr-TR"/>
        </w:rPr>
        <w:t xml:space="preserve">yararlanması </w:t>
      </w:r>
      <w:r w:rsidRPr="00336E5B">
        <w:rPr>
          <w:rFonts w:asciiTheme="minorHAnsi" w:hAnsiTheme="minorHAnsi" w:cstheme="minorHAnsi"/>
          <w:lang w:val="tr-TR"/>
        </w:rPr>
        <w:t xml:space="preserve">büyük önem arz etmektedir. </w:t>
      </w:r>
      <w:r w:rsidR="001575FA" w:rsidRPr="00336E5B">
        <w:rPr>
          <w:rFonts w:asciiTheme="minorHAnsi" w:hAnsiTheme="minorHAnsi" w:cstheme="minorHAnsi"/>
          <w:lang w:val="tr-TR"/>
        </w:rPr>
        <w:t>Ancak</w:t>
      </w:r>
      <w:r w:rsidR="00613CC8" w:rsidRPr="00336E5B">
        <w:rPr>
          <w:rFonts w:asciiTheme="minorHAnsi" w:hAnsiTheme="minorHAnsi" w:cstheme="minorHAnsi"/>
          <w:lang w:val="tr-TR"/>
        </w:rPr>
        <w:t>,</w:t>
      </w:r>
      <w:r w:rsidR="001575FA" w:rsidRPr="00336E5B">
        <w:rPr>
          <w:rFonts w:asciiTheme="minorHAnsi" w:hAnsiTheme="minorHAnsi" w:cstheme="minorHAnsi"/>
          <w:lang w:val="tr-TR"/>
        </w:rPr>
        <w:t xml:space="preserve"> hükümet</w:t>
      </w:r>
      <w:r w:rsidR="00613CC8" w:rsidRPr="00336E5B">
        <w:rPr>
          <w:rFonts w:asciiTheme="minorHAnsi" w:hAnsiTheme="minorHAnsi" w:cstheme="minorHAnsi"/>
          <w:lang w:val="tr-TR"/>
        </w:rPr>
        <w:t>in</w:t>
      </w:r>
      <w:r w:rsidR="001575FA" w:rsidRPr="00336E5B">
        <w:rPr>
          <w:rFonts w:asciiTheme="minorHAnsi" w:hAnsiTheme="minorHAnsi" w:cstheme="minorHAnsi"/>
          <w:lang w:val="tr-TR"/>
        </w:rPr>
        <w:t xml:space="preserve"> son beş yılda uyguladığı ekonomi politikalar</w:t>
      </w:r>
      <w:r w:rsidR="00613CC8" w:rsidRPr="00336E5B">
        <w:rPr>
          <w:rFonts w:asciiTheme="minorHAnsi" w:hAnsiTheme="minorHAnsi" w:cstheme="minorHAnsi"/>
          <w:lang w:val="tr-TR"/>
        </w:rPr>
        <w:t xml:space="preserve">ıyla </w:t>
      </w:r>
      <w:r w:rsidR="001575FA" w:rsidRPr="00336E5B">
        <w:rPr>
          <w:rFonts w:asciiTheme="minorHAnsi" w:hAnsiTheme="minorHAnsi" w:cstheme="minorHAnsi"/>
          <w:lang w:val="tr-TR"/>
        </w:rPr>
        <w:t>yabancı sermaye</w:t>
      </w:r>
      <w:r w:rsidR="00613CC8" w:rsidRPr="00336E5B">
        <w:rPr>
          <w:rFonts w:asciiTheme="minorHAnsi" w:hAnsiTheme="minorHAnsi" w:cstheme="minorHAnsi"/>
          <w:lang w:val="tr-TR"/>
        </w:rPr>
        <w:t>yi bilerek ve isteyerek cezalandırması</w:t>
      </w:r>
      <w:r w:rsidR="00B2028B" w:rsidRPr="00336E5B">
        <w:rPr>
          <w:rFonts w:asciiTheme="minorHAnsi" w:hAnsiTheme="minorHAnsi" w:cstheme="minorHAnsi"/>
          <w:lang w:val="tr-TR"/>
        </w:rPr>
        <w:t>,</w:t>
      </w:r>
      <w:r w:rsidR="001575FA" w:rsidRPr="00336E5B">
        <w:rPr>
          <w:rFonts w:asciiTheme="minorHAnsi" w:hAnsiTheme="minorHAnsi" w:cstheme="minorHAnsi"/>
          <w:lang w:val="tr-TR"/>
        </w:rPr>
        <w:t xml:space="preserve"> </w:t>
      </w:r>
      <w:r w:rsidR="00613CC8" w:rsidRPr="00336E5B">
        <w:rPr>
          <w:rFonts w:asciiTheme="minorHAnsi" w:hAnsiTheme="minorHAnsi" w:cstheme="minorHAnsi"/>
          <w:lang w:val="tr-TR"/>
        </w:rPr>
        <w:t xml:space="preserve">yabancı yatırımcıların zaman içinde Türkiye pozisyonlarını en alt düzeye indirmelerine yol açmıştır. </w:t>
      </w:r>
      <w:r w:rsidR="005335F9" w:rsidRPr="00336E5B">
        <w:rPr>
          <w:rFonts w:asciiTheme="minorHAnsi" w:hAnsiTheme="minorHAnsi" w:cstheme="minorHAnsi"/>
          <w:lang w:val="tr-TR"/>
        </w:rPr>
        <w:t xml:space="preserve">Dolayısıyla, AKP iktidarda olduğu sürece </w:t>
      </w:r>
      <w:r w:rsidR="003234DF" w:rsidRPr="00336E5B">
        <w:rPr>
          <w:rFonts w:asciiTheme="minorHAnsi" w:hAnsiTheme="minorHAnsi" w:cstheme="minorHAnsi"/>
          <w:lang w:val="tr-TR"/>
        </w:rPr>
        <w:t>yabancı sermaye</w:t>
      </w:r>
      <w:r w:rsidR="005335F9" w:rsidRPr="00336E5B">
        <w:rPr>
          <w:rFonts w:asciiTheme="minorHAnsi" w:hAnsiTheme="minorHAnsi" w:cstheme="minorHAnsi"/>
          <w:lang w:val="tr-TR"/>
        </w:rPr>
        <w:t xml:space="preserve">yi Türkiye’ye çekmek </w:t>
      </w:r>
      <w:r w:rsidR="003234DF" w:rsidRPr="00336E5B">
        <w:rPr>
          <w:rFonts w:asciiTheme="minorHAnsi" w:hAnsiTheme="minorHAnsi" w:cstheme="minorHAnsi"/>
          <w:lang w:val="tr-TR"/>
        </w:rPr>
        <w:t xml:space="preserve">mümkün değildir. </w:t>
      </w:r>
      <w:r w:rsidR="00A32810" w:rsidRPr="00336E5B">
        <w:rPr>
          <w:rFonts w:asciiTheme="minorHAnsi" w:hAnsiTheme="minorHAnsi" w:cstheme="minorHAnsi"/>
          <w:lang w:val="tr-TR"/>
        </w:rPr>
        <w:t>Bu durumda</w:t>
      </w:r>
      <w:r w:rsidR="004F3F60" w:rsidRPr="00336E5B">
        <w:rPr>
          <w:rFonts w:asciiTheme="minorHAnsi" w:hAnsiTheme="minorHAnsi" w:cstheme="minorHAnsi"/>
          <w:lang w:val="tr-TR"/>
        </w:rPr>
        <w:t>,</w:t>
      </w:r>
      <w:r w:rsidR="00A32810" w:rsidRPr="00336E5B">
        <w:rPr>
          <w:rFonts w:asciiTheme="minorHAnsi" w:hAnsiTheme="minorHAnsi" w:cstheme="minorHAnsi"/>
          <w:lang w:val="tr-TR"/>
        </w:rPr>
        <w:t xml:space="preserve"> merkez bankasının </w:t>
      </w:r>
      <w:r w:rsidR="004F3F60" w:rsidRPr="00336E5B">
        <w:rPr>
          <w:rFonts w:asciiTheme="minorHAnsi" w:hAnsiTheme="minorHAnsi" w:cstheme="minorHAnsi"/>
          <w:lang w:val="tr-TR"/>
        </w:rPr>
        <w:t xml:space="preserve">döviz </w:t>
      </w:r>
      <w:r w:rsidR="00A32810" w:rsidRPr="00336E5B">
        <w:rPr>
          <w:rFonts w:asciiTheme="minorHAnsi" w:hAnsiTheme="minorHAnsi" w:cstheme="minorHAnsi"/>
          <w:lang w:val="tr-TR"/>
        </w:rPr>
        <w:t xml:space="preserve">rezervlerinin yetersiz kalması </w:t>
      </w:r>
      <w:r w:rsidR="004F3F60" w:rsidRPr="00336E5B">
        <w:rPr>
          <w:rFonts w:asciiTheme="minorHAnsi" w:hAnsiTheme="minorHAnsi" w:cstheme="minorHAnsi"/>
          <w:lang w:val="tr-TR"/>
        </w:rPr>
        <w:t xml:space="preserve">ve </w:t>
      </w:r>
      <w:r w:rsidR="00A32810" w:rsidRPr="00336E5B">
        <w:rPr>
          <w:rFonts w:asciiTheme="minorHAnsi" w:hAnsiTheme="minorHAnsi" w:cstheme="minorHAnsi"/>
          <w:lang w:val="tr-TR"/>
        </w:rPr>
        <w:t xml:space="preserve">ek düzenlemelerle </w:t>
      </w:r>
      <w:r w:rsidR="0012241D" w:rsidRPr="00336E5B">
        <w:rPr>
          <w:rFonts w:asciiTheme="minorHAnsi" w:hAnsiTheme="minorHAnsi" w:cstheme="minorHAnsi"/>
          <w:lang w:val="tr-TR"/>
        </w:rPr>
        <w:t xml:space="preserve">sermaye hareketlerine ve döviz tevdiat hesaplarına yönelik yeni kısıtlamalar getirilmesi </w:t>
      </w:r>
      <w:r w:rsidR="00ED049E" w:rsidRPr="00336E5B">
        <w:rPr>
          <w:rFonts w:asciiTheme="minorHAnsi" w:hAnsiTheme="minorHAnsi" w:cstheme="minorHAnsi"/>
          <w:lang w:val="tr-TR"/>
        </w:rPr>
        <w:t>ihtimali oldukça yüksektir.</w:t>
      </w:r>
    </w:p>
    <w:p w14:paraId="519127A5" w14:textId="0F60A8EC" w:rsidR="00834FC1" w:rsidRPr="00B42454" w:rsidRDefault="00985EE6" w:rsidP="00834FC1">
      <w:pPr>
        <w:spacing w:after="120"/>
        <w:rPr>
          <w:rFonts w:asciiTheme="minorHAnsi" w:hAnsiTheme="minorHAnsi" w:cstheme="minorHAnsi"/>
          <w:strike/>
          <w:lang w:val="tr-TR"/>
        </w:rPr>
      </w:pPr>
      <w:r w:rsidRPr="008C33D5">
        <w:rPr>
          <w:rFonts w:asciiTheme="minorHAnsi" w:hAnsiTheme="minorHAnsi" w:cstheme="minorHAnsi"/>
          <w:lang w:val="tr-TR"/>
        </w:rPr>
        <w:t>S</w:t>
      </w:r>
      <w:r w:rsidR="002B2731" w:rsidRPr="008C33D5">
        <w:rPr>
          <w:rFonts w:asciiTheme="minorHAnsi" w:hAnsiTheme="minorHAnsi" w:cstheme="minorHAnsi"/>
          <w:lang w:val="tr-TR"/>
        </w:rPr>
        <w:t>eçim</w:t>
      </w:r>
      <w:r w:rsidRPr="008C33D5">
        <w:rPr>
          <w:rFonts w:asciiTheme="minorHAnsi" w:hAnsiTheme="minorHAnsi" w:cstheme="minorHAnsi"/>
          <w:lang w:val="tr-TR"/>
        </w:rPr>
        <w:t>de</w:t>
      </w:r>
      <w:r w:rsidR="00A32810" w:rsidRPr="008C33D5">
        <w:rPr>
          <w:rFonts w:asciiTheme="minorHAnsi" w:hAnsiTheme="minorHAnsi" w:cstheme="minorHAnsi"/>
          <w:lang w:val="tr-TR"/>
        </w:rPr>
        <w:t xml:space="preserve"> </w:t>
      </w:r>
      <w:r w:rsidR="002B2731" w:rsidRPr="008C33D5">
        <w:rPr>
          <w:rFonts w:asciiTheme="minorHAnsi" w:hAnsiTheme="minorHAnsi" w:cstheme="minorHAnsi"/>
          <w:lang w:val="tr-TR"/>
        </w:rPr>
        <w:t>muhalefetin iktidara gelmesi durumunda</w:t>
      </w:r>
      <w:r w:rsidR="004E321E" w:rsidRPr="008C33D5">
        <w:rPr>
          <w:rFonts w:asciiTheme="minorHAnsi" w:hAnsiTheme="minorHAnsi" w:cstheme="minorHAnsi"/>
          <w:lang w:val="tr-TR"/>
        </w:rPr>
        <w:t xml:space="preserve"> ise </w:t>
      </w:r>
      <w:r w:rsidR="004D7793" w:rsidRPr="008C33D5">
        <w:rPr>
          <w:rFonts w:asciiTheme="minorHAnsi" w:hAnsiTheme="minorHAnsi" w:cstheme="minorHAnsi"/>
          <w:lang w:val="tr-TR"/>
        </w:rPr>
        <w:t>kamu</w:t>
      </w:r>
      <w:r w:rsidRPr="008C33D5">
        <w:rPr>
          <w:rFonts w:asciiTheme="minorHAnsi" w:hAnsiTheme="minorHAnsi" w:cstheme="minorHAnsi"/>
          <w:lang w:val="tr-TR"/>
        </w:rPr>
        <w:t xml:space="preserve"> bütçesi</w:t>
      </w:r>
      <w:r w:rsidR="004D7793" w:rsidRPr="008C33D5">
        <w:rPr>
          <w:rFonts w:asciiTheme="minorHAnsi" w:hAnsiTheme="minorHAnsi" w:cstheme="minorHAnsi"/>
          <w:lang w:val="tr-TR"/>
        </w:rPr>
        <w:t xml:space="preserve"> iç ve dış borçlanmalarla ek deprem harcamalarını finanse edebilecek bir</w:t>
      </w:r>
      <w:r w:rsidRPr="008C33D5">
        <w:rPr>
          <w:rFonts w:asciiTheme="minorHAnsi" w:hAnsiTheme="minorHAnsi" w:cstheme="minorHAnsi"/>
          <w:lang w:val="tr-TR"/>
        </w:rPr>
        <w:t xml:space="preserve"> durumda</w:t>
      </w:r>
      <w:r w:rsidR="004D7793" w:rsidRPr="008C33D5">
        <w:rPr>
          <w:rFonts w:asciiTheme="minorHAnsi" w:hAnsiTheme="minorHAnsi" w:cstheme="minorHAnsi"/>
          <w:lang w:val="tr-TR"/>
        </w:rPr>
        <w:t xml:space="preserve"> olacaktır. Bunun en önemli nedeni, </w:t>
      </w:r>
      <w:r w:rsidR="00B42454" w:rsidRPr="008C33D5">
        <w:rPr>
          <w:rFonts w:asciiTheme="minorHAnsi" w:hAnsiTheme="minorHAnsi" w:cstheme="minorHAnsi"/>
          <w:lang w:val="tr-TR"/>
        </w:rPr>
        <w:t xml:space="preserve">mevcut </w:t>
      </w:r>
      <w:r w:rsidRPr="008C33D5">
        <w:rPr>
          <w:rFonts w:asciiTheme="minorHAnsi" w:hAnsiTheme="minorHAnsi" w:cstheme="minorHAnsi"/>
          <w:lang w:val="tr-TR"/>
        </w:rPr>
        <w:t xml:space="preserve">hükümetin aksine, </w:t>
      </w:r>
      <w:r w:rsidR="004D7793" w:rsidRPr="008C33D5">
        <w:rPr>
          <w:rFonts w:asciiTheme="minorHAnsi" w:hAnsiTheme="minorHAnsi" w:cstheme="minorHAnsi"/>
          <w:lang w:val="tr-TR"/>
        </w:rPr>
        <w:t xml:space="preserve">muhalefetin bugüne kadar açıkladığı ekonomi politikalarının </w:t>
      </w:r>
      <w:r w:rsidRPr="008C33D5">
        <w:rPr>
          <w:rFonts w:asciiTheme="minorHAnsi" w:hAnsiTheme="minorHAnsi" w:cstheme="minorHAnsi"/>
          <w:lang w:val="tr-TR"/>
        </w:rPr>
        <w:lastRenderedPageBreak/>
        <w:t xml:space="preserve">teknik olarak tutarlı ve </w:t>
      </w:r>
      <w:r w:rsidR="004D7793" w:rsidRPr="008C33D5">
        <w:rPr>
          <w:rFonts w:asciiTheme="minorHAnsi" w:hAnsiTheme="minorHAnsi" w:cstheme="minorHAnsi"/>
          <w:lang w:val="tr-TR"/>
        </w:rPr>
        <w:t xml:space="preserve">bu politikaları uygulamaya aday </w:t>
      </w:r>
      <w:r w:rsidRPr="008C33D5">
        <w:rPr>
          <w:rFonts w:asciiTheme="minorHAnsi" w:hAnsiTheme="minorHAnsi" w:cstheme="minorHAnsi"/>
          <w:lang w:val="tr-TR"/>
        </w:rPr>
        <w:t xml:space="preserve">politikacıların da liyakat sahibi </w:t>
      </w:r>
      <w:r w:rsidR="00000470" w:rsidRPr="008C33D5">
        <w:rPr>
          <w:rFonts w:asciiTheme="minorHAnsi" w:hAnsiTheme="minorHAnsi" w:cstheme="minorHAnsi"/>
          <w:lang w:val="tr-TR"/>
        </w:rPr>
        <w:t xml:space="preserve">uzmanlar </w:t>
      </w:r>
      <w:r w:rsidRPr="008C33D5">
        <w:rPr>
          <w:rFonts w:asciiTheme="minorHAnsi" w:hAnsiTheme="minorHAnsi" w:cstheme="minorHAnsi"/>
          <w:lang w:val="tr-TR"/>
        </w:rPr>
        <w:t>olmalarıdır. Bu özellikleriyle, muhalefet partileri iktida</w:t>
      </w:r>
      <w:r w:rsidR="006C30F4" w:rsidRPr="008C33D5">
        <w:rPr>
          <w:rFonts w:asciiTheme="minorHAnsi" w:hAnsiTheme="minorHAnsi" w:cstheme="minorHAnsi"/>
          <w:lang w:val="tr-TR"/>
        </w:rPr>
        <w:t>ra geldikleri</w:t>
      </w:r>
      <w:r w:rsidRPr="008C33D5">
        <w:rPr>
          <w:rFonts w:asciiTheme="minorHAnsi" w:hAnsiTheme="minorHAnsi" w:cstheme="minorHAnsi"/>
          <w:lang w:val="tr-TR"/>
        </w:rPr>
        <w:t xml:space="preserve"> </w:t>
      </w:r>
      <w:r w:rsidR="00834FC1" w:rsidRPr="008C33D5">
        <w:rPr>
          <w:rFonts w:asciiTheme="minorHAnsi" w:hAnsiTheme="minorHAnsi" w:cstheme="minorHAnsi"/>
          <w:lang w:val="tr-TR"/>
        </w:rPr>
        <w:t>takdirde ilave dış borçlanmayı çok daha düşük maliyetle gerçekleştirebilir ve yeniden inşa sürecini herhangi bir ekonomik kriz ya da darboğaz yaşamadan tamamlayabilir.</w:t>
      </w:r>
    </w:p>
    <w:p w14:paraId="0B8D8A41" w14:textId="77777777" w:rsidR="00312C8A" w:rsidRDefault="00312C8A">
      <w:pPr>
        <w:rPr>
          <w:b/>
          <w:bCs/>
          <w:lang w:val="tr-TR"/>
        </w:rPr>
      </w:pPr>
    </w:p>
    <w:sectPr w:rsidR="00312C8A" w:rsidSect="00674C0E">
      <w:footerReference w:type="even" r:id="rId9"/>
      <w:footerReference w:type="default" r:id="rId10"/>
      <w:pgSz w:w="11900" w:h="16820"/>
      <w:pgMar w:top="1440" w:right="1440" w:bottom="1440"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2338" w14:textId="77777777" w:rsidR="00836A12" w:rsidRDefault="00836A12" w:rsidP="005A1BB8">
      <w:r>
        <w:separator/>
      </w:r>
    </w:p>
  </w:endnote>
  <w:endnote w:type="continuationSeparator" w:id="0">
    <w:p w14:paraId="03C78375" w14:textId="77777777" w:rsidR="00836A12" w:rsidRDefault="00836A12" w:rsidP="005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82818846"/>
      <w:docPartObj>
        <w:docPartGallery w:val="Page Numbers (Bottom of Page)"/>
        <w:docPartUnique/>
      </w:docPartObj>
    </w:sdtPr>
    <w:sdtContent>
      <w:p w14:paraId="400EDCD0" w14:textId="4F17EB24" w:rsidR="00D8512A" w:rsidRDefault="00D8512A" w:rsidP="006F76F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56397">
          <w:rPr>
            <w:rStyle w:val="SayfaNumaras"/>
            <w:noProof/>
          </w:rPr>
          <w:t>12</w:t>
        </w:r>
        <w:r>
          <w:rPr>
            <w:rStyle w:val="SayfaNumaras"/>
          </w:rPr>
          <w:fldChar w:fldCharType="end"/>
        </w:r>
      </w:p>
    </w:sdtContent>
  </w:sdt>
  <w:p w14:paraId="4F3F077B" w14:textId="77777777" w:rsidR="00D8512A" w:rsidRDefault="00D851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74937402"/>
      <w:docPartObj>
        <w:docPartGallery w:val="Page Numbers (Bottom of Page)"/>
        <w:docPartUnique/>
      </w:docPartObj>
    </w:sdtPr>
    <w:sdtEndPr>
      <w:rPr>
        <w:rStyle w:val="SayfaNumaras"/>
        <w:rFonts w:asciiTheme="minorHAnsi" w:hAnsiTheme="minorHAnsi" w:cstheme="minorHAnsi"/>
        <w:sz w:val="22"/>
        <w:szCs w:val="22"/>
      </w:rPr>
    </w:sdtEndPr>
    <w:sdtContent>
      <w:p w14:paraId="2B0809AA" w14:textId="080952A5" w:rsidR="00D8512A" w:rsidRPr="00356397" w:rsidRDefault="00D8512A" w:rsidP="006F76FC">
        <w:pPr>
          <w:pStyle w:val="AltBilgi"/>
          <w:framePr w:wrap="none" w:vAnchor="text" w:hAnchor="margin" w:xAlign="center" w:y="1"/>
          <w:rPr>
            <w:rStyle w:val="SayfaNumaras"/>
            <w:rFonts w:asciiTheme="minorHAnsi" w:hAnsiTheme="minorHAnsi" w:cstheme="minorHAnsi"/>
            <w:sz w:val="22"/>
            <w:szCs w:val="22"/>
          </w:rPr>
        </w:pPr>
        <w:r w:rsidRPr="00356397">
          <w:rPr>
            <w:rStyle w:val="SayfaNumaras"/>
            <w:rFonts w:asciiTheme="minorHAnsi" w:hAnsiTheme="minorHAnsi" w:cstheme="minorHAnsi"/>
            <w:sz w:val="22"/>
            <w:szCs w:val="22"/>
          </w:rPr>
          <w:fldChar w:fldCharType="begin"/>
        </w:r>
        <w:r w:rsidRPr="00356397">
          <w:rPr>
            <w:rStyle w:val="SayfaNumaras"/>
            <w:rFonts w:asciiTheme="minorHAnsi" w:hAnsiTheme="minorHAnsi" w:cstheme="minorHAnsi"/>
            <w:sz w:val="22"/>
            <w:szCs w:val="22"/>
          </w:rPr>
          <w:instrText xml:space="preserve"> PAGE </w:instrText>
        </w:r>
        <w:r w:rsidRPr="00356397">
          <w:rPr>
            <w:rStyle w:val="SayfaNumaras"/>
            <w:rFonts w:asciiTheme="minorHAnsi" w:hAnsiTheme="minorHAnsi" w:cstheme="minorHAnsi"/>
            <w:sz w:val="22"/>
            <w:szCs w:val="22"/>
          </w:rPr>
          <w:fldChar w:fldCharType="separate"/>
        </w:r>
        <w:r w:rsidRPr="00356397">
          <w:rPr>
            <w:rStyle w:val="SayfaNumaras"/>
            <w:rFonts w:asciiTheme="minorHAnsi" w:hAnsiTheme="minorHAnsi" w:cstheme="minorHAnsi"/>
            <w:noProof/>
            <w:sz w:val="22"/>
            <w:szCs w:val="22"/>
          </w:rPr>
          <w:t>2</w:t>
        </w:r>
        <w:r w:rsidRPr="00356397">
          <w:rPr>
            <w:rStyle w:val="SayfaNumaras"/>
            <w:rFonts w:asciiTheme="minorHAnsi" w:hAnsiTheme="minorHAnsi" w:cstheme="minorHAnsi"/>
            <w:sz w:val="22"/>
            <w:szCs w:val="22"/>
          </w:rPr>
          <w:fldChar w:fldCharType="end"/>
        </w:r>
      </w:p>
    </w:sdtContent>
  </w:sdt>
  <w:p w14:paraId="123C369E" w14:textId="77777777" w:rsidR="00D8512A" w:rsidRPr="00356397" w:rsidRDefault="00D8512A">
    <w:pPr>
      <w:pStyle w:val="AltBilgi"/>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5670" w14:textId="77777777" w:rsidR="00836A12" w:rsidRDefault="00836A12" w:rsidP="005A1BB8">
      <w:r>
        <w:separator/>
      </w:r>
    </w:p>
  </w:footnote>
  <w:footnote w:type="continuationSeparator" w:id="0">
    <w:p w14:paraId="79180D4D" w14:textId="77777777" w:rsidR="00836A12" w:rsidRDefault="00836A12" w:rsidP="005A1BB8">
      <w:r>
        <w:continuationSeparator/>
      </w:r>
    </w:p>
  </w:footnote>
  <w:footnote w:id="1">
    <w:p w14:paraId="466C316A" w14:textId="004137B2" w:rsidR="004D62CA" w:rsidRPr="004D62CA" w:rsidRDefault="004D62CA">
      <w:pPr>
        <w:pStyle w:val="DipnotMetni"/>
        <w:rPr>
          <w:lang w:val="tr-TR"/>
        </w:rPr>
      </w:pPr>
      <w:r>
        <w:rPr>
          <w:rStyle w:val="DipnotBavurusu"/>
        </w:rPr>
        <w:footnoteRef/>
      </w:r>
      <w:r>
        <w:t xml:space="preserve"> </w:t>
      </w:r>
      <w:r w:rsidRPr="004D62CA">
        <w:rPr>
          <w:rFonts w:asciiTheme="minorHAnsi" w:hAnsiTheme="minorHAnsi" w:cstheme="minorHAnsi"/>
          <w:lang w:val="tr-TR"/>
        </w:rPr>
        <w:t xml:space="preserve">Prof. Dr. Kamil </w:t>
      </w:r>
      <w:proofErr w:type="spellStart"/>
      <w:r w:rsidRPr="004D62CA">
        <w:rPr>
          <w:rFonts w:asciiTheme="minorHAnsi" w:hAnsiTheme="minorHAnsi" w:cstheme="minorHAnsi"/>
          <w:lang w:val="tr-TR"/>
        </w:rPr>
        <w:t>Yılmaz</w:t>
      </w:r>
      <w:proofErr w:type="spellEnd"/>
      <w:r w:rsidRPr="004D62CA">
        <w:rPr>
          <w:rFonts w:asciiTheme="minorHAnsi" w:hAnsiTheme="minorHAnsi" w:cstheme="minorHAnsi"/>
          <w:lang w:val="tr-TR"/>
        </w:rPr>
        <w:t>,</w:t>
      </w:r>
      <w:r>
        <w:t xml:space="preserve"> </w:t>
      </w:r>
      <w:r w:rsidRPr="0019541E">
        <w:rPr>
          <w:rFonts w:asciiTheme="minorHAnsi" w:hAnsiTheme="minorHAnsi" w:cstheme="minorHAnsi"/>
          <w:lang w:val="tr-TR"/>
        </w:rPr>
        <w:t>Koç Üniversitesi ve Bilim Akademisi</w:t>
      </w:r>
      <w:r>
        <w:rPr>
          <w:rFonts w:asciiTheme="minorHAnsi" w:hAnsiTheme="minorHAnsi" w:cstheme="minorHAnsi"/>
          <w:lang w:val="tr-TR"/>
        </w:rPr>
        <w:t xml:space="preserve">, Betam ortak araştırmacısı, </w:t>
      </w:r>
      <w:r w:rsidRPr="004D62CA">
        <w:rPr>
          <w:rFonts w:asciiTheme="minorHAnsi" w:hAnsiTheme="minorHAnsi" w:cstheme="minorHAnsi"/>
          <w:lang w:val="tr-TR"/>
        </w:rPr>
        <w:t xml:space="preserve">kyilmaz@ku.edu.tr  </w:t>
      </w:r>
    </w:p>
  </w:footnote>
  <w:footnote w:id="2">
    <w:p w14:paraId="1A2E33EC" w14:textId="4CDE8055" w:rsidR="004D0D6D" w:rsidRPr="004D0D6D" w:rsidRDefault="004D0D6D">
      <w:pPr>
        <w:pStyle w:val="DipnotMetni"/>
        <w:rPr>
          <w:lang w:val="tr-TR"/>
        </w:rPr>
      </w:pPr>
      <w:r w:rsidRPr="004D0D6D">
        <w:rPr>
          <w:rStyle w:val="DipnotBavurusu"/>
          <w:lang w:val="tr-TR"/>
        </w:rPr>
        <w:footnoteRef/>
      </w:r>
      <w:r w:rsidRPr="004D0D6D">
        <w:rPr>
          <w:lang w:val="tr-TR"/>
        </w:rPr>
        <w:t xml:space="preserve"> </w:t>
      </w:r>
      <w:r w:rsidRPr="004D0D6D">
        <w:rPr>
          <w:rFonts w:asciiTheme="minorHAnsi" w:hAnsiTheme="minorHAnsi" w:cstheme="minorHAnsi"/>
          <w:lang w:val="tr-TR"/>
        </w:rPr>
        <w:t xml:space="preserve">Bu araştırma notunun öncesinde yayınlanan veriler üzerinden bir tahmin çalışması yapmış ve 27 Şubat 2023’te </w:t>
      </w:r>
      <w:proofErr w:type="spellStart"/>
      <w:r w:rsidRPr="004D0D6D">
        <w:rPr>
          <w:rFonts w:asciiTheme="minorHAnsi" w:hAnsiTheme="minorHAnsi" w:cstheme="minorHAnsi"/>
          <w:lang w:val="tr-TR"/>
        </w:rPr>
        <w:t>sarkaç.org’da</w:t>
      </w:r>
      <w:proofErr w:type="spellEnd"/>
      <w:r w:rsidRPr="004D0D6D">
        <w:rPr>
          <w:rFonts w:asciiTheme="minorHAnsi" w:hAnsiTheme="minorHAnsi" w:cstheme="minorHAnsi"/>
          <w:lang w:val="tr-TR"/>
        </w:rPr>
        <w:t xml:space="preserve"> yine aynı isimle yayınl</w:t>
      </w:r>
      <w:r>
        <w:rPr>
          <w:rFonts w:asciiTheme="minorHAnsi" w:hAnsiTheme="minorHAnsi" w:cstheme="minorHAnsi"/>
          <w:lang w:val="tr-TR"/>
        </w:rPr>
        <w:t>a</w:t>
      </w:r>
      <w:r w:rsidRPr="004D0D6D">
        <w:rPr>
          <w:rFonts w:asciiTheme="minorHAnsi" w:hAnsiTheme="minorHAnsi" w:cstheme="minorHAnsi"/>
          <w:lang w:val="tr-TR"/>
        </w:rPr>
        <w:t>mıştık.</w:t>
      </w:r>
      <w:r w:rsidRPr="004D0D6D">
        <w:rPr>
          <w:lang w:val="tr-TR"/>
        </w:rPr>
        <w:t xml:space="preserve">   </w:t>
      </w:r>
    </w:p>
  </w:footnote>
  <w:footnote w:id="3">
    <w:p w14:paraId="357AC8C6" w14:textId="77777777" w:rsidR="00FF11C2" w:rsidRPr="00462732" w:rsidRDefault="00FF11C2" w:rsidP="00FF11C2">
      <w:pPr>
        <w:pStyle w:val="DipnotMetni"/>
        <w:rPr>
          <w:rFonts w:asciiTheme="minorHAnsi" w:hAnsiTheme="minorHAnsi" w:cstheme="minorHAnsi"/>
          <w:lang w:val="tr-TR"/>
        </w:rPr>
      </w:pPr>
      <w:r>
        <w:rPr>
          <w:rStyle w:val="DipnotBavurusu"/>
        </w:rPr>
        <w:footnoteRef/>
      </w:r>
      <w:r w:rsidRPr="008A046E">
        <w:rPr>
          <w:lang w:val="tr-TR"/>
        </w:rPr>
        <w:t xml:space="preserve"> </w:t>
      </w:r>
      <w:r>
        <w:rPr>
          <w:lang w:val="tr-TR"/>
        </w:rPr>
        <w:t xml:space="preserve"> </w:t>
      </w:r>
      <w:r w:rsidRPr="00462732">
        <w:rPr>
          <w:rFonts w:asciiTheme="minorHAnsi" w:hAnsiTheme="minorHAnsi" w:cstheme="minorHAnsi"/>
          <w:lang w:val="tr-TR"/>
        </w:rPr>
        <w:t xml:space="preserve">Bakanlık verilerinden yola çıkarak 17.500 ahır ve 32.500 diğer hane bağımsız bölümünün de yıkık, acil yıkılacak, ağır veya orta hasarlı grubunda olduğunu ve yeniden yapılacağını varsayıyoruz. Bu bölümlerin yapım maliyetinin normal bir konutun yapım maliyetinden </w:t>
      </w:r>
      <w:proofErr w:type="gramStart"/>
      <w:r w:rsidRPr="00462732">
        <w:rPr>
          <w:rFonts w:asciiTheme="minorHAnsi" w:hAnsiTheme="minorHAnsi" w:cstheme="minorHAnsi"/>
          <w:lang w:val="tr-TR"/>
        </w:rPr>
        <w:t>%50</w:t>
      </w:r>
      <w:proofErr w:type="gramEnd"/>
      <w:r w:rsidRPr="00462732">
        <w:rPr>
          <w:rFonts w:asciiTheme="minorHAnsi" w:hAnsiTheme="minorHAnsi" w:cstheme="minorHAnsi"/>
          <w:lang w:val="tr-TR"/>
        </w:rPr>
        <w:t xml:space="preserve"> daha düşük olacağını varsayıyoruz.</w:t>
      </w:r>
    </w:p>
  </w:footnote>
  <w:footnote w:id="4">
    <w:p w14:paraId="097982AE" w14:textId="2139C202" w:rsidR="00604D32" w:rsidRPr="00462732" w:rsidRDefault="00604D32">
      <w:pPr>
        <w:pStyle w:val="DipnotMetni"/>
        <w:rPr>
          <w:rFonts w:asciiTheme="minorHAnsi" w:hAnsiTheme="minorHAnsi" w:cstheme="minorHAnsi"/>
          <w:lang w:val="tr-TR"/>
        </w:rPr>
      </w:pPr>
      <w:r>
        <w:rPr>
          <w:rStyle w:val="DipnotBavurusu"/>
        </w:rPr>
        <w:footnoteRef/>
      </w:r>
      <w:r w:rsidRPr="008A046E">
        <w:rPr>
          <w:lang w:val="tr-TR"/>
        </w:rPr>
        <w:t xml:space="preserve"> </w:t>
      </w:r>
      <w:proofErr w:type="spellStart"/>
      <w:r w:rsidR="002F6267" w:rsidRPr="00462732">
        <w:rPr>
          <w:rFonts w:asciiTheme="minorHAnsi" w:hAnsiTheme="minorHAnsi" w:cstheme="minorHAnsi"/>
          <w:lang w:val="tr-TR"/>
        </w:rPr>
        <w:t>Sarka</w:t>
      </w:r>
      <w:r w:rsidR="00701AEA" w:rsidRPr="00462732">
        <w:rPr>
          <w:rFonts w:asciiTheme="minorHAnsi" w:hAnsiTheme="minorHAnsi" w:cstheme="minorHAnsi"/>
          <w:lang w:val="tr-TR"/>
        </w:rPr>
        <w:t>c</w:t>
      </w:r>
      <w:r w:rsidR="002F6267" w:rsidRPr="00462732">
        <w:rPr>
          <w:rFonts w:asciiTheme="minorHAnsi" w:hAnsiTheme="minorHAnsi" w:cstheme="minorHAnsi"/>
          <w:lang w:val="tr-TR"/>
        </w:rPr>
        <w:t>.org’da</w:t>
      </w:r>
      <w:proofErr w:type="spellEnd"/>
      <w:r w:rsidR="002F6267" w:rsidRPr="00462732">
        <w:rPr>
          <w:rFonts w:asciiTheme="minorHAnsi" w:hAnsiTheme="minorHAnsi" w:cstheme="minorHAnsi"/>
          <w:lang w:val="tr-TR"/>
        </w:rPr>
        <w:t xml:space="preserve"> yayınlanan “</w:t>
      </w:r>
      <w:r w:rsidRPr="00462732">
        <w:rPr>
          <w:rFonts w:asciiTheme="minorHAnsi" w:hAnsiTheme="minorHAnsi" w:cstheme="minorHAnsi"/>
          <w:lang w:val="tr-TR"/>
        </w:rPr>
        <w:t>Deprem Bölgesinin Ülke Ekonomisindeki Yeri</w:t>
      </w:r>
      <w:r w:rsidR="002F6267" w:rsidRPr="00462732">
        <w:rPr>
          <w:rFonts w:asciiTheme="minorHAnsi" w:hAnsiTheme="minorHAnsi" w:cstheme="minorHAnsi"/>
          <w:lang w:val="tr-TR"/>
        </w:rPr>
        <w:t>”</w:t>
      </w:r>
      <w:r w:rsidRPr="00462732">
        <w:rPr>
          <w:rFonts w:asciiTheme="minorHAnsi" w:hAnsiTheme="minorHAnsi" w:cstheme="minorHAnsi"/>
          <w:lang w:val="tr-TR"/>
        </w:rPr>
        <w:t xml:space="preserve"> başlıklı makalede de vurguladığımız gibi deprem</w:t>
      </w:r>
      <w:r w:rsidR="00531252" w:rsidRPr="00462732">
        <w:rPr>
          <w:rFonts w:asciiTheme="minorHAnsi" w:hAnsiTheme="minorHAnsi" w:cstheme="minorHAnsi"/>
          <w:lang w:val="tr-TR"/>
        </w:rPr>
        <w:t>,</w:t>
      </w:r>
      <w:r w:rsidRPr="00462732">
        <w:rPr>
          <w:rFonts w:asciiTheme="minorHAnsi" w:hAnsiTheme="minorHAnsi" w:cstheme="minorHAnsi"/>
          <w:lang w:val="tr-TR"/>
        </w:rPr>
        <w:t xml:space="preserve"> bölgede özellikle 7 ilde (Adıyaman, Gaziantep, Hatay, Kahramanmaraş, Kilis, Malatya ve Osmaniye) diğer il</w:t>
      </w:r>
      <w:r w:rsidR="002F6267" w:rsidRPr="00462732">
        <w:rPr>
          <w:rFonts w:asciiTheme="minorHAnsi" w:hAnsiTheme="minorHAnsi" w:cstheme="minorHAnsi"/>
          <w:lang w:val="tr-TR"/>
        </w:rPr>
        <w:t>ler</w:t>
      </w:r>
      <w:r w:rsidRPr="00462732">
        <w:rPr>
          <w:rFonts w:asciiTheme="minorHAnsi" w:hAnsiTheme="minorHAnsi" w:cstheme="minorHAnsi"/>
          <w:lang w:val="tr-TR"/>
        </w:rPr>
        <w:t>e (Adana, Diyarbakır, Elazığ ve Şanlıurfa) göre çok daha büyük yıkım ve hasara yol açtığı için gerektiği zaman (örneğin ulusal gelirden alınan pay, işgücünden alın pay gibi değişkenleri tartıştığımız zaman) bu 7 ile ayrı referansta bulunmak için Deprem B</w:t>
      </w:r>
      <w:r w:rsidR="002F6267" w:rsidRPr="00462732">
        <w:rPr>
          <w:rFonts w:asciiTheme="minorHAnsi" w:hAnsiTheme="minorHAnsi" w:cstheme="minorHAnsi"/>
          <w:lang w:val="tr-TR"/>
        </w:rPr>
        <w:t>ö</w:t>
      </w:r>
      <w:r w:rsidRPr="00462732">
        <w:rPr>
          <w:rFonts w:asciiTheme="minorHAnsi" w:hAnsiTheme="minorHAnsi" w:cstheme="minorHAnsi"/>
          <w:lang w:val="tr-TR"/>
        </w:rPr>
        <w:t>lgesi-7 (DB-7) tanımını kullanıyoruz.</w:t>
      </w:r>
    </w:p>
  </w:footnote>
  <w:footnote w:id="5">
    <w:p w14:paraId="6C75A26C" w14:textId="46EA556A" w:rsidR="00674624" w:rsidRPr="00462732" w:rsidRDefault="00674624">
      <w:pPr>
        <w:pStyle w:val="DipnotMetni"/>
        <w:rPr>
          <w:rFonts w:asciiTheme="minorHAnsi" w:hAnsiTheme="minorHAnsi" w:cstheme="minorHAnsi"/>
          <w:lang w:val="tr-TR"/>
        </w:rPr>
      </w:pPr>
      <w:r>
        <w:rPr>
          <w:rStyle w:val="DipnotBavurusu"/>
        </w:rPr>
        <w:footnoteRef/>
      </w:r>
      <w:r w:rsidRPr="00674624">
        <w:rPr>
          <w:lang w:val="tr-TR"/>
        </w:rPr>
        <w:t xml:space="preserve"> </w:t>
      </w:r>
      <w:r w:rsidRPr="00462732">
        <w:rPr>
          <w:rFonts w:asciiTheme="minorHAnsi" w:hAnsiTheme="minorHAnsi" w:cstheme="minorHAnsi"/>
          <w:lang w:val="tr-TR"/>
        </w:rPr>
        <w:t>Altyapı hasarı tahmini yaparken kullanabileceğimiz hiçbir veri seti ya da bilgi olmadığı</w:t>
      </w:r>
      <w:r w:rsidR="0088714B" w:rsidRPr="00462732">
        <w:rPr>
          <w:rFonts w:asciiTheme="minorHAnsi" w:hAnsiTheme="minorHAnsi" w:cstheme="minorHAnsi"/>
          <w:lang w:val="tr-TR"/>
        </w:rPr>
        <w:t>ndan</w:t>
      </w:r>
      <w:r w:rsidRPr="00462732">
        <w:rPr>
          <w:rFonts w:asciiTheme="minorHAnsi" w:hAnsiTheme="minorHAnsi" w:cstheme="minorHAnsi"/>
          <w:lang w:val="tr-TR"/>
        </w:rPr>
        <w:t xml:space="preserve"> burada kullanılan tahminlerde hata payı yüksek</w:t>
      </w:r>
      <w:r w:rsidR="00B85B29" w:rsidRPr="00462732">
        <w:rPr>
          <w:rFonts w:asciiTheme="minorHAnsi" w:hAnsiTheme="minorHAnsi" w:cstheme="minorHAnsi"/>
          <w:lang w:val="tr-TR"/>
        </w:rPr>
        <w:t xml:space="preserve"> olabilir</w:t>
      </w:r>
      <w:r w:rsidRPr="00462732">
        <w:rPr>
          <w:rFonts w:asciiTheme="minorHAnsi" w:hAnsiTheme="minorHAnsi" w:cstheme="minorHAnsi"/>
          <w:lang w:val="tr-TR"/>
        </w:rPr>
        <w:t xml:space="preserve">. </w:t>
      </w:r>
    </w:p>
  </w:footnote>
  <w:footnote w:id="6">
    <w:p w14:paraId="51CF2AE0" w14:textId="63B77D64" w:rsidR="00E84C02" w:rsidRPr="00462732" w:rsidRDefault="00E84C02">
      <w:pPr>
        <w:pStyle w:val="DipnotMetni"/>
        <w:rPr>
          <w:rFonts w:asciiTheme="minorHAnsi" w:hAnsiTheme="minorHAnsi" w:cstheme="minorHAnsi"/>
          <w:lang w:val="tr-TR"/>
        </w:rPr>
      </w:pPr>
      <w:r>
        <w:rPr>
          <w:rStyle w:val="DipnotBavurusu"/>
        </w:rPr>
        <w:footnoteRef/>
      </w:r>
      <w:r w:rsidRPr="008A046E">
        <w:rPr>
          <w:lang w:val="tr-TR"/>
        </w:rPr>
        <w:t xml:space="preserve"> </w:t>
      </w:r>
      <w:r w:rsidR="00462732">
        <w:rPr>
          <w:lang w:val="tr-TR"/>
        </w:rPr>
        <w:t xml:space="preserve"> </w:t>
      </w:r>
      <w:r w:rsidRPr="00462732">
        <w:rPr>
          <w:rFonts w:asciiTheme="minorHAnsi" w:hAnsiTheme="minorHAnsi" w:cstheme="minorHAnsi"/>
          <w:lang w:val="tr-TR"/>
        </w:rPr>
        <w:t xml:space="preserve">Bu oran, inşaat sektörünün basında dışa bağımlılık oranı olarak yer alan </w:t>
      </w:r>
      <w:r w:rsidR="009B6FDE" w:rsidRPr="00462732">
        <w:rPr>
          <w:rFonts w:asciiTheme="minorHAnsi" w:hAnsiTheme="minorHAnsi" w:cstheme="minorHAnsi"/>
          <w:lang w:val="tr-TR"/>
        </w:rPr>
        <w:t xml:space="preserve">yüzde </w:t>
      </w:r>
      <w:r w:rsidRPr="00462732">
        <w:rPr>
          <w:rFonts w:asciiTheme="minorHAnsi" w:hAnsiTheme="minorHAnsi" w:cstheme="minorHAnsi"/>
          <w:lang w:val="tr-TR"/>
        </w:rPr>
        <w:t>30 oranının altındadır. Bölgede yapılacak afet konutlarında maliyet unsurunun ön plana çıkması nedeniyle bu inşaatlarda kullanılacak malzemenin yurtdışı bağımlılığının düşük olması beklenir.</w:t>
      </w:r>
    </w:p>
  </w:footnote>
  <w:footnote w:id="7">
    <w:p w14:paraId="5BAD66F9" w14:textId="77777777" w:rsidR="00693196" w:rsidRPr="00462732" w:rsidRDefault="00693196" w:rsidP="00693196">
      <w:pPr>
        <w:pStyle w:val="DipnotMetni"/>
        <w:rPr>
          <w:rFonts w:asciiTheme="minorHAnsi" w:hAnsiTheme="minorHAnsi" w:cstheme="minorHAnsi"/>
          <w:lang w:val="tr-TR"/>
        </w:rPr>
      </w:pPr>
      <w:r>
        <w:rPr>
          <w:rStyle w:val="DipnotBavurusu"/>
        </w:rPr>
        <w:footnoteRef/>
      </w:r>
      <w:r w:rsidRPr="008A046E">
        <w:rPr>
          <w:lang w:val="tr-TR"/>
        </w:rPr>
        <w:t xml:space="preserve"> </w:t>
      </w:r>
      <w:r w:rsidRPr="00462732">
        <w:rPr>
          <w:rFonts w:asciiTheme="minorHAnsi" w:hAnsiTheme="minorHAnsi" w:cstheme="minorHAnsi"/>
          <w:lang w:val="tr-TR"/>
        </w:rPr>
        <w:t>25 Kasım 2022’den önce Türkiye çapında DASK tarafından teminat altına alınan bütün yapı tiplerinde verilen azami teminat tutarı 320 bin lira olarak belirlenmiştir.</w:t>
      </w:r>
    </w:p>
  </w:footnote>
  <w:footnote w:id="8">
    <w:p w14:paraId="2827FA59" w14:textId="7CC425FC" w:rsidR="000A5D0B" w:rsidRPr="00FD1A73" w:rsidRDefault="000A5D0B" w:rsidP="000A5D0B">
      <w:pPr>
        <w:pStyle w:val="DipnotMetni"/>
        <w:rPr>
          <w:rFonts w:asciiTheme="minorHAnsi" w:hAnsiTheme="minorHAnsi" w:cstheme="minorHAnsi"/>
          <w:lang w:val="tr-TR"/>
        </w:rPr>
      </w:pPr>
      <w:r>
        <w:rPr>
          <w:rStyle w:val="DipnotBavurusu"/>
        </w:rPr>
        <w:footnoteRef/>
      </w:r>
      <w:r w:rsidRPr="006141E8">
        <w:rPr>
          <w:lang w:val="tr-TR"/>
        </w:rPr>
        <w:t xml:space="preserve">  </w:t>
      </w:r>
      <w:r w:rsidRPr="00FD1A73">
        <w:rPr>
          <w:rFonts w:asciiTheme="minorHAnsi" w:hAnsiTheme="minorHAnsi" w:cstheme="minorHAnsi"/>
          <w:lang w:val="tr-TR"/>
        </w:rPr>
        <w:t>Y</w:t>
      </w:r>
      <w:r>
        <w:rPr>
          <w:rFonts w:asciiTheme="minorHAnsi" w:hAnsiTheme="minorHAnsi" w:cstheme="minorHAnsi"/>
          <w:lang w:val="tr-TR"/>
        </w:rPr>
        <w:t>ıkılan konutların y</w:t>
      </w:r>
      <w:r w:rsidRPr="00FD1A73">
        <w:rPr>
          <w:rFonts w:asciiTheme="minorHAnsi" w:hAnsiTheme="minorHAnsi" w:cstheme="minorHAnsi"/>
          <w:lang w:val="tr-TR"/>
        </w:rPr>
        <w:t xml:space="preserve">eniden inşa sürecinin 2025’in ilk yarısına kadar süreceğini </w:t>
      </w:r>
      <w:r>
        <w:rPr>
          <w:rFonts w:asciiTheme="minorHAnsi" w:hAnsiTheme="minorHAnsi" w:cstheme="minorHAnsi"/>
          <w:lang w:val="tr-TR"/>
        </w:rPr>
        <w:t xml:space="preserve">varsayarsak </w:t>
      </w:r>
      <w:r w:rsidRPr="00FD1A73">
        <w:rPr>
          <w:rFonts w:asciiTheme="minorHAnsi" w:hAnsiTheme="minorHAnsi" w:cstheme="minorHAnsi"/>
          <w:lang w:val="tr-TR"/>
        </w:rPr>
        <w:t xml:space="preserve">2023’te yapılması beklenen </w:t>
      </w:r>
      <w:r>
        <w:rPr>
          <w:rFonts w:asciiTheme="minorHAnsi" w:hAnsiTheme="minorHAnsi" w:cstheme="minorHAnsi"/>
          <w:lang w:val="tr-TR"/>
        </w:rPr>
        <w:t xml:space="preserve">yeniden inşa </w:t>
      </w:r>
      <w:r w:rsidRPr="00FD1A73">
        <w:rPr>
          <w:rFonts w:asciiTheme="minorHAnsi" w:hAnsiTheme="minorHAnsi" w:cstheme="minorHAnsi"/>
          <w:lang w:val="tr-TR"/>
        </w:rPr>
        <w:t>yatırımların</w:t>
      </w:r>
      <w:r>
        <w:rPr>
          <w:rFonts w:asciiTheme="minorHAnsi" w:hAnsiTheme="minorHAnsi" w:cstheme="minorHAnsi"/>
          <w:lang w:val="tr-TR"/>
        </w:rPr>
        <w:t>ın</w:t>
      </w:r>
      <w:r w:rsidRPr="00FD1A73">
        <w:rPr>
          <w:rFonts w:asciiTheme="minorHAnsi" w:hAnsiTheme="minorHAnsi" w:cstheme="minorHAnsi"/>
          <w:lang w:val="tr-TR"/>
        </w:rPr>
        <w:t xml:space="preserve"> </w:t>
      </w:r>
      <w:r>
        <w:rPr>
          <w:rFonts w:asciiTheme="minorHAnsi" w:hAnsiTheme="minorHAnsi" w:cstheme="minorHAnsi"/>
          <w:lang w:val="tr-TR"/>
        </w:rPr>
        <w:t xml:space="preserve">daha düşük gerçekleşeceğini söyleyebiliriz. Bu durumda ek yatırımların 2023 yılının tamamında ve yılın son iki çeyreğindeki büyüme hızı üzerindeki etkisinin yaklaşık 1 yüzde puan daha </w:t>
      </w:r>
      <w:r w:rsidRPr="00FD1A73">
        <w:rPr>
          <w:rFonts w:asciiTheme="minorHAnsi" w:hAnsiTheme="minorHAnsi" w:cstheme="minorHAnsi"/>
          <w:lang w:val="tr-TR"/>
        </w:rPr>
        <w:t xml:space="preserve">düşük gerçekleşmesi </w:t>
      </w:r>
      <w:r w:rsidR="008C3E70">
        <w:rPr>
          <w:rFonts w:asciiTheme="minorHAnsi" w:hAnsiTheme="minorHAnsi" w:cstheme="minorHAnsi"/>
          <w:lang w:val="tr-TR"/>
        </w:rPr>
        <w:t>beklenir</w:t>
      </w:r>
      <w:r w:rsidRPr="00FD1A73">
        <w:rPr>
          <w:rFonts w:asciiTheme="minorHAnsi" w:hAnsiTheme="minorHAnsi" w:cstheme="minorHAnsi"/>
          <w:lang w:val="tr-TR"/>
        </w:rPr>
        <w:t xml:space="preserve">. </w:t>
      </w:r>
    </w:p>
  </w:footnote>
  <w:footnote w:id="9">
    <w:p w14:paraId="1AF2846F" w14:textId="1F9FB053" w:rsidR="00735230" w:rsidRPr="00462732" w:rsidRDefault="00735230">
      <w:pPr>
        <w:pStyle w:val="DipnotMetni"/>
        <w:rPr>
          <w:rFonts w:asciiTheme="minorHAnsi" w:hAnsiTheme="minorHAnsi" w:cstheme="minorHAnsi"/>
          <w:lang w:val="tr-TR"/>
        </w:rPr>
      </w:pPr>
      <w:r>
        <w:rPr>
          <w:rStyle w:val="DipnotBavurusu"/>
        </w:rPr>
        <w:footnoteRef/>
      </w:r>
      <w:r>
        <w:t xml:space="preserve"> </w:t>
      </w:r>
      <w:r w:rsidRPr="00462732">
        <w:rPr>
          <w:rFonts w:asciiTheme="minorHAnsi" w:hAnsiTheme="minorHAnsi" w:cstheme="minorHAnsi"/>
        </w:rPr>
        <w:t xml:space="preserve">TC </w:t>
      </w:r>
      <w:proofErr w:type="spellStart"/>
      <w:r w:rsidRPr="00462732">
        <w:rPr>
          <w:rFonts w:asciiTheme="minorHAnsi" w:hAnsiTheme="minorHAnsi" w:cstheme="minorHAnsi"/>
        </w:rPr>
        <w:t>Strateji</w:t>
      </w:r>
      <w:proofErr w:type="spellEnd"/>
      <w:r w:rsidRPr="00462732">
        <w:rPr>
          <w:rFonts w:asciiTheme="minorHAnsi" w:hAnsiTheme="minorHAnsi" w:cstheme="minorHAnsi"/>
        </w:rPr>
        <w:t xml:space="preserve"> </w:t>
      </w:r>
      <w:proofErr w:type="spellStart"/>
      <w:r w:rsidRPr="00462732">
        <w:rPr>
          <w:rFonts w:asciiTheme="minorHAnsi" w:hAnsiTheme="minorHAnsi" w:cstheme="minorHAnsi"/>
        </w:rPr>
        <w:t>ve</w:t>
      </w:r>
      <w:proofErr w:type="spellEnd"/>
      <w:r w:rsidRPr="00462732">
        <w:rPr>
          <w:rFonts w:asciiTheme="minorHAnsi" w:hAnsiTheme="minorHAnsi" w:cstheme="minorHAnsi"/>
        </w:rPr>
        <w:t xml:space="preserve"> </w:t>
      </w:r>
      <w:proofErr w:type="spellStart"/>
      <w:r w:rsidRPr="00462732">
        <w:rPr>
          <w:rFonts w:asciiTheme="minorHAnsi" w:hAnsiTheme="minorHAnsi" w:cstheme="minorHAnsi"/>
        </w:rPr>
        <w:t>Bütçe</w:t>
      </w:r>
      <w:proofErr w:type="spellEnd"/>
      <w:r w:rsidRPr="00462732">
        <w:rPr>
          <w:rFonts w:asciiTheme="minorHAnsi" w:hAnsiTheme="minorHAnsi" w:cstheme="minorHAnsi"/>
        </w:rPr>
        <w:t xml:space="preserve"> </w:t>
      </w:r>
      <w:proofErr w:type="spellStart"/>
      <w:r w:rsidRPr="00462732">
        <w:rPr>
          <w:rFonts w:asciiTheme="minorHAnsi" w:hAnsiTheme="minorHAnsi" w:cstheme="minorHAnsi"/>
        </w:rPr>
        <w:t>Başkanlığı</w:t>
      </w:r>
      <w:proofErr w:type="spellEnd"/>
      <w:r w:rsidRPr="00462732">
        <w:rPr>
          <w:rFonts w:asciiTheme="minorHAnsi" w:hAnsiTheme="minorHAnsi" w:cstheme="minorHAnsi"/>
        </w:rPr>
        <w:t xml:space="preserve">, </w:t>
      </w:r>
      <w:proofErr w:type="spellStart"/>
      <w:r w:rsidRPr="00462732">
        <w:rPr>
          <w:rFonts w:asciiTheme="minorHAnsi" w:hAnsiTheme="minorHAnsi" w:cstheme="minorHAnsi"/>
        </w:rPr>
        <w:t>Orta</w:t>
      </w:r>
      <w:proofErr w:type="spellEnd"/>
      <w:r w:rsidRPr="00462732">
        <w:rPr>
          <w:rFonts w:asciiTheme="minorHAnsi" w:hAnsiTheme="minorHAnsi" w:cstheme="minorHAnsi"/>
        </w:rPr>
        <w:t xml:space="preserve"> </w:t>
      </w:r>
      <w:proofErr w:type="spellStart"/>
      <w:r w:rsidRPr="00462732">
        <w:rPr>
          <w:rFonts w:asciiTheme="minorHAnsi" w:hAnsiTheme="minorHAnsi" w:cstheme="minorHAnsi"/>
        </w:rPr>
        <w:t>Vadeli</w:t>
      </w:r>
      <w:proofErr w:type="spellEnd"/>
      <w:r w:rsidRPr="00462732">
        <w:rPr>
          <w:rFonts w:asciiTheme="minorHAnsi" w:hAnsiTheme="minorHAnsi" w:cstheme="minorHAnsi"/>
        </w:rPr>
        <w:t xml:space="preserve"> Program 2023- 2025, </w:t>
      </w:r>
      <w:hyperlink r:id="rId1" w:history="1">
        <w:r w:rsidRPr="00462732">
          <w:rPr>
            <w:rStyle w:val="Kpr"/>
            <w:rFonts w:asciiTheme="minorHAnsi" w:hAnsiTheme="minorHAnsi" w:cstheme="minorHAnsi"/>
          </w:rPr>
          <w:t>https://www.sbb.gov.tr/wp-content/uploads/2022/09/Orta-Vadeli-Program-2023-2025.pdf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0EB6"/>
    <w:multiLevelType w:val="hybridMultilevel"/>
    <w:tmpl w:val="50EE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86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38"/>
    <w:rsid w:val="00000470"/>
    <w:rsid w:val="00000A30"/>
    <w:rsid w:val="000055B3"/>
    <w:rsid w:val="000073EF"/>
    <w:rsid w:val="00010992"/>
    <w:rsid w:val="000113DB"/>
    <w:rsid w:val="00012164"/>
    <w:rsid w:val="0001480B"/>
    <w:rsid w:val="00020AF2"/>
    <w:rsid w:val="00022DC8"/>
    <w:rsid w:val="000235EF"/>
    <w:rsid w:val="000246E2"/>
    <w:rsid w:val="000250B9"/>
    <w:rsid w:val="00025BF5"/>
    <w:rsid w:val="000279B6"/>
    <w:rsid w:val="0003624F"/>
    <w:rsid w:val="00040C2E"/>
    <w:rsid w:val="00040F26"/>
    <w:rsid w:val="000415F9"/>
    <w:rsid w:val="00042141"/>
    <w:rsid w:val="00047861"/>
    <w:rsid w:val="00047A7A"/>
    <w:rsid w:val="00047FC6"/>
    <w:rsid w:val="000506AE"/>
    <w:rsid w:val="0005211B"/>
    <w:rsid w:val="00057762"/>
    <w:rsid w:val="00057BF3"/>
    <w:rsid w:val="00061447"/>
    <w:rsid w:val="000659C9"/>
    <w:rsid w:val="00067FF8"/>
    <w:rsid w:val="00072113"/>
    <w:rsid w:val="000733B8"/>
    <w:rsid w:val="00074A5E"/>
    <w:rsid w:val="000868E1"/>
    <w:rsid w:val="00090759"/>
    <w:rsid w:val="0009148D"/>
    <w:rsid w:val="00093FEE"/>
    <w:rsid w:val="00095100"/>
    <w:rsid w:val="00096428"/>
    <w:rsid w:val="000A203D"/>
    <w:rsid w:val="000A343C"/>
    <w:rsid w:val="000A56CF"/>
    <w:rsid w:val="000A5D0B"/>
    <w:rsid w:val="000A7169"/>
    <w:rsid w:val="000A74CA"/>
    <w:rsid w:val="000B01FD"/>
    <w:rsid w:val="000B0726"/>
    <w:rsid w:val="000B0A44"/>
    <w:rsid w:val="000B0CA0"/>
    <w:rsid w:val="000B1C30"/>
    <w:rsid w:val="000B7DB8"/>
    <w:rsid w:val="000C0B93"/>
    <w:rsid w:val="000C31C0"/>
    <w:rsid w:val="000D126B"/>
    <w:rsid w:val="000D39A6"/>
    <w:rsid w:val="000D43AF"/>
    <w:rsid w:val="000D510F"/>
    <w:rsid w:val="000D5151"/>
    <w:rsid w:val="000D5C90"/>
    <w:rsid w:val="000E3B95"/>
    <w:rsid w:val="000E4B7D"/>
    <w:rsid w:val="000E617D"/>
    <w:rsid w:val="000E67EB"/>
    <w:rsid w:val="000E6830"/>
    <w:rsid w:val="000E6DEC"/>
    <w:rsid w:val="000F3B69"/>
    <w:rsid w:val="00102B25"/>
    <w:rsid w:val="0010341F"/>
    <w:rsid w:val="001069CE"/>
    <w:rsid w:val="0011173B"/>
    <w:rsid w:val="00111743"/>
    <w:rsid w:val="00114F87"/>
    <w:rsid w:val="0012241D"/>
    <w:rsid w:val="0012541E"/>
    <w:rsid w:val="00126B59"/>
    <w:rsid w:val="0013558F"/>
    <w:rsid w:val="0013702C"/>
    <w:rsid w:val="00144206"/>
    <w:rsid w:val="001466E7"/>
    <w:rsid w:val="00152177"/>
    <w:rsid w:val="001575FA"/>
    <w:rsid w:val="001616F9"/>
    <w:rsid w:val="00164100"/>
    <w:rsid w:val="00165F8A"/>
    <w:rsid w:val="0016755A"/>
    <w:rsid w:val="00170ACF"/>
    <w:rsid w:val="00171CEC"/>
    <w:rsid w:val="00175A3D"/>
    <w:rsid w:val="00176946"/>
    <w:rsid w:val="0017770F"/>
    <w:rsid w:val="00182954"/>
    <w:rsid w:val="00182D5B"/>
    <w:rsid w:val="00186B8F"/>
    <w:rsid w:val="00193159"/>
    <w:rsid w:val="0019541E"/>
    <w:rsid w:val="00196CDA"/>
    <w:rsid w:val="001972BF"/>
    <w:rsid w:val="001975BE"/>
    <w:rsid w:val="001A1CDA"/>
    <w:rsid w:val="001A3578"/>
    <w:rsid w:val="001A5B89"/>
    <w:rsid w:val="001A61BD"/>
    <w:rsid w:val="001C3B5A"/>
    <w:rsid w:val="001C4CDC"/>
    <w:rsid w:val="001D0561"/>
    <w:rsid w:val="001D27ED"/>
    <w:rsid w:val="001E08EE"/>
    <w:rsid w:val="001E0B3B"/>
    <w:rsid w:val="001E161E"/>
    <w:rsid w:val="001E2BF8"/>
    <w:rsid w:val="001E57C0"/>
    <w:rsid w:val="001F11C2"/>
    <w:rsid w:val="001F2F80"/>
    <w:rsid w:val="001F5A5E"/>
    <w:rsid w:val="001F5DA9"/>
    <w:rsid w:val="001F7661"/>
    <w:rsid w:val="00205CB9"/>
    <w:rsid w:val="00205CE4"/>
    <w:rsid w:val="00206648"/>
    <w:rsid w:val="00231570"/>
    <w:rsid w:val="0023722C"/>
    <w:rsid w:val="00244A71"/>
    <w:rsid w:val="00270D13"/>
    <w:rsid w:val="002835C9"/>
    <w:rsid w:val="00284CE3"/>
    <w:rsid w:val="002862F1"/>
    <w:rsid w:val="00293FB0"/>
    <w:rsid w:val="00294564"/>
    <w:rsid w:val="00297FB4"/>
    <w:rsid w:val="002A1357"/>
    <w:rsid w:val="002A3544"/>
    <w:rsid w:val="002A75FC"/>
    <w:rsid w:val="002B2731"/>
    <w:rsid w:val="002B3066"/>
    <w:rsid w:val="002B3DF0"/>
    <w:rsid w:val="002C0CFB"/>
    <w:rsid w:val="002C368D"/>
    <w:rsid w:val="002C73AF"/>
    <w:rsid w:val="002D11B2"/>
    <w:rsid w:val="002D20CA"/>
    <w:rsid w:val="002D602E"/>
    <w:rsid w:val="002E664A"/>
    <w:rsid w:val="002E6A25"/>
    <w:rsid w:val="002E779E"/>
    <w:rsid w:val="002F15E6"/>
    <w:rsid w:val="002F433A"/>
    <w:rsid w:val="002F4BB9"/>
    <w:rsid w:val="002F6267"/>
    <w:rsid w:val="00303C48"/>
    <w:rsid w:val="00304432"/>
    <w:rsid w:val="00306BF3"/>
    <w:rsid w:val="003102AF"/>
    <w:rsid w:val="00312C8A"/>
    <w:rsid w:val="00313264"/>
    <w:rsid w:val="0031326D"/>
    <w:rsid w:val="00313571"/>
    <w:rsid w:val="00314235"/>
    <w:rsid w:val="00316BBF"/>
    <w:rsid w:val="00317421"/>
    <w:rsid w:val="003234DF"/>
    <w:rsid w:val="003270F6"/>
    <w:rsid w:val="00330D78"/>
    <w:rsid w:val="00331122"/>
    <w:rsid w:val="00332759"/>
    <w:rsid w:val="00333A9D"/>
    <w:rsid w:val="00334CAE"/>
    <w:rsid w:val="00335949"/>
    <w:rsid w:val="00336E5B"/>
    <w:rsid w:val="003401D5"/>
    <w:rsid w:val="003403ED"/>
    <w:rsid w:val="003413F3"/>
    <w:rsid w:val="003426A1"/>
    <w:rsid w:val="003449C7"/>
    <w:rsid w:val="00344A12"/>
    <w:rsid w:val="00345E99"/>
    <w:rsid w:val="00350B63"/>
    <w:rsid w:val="00352BDB"/>
    <w:rsid w:val="0035450A"/>
    <w:rsid w:val="00356397"/>
    <w:rsid w:val="00364CE4"/>
    <w:rsid w:val="003740C5"/>
    <w:rsid w:val="0037493F"/>
    <w:rsid w:val="00374D8D"/>
    <w:rsid w:val="00375C10"/>
    <w:rsid w:val="003825A6"/>
    <w:rsid w:val="00384F61"/>
    <w:rsid w:val="00386B5F"/>
    <w:rsid w:val="00387153"/>
    <w:rsid w:val="00387F39"/>
    <w:rsid w:val="00391408"/>
    <w:rsid w:val="003917AB"/>
    <w:rsid w:val="00391BF4"/>
    <w:rsid w:val="003922AC"/>
    <w:rsid w:val="00392BC8"/>
    <w:rsid w:val="00392E10"/>
    <w:rsid w:val="00393906"/>
    <w:rsid w:val="00397289"/>
    <w:rsid w:val="003A01CB"/>
    <w:rsid w:val="003A1822"/>
    <w:rsid w:val="003A2967"/>
    <w:rsid w:val="003A6AE2"/>
    <w:rsid w:val="003B1524"/>
    <w:rsid w:val="003B4A9D"/>
    <w:rsid w:val="003B53F8"/>
    <w:rsid w:val="003B6703"/>
    <w:rsid w:val="003C10C2"/>
    <w:rsid w:val="003C1552"/>
    <w:rsid w:val="003C2033"/>
    <w:rsid w:val="003C4A3E"/>
    <w:rsid w:val="003C6D27"/>
    <w:rsid w:val="003C7F4F"/>
    <w:rsid w:val="003D180F"/>
    <w:rsid w:val="003D347F"/>
    <w:rsid w:val="003D3C28"/>
    <w:rsid w:val="003E0AE1"/>
    <w:rsid w:val="003E27D0"/>
    <w:rsid w:val="003E4948"/>
    <w:rsid w:val="003E565B"/>
    <w:rsid w:val="003E78A7"/>
    <w:rsid w:val="003F05D6"/>
    <w:rsid w:val="003F13AD"/>
    <w:rsid w:val="003F25BC"/>
    <w:rsid w:val="003F358E"/>
    <w:rsid w:val="003F624E"/>
    <w:rsid w:val="00401184"/>
    <w:rsid w:val="00405CCB"/>
    <w:rsid w:val="0040602C"/>
    <w:rsid w:val="004101D6"/>
    <w:rsid w:val="00412B45"/>
    <w:rsid w:val="00421103"/>
    <w:rsid w:val="00421B15"/>
    <w:rsid w:val="00422FBA"/>
    <w:rsid w:val="00423B72"/>
    <w:rsid w:val="00425240"/>
    <w:rsid w:val="004305FD"/>
    <w:rsid w:val="00431C73"/>
    <w:rsid w:val="00433A6A"/>
    <w:rsid w:val="00440A88"/>
    <w:rsid w:val="00441D6B"/>
    <w:rsid w:val="00441EC3"/>
    <w:rsid w:val="00442240"/>
    <w:rsid w:val="00444480"/>
    <w:rsid w:val="00450C2D"/>
    <w:rsid w:val="00452898"/>
    <w:rsid w:val="00453D07"/>
    <w:rsid w:val="00457E2E"/>
    <w:rsid w:val="004602BC"/>
    <w:rsid w:val="0046153B"/>
    <w:rsid w:val="00462732"/>
    <w:rsid w:val="0046282C"/>
    <w:rsid w:val="00463F7B"/>
    <w:rsid w:val="00464EFE"/>
    <w:rsid w:val="004673A6"/>
    <w:rsid w:val="00467D6F"/>
    <w:rsid w:val="004709A0"/>
    <w:rsid w:val="0047220A"/>
    <w:rsid w:val="004748D4"/>
    <w:rsid w:val="004765E3"/>
    <w:rsid w:val="00481147"/>
    <w:rsid w:val="0048376D"/>
    <w:rsid w:val="004847C1"/>
    <w:rsid w:val="0048717C"/>
    <w:rsid w:val="004904C8"/>
    <w:rsid w:val="004927FA"/>
    <w:rsid w:val="004931BA"/>
    <w:rsid w:val="00493C36"/>
    <w:rsid w:val="00495466"/>
    <w:rsid w:val="00495642"/>
    <w:rsid w:val="00495B38"/>
    <w:rsid w:val="004A0AF2"/>
    <w:rsid w:val="004A561B"/>
    <w:rsid w:val="004A6B25"/>
    <w:rsid w:val="004B16AD"/>
    <w:rsid w:val="004B2FD9"/>
    <w:rsid w:val="004C12EB"/>
    <w:rsid w:val="004C2B8A"/>
    <w:rsid w:val="004C6167"/>
    <w:rsid w:val="004C677D"/>
    <w:rsid w:val="004D0D6D"/>
    <w:rsid w:val="004D1490"/>
    <w:rsid w:val="004D2687"/>
    <w:rsid w:val="004D62CA"/>
    <w:rsid w:val="004D7793"/>
    <w:rsid w:val="004E10ED"/>
    <w:rsid w:val="004E321E"/>
    <w:rsid w:val="004E5C50"/>
    <w:rsid w:val="004F017F"/>
    <w:rsid w:val="004F3E15"/>
    <w:rsid w:val="004F3F60"/>
    <w:rsid w:val="004F5F72"/>
    <w:rsid w:val="0050028C"/>
    <w:rsid w:val="0050560E"/>
    <w:rsid w:val="00507C78"/>
    <w:rsid w:val="00511F3D"/>
    <w:rsid w:val="00516A2C"/>
    <w:rsid w:val="005233D4"/>
    <w:rsid w:val="00524942"/>
    <w:rsid w:val="00524B14"/>
    <w:rsid w:val="005259AA"/>
    <w:rsid w:val="00531252"/>
    <w:rsid w:val="005319E7"/>
    <w:rsid w:val="005335F9"/>
    <w:rsid w:val="005339AC"/>
    <w:rsid w:val="00536C8F"/>
    <w:rsid w:val="005422D1"/>
    <w:rsid w:val="00547D4B"/>
    <w:rsid w:val="005518C2"/>
    <w:rsid w:val="00551B76"/>
    <w:rsid w:val="005639BE"/>
    <w:rsid w:val="00567324"/>
    <w:rsid w:val="00567CD6"/>
    <w:rsid w:val="00573BCE"/>
    <w:rsid w:val="00574854"/>
    <w:rsid w:val="00584934"/>
    <w:rsid w:val="00591DF9"/>
    <w:rsid w:val="005961C6"/>
    <w:rsid w:val="005964E8"/>
    <w:rsid w:val="005968FB"/>
    <w:rsid w:val="005A02B6"/>
    <w:rsid w:val="005A1BB8"/>
    <w:rsid w:val="005A2116"/>
    <w:rsid w:val="005A6B81"/>
    <w:rsid w:val="005A7490"/>
    <w:rsid w:val="005B1FE2"/>
    <w:rsid w:val="005B538B"/>
    <w:rsid w:val="005B7519"/>
    <w:rsid w:val="005C1138"/>
    <w:rsid w:val="005C2073"/>
    <w:rsid w:val="005C2AB5"/>
    <w:rsid w:val="005C76E1"/>
    <w:rsid w:val="005D1BC6"/>
    <w:rsid w:val="005D4588"/>
    <w:rsid w:val="005D55AA"/>
    <w:rsid w:val="005D620F"/>
    <w:rsid w:val="005D69FC"/>
    <w:rsid w:val="005D6CE5"/>
    <w:rsid w:val="005E158F"/>
    <w:rsid w:val="005E3FE5"/>
    <w:rsid w:val="005F196B"/>
    <w:rsid w:val="00603D2D"/>
    <w:rsid w:val="00604D32"/>
    <w:rsid w:val="006079AF"/>
    <w:rsid w:val="00613734"/>
    <w:rsid w:val="00613CC8"/>
    <w:rsid w:val="006141E8"/>
    <w:rsid w:val="00615524"/>
    <w:rsid w:val="006157D9"/>
    <w:rsid w:val="0061585E"/>
    <w:rsid w:val="00623D1C"/>
    <w:rsid w:val="0063091D"/>
    <w:rsid w:val="00631151"/>
    <w:rsid w:val="00635B90"/>
    <w:rsid w:val="00641E09"/>
    <w:rsid w:val="00643FBF"/>
    <w:rsid w:val="00644E28"/>
    <w:rsid w:val="006454B0"/>
    <w:rsid w:val="00655602"/>
    <w:rsid w:val="00664E65"/>
    <w:rsid w:val="00665328"/>
    <w:rsid w:val="0066564E"/>
    <w:rsid w:val="00666981"/>
    <w:rsid w:val="006728F0"/>
    <w:rsid w:val="00674624"/>
    <w:rsid w:val="00674C0E"/>
    <w:rsid w:val="00675986"/>
    <w:rsid w:val="00676719"/>
    <w:rsid w:val="00676C8E"/>
    <w:rsid w:val="00680B77"/>
    <w:rsid w:val="006857AA"/>
    <w:rsid w:val="006912AE"/>
    <w:rsid w:val="00693196"/>
    <w:rsid w:val="006A45B2"/>
    <w:rsid w:val="006A4F11"/>
    <w:rsid w:val="006A5C12"/>
    <w:rsid w:val="006B0272"/>
    <w:rsid w:val="006B645E"/>
    <w:rsid w:val="006B7D61"/>
    <w:rsid w:val="006C0614"/>
    <w:rsid w:val="006C30F4"/>
    <w:rsid w:val="006C54EA"/>
    <w:rsid w:val="006D1690"/>
    <w:rsid w:val="006D5648"/>
    <w:rsid w:val="006D6DBF"/>
    <w:rsid w:val="006E1CE1"/>
    <w:rsid w:val="006E4EB9"/>
    <w:rsid w:val="006E75C4"/>
    <w:rsid w:val="00700225"/>
    <w:rsid w:val="00701AEA"/>
    <w:rsid w:val="00705133"/>
    <w:rsid w:val="007053EB"/>
    <w:rsid w:val="00705493"/>
    <w:rsid w:val="00707BCF"/>
    <w:rsid w:val="00707CEB"/>
    <w:rsid w:val="007105B6"/>
    <w:rsid w:val="00710BCD"/>
    <w:rsid w:val="007117B9"/>
    <w:rsid w:val="00716249"/>
    <w:rsid w:val="007252F0"/>
    <w:rsid w:val="00727047"/>
    <w:rsid w:val="007276AD"/>
    <w:rsid w:val="00730D2E"/>
    <w:rsid w:val="00735230"/>
    <w:rsid w:val="00742AD2"/>
    <w:rsid w:val="00742D14"/>
    <w:rsid w:val="00745F60"/>
    <w:rsid w:val="00746B26"/>
    <w:rsid w:val="00750805"/>
    <w:rsid w:val="007534EF"/>
    <w:rsid w:val="0075373C"/>
    <w:rsid w:val="00753CAD"/>
    <w:rsid w:val="007567B9"/>
    <w:rsid w:val="00760ECD"/>
    <w:rsid w:val="00761A5E"/>
    <w:rsid w:val="007628D1"/>
    <w:rsid w:val="00765E65"/>
    <w:rsid w:val="00765F26"/>
    <w:rsid w:val="00767BBF"/>
    <w:rsid w:val="00770B68"/>
    <w:rsid w:val="00771C1F"/>
    <w:rsid w:val="007725A5"/>
    <w:rsid w:val="0077323A"/>
    <w:rsid w:val="0077559A"/>
    <w:rsid w:val="007770CF"/>
    <w:rsid w:val="007929A2"/>
    <w:rsid w:val="007A0263"/>
    <w:rsid w:val="007A1C70"/>
    <w:rsid w:val="007A2A8D"/>
    <w:rsid w:val="007A41C8"/>
    <w:rsid w:val="007B1063"/>
    <w:rsid w:val="007B16E8"/>
    <w:rsid w:val="007B6DD0"/>
    <w:rsid w:val="007D1921"/>
    <w:rsid w:val="007E2E96"/>
    <w:rsid w:val="007E5644"/>
    <w:rsid w:val="007E5D5E"/>
    <w:rsid w:val="007F2F0A"/>
    <w:rsid w:val="00800582"/>
    <w:rsid w:val="008035B6"/>
    <w:rsid w:val="008035C8"/>
    <w:rsid w:val="00804BD6"/>
    <w:rsid w:val="008066A2"/>
    <w:rsid w:val="0081201E"/>
    <w:rsid w:val="008276A1"/>
    <w:rsid w:val="00834FC1"/>
    <w:rsid w:val="008354F9"/>
    <w:rsid w:val="00836A12"/>
    <w:rsid w:val="0084340A"/>
    <w:rsid w:val="0084734E"/>
    <w:rsid w:val="008475DD"/>
    <w:rsid w:val="00851562"/>
    <w:rsid w:val="008606C6"/>
    <w:rsid w:val="00860B21"/>
    <w:rsid w:val="00871805"/>
    <w:rsid w:val="00872BB9"/>
    <w:rsid w:val="008745BE"/>
    <w:rsid w:val="00875E73"/>
    <w:rsid w:val="00876558"/>
    <w:rsid w:val="00877130"/>
    <w:rsid w:val="0088714B"/>
    <w:rsid w:val="00887800"/>
    <w:rsid w:val="008933C3"/>
    <w:rsid w:val="00893781"/>
    <w:rsid w:val="00894103"/>
    <w:rsid w:val="00896485"/>
    <w:rsid w:val="00897E11"/>
    <w:rsid w:val="008A046E"/>
    <w:rsid w:val="008A2E94"/>
    <w:rsid w:val="008A4BC0"/>
    <w:rsid w:val="008A6428"/>
    <w:rsid w:val="008A6D18"/>
    <w:rsid w:val="008B0ADC"/>
    <w:rsid w:val="008B0BC1"/>
    <w:rsid w:val="008B3C1E"/>
    <w:rsid w:val="008B43AF"/>
    <w:rsid w:val="008B65C5"/>
    <w:rsid w:val="008C192C"/>
    <w:rsid w:val="008C2566"/>
    <w:rsid w:val="008C29BF"/>
    <w:rsid w:val="008C33D5"/>
    <w:rsid w:val="008C3E70"/>
    <w:rsid w:val="008C6AA5"/>
    <w:rsid w:val="008C7160"/>
    <w:rsid w:val="008D2304"/>
    <w:rsid w:val="008D3196"/>
    <w:rsid w:val="008D34B6"/>
    <w:rsid w:val="008D5118"/>
    <w:rsid w:val="008D5917"/>
    <w:rsid w:val="008D7C9A"/>
    <w:rsid w:val="008E1361"/>
    <w:rsid w:val="008F076B"/>
    <w:rsid w:val="008F1864"/>
    <w:rsid w:val="008F2224"/>
    <w:rsid w:val="008F22B0"/>
    <w:rsid w:val="008F3981"/>
    <w:rsid w:val="008F491D"/>
    <w:rsid w:val="00905523"/>
    <w:rsid w:val="009104B2"/>
    <w:rsid w:val="009147E4"/>
    <w:rsid w:val="00925AFB"/>
    <w:rsid w:val="00926235"/>
    <w:rsid w:val="00927ACC"/>
    <w:rsid w:val="00935834"/>
    <w:rsid w:val="00936181"/>
    <w:rsid w:val="00936AC0"/>
    <w:rsid w:val="009378CD"/>
    <w:rsid w:val="00940BDF"/>
    <w:rsid w:val="00950B0C"/>
    <w:rsid w:val="009542C7"/>
    <w:rsid w:val="0095458C"/>
    <w:rsid w:val="00955591"/>
    <w:rsid w:val="009610F4"/>
    <w:rsid w:val="00961AC0"/>
    <w:rsid w:val="00964FB0"/>
    <w:rsid w:val="0096643D"/>
    <w:rsid w:val="009705B7"/>
    <w:rsid w:val="00972098"/>
    <w:rsid w:val="009725FC"/>
    <w:rsid w:val="00981492"/>
    <w:rsid w:val="00982965"/>
    <w:rsid w:val="00984A23"/>
    <w:rsid w:val="00985EE6"/>
    <w:rsid w:val="00986EF6"/>
    <w:rsid w:val="00991E8F"/>
    <w:rsid w:val="009926C5"/>
    <w:rsid w:val="00992760"/>
    <w:rsid w:val="0099324B"/>
    <w:rsid w:val="009A669A"/>
    <w:rsid w:val="009A7B12"/>
    <w:rsid w:val="009B0A46"/>
    <w:rsid w:val="009B52D6"/>
    <w:rsid w:val="009B6FDE"/>
    <w:rsid w:val="009C1907"/>
    <w:rsid w:val="009C3DAB"/>
    <w:rsid w:val="009C4C82"/>
    <w:rsid w:val="009D0830"/>
    <w:rsid w:val="009D090F"/>
    <w:rsid w:val="009D0DE6"/>
    <w:rsid w:val="009D1BC9"/>
    <w:rsid w:val="009D3E2A"/>
    <w:rsid w:val="009D53C0"/>
    <w:rsid w:val="009D5E04"/>
    <w:rsid w:val="009D6E31"/>
    <w:rsid w:val="009E225D"/>
    <w:rsid w:val="009E4123"/>
    <w:rsid w:val="009F01D6"/>
    <w:rsid w:val="009F217E"/>
    <w:rsid w:val="009F2300"/>
    <w:rsid w:val="009F23E8"/>
    <w:rsid w:val="009F602B"/>
    <w:rsid w:val="009F7E1D"/>
    <w:rsid w:val="00A0247D"/>
    <w:rsid w:val="00A026EC"/>
    <w:rsid w:val="00A0706B"/>
    <w:rsid w:val="00A12478"/>
    <w:rsid w:val="00A157BA"/>
    <w:rsid w:val="00A1639A"/>
    <w:rsid w:val="00A17A85"/>
    <w:rsid w:val="00A20463"/>
    <w:rsid w:val="00A2056A"/>
    <w:rsid w:val="00A25FA2"/>
    <w:rsid w:val="00A26DA8"/>
    <w:rsid w:val="00A32810"/>
    <w:rsid w:val="00A32A65"/>
    <w:rsid w:val="00A330C1"/>
    <w:rsid w:val="00A36007"/>
    <w:rsid w:val="00A373B3"/>
    <w:rsid w:val="00A550E5"/>
    <w:rsid w:val="00A569EE"/>
    <w:rsid w:val="00A64A5D"/>
    <w:rsid w:val="00A66000"/>
    <w:rsid w:val="00A729BC"/>
    <w:rsid w:val="00A73BFA"/>
    <w:rsid w:val="00A82BE8"/>
    <w:rsid w:val="00A85119"/>
    <w:rsid w:val="00A86EF1"/>
    <w:rsid w:val="00A87604"/>
    <w:rsid w:val="00A9048F"/>
    <w:rsid w:val="00A9074D"/>
    <w:rsid w:val="00A90CF6"/>
    <w:rsid w:val="00A916E9"/>
    <w:rsid w:val="00A94F45"/>
    <w:rsid w:val="00AA186D"/>
    <w:rsid w:val="00AA2815"/>
    <w:rsid w:val="00AA50B5"/>
    <w:rsid w:val="00AA6018"/>
    <w:rsid w:val="00AB2FB3"/>
    <w:rsid w:val="00AC0161"/>
    <w:rsid w:val="00AC0CD7"/>
    <w:rsid w:val="00AC1437"/>
    <w:rsid w:val="00AC1AA7"/>
    <w:rsid w:val="00AC250A"/>
    <w:rsid w:val="00AD1B06"/>
    <w:rsid w:val="00AD2A1B"/>
    <w:rsid w:val="00AD3D71"/>
    <w:rsid w:val="00AD4ABE"/>
    <w:rsid w:val="00AD6291"/>
    <w:rsid w:val="00AD7A6C"/>
    <w:rsid w:val="00AE1EB9"/>
    <w:rsid w:val="00AE44D4"/>
    <w:rsid w:val="00AF0FDC"/>
    <w:rsid w:val="00AF2D80"/>
    <w:rsid w:val="00AF5965"/>
    <w:rsid w:val="00AF5E0C"/>
    <w:rsid w:val="00AF6720"/>
    <w:rsid w:val="00AF674E"/>
    <w:rsid w:val="00AF78A4"/>
    <w:rsid w:val="00B0376E"/>
    <w:rsid w:val="00B03EF7"/>
    <w:rsid w:val="00B06BE0"/>
    <w:rsid w:val="00B13923"/>
    <w:rsid w:val="00B141B8"/>
    <w:rsid w:val="00B2028B"/>
    <w:rsid w:val="00B2149E"/>
    <w:rsid w:val="00B24657"/>
    <w:rsid w:val="00B3286B"/>
    <w:rsid w:val="00B365F7"/>
    <w:rsid w:val="00B41D5A"/>
    <w:rsid w:val="00B42454"/>
    <w:rsid w:val="00B461F4"/>
    <w:rsid w:val="00B476F1"/>
    <w:rsid w:val="00B47858"/>
    <w:rsid w:val="00B54B99"/>
    <w:rsid w:val="00B63AB1"/>
    <w:rsid w:val="00B64304"/>
    <w:rsid w:val="00B67A63"/>
    <w:rsid w:val="00B71736"/>
    <w:rsid w:val="00B737BE"/>
    <w:rsid w:val="00B75618"/>
    <w:rsid w:val="00B768BB"/>
    <w:rsid w:val="00B7733A"/>
    <w:rsid w:val="00B82EDF"/>
    <w:rsid w:val="00B85B29"/>
    <w:rsid w:val="00B868F3"/>
    <w:rsid w:val="00B90EC0"/>
    <w:rsid w:val="00B9109E"/>
    <w:rsid w:val="00B91D65"/>
    <w:rsid w:val="00B9268B"/>
    <w:rsid w:val="00B963DB"/>
    <w:rsid w:val="00B96916"/>
    <w:rsid w:val="00BA1646"/>
    <w:rsid w:val="00BA1B2E"/>
    <w:rsid w:val="00BB0BF0"/>
    <w:rsid w:val="00BC2A68"/>
    <w:rsid w:val="00BC6229"/>
    <w:rsid w:val="00BD3B20"/>
    <w:rsid w:val="00BD52BE"/>
    <w:rsid w:val="00BD53E8"/>
    <w:rsid w:val="00BD59A5"/>
    <w:rsid w:val="00BE0F01"/>
    <w:rsid w:val="00BE52BF"/>
    <w:rsid w:val="00BF1F46"/>
    <w:rsid w:val="00BF2009"/>
    <w:rsid w:val="00BF38E6"/>
    <w:rsid w:val="00BF4018"/>
    <w:rsid w:val="00BF44B1"/>
    <w:rsid w:val="00BF518B"/>
    <w:rsid w:val="00C01DAC"/>
    <w:rsid w:val="00C01FAB"/>
    <w:rsid w:val="00C0205C"/>
    <w:rsid w:val="00C07239"/>
    <w:rsid w:val="00C07CC4"/>
    <w:rsid w:val="00C145E4"/>
    <w:rsid w:val="00C14F00"/>
    <w:rsid w:val="00C15E85"/>
    <w:rsid w:val="00C17117"/>
    <w:rsid w:val="00C17AB5"/>
    <w:rsid w:val="00C230FF"/>
    <w:rsid w:val="00C278C1"/>
    <w:rsid w:val="00C34504"/>
    <w:rsid w:val="00C34BB0"/>
    <w:rsid w:val="00C353FA"/>
    <w:rsid w:val="00C415B1"/>
    <w:rsid w:val="00C428A2"/>
    <w:rsid w:val="00C42A04"/>
    <w:rsid w:val="00C44E8F"/>
    <w:rsid w:val="00C460CB"/>
    <w:rsid w:val="00C46CB2"/>
    <w:rsid w:val="00C56FCA"/>
    <w:rsid w:val="00C57967"/>
    <w:rsid w:val="00C63B11"/>
    <w:rsid w:val="00C64EB1"/>
    <w:rsid w:val="00C7399F"/>
    <w:rsid w:val="00C73CED"/>
    <w:rsid w:val="00C81208"/>
    <w:rsid w:val="00C834A9"/>
    <w:rsid w:val="00C85A2B"/>
    <w:rsid w:val="00C87E8A"/>
    <w:rsid w:val="00C95A38"/>
    <w:rsid w:val="00C9645E"/>
    <w:rsid w:val="00CA0640"/>
    <w:rsid w:val="00CA1959"/>
    <w:rsid w:val="00CA2AA4"/>
    <w:rsid w:val="00CB3281"/>
    <w:rsid w:val="00CB7E6E"/>
    <w:rsid w:val="00CC3AC6"/>
    <w:rsid w:val="00CC4D62"/>
    <w:rsid w:val="00CC6DA5"/>
    <w:rsid w:val="00CD190D"/>
    <w:rsid w:val="00CD1BF6"/>
    <w:rsid w:val="00CD4705"/>
    <w:rsid w:val="00CE15D0"/>
    <w:rsid w:val="00CE245D"/>
    <w:rsid w:val="00CE25A3"/>
    <w:rsid w:val="00CE36E9"/>
    <w:rsid w:val="00CE4B46"/>
    <w:rsid w:val="00CF374B"/>
    <w:rsid w:val="00D04D00"/>
    <w:rsid w:val="00D0509F"/>
    <w:rsid w:val="00D11339"/>
    <w:rsid w:val="00D135DB"/>
    <w:rsid w:val="00D14B9D"/>
    <w:rsid w:val="00D14D5D"/>
    <w:rsid w:val="00D20FDC"/>
    <w:rsid w:val="00D24176"/>
    <w:rsid w:val="00D26025"/>
    <w:rsid w:val="00D26D65"/>
    <w:rsid w:val="00D3081F"/>
    <w:rsid w:val="00D338E1"/>
    <w:rsid w:val="00D41C2A"/>
    <w:rsid w:val="00D4797C"/>
    <w:rsid w:val="00D500CA"/>
    <w:rsid w:val="00D52BC0"/>
    <w:rsid w:val="00D534DA"/>
    <w:rsid w:val="00D5417E"/>
    <w:rsid w:val="00D66618"/>
    <w:rsid w:val="00D70131"/>
    <w:rsid w:val="00D7149F"/>
    <w:rsid w:val="00D73620"/>
    <w:rsid w:val="00D74DA5"/>
    <w:rsid w:val="00D76C80"/>
    <w:rsid w:val="00D77F55"/>
    <w:rsid w:val="00D80BEB"/>
    <w:rsid w:val="00D80D92"/>
    <w:rsid w:val="00D81273"/>
    <w:rsid w:val="00D8275C"/>
    <w:rsid w:val="00D84D59"/>
    <w:rsid w:val="00D8512A"/>
    <w:rsid w:val="00D85F0C"/>
    <w:rsid w:val="00D85F0D"/>
    <w:rsid w:val="00D86ED0"/>
    <w:rsid w:val="00D90AE7"/>
    <w:rsid w:val="00D90B76"/>
    <w:rsid w:val="00D921BA"/>
    <w:rsid w:val="00D97651"/>
    <w:rsid w:val="00DA292A"/>
    <w:rsid w:val="00DA2DD0"/>
    <w:rsid w:val="00DA5A30"/>
    <w:rsid w:val="00DA631C"/>
    <w:rsid w:val="00DB4FBB"/>
    <w:rsid w:val="00DB61B1"/>
    <w:rsid w:val="00DC1BC2"/>
    <w:rsid w:val="00DC3650"/>
    <w:rsid w:val="00DC40DE"/>
    <w:rsid w:val="00DC5FDD"/>
    <w:rsid w:val="00DD03F6"/>
    <w:rsid w:val="00DD0D61"/>
    <w:rsid w:val="00DD1E18"/>
    <w:rsid w:val="00DD32C2"/>
    <w:rsid w:val="00DD3693"/>
    <w:rsid w:val="00DD4CCE"/>
    <w:rsid w:val="00DD5465"/>
    <w:rsid w:val="00DD66D0"/>
    <w:rsid w:val="00DE0487"/>
    <w:rsid w:val="00DE1840"/>
    <w:rsid w:val="00DE1BEC"/>
    <w:rsid w:val="00DE2FD0"/>
    <w:rsid w:val="00DE7CD1"/>
    <w:rsid w:val="00DF1028"/>
    <w:rsid w:val="00DF1FDB"/>
    <w:rsid w:val="00DF44F8"/>
    <w:rsid w:val="00E02B7D"/>
    <w:rsid w:val="00E033D1"/>
    <w:rsid w:val="00E04764"/>
    <w:rsid w:val="00E05C59"/>
    <w:rsid w:val="00E061FC"/>
    <w:rsid w:val="00E068F1"/>
    <w:rsid w:val="00E10FA7"/>
    <w:rsid w:val="00E14F60"/>
    <w:rsid w:val="00E17A61"/>
    <w:rsid w:val="00E20CF2"/>
    <w:rsid w:val="00E327E5"/>
    <w:rsid w:val="00E37CE0"/>
    <w:rsid w:val="00E415D0"/>
    <w:rsid w:val="00E427CE"/>
    <w:rsid w:val="00E45AC6"/>
    <w:rsid w:val="00E461E0"/>
    <w:rsid w:val="00E47563"/>
    <w:rsid w:val="00E5395D"/>
    <w:rsid w:val="00E61AD6"/>
    <w:rsid w:val="00E62FA0"/>
    <w:rsid w:val="00E63C62"/>
    <w:rsid w:val="00E76E2B"/>
    <w:rsid w:val="00E8370E"/>
    <w:rsid w:val="00E84C02"/>
    <w:rsid w:val="00E867E5"/>
    <w:rsid w:val="00E906CF"/>
    <w:rsid w:val="00E91012"/>
    <w:rsid w:val="00E94691"/>
    <w:rsid w:val="00E96FA5"/>
    <w:rsid w:val="00EA1498"/>
    <w:rsid w:val="00EA52B0"/>
    <w:rsid w:val="00EA7DD4"/>
    <w:rsid w:val="00EB53B8"/>
    <w:rsid w:val="00EB6AD5"/>
    <w:rsid w:val="00EC03D5"/>
    <w:rsid w:val="00EC2B25"/>
    <w:rsid w:val="00EC3647"/>
    <w:rsid w:val="00ED049E"/>
    <w:rsid w:val="00ED167B"/>
    <w:rsid w:val="00EE4833"/>
    <w:rsid w:val="00EE4B54"/>
    <w:rsid w:val="00EE4D65"/>
    <w:rsid w:val="00EE60C6"/>
    <w:rsid w:val="00EE62FF"/>
    <w:rsid w:val="00EE6B94"/>
    <w:rsid w:val="00EF1402"/>
    <w:rsid w:val="00EF1888"/>
    <w:rsid w:val="00EF38EE"/>
    <w:rsid w:val="00EF3C07"/>
    <w:rsid w:val="00EF4044"/>
    <w:rsid w:val="00EF4A91"/>
    <w:rsid w:val="00F02107"/>
    <w:rsid w:val="00F0328C"/>
    <w:rsid w:val="00F05AC2"/>
    <w:rsid w:val="00F07E8C"/>
    <w:rsid w:val="00F07F72"/>
    <w:rsid w:val="00F13AC6"/>
    <w:rsid w:val="00F15EA0"/>
    <w:rsid w:val="00F16F37"/>
    <w:rsid w:val="00F20EE4"/>
    <w:rsid w:val="00F22173"/>
    <w:rsid w:val="00F245FE"/>
    <w:rsid w:val="00F24AF5"/>
    <w:rsid w:val="00F309E1"/>
    <w:rsid w:val="00F30B1A"/>
    <w:rsid w:val="00F31B96"/>
    <w:rsid w:val="00F34F77"/>
    <w:rsid w:val="00F403B9"/>
    <w:rsid w:val="00F42CA2"/>
    <w:rsid w:val="00F45D4C"/>
    <w:rsid w:val="00F461C3"/>
    <w:rsid w:val="00F47A16"/>
    <w:rsid w:val="00F47FA3"/>
    <w:rsid w:val="00F561F5"/>
    <w:rsid w:val="00F56BD5"/>
    <w:rsid w:val="00F64339"/>
    <w:rsid w:val="00F64782"/>
    <w:rsid w:val="00F65BE2"/>
    <w:rsid w:val="00F6695C"/>
    <w:rsid w:val="00F75E35"/>
    <w:rsid w:val="00F8254E"/>
    <w:rsid w:val="00F86FE5"/>
    <w:rsid w:val="00F876AB"/>
    <w:rsid w:val="00F87FBA"/>
    <w:rsid w:val="00F9636A"/>
    <w:rsid w:val="00F97225"/>
    <w:rsid w:val="00FA6D64"/>
    <w:rsid w:val="00FB1547"/>
    <w:rsid w:val="00FB18FF"/>
    <w:rsid w:val="00FB3F3E"/>
    <w:rsid w:val="00FB6967"/>
    <w:rsid w:val="00FB7689"/>
    <w:rsid w:val="00FC34E1"/>
    <w:rsid w:val="00FC3EE1"/>
    <w:rsid w:val="00FD100B"/>
    <w:rsid w:val="00FD1061"/>
    <w:rsid w:val="00FD1A73"/>
    <w:rsid w:val="00FE0045"/>
    <w:rsid w:val="00FE06A3"/>
    <w:rsid w:val="00FE2D96"/>
    <w:rsid w:val="00FE66B4"/>
    <w:rsid w:val="00FF11C2"/>
    <w:rsid w:val="00FF49BB"/>
    <w:rsid w:val="00FF5867"/>
    <w:rsid w:val="00FF64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932"/>
  <w15:docId w15:val="{0E529EE9-36C9-2243-AA50-D5579E21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62"/>
    <w:pPr>
      <w:suppressAutoHyphens w:val="0"/>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523E83"/>
    <w:pPr>
      <w:spacing w:beforeAutospacing="1" w:afterAutospacing="1"/>
    </w:pPr>
  </w:style>
  <w:style w:type="paragraph" w:styleId="AklamaMetni">
    <w:name w:val="annotation text"/>
    <w:basedOn w:val="Normal"/>
    <w:link w:val="AklamaMetniChar"/>
    <w:uiPriority w:val="99"/>
    <w:unhideWhenUsed/>
    <w:rPr>
      <w:sz w:val="20"/>
      <w:szCs w:val="20"/>
    </w:rPr>
  </w:style>
  <w:style w:type="character" w:customStyle="1" w:styleId="AklamaMetniChar">
    <w:name w:val="Açıklama Metni Char"/>
    <w:basedOn w:val="VarsaylanParagrafYazTipi"/>
    <w:link w:val="AklamaMetni"/>
    <w:uiPriority w:val="99"/>
    <w:rPr>
      <w:sz w:val="20"/>
      <w:szCs w:val="20"/>
    </w:rPr>
  </w:style>
  <w:style w:type="character" w:styleId="AklamaBavurusu">
    <w:name w:val="annotation reference"/>
    <w:basedOn w:val="VarsaylanParagrafYazTipi"/>
    <w:uiPriority w:val="99"/>
    <w:semiHidden/>
    <w:unhideWhenUsed/>
    <w:rPr>
      <w:sz w:val="16"/>
      <w:szCs w:val="16"/>
    </w:rPr>
  </w:style>
  <w:style w:type="paragraph" w:styleId="Dzeltme">
    <w:name w:val="Revision"/>
    <w:hidden/>
    <w:uiPriority w:val="99"/>
    <w:semiHidden/>
    <w:rsid w:val="003A1822"/>
    <w:pPr>
      <w:suppressAutoHyphens w:val="0"/>
    </w:pPr>
  </w:style>
  <w:style w:type="paragraph" w:styleId="DipnotMetni">
    <w:name w:val="footnote text"/>
    <w:basedOn w:val="Normal"/>
    <w:link w:val="DipnotMetniChar"/>
    <w:uiPriority w:val="99"/>
    <w:semiHidden/>
    <w:unhideWhenUsed/>
    <w:rsid w:val="005A1BB8"/>
    <w:rPr>
      <w:sz w:val="20"/>
      <w:szCs w:val="20"/>
    </w:rPr>
  </w:style>
  <w:style w:type="character" w:customStyle="1" w:styleId="DipnotMetniChar">
    <w:name w:val="Dipnot Metni Char"/>
    <w:basedOn w:val="VarsaylanParagrafYazTipi"/>
    <w:link w:val="DipnotMetni"/>
    <w:uiPriority w:val="99"/>
    <w:semiHidden/>
    <w:rsid w:val="005A1BB8"/>
    <w:rPr>
      <w:sz w:val="20"/>
      <w:szCs w:val="20"/>
    </w:rPr>
  </w:style>
  <w:style w:type="character" w:styleId="DipnotBavurusu">
    <w:name w:val="footnote reference"/>
    <w:basedOn w:val="VarsaylanParagrafYazTipi"/>
    <w:uiPriority w:val="99"/>
    <w:semiHidden/>
    <w:unhideWhenUsed/>
    <w:rsid w:val="005A1BB8"/>
    <w:rPr>
      <w:vertAlign w:val="superscript"/>
    </w:rPr>
  </w:style>
  <w:style w:type="paragraph" w:styleId="ListeParagraf">
    <w:name w:val="List Paragraph"/>
    <w:basedOn w:val="Normal"/>
    <w:uiPriority w:val="34"/>
    <w:qFormat/>
    <w:rsid w:val="003B4A9D"/>
    <w:pPr>
      <w:ind w:left="720"/>
      <w:contextualSpacing/>
    </w:pPr>
  </w:style>
  <w:style w:type="paragraph" w:styleId="AklamaKonusu">
    <w:name w:val="annotation subject"/>
    <w:basedOn w:val="AklamaMetni"/>
    <w:next w:val="AklamaMetni"/>
    <w:link w:val="AklamaKonusuChar"/>
    <w:uiPriority w:val="99"/>
    <w:semiHidden/>
    <w:unhideWhenUsed/>
    <w:rsid w:val="0050560E"/>
    <w:rPr>
      <w:b/>
      <w:bCs/>
    </w:rPr>
  </w:style>
  <w:style w:type="character" w:customStyle="1" w:styleId="AklamaKonusuChar">
    <w:name w:val="Açıklama Konusu Char"/>
    <w:basedOn w:val="AklamaMetniChar"/>
    <w:link w:val="AklamaKonusu"/>
    <w:uiPriority w:val="99"/>
    <w:semiHidden/>
    <w:rsid w:val="0050560E"/>
    <w:rPr>
      <w:b/>
      <w:bCs/>
      <w:sz w:val="20"/>
      <w:szCs w:val="20"/>
    </w:rPr>
  </w:style>
  <w:style w:type="character" w:styleId="Kpr">
    <w:name w:val="Hyperlink"/>
    <w:basedOn w:val="VarsaylanParagrafYazTipi"/>
    <w:uiPriority w:val="99"/>
    <w:unhideWhenUsed/>
    <w:rsid w:val="00735230"/>
    <w:rPr>
      <w:color w:val="0563C1" w:themeColor="hyperlink"/>
      <w:u w:val="single"/>
    </w:rPr>
  </w:style>
  <w:style w:type="character" w:styleId="zmlenmeyenBahsetme">
    <w:name w:val="Unresolved Mention"/>
    <w:basedOn w:val="VarsaylanParagrafYazTipi"/>
    <w:uiPriority w:val="99"/>
    <w:semiHidden/>
    <w:unhideWhenUsed/>
    <w:rsid w:val="00735230"/>
    <w:rPr>
      <w:color w:val="605E5C"/>
      <w:shd w:val="clear" w:color="auto" w:fill="E1DFDD"/>
    </w:rPr>
  </w:style>
  <w:style w:type="paragraph" w:styleId="AltBilgi">
    <w:name w:val="footer"/>
    <w:basedOn w:val="Normal"/>
    <w:link w:val="AltBilgiChar"/>
    <w:uiPriority w:val="99"/>
    <w:unhideWhenUsed/>
    <w:rsid w:val="00D8512A"/>
    <w:pPr>
      <w:tabs>
        <w:tab w:val="center" w:pos="4680"/>
        <w:tab w:val="right" w:pos="9360"/>
      </w:tabs>
    </w:pPr>
  </w:style>
  <w:style w:type="character" w:customStyle="1" w:styleId="AltBilgiChar">
    <w:name w:val="Alt Bilgi Char"/>
    <w:basedOn w:val="VarsaylanParagrafYazTipi"/>
    <w:link w:val="AltBilgi"/>
    <w:uiPriority w:val="99"/>
    <w:rsid w:val="00D8512A"/>
    <w:rPr>
      <w:rFonts w:ascii="Times New Roman" w:eastAsia="Times New Roman" w:hAnsi="Times New Roman" w:cs="Times New Roman"/>
    </w:rPr>
  </w:style>
  <w:style w:type="character" w:styleId="SayfaNumaras">
    <w:name w:val="page number"/>
    <w:basedOn w:val="VarsaylanParagrafYazTipi"/>
    <w:uiPriority w:val="99"/>
    <w:semiHidden/>
    <w:unhideWhenUsed/>
    <w:rsid w:val="00D8512A"/>
  </w:style>
  <w:style w:type="paragraph" w:styleId="stBilgi">
    <w:name w:val="header"/>
    <w:basedOn w:val="Normal"/>
    <w:link w:val="stBilgiChar"/>
    <w:uiPriority w:val="99"/>
    <w:unhideWhenUsed/>
    <w:rsid w:val="00356397"/>
    <w:pPr>
      <w:tabs>
        <w:tab w:val="center" w:pos="4680"/>
        <w:tab w:val="right" w:pos="9360"/>
      </w:tabs>
    </w:pPr>
  </w:style>
  <w:style w:type="character" w:customStyle="1" w:styleId="stBilgiChar">
    <w:name w:val="Üst Bilgi Char"/>
    <w:basedOn w:val="VarsaylanParagrafYazTipi"/>
    <w:link w:val="stBilgi"/>
    <w:uiPriority w:val="99"/>
    <w:rsid w:val="003563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615">
      <w:bodyDiv w:val="1"/>
      <w:marLeft w:val="0"/>
      <w:marRight w:val="0"/>
      <w:marTop w:val="0"/>
      <w:marBottom w:val="0"/>
      <w:divBdr>
        <w:top w:val="none" w:sz="0" w:space="0" w:color="auto"/>
        <w:left w:val="none" w:sz="0" w:space="0" w:color="auto"/>
        <w:bottom w:val="none" w:sz="0" w:space="0" w:color="auto"/>
        <w:right w:val="none" w:sz="0" w:space="0" w:color="auto"/>
      </w:divBdr>
    </w:div>
    <w:div w:id="483012704">
      <w:bodyDiv w:val="1"/>
      <w:marLeft w:val="0"/>
      <w:marRight w:val="0"/>
      <w:marTop w:val="0"/>
      <w:marBottom w:val="0"/>
      <w:divBdr>
        <w:top w:val="none" w:sz="0" w:space="0" w:color="auto"/>
        <w:left w:val="none" w:sz="0" w:space="0" w:color="auto"/>
        <w:bottom w:val="none" w:sz="0" w:space="0" w:color="auto"/>
        <w:right w:val="none" w:sz="0" w:space="0" w:color="auto"/>
      </w:divBdr>
    </w:div>
    <w:div w:id="566234231">
      <w:bodyDiv w:val="1"/>
      <w:marLeft w:val="0"/>
      <w:marRight w:val="0"/>
      <w:marTop w:val="0"/>
      <w:marBottom w:val="0"/>
      <w:divBdr>
        <w:top w:val="none" w:sz="0" w:space="0" w:color="auto"/>
        <w:left w:val="none" w:sz="0" w:space="0" w:color="auto"/>
        <w:bottom w:val="none" w:sz="0" w:space="0" w:color="auto"/>
        <w:right w:val="none" w:sz="0" w:space="0" w:color="auto"/>
      </w:divBdr>
    </w:div>
    <w:div w:id="621570152">
      <w:bodyDiv w:val="1"/>
      <w:marLeft w:val="0"/>
      <w:marRight w:val="0"/>
      <w:marTop w:val="0"/>
      <w:marBottom w:val="0"/>
      <w:divBdr>
        <w:top w:val="none" w:sz="0" w:space="0" w:color="auto"/>
        <w:left w:val="none" w:sz="0" w:space="0" w:color="auto"/>
        <w:bottom w:val="none" w:sz="0" w:space="0" w:color="auto"/>
        <w:right w:val="none" w:sz="0" w:space="0" w:color="auto"/>
      </w:divBdr>
    </w:div>
    <w:div w:id="701441938">
      <w:bodyDiv w:val="1"/>
      <w:marLeft w:val="0"/>
      <w:marRight w:val="0"/>
      <w:marTop w:val="0"/>
      <w:marBottom w:val="0"/>
      <w:divBdr>
        <w:top w:val="none" w:sz="0" w:space="0" w:color="auto"/>
        <w:left w:val="none" w:sz="0" w:space="0" w:color="auto"/>
        <w:bottom w:val="none" w:sz="0" w:space="0" w:color="auto"/>
        <w:right w:val="none" w:sz="0" w:space="0" w:color="auto"/>
      </w:divBdr>
    </w:div>
    <w:div w:id="851065046">
      <w:bodyDiv w:val="1"/>
      <w:marLeft w:val="0"/>
      <w:marRight w:val="0"/>
      <w:marTop w:val="0"/>
      <w:marBottom w:val="0"/>
      <w:divBdr>
        <w:top w:val="none" w:sz="0" w:space="0" w:color="auto"/>
        <w:left w:val="none" w:sz="0" w:space="0" w:color="auto"/>
        <w:bottom w:val="none" w:sz="0" w:space="0" w:color="auto"/>
        <w:right w:val="none" w:sz="0" w:space="0" w:color="auto"/>
      </w:divBdr>
    </w:div>
    <w:div w:id="977147266">
      <w:bodyDiv w:val="1"/>
      <w:marLeft w:val="0"/>
      <w:marRight w:val="0"/>
      <w:marTop w:val="0"/>
      <w:marBottom w:val="0"/>
      <w:divBdr>
        <w:top w:val="none" w:sz="0" w:space="0" w:color="auto"/>
        <w:left w:val="none" w:sz="0" w:space="0" w:color="auto"/>
        <w:bottom w:val="none" w:sz="0" w:space="0" w:color="auto"/>
        <w:right w:val="none" w:sz="0" w:space="0" w:color="auto"/>
      </w:divBdr>
    </w:div>
    <w:div w:id="1010525632">
      <w:bodyDiv w:val="1"/>
      <w:marLeft w:val="0"/>
      <w:marRight w:val="0"/>
      <w:marTop w:val="0"/>
      <w:marBottom w:val="0"/>
      <w:divBdr>
        <w:top w:val="none" w:sz="0" w:space="0" w:color="auto"/>
        <w:left w:val="none" w:sz="0" w:space="0" w:color="auto"/>
        <w:bottom w:val="none" w:sz="0" w:space="0" w:color="auto"/>
        <w:right w:val="none" w:sz="0" w:space="0" w:color="auto"/>
      </w:divBdr>
    </w:div>
    <w:div w:id="1028414191">
      <w:bodyDiv w:val="1"/>
      <w:marLeft w:val="0"/>
      <w:marRight w:val="0"/>
      <w:marTop w:val="0"/>
      <w:marBottom w:val="0"/>
      <w:divBdr>
        <w:top w:val="none" w:sz="0" w:space="0" w:color="auto"/>
        <w:left w:val="none" w:sz="0" w:space="0" w:color="auto"/>
        <w:bottom w:val="none" w:sz="0" w:space="0" w:color="auto"/>
        <w:right w:val="none" w:sz="0" w:space="0" w:color="auto"/>
      </w:divBdr>
    </w:div>
    <w:div w:id="1363432380">
      <w:bodyDiv w:val="1"/>
      <w:marLeft w:val="0"/>
      <w:marRight w:val="0"/>
      <w:marTop w:val="0"/>
      <w:marBottom w:val="0"/>
      <w:divBdr>
        <w:top w:val="none" w:sz="0" w:space="0" w:color="auto"/>
        <w:left w:val="none" w:sz="0" w:space="0" w:color="auto"/>
        <w:bottom w:val="none" w:sz="0" w:space="0" w:color="auto"/>
        <w:right w:val="none" w:sz="0" w:space="0" w:color="auto"/>
      </w:divBdr>
    </w:div>
    <w:div w:id="1864199002">
      <w:bodyDiv w:val="1"/>
      <w:marLeft w:val="0"/>
      <w:marRight w:val="0"/>
      <w:marTop w:val="0"/>
      <w:marBottom w:val="0"/>
      <w:divBdr>
        <w:top w:val="none" w:sz="0" w:space="0" w:color="auto"/>
        <w:left w:val="none" w:sz="0" w:space="0" w:color="auto"/>
        <w:bottom w:val="none" w:sz="0" w:space="0" w:color="auto"/>
        <w:right w:val="none" w:sz="0" w:space="0" w:color="auto"/>
      </w:divBdr>
    </w:div>
    <w:div w:id="1974828910">
      <w:bodyDiv w:val="1"/>
      <w:marLeft w:val="0"/>
      <w:marRight w:val="0"/>
      <w:marTop w:val="0"/>
      <w:marBottom w:val="0"/>
      <w:divBdr>
        <w:top w:val="none" w:sz="0" w:space="0" w:color="auto"/>
        <w:left w:val="none" w:sz="0" w:space="0" w:color="auto"/>
        <w:bottom w:val="none" w:sz="0" w:space="0" w:color="auto"/>
        <w:right w:val="none" w:sz="0" w:space="0" w:color="auto"/>
      </w:divBdr>
    </w:div>
    <w:div w:id="1976375166">
      <w:bodyDiv w:val="1"/>
      <w:marLeft w:val="0"/>
      <w:marRight w:val="0"/>
      <w:marTop w:val="0"/>
      <w:marBottom w:val="0"/>
      <w:divBdr>
        <w:top w:val="none" w:sz="0" w:space="0" w:color="auto"/>
        <w:left w:val="none" w:sz="0" w:space="0" w:color="auto"/>
        <w:bottom w:val="none" w:sz="0" w:space="0" w:color="auto"/>
        <w:right w:val="none" w:sz="0" w:space="0" w:color="auto"/>
      </w:divBdr>
    </w:div>
    <w:div w:id="212889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bb.gov.tr/wp-content/uploads/2022/09/Orta-Vadeli-Program-2023-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74E8-8F25-FF4F-BA64-FD321CED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12</Pages>
  <Words>5096</Words>
  <Characters>29050</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Yılmaz</dc:creator>
  <dc:description/>
  <cp:lastModifiedBy>Merve Akgul</cp:lastModifiedBy>
  <cp:revision>247</cp:revision>
  <cp:lastPrinted>2023-02-27T14:01:00Z</cp:lastPrinted>
  <dcterms:created xsi:type="dcterms:W3CDTF">2023-03-11T09:33:00Z</dcterms:created>
  <dcterms:modified xsi:type="dcterms:W3CDTF">2023-03-16T06:23:00Z</dcterms:modified>
  <dc:language>en-US</dc:language>
</cp:coreProperties>
</file>