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C6EC0" w14:textId="39C48860" w:rsidR="00667FE8" w:rsidRPr="008D3891" w:rsidRDefault="00BC6FF7">
      <w:pPr>
        <w:rPr>
          <w:rFonts w:ascii="Arial" w:hAnsi="Arial" w:cs="Arial"/>
          <w:color w:val="FF0000"/>
          <w:sz w:val="20"/>
          <w:szCs w:val="20"/>
          <w:lang w:val="en-US"/>
        </w:rPr>
      </w:pPr>
      <w:r w:rsidRPr="008D3891">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71AF9CD">
                <wp:simplePos x="0" y="0"/>
                <wp:positionH relativeFrom="column">
                  <wp:posOffset>2022641</wp:posOffset>
                </wp:positionH>
                <wp:positionV relativeFrom="paragraph">
                  <wp:posOffset>-359741</wp:posOffset>
                </wp:positionV>
                <wp:extent cx="4045405" cy="45123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4512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A1441" w14:textId="0CCC44B7" w:rsidR="00E5791D" w:rsidRPr="00406B3C" w:rsidRDefault="00E5791D" w:rsidP="00406B3C">
                            <w:pPr>
                              <w:ind w:left="709" w:firstLine="709"/>
                              <w:rPr>
                                <w:b/>
                                <w:sz w:val="44"/>
                                <w:szCs w:val="40"/>
                                <w:lang w:val="en-US"/>
                              </w:rPr>
                            </w:pPr>
                            <w:r w:rsidRPr="00406B3C">
                              <w:rPr>
                                <w:b/>
                                <w:sz w:val="44"/>
                                <w:szCs w:val="40"/>
                                <w:lang w:val="en-US"/>
                              </w:rPr>
                              <w:t xml:space="preserve">Research Brief </w:t>
                            </w:r>
                            <w:r w:rsidR="007C7BD6">
                              <w:rPr>
                                <w:b/>
                                <w:sz w:val="44"/>
                                <w:szCs w:val="40"/>
                                <w:lang w:val="en-US"/>
                              </w:rPr>
                              <w:t>259</w:t>
                            </w:r>
                          </w:p>
                          <w:p w14:paraId="7CF7FDEA" w14:textId="77777777" w:rsidR="00E5791D" w:rsidRPr="00526178" w:rsidRDefault="00E579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9.25pt;margin-top:-28.35pt;width:318.55pt;height:35.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Ia09gEAANcDAAAOAAAAZHJzL2Uyb0RvYy54bWysU9tu2zAMfR+wfxD0vtjJkmIw6hRdigwD&#13;&#10;ugvQ7QNkWb5gsqiRSuzs60fJSbrL2zA/CBQpHpKHx7d302DF0SD14Eq5XORSGKeh7l1byq9f9q/e&#13;&#10;SEFBuVpZcKaUJ0Pybvvyxe3oC7OCDmxtUDCIo2L0pexC8EWWke7MoGgB3jgONoCDCnzFNqtRjYw+&#13;&#10;2GyV5zfZCFh7BG2I2PswB+U24TeN0eFT05AJwpaSewvpxHRW8cy2t6poUfmu1+c21D90MajecdEr&#13;&#10;1IMKShyw/wtq6DUCQRMWGoYMmqbXJs3A0yzzP6Z56pQ3aRYmh/yVJvp/sPrj8cl/RhGmtzDxAtMQ&#13;&#10;5B9BfyPhYNcp15p7RBg7o2ouvIyUZaOn4pwaqaaCIkg1foCal6wOARLQ1OAQWeE5BaPzAk5X0s0U&#13;&#10;hGbnOl9v1vlGCs2x9Wa5en2TSqjiku2RwjsDg4hGKZGXmtDV8ZFC7EYVlyexGIHt631vbbpgW+0s&#13;&#10;iqNiAezTN+da36nZm0TAGDQ/TXi/YVgXkRxEzLlc9CQO4tgzAWGqJg5GLiqoT8wGwqw2/jvY6AB/&#13;&#10;SDGy0kpJ3w8KjRT2vWNGoywvBl6M6mIopzm1lEGK2dyFWb4Hj33bMfK8Mwf3zHrTJ0Keuzj3yepJ&#13;&#10;c52VHuX56z29ev4ftz8BAAD//wMAUEsDBBQABgAIAAAAIQCYyRhu4wAAAA8BAAAPAAAAZHJzL2Rv&#13;&#10;d25yZXYueG1sTI9BT8MwDIXvSPyHyEjctnRj7bqu6QSb4IooSLtmrddUbZyqybby7zEnuFiy/L3n&#13;&#10;9/LdZHtxxdG3jhQs5hEIpMrVLTUKvj5fZykIHzTVuneECr7Rw664v8t1VrsbfeC1DI1gE/KZVmBC&#13;&#10;GDIpfWXQaj93AxLfzm60OvA6NrIe9Y3NbS+XUZRIq1viD0YPuDdYdeXFKnh6X66P/q087IcjbrrU&#13;&#10;v3RnMko9PkyHLY/nLYiAU/hTwG8Hzg8FBzu5C9Ve9Gy0SGNGFcziZA2CiU0cJyBOjK5WIItc/u9R&#13;&#10;/AAAAP//AwBQSwECLQAUAAYACAAAACEAtoM4kv4AAADhAQAAEwAAAAAAAAAAAAAAAAAAAAAAW0Nv&#13;&#10;bnRlbnRfVHlwZXNdLnhtbFBLAQItABQABgAIAAAAIQA4/SH/1gAAAJQBAAALAAAAAAAAAAAAAAAA&#13;&#10;AC8BAABfcmVscy8ucmVsc1BLAQItABQABgAIAAAAIQAXKIa09gEAANcDAAAOAAAAAAAAAAAAAAAA&#13;&#10;AC4CAABkcnMvZTJvRG9jLnhtbFBLAQItABQABgAIAAAAIQCYyRhu4wAAAA8BAAAPAAAAAAAAAAAA&#13;&#10;AAAAAFAEAABkcnMvZG93bnJldi54bWxQSwUGAAAAAAQABADzAAAAYAUAAAAA&#13;&#10;" stroked="f">
                <v:fill opacity="0"/>
                <v:textbox inset="0,0,0,0">
                  <w:txbxContent>
                    <w:p w14:paraId="684A1441" w14:textId="0CCC44B7" w:rsidR="00E5791D" w:rsidRPr="00406B3C" w:rsidRDefault="00E5791D" w:rsidP="00406B3C">
                      <w:pPr>
                        <w:ind w:left="709" w:firstLine="709"/>
                        <w:rPr>
                          <w:b/>
                          <w:sz w:val="44"/>
                          <w:szCs w:val="40"/>
                          <w:lang w:val="en-US"/>
                        </w:rPr>
                      </w:pPr>
                      <w:r w:rsidRPr="00406B3C">
                        <w:rPr>
                          <w:b/>
                          <w:sz w:val="44"/>
                          <w:szCs w:val="40"/>
                          <w:lang w:val="en-US"/>
                        </w:rPr>
                        <w:t xml:space="preserve">Research Brief </w:t>
                      </w:r>
                      <w:r w:rsidR="007C7BD6">
                        <w:rPr>
                          <w:b/>
                          <w:sz w:val="44"/>
                          <w:szCs w:val="40"/>
                          <w:lang w:val="en-US"/>
                        </w:rPr>
                        <w:t>259</w:t>
                      </w:r>
                    </w:p>
                    <w:p w14:paraId="7CF7FDEA" w14:textId="77777777" w:rsidR="00E5791D" w:rsidRPr="00526178" w:rsidRDefault="00E5791D"/>
                  </w:txbxContent>
                </v:textbox>
              </v:shape>
            </w:pict>
          </mc:Fallback>
        </mc:AlternateContent>
      </w:r>
      <w:r w:rsidRPr="008D3891">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8D3891" w:rsidRDefault="00667FE8">
      <w:pPr>
        <w:rPr>
          <w:rFonts w:ascii="Arial" w:hAnsi="Arial" w:cs="Arial"/>
          <w:color w:val="FF0000"/>
          <w:sz w:val="20"/>
          <w:szCs w:val="20"/>
          <w:lang w:val="en-US"/>
        </w:rPr>
      </w:pPr>
    </w:p>
    <w:p w14:paraId="359E40B4" w14:textId="5F910EAE" w:rsidR="00667FE8" w:rsidRPr="008D3891" w:rsidRDefault="005538AE">
      <w:pPr>
        <w:rPr>
          <w:rFonts w:ascii="Arial" w:hAnsi="Arial" w:cs="Arial"/>
          <w:color w:val="FF0000"/>
          <w:sz w:val="20"/>
          <w:szCs w:val="20"/>
          <w:lang w:val="en-US"/>
        </w:rPr>
      </w:pPr>
      <w:r w:rsidRPr="008D3891">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3A2B9854">
                <wp:simplePos x="0" y="0"/>
                <wp:positionH relativeFrom="page">
                  <wp:posOffset>5868035</wp:posOffset>
                </wp:positionH>
                <wp:positionV relativeFrom="paragraph">
                  <wp:posOffset>103505</wp:posOffset>
                </wp:positionV>
                <wp:extent cx="1494431" cy="201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31" cy="2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6FB7BA65" w:rsidR="00E5791D" w:rsidRPr="00406B3C" w:rsidRDefault="00AE7C33" w:rsidP="008D3891">
                            <w:pPr>
                              <w:ind w:left="360"/>
                              <w:jc w:val="center"/>
                              <w:rPr>
                                <w:rFonts w:asciiTheme="minorHAnsi" w:hAnsiTheme="minorHAnsi"/>
                                <w:b/>
                                <w:bCs/>
                                <w:color w:val="FFFFFF" w:themeColor="background1"/>
                                <w:sz w:val="22"/>
                                <w:szCs w:val="22"/>
                              </w:rPr>
                            </w:pPr>
                            <w:proofErr w:type="spellStart"/>
                            <w:r>
                              <w:rPr>
                                <w:rFonts w:asciiTheme="minorHAnsi" w:hAnsiTheme="minorHAnsi"/>
                                <w:b/>
                                <w:bCs/>
                                <w:color w:val="FFFFFF" w:themeColor="background1"/>
                                <w:sz w:val="22"/>
                                <w:szCs w:val="22"/>
                              </w:rPr>
                              <w:t>December</w:t>
                            </w:r>
                            <w:proofErr w:type="spellEnd"/>
                            <w:r w:rsidR="00935712">
                              <w:rPr>
                                <w:rFonts w:asciiTheme="minorHAnsi" w:hAnsiTheme="minorHAnsi"/>
                                <w:b/>
                                <w:bCs/>
                                <w:color w:val="FFFFFF" w:themeColor="background1"/>
                                <w:sz w:val="22"/>
                                <w:szCs w:val="22"/>
                              </w:rPr>
                              <w:t xml:space="preserve"> 1,</w:t>
                            </w:r>
                            <w:r w:rsidR="00E5791D" w:rsidRPr="00406B3C">
                              <w:rPr>
                                <w:rFonts w:asciiTheme="minorHAnsi" w:hAnsiTheme="minorHAnsi"/>
                                <w:b/>
                                <w:bCs/>
                                <w:color w:val="FFFFFF" w:themeColor="background1"/>
                                <w:sz w:val="22"/>
                                <w:szCs w:val="22"/>
                              </w:rPr>
                              <w:t xml:space="preserve"> </w:t>
                            </w:r>
                            <w:r>
                              <w:rPr>
                                <w:rFonts w:asciiTheme="minorHAnsi" w:hAnsiTheme="minorHAnsi"/>
                                <w:b/>
                                <w:bCs/>
                                <w:color w:val="FFFFFF" w:themeColor="background1"/>
                                <w:sz w:val="22"/>
                                <w:szCs w:val="22"/>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62.05pt;margin-top:8.15pt;width:117.65pt;height:15.8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ZWR9gEAAN4DAAAOAAAAZHJzL2Uyb0RvYy54bWysU9uO0zAQfUfiHyy/07RLtYKo6Wrpqghp&#13;&#10;gZUWPmDqOImF4zFjt8ny9YydpsvlDZEHa3yZM3POnGxuxt6Kk6Zg0FVytVhKoZ3C2ri2kl+/7F+9&#13;&#10;kSJEcDVYdLqSTzrIm+3LF5vBl/oKO7S1JsEgLpSDr2QXoy+LIqhO9xAW6LXjywaph8hbaouaYGD0&#13;&#10;3hZXy+V1MSDVnlDpEPj0brqU24zfNFrFz00TdBS2ktxbzCvl9ZDWYruBsiXwnVHnNuAfuujBOC56&#13;&#10;gbqDCOJI5i+o3ijCgE1cKOwLbBqjdObAbFbLP9g8duB15sLiBH+RKfw/WPXp9OgfSMTxHY48wEwi&#13;&#10;+HtU34JwuOvAtfqWCIdOQ82FV0myYvChPKcmqUMZEshh+Ig1DxmOETPQ2FCfVGGegtF5AE8X0fUY&#13;&#10;hUol12/X69crKRTfsQjXyzyVAso521OI7zX2IgWVJB5qRofTfYipGyjnJ6lYQGvqvbE2b6g97CyJ&#13;&#10;E7AB9vmbcq3vYDqdy4Xpacb7DcO6hOQwYU7l0knWINGeBIjjYRSmPguUJDlg/cSiEE6m45+Egw7p&#13;&#10;hxQDG66S4fsRSEthPzgWNrlzDmgODnMATnFqJaMUU7iLk4uPnkzbMfI0Ooe3LH5jsi7PXZzbZRNl&#13;&#10;emfDJ5f+us+vnn/L7U8AAAD//wMAUEsDBBQABgAIAAAAIQCL+xpS4QAAAA8BAAAPAAAAZHJzL2Rv&#13;&#10;d25yZXYueG1sTE/LboMwELxX6j9YW6m3xkBoCgQTtYnaa1RaKVcHbzACrxF2Evr3dU7tZaTVzM6j&#13;&#10;3MxmYBecXGdJQLyIgCE1VnXUCvj+en/KgDkvScnBEgr4QQeb6v6ulIWyV/rES+1bFkzIFVKA9n4s&#13;&#10;OHeNRiPdwo5IgTvZyUgfzqnlapLXYG4GnkTRihvZUUjQcsStxqavz0bAcp+8HNxHvduOB8z7zL31&#13;&#10;J9JCPD7Mu3WA1zUwj7P/+4DbhtAfqlDsaM+kHBsE5EkaB2kgVktgN0H8nKfAjgLSLAJelfz/juoX&#13;&#10;AAD//wMAUEsBAi0AFAAGAAgAAAAhALaDOJL+AAAA4QEAABMAAAAAAAAAAAAAAAAAAAAAAFtDb250&#13;&#10;ZW50X1R5cGVzXS54bWxQSwECLQAUAAYACAAAACEAOP0h/9YAAACUAQAACwAAAAAAAAAAAAAAAAAv&#13;&#10;AQAAX3JlbHMvLnJlbHNQSwECLQAUAAYACAAAACEAdCWVkfYBAADeAwAADgAAAAAAAAAAAAAAAAAu&#13;&#10;AgAAZHJzL2Uyb0RvYy54bWxQSwECLQAUAAYACAAAACEAi/saUuEAAAAPAQAADwAAAAAAAAAAAAAA&#13;&#10;AABQBAAAZHJzL2Rvd25yZXYueG1sUEsFBgAAAAAEAAQA8wAAAF4FAAAAAA==&#13;&#10;" stroked="f">
                <v:fill opacity="0"/>
                <v:textbox inset="0,0,0,0">
                  <w:txbxContent>
                    <w:p w14:paraId="1786C4CF" w14:textId="6FB7BA65" w:rsidR="00E5791D" w:rsidRPr="00406B3C" w:rsidRDefault="00AE7C33" w:rsidP="008D3891">
                      <w:pPr>
                        <w:ind w:left="360"/>
                        <w:jc w:val="center"/>
                        <w:rPr>
                          <w:rFonts w:asciiTheme="minorHAnsi" w:hAnsiTheme="minorHAnsi"/>
                          <w:b/>
                          <w:bCs/>
                          <w:color w:val="FFFFFF" w:themeColor="background1"/>
                          <w:sz w:val="22"/>
                          <w:szCs w:val="22"/>
                        </w:rPr>
                      </w:pPr>
                      <w:proofErr w:type="spellStart"/>
                      <w:r>
                        <w:rPr>
                          <w:rFonts w:asciiTheme="minorHAnsi" w:hAnsiTheme="minorHAnsi"/>
                          <w:b/>
                          <w:bCs/>
                          <w:color w:val="FFFFFF" w:themeColor="background1"/>
                          <w:sz w:val="22"/>
                          <w:szCs w:val="22"/>
                        </w:rPr>
                        <w:t>December</w:t>
                      </w:r>
                      <w:proofErr w:type="spellEnd"/>
                      <w:r w:rsidR="00935712">
                        <w:rPr>
                          <w:rFonts w:asciiTheme="minorHAnsi" w:hAnsiTheme="minorHAnsi"/>
                          <w:b/>
                          <w:bCs/>
                          <w:color w:val="FFFFFF" w:themeColor="background1"/>
                          <w:sz w:val="22"/>
                          <w:szCs w:val="22"/>
                        </w:rPr>
                        <w:t xml:space="preserve"> 1,</w:t>
                      </w:r>
                      <w:r w:rsidR="00E5791D" w:rsidRPr="00406B3C">
                        <w:rPr>
                          <w:rFonts w:asciiTheme="minorHAnsi" w:hAnsiTheme="minorHAnsi"/>
                          <w:b/>
                          <w:bCs/>
                          <w:color w:val="FFFFFF" w:themeColor="background1"/>
                          <w:sz w:val="22"/>
                          <w:szCs w:val="22"/>
                        </w:rPr>
                        <w:t xml:space="preserve"> </w:t>
                      </w:r>
                      <w:r>
                        <w:rPr>
                          <w:rFonts w:asciiTheme="minorHAnsi" w:hAnsiTheme="minorHAnsi"/>
                          <w:b/>
                          <w:bCs/>
                          <w:color w:val="FFFFFF" w:themeColor="background1"/>
                          <w:sz w:val="22"/>
                          <w:szCs w:val="22"/>
                        </w:rPr>
                        <w:t>2022</w:t>
                      </w:r>
                    </w:p>
                  </w:txbxContent>
                </v:textbox>
                <w10:wrap anchorx="page"/>
              </v:shape>
            </w:pict>
          </mc:Fallback>
        </mc:AlternateContent>
      </w:r>
    </w:p>
    <w:p w14:paraId="13250A77" w14:textId="46D3A258" w:rsidR="00667FE8" w:rsidRPr="008D3891" w:rsidRDefault="00667FE8">
      <w:pPr>
        <w:rPr>
          <w:rFonts w:ascii="Arial" w:hAnsi="Arial" w:cs="Arial"/>
          <w:color w:val="FF0000"/>
          <w:sz w:val="20"/>
          <w:szCs w:val="20"/>
          <w:lang w:val="en-US"/>
        </w:rPr>
      </w:pPr>
    </w:p>
    <w:p w14:paraId="22ED3AA0" w14:textId="1AEF9303" w:rsidR="006B7FDF" w:rsidRPr="008D3891" w:rsidRDefault="004A3731" w:rsidP="004A3731">
      <w:pPr>
        <w:tabs>
          <w:tab w:val="center" w:pos="5102"/>
          <w:tab w:val="right" w:pos="10204"/>
        </w:tabs>
        <w:spacing w:before="120"/>
        <w:rPr>
          <w:rFonts w:ascii="Arial" w:hAnsi="Arial" w:cs="Arial"/>
          <w:b/>
          <w:bCs/>
          <w:lang w:val="en-US"/>
        </w:rPr>
      </w:pPr>
      <w:r w:rsidRPr="008D3891">
        <w:rPr>
          <w:rFonts w:ascii="Arial" w:hAnsi="Arial" w:cs="Arial"/>
          <w:b/>
          <w:bCs/>
          <w:lang w:val="en-US"/>
        </w:rPr>
        <w:tab/>
      </w:r>
    </w:p>
    <w:p w14:paraId="579EBE87" w14:textId="77777777" w:rsidR="00E71226" w:rsidRPr="00E065C4" w:rsidRDefault="00E71226" w:rsidP="00E71226">
      <w:pPr>
        <w:jc w:val="center"/>
        <w:rPr>
          <w:rFonts w:ascii="Arial" w:hAnsi="Arial" w:cs="Arial"/>
          <w:b/>
          <w:sz w:val="28"/>
          <w:szCs w:val="28"/>
        </w:rPr>
      </w:pPr>
      <w:r w:rsidRPr="00E065C4">
        <w:rPr>
          <w:rFonts w:ascii="Arial" w:hAnsi="Arial" w:cs="Arial"/>
          <w:b/>
          <w:sz w:val="28"/>
          <w:szCs w:val="28"/>
        </w:rPr>
        <w:t>HIGH INFLATION HAS ERODED THE MINIMUM WAGE RISE</w:t>
      </w:r>
    </w:p>
    <w:p w14:paraId="00788550" w14:textId="77777777" w:rsidR="004E7026" w:rsidRPr="00C47423" w:rsidRDefault="004E7026" w:rsidP="004A3731">
      <w:pPr>
        <w:jc w:val="center"/>
        <w:rPr>
          <w:rFonts w:asciiTheme="minorHAnsi" w:hAnsiTheme="minorHAnsi" w:cs="Arial"/>
          <w:b/>
          <w:bCs/>
          <w:sz w:val="20"/>
          <w:szCs w:val="20"/>
          <w:lang w:val="en-US"/>
        </w:rPr>
      </w:pPr>
    </w:p>
    <w:p w14:paraId="111CE2EA" w14:textId="06EFF82B" w:rsidR="00C47423" w:rsidRPr="00C47423" w:rsidRDefault="00C47423" w:rsidP="00C47423">
      <w:pPr>
        <w:spacing w:after="20"/>
        <w:jc w:val="center"/>
        <w:rPr>
          <w:rFonts w:ascii="Arial" w:hAnsi="Arial" w:cs="Arial"/>
          <w:b/>
          <w:bCs/>
          <w:sz w:val="20"/>
          <w:szCs w:val="20"/>
        </w:rPr>
      </w:pPr>
      <w:r w:rsidRPr="00C47423">
        <w:rPr>
          <w:rFonts w:ascii="Arial" w:hAnsi="Arial" w:cs="Arial"/>
          <w:b/>
          <w:bCs/>
          <w:sz w:val="20"/>
          <w:szCs w:val="20"/>
        </w:rPr>
        <w:t>Seyfettin Gürsel</w:t>
      </w:r>
      <w:r w:rsidRPr="00C47423">
        <w:rPr>
          <w:rStyle w:val="DipnotBavurusu"/>
          <w:rFonts w:ascii="Arial" w:hAnsi="Arial" w:cs="Arial"/>
          <w:b/>
          <w:bCs/>
          <w:sz w:val="20"/>
          <w:szCs w:val="20"/>
        </w:rPr>
        <w:footnoteReference w:customMarkFollows="1" w:id="1"/>
        <w:t>*</w:t>
      </w:r>
      <w:r w:rsidR="00936785">
        <w:rPr>
          <w:rFonts w:ascii="Arial" w:hAnsi="Arial" w:cs="Arial"/>
          <w:b/>
          <w:bCs/>
          <w:sz w:val="20"/>
          <w:szCs w:val="20"/>
        </w:rPr>
        <w:t>, Ozan Bakış</w:t>
      </w:r>
      <w:r w:rsidRPr="00C47423">
        <w:rPr>
          <w:rStyle w:val="DipnotBavurusu"/>
          <w:rFonts w:ascii="Arial" w:hAnsi="Arial" w:cs="Arial"/>
          <w:b/>
          <w:bCs/>
          <w:sz w:val="20"/>
          <w:szCs w:val="20"/>
        </w:rPr>
        <w:footnoteReference w:customMarkFollows="1" w:id="2"/>
        <w:t xml:space="preserve">** </w:t>
      </w:r>
      <w:r w:rsidR="00936785">
        <w:rPr>
          <w:rFonts w:ascii="Arial" w:hAnsi="Arial" w:cs="Arial"/>
          <w:b/>
          <w:bCs/>
          <w:sz w:val="20"/>
          <w:szCs w:val="20"/>
        </w:rPr>
        <w:t>, Hamza Mutluay</w:t>
      </w:r>
      <w:r w:rsidRPr="00C47423">
        <w:rPr>
          <w:rStyle w:val="DipnotBavurusu"/>
          <w:rFonts w:ascii="Arial" w:hAnsi="Arial" w:cs="Arial"/>
          <w:b/>
          <w:bCs/>
          <w:sz w:val="20"/>
          <w:szCs w:val="20"/>
        </w:rPr>
        <w:footnoteReference w:customMarkFollows="1" w:id="3"/>
        <w:t>***</w:t>
      </w:r>
    </w:p>
    <w:p w14:paraId="2619155B" w14:textId="77777777" w:rsidR="004A3731" w:rsidRPr="00C47423" w:rsidRDefault="004A3731" w:rsidP="004A3731">
      <w:pPr>
        <w:jc w:val="center"/>
        <w:rPr>
          <w:rFonts w:asciiTheme="minorHAnsi" w:hAnsiTheme="minorHAnsi" w:cs="Arial"/>
          <w:b/>
          <w:bCs/>
          <w:sz w:val="20"/>
          <w:szCs w:val="20"/>
          <w:lang w:val="en-US"/>
        </w:rPr>
      </w:pPr>
    </w:p>
    <w:p w14:paraId="2B550253" w14:textId="5804A055" w:rsidR="004A3731" w:rsidRPr="00C47423" w:rsidRDefault="00F97317" w:rsidP="004A3731">
      <w:pPr>
        <w:jc w:val="center"/>
        <w:rPr>
          <w:rFonts w:ascii="Arial" w:hAnsi="Arial" w:cs="Arial"/>
          <w:b/>
          <w:bCs/>
          <w:sz w:val="20"/>
          <w:szCs w:val="20"/>
          <w:lang w:val="en-US"/>
        </w:rPr>
      </w:pPr>
      <w:r w:rsidRPr="00C47423">
        <w:rPr>
          <w:rFonts w:ascii="Arial" w:hAnsi="Arial" w:cs="Arial"/>
          <w:b/>
          <w:bCs/>
          <w:sz w:val="20"/>
          <w:szCs w:val="20"/>
          <w:lang w:val="en-US"/>
        </w:rPr>
        <w:t>Executive Summary</w:t>
      </w:r>
    </w:p>
    <w:p w14:paraId="774701D1" w14:textId="7C94279A" w:rsidR="004A3731" w:rsidRDefault="004A3731" w:rsidP="004A3731">
      <w:pPr>
        <w:jc w:val="both"/>
        <w:rPr>
          <w:rFonts w:asciiTheme="minorHAnsi" w:hAnsiTheme="minorHAnsi" w:cs="Arial"/>
          <w:color w:val="FF0000"/>
          <w:sz w:val="20"/>
          <w:szCs w:val="20"/>
          <w:lang w:val="en-US"/>
        </w:rPr>
      </w:pPr>
    </w:p>
    <w:p w14:paraId="4EBC62B2" w14:textId="6D5800A9"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In this brief, we examine the effect of the minimum wage increase on the purchasing power of individuals by comparing the increase that took place in January 2022 with the increase of  January 2016. Although the minimum wage increase enhances</w:t>
      </w:r>
      <w:r w:rsidRPr="00E065C4" w:rsidDel="00C3682D">
        <w:rPr>
          <w:rFonts w:ascii="Arial" w:hAnsi="Arial" w:cs="Arial"/>
          <w:sz w:val="22"/>
          <w:szCs w:val="22"/>
        </w:rPr>
        <w:t xml:space="preserve"> </w:t>
      </w:r>
      <w:r w:rsidRPr="00E065C4">
        <w:rPr>
          <w:rFonts w:ascii="Arial" w:hAnsi="Arial" w:cs="Arial"/>
          <w:sz w:val="22"/>
          <w:szCs w:val="22"/>
        </w:rPr>
        <w:t>consumers' purchasing power and protects consumers from the adverse effect of price increases, the data shows that the increase in the first half of 2022 has</w:t>
      </w:r>
      <w:r w:rsidR="008142FE">
        <w:rPr>
          <w:rFonts w:ascii="Arial" w:hAnsi="Arial" w:cs="Arial"/>
          <w:sz w:val="22"/>
          <w:szCs w:val="22"/>
        </w:rPr>
        <w:t xml:space="preserve"> </w:t>
      </w:r>
      <w:r w:rsidR="008142FE" w:rsidRPr="00E065C4">
        <w:rPr>
          <w:rFonts w:ascii="Arial" w:hAnsi="Arial" w:cs="Arial"/>
          <w:sz w:val="22"/>
          <w:szCs w:val="22"/>
        </w:rPr>
        <w:t>significantly</w:t>
      </w:r>
      <w:r w:rsidRPr="00E065C4">
        <w:rPr>
          <w:rFonts w:ascii="Arial" w:hAnsi="Arial" w:cs="Arial"/>
          <w:sz w:val="22"/>
          <w:szCs w:val="22"/>
        </w:rPr>
        <w:t xml:space="preserve"> melted due to the striking inflation. It is clear that the significant price increases in food, electricity, gas, and other fuels, which take up a large part of the consumption basket of the poor, have eroded the minimum wage increase in the first half of the year.</w:t>
      </w:r>
    </w:p>
    <w:p w14:paraId="2C231C9C" w14:textId="77777777"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The government increased the minimum wage from 4,253 TL rose to 5,500 TL on 1 July 2022 by an extra 30 percent to mitigate the devastating effect of inflation. The last observation point of the data we use in the tables and graphs is June since we do not have enough data to extend the observation period. We will investigate the effects of an extra increase in the minimum wage in the following periods and then update the research brief.</w:t>
      </w:r>
    </w:p>
    <w:p w14:paraId="44B58743" w14:textId="0312E717" w:rsidR="00106680" w:rsidRPr="00E065C4" w:rsidRDefault="00106680" w:rsidP="00506A3E">
      <w:pPr>
        <w:spacing w:line="276" w:lineRule="auto"/>
        <w:jc w:val="both"/>
        <w:rPr>
          <w:rFonts w:ascii="Arial" w:hAnsi="Arial" w:cs="Arial"/>
          <w:color w:val="000000" w:themeColor="text1"/>
          <w:sz w:val="22"/>
          <w:szCs w:val="22"/>
          <w:lang w:val="en-US"/>
        </w:rPr>
      </w:pPr>
    </w:p>
    <w:p w14:paraId="4473E927" w14:textId="77777777" w:rsidR="00E71226" w:rsidRPr="00E065C4" w:rsidRDefault="00E71226" w:rsidP="00E71226">
      <w:pPr>
        <w:rPr>
          <w:rFonts w:ascii="Arial" w:hAnsi="Arial" w:cs="Arial"/>
          <w:b/>
          <w:szCs w:val="28"/>
        </w:rPr>
      </w:pPr>
      <w:r w:rsidRPr="00E065C4">
        <w:rPr>
          <w:rFonts w:ascii="Arial" w:hAnsi="Arial" w:cs="Arial"/>
          <w:b/>
          <w:szCs w:val="28"/>
        </w:rPr>
        <w:t>Weight of minimum wage earners</w:t>
      </w:r>
    </w:p>
    <w:p w14:paraId="65F9F141" w14:textId="77777777" w:rsidR="00095A62" w:rsidRDefault="00095A62" w:rsidP="00506A3E">
      <w:pPr>
        <w:spacing w:line="276" w:lineRule="auto"/>
        <w:jc w:val="both"/>
        <w:rPr>
          <w:rFonts w:asciiTheme="minorHAnsi" w:hAnsiTheme="minorHAnsi" w:cs="Arial"/>
          <w:b/>
          <w:bCs/>
          <w:color w:val="000000" w:themeColor="text1"/>
          <w:lang w:val="en-US"/>
        </w:rPr>
      </w:pPr>
    </w:p>
    <w:p w14:paraId="462914AF" w14:textId="77777777"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Table 1 shows the rate of those earning less than or equal to minimum wage over the years. Although there have been yearly variation, nearly one out of every three employees earns less than or equal to the minimum. The rate is much higher for informal workers (about 60 percent). Notably, this rate has tended to increase for formal employees in recent years. In 2021, the rate of total workers earning less than or equal to the minimum wage was 33.6 percent, 29.9 percent and 61 percent for formal and informal workers, respectively. The majority of wage earners in Turkey are significantly affected by the minimum wage increases.</w:t>
      </w:r>
    </w:p>
    <w:p w14:paraId="6D5A001E" w14:textId="6443B28F" w:rsidR="005E6875" w:rsidRDefault="005E6875" w:rsidP="004A3731">
      <w:pPr>
        <w:jc w:val="both"/>
        <w:rPr>
          <w:rFonts w:asciiTheme="minorHAnsi" w:hAnsiTheme="minorHAnsi" w:cs="Arial"/>
          <w:color w:val="000000" w:themeColor="text1"/>
          <w:sz w:val="20"/>
          <w:szCs w:val="20"/>
          <w:lang w:val="en-US"/>
        </w:rPr>
      </w:pPr>
    </w:p>
    <w:p w14:paraId="14260CC4" w14:textId="0E8864D7" w:rsidR="00E71226" w:rsidRDefault="00E71226" w:rsidP="004A3731">
      <w:pPr>
        <w:jc w:val="both"/>
        <w:rPr>
          <w:rFonts w:asciiTheme="minorHAnsi" w:hAnsiTheme="minorHAnsi" w:cs="Arial"/>
          <w:color w:val="000000" w:themeColor="text1"/>
          <w:sz w:val="20"/>
          <w:szCs w:val="20"/>
          <w:lang w:val="en-US"/>
        </w:rPr>
      </w:pPr>
    </w:p>
    <w:p w14:paraId="21914235" w14:textId="0DF036A9" w:rsidR="00E71226" w:rsidRDefault="00E71226" w:rsidP="004A3731">
      <w:pPr>
        <w:jc w:val="both"/>
        <w:rPr>
          <w:rFonts w:asciiTheme="minorHAnsi" w:hAnsiTheme="minorHAnsi" w:cs="Arial"/>
          <w:color w:val="000000" w:themeColor="text1"/>
          <w:sz w:val="20"/>
          <w:szCs w:val="20"/>
          <w:lang w:val="en-US"/>
        </w:rPr>
      </w:pPr>
    </w:p>
    <w:p w14:paraId="536D9D27" w14:textId="027F8C4B" w:rsidR="00E71226" w:rsidRDefault="00E71226" w:rsidP="004A3731">
      <w:pPr>
        <w:jc w:val="both"/>
        <w:rPr>
          <w:rFonts w:asciiTheme="minorHAnsi" w:hAnsiTheme="minorHAnsi" w:cs="Arial"/>
          <w:color w:val="000000" w:themeColor="text1"/>
          <w:sz w:val="20"/>
          <w:szCs w:val="20"/>
          <w:lang w:val="en-US"/>
        </w:rPr>
      </w:pPr>
    </w:p>
    <w:p w14:paraId="7235BA83" w14:textId="22265629" w:rsidR="00E71226" w:rsidRDefault="00E71226" w:rsidP="004A3731">
      <w:pPr>
        <w:jc w:val="both"/>
        <w:rPr>
          <w:rFonts w:asciiTheme="minorHAnsi" w:hAnsiTheme="minorHAnsi" w:cs="Arial"/>
          <w:color w:val="000000" w:themeColor="text1"/>
          <w:sz w:val="20"/>
          <w:szCs w:val="20"/>
          <w:lang w:val="en-US"/>
        </w:rPr>
      </w:pPr>
    </w:p>
    <w:p w14:paraId="03FF75A0" w14:textId="77777777" w:rsidR="00E065C4" w:rsidRDefault="00E065C4">
      <w:pPr>
        <w:suppressAutoHyphens w:val="0"/>
        <w:rPr>
          <w:b/>
        </w:rPr>
      </w:pPr>
      <w:r>
        <w:rPr>
          <w:b/>
        </w:rPr>
        <w:br w:type="page"/>
      </w:r>
    </w:p>
    <w:p w14:paraId="6DF20FA4" w14:textId="4EED6318" w:rsidR="00E71226" w:rsidRPr="00E065C4" w:rsidRDefault="00E71226" w:rsidP="00E71226">
      <w:pPr>
        <w:spacing w:line="360" w:lineRule="auto"/>
        <w:jc w:val="both"/>
        <w:rPr>
          <w:rFonts w:ascii="Arial" w:hAnsi="Arial" w:cs="Arial"/>
          <w:b/>
          <w:sz w:val="22"/>
        </w:rPr>
      </w:pPr>
      <w:r w:rsidRPr="00E065C4">
        <w:rPr>
          <w:rFonts w:ascii="Arial" w:hAnsi="Arial" w:cs="Arial"/>
          <w:b/>
          <w:sz w:val="22"/>
        </w:rPr>
        <w:lastRenderedPageBreak/>
        <w:t>Table 1: The ratio of the workers earning less than or equal to minimum wage (%, 2004-2021)</w:t>
      </w:r>
    </w:p>
    <w:tbl>
      <w:tblPr>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3"/>
        <w:gridCol w:w="1493"/>
        <w:gridCol w:w="1493"/>
        <w:gridCol w:w="1493"/>
      </w:tblGrid>
      <w:tr w:rsidR="00E71226" w:rsidRPr="00E065C4" w14:paraId="65F6A70E" w14:textId="77777777" w:rsidTr="00E065C4">
        <w:trPr>
          <w:trHeight w:val="240"/>
        </w:trPr>
        <w:tc>
          <w:tcPr>
            <w:tcW w:w="1493" w:type="dxa"/>
            <w:shd w:val="clear" w:color="auto" w:fill="auto"/>
            <w:noWrap/>
            <w:vAlign w:val="bottom"/>
            <w:hideMark/>
          </w:tcPr>
          <w:p w14:paraId="7A4EFE9C" w14:textId="77777777" w:rsidR="00E71226" w:rsidRPr="00E065C4" w:rsidRDefault="00E71226" w:rsidP="00B5696B">
            <w:pPr>
              <w:rPr>
                <w:rFonts w:ascii="Arial" w:hAnsi="Arial" w:cs="Arial"/>
                <w:sz w:val="22"/>
                <w:szCs w:val="22"/>
                <w:lang w:eastAsia="tr-TR"/>
              </w:rPr>
            </w:pPr>
          </w:p>
        </w:tc>
        <w:tc>
          <w:tcPr>
            <w:tcW w:w="1493" w:type="dxa"/>
            <w:shd w:val="clear" w:color="auto" w:fill="auto"/>
            <w:noWrap/>
            <w:vAlign w:val="bottom"/>
            <w:hideMark/>
          </w:tcPr>
          <w:p w14:paraId="438AA693"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Total</w:t>
            </w:r>
          </w:p>
        </w:tc>
        <w:tc>
          <w:tcPr>
            <w:tcW w:w="1493" w:type="dxa"/>
            <w:shd w:val="clear" w:color="auto" w:fill="auto"/>
            <w:noWrap/>
            <w:vAlign w:val="bottom"/>
            <w:hideMark/>
          </w:tcPr>
          <w:p w14:paraId="392531A4"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Formal</w:t>
            </w:r>
          </w:p>
        </w:tc>
        <w:tc>
          <w:tcPr>
            <w:tcW w:w="1493" w:type="dxa"/>
            <w:shd w:val="clear" w:color="auto" w:fill="auto"/>
            <w:noWrap/>
            <w:vAlign w:val="bottom"/>
            <w:hideMark/>
          </w:tcPr>
          <w:p w14:paraId="62EE2B0E"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Informal</w:t>
            </w:r>
          </w:p>
        </w:tc>
      </w:tr>
      <w:tr w:rsidR="00E71226" w:rsidRPr="00E065C4" w14:paraId="7286CD1A" w14:textId="77777777" w:rsidTr="00E065C4">
        <w:trPr>
          <w:trHeight w:val="271"/>
        </w:trPr>
        <w:tc>
          <w:tcPr>
            <w:tcW w:w="1493" w:type="dxa"/>
            <w:shd w:val="clear" w:color="auto" w:fill="auto"/>
            <w:noWrap/>
            <w:vAlign w:val="bottom"/>
            <w:hideMark/>
          </w:tcPr>
          <w:p w14:paraId="42739E4D"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2004</w:t>
            </w:r>
          </w:p>
        </w:tc>
        <w:tc>
          <w:tcPr>
            <w:tcW w:w="1493" w:type="dxa"/>
            <w:shd w:val="clear" w:color="auto" w:fill="auto"/>
            <w:noWrap/>
            <w:vAlign w:val="bottom"/>
            <w:hideMark/>
          </w:tcPr>
          <w:p w14:paraId="688CBE1F"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41.6</w:t>
            </w:r>
          </w:p>
        </w:tc>
        <w:tc>
          <w:tcPr>
            <w:tcW w:w="1493" w:type="dxa"/>
            <w:shd w:val="clear" w:color="auto" w:fill="auto"/>
            <w:noWrap/>
            <w:vAlign w:val="bottom"/>
            <w:hideMark/>
          </w:tcPr>
          <w:p w14:paraId="7A669668"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28.7</w:t>
            </w:r>
          </w:p>
        </w:tc>
        <w:tc>
          <w:tcPr>
            <w:tcW w:w="1493" w:type="dxa"/>
            <w:shd w:val="clear" w:color="auto" w:fill="auto"/>
            <w:noWrap/>
            <w:vAlign w:val="bottom"/>
            <w:hideMark/>
          </w:tcPr>
          <w:p w14:paraId="4CA50A3E"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69.5</w:t>
            </w:r>
          </w:p>
        </w:tc>
      </w:tr>
      <w:tr w:rsidR="00E71226" w:rsidRPr="00E065C4" w14:paraId="41F76AAF" w14:textId="77777777" w:rsidTr="00E065C4">
        <w:trPr>
          <w:trHeight w:val="240"/>
        </w:trPr>
        <w:tc>
          <w:tcPr>
            <w:tcW w:w="1493" w:type="dxa"/>
            <w:shd w:val="clear" w:color="auto" w:fill="auto"/>
            <w:noWrap/>
            <w:vAlign w:val="bottom"/>
            <w:hideMark/>
          </w:tcPr>
          <w:p w14:paraId="387763D2"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2005</w:t>
            </w:r>
          </w:p>
        </w:tc>
        <w:tc>
          <w:tcPr>
            <w:tcW w:w="1493" w:type="dxa"/>
            <w:shd w:val="clear" w:color="auto" w:fill="auto"/>
            <w:noWrap/>
            <w:vAlign w:val="bottom"/>
            <w:hideMark/>
          </w:tcPr>
          <w:p w14:paraId="573D2F0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33.0</w:t>
            </w:r>
          </w:p>
        </w:tc>
        <w:tc>
          <w:tcPr>
            <w:tcW w:w="1493" w:type="dxa"/>
            <w:shd w:val="clear" w:color="auto" w:fill="auto"/>
            <w:noWrap/>
            <w:vAlign w:val="bottom"/>
            <w:hideMark/>
          </w:tcPr>
          <w:p w14:paraId="6142F5AA"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21.7</w:t>
            </w:r>
          </w:p>
        </w:tc>
        <w:tc>
          <w:tcPr>
            <w:tcW w:w="1493" w:type="dxa"/>
            <w:shd w:val="clear" w:color="auto" w:fill="auto"/>
            <w:noWrap/>
            <w:vAlign w:val="bottom"/>
            <w:hideMark/>
          </w:tcPr>
          <w:p w14:paraId="60D762D5"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57.8</w:t>
            </w:r>
          </w:p>
        </w:tc>
      </w:tr>
      <w:tr w:rsidR="00E71226" w:rsidRPr="00E065C4" w14:paraId="4E7A3889" w14:textId="77777777" w:rsidTr="00E065C4">
        <w:trPr>
          <w:trHeight w:val="240"/>
        </w:trPr>
        <w:tc>
          <w:tcPr>
            <w:tcW w:w="1493" w:type="dxa"/>
            <w:shd w:val="clear" w:color="auto" w:fill="auto"/>
            <w:noWrap/>
            <w:vAlign w:val="bottom"/>
            <w:hideMark/>
          </w:tcPr>
          <w:p w14:paraId="4BC4853A"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2006</w:t>
            </w:r>
          </w:p>
        </w:tc>
        <w:tc>
          <w:tcPr>
            <w:tcW w:w="1493" w:type="dxa"/>
            <w:shd w:val="clear" w:color="auto" w:fill="auto"/>
            <w:noWrap/>
            <w:vAlign w:val="bottom"/>
            <w:hideMark/>
          </w:tcPr>
          <w:p w14:paraId="4D37F11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33.2</w:t>
            </w:r>
          </w:p>
        </w:tc>
        <w:tc>
          <w:tcPr>
            <w:tcW w:w="1493" w:type="dxa"/>
            <w:shd w:val="clear" w:color="auto" w:fill="auto"/>
            <w:noWrap/>
            <w:vAlign w:val="bottom"/>
            <w:hideMark/>
          </w:tcPr>
          <w:p w14:paraId="7629C6B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22.5</w:t>
            </w:r>
          </w:p>
        </w:tc>
        <w:tc>
          <w:tcPr>
            <w:tcW w:w="1493" w:type="dxa"/>
            <w:shd w:val="clear" w:color="auto" w:fill="auto"/>
            <w:noWrap/>
            <w:vAlign w:val="bottom"/>
            <w:hideMark/>
          </w:tcPr>
          <w:p w14:paraId="3BB94AE0"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57.7</w:t>
            </w:r>
          </w:p>
        </w:tc>
      </w:tr>
      <w:tr w:rsidR="00E71226" w:rsidRPr="00E065C4" w14:paraId="396BB2BF" w14:textId="77777777" w:rsidTr="00E065C4">
        <w:trPr>
          <w:trHeight w:val="240"/>
        </w:trPr>
        <w:tc>
          <w:tcPr>
            <w:tcW w:w="1493" w:type="dxa"/>
            <w:shd w:val="clear" w:color="auto" w:fill="auto"/>
            <w:noWrap/>
            <w:vAlign w:val="bottom"/>
            <w:hideMark/>
          </w:tcPr>
          <w:p w14:paraId="41D7AC59"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2007</w:t>
            </w:r>
          </w:p>
        </w:tc>
        <w:tc>
          <w:tcPr>
            <w:tcW w:w="1493" w:type="dxa"/>
            <w:shd w:val="clear" w:color="auto" w:fill="auto"/>
            <w:noWrap/>
            <w:vAlign w:val="bottom"/>
            <w:hideMark/>
          </w:tcPr>
          <w:p w14:paraId="09FB9E3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29.2</w:t>
            </w:r>
          </w:p>
        </w:tc>
        <w:tc>
          <w:tcPr>
            <w:tcW w:w="1493" w:type="dxa"/>
            <w:shd w:val="clear" w:color="auto" w:fill="auto"/>
            <w:noWrap/>
            <w:vAlign w:val="bottom"/>
            <w:hideMark/>
          </w:tcPr>
          <w:p w14:paraId="14F23DB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20.3</w:t>
            </w:r>
          </w:p>
        </w:tc>
        <w:tc>
          <w:tcPr>
            <w:tcW w:w="1493" w:type="dxa"/>
            <w:shd w:val="clear" w:color="auto" w:fill="auto"/>
            <w:noWrap/>
            <w:vAlign w:val="bottom"/>
            <w:hideMark/>
          </w:tcPr>
          <w:p w14:paraId="2C3647C2"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52.0</w:t>
            </w:r>
          </w:p>
        </w:tc>
      </w:tr>
      <w:tr w:rsidR="00E71226" w:rsidRPr="00E065C4" w14:paraId="0A6435B4" w14:textId="77777777" w:rsidTr="00E065C4">
        <w:trPr>
          <w:trHeight w:val="240"/>
        </w:trPr>
        <w:tc>
          <w:tcPr>
            <w:tcW w:w="1493" w:type="dxa"/>
            <w:shd w:val="clear" w:color="auto" w:fill="auto"/>
            <w:noWrap/>
            <w:vAlign w:val="bottom"/>
            <w:hideMark/>
          </w:tcPr>
          <w:p w14:paraId="73B517FC"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2008</w:t>
            </w:r>
          </w:p>
        </w:tc>
        <w:tc>
          <w:tcPr>
            <w:tcW w:w="1493" w:type="dxa"/>
            <w:shd w:val="clear" w:color="auto" w:fill="auto"/>
            <w:noWrap/>
            <w:vAlign w:val="bottom"/>
            <w:hideMark/>
          </w:tcPr>
          <w:p w14:paraId="05660D25"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28.6</w:t>
            </w:r>
          </w:p>
        </w:tc>
        <w:tc>
          <w:tcPr>
            <w:tcW w:w="1493" w:type="dxa"/>
            <w:shd w:val="clear" w:color="auto" w:fill="auto"/>
            <w:noWrap/>
            <w:vAlign w:val="bottom"/>
            <w:hideMark/>
          </w:tcPr>
          <w:p w14:paraId="3712FBD0"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19.9</w:t>
            </w:r>
          </w:p>
        </w:tc>
        <w:tc>
          <w:tcPr>
            <w:tcW w:w="1493" w:type="dxa"/>
            <w:shd w:val="clear" w:color="auto" w:fill="auto"/>
            <w:noWrap/>
            <w:vAlign w:val="bottom"/>
            <w:hideMark/>
          </w:tcPr>
          <w:p w14:paraId="6E533D5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54.6</w:t>
            </w:r>
          </w:p>
        </w:tc>
      </w:tr>
      <w:tr w:rsidR="00E71226" w:rsidRPr="00E065C4" w14:paraId="1750000E" w14:textId="77777777" w:rsidTr="00E065C4">
        <w:trPr>
          <w:trHeight w:val="240"/>
        </w:trPr>
        <w:tc>
          <w:tcPr>
            <w:tcW w:w="1493" w:type="dxa"/>
            <w:shd w:val="clear" w:color="auto" w:fill="auto"/>
            <w:noWrap/>
            <w:vAlign w:val="bottom"/>
            <w:hideMark/>
          </w:tcPr>
          <w:p w14:paraId="416CF5CF"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2009</w:t>
            </w:r>
          </w:p>
        </w:tc>
        <w:tc>
          <w:tcPr>
            <w:tcW w:w="1493" w:type="dxa"/>
            <w:shd w:val="clear" w:color="auto" w:fill="auto"/>
            <w:noWrap/>
            <w:vAlign w:val="bottom"/>
            <w:hideMark/>
          </w:tcPr>
          <w:p w14:paraId="0C1EE19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25.5</w:t>
            </w:r>
          </w:p>
        </w:tc>
        <w:tc>
          <w:tcPr>
            <w:tcW w:w="1493" w:type="dxa"/>
            <w:shd w:val="clear" w:color="auto" w:fill="auto"/>
            <w:noWrap/>
            <w:vAlign w:val="bottom"/>
            <w:hideMark/>
          </w:tcPr>
          <w:p w14:paraId="17C20E9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17.9</w:t>
            </w:r>
          </w:p>
        </w:tc>
        <w:tc>
          <w:tcPr>
            <w:tcW w:w="1493" w:type="dxa"/>
            <w:shd w:val="clear" w:color="auto" w:fill="auto"/>
            <w:noWrap/>
            <w:vAlign w:val="bottom"/>
            <w:hideMark/>
          </w:tcPr>
          <w:p w14:paraId="0AB6866F"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48.8</w:t>
            </w:r>
          </w:p>
        </w:tc>
      </w:tr>
      <w:tr w:rsidR="00E71226" w:rsidRPr="00E065C4" w14:paraId="21DD5E5C" w14:textId="77777777" w:rsidTr="00E065C4">
        <w:trPr>
          <w:trHeight w:val="240"/>
        </w:trPr>
        <w:tc>
          <w:tcPr>
            <w:tcW w:w="1493" w:type="dxa"/>
            <w:shd w:val="clear" w:color="auto" w:fill="auto"/>
            <w:noWrap/>
            <w:vAlign w:val="bottom"/>
            <w:hideMark/>
          </w:tcPr>
          <w:p w14:paraId="731EE79C"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2010</w:t>
            </w:r>
          </w:p>
        </w:tc>
        <w:tc>
          <w:tcPr>
            <w:tcW w:w="1493" w:type="dxa"/>
            <w:shd w:val="clear" w:color="auto" w:fill="auto"/>
            <w:noWrap/>
            <w:vAlign w:val="bottom"/>
            <w:hideMark/>
          </w:tcPr>
          <w:p w14:paraId="03A8334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28.0</w:t>
            </w:r>
          </w:p>
        </w:tc>
        <w:tc>
          <w:tcPr>
            <w:tcW w:w="1493" w:type="dxa"/>
            <w:shd w:val="clear" w:color="auto" w:fill="auto"/>
            <w:noWrap/>
            <w:vAlign w:val="bottom"/>
            <w:hideMark/>
          </w:tcPr>
          <w:p w14:paraId="66C4CC8A"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19.7</w:t>
            </w:r>
          </w:p>
        </w:tc>
        <w:tc>
          <w:tcPr>
            <w:tcW w:w="1493" w:type="dxa"/>
            <w:shd w:val="clear" w:color="auto" w:fill="auto"/>
            <w:noWrap/>
            <w:vAlign w:val="bottom"/>
            <w:hideMark/>
          </w:tcPr>
          <w:p w14:paraId="26E7B37C"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54.2</w:t>
            </w:r>
          </w:p>
        </w:tc>
      </w:tr>
      <w:tr w:rsidR="00E71226" w:rsidRPr="00E065C4" w14:paraId="4FD0BB89" w14:textId="77777777" w:rsidTr="00E065C4">
        <w:trPr>
          <w:trHeight w:val="240"/>
        </w:trPr>
        <w:tc>
          <w:tcPr>
            <w:tcW w:w="1493" w:type="dxa"/>
            <w:shd w:val="clear" w:color="auto" w:fill="auto"/>
            <w:noWrap/>
            <w:vAlign w:val="bottom"/>
            <w:hideMark/>
          </w:tcPr>
          <w:p w14:paraId="4479BFBF"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2011</w:t>
            </w:r>
          </w:p>
        </w:tc>
        <w:tc>
          <w:tcPr>
            <w:tcW w:w="1493" w:type="dxa"/>
            <w:shd w:val="clear" w:color="auto" w:fill="auto"/>
            <w:noWrap/>
            <w:vAlign w:val="bottom"/>
            <w:hideMark/>
          </w:tcPr>
          <w:p w14:paraId="0DBDD17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26.9</w:t>
            </w:r>
          </w:p>
        </w:tc>
        <w:tc>
          <w:tcPr>
            <w:tcW w:w="1493" w:type="dxa"/>
            <w:shd w:val="clear" w:color="auto" w:fill="auto"/>
            <w:noWrap/>
            <w:vAlign w:val="bottom"/>
            <w:hideMark/>
          </w:tcPr>
          <w:p w14:paraId="4618815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19.9</w:t>
            </w:r>
          </w:p>
        </w:tc>
        <w:tc>
          <w:tcPr>
            <w:tcW w:w="1493" w:type="dxa"/>
            <w:shd w:val="clear" w:color="auto" w:fill="auto"/>
            <w:noWrap/>
            <w:vAlign w:val="bottom"/>
            <w:hideMark/>
          </w:tcPr>
          <w:p w14:paraId="3527B829"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49.9</w:t>
            </w:r>
          </w:p>
        </w:tc>
      </w:tr>
      <w:tr w:rsidR="00E71226" w:rsidRPr="00E065C4" w14:paraId="262BF204" w14:textId="77777777" w:rsidTr="00E065C4">
        <w:trPr>
          <w:trHeight w:val="240"/>
        </w:trPr>
        <w:tc>
          <w:tcPr>
            <w:tcW w:w="1493" w:type="dxa"/>
            <w:shd w:val="clear" w:color="auto" w:fill="auto"/>
            <w:noWrap/>
            <w:vAlign w:val="bottom"/>
            <w:hideMark/>
          </w:tcPr>
          <w:p w14:paraId="15B74AEB"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2012</w:t>
            </w:r>
          </w:p>
        </w:tc>
        <w:tc>
          <w:tcPr>
            <w:tcW w:w="1493" w:type="dxa"/>
            <w:shd w:val="clear" w:color="auto" w:fill="auto"/>
            <w:noWrap/>
            <w:vAlign w:val="bottom"/>
            <w:hideMark/>
          </w:tcPr>
          <w:p w14:paraId="33C1CC2C"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29.7</w:t>
            </w:r>
          </w:p>
        </w:tc>
        <w:tc>
          <w:tcPr>
            <w:tcW w:w="1493" w:type="dxa"/>
            <w:shd w:val="clear" w:color="auto" w:fill="auto"/>
            <w:noWrap/>
            <w:vAlign w:val="bottom"/>
            <w:hideMark/>
          </w:tcPr>
          <w:p w14:paraId="2CC293A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23.5</w:t>
            </w:r>
          </w:p>
        </w:tc>
        <w:tc>
          <w:tcPr>
            <w:tcW w:w="1493" w:type="dxa"/>
            <w:shd w:val="clear" w:color="auto" w:fill="auto"/>
            <w:noWrap/>
            <w:vAlign w:val="bottom"/>
            <w:hideMark/>
          </w:tcPr>
          <w:p w14:paraId="3FA7DF3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53.7</w:t>
            </w:r>
          </w:p>
        </w:tc>
      </w:tr>
      <w:tr w:rsidR="00E71226" w:rsidRPr="00E065C4" w14:paraId="1137069C" w14:textId="77777777" w:rsidTr="00E065C4">
        <w:trPr>
          <w:trHeight w:val="240"/>
        </w:trPr>
        <w:tc>
          <w:tcPr>
            <w:tcW w:w="1493" w:type="dxa"/>
            <w:shd w:val="clear" w:color="auto" w:fill="auto"/>
            <w:noWrap/>
            <w:vAlign w:val="bottom"/>
            <w:hideMark/>
          </w:tcPr>
          <w:p w14:paraId="7EF04889"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2013</w:t>
            </w:r>
          </w:p>
        </w:tc>
        <w:tc>
          <w:tcPr>
            <w:tcW w:w="1493" w:type="dxa"/>
            <w:shd w:val="clear" w:color="auto" w:fill="auto"/>
            <w:noWrap/>
            <w:vAlign w:val="bottom"/>
            <w:hideMark/>
          </w:tcPr>
          <w:p w14:paraId="631B9BBD"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27.1</w:t>
            </w:r>
          </w:p>
        </w:tc>
        <w:tc>
          <w:tcPr>
            <w:tcW w:w="1493" w:type="dxa"/>
            <w:shd w:val="clear" w:color="auto" w:fill="auto"/>
            <w:noWrap/>
            <w:vAlign w:val="bottom"/>
            <w:hideMark/>
          </w:tcPr>
          <w:p w14:paraId="3532981F"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21.0</w:t>
            </w:r>
          </w:p>
        </w:tc>
        <w:tc>
          <w:tcPr>
            <w:tcW w:w="1493" w:type="dxa"/>
            <w:shd w:val="clear" w:color="auto" w:fill="auto"/>
            <w:noWrap/>
            <w:vAlign w:val="bottom"/>
            <w:hideMark/>
          </w:tcPr>
          <w:p w14:paraId="7102BDC4"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54.8</w:t>
            </w:r>
          </w:p>
        </w:tc>
      </w:tr>
      <w:tr w:rsidR="00E71226" w:rsidRPr="00E065C4" w14:paraId="13388EC6" w14:textId="77777777" w:rsidTr="00E065C4">
        <w:trPr>
          <w:trHeight w:val="240"/>
        </w:trPr>
        <w:tc>
          <w:tcPr>
            <w:tcW w:w="1493" w:type="dxa"/>
            <w:shd w:val="clear" w:color="auto" w:fill="auto"/>
            <w:noWrap/>
            <w:vAlign w:val="bottom"/>
            <w:hideMark/>
          </w:tcPr>
          <w:p w14:paraId="070552A3"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2014</w:t>
            </w:r>
          </w:p>
        </w:tc>
        <w:tc>
          <w:tcPr>
            <w:tcW w:w="1493" w:type="dxa"/>
            <w:shd w:val="clear" w:color="auto" w:fill="auto"/>
            <w:noWrap/>
            <w:vAlign w:val="bottom"/>
            <w:hideMark/>
          </w:tcPr>
          <w:p w14:paraId="723FE106"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28.6</w:t>
            </w:r>
          </w:p>
        </w:tc>
        <w:tc>
          <w:tcPr>
            <w:tcW w:w="1493" w:type="dxa"/>
            <w:shd w:val="clear" w:color="auto" w:fill="auto"/>
            <w:noWrap/>
            <w:vAlign w:val="bottom"/>
            <w:hideMark/>
          </w:tcPr>
          <w:p w14:paraId="17A88AA9"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23.2</w:t>
            </w:r>
          </w:p>
        </w:tc>
        <w:tc>
          <w:tcPr>
            <w:tcW w:w="1493" w:type="dxa"/>
            <w:shd w:val="clear" w:color="auto" w:fill="auto"/>
            <w:noWrap/>
            <w:vAlign w:val="bottom"/>
            <w:hideMark/>
          </w:tcPr>
          <w:p w14:paraId="37DC230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54.1</w:t>
            </w:r>
          </w:p>
        </w:tc>
      </w:tr>
      <w:tr w:rsidR="00E71226" w:rsidRPr="00E065C4" w14:paraId="4D9D7DC2" w14:textId="77777777" w:rsidTr="00E065C4">
        <w:trPr>
          <w:trHeight w:val="240"/>
        </w:trPr>
        <w:tc>
          <w:tcPr>
            <w:tcW w:w="1493" w:type="dxa"/>
            <w:shd w:val="clear" w:color="auto" w:fill="auto"/>
            <w:noWrap/>
            <w:vAlign w:val="bottom"/>
            <w:hideMark/>
          </w:tcPr>
          <w:p w14:paraId="7BCA037D"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2015</w:t>
            </w:r>
          </w:p>
        </w:tc>
        <w:tc>
          <w:tcPr>
            <w:tcW w:w="1493" w:type="dxa"/>
            <w:shd w:val="clear" w:color="auto" w:fill="auto"/>
            <w:noWrap/>
            <w:vAlign w:val="bottom"/>
            <w:hideMark/>
          </w:tcPr>
          <w:p w14:paraId="0FF4D025"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33.1</w:t>
            </w:r>
          </w:p>
        </w:tc>
        <w:tc>
          <w:tcPr>
            <w:tcW w:w="1493" w:type="dxa"/>
            <w:shd w:val="clear" w:color="auto" w:fill="auto"/>
            <w:noWrap/>
            <w:vAlign w:val="bottom"/>
            <w:hideMark/>
          </w:tcPr>
          <w:p w14:paraId="3DE1C720"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27.7</w:t>
            </w:r>
          </w:p>
        </w:tc>
        <w:tc>
          <w:tcPr>
            <w:tcW w:w="1493" w:type="dxa"/>
            <w:shd w:val="clear" w:color="auto" w:fill="auto"/>
            <w:noWrap/>
            <w:vAlign w:val="bottom"/>
            <w:hideMark/>
          </w:tcPr>
          <w:p w14:paraId="19A0EC7F"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60.9</w:t>
            </w:r>
          </w:p>
        </w:tc>
      </w:tr>
      <w:tr w:rsidR="00E71226" w:rsidRPr="00E065C4" w14:paraId="36726BAE" w14:textId="77777777" w:rsidTr="00E065C4">
        <w:trPr>
          <w:trHeight w:val="240"/>
        </w:trPr>
        <w:tc>
          <w:tcPr>
            <w:tcW w:w="1493" w:type="dxa"/>
            <w:shd w:val="clear" w:color="auto" w:fill="auto"/>
            <w:noWrap/>
            <w:vAlign w:val="bottom"/>
            <w:hideMark/>
          </w:tcPr>
          <w:p w14:paraId="2DEE491B"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2016</w:t>
            </w:r>
          </w:p>
        </w:tc>
        <w:tc>
          <w:tcPr>
            <w:tcW w:w="1493" w:type="dxa"/>
            <w:shd w:val="clear" w:color="auto" w:fill="auto"/>
            <w:noWrap/>
            <w:vAlign w:val="bottom"/>
            <w:hideMark/>
          </w:tcPr>
          <w:p w14:paraId="29774B2E"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35.8</w:t>
            </w:r>
          </w:p>
        </w:tc>
        <w:tc>
          <w:tcPr>
            <w:tcW w:w="1493" w:type="dxa"/>
            <w:shd w:val="clear" w:color="auto" w:fill="auto"/>
            <w:noWrap/>
            <w:vAlign w:val="bottom"/>
            <w:hideMark/>
          </w:tcPr>
          <w:p w14:paraId="608BEA4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31.0</w:t>
            </w:r>
          </w:p>
        </w:tc>
        <w:tc>
          <w:tcPr>
            <w:tcW w:w="1493" w:type="dxa"/>
            <w:shd w:val="clear" w:color="auto" w:fill="auto"/>
            <w:noWrap/>
            <w:vAlign w:val="bottom"/>
            <w:hideMark/>
          </w:tcPr>
          <w:p w14:paraId="72A81D2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61.0</w:t>
            </w:r>
          </w:p>
        </w:tc>
      </w:tr>
      <w:tr w:rsidR="00E71226" w:rsidRPr="00E065C4" w14:paraId="796DE3BC" w14:textId="77777777" w:rsidTr="00E065C4">
        <w:trPr>
          <w:trHeight w:val="240"/>
        </w:trPr>
        <w:tc>
          <w:tcPr>
            <w:tcW w:w="1493" w:type="dxa"/>
            <w:shd w:val="clear" w:color="auto" w:fill="auto"/>
            <w:noWrap/>
            <w:vAlign w:val="bottom"/>
            <w:hideMark/>
          </w:tcPr>
          <w:p w14:paraId="5E99D33E"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2017</w:t>
            </w:r>
          </w:p>
        </w:tc>
        <w:tc>
          <w:tcPr>
            <w:tcW w:w="1493" w:type="dxa"/>
            <w:shd w:val="clear" w:color="auto" w:fill="auto"/>
            <w:noWrap/>
            <w:vAlign w:val="bottom"/>
            <w:hideMark/>
          </w:tcPr>
          <w:p w14:paraId="4E49D3F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31.6</w:t>
            </w:r>
          </w:p>
        </w:tc>
        <w:tc>
          <w:tcPr>
            <w:tcW w:w="1493" w:type="dxa"/>
            <w:shd w:val="clear" w:color="auto" w:fill="auto"/>
            <w:noWrap/>
            <w:vAlign w:val="bottom"/>
            <w:hideMark/>
          </w:tcPr>
          <w:p w14:paraId="0156119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26.9</w:t>
            </w:r>
          </w:p>
        </w:tc>
        <w:tc>
          <w:tcPr>
            <w:tcW w:w="1493" w:type="dxa"/>
            <w:shd w:val="clear" w:color="auto" w:fill="auto"/>
            <w:noWrap/>
            <w:vAlign w:val="bottom"/>
            <w:hideMark/>
          </w:tcPr>
          <w:p w14:paraId="5DED735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56.3</w:t>
            </w:r>
          </w:p>
        </w:tc>
      </w:tr>
      <w:tr w:rsidR="00E71226" w:rsidRPr="00E065C4" w14:paraId="4F876452" w14:textId="77777777" w:rsidTr="00E065C4">
        <w:trPr>
          <w:trHeight w:val="240"/>
        </w:trPr>
        <w:tc>
          <w:tcPr>
            <w:tcW w:w="1493" w:type="dxa"/>
            <w:shd w:val="clear" w:color="auto" w:fill="auto"/>
            <w:noWrap/>
            <w:vAlign w:val="bottom"/>
            <w:hideMark/>
          </w:tcPr>
          <w:p w14:paraId="07C68B87"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2018</w:t>
            </w:r>
          </w:p>
        </w:tc>
        <w:tc>
          <w:tcPr>
            <w:tcW w:w="1493" w:type="dxa"/>
            <w:shd w:val="clear" w:color="auto" w:fill="auto"/>
            <w:noWrap/>
            <w:vAlign w:val="bottom"/>
            <w:hideMark/>
          </w:tcPr>
          <w:p w14:paraId="66E360A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33.3</w:t>
            </w:r>
          </w:p>
        </w:tc>
        <w:tc>
          <w:tcPr>
            <w:tcW w:w="1493" w:type="dxa"/>
            <w:shd w:val="clear" w:color="auto" w:fill="auto"/>
            <w:noWrap/>
            <w:vAlign w:val="bottom"/>
            <w:hideMark/>
          </w:tcPr>
          <w:p w14:paraId="3BFEEF3C"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27.9</w:t>
            </w:r>
          </w:p>
        </w:tc>
        <w:tc>
          <w:tcPr>
            <w:tcW w:w="1493" w:type="dxa"/>
            <w:shd w:val="clear" w:color="auto" w:fill="auto"/>
            <w:noWrap/>
            <w:vAlign w:val="bottom"/>
            <w:hideMark/>
          </w:tcPr>
          <w:p w14:paraId="3E2C961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62.2</w:t>
            </w:r>
          </w:p>
        </w:tc>
      </w:tr>
      <w:tr w:rsidR="00E71226" w:rsidRPr="00E065C4" w14:paraId="574D77D7" w14:textId="77777777" w:rsidTr="00E065C4">
        <w:trPr>
          <w:trHeight w:val="240"/>
        </w:trPr>
        <w:tc>
          <w:tcPr>
            <w:tcW w:w="1493" w:type="dxa"/>
            <w:shd w:val="clear" w:color="auto" w:fill="auto"/>
            <w:noWrap/>
            <w:vAlign w:val="bottom"/>
            <w:hideMark/>
          </w:tcPr>
          <w:p w14:paraId="182087D1"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2019</w:t>
            </w:r>
          </w:p>
        </w:tc>
        <w:tc>
          <w:tcPr>
            <w:tcW w:w="1493" w:type="dxa"/>
            <w:shd w:val="clear" w:color="auto" w:fill="auto"/>
            <w:noWrap/>
            <w:vAlign w:val="bottom"/>
            <w:hideMark/>
          </w:tcPr>
          <w:p w14:paraId="3307113A"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39.8</w:t>
            </w:r>
          </w:p>
        </w:tc>
        <w:tc>
          <w:tcPr>
            <w:tcW w:w="1493" w:type="dxa"/>
            <w:shd w:val="clear" w:color="auto" w:fill="auto"/>
            <w:noWrap/>
            <w:vAlign w:val="bottom"/>
            <w:hideMark/>
          </w:tcPr>
          <w:p w14:paraId="312CAFA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34.7</w:t>
            </w:r>
          </w:p>
        </w:tc>
        <w:tc>
          <w:tcPr>
            <w:tcW w:w="1493" w:type="dxa"/>
            <w:shd w:val="clear" w:color="auto" w:fill="auto"/>
            <w:noWrap/>
            <w:vAlign w:val="bottom"/>
            <w:hideMark/>
          </w:tcPr>
          <w:p w14:paraId="1A5C058B"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67.5</w:t>
            </w:r>
          </w:p>
        </w:tc>
      </w:tr>
      <w:tr w:rsidR="00E71226" w:rsidRPr="00E065C4" w14:paraId="341FDCFB" w14:textId="77777777" w:rsidTr="00E065C4">
        <w:trPr>
          <w:trHeight w:val="240"/>
        </w:trPr>
        <w:tc>
          <w:tcPr>
            <w:tcW w:w="1493" w:type="dxa"/>
            <w:shd w:val="clear" w:color="auto" w:fill="auto"/>
            <w:noWrap/>
            <w:vAlign w:val="bottom"/>
            <w:hideMark/>
          </w:tcPr>
          <w:p w14:paraId="51FB64D9"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2020</w:t>
            </w:r>
          </w:p>
        </w:tc>
        <w:tc>
          <w:tcPr>
            <w:tcW w:w="1493" w:type="dxa"/>
            <w:shd w:val="clear" w:color="auto" w:fill="auto"/>
            <w:noWrap/>
            <w:vAlign w:val="bottom"/>
            <w:hideMark/>
          </w:tcPr>
          <w:p w14:paraId="3458A855"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34.2</w:t>
            </w:r>
          </w:p>
        </w:tc>
        <w:tc>
          <w:tcPr>
            <w:tcW w:w="1493" w:type="dxa"/>
            <w:shd w:val="clear" w:color="auto" w:fill="auto"/>
            <w:noWrap/>
            <w:vAlign w:val="bottom"/>
            <w:hideMark/>
          </w:tcPr>
          <w:p w14:paraId="483E9401"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30.4</w:t>
            </w:r>
          </w:p>
        </w:tc>
        <w:tc>
          <w:tcPr>
            <w:tcW w:w="1493" w:type="dxa"/>
            <w:shd w:val="clear" w:color="auto" w:fill="auto"/>
            <w:noWrap/>
            <w:vAlign w:val="bottom"/>
            <w:hideMark/>
          </w:tcPr>
          <w:p w14:paraId="23C0BD03"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61.2</w:t>
            </w:r>
          </w:p>
        </w:tc>
      </w:tr>
      <w:tr w:rsidR="00E71226" w:rsidRPr="00E065C4" w14:paraId="004C6280" w14:textId="77777777" w:rsidTr="00E065C4">
        <w:trPr>
          <w:trHeight w:val="240"/>
        </w:trPr>
        <w:tc>
          <w:tcPr>
            <w:tcW w:w="1493" w:type="dxa"/>
            <w:shd w:val="clear" w:color="auto" w:fill="auto"/>
            <w:noWrap/>
            <w:vAlign w:val="bottom"/>
            <w:hideMark/>
          </w:tcPr>
          <w:p w14:paraId="456D4833" w14:textId="77777777" w:rsidR="00E71226" w:rsidRPr="00E065C4" w:rsidRDefault="00E71226" w:rsidP="00B5696B">
            <w:pPr>
              <w:rPr>
                <w:rFonts w:ascii="Arial" w:hAnsi="Arial" w:cs="Arial"/>
                <w:color w:val="000000"/>
                <w:sz w:val="22"/>
                <w:szCs w:val="22"/>
                <w:lang w:eastAsia="tr-TR"/>
              </w:rPr>
            </w:pPr>
            <w:r w:rsidRPr="00E065C4">
              <w:rPr>
                <w:rFonts w:ascii="Arial" w:hAnsi="Arial" w:cs="Arial"/>
                <w:color w:val="000000"/>
                <w:sz w:val="22"/>
                <w:szCs w:val="22"/>
                <w:lang w:eastAsia="tr-TR"/>
              </w:rPr>
              <w:t>2021</w:t>
            </w:r>
          </w:p>
        </w:tc>
        <w:tc>
          <w:tcPr>
            <w:tcW w:w="1493" w:type="dxa"/>
            <w:shd w:val="clear" w:color="auto" w:fill="auto"/>
            <w:noWrap/>
            <w:vAlign w:val="bottom"/>
            <w:hideMark/>
          </w:tcPr>
          <w:p w14:paraId="0C779D27"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33.6</w:t>
            </w:r>
          </w:p>
        </w:tc>
        <w:tc>
          <w:tcPr>
            <w:tcW w:w="1493" w:type="dxa"/>
            <w:shd w:val="clear" w:color="auto" w:fill="auto"/>
            <w:noWrap/>
            <w:vAlign w:val="bottom"/>
            <w:hideMark/>
          </w:tcPr>
          <w:p w14:paraId="63D4A5BA"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29.9</w:t>
            </w:r>
          </w:p>
        </w:tc>
        <w:tc>
          <w:tcPr>
            <w:tcW w:w="1493" w:type="dxa"/>
            <w:shd w:val="clear" w:color="auto" w:fill="auto"/>
            <w:noWrap/>
            <w:vAlign w:val="bottom"/>
            <w:hideMark/>
          </w:tcPr>
          <w:p w14:paraId="6FE6B220" w14:textId="77777777" w:rsidR="00E71226" w:rsidRPr="00E065C4" w:rsidRDefault="00E71226" w:rsidP="00B5696B">
            <w:pPr>
              <w:jc w:val="center"/>
              <w:rPr>
                <w:rFonts w:ascii="Arial" w:hAnsi="Arial" w:cs="Arial"/>
                <w:color w:val="000000"/>
                <w:sz w:val="22"/>
                <w:szCs w:val="22"/>
                <w:lang w:eastAsia="tr-TR"/>
              </w:rPr>
            </w:pPr>
            <w:r w:rsidRPr="00E065C4">
              <w:rPr>
                <w:rFonts w:ascii="Arial" w:hAnsi="Arial" w:cs="Arial"/>
                <w:color w:val="000000"/>
                <w:sz w:val="22"/>
                <w:szCs w:val="22"/>
                <w:lang w:eastAsia="tr-TR"/>
              </w:rPr>
              <w:t>61.0</w:t>
            </w:r>
          </w:p>
        </w:tc>
      </w:tr>
    </w:tbl>
    <w:p w14:paraId="0D6B7922" w14:textId="77777777" w:rsidR="00E71226" w:rsidRPr="00E065C4" w:rsidRDefault="00E71226" w:rsidP="00E71226">
      <w:pPr>
        <w:spacing w:line="360" w:lineRule="auto"/>
        <w:jc w:val="both"/>
        <w:rPr>
          <w:rFonts w:ascii="Arial" w:hAnsi="Arial" w:cs="Arial"/>
          <w:sz w:val="20"/>
        </w:rPr>
      </w:pPr>
      <w:r w:rsidRPr="00E065C4">
        <w:rPr>
          <w:rFonts w:ascii="Arial" w:hAnsi="Arial" w:cs="Arial"/>
          <w:sz w:val="20"/>
        </w:rPr>
        <w:t xml:space="preserve">Source: Turkstat, Authors' calculations. </w:t>
      </w:r>
    </w:p>
    <w:p w14:paraId="6F12BC68" w14:textId="75F72781" w:rsidR="00E71226" w:rsidRPr="00E065C4" w:rsidRDefault="00E71226" w:rsidP="00E71226">
      <w:pPr>
        <w:spacing w:line="276" w:lineRule="auto"/>
        <w:jc w:val="both"/>
        <w:rPr>
          <w:rFonts w:ascii="Arial" w:hAnsi="Arial" w:cs="Arial"/>
          <w:i/>
          <w:iCs/>
          <w:sz w:val="20"/>
          <w:szCs w:val="20"/>
        </w:rPr>
      </w:pPr>
      <w:r w:rsidRPr="00E065C4">
        <w:rPr>
          <w:rFonts w:ascii="Arial" w:hAnsi="Arial" w:cs="Arial"/>
          <w:i/>
          <w:iCs/>
          <w:sz w:val="20"/>
          <w:szCs w:val="20"/>
        </w:rPr>
        <w:t>Note: The income question is coded as zero for those who started working in the survey month and those who did not declare their income. Therefore, those who declared their income as "0" were not considered in calculating the rate of those earning at or below the minimum wage. On the other hand, since the income information is based on declarations and the maj</w:t>
      </w:r>
      <w:r w:rsidR="006F343E">
        <w:rPr>
          <w:rFonts w:ascii="Arial" w:hAnsi="Arial" w:cs="Arial"/>
          <w:i/>
          <w:iCs/>
          <w:sz w:val="20"/>
          <w:szCs w:val="20"/>
        </w:rPr>
        <w:t>ority of the respondents round</w:t>
      </w:r>
      <w:r w:rsidRPr="00E065C4">
        <w:rPr>
          <w:rFonts w:ascii="Arial" w:hAnsi="Arial" w:cs="Arial"/>
          <w:i/>
          <w:iCs/>
          <w:sz w:val="20"/>
          <w:szCs w:val="20"/>
        </w:rPr>
        <w:t xml:space="preserve"> up their income when giving their income information, 5 percent more than the minimum wage was used as the threshold when calculating the number of those earning wages less than or equal to minimum wage. Since the Minimum Living Allowance (AGI) application started in 2008, no minimum wage AGI contribution exists prior to that. Before 2008, employees collected </w:t>
      </w:r>
      <w:hyperlink r:id="rId9" w:history="1">
        <w:r w:rsidRPr="00E065C4">
          <w:rPr>
            <w:rFonts w:ascii="Arial" w:hAnsi="Arial" w:cs="Arial"/>
            <w:i/>
            <w:iCs/>
            <w:sz w:val="20"/>
            <w:szCs w:val="20"/>
          </w:rPr>
          <w:t>value-added tax</w:t>
        </w:r>
      </w:hyperlink>
      <w:r w:rsidRPr="00E065C4">
        <w:rPr>
          <w:rFonts w:ascii="Arial" w:hAnsi="Arial" w:cs="Arial"/>
          <w:i/>
          <w:iCs/>
          <w:sz w:val="20"/>
          <w:szCs w:val="20"/>
        </w:rPr>
        <w:t xml:space="preserve"> (VAT) refunds by accumulating spending slips. Although the VAT refund was calculated annually, it is possible to calculate the monthly amount. According to our calculations, a </w:t>
      </w:r>
      <w:hyperlink r:id="rId10" w:history="1">
        <w:r w:rsidRPr="00E065C4">
          <w:rPr>
            <w:rFonts w:ascii="Arial" w:hAnsi="Arial" w:cs="Arial"/>
            <w:i/>
            <w:iCs/>
            <w:sz w:val="20"/>
            <w:szCs w:val="20"/>
          </w:rPr>
          <w:t>VAT</w:t>
        </w:r>
      </w:hyperlink>
      <w:r w:rsidRPr="00E065C4">
        <w:rPr>
          <w:rFonts w:ascii="Arial" w:hAnsi="Arial" w:cs="Arial"/>
          <w:i/>
          <w:iCs/>
          <w:sz w:val="20"/>
          <w:szCs w:val="20"/>
        </w:rPr>
        <w:t xml:space="preserve"> refund corresponds to an increase of approximately 8 percent in the monthly income of a minimum wage worker. In order to make comparisons between years, the minimum wages before 2008 were multiplied by 1.08.</w:t>
      </w:r>
    </w:p>
    <w:p w14:paraId="33C43012" w14:textId="498685CB" w:rsidR="00E71226" w:rsidRDefault="00E71226" w:rsidP="004A3731">
      <w:pPr>
        <w:jc w:val="both"/>
        <w:rPr>
          <w:rFonts w:asciiTheme="minorHAnsi" w:hAnsiTheme="minorHAnsi" w:cs="Arial"/>
          <w:color w:val="000000" w:themeColor="text1"/>
          <w:sz w:val="20"/>
          <w:szCs w:val="20"/>
          <w:lang w:val="en-US"/>
        </w:rPr>
      </w:pPr>
    </w:p>
    <w:p w14:paraId="48C78F8B" w14:textId="5D38D73A" w:rsidR="00E71226" w:rsidRPr="00E065C4" w:rsidRDefault="00E71226" w:rsidP="004A3731">
      <w:pPr>
        <w:jc w:val="both"/>
        <w:rPr>
          <w:rFonts w:ascii="Arial" w:hAnsi="Arial" w:cs="Arial"/>
          <w:color w:val="000000" w:themeColor="text1"/>
          <w:sz w:val="18"/>
          <w:szCs w:val="20"/>
          <w:lang w:val="en-US"/>
        </w:rPr>
      </w:pPr>
    </w:p>
    <w:p w14:paraId="1A46A06A" w14:textId="77777777" w:rsidR="00E71226" w:rsidRPr="00E065C4" w:rsidRDefault="00E71226" w:rsidP="00E065C4">
      <w:pPr>
        <w:spacing w:after="120" w:line="360" w:lineRule="auto"/>
        <w:jc w:val="both"/>
        <w:rPr>
          <w:rFonts w:ascii="Arial" w:hAnsi="Arial" w:cs="Arial"/>
          <w:b/>
          <w:bCs/>
          <w:szCs w:val="28"/>
        </w:rPr>
      </w:pPr>
      <w:r w:rsidRPr="00E065C4">
        <w:rPr>
          <w:rFonts w:ascii="Arial" w:hAnsi="Arial" w:cs="Arial"/>
          <w:b/>
          <w:bCs/>
          <w:szCs w:val="28"/>
        </w:rPr>
        <w:t>The progress of the minimum wage and inflation over the years</w:t>
      </w:r>
    </w:p>
    <w:p w14:paraId="2284CE6A" w14:textId="0BDCEE29"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Figure 1 shows the development of the minimum wage and inflation over the years. The minimum wage increased at a very high rate of 40 percent at the beginning of 2004. Since inflation was in single digits in this period, the real minimum wage, 226 TL in June 2003, increased to 297 TL in June 2004 (31 percent increase) and remained around 300 until June 2007</w:t>
      </w:r>
      <w:r w:rsidR="00FD3305">
        <w:rPr>
          <w:rStyle w:val="DipnotBavurusu"/>
          <w:rFonts w:ascii="Arial" w:hAnsi="Arial" w:cs="Arial"/>
          <w:sz w:val="22"/>
          <w:szCs w:val="22"/>
        </w:rPr>
        <w:footnoteReference w:id="4"/>
      </w:r>
      <w:r w:rsidRPr="00E065C4">
        <w:rPr>
          <w:rFonts w:ascii="Arial" w:hAnsi="Arial" w:cs="Arial"/>
          <w:sz w:val="22"/>
          <w:szCs w:val="22"/>
        </w:rPr>
        <w:t>. Inflation was also in single digits in this period (Figure 1 and Annex Table 1). In the following period, a steady increase, albeit slowly, is observed in the real minimum wage. As a result, the real minimum increased to 369 TL in June 2014. The real minimum wage increased by 23 percent between 2007 and 2014. </w:t>
      </w:r>
    </w:p>
    <w:p w14:paraId="68A5C1C8" w14:textId="68E0F6ED" w:rsidR="00E71226" w:rsidRDefault="00E71226" w:rsidP="00E065C4">
      <w:pPr>
        <w:spacing w:after="120" w:line="360" w:lineRule="auto"/>
        <w:jc w:val="both"/>
      </w:pPr>
      <w:r w:rsidRPr="00E065C4">
        <w:rPr>
          <w:rFonts w:ascii="Arial" w:hAnsi="Arial" w:cs="Arial"/>
          <w:sz w:val="22"/>
          <w:szCs w:val="22"/>
        </w:rPr>
        <w:t xml:space="preserve">The highest nominal minimum wage increase after 2004 was realized at the beginning of 2016 (30 percent). With a low annual inflation rate (8 percent) in 2016, the real minimum wage increased from 386 </w:t>
      </w:r>
      <w:r w:rsidRPr="00E065C4">
        <w:rPr>
          <w:rFonts w:ascii="Arial" w:hAnsi="Arial" w:cs="Arial"/>
          <w:sz w:val="22"/>
          <w:szCs w:val="22"/>
        </w:rPr>
        <w:lastRenderedPageBreak/>
        <w:t>TL to 466 TL, by 21 percent from June 2015 to June 2016. The real minimum wage more than doubled between June 2003 and June 2016.</w:t>
      </w:r>
    </w:p>
    <w:p w14:paraId="69329EF8" w14:textId="77777777" w:rsidR="00E71226" w:rsidRPr="00E065C4" w:rsidRDefault="00E71226" w:rsidP="00E71226">
      <w:pPr>
        <w:spacing w:line="360" w:lineRule="auto"/>
        <w:jc w:val="both"/>
        <w:rPr>
          <w:rFonts w:ascii="Arial" w:hAnsi="Arial" w:cs="Arial"/>
          <w:sz w:val="22"/>
        </w:rPr>
      </w:pPr>
      <w:r w:rsidRPr="00E065C4">
        <w:rPr>
          <w:rFonts w:ascii="Arial" w:hAnsi="Arial" w:cs="Arial"/>
          <w:b/>
          <w:sz w:val="22"/>
        </w:rPr>
        <w:t>Figure 1: Real minimum wage (TL) ve CPI (2003 June=100)</w:t>
      </w:r>
    </w:p>
    <w:p w14:paraId="56098F9F" w14:textId="77777777" w:rsidR="00E71226" w:rsidRDefault="00E71226" w:rsidP="00E71226">
      <w:pPr>
        <w:rPr>
          <w:sz w:val="21"/>
          <w:szCs w:val="20"/>
        </w:rPr>
      </w:pPr>
      <w:r>
        <w:rPr>
          <w:noProof/>
          <w:lang w:eastAsia="tr-TR"/>
        </w:rPr>
        <w:drawing>
          <wp:inline distT="0" distB="0" distL="0" distR="0" wp14:anchorId="5E3E0134" wp14:editId="00648359">
            <wp:extent cx="5760720" cy="3164619"/>
            <wp:effectExtent l="0" t="0" r="11430" b="17145"/>
            <wp:docPr id="2" name="Chart 2">
              <a:extLst xmlns:a="http://schemas.openxmlformats.org/drawingml/2006/main">
                <a:ext uri="{FF2B5EF4-FFF2-40B4-BE49-F238E27FC236}">
                  <a16:creationId xmlns:a16="http://schemas.microsoft.com/office/drawing/2014/main" id="{3B1666DA-75B4-F413-D664-D541B4456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D7A672" w14:textId="77777777" w:rsidR="00E71226" w:rsidRPr="00E065C4" w:rsidRDefault="00E71226" w:rsidP="00E71226">
      <w:pPr>
        <w:spacing w:line="360" w:lineRule="auto"/>
        <w:jc w:val="both"/>
        <w:rPr>
          <w:rFonts w:ascii="Arial" w:hAnsi="Arial" w:cs="Arial"/>
          <w:sz w:val="20"/>
        </w:rPr>
      </w:pPr>
      <w:r w:rsidRPr="00E065C4">
        <w:rPr>
          <w:rFonts w:ascii="Arial" w:hAnsi="Arial" w:cs="Arial"/>
          <w:sz w:val="20"/>
        </w:rPr>
        <w:t xml:space="preserve">Source: Turkstat, Authors' calculations. </w:t>
      </w:r>
    </w:p>
    <w:p w14:paraId="37193B88" w14:textId="77777777" w:rsidR="00E71226" w:rsidRDefault="00E71226" w:rsidP="00E71226">
      <w:pPr>
        <w:spacing w:line="360" w:lineRule="auto"/>
        <w:jc w:val="both"/>
        <w:rPr>
          <w:sz w:val="20"/>
        </w:rPr>
      </w:pPr>
    </w:p>
    <w:p w14:paraId="5E0D9B42" w14:textId="1AA9025E"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In the following years, real minimum wage increases stagnated</w:t>
      </w:r>
      <w:r w:rsidRPr="00E065C4" w:rsidDel="00060678">
        <w:rPr>
          <w:rFonts w:ascii="Arial" w:hAnsi="Arial" w:cs="Arial"/>
          <w:sz w:val="22"/>
          <w:szCs w:val="22"/>
        </w:rPr>
        <w:t xml:space="preserve"> </w:t>
      </w:r>
      <w:r w:rsidRPr="00E065C4">
        <w:rPr>
          <w:rFonts w:ascii="Arial" w:hAnsi="Arial" w:cs="Arial"/>
          <w:sz w:val="22"/>
          <w:szCs w:val="22"/>
        </w:rPr>
        <w:t xml:space="preserve">(Figure 1 and Annex Table 1). Also, inflation has resulted in double digits since 2017. As of May 2020, the nominal minimum wage also started to increase with the acceleration of inflation. The real minimum wage, 489 TL in June 2019, increased by 5.7 percent in June 2021 to only 517 TL. Inflation reached a record level of 78.6 percent on an annual basis in June 2022. Despite the 50 percent increase in the minimum wage at the beginning of 2022, the real minimum wage decreased by 15.9 percent in June 2022, decreasing from 517 TL a year ago to 435 TL (Figure 1, </w:t>
      </w:r>
      <w:r w:rsidR="008E738E" w:rsidRPr="008E738E">
        <w:rPr>
          <w:rFonts w:ascii="Arial" w:hAnsi="Arial" w:cs="Arial"/>
          <w:sz w:val="22"/>
        </w:rPr>
        <w:t>Annex</w:t>
      </w:r>
      <w:r w:rsidR="008E738E" w:rsidRPr="00D049B0">
        <w:rPr>
          <w:rFonts w:ascii="Arial" w:hAnsi="Arial" w:cs="Arial"/>
          <w:b/>
          <w:sz w:val="22"/>
        </w:rPr>
        <w:t xml:space="preserve"> </w:t>
      </w:r>
      <w:r w:rsidRPr="00E065C4">
        <w:rPr>
          <w:rFonts w:ascii="Arial" w:hAnsi="Arial" w:cs="Arial"/>
          <w:sz w:val="22"/>
          <w:szCs w:val="22"/>
        </w:rPr>
        <w:t>Table 1). We have entered a new period in which high inflation rapidly melts minimum wage increases.</w:t>
      </w:r>
    </w:p>
    <w:p w14:paraId="4B0A1E6C" w14:textId="77777777" w:rsidR="00E71226" w:rsidRDefault="00E71226" w:rsidP="00E71226"/>
    <w:p w14:paraId="64DA85A0" w14:textId="77777777" w:rsidR="00E71226" w:rsidRPr="00E065C4" w:rsidRDefault="00E71226" w:rsidP="00E065C4">
      <w:pPr>
        <w:spacing w:after="240"/>
        <w:rPr>
          <w:rFonts w:ascii="Arial" w:hAnsi="Arial" w:cs="Arial"/>
          <w:b/>
          <w:szCs w:val="28"/>
        </w:rPr>
      </w:pPr>
      <w:r w:rsidRPr="00E065C4">
        <w:rPr>
          <w:rFonts w:ascii="Arial" w:hAnsi="Arial" w:cs="Arial"/>
          <w:b/>
          <w:szCs w:val="28"/>
        </w:rPr>
        <w:t>Food, housing and transport inflation melted the minimum wage</w:t>
      </w:r>
    </w:p>
    <w:p w14:paraId="3A84B8F5" w14:textId="635E1DCC" w:rsidR="009E4594" w:rsidRDefault="00E71226" w:rsidP="009E4594">
      <w:pPr>
        <w:spacing w:after="360" w:line="360" w:lineRule="auto"/>
        <w:jc w:val="both"/>
        <w:rPr>
          <w:rFonts w:ascii="Arial" w:hAnsi="Arial" w:cs="Arial"/>
          <w:sz w:val="22"/>
          <w:szCs w:val="22"/>
        </w:rPr>
      </w:pPr>
      <w:r w:rsidRPr="00E065C4">
        <w:rPr>
          <w:rFonts w:ascii="Arial" w:hAnsi="Arial" w:cs="Arial"/>
          <w:sz w:val="22"/>
          <w:szCs w:val="22"/>
        </w:rPr>
        <w:t>The food, rent, electricity, gas, and other fuels and transportation price index</w:t>
      </w:r>
      <w:r w:rsidR="006F343E">
        <w:rPr>
          <w:rFonts w:ascii="Arial" w:hAnsi="Arial" w:cs="Arial"/>
          <w:sz w:val="22"/>
          <w:szCs w:val="22"/>
        </w:rPr>
        <w:t>es</w:t>
      </w:r>
      <w:r w:rsidRPr="00E065C4">
        <w:rPr>
          <w:rFonts w:ascii="Arial" w:hAnsi="Arial" w:cs="Arial"/>
          <w:sz w:val="22"/>
          <w:szCs w:val="22"/>
        </w:rPr>
        <w:t xml:space="preserve">, which constitute approximately 50 percent of the weight in the consumption basket of low and middle-income groups, can be compared with the CPI to understand how the minimum wage increase affects the purchasing power of the consumer. To ease comparison, the </w:t>
      </w:r>
      <w:r w:rsidR="008E738E">
        <w:rPr>
          <w:rFonts w:ascii="Arial" w:hAnsi="Arial" w:cs="Arial"/>
          <w:sz w:val="22"/>
          <w:szCs w:val="22"/>
        </w:rPr>
        <w:t>indexes</w:t>
      </w:r>
      <w:r w:rsidRPr="00E065C4">
        <w:rPr>
          <w:rFonts w:ascii="Arial" w:hAnsi="Arial" w:cs="Arial"/>
          <w:sz w:val="22"/>
          <w:szCs w:val="22"/>
        </w:rPr>
        <w:t xml:space="preserve"> in Figure 2 were created by taking the December value of each item in 2015 and 2021 as 100.</w:t>
      </w:r>
      <w:r w:rsidR="009E4594">
        <w:rPr>
          <w:rFonts w:ascii="Arial" w:hAnsi="Arial" w:cs="Arial"/>
          <w:sz w:val="22"/>
          <w:szCs w:val="22"/>
        </w:rPr>
        <w:t xml:space="preserve"> </w:t>
      </w:r>
      <w:r w:rsidR="009E4594" w:rsidRPr="00E065C4">
        <w:rPr>
          <w:rFonts w:ascii="Arial" w:hAnsi="Arial" w:cs="Arial"/>
          <w:sz w:val="22"/>
          <w:szCs w:val="22"/>
        </w:rPr>
        <w:t xml:space="preserve">Figure 2 shows that the price </w:t>
      </w:r>
      <w:r w:rsidR="008E738E">
        <w:rPr>
          <w:rFonts w:ascii="Arial" w:hAnsi="Arial" w:cs="Arial"/>
          <w:sz w:val="22"/>
          <w:szCs w:val="22"/>
        </w:rPr>
        <w:t>indexes</w:t>
      </w:r>
      <w:r w:rsidR="009E4594" w:rsidRPr="00E065C4">
        <w:rPr>
          <w:rFonts w:ascii="Arial" w:hAnsi="Arial" w:cs="Arial"/>
          <w:sz w:val="22"/>
          <w:szCs w:val="22"/>
        </w:rPr>
        <w:t xml:space="preserve"> of all sub-items either slightly decreased or increased over time in 2016 (left graph). Food prices even started to decline after February 2016. As mentioned above, the low increases in consumption item prices and the 30 percent nominal increase in the minimum wage led to a significant increase in the real income of the households and increased their purchasing power. </w:t>
      </w:r>
    </w:p>
    <w:p w14:paraId="4E56395E" w14:textId="5D390E9D" w:rsidR="00E71226" w:rsidRPr="00E065C4" w:rsidRDefault="00E71226" w:rsidP="002E5D5D">
      <w:pPr>
        <w:spacing w:line="360" w:lineRule="auto"/>
        <w:jc w:val="both"/>
        <w:rPr>
          <w:rFonts w:ascii="Arial" w:hAnsi="Arial" w:cs="Arial"/>
          <w:b/>
          <w:sz w:val="22"/>
        </w:rPr>
      </w:pPr>
      <w:r w:rsidRPr="00E065C4">
        <w:rPr>
          <w:rFonts w:ascii="Arial" w:hAnsi="Arial" w:cs="Arial"/>
          <w:b/>
          <w:sz w:val="22"/>
        </w:rPr>
        <w:lastRenderedPageBreak/>
        <w:t xml:space="preserve">Figure 2: Increases of </w:t>
      </w:r>
      <w:r w:rsidR="002E5D5D">
        <w:rPr>
          <w:rFonts w:ascii="Arial" w:hAnsi="Arial" w:cs="Arial"/>
          <w:b/>
          <w:sz w:val="22"/>
        </w:rPr>
        <w:t>i</w:t>
      </w:r>
      <w:r w:rsidR="002E5D5D" w:rsidRPr="002E5D5D">
        <w:rPr>
          <w:rFonts w:ascii="Arial" w:hAnsi="Arial" w:cs="Arial"/>
          <w:b/>
          <w:sz w:val="22"/>
        </w:rPr>
        <w:t>ndexes</w:t>
      </w:r>
      <w:r w:rsidR="002E5D5D" w:rsidRPr="00D049B0">
        <w:rPr>
          <w:rFonts w:ascii="Arial" w:hAnsi="Arial" w:cs="Arial"/>
          <w:b/>
          <w:sz w:val="22"/>
        </w:rPr>
        <w:t xml:space="preserve"> </w:t>
      </w:r>
      <w:r w:rsidRPr="00E065C4">
        <w:rPr>
          <w:rFonts w:ascii="Arial" w:hAnsi="Arial" w:cs="Arial"/>
          <w:b/>
          <w:sz w:val="22"/>
        </w:rPr>
        <w:t>in consumption expenditure</w:t>
      </w:r>
      <w:r w:rsidR="002E5D5D">
        <w:rPr>
          <w:rFonts w:ascii="Arial" w:hAnsi="Arial" w:cs="Arial"/>
          <w:b/>
          <w:sz w:val="22"/>
        </w:rPr>
        <w:t xml:space="preserve"> and</w:t>
      </w:r>
      <w:r w:rsidRPr="00E065C4">
        <w:rPr>
          <w:rFonts w:ascii="Arial" w:hAnsi="Arial" w:cs="Arial"/>
          <w:b/>
          <w:sz w:val="22"/>
        </w:rPr>
        <w:t xml:space="preserve"> </w:t>
      </w:r>
      <w:r w:rsidR="002E5D5D" w:rsidRPr="00E065C4">
        <w:rPr>
          <w:rFonts w:ascii="Arial" w:hAnsi="Arial" w:cs="Arial"/>
          <w:b/>
          <w:sz w:val="22"/>
        </w:rPr>
        <w:t xml:space="preserve">minimum wage </w:t>
      </w:r>
    </w:p>
    <w:p w14:paraId="5CE39C4B" w14:textId="77777777" w:rsidR="00E71226" w:rsidRDefault="00E71226" w:rsidP="00E71226">
      <w:pPr>
        <w:spacing w:line="360" w:lineRule="auto"/>
        <w:jc w:val="both"/>
      </w:pPr>
      <w:r>
        <w:rPr>
          <w:noProof/>
          <w:lang w:eastAsia="tr-TR"/>
        </w:rPr>
        <w:drawing>
          <wp:inline distT="0" distB="0" distL="0" distR="0" wp14:anchorId="38EC6E15" wp14:editId="75B436A1">
            <wp:extent cx="5760172" cy="3323645"/>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3973" cy="3331608"/>
                    </a:xfrm>
                    <a:prstGeom prst="rect">
                      <a:avLst/>
                    </a:prstGeom>
                  </pic:spPr>
                </pic:pic>
              </a:graphicData>
            </a:graphic>
          </wp:inline>
        </w:drawing>
      </w:r>
    </w:p>
    <w:p w14:paraId="22EFDE96" w14:textId="77777777" w:rsidR="00E71226" w:rsidRDefault="00E71226" w:rsidP="00E71226">
      <w:pPr>
        <w:spacing w:line="360" w:lineRule="auto"/>
        <w:jc w:val="both"/>
      </w:pPr>
    </w:p>
    <w:p w14:paraId="673AE533" w14:textId="7D364001" w:rsidR="00E71226" w:rsidRPr="00E065C4" w:rsidRDefault="00E71226" w:rsidP="00B81942">
      <w:pPr>
        <w:spacing w:after="240" w:line="360" w:lineRule="auto"/>
        <w:jc w:val="both"/>
        <w:rPr>
          <w:rFonts w:ascii="Arial" w:hAnsi="Arial" w:cs="Arial"/>
          <w:sz w:val="22"/>
          <w:szCs w:val="22"/>
        </w:rPr>
      </w:pPr>
      <w:r w:rsidRPr="00E065C4">
        <w:rPr>
          <w:rFonts w:ascii="Arial" w:hAnsi="Arial" w:cs="Arial"/>
          <w:sz w:val="22"/>
          <w:szCs w:val="22"/>
        </w:rPr>
        <w:t xml:space="preserve">This situation is entirely different for the year 2022. All item prices increased significantly (right graph). </w:t>
      </w:r>
      <w:r w:rsidR="009E4594">
        <w:rPr>
          <w:rFonts w:ascii="Arial" w:hAnsi="Arial" w:cs="Arial"/>
          <w:sz w:val="22"/>
          <w:szCs w:val="22"/>
        </w:rPr>
        <w:t>E</w:t>
      </w:r>
      <w:r w:rsidRPr="00E065C4">
        <w:rPr>
          <w:rFonts w:ascii="Arial" w:hAnsi="Arial" w:cs="Arial"/>
          <w:sz w:val="22"/>
          <w:szCs w:val="22"/>
        </w:rPr>
        <w:t xml:space="preserve">nergy, food, and transportation prices have increased considerably above the general price index in the recent period. Although the increase in rent prices was more moderate compared to other items and remained below the CPI increase, the high minimum wage increase at the beginning of 2022 has melted mainly due to the </w:t>
      </w:r>
      <w:r w:rsidR="009E4594">
        <w:rPr>
          <w:rFonts w:ascii="Arial" w:hAnsi="Arial" w:cs="Arial"/>
          <w:sz w:val="22"/>
          <w:szCs w:val="22"/>
        </w:rPr>
        <w:t>striking</w:t>
      </w:r>
      <w:r w:rsidRPr="00E065C4">
        <w:rPr>
          <w:rFonts w:ascii="Arial" w:hAnsi="Arial" w:cs="Arial"/>
          <w:sz w:val="22"/>
          <w:szCs w:val="22"/>
        </w:rPr>
        <w:t xml:space="preserve"> </w:t>
      </w:r>
      <w:r w:rsidR="009E4594">
        <w:rPr>
          <w:rFonts w:ascii="Arial" w:hAnsi="Arial" w:cs="Arial"/>
          <w:sz w:val="22"/>
          <w:szCs w:val="22"/>
        </w:rPr>
        <w:t xml:space="preserve">price </w:t>
      </w:r>
      <w:r w:rsidRPr="00E065C4">
        <w:rPr>
          <w:rFonts w:ascii="Arial" w:hAnsi="Arial" w:cs="Arial"/>
          <w:sz w:val="22"/>
          <w:szCs w:val="22"/>
        </w:rPr>
        <w:t>increases in the other three expenditure items. As mentioned above, the real minimum wage decreased from 517 TL in June 2021 to 435 TL in June 2022. This indicates a severe loss in the purchasing power of households.</w:t>
      </w:r>
    </w:p>
    <w:p w14:paraId="62CE3571" w14:textId="77777777" w:rsidR="00E71226" w:rsidRPr="00E065C4" w:rsidRDefault="00E71226" w:rsidP="00E065C4">
      <w:pPr>
        <w:spacing w:after="240" w:line="360" w:lineRule="auto"/>
        <w:jc w:val="both"/>
        <w:rPr>
          <w:rFonts w:ascii="Arial" w:hAnsi="Arial" w:cs="Arial"/>
          <w:b/>
          <w:bCs/>
        </w:rPr>
      </w:pPr>
      <w:r w:rsidRPr="00E065C4">
        <w:rPr>
          <w:rFonts w:ascii="Arial" w:hAnsi="Arial" w:cs="Arial"/>
          <w:b/>
          <w:bCs/>
        </w:rPr>
        <w:t>Conclusion and recommendations</w:t>
      </w:r>
    </w:p>
    <w:p w14:paraId="1BE52E15" w14:textId="77777777" w:rsidR="00E71226" w:rsidRPr="00E065C4" w:rsidRDefault="00E71226" w:rsidP="00E065C4">
      <w:pPr>
        <w:spacing w:after="120" w:line="360" w:lineRule="auto"/>
        <w:jc w:val="both"/>
        <w:rPr>
          <w:rFonts w:ascii="Arial" w:hAnsi="Arial" w:cs="Arial"/>
          <w:sz w:val="22"/>
          <w:szCs w:val="22"/>
        </w:rPr>
      </w:pPr>
      <w:r w:rsidRPr="00E065C4">
        <w:rPr>
          <w:rFonts w:ascii="Arial" w:hAnsi="Arial" w:cs="Arial"/>
          <w:sz w:val="22"/>
          <w:szCs w:val="22"/>
        </w:rPr>
        <w:t>The findings in this research note reveal that the minimum wage increase in 2022 melted in the first six months of the year. Based on the recent global food, energy crisis and exchange rate shock, food and housing expenditures, which take up a significant percentage of the low-income consumption basket, are expected to increase in the future. Therefore, even if the government increases the minimum wage in the year's second half, a one-time increase will likely not prevent a decline in workers' incomes. During such periods of high inflation, however, government social assistance, such as direct income support to the poor and middle classes, will protect the purchasing power of relatively poor households against price increases.</w:t>
      </w:r>
    </w:p>
    <w:p w14:paraId="3FB9E5B0" w14:textId="37DDE4E2" w:rsidR="00E71226" w:rsidRPr="00D049B0" w:rsidRDefault="00E71226" w:rsidP="00D049B0">
      <w:pPr>
        <w:spacing w:after="120"/>
        <w:rPr>
          <w:rFonts w:ascii="Arial" w:hAnsi="Arial" w:cs="Arial"/>
          <w:b/>
          <w:sz w:val="22"/>
        </w:rPr>
      </w:pPr>
      <w:r>
        <w:br w:type="page"/>
      </w:r>
      <w:r w:rsidRPr="00D049B0">
        <w:rPr>
          <w:rFonts w:ascii="Arial" w:hAnsi="Arial" w:cs="Arial"/>
          <w:b/>
          <w:sz w:val="22"/>
        </w:rPr>
        <w:lastRenderedPageBreak/>
        <w:t>Annex Table1: Minimum wage and Consumer Price Index</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2402"/>
        <w:gridCol w:w="2876"/>
        <w:gridCol w:w="2876"/>
      </w:tblGrid>
      <w:tr w:rsidR="00E71226" w:rsidRPr="00D049B0" w14:paraId="16525F67" w14:textId="77777777" w:rsidTr="00D049B0">
        <w:trPr>
          <w:trHeight w:val="240"/>
        </w:trPr>
        <w:tc>
          <w:tcPr>
            <w:tcW w:w="1332" w:type="dxa"/>
            <w:shd w:val="clear" w:color="auto" w:fill="auto"/>
            <w:noWrap/>
            <w:vAlign w:val="bottom"/>
            <w:hideMark/>
          </w:tcPr>
          <w:p w14:paraId="59AD60E2" w14:textId="77777777" w:rsidR="00E71226" w:rsidRPr="00D049B0" w:rsidRDefault="00E71226" w:rsidP="00B5696B">
            <w:pPr>
              <w:jc w:val="center"/>
              <w:rPr>
                <w:rFonts w:ascii="Arial" w:hAnsi="Arial" w:cs="Arial"/>
                <w:sz w:val="20"/>
                <w:szCs w:val="20"/>
              </w:rPr>
            </w:pPr>
            <w:bookmarkStart w:id="0" w:name="OLE_LINK1"/>
            <w:r w:rsidRPr="00D049B0">
              <w:rPr>
                <w:rFonts w:ascii="Arial" w:hAnsi="Arial" w:cs="Arial"/>
                <w:color w:val="000000"/>
                <w:sz w:val="20"/>
                <w:szCs w:val="20"/>
              </w:rPr>
              <w:t>Year(June)</w:t>
            </w:r>
          </w:p>
        </w:tc>
        <w:tc>
          <w:tcPr>
            <w:tcW w:w="2402" w:type="dxa"/>
            <w:shd w:val="clear" w:color="auto" w:fill="auto"/>
            <w:noWrap/>
            <w:vAlign w:val="center"/>
            <w:hideMark/>
          </w:tcPr>
          <w:p w14:paraId="6B6AB70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CPI (2003 June=100)</w:t>
            </w:r>
          </w:p>
        </w:tc>
        <w:tc>
          <w:tcPr>
            <w:tcW w:w="2876" w:type="dxa"/>
            <w:shd w:val="clear" w:color="auto" w:fill="auto"/>
            <w:noWrap/>
            <w:vAlign w:val="center"/>
            <w:hideMark/>
          </w:tcPr>
          <w:p w14:paraId="77FCB48D"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Real Minimum Wage(TL)</w:t>
            </w:r>
          </w:p>
        </w:tc>
        <w:tc>
          <w:tcPr>
            <w:tcW w:w="2876" w:type="dxa"/>
            <w:shd w:val="clear" w:color="auto" w:fill="auto"/>
            <w:noWrap/>
            <w:vAlign w:val="center"/>
            <w:hideMark/>
          </w:tcPr>
          <w:p w14:paraId="34A76EC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Nominal Minimum Wage (TL)</w:t>
            </w:r>
          </w:p>
        </w:tc>
      </w:tr>
      <w:tr w:rsidR="00E71226" w:rsidRPr="00D049B0" w14:paraId="1E6A9E0B" w14:textId="77777777" w:rsidTr="00D049B0">
        <w:trPr>
          <w:trHeight w:val="255"/>
        </w:trPr>
        <w:tc>
          <w:tcPr>
            <w:tcW w:w="1332" w:type="dxa"/>
            <w:shd w:val="clear" w:color="auto" w:fill="auto"/>
            <w:noWrap/>
            <w:vAlign w:val="bottom"/>
            <w:hideMark/>
          </w:tcPr>
          <w:p w14:paraId="7122BD5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2003</w:t>
            </w:r>
          </w:p>
        </w:tc>
        <w:tc>
          <w:tcPr>
            <w:tcW w:w="2402" w:type="dxa"/>
            <w:shd w:val="clear" w:color="auto" w:fill="auto"/>
            <w:noWrap/>
            <w:vAlign w:val="bottom"/>
            <w:hideMark/>
          </w:tcPr>
          <w:p w14:paraId="5CC6CB62"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100.0</w:t>
            </w:r>
          </w:p>
        </w:tc>
        <w:tc>
          <w:tcPr>
            <w:tcW w:w="2876" w:type="dxa"/>
            <w:shd w:val="clear" w:color="auto" w:fill="auto"/>
            <w:noWrap/>
            <w:vAlign w:val="bottom"/>
            <w:hideMark/>
          </w:tcPr>
          <w:p w14:paraId="51755687"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226</w:t>
            </w:r>
          </w:p>
        </w:tc>
        <w:tc>
          <w:tcPr>
            <w:tcW w:w="2876" w:type="dxa"/>
            <w:shd w:val="clear" w:color="auto" w:fill="auto"/>
            <w:noWrap/>
            <w:vAlign w:val="bottom"/>
            <w:hideMark/>
          </w:tcPr>
          <w:p w14:paraId="1D85506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226</w:t>
            </w:r>
          </w:p>
        </w:tc>
      </w:tr>
      <w:tr w:rsidR="00E71226" w:rsidRPr="00D049B0" w14:paraId="1933651D" w14:textId="77777777" w:rsidTr="00D049B0">
        <w:trPr>
          <w:trHeight w:val="255"/>
        </w:trPr>
        <w:tc>
          <w:tcPr>
            <w:tcW w:w="1332" w:type="dxa"/>
            <w:shd w:val="clear" w:color="auto" w:fill="auto"/>
            <w:noWrap/>
            <w:vAlign w:val="bottom"/>
            <w:hideMark/>
          </w:tcPr>
          <w:p w14:paraId="7B3DD3ED"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2004</w:t>
            </w:r>
          </w:p>
        </w:tc>
        <w:tc>
          <w:tcPr>
            <w:tcW w:w="2402" w:type="dxa"/>
            <w:shd w:val="clear" w:color="auto" w:fill="auto"/>
            <w:noWrap/>
            <w:vAlign w:val="bottom"/>
            <w:hideMark/>
          </w:tcPr>
          <w:p w14:paraId="0DF81354"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107.1</w:t>
            </w:r>
          </w:p>
        </w:tc>
        <w:tc>
          <w:tcPr>
            <w:tcW w:w="2876" w:type="dxa"/>
            <w:shd w:val="clear" w:color="auto" w:fill="auto"/>
            <w:noWrap/>
            <w:vAlign w:val="bottom"/>
            <w:hideMark/>
          </w:tcPr>
          <w:p w14:paraId="010A241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297</w:t>
            </w:r>
          </w:p>
        </w:tc>
        <w:tc>
          <w:tcPr>
            <w:tcW w:w="2876" w:type="dxa"/>
            <w:shd w:val="clear" w:color="auto" w:fill="auto"/>
            <w:noWrap/>
            <w:vAlign w:val="bottom"/>
            <w:hideMark/>
          </w:tcPr>
          <w:p w14:paraId="7D17E830"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318</w:t>
            </w:r>
          </w:p>
        </w:tc>
      </w:tr>
      <w:tr w:rsidR="00E71226" w:rsidRPr="00D049B0" w14:paraId="56BECBA9" w14:textId="77777777" w:rsidTr="00D049B0">
        <w:trPr>
          <w:trHeight w:val="255"/>
        </w:trPr>
        <w:tc>
          <w:tcPr>
            <w:tcW w:w="1332" w:type="dxa"/>
            <w:shd w:val="clear" w:color="auto" w:fill="auto"/>
            <w:noWrap/>
            <w:vAlign w:val="bottom"/>
            <w:hideMark/>
          </w:tcPr>
          <w:p w14:paraId="63BAC94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2005</w:t>
            </w:r>
          </w:p>
        </w:tc>
        <w:tc>
          <w:tcPr>
            <w:tcW w:w="2402" w:type="dxa"/>
            <w:shd w:val="clear" w:color="auto" w:fill="auto"/>
            <w:noWrap/>
            <w:vAlign w:val="bottom"/>
            <w:hideMark/>
          </w:tcPr>
          <w:p w14:paraId="0FC9588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116.7</w:t>
            </w:r>
          </w:p>
        </w:tc>
        <w:tc>
          <w:tcPr>
            <w:tcW w:w="2876" w:type="dxa"/>
            <w:shd w:val="clear" w:color="auto" w:fill="auto"/>
            <w:noWrap/>
            <w:vAlign w:val="bottom"/>
            <w:hideMark/>
          </w:tcPr>
          <w:p w14:paraId="3A57014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300</w:t>
            </w:r>
          </w:p>
        </w:tc>
        <w:tc>
          <w:tcPr>
            <w:tcW w:w="2876" w:type="dxa"/>
            <w:shd w:val="clear" w:color="auto" w:fill="auto"/>
            <w:noWrap/>
            <w:vAlign w:val="bottom"/>
            <w:hideMark/>
          </w:tcPr>
          <w:p w14:paraId="36D9A5E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350</w:t>
            </w:r>
          </w:p>
        </w:tc>
      </w:tr>
      <w:tr w:rsidR="00E71226" w:rsidRPr="00D049B0" w14:paraId="33FCCF00" w14:textId="77777777" w:rsidTr="00D049B0">
        <w:trPr>
          <w:trHeight w:val="255"/>
        </w:trPr>
        <w:tc>
          <w:tcPr>
            <w:tcW w:w="1332" w:type="dxa"/>
            <w:shd w:val="clear" w:color="auto" w:fill="auto"/>
            <w:noWrap/>
            <w:vAlign w:val="bottom"/>
            <w:hideMark/>
          </w:tcPr>
          <w:p w14:paraId="70980170"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2006</w:t>
            </w:r>
          </w:p>
        </w:tc>
        <w:tc>
          <w:tcPr>
            <w:tcW w:w="2402" w:type="dxa"/>
            <w:shd w:val="clear" w:color="auto" w:fill="auto"/>
            <w:noWrap/>
            <w:vAlign w:val="bottom"/>
            <w:hideMark/>
          </w:tcPr>
          <w:p w14:paraId="127C06DF"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128.5</w:t>
            </w:r>
          </w:p>
        </w:tc>
        <w:tc>
          <w:tcPr>
            <w:tcW w:w="2876" w:type="dxa"/>
            <w:shd w:val="clear" w:color="auto" w:fill="auto"/>
            <w:noWrap/>
            <w:vAlign w:val="bottom"/>
            <w:hideMark/>
          </w:tcPr>
          <w:p w14:paraId="3B20631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296</w:t>
            </w:r>
          </w:p>
        </w:tc>
        <w:tc>
          <w:tcPr>
            <w:tcW w:w="2876" w:type="dxa"/>
            <w:shd w:val="clear" w:color="auto" w:fill="auto"/>
            <w:noWrap/>
            <w:vAlign w:val="bottom"/>
            <w:hideMark/>
          </w:tcPr>
          <w:p w14:paraId="64874206"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380</w:t>
            </w:r>
          </w:p>
        </w:tc>
      </w:tr>
      <w:tr w:rsidR="00E71226" w:rsidRPr="00D049B0" w14:paraId="7B2F0582" w14:textId="77777777" w:rsidTr="00D049B0">
        <w:trPr>
          <w:trHeight w:val="255"/>
        </w:trPr>
        <w:tc>
          <w:tcPr>
            <w:tcW w:w="1332" w:type="dxa"/>
            <w:shd w:val="clear" w:color="auto" w:fill="auto"/>
            <w:noWrap/>
            <w:vAlign w:val="bottom"/>
            <w:hideMark/>
          </w:tcPr>
          <w:p w14:paraId="049DFF4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2007</w:t>
            </w:r>
          </w:p>
        </w:tc>
        <w:tc>
          <w:tcPr>
            <w:tcW w:w="2402" w:type="dxa"/>
            <w:shd w:val="clear" w:color="auto" w:fill="auto"/>
            <w:noWrap/>
            <w:vAlign w:val="bottom"/>
            <w:hideMark/>
          </w:tcPr>
          <w:p w14:paraId="3C571D30"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139.5</w:t>
            </w:r>
          </w:p>
        </w:tc>
        <w:tc>
          <w:tcPr>
            <w:tcW w:w="2876" w:type="dxa"/>
            <w:shd w:val="clear" w:color="auto" w:fill="auto"/>
            <w:noWrap/>
            <w:vAlign w:val="bottom"/>
            <w:hideMark/>
          </w:tcPr>
          <w:p w14:paraId="75077E7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300</w:t>
            </w:r>
          </w:p>
        </w:tc>
        <w:tc>
          <w:tcPr>
            <w:tcW w:w="2876" w:type="dxa"/>
            <w:shd w:val="clear" w:color="auto" w:fill="auto"/>
            <w:noWrap/>
            <w:vAlign w:val="bottom"/>
            <w:hideMark/>
          </w:tcPr>
          <w:p w14:paraId="3B8BBF1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419</w:t>
            </w:r>
          </w:p>
        </w:tc>
      </w:tr>
      <w:tr w:rsidR="00E71226" w:rsidRPr="00D049B0" w14:paraId="490452A9" w14:textId="77777777" w:rsidTr="00D049B0">
        <w:trPr>
          <w:trHeight w:val="255"/>
        </w:trPr>
        <w:tc>
          <w:tcPr>
            <w:tcW w:w="1332" w:type="dxa"/>
            <w:shd w:val="clear" w:color="auto" w:fill="auto"/>
            <w:noWrap/>
            <w:vAlign w:val="bottom"/>
            <w:hideMark/>
          </w:tcPr>
          <w:p w14:paraId="55F34DD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2008</w:t>
            </w:r>
          </w:p>
        </w:tc>
        <w:tc>
          <w:tcPr>
            <w:tcW w:w="2402" w:type="dxa"/>
            <w:shd w:val="clear" w:color="auto" w:fill="auto"/>
            <w:noWrap/>
            <w:vAlign w:val="bottom"/>
            <w:hideMark/>
          </w:tcPr>
          <w:p w14:paraId="71FE8753"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154.3</w:t>
            </w:r>
          </w:p>
        </w:tc>
        <w:tc>
          <w:tcPr>
            <w:tcW w:w="2876" w:type="dxa"/>
            <w:shd w:val="clear" w:color="auto" w:fill="auto"/>
            <w:noWrap/>
            <w:vAlign w:val="bottom"/>
            <w:hideMark/>
          </w:tcPr>
          <w:p w14:paraId="4C9A60E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326</w:t>
            </w:r>
          </w:p>
        </w:tc>
        <w:tc>
          <w:tcPr>
            <w:tcW w:w="2876" w:type="dxa"/>
            <w:shd w:val="clear" w:color="auto" w:fill="auto"/>
            <w:noWrap/>
            <w:vAlign w:val="bottom"/>
            <w:hideMark/>
          </w:tcPr>
          <w:p w14:paraId="5984718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503</w:t>
            </w:r>
          </w:p>
        </w:tc>
      </w:tr>
      <w:tr w:rsidR="00E71226" w:rsidRPr="00D049B0" w14:paraId="04B96F54" w14:textId="77777777" w:rsidTr="00D049B0">
        <w:trPr>
          <w:trHeight w:val="255"/>
        </w:trPr>
        <w:tc>
          <w:tcPr>
            <w:tcW w:w="1332" w:type="dxa"/>
            <w:shd w:val="clear" w:color="auto" w:fill="auto"/>
            <w:noWrap/>
            <w:vAlign w:val="bottom"/>
            <w:hideMark/>
          </w:tcPr>
          <w:p w14:paraId="45E3F895"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2009</w:t>
            </w:r>
          </w:p>
        </w:tc>
        <w:tc>
          <w:tcPr>
            <w:tcW w:w="2402" w:type="dxa"/>
            <w:shd w:val="clear" w:color="auto" w:fill="auto"/>
            <w:noWrap/>
            <w:vAlign w:val="bottom"/>
            <w:hideMark/>
          </w:tcPr>
          <w:p w14:paraId="55C44824"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163.2</w:t>
            </w:r>
          </w:p>
        </w:tc>
        <w:tc>
          <w:tcPr>
            <w:tcW w:w="2876" w:type="dxa"/>
            <w:shd w:val="clear" w:color="auto" w:fill="auto"/>
            <w:noWrap/>
            <w:vAlign w:val="bottom"/>
            <w:hideMark/>
          </w:tcPr>
          <w:p w14:paraId="66106903"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335</w:t>
            </w:r>
          </w:p>
        </w:tc>
        <w:tc>
          <w:tcPr>
            <w:tcW w:w="2876" w:type="dxa"/>
            <w:shd w:val="clear" w:color="auto" w:fill="auto"/>
            <w:noWrap/>
            <w:vAlign w:val="bottom"/>
            <w:hideMark/>
          </w:tcPr>
          <w:p w14:paraId="1E99936D"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546</w:t>
            </w:r>
          </w:p>
        </w:tc>
      </w:tr>
      <w:tr w:rsidR="00E71226" w:rsidRPr="00D049B0" w14:paraId="17420D9C" w14:textId="77777777" w:rsidTr="00D049B0">
        <w:trPr>
          <w:trHeight w:val="255"/>
        </w:trPr>
        <w:tc>
          <w:tcPr>
            <w:tcW w:w="1332" w:type="dxa"/>
            <w:shd w:val="clear" w:color="auto" w:fill="auto"/>
            <w:noWrap/>
            <w:vAlign w:val="bottom"/>
            <w:hideMark/>
          </w:tcPr>
          <w:p w14:paraId="58F09BD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2010</w:t>
            </w:r>
          </w:p>
        </w:tc>
        <w:tc>
          <w:tcPr>
            <w:tcW w:w="2402" w:type="dxa"/>
            <w:shd w:val="clear" w:color="auto" w:fill="auto"/>
            <w:noWrap/>
            <w:vAlign w:val="bottom"/>
            <w:hideMark/>
          </w:tcPr>
          <w:p w14:paraId="21986FE3"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176.8</w:t>
            </w:r>
          </w:p>
        </w:tc>
        <w:tc>
          <w:tcPr>
            <w:tcW w:w="2876" w:type="dxa"/>
            <w:shd w:val="clear" w:color="auto" w:fill="auto"/>
            <w:noWrap/>
            <w:vAlign w:val="bottom"/>
            <w:hideMark/>
          </w:tcPr>
          <w:p w14:paraId="700921F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339</w:t>
            </w:r>
          </w:p>
        </w:tc>
        <w:tc>
          <w:tcPr>
            <w:tcW w:w="2876" w:type="dxa"/>
            <w:shd w:val="clear" w:color="auto" w:fill="auto"/>
            <w:noWrap/>
            <w:vAlign w:val="bottom"/>
            <w:hideMark/>
          </w:tcPr>
          <w:p w14:paraId="29680985"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599</w:t>
            </w:r>
          </w:p>
        </w:tc>
      </w:tr>
      <w:tr w:rsidR="00E71226" w:rsidRPr="00D049B0" w14:paraId="32C1147A" w14:textId="77777777" w:rsidTr="00D049B0">
        <w:trPr>
          <w:trHeight w:val="255"/>
        </w:trPr>
        <w:tc>
          <w:tcPr>
            <w:tcW w:w="1332" w:type="dxa"/>
            <w:shd w:val="clear" w:color="auto" w:fill="auto"/>
            <w:noWrap/>
            <w:vAlign w:val="bottom"/>
            <w:hideMark/>
          </w:tcPr>
          <w:p w14:paraId="5C10C86D"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2011</w:t>
            </w:r>
          </w:p>
        </w:tc>
        <w:tc>
          <w:tcPr>
            <w:tcW w:w="2402" w:type="dxa"/>
            <w:shd w:val="clear" w:color="auto" w:fill="auto"/>
            <w:noWrap/>
            <w:vAlign w:val="bottom"/>
            <w:hideMark/>
          </w:tcPr>
          <w:p w14:paraId="0AE5E4A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187.9</w:t>
            </w:r>
          </w:p>
        </w:tc>
        <w:tc>
          <w:tcPr>
            <w:tcW w:w="2876" w:type="dxa"/>
            <w:shd w:val="clear" w:color="auto" w:fill="auto"/>
            <w:noWrap/>
            <w:vAlign w:val="bottom"/>
            <w:hideMark/>
          </w:tcPr>
          <w:p w14:paraId="30809E9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351</w:t>
            </w:r>
          </w:p>
        </w:tc>
        <w:tc>
          <w:tcPr>
            <w:tcW w:w="2876" w:type="dxa"/>
            <w:shd w:val="clear" w:color="auto" w:fill="auto"/>
            <w:noWrap/>
            <w:vAlign w:val="bottom"/>
            <w:hideMark/>
          </w:tcPr>
          <w:p w14:paraId="5151309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659</w:t>
            </w:r>
          </w:p>
        </w:tc>
      </w:tr>
      <w:tr w:rsidR="00E71226" w:rsidRPr="00D049B0" w14:paraId="6C2BBE47" w14:textId="77777777" w:rsidTr="00D049B0">
        <w:trPr>
          <w:trHeight w:val="255"/>
        </w:trPr>
        <w:tc>
          <w:tcPr>
            <w:tcW w:w="1332" w:type="dxa"/>
            <w:shd w:val="clear" w:color="auto" w:fill="auto"/>
            <w:noWrap/>
            <w:vAlign w:val="bottom"/>
            <w:hideMark/>
          </w:tcPr>
          <w:p w14:paraId="343B5214"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2012</w:t>
            </w:r>
          </w:p>
        </w:tc>
        <w:tc>
          <w:tcPr>
            <w:tcW w:w="2402" w:type="dxa"/>
            <w:shd w:val="clear" w:color="auto" w:fill="auto"/>
            <w:noWrap/>
            <w:vAlign w:val="bottom"/>
            <w:hideMark/>
          </w:tcPr>
          <w:p w14:paraId="62C8A73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204.5</w:t>
            </w:r>
          </w:p>
        </w:tc>
        <w:tc>
          <w:tcPr>
            <w:tcW w:w="2876" w:type="dxa"/>
            <w:shd w:val="clear" w:color="auto" w:fill="auto"/>
            <w:noWrap/>
            <w:vAlign w:val="bottom"/>
            <w:hideMark/>
          </w:tcPr>
          <w:p w14:paraId="46C42D5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362</w:t>
            </w:r>
          </w:p>
        </w:tc>
        <w:tc>
          <w:tcPr>
            <w:tcW w:w="2876" w:type="dxa"/>
            <w:shd w:val="clear" w:color="auto" w:fill="auto"/>
            <w:noWrap/>
            <w:vAlign w:val="bottom"/>
            <w:hideMark/>
          </w:tcPr>
          <w:p w14:paraId="6F0D4C0F"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740</w:t>
            </w:r>
          </w:p>
        </w:tc>
      </w:tr>
      <w:tr w:rsidR="00E71226" w:rsidRPr="00D049B0" w14:paraId="172366AD" w14:textId="77777777" w:rsidTr="00D049B0">
        <w:trPr>
          <w:trHeight w:val="255"/>
        </w:trPr>
        <w:tc>
          <w:tcPr>
            <w:tcW w:w="1332" w:type="dxa"/>
            <w:shd w:val="clear" w:color="auto" w:fill="auto"/>
            <w:noWrap/>
            <w:vAlign w:val="bottom"/>
            <w:hideMark/>
          </w:tcPr>
          <w:p w14:paraId="652F9A1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2013</w:t>
            </w:r>
          </w:p>
        </w:tc>
        <w:tc>
          <w:tcPr>
            <w:tcW w:w="2402" w:type="dxa"/>
            <w:shd w:val="clear" w:color="auto" w:fill="auto"/>
            <w:noWrap/>
            <w:vAlign w:val="bottom"/>
            <w:hideMark/>
          </w:tcPr>
          <w:p w14:paraId="6E3808C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221.5</w:t>
            </w:r>
          </w:p>
        </w:tc>
        <w:tc>
          <w:tcPr>
            <w:tcW w:w="2876" w:type="dxa"/>
            <w:shd w:val="clear" w:color="auto" w:fill="auto"/>
            <w:noWrap/>
            <w:vAlign w:val="bottom"/>
            <w:hideMark/>
          </w:tcPr>
          <w:p w14:paraId="76B67823"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363</w:t>
            </w:r>
          </w:p>
        </w:tc>
        <w:tc>
          <w:tcPr>
            <w:tcW w:w="2876" w:type="dxa"/>
            <w:shd w:val="clear" w:color="auto" w:fill="auto"/>
            <w:noWrap/>
            <w:vAlign w:val="bottom"/>
            <w:hideMark/>
          </w:tcPr>
          <w:p w14:paraId="512BC4A2"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804</w:t>
            </w:r>
          </w:p>
        </w:tc>
      </w:tr>
      <w:tr w:rsidR="00E71226" w:rsidRPr="00D049B0" w14:paraId="1C70126B" w14:textId="77777777" w:rsidTr="00D049B0">
        <w:trPr>
          <w:trHeight w:val="255"/>
        </w:trPr>
        <w:tc>
          <w:tcPr>
            <w:tcW w:w="1332" w:type="dxa"/>
            <w:shd w:val="clear" w:color="auto" w:fill="auto"/>
            <w:noWrap/>
            <w:vAlign w:val="bottom"/>
            <w:hideMark/>
          </w:tcPr>
          <w:p w14:paraId="4426BCEF"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2014</w:t>
            </w:r>
          </w:p>
        </w:tc>
        <w:tc>
          <w:tcPr>
            <w:tcW w:w="2402" w:type="dxa"/>
            <w:shd w:val="clear" w:color="auto" w:fill="auto"/>
            <w:noWrap/>
            <w:vAlign w:val="bottom"/>
            <w:hideMark/>
          </w:tcPr>
          <w:p w14:paraId="1D2AFE9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241.8</w:t>
            </w:r>
          </w:p>
        </w:tc>
        <w:tc>
          <w:tcPr>
            <w:tcW w:w="2876" w:type="dxa"/>
            <w:shd w:val="clear" w:color="auto" w:fill="auto"/>
            <w:noWrap/>
            <w:vAlign w:val="bottom"/>
            <w:hideMark/>
          </w:tcPr>
          <w:p w14:paraId="15765BB9"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369</w:t>
            </w:r>
          </w:p>
        </w:tc>
        <w:tc>
          <w:tcPr>
            <w:tcW w:w="2876" w:type="dxa"/>
            <w:shd w:val="clear" w:color="auto" w:fill="auto"/>
            <w:noWrap/>
            <w:vAlign w:val="bottom"/>
            <w:hideMark/>
          </w:tcPr>
          <w:p w14:paraId="78A992C2"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891</w:t>
            </w:r>
          </w:p>
        </w:tc>
      </w:tr>
      <w:tr w:rsidR="00E71226" w:rsidRPr="00D049B0" w14:paraId="01022AA6" w14:textId="77777777" w:rsidTr="00D049B0">
        <w:trPr>
          <w:trHeight w:val="255"/>
        </w:trPr>
        <w:tc>
          <w:tcPr>
            <w:tcW w:w="1332" w:type="dxa"/>
            <w:shd w:val="clear" w:color="auto" w:fill="auto"/>
            <w:noWrap/>
            <w:vAlign w:val="bottom"/>
            <w:hideMark/>
          </w:tcPr>
          <w:p w14:paraId="127F42C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2015</w:t>
            </w:r>
          </w:p>
        </w:tc>
        <w:tc>
          <w:tcPr>
            <w:tcW w:w="2402" w:type="dxa"/>
            <w:shd w:val="clear" w:color="auto" w:fill="auto"/>
            <w:noWrap/>
            <w:vAlign w:val="bottom"/>
            <w:hideMark/>
          </w:tcPr>
          <w:p w14:paraId="37309C36"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259.2</w:t>
            </w:r>
          </w:p>
        </w:tc>
        <w:tc>
          <w:tcPr>
            <w:tcW w:w="2876" w:type="dxa"/>
            <w:shd w:val="clear" w:color="auto" w:fill="auto"/>
            <w:noWrap/>
            <w:vAlign w:val="bottom"/>
            <w:hideMark/>
          </w:tcPr>
          <w:p w14:paraId="5EE5A300"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386</w:t>
            </w:r>
          </w:p>
        </w:tc>
        <w:tc>
          <w:tcPr>
            <w:tcW w:w="2876" w:type="dxa"/>
            <w:shd w:val="clear" w:color="auto" w:fill="auto"/>
            <w:noWrap/>
            <w:vAlign w:val="bottom"/>
            <w:hideMark/>
          </w:tcPr>
          <w:p w14:paraId="2AAB199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1001</w:t>
            </w:r>
          </w:p>
        </w:tc>
      </w:tr>
      <w:tr w:rsidR="00E71226" w:rsidRPr="00D049B0" w14:paraId="107A7896" w14:textId="77777777" w:rsidTr="00D049B0">
        <w:trPr>
          <w:trHeight w:val="255"/>
        </w:trPr>
        <w:tc>
          <w:tcPr>
            <w:tcW w:w="1332" w:type="dxa"/>
            <w:shd w:val="clear" w:color="auto" w:fill="auto"/>
            <w:noWrap/>
            <w:vAlign w:val="bottom"/>
            <w:hideMark/>
          </w:tcPr>
          <w:p w14:paraId="4B2AE5E4"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2016</w:t>
            </w:r>
          </w:p>
        </w:tc>
        <w:tc>
          <w:tcPr>
            <w:tcW w:w="2402" w:type="dxa"/>
            <w:shd w:val="clear" w:color="auto" w:fill="auto"/>
            <w:noWrap/>
            <w:vAlign w:val="bottom"/>
            <w:hideMark/>
          </w:tcPr>
          <w:p w14:paraId="47C22F86"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279.0</w:t>
            </w:r>
          </w:p>
        </w:tc>
        <w:tc>
          <w:tcPr>
            <w:tcW w:w="2876" w:type="dxa"/>
            <w:shd w:val="clear" w:color="auto" w:fill="auto"/>
            <w:noWrap/>
            <w:vAlign w:val="bottom"/>
            <w:hideMark/>
          </w:tcPr>
          <w:p w14:paraId="7FA608D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466</w:t>
            </w:r>
          </w:p>
        </w:tc>
        <w:tc>
          <w:tcPr>
            <w:tcW w:w="2876" w:type="dxa"/>
            <w:shd w:val="clear" w:color="auto" w:fill="auto"/>
            <w:noWrap/>
            <w:vAlign w:val="bottom"/>
            <w:hideMark/>
          </w:tcPr>
          <w:p w14:paraId="1FAED05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1301</w:t>
            </w:r>
          </w:p>
        </w:tc>
      </w:tr>
      <w:tr w:rsidR="00E71226" w:rsidRPr="00D049B0" w14:paraId="58868ADB" w14:textId="77777777" w:rsidTr="00D049B0">
        <w:trPr>
          <w:trHeight w:val="255"/>
        </w:trPr>
        <w:tc>
          <w:tcPr>
            <w:tcW w:w="1332" w:type="dxa"/>
            <w:shd w:val="clear" w:color="auto" w:fill="auto"/>
            <w:noWrap/>
            <w:vAlign w:val="bottom"/>
            <w:hideMark/>
          </w:tcPr>
          <w:p w14:paraId="4570DF12"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2017</w:t>
            </w:r>
          </w:p>
        </w:tc>
        <w:tc>
          <w:tcPr>
            <w:tcW w:w="2402" w:type="dxa"/>
            <w:shd w:val="clear" w:color="auto" w:fill="auto"/>
            <w:noWrap/>
            <w:vAlign w:val="bottom"/>
            <w:hideMark/>
          </w:tcPr>
          <w:p w14:paraId="162A8172"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309.4</w:t>
            </w:r>
          </w:p>
        </w:tc>
        <w:tc>
          <w:tcPr>
            <w:tcW w:w="2876" w:type="dxa"/>
            <w:shd w:val="clear" w:color="auto" w:fill="auto"/>
            <w:noWrap/>
            <w:vAlign w:val="bottom"/>
            <w:hideMark/>
          </w:tcPr>
          <w:p w14:paraId="77B4A5F6"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454</w:t>
            </w:r>
          </w:p>
        </w:tc>
        <w:tc>
          <w:tcPr>
            <w:tcW w:w="2876" w:type="dxa"/>
            <w:shd w:val="clear" w:color="auto" w:fill="auto"/>
            <w:noWrap/>
            <w:vAlign w:val="bottom"/>
            <w:hideMark/>
          </w:tcPr>
          <w:p w14:paraId="684FCD5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1404</w:t>
            </w:r>
          </w:p>
        </w:tc>
      </w:tr>
      <w:tr w:rsidR="00E71226" w:rsidRPr="00D049B0" w14:paraId="746914F0" w14:textId="77777777" w:rsidTr="00D049B0">
        <w:trPr>
          <w:trHeight w:val="255"/>
        </w:trPr>
        <w:tc>
          <w:tcPr>
            <w:tcW w:w="1332" w:type="dxa"/>
            <w:shd w:val="clear" w:color="auto" w:fill="auto"/>
            <w:noWrap/>
            <w:vAlign w:val="bottom"/>
            <w:hideMark/>
          </w:tcPr>
          <w:p w14:paraId="3C89C92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2018</w:t>
            </w:r>
          </w:p>
        </w:tc>
        <w:tc>
          <w:tcPr>
            <w:tcW w:w="2402" w:type="dxa"/>
            <w:shd w:val="clear" w:color="auto" w:fill="auto"/>
            <w:noWrap/>
            <w:vAlign w:val="bottom"/>
            <w:hideMark/>
          </w:tcPr>
          <w:p w14:paraId="0CF5BB1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357.0</w:t>
            </w:r>
          </w:p>
        </w:tc>
        <w:tc>
          <w:tcPr>
            <w:tcW w:w="2876" w:type="dxa"/>
            <w:shd w:val="clear" w:color="auto" w:fill="auto"/>
            <w:noWrap/>
            <w:vAlign w:val="bottom"/>
            <w:hideMark/>
          </w:tcPr>
          <w:p w14:paraId="4A178C31"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449</w:t>
            </w:r>
          </w:p>
        </w:tc>
        <w:tc>
          <w:tcPr>
            <w:tcW w:w="2876" w:type="dxa"/>
            <w:shd w:val="clear" w:color="auto" w:fill="auto"/>
            <w:noWrap/>
            <w:vAlign w:val="bottom"/>
            <w:hideMark/>
          </w:tcPr>
          <w:p w14:paraId="046A130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1603</w:t>
            </w:r>
          </w:p>
        </w:tc>
      </w:tr>
      <w:tr w:rsidR="00E71226" w:rsidRPr="00D049B0" w14:paraId="1AE0627A" w14:textId="77777777" w:rsidTr="00D049B0">
        <w:trPr>
          <w:trHeight w:val="255"/>
        </w:trPr>
        <w:tc>
          <w:tcPr>
            <w:tcW w:w="1332" w:type="dxa"/>
            <w:shd w:val="clear" w:color="auto" w:fill="auto"/>
            <w:noWrap/>
            <w:vAlign w:val="bottom"/>
            <w:hideMark/>
          </w:tcPr>
          <w:p w14:paraId="7E551EC4"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2019</w:t>
            </w:r>
          </w:p>
        </w:tc>
        <w:tc>
          <w:tcPr>
            <w:tcW w:w="2402" w:type="dxa"/>
            <w:shd w:val="clear" w:color="auto" w:fill="auto"/>
            <w:noWrap/>
            <w:vAlign w:val="bottom"/>
            <w:hideMark/>
          </w:tcPr>
          <w:p w14:paraId="228A2E7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413.1</w:t>
            </w:r>
          </w:p>
        </w:tc>
        <w:tc>
          <w:tcPr>
            <w:tcW w:w="2876" w:type="dxa"/>
            <w:shd w:val="clear" w:color="auto" w:fill="auto"/>
            <w:noWrap/>
            <w:vAlign w:val="bottom"/>
            <w:hideMark/>
          </w:tcPr>
          <w:p w14:paraId="2A25E01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489</w:t>
            </w:r>
          </w:p>
        </w:tc>
        <w:tc>
          <w:tcPr>
            <w:tcW w:w="2876" w:type="dxa"/>
            <w:shd w:val="clear" w:color="auto" w:fill="auto"/>
            <w:noWrap/>
            <w:vAlign w:val="bottom"/>
            <w:hideMark/>
          </w:tcPr>
          <w:p w14:paraId="0A1320DD"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2021</w:t>
            </w:r>
          </w:p>
        </w:tc>
      </w:tr>
      <w:tr w:rsidR="00E71226" w:rsidRPr="00D049B0" w14:paraId="36BD29B2" w14:textId="77777777" w:rsidTr="00D049B0">
        <w:trPr>
          <w:trHeight w:val="255"/>
        </w:trPr>
        <w:tc>
          <w:tcPr>
            <w:tcW w:w="1332" w:type="dxa"/>
            <w:shd w:val="clear" w:color="auto" w:fill="auto"/>
            <w:noWrap/>
            <w:vAlign w:val="bottom"/>
            <w:hideMark/>
          </w:tcPr>
          <w:p w14:paraId="2D2EB1E5"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2020</w:t>
            </w:r>
          </w:p>
        </w:tc>
        <w:tc>
          <w:tcPr>
            <w:tcW w:w="2402" w:type="dxa"/>
            <w:shd w:val="clear" w:color="auto" w:fill="auto"/>
            <w:noWrap/>
            <w:vAlign w:val="bottom"/>
            <w:hideMark/>
          </w:tcPr>
          <w:p w14:paraId="736B7448"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465.3</w:t>
            </w:r>
          </w:p>
        </w:tc>
        <w:tc>
          <w:tcPr>
            <w:tcW w:w="2876" w:type="dxa"/>
            <w:shd w:val="clear" w:color="auto" w:fill="auto"/>
            <w:noWrap/>
            <w:vAlign w:val="bottom"/>
            <w:hideMark/>
          </w:tcPr>
          <w:p w14:paraId="7C58E30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500</w:t>
            </w:r>
          </w:p>
        </w:tc>
        <w:tc>
          <w:tcPr>
            <w:tcW w:w="2876" w:type="dxa"/>
            <w:shd w:val="clear" w:color="auto" w:fill="auto"/>
            <w:noWrap/>
            <w:vAlign w:val="bottom"/>
            <w:hideMark/>
          </w:tcPr>
          <w:p w14:paraId="790B049E"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2325</w:t>
            </w:r>
          </w:p>
        </w:tc>
      </w:tr>
      <w:tr w:rsidR="00E71226" w:rsidRPr="00D049B0" w14:paraId="719239D6" w14:textId="77777777" w:rsidTr="00D049B0">
        <w:trPr>
          <w:trHeight w:val="255"/>
        </w:trPr>
        <w:tc>
          <w:tcPr>
            <w:tcW w:w="1332" w:type="dxa"/>
            <w:shd w:val="clear" w:color="auto" w:fill="auto"/>
            <w:noWrap/>
            <w:vAlign w:val="bottom"/>
            <w:hideMark/>
          </w:tcPr>
          <w:p w14:paraId="11F554B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2021</w:t>
            </w:r>
          </w:p>
        </w:tc>
        <w:tc>
          <w:tcPr>
            <w:tcW w:w="2402" w:type="dxa"/>
            <w:shd w:val="clear" w:color="auto" w:fill="auto"/>
            <w:noWrap/>
            <w:vAlign w:val="bottom"/>
            <w:hideMark/>
          </w:tcPr>
          <w:p w14:paraId="0BC02CD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546.8</w:t>
            </w:r>
          </w:p>
        </w:tc>
        <w:tc>
          <w:tcPr>
            <w:tcW w:w="2876" w:type="dxa"/>
            <w:shd w:val="clear" w:color="auto" w:fill="auto"/>
            <w:noWrap/>
            <w:vAlign w:val="bottom"/>
            <w:hideMark/>
          </w:tcPr>
          <w:p w14:paraId="66857365"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517</w:t>
            </w:r>
          </w:p>
        </w:tc>
        <w:tc>
          <w:tcPr>
            <w:tcW w:w="2876" w:type="dxa"/>
            <w:shd w:val="clear" w:color="auto" w:fill="auto"/>
            <w:noWrap/>
            <w:vAlign w:val="bottom"/>
            <w:hideMark/>
          </w:tcPr>
          <w:p w14:paraId="28A8DF7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2826</w:t>
            </w:r>
          </w:p>
        </w:tc>
      </w:tr>
      <w:tr w:rsidR="00E71226" w:rsidRPr="00D049B0" w14:paraId="14A93A8C" w14:textId="77777777" w:rsidTr="00D049B0">
        <w:trPr>
          <w:trHeight w:val="255"/>
        </w:trPr>
        <w:tc>
          <w:tcPr>
            <w:tcW w:w="1332" w:type="dxa"/>
            <w:shd w:val="clear" w:color="auto" w:fill="auto"/>
            <w:noWrap/>
            <w:vAlign w:val="bottom"/>
            <w:hideMark/>
          </w:tcPr>
          <w:p w14:paraId="11C1C3E0"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2022</w:t>
            </w:r>
          </w:p>
        </w:tc>
        <w:tc>
          <w:tcPr>
            <w:tcW w:w="2402" w:type="dxa"/>
            <w:shd w:val="clear" w:color="auto" w:fill="auto"/>
            <w:noWrap/>
            <w:vAlign w:val="bottom"/>
            <w:hideMark/>
          </w:tcPr>
          <w:p w14:paraId="5184290A"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976.7</w:t>
            </w:r>
          </w:p>
        </w:tc>
        <w:tc>
          <w:tcPr>
            <w:tcW w:w="2876" w:type="dxa"/>
            <w:shd w:val="clear" w:color="auto" w:fill="auto"/>
            <w:noWrap/>
            <w:vAlign w:val="bottom"/>
            <w:hideMark/>
          </w:tcPr>
          <w:p w14:paraId="5627351B"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435</w:t>
            </w:r>
          </w:p>
        </w:tc>
        <w:tc>
          <w:tcPr>
            <w:tcW w:w="2876" w:type="dxa"/>
            <w:shd w:val="clear" w:color="auto" w:fill="auto"/>
            <w:noWrap/>
            <w:vAlign w:val="bottom"/>
            <w:hideMark/>
          </w:tcPr>
          <w:p w14:paraId="392D29CC" w14:textId="77777777" w:rsidR="00E71226" w:rsidRPr="00D049B0" w:rsidRDefault="00E71226" w:rsidP="00B5696B">
            <w:pPr>
              <w:jc w:val="center"/>
              <w:rPr>
                <w:rFonts w:ascii="Arial" w:hAnsi="Arial" w:cs="Arial"/>
                <w:color w:val="000000"/>
                <w:sz w:val="20"/>
                <w:szCs w:val="20"/>
              </w:rPr>
            </w:pPr>
            <w:r w:rsidRPr="00D049B0">
              <w:rPr>
                <w:rFonts w:ascii="Arial" w:hAnsi="Arial" w:cs="Arial"/>
                <w:color w:val="000000"/>
                <w:sz w:val="20"/>
                <w:szCs w:val="20"/>
              </w:rPr>
              <w:t>4253</w:t>
            </w:r>
          </w:p>
        </w:tc>
      </w:tr>
    </w:tbl>
    <w:bookmarkEnd w:id="0"/>
    <w:p w14:paraId="3B37D29E" w14:textId="77777777" w:rsidR="00E71226" w:rsidRPr="00973A30" w:rsidRDefault="00E71226" w:rsidP="00D049B0">
      <w:pPr>
        <w:spacing w:after="720" w:line="360" w:lineRule="auto"/>
        <w:jc w:val="both"/>
        <w:rPr>
          <w:sz w:val="18"/>
        </w:rPr>
      </w:pPr>
      <w:r w:rsidRPr="00973A30">
        <w:rPr>
          <w:sz w:val="18"/>
        </w:rPr>
        <w:t xml:space="preserve">Source: Turkstat, Authors' calculations. </w:t>
      </w:r>
    </w:p>
    <w:p w14:paraId="6797D55B" w14:textId="11AED5F7" w:rsidR="00E71226" w:rsidRPr="00D049B0" w:rsidRDefault="00E71226" w:rsidP="00D049B0">
      <w:pPr>
        <w:spacing w:after="120"/>
        <w:rPr>
          <w:rFonts w:ascii="Arial" w:hAnsi="Arial" w:cs="Arial"/>
          <w:b/>
          <w:sz w:val="22"/>
        </w:rPr>
      </w:pPr>
      <w:r w:rsidRPr="00D049B0">
        <w:rPr>
          <w:rFonts w:ascii="Arial" w:hAnsi="Arial" w:cs="Arial"/>
          <w:b/>
          <w:sz w:val="22"/>
        </w:rPr>
        <w:t xml:space="preserve">Annex Table 2: Consumption Expenditure </w:t>
      </w:r>
      <w:r w:rsidR="002E5D5D" w:rsidRPr="002E5D5D">
        <w:rPr>
          <w:rFonts w:ascii="Arial" w:hAnsi="Arial" w:cs="Arial"/>
          <w:b/>
          <w:sz w:val="22"/>
        </w:rPr>
        <w:t> Indexes</w:t>
      </w:r>
      <w:r w:rsidR="002E5D5D" w:rsidRPr="00D049B0">
        <w:rPr>
          <w:rFonts w:ascii="Arial" w:hAnsi="Arial" w:cs="Arial"/>
          <w:b/>
          <w:sz w:val="22"/>
        </w:rPr>
        <w:t xml:space="preserve"> </w:t>
      </w:r>
      <w:r w:rsidRPr="00D049B0">
        <w:rPr>
          <w:rFonts w:ascii="Arial" w:hAnsi="Arial" w:cs="Arial"/>
          <w:b/>
          <w:sz w:val="22"/>
        </w:rPr>
        <w:t>(2003=100)</w:t>
      </w:r>
    </w:p>
    <w:tbl>
      <w:tblPr>
        <w:tblStyle w:val="TabloKlavuzu"/>
        <w:tblW w:w="9928" w:type="dxa"/>
        <w:tblLook w:val="04A0" w:firstRow="1" w:lastRow="0" w:firstColumn="1" w:lastColumn="0" w:noHBand="0" w:noVBand="1"/>
      </w:tblPr>
      <w:tblGrid>
        <w:gridCol w:w="1687"/>
        <w:gridCol w:w="928"/>
        <w:gridCol w:w="2016"/>
        <w:gridCol w:w="1506"/>
        <w:gridCol w:w="1294"/>
        <w:gridCol w:w="2497"/>
      </w:tblGrid>
      <w:tr w:rsidR="00E71226" w:rsidRPr="00D049B0" w14:paraId="136124F7" w14:textId="77777777" w:rsidTr="00B5696B">
        <w:trPr>
          <w:trHeight w:val="274"/>
        </w:trPr>
        <w:tc>
          <w:tcPr>
            <w:tcW w:w="1705" w:type="dxa"/>
          </w:tcPr>
          <w:p w14:paraId="46E0FBB8" w14:textId="77777777" w:rsidR="00E71226" w:rsidRPr="00D049B0" w:rsidRDefault="00E71226" w:rsidP="00B5696B">
            <w:pPr>
              <w:rPr>
                <w:rFonts w:ascii="Arial" w:hAnsi="Arial" w:cs="Arial"/>
                <w:sz w:val="20"/>
                <w:szCs w:val="20"/>
              </w:rPr>
            </w:pPr>
          </w:p>
        </w:tc>
        <w:tc>
          <w:tcPr>
            <w:tcW w:w="900" w:type="dxa"/>
          </w:tcPr>
          <w:p w14:paraId="40259EC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General</w:t>
            </w:r>
          </w:p>
        </w:tc>
        <w:tc>
          <w:tcPr>
            <w:tcW w:w="2044" w:type="dxa"/>
          </w:tcPr>
          <w:p w14:paraId="7E4834F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Food and non-alcoholic beverages</w:t>
            </w:r>
          </w:p>
        </w:tc>
        <w:tc>
          <w:tcPr>
            <w:tcW w:w="1429" w:type="dxa"/>
          </w:tcPr>
          <w:p w14:paraId="3323F1CB"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Transportation</w:t>
            </w:r>
          </w:p>
        </w:tc>
        <w:tc>
          <w:tcPr>
            <w:tcW w:w="1309" w:type="dxa"/>
          </w:tcPr>
          <w:p w14:paraId="04FFD67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Real rent</w:t>
            </w:r>
          </w:p>
        </w:tc>
        <w:tc>
          <w:tcPr>
            <w:tcW w:w="2541" w:type="dxa"/>
          </w:tcPr>
          <w:p w14:paraId="65D40F7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Electiricty, gas ve other fuels</w:t>
            </w:r>
          </w:p>
        </w:tc>
      </w:tr>
      <w:tr w:rsidR="00E71226" w:rsidRPr="00D049B0" w14:paraId="2FA8C0A4" w14:textId="77777777" w:rsidTr="00B5696B">
        <w:trPr>
          <w:trHeight w:val="237"/>
        </w:trPr>
        <w:tc>
          <w:tcPr>
            <w:tcW w:w="1705" w:type="dxa"/>
          </w:tcPr>
          <w:p w14:paraId="10D3D314" w14:textId="77777777" w:rsidR="00E71226" w:rsidRPr="00D049B0" w:rsidRDefault="00E71226" w:rsidP="00B5696B">
            <w:pPr>
              <w:rPr>
                <w:rFonts w:ascii="Arial" w:hAnsi="Arial" w:cs="Arial"/>
                <w:sz w:val="20"/>
                <w:szCs w:val="20"/>
              </w:rPr>
            </w:pPr>
            <w:r w:rsidRPr="00D049B0">
              <w:rPr>
                <w:rFonts w:ascii="Arial" w:hAnsi="Arial" w:cs="Arial"/>
                <w:sz w:val="20"/>
                <w:szCs w:val="20"/>
              </w:rPr>
              <w:t>2015 December</w:t>
            </w:r>
          </w:p>
        </w:tc>
        <w:tc>
          <w:tcPr>
            <w:tcW w:w="900" w:type="dxa"/>
            <w:shd w:val="clear" w:color="auto" w:fill="auto"/>
            <w:vAlign w:val="bottom"/>
          </w:tcPr>
          <w:p w14:paraId="2955545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269.54</w:t>
            </w:r>
          </w:p>
        </w:tc>
        <w:tc>
          <w:tcPr>
            <w:tcW w:w="2044" w:type="dxa"/>
            <w:shd w:val="clear" w:color="auto" w:fill="auto"/>
            <w:vAlign w:val="bottom"/>
          </w:tcPr>
          <w:p w14:paraId="4991A902"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302.27</w:t>
            </w:r>
          </w:p>
        </w:tc>
        <w:tc>
          <w:tcPr>
            <w:tcW w:w="1429" w:type="dxa"/>
            <w:shd w:val="clear" w:color="auto" w:fill="auto"/>
            <w:vAlign w:val="bottom"/>
          </w:tcPr>
          <w:p w14:paraId="740D80E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245.87</w:t>
            </w:r>
          </w:p>
        </w:tc>
        <w:tc>
          <w:tcPr>
            <w:tcW w:w="1309" w:type="dxa"/>
            <w:shd w:val="clear" w:color="auto" w:fill="auto"/>
            <w:vAlign w:val="bottom"/>
          </w:tcPr>
          <w:p w14:paraId="4517DDB6"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364.90</w:t>
            </w:r>
          </w:p>
        </w:tc>
        <w:tc>
          <w:tcPr>
            <w:tcW w:w="2541" w:type="dxa"/>
            <w:shd w:val="clear" w:color="auto" w:fill="auto"/>
            <w:vAlign w:val="bottom"/>
          </w:tcPr>
          <w:p w14:paraId="3FA1723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302.92</w:t>
            </w:r>
          </w:p>
        </w:tc>
      </w:tr>
      <w:tr w:rsidR="00E71226" w:rsidRPr="00D049B0" w14:paraId="184BAD4F" w14:textId="77777777" w:rsidTr="00B5696B">
        <w:trPr>
          <w:trHeight w:val="237"/>
        </w:trPr>
        <w:tc>
          <w:tcPr>
            <w:tcW w:w="1705" w:type="dxa"/>
          </w:tcPr>
          <w:p w14:paraId="77F320AD" w14:textId="77777777" w:rsidR="00E71226" w:rsidRPr="00D049B0" w:rsidRDefault="00E71226" w:rsidP="00B5696B">
            <w:pPr>
              <w:rPr>
                <w:rFonts w:ascii="Arial" w:hAnsi="Arial" w:cs="Arial"/>
                <w:sz w:val="20"/>
                <w:szCs w:val="20"/>
              </w:rPr>
            </w:pPr>
            <w:r w:rsidRPr="00D049B0">
              <w:rPr>
                <w:rFonts w:ascii="Arial" w:hAnsi="Arial" w:cs="Arial"/>
                <w:sz w:val="20"/>
                <w:szCs w:val="20"/>
              </w:rPr>
              <w:t>2016 January</w:t>
            </w:r>
          </w:p>
        </w:tc>
        <w:tc>
          <w:tcPr>
            <w:tcW w:w="900" w:type="dxa"/>
            <w:shd w:val="clear" w:color="auto" w:fill="auto"/>
            <w:vAlign w:val="bottom"/>
          </w:tcPr>
          <w:p w14:paraId="4539898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274.44</w:t>
            </w:r>
          </w:p>
        </w:tc>
        <w:tc>
          <w:tcPr>
            <w:tcW w:w="2044" w:type="dxa"/>
            <w:shd w:val="clear" w:color="auto" w:fill="auto"/>
            <w:vAlign w:val="bottom"/>
          </w:tcPr>
          <w:p w14:paraId="4B5DE37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315.22</w:t>
            </w:r>
          </w:p>
        </w:tc>
        <w:tc>
          <w:tcPr>
            <w:tcW w:w="1429" w:type="dxa"/>
            <w:shd w:val="clear" w:color="auto" w:fill="auto"/>
            <w:vAlign w:val="bottom"/>
          </w:tcPr>
          <w:p w14:paraId="6BEC743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246.71</w:t>
            </w:r>
          </w:p>
        </w:tc>
        <w:tc>
          <w:tcPr>
            <w:tcW w:w="1309" w:type="dxa"/>
            <w:shd w:val="clear" w:color="auto" w:fill="auto"/>
            <w:vAlign w:val="bottom"/>
          </w:tcPr>
          <w:p w14:paraId="69336B52"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367.72</w:t>
            </w:r>
          </w:p>
        </w:tc>
        <w:tc>
          <w:tcPr>
            <w:tcW w:w="2541" w:type="dxa"/>
            <w:shd w:val="clear" w:color="auto" w:fill="auto"/>
            <w:vAlign w:val="bottom"/>
          </w:tcPr>
          <w:p w14:paraId="74A9270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311.04</w:t>
            </w:r>
          </w:p>
        </w:tc>
      </w:tr>
      <w:tr w:rsidR="00E71226" w:rsidRPr="00D049B0" w14:paraId="0FE2856D" w14:textId="77777777" w:rsidTr="00B5696B">
        <w:trPr>
          <w:trHeight w:val="237"/>
        </w:trPr>
        <w:tc>
          <w:tcPr>
            <w:tcW w:w="1705" w:type="dxa"/>
          </w:tcPr>
          <w:p w14:paraId="2A448126" w14:textId="77777777" w:rsidR="00E71226" w:rsidRPr="00D049B0" w:rsidRDefault="00E71226" w:rsidP="00B5696B">
            <w:pPr>
              <w:rPr>
                <w:rFonts w:ascii="Arial" w:hAnsi="Arial" w:cs="Arial"/>
                <w:sz w:val="20"/>
                <w:szCs w:val="20"/>
              </w:rPr>
            </w:pPr>
            <w:r w:rsidRPr="00D049B0">
              <w:rPr>
                <w:rFonts w:ascii="Arial" w:hAnsi="Arial" w:cs="Arial"/>
                <w:sz w:val="20"/>
                <w:szCs w:val="20"/>
              </w:rPr>
              <w:t>2016 February</w:t>
            </w:r>
          </w:p>
        </w:tc>
        <w:tc>
          <w:tcPr>
            <w:tcW w:w="900" w:type="dxa"/>
            <w:shd w:val="clear" w:color="auto" w:fill="auto"/>
            <w:vAlign w:val="bottom"/>
          </w:tcPr>
          <w:p w14:paraId="211B534B"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274.38</w:t>
            </w:r>
          </w:p>
        </w:tc>
        <w:tc>
          <w:tcPr>
            <w:tcW w:w="2044" w:type="dxa"/>
            <w:shd w:val="clear" w:color="auto" w:fill="auto"/>
            <w:vAlign w:val="bottom"/>
          </w:tcPr>
          <w:p w14:paraId="3057187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315.10</w:t>
            </w:r>
          </w:p>
        </w:tc>
        <w:tc>
          <w:tcPr>
            <w:tcW w:w="1429" w:type="dxa"/>
            <w:shd w:val="clear" w:color="auto" w:fill="auto"/>
            <w:vAlign w:val="bottom"/>
          </w:tcPr>
          <w:p w14:paraId="1852A49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248.61</w:t>
            </w:r>
          </w:p>
        </w:tc>
        <w:tc>
          <w:tcPr>
            <w:tcW w:w="1309" w:type="dxa"/>
            <w:shd w:val="clear" w:color="auto" w:fill="auto"/>
            <w:vAlign w:val="bottom"/>
          </w:tcPr>
          <w:p w14:paraId="3580E50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369.70</w:t>
            </w:r>
          </w:p>
        </w:tc>
        <w:tc>
          <w:tcPr>
            <w:tcW w:w="2541" w:type="dxa"/>
            <w:shd w:val="clear" w:color="auto" w:fill="auto"/>
            <w:vAlign w:val="bottom"/>
          </w:tcPr>
          <w:p w14:paraId="2CDF5C3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310.65</w:t>
            </w:r>
          </w:p>
        </w:tc>
      </w:tr>
      <w:tr w:rsidR="00E71226" w:rsidRPr="00D049B0" w14:paraId="4FDE4031" w14:textId="77777777" w:rsidTr="00B5696B">
        <w:trPr>
          <w:trHeight w:val="229"/>
        </w:trPr>
        <w:tc>
          <w:tcPr>
            <w:tcW w:w="1705" w:type="dxa"/>
          </w:tcPr>
          <w:p w14:paraId="00256458" w14:textId="77777777" w:rsidR="00E71226" w:rsidRPr="00D049B0" w:rsidRDefault="00E71226" w:rsidP="00B5696B">
            <w:pPr>
              <w:rPr>
                <w:rFonts w:ascii="Arial" w:hAnsi="Arial" w:cs="Arial"/>
                <w:sz w:val="20"/>
                <w:szCs w:val="20"/>
              </w:rPr>
            </w:pPr>
            <w:r w:rsidRPr="00D049B0">
              <w:rPr>
                <w:rFonts w:ascii="Arial" w:hAnsi="Arial" w:cs="Arial"/>
                <w:sz w:val="20"/>
                <w:szCs w:val="20"/>
              </w:rPr>
              <w:t>2016 March</w:t>
            </w:r>
          </w:p>
        </w:tc>
        <w:tc>
          <w:tcPr>
            <w:tcW w:w="900" w:type="dxa"/>
            <w:shd w:val="clear" w:color="auto" w:fill="auto"/>
            <w:vAlign w:val="bottom"/>
          </w:tcPr>
          <w:p w14:paraId="35872AD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274.27</w:t>
            </w:r>
          </w:p>
        </w:tc>
        <w:tc>
          <w:tcPr>
            <w:tcW w:w="2044" w:type="dxa"/>
            <w:shd w:val="clear" w:color="auto" w:fill="auto"/>
            <w:vAlign w:val="bottom"/>
          </w:tcPr>
          <w:p w14:paraId="1D83F7D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310.29</w:t>
            </w:r>
          </w:p>
        </w:tc>
        <w:tc>
          <w:tcPr>
            <w:tcW w:w="1429" w:type="dxa"/>
            <w:shd w:val="clear" w:color="auto" w:fill="auto"/>
            <w:vAlign w:val="bottom"/>
          </w:tcPr>
          <w:p w14:paraId="6AC6D022"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250.57</w:t>
            </w:r>
          </w:p>
        </w:tc>
        <w:tc>
          <w:tcPr>
            <w:tcW w:w="1309" w:type="dxa"/>
            <w:shd w:val="clear" w:color="auto" w:fill="auto"/>
            <w:vAlign w:val="bottom"/>
          </w:tcPr>
          <w:p w14:paraId="682BA5E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371.46</w:t>
            </w:r>
          </w:p>
        </w:tc>
        <w:tc>
          <w:tcPr>
            <w:tcW w:w="2541" w:type="dxa"/>
            <w:shd w:val="clear" w:color="auto" w:fill="auto"/>
            <w:vAlign w:val="bottom"/>
          </w:tcPr>
          <w:p w14:paraId="6D8985C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310.11</w:t>
            </w:r>
          </w:p>
        </w:tc>
      </w:tr>
      <w:tr w:rsidR="00E71226" w:rsidRPr="00D049B0" w14:paraId="3ECD37C6" w14:textId="77777777" w:rsidTr="00B5696B">
        <w:trPr>
          <w:trHeight w:val="237"/>
        </w:trPr>
        <w:tc>
          <w:tcPr>
            <w:tcW w:w="1705" w:type="dxa"/>
          </w:tcPr>
          <w:p w14:paraId="1C517F6E" w14:textId="77777777" w:rsidR="00E71226" w:rsidRPr="00D049B0" w:rsidRDefault="00E71226" w:rsidP="00B5696B">
            <w:pPr>
              <w:rPr>
                <w:rFonts w:ascii="Arial" w:hAnsi="Arial" w:cs="Arial"/>
                <w:sz w:val="20"/>
                <w:szCs w:val="20"/>
              </w:rPr>
            </w:pPr>
            <w:r w:rsidRPr="00D049B0">
              <w:rPr>
                <w:rFonts w:ascii="Arial" w:hAnsi="Arial" w:cs="Arial"/>
                <w:sz w:val="20"/>
                <w:szCs w:val="20"/>
              </w:rPr>
              <w:t>2016 April</w:t>
            </w:r>
          </w:p>
        </w:tc>
        <w:tc>
          <w:tcPr>
            <w:tcW w:w="900" w:type="dxa"/>
            <w:shd w:val="clear" w:color="auto" w:fill="auto"/>
            <w:vAlign w:val="bottom"/>
          </w:tcPr>
          <w:p w14:paraId="7D925A73"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276.42</w:t>
            </w:r>
          </w:p>
        </w:tc>
        <w:tc>
          <w:tcPr>
            <w:tcW w:w="2044" w:type="dxa"/>
            <w:shd w:val="clear" w:color="auto" w:fill="auto"/>
            <w:vAlign w:val="bottom"/>
          </w:tcPr>
          <w:p w14:paraId="72A4F685"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305.70</w:t>
            </w:r>
          </w:p>
        </w:tc>
        <w:tc>
          <w:tcPr>
            <w:tcW w:w="1429" w:type="dxa"/>
            <w:shd w:val="clear" w:color="auto" w:fill="auto"/>
            <w:vAlign w:val="bottom"/>
          </w:tcPr>
          <w:p w14:paraId="3D92393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252.13</w:t>
            </w:r>
          </w:p>
        </w:tc>
        <w:tc>
          <w:tcPr>
            <w:tcW w:w="1309" w:type="dxa"/>
            <w:shd w:val="clear" w:color="auto" w:fill="auto"/>
            <w:vAlign w:val="bottom"/>
          </w:tcPr>
          <w:p w14:paraId="2DA8BD6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374.64</w:t>
            </w:r>
          </w:p>
        </w:tc>
        <w:tc>
          <w:tcPr>
            <w:tcW w:w="2541" w:type="dxa"/>
            <w:shd w:val="clear" w:color="auto" w:fill="auto"/>
            <w:vAlign w:val="bottom"/>
          </w:tcPr>
          <w:p w14:paraId="3D77FA6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309.75</w:t>
            </w:r>
          </w:p>
        </w:tc>
      </w:tr>
      <w:tr w:rsidR="00E71226" w:rsidRPr="00D049B0" w14:paraId="2060C506" w14:textId="77777777" w:rsidTr="00B5696B">
        <w:trPr>
          <w:trHeight w:val="237"/>
        </w:trPr>
        <w:tc>
          <w:tcPr>
            <w:tcW w:w="1705" w:type="dxa"/>
          </w:tcPr>
          <w:p w14:paraId="61E18D48" w14:textId="77777777" w:rsidR="00E71226" w:rsidRPr="00D049B0" w:rsidRDefault="00E71226" w:rsidP="00B5696B">
            <w:pPr>
              <w:rPr>
                <w:rFonts w:ascii="Arial" w:hAnsi="Arial" w:cs="Arial"/>
                <w:sz w:val="20"/>
                <w:szCs w:val="20"/>
              </w:rPr>
            </w:pPr>
            <w:r w:rsidRPr="00D049B0">
              <w:rPr>
                <w:rFonts w:ascii="Arial" w:hAnsi="Arial" w:cs="Arial"/>
                <w:sz w:val="20"/>
                <w:szCs w:val="20"/>
              </w:rPr>
              <w:t>2016 May</w:t>
            </w:r>
          </w:p>
        </w:tc>
        <w:tc>
          <w:tcPr>
            <w:tcW w:w="900" w:type="dxa"/>
            <w:shd w:val="clear" w:color="auto" w:fill="auto"/>
            <w:vAlign w:val="bottom"/>
          </w:tcPr>
          <w:p w14:paraId="24F5E1A5"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278.02</w:t>
            </w:r>
          </w:p>
        </w:tc>
        <w:tc>
          <w:tcPr>
            <w:tcW w:w="2044" w:type="dxa"/>
            <w:shd w:val="clear" w:color="auto" w:fill="auto"/>
            <w:vAlign w:val="bottom"/>
          </w:tcPr>
          <w:p w14:paraId="07DE2C4B"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300.69</w:t>
            </w:r>
          </w:p>
        </w:tc>
        <w:tc>
          <w:tcPr>
            <w:tcW w:w="1429" w:type="dxa"/>
            <w:shd w:val="clear" w:color="auto" w:fill="auto"/>
            <w:vAlign w:val="bottom"/>
          </w:tcPr>
          <w:p w14:paraId="7155F94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254.90</w:t>
            </w:r>
          </w:p>
        </w:tc>
        <w:tc>
          <w:tcPr>
            <w:tcW w:w="1309" w:type="dxa"/>
            <w:shd w:val="clear" w:color="auto" w:fill="auto"/>
            <w:vAlign w:val="bottom"/>
          </w:tcPr>
          <w:p w14:paraId="0A4A312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377.52</w:t>
            </w:r>
          </w:p>
        </w:tc>
        <w:tc>
          <w:tcPr>
            <w:tcW w:w="2541" w:type="dxa"/>
            <w:shd w:val="clear" w:color="auto" w:fill="auto"/>
            <w:vAlign w:val="bottom"/>
          </w:tcPr>
          <w:p w14:paraId="5B4C7CE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309.65</w:t>
            </w:r>
          </w:p>
        </w:tc>
      </w:tr>
      <w:tr w:rsidR="00E71226" w:rsidRPr="00D049B0" w14:paraId="1FDC1237" w14:textId="77777777" w:rsidTr="00B5696B">
        <w:trPr>
          <w:trHeight w:val="237"/>
        </w:trPr>
        <w:tc>
          <w:tcPr>
            <w:tcW w:w="1705" w:type="dxa"/>
          </w:tcPr>
          <w:p w14:paraId="3B732A82" w14:textId="77777777" w:rsidR="00E71226" w:rsidRPr="00D049B0" w:rsidRDefault="00E71226" w:rsidP="00B5696B">
            <w:pPr>
              <w:rPr>
                <w:rFonts w:ascii="Arial" w:hAnsi="Arial" w:cs="Arial"/>
                <w:sz w:val="20"/>
                <w:szCs w:val="20"/>
              </w:rPr>
            </w:pPr>
            <w:r w:rsidRPr="00D049B0">
              <w:rPr>
                <w:rFonts w:ascii="Arial" w:hAnsi="Arial" w:cs="Arial"/>
                <w:sz w:val="20"/>
                <w:szCs w:val="20"/>
              </w:rPr>
              <w:t>2016 June</w:t>
            </w:r>
          </w:p>
        </w:tc>
        <w:tc>
          <w:tcPr>
            <w:tcW w:w="900" w:type="dxa"/>
          </w:tcPr>
          <w:p w14:paraId="4C3280F6"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279.33</w:t>
            </w:r>
          </w:p>
        </w:tc>
        <w:tc>
          <w:tcPr>
            <w:tcW w:w="2044" w:type="dxa"/>
          </w:tcPr>
          <w:p w14:paraId="488A3F0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304.18</w:t>
            </w:r>
          </w:p>
        </w:tc>
        <w:tc>
          <w:tcPr>
            <w:tcW w:w="1429" w:type="dxa"/>
          </w:tcPr>
          <w:p w14:paraId="7A9FB07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256.62</w:t>
            </w:r>
          </w:p>
        </w:tc>
        <w:tc>
          <w:tcPr>
            <w:tcW w:w="1309" w:type="dxa"/>
          </w:tcPr>
          <w:p w14:paraId="5B420B1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380.66</w:t>
            </w:r>
          </w:p>
        </w:tc>
        <w:tc>
          <w:tcPr>
            <w:tcW w:w="2541" w:type="dxa"/>
          </w:tcPr>
          <w:p w14:paraId="0FB14CC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309.58</w:t>
            </w:r>
          </w:p>
        </w:tc>
      </w:tr>
      <w:tr w:rsidR="00E71226" w:rsidRPr="00D049B0" w14:paraId="70A0AC01" w14:textId="77777777" w:rsidTr="00B5696B">
        <w:trPr>
          <w:trHeight w:val="148"/>
        </w:trPr>
        <w:tc>
          <w:tcPr>
            <w:tcW w:w="1705" w:type="dxa"/>
          </w:tcPr>
          <w:p w14:paraId="58B3953B" w14:textId="77777777" w:rsidR="00E71226" w:rsidRPr="00D049B0" w:rsidRDefault="00E71226" w:rsidP="00B5696B">
            <w:pPr>
              <w:jc w:val="center"/>
              <w:rPr>
                <w:rFonts w:ascii="Arial" w:hAnsi="Arial" w:cs="Arial"/>
                <w:sz w:val="20"/>
                <w:szCs w:val="20"/>
              </w:rPr>
            </w:pPr>
          </w:p>
        </w:tc>
        <w:tc>
          <w:tcPr>
            <w:tcW w:w="900" w:type="dxa"/>
            <w:shd w:val="clear" w:color="000000" w:fill="FFFFFF"/>
            <w:vAlign w:val="bottom"/>
          </w:tcPr>
          <w:p w14:paraId="7C70DCAF" w14:textId="77777777" w:rsidR="00E71226" w:rsidRPr="00D049B0" w:rsidRDefault="00E71226" w:rsidP="00B5696B">
            <w:pPr>
              <w:jc w:val="center"/>
              <w:rPr>
                <w:rFonts w:ascii="Arial" w:hAnsi="Arial" w:cs="Arial"/>
                <w:sz w:val="20"/>
                <w:szCs w:val="20"/>
              </w:rPr>
            </w:pPr>
          </w:p>
        </w:tc>
        <w:tc>
          <w:tcPr>
            <w:tcW w:w="2044" w:type="dxa"/>
            <w:shd w:val="clear" w:color="000000" w:fill="FFFFFF"/>
            <w:vAlign w:val="bottom"/>
          </w:tcPr>
          <w:p w14:paraId="10CF2721" w14:textId="77777777" w:rsidR="00E71226" w:rsidRPr="00D049B0" w:rsidRDefault="00E71226" w:rsidP="00B5696B">
            <w:pPr>
              <w:jc w:val="center"/>
              <w:rPr>
                <w:rFonts w:ascii="Arial" w:hAnsi="Arial" w:cs="Arial"/>
                <w:sz w:val="20"/>
                <w:szCs w:val="20"/>
              </w:rPr>
            </w:pPr>
          </w:p>
        </w:tc>
        <w:tc>
          <w:tcPr>
            <w:tcW w:w="1429" w:type="dxa"/>
            <w:shd w:val="clear" w:color="000000" w:fill="FFFFFF"/>
            <w:vAlign w:val="bottom"/>
          </w:tcPr>
          <w:p w14:paraId="761CD2B5" w14:textId="77777777" w:rsidR="00E71226" w:rsidRPr="00D049B0" w:rsidRDefault="00E71226" w:rsidP="00B5696B">
            <w:pPr>
              <w:jc w:val="center"/>
              <w:rPr>
                <w:rFonts w:ascii="Arial" w:hAnsi="Arial" w:cs="Arial"/>
                <w:sz w:val="20"/>
                <w:szCs w:val="20"/>
              </w:rPr>
            </w:pPr>
          </w:p>
        </w:tc>
        <w:tc>
          <w:tcPr>
            <w:tcW w:w="1309" w:type="dxa"/>
            <w:shd w:val="clear" w:color="000000" w:fill="FFFFFF"/>
            <w:vAlign w:val="bottom"/>
          </w:tcPr>
          <w:p w14:paraId="4ACC7306" w14:textId="77777777" w:rsidR="00E71226" w:rsidRPr="00D049B0" w:rsidRDefault="00E71226" w:rsidP="00B5696B">
            <w:pPr>
              <w:jc w:val="center"/>
              <w:rPr>
                <w:rFonts w:ascii="Arial" w:hAnsi="Arial" w:cs="Arial"/>
                <w:sz w:val="20"/>
                <w:szCs w:val="20"/>
              </w:rPr>
            </w:pPr>
          </w:p>
        </w:tc>
        <w:tc>
          <w:tcPr>
            <w:tcW w:w="2541" w:type="dxa"/>
            <w:shd w:val="clear" w:color="auto" w:fill="auto"/>
            <w:vAlign w:val="bottom"/>
          </w:tcPr>
          <w:p w14:paraId="20657E08" w14:textId="77777777" w:rsidR="00E71226" w:rsidRPr="00D049B0" w:rsidRDefault="00E71226" w:rsidP="00B5696B">
            <w:pPr>
              <w:jc w:val="center"/>
              <w:rPr>
                <w:rFonts w:ascii="Arial" w:hAnsi="Arial" w:cs="Arial"/>
                <w:sz w:val="20"/>
                <w:szCs w:val="20"/>
              </w:rPr>
            </w:pPr>
          </w:p>
        </w:tc>
      </w:tr>
      <w:tr w:rsidR="00E71226" w:rsidRPr="00D049B0" w14:paraId="606E317A" w14:textId="77777777" w:rsidTr="00B5696B">
        <w:trPr>
          <w:trHeight w:val="237"/>
        </w:trPr>
        <w:tc>
          <w:tcPr>
            <w:tcW w:w="1705" w:type="dxa"/>
          </w:tcPr>
          <w:p w14:paraId="5EF39DEB" w14:textId="77777777" w:rsidR="00E71226" w:rsidRPr="00D049B0" w:rsidRDefault="00E71226" w:rsidP="00B5696B">
            <w:pPr>
              <w:rPr>
                <w:rFonts w:ascii="Arial" w:hAnsi="Arial" w:cs="Arial"/>
                <w:sz w:val="20"/>
                <w:szCs w:val="20"/>
              </w:rPr>
            </w:pPr>
            <w:r w:rsidRPr="00D049B0">
              <w:rPr>
                <w:rFonts w:ascii="Arial" w:hAnsi="Arial" w:cs="Arial"/>
                <w:sz w:val="20"/>
                <w:szCs w:val="20"/>
              </w:rPr>
              <w:t>2021 December</w:t>
            </w:r>
          </w:p>
        </w:tc>
        <w:tc>
          <w:tcPr>
            <w:tcW w:w="900" w:type="dxa"/>
            <w:shd w:val="clear" w:color="000000" w:fill="FFFFFF"/>
            <w:vAlign w:val="bottom"/>
          </w:tcPr>
          <w:p w14:paraId="42FE2E7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686.95</w:t>
            </w:r>
          </w:p>
        </w:tc>
        <w:tc>
          <w:tcPr>
            <w:tcW w:w="2044" w:type="dxa"/>
            <w:shd w:val="clear" w:color="000000" w:fill="FFFFFF"/>
            <w:vAlign w:val="bottom"/>
          </w:tcPr>
          <w:p w14:paraId="2C48785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874.42</w:t>
            </w:r>
          </w:p>
        </w:tc>
        <w:tc>
          <w:tcPr>
            <w:tcW w:w="1429" w:type="dxa"/>
            <w:shd w:val="clear" w:color="000000" w:fill="FFFFFF"/>
            <w:vAlign w:val="bottom"/>
          </w:tcPr>
          <w:p w14:paraId="733EADC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791.13</w:t>
            </w:r>
          </w:p>
        </w:tc>
        <w:tc>
          <w:tcPr>
            <w:tcW w:w="1309" w:type="dxa"/>
            <w:shd w:val="clear" w:color="000000" w:fill="FFFFFF"/>
            <w:vAlign w:val="bottom"/>
          </w:tcPr>
          <w:p w14:paraId="469C856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643.07</w:t>
            </w:r>
          </w:p>
        </w:tc>
        <w:tc>
          <w:tcPr>
            <w:tcW w:w="2541" w:type="dxa"/>
            <w:shd w:val="clear" w:color="auto" w:fill="auto"/>
            <w:vAlign w:val="bottom"/>
          </w:tcPr>
          <w:p w14:paraId="7DB6948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738.56</w:t>
            </w:r>
          </w:p>
        </w:tc>
      </w:tr>
      <w:tr w:rsidR="00E71226" w:rsidRPr="00D049B0" w14:paraId="76D54E49" w14:textId="77777777" w:rsidTr="00B5696B">
        <w:trPr>
          <w:trHeight w:val="229"/>
        </w:trPr>
        <w:tc>
          <w:tcPr>
            <w:tcW w:w="1705" w:type="dxa"/>
          </w:tcPr>
          <w:p w14:paraId="7E6CF526" w14:textId="77777777" w:rsidR="00E71226" w:rsidRPr="00D049B0" w:rsidRDefault="00E71226" w:rsidP="00B5696B">
            <w:pPr>
              <w:rPr>
                <w:rFonts w:ascii="Arial" w:hAnsi="Arial" w:cs="Arial"/>
                <w:sz w:val="20"/>
                <w:szCs w:val="20"/>
              </w:rPr>
            </w:pPr>
            <w:r w:rsidRPr="00D049B0">
              <w:rPr>
                <w:rFonts w:ascii="Arial" w:hAnsi="Arial" w:cs="Arial"/>
                <w:sz w:val="20"/>
                <w:szCs w:val="20"/>
              </w:rPr>
              <w:t>2022 January</w:t>
            </w:r>
          </w:p>
        </w:tc>
        <w:tc>
          <w:tcPr>
            <w:tcW w:w="900" w:type="dxa"/>
            <w:shd w:val="clear" w:color="000000" w:fill="FFFFFF"/>
            <w:vAlign w:val="bottom"/>
          </w:tcPr>
          <w:p w14:paraId="3505BF3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763.23</w:t>
            </w:r>
          </w:p>
        </w:tc>
        <w:tc>
          <w:tcPr>
            <w:tcW w:w="2044" w:type="dxa"/>
            <w:shd w:val="clear" w:color="000000" w:fill="FFFFFF"/>
            <w:vAlign w:val="bottom"/>
          </w:tcPr>
          <w:p w14:paraId="3885B07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969.71</w:t>
            </w:r>
          </w:p>
        </w:tc>
        <w:tc>
          <w:tcPr>
            <w:tcW w:w="1429" w:type="dxa"/>
            <w:shd w:val="clear" w:color="000000" w:fill="FFFFFF"/>
            <w:vAlign w:val="bottom"/>
          </w:tcPr>
          <w:p w14:paraId="7BCFBF5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879.32</w:t>
            </w:r>
          </w:p>
        </w:tc>
        <w:tc>
          <w:tcPr>
            <w:tcW w:w="1309" w:type="dxa"/>
            <w:shd w:val="clear" w:color="000000" w:fill="FFFFFF"/>
            <w:vAlign w:val="bottom"/>
          </w:tcPr>
          <w:p w14:paraId="6BED2F7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660.79</w:t>
            </w:r>
          </w:p>
        </w:tc>
        <w:tc>
          <w:tcPr>
            <w:tcW w:w="2541" w:type="dxa"/>
            <w:shd w:val="clear" w:color="auto" w:fill="auto"/>
            <w:vAlign w:val="bottom"/>
          </w:tcPr>
          <w:p w14:paraId="054302F6"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1003.84</w:t>
            </w:r>
          </w:p>
        </w:tc>
      </w:tr>
      <w:tr w:rsidR="00E71226" w:rsidRPr="00D049B0" w14:paraId="76463328" w14:textId="77777777" w:rsidTr="00B5696B">
        <w:trPr>
          <w:trHeight w:val="237"/>
        </w:trPr>
        <w:tc>
          <w:tcPr>
            <w:tcW w:w="1705" w:type="dxa"/>
          </w:tcPr>
          <w:p w14:paraId="70294C30" w14:textId="77777777" w:rsidR="00E71226" w:rsidRPr="00D049B0" w:rsidRDefault="00E71226" w:rsidP="00B5696B">
            <w:pPr>
              <w:rPr>
                <w:rFonts w:ascii="Arial" w:hAnsi="Arial" w:cs="Arial"/>
                <w:sz w:val="20"/>
                <w:szCs w:val="20"/>
              </w:rPr>
            </w:pPr>
            <w:r w:rsidRPr="00D049B0">
              <w:rPr>
                <w:rFonts w:ascii="Arial" w:hAnsi="Arial" w:cs="Arial"/>
                <w:sz w:val="20"/>
                <w:szCs w:val="20"/>
              </w:rPr>
              <w:t>2022 February</w:t>
            </w:r>
          </w:p>
        </w:tc>
        <w:tc>
          <w:tcPr>
            <w:tcW w:w="900" w:type="dxa"/>
            <w:shd w:val="clear" w:color="000000" w:fill="FFFFFF"/>
            <w:vAlign w:val="bottom"/>
          </w:tcPr>
          <w:p w14:paraId="7B5CCF6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799.93</w:t>
            </w:r>
          </w:p>
        </w:tc>
        <w:tc>
          <w:tcPr>
            <w:tcW w:w="2044" w:type="dxa"/>
            <w:shd w:val="clear" w:color="000000" w:fill="FFFFFF"/>
            <w:vAlign w:val="bottom"/>
          </w:tcPr>
          <w:p w14:paraId="328EDB3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1051.29</w:t>
            </w:r>
          </w:p>
        </w:tc>
        <w:tc>
          <w:tcPr>
            <w:tcW w:w="1429" w:type="dxa"/>
            <w:shd w:val="clear" w:color="000000" w:fill="FFFFFF"/>
            <w:vAlign w:val="bottom"/>
          </w:tcPr>
          <w:p w14:paraId="2D7CE3F6"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919.45</w:t>
            </w:r>
          </w:p>
        </w:tc>
        <w:tc>
          <w:tcPr>
            <w:tcW w:w="1309" w:type="dxa"/>
            <w:shd w:val="clear" w:color="000000" w:fill="FFFFFF"/>
            <w:vAlign w:val="bottom"/>
          </w:tcPr>
          <w:p w14:paraId="2B422E6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675.49</w:t>
            </w:r>
          </w:p>
        </w:tc>
        <w:tc>
          <w:tcPr>
            <w:tcW w:w="2541" w:type="dxa"/>
            <w:shd w:val="clear" w:color="auto" w:fill="auto"/>
            <w:vAlign w:val="bottom"/>
          </w:tcPr>
          <w:p w14:paraId="24FC188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1000.38</w:t>
            </w:r>
          </w:p>
        </w:tc>
      </w:tr>
      <w:tr w:rsidR="00E71226" w:rsidRPr="00D049B0" w14:paraId="47CC2C76" w14:textId="77777777" w:rsidTr="00B5696B">
        <w:trPr>
          <w:trHeight w:val="237"/>
        </w:trPr>
        <w:tc>
          <w:tcPr>
            <w:tcW w:w="1705" w:type="dxa"/>
          </w:tcPr>
          <w:p w14:paraId="7E257B3D" w14:textId="77777777" w:rsidR="00E71226" w:rsidRPr="00D049B0" w:rsidRDefault="00E71226" w:rsidP="00B5696B">
            <w:pPr>
              <w:rPr>
                <w:rFonts w:ascii="Arial" w:hAnsi="Arial" w:cs="Arial"/>
                <w:sz w:val="20"/>
                <w:szCs w:val="20"/>
              </w:rPr>
            </w:pPr>
            <w:r w:rsidRPr="00D049B0">
              <w:rPr>
                <w:rFonts w:ascii="Arial" w:hAnsi="Arial" w:cs="Arial"/>
                <w:sz w:val="20"/>
                <w:szCs w:val="20"/>
              </w:rPr>
              <w:t>2022 March</w:t>
            </w:r>
          </w:p>
        </w:tc>
        <w:tc>
          <w:tcPr>
            <w:tcW w:w="900" w:type="dxa"/>
            <w:shd w:val="clear" w:color="000000" w:fill="FFFFFF"/>
            <w:vAlign w:val="bottom"/>
          </w:tcPr>
          <w:p w14:paraId="7EF5E125"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843.64</w:t>
            </w:r>
          </w:p>
        </w:tc>
        <w:tc>
          <w:tcPr>
            <w:tcW w:w="2044" w:type="dxa"/>
            <w:shd w:val="clear" w:color="000000" w:fill="FFFFFF"/>
            <w:vAlign w:val="bottom"/>
          </w:tcPr>
          <w:p w14:paraId="39CB50B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1101.00</w:t>
            </w:r>
          </w:p>
        </w:tc>
        <w:tc>
          <w:tcPr>
            <w:tcW w:w="1429" w:type="dxa"/>
            <w:shd w:val="clear" w:color="000000" w:fill="FFFFFF"/>
            <w:vAlign w:val="bottom"/>
          </w:tcPr>
          <w:p w14:paraId="47E525B9"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1041.68</w:t>
            </w:r>
          </w:p>
        </w:tc>
        <w:tc>
          <w:tcPr>
            <w:tcW w:w="1309" w:type="dxa"/>
            <w:shd w:val="clear" w:color="000000" w:fill="FFFFFF"/>
            <w:vAlign w:val="bottom"/>
          </w:tcPr>
          <w:p w14:paraId="3CE4F37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686.71</w:t>
            </w:r>
          </w:p>
        </w:tc>
        <w:tc>
          <w:tcPr>
            <w:tcW w:w="2541" w:type="dxa"/>
            <w:shd w:val="clear" w:color="auto" w:fill="auto"/>
            <w:vAlign w:val="bottom"/>
          </w:tcPr>
          <w:p w14:paraId="365DCE9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1008.15</w:t>
            </w:r>
          </w:p>
        </w:tc>
      </w:tr>
      <w:tr w:rsidR="00E71226" w:rsidRPr="00D049B0" w14:paraId="5E5E9835" w14:textId="77777777" w:rsidTr="00B5696B">
        <w:trPr>
          <w:trHeight w:val="237"/>
        </w:trPr>
        <w:tc>
          <w:tcPr>
            <w:tcW w:w="1705" w:type="dxa"/>
          </w:tcPr>
          <w:p w14:paraId="7ED27305" w14:textId="77777777" w:rsidR="00E71226" w:rsidRPr="00D049B0" w:rsidRDefault="00E71226" w:rsidP="00B5696B">
            <w:pPr>
              <w:rPr>
                <w:rFonts w:ascii="Arial" w:hAnsi="Arial" w:cs="Arial"/>
                <w:sz w:val="20"/>
                <w:szCs w:val="20"/>
              </w:rPr>
            </w:pPr>
            <w:r w:rsidRPr="00D049B0">
              <w:rPr>
                <w:rFonts w:ascii="Arial" w:hAnsi="Arial" w:cs="Arial"/>
                <w:sz w:val="20"/>
                <w:szCs w:val="20"/>
              </w:rPr>
              <w:t>2022 April</w:t>
            </w:r>
          </w:p>
        </w:tc>
        <w:tc>
          <w:tcPr>
            <w:tcW w:w="900" w:type="dxa"/>
            <w:shd w:val="clear" w:color="000000" w:fill="FFFFFF"/>
            <w:vAlign w:val="bottom"/>
          </w:tcPr>
          <w:p w14:paraId="6A9383F2"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904.79</w:t>
            </w:r>
          </w:p>
        </w:tc>
        <w:tc>
          <w:tcPr>
            <w:tcW w:w="2044" w:type="dxa"/>
            <w:shd w:val="clear" w:color="000000" w:fill="FFFFFF"/>
            <w:vAlign w:val="bottom"/>
          </w:tcPr>
          <w:p w14:paraId="3839C1F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1248.33</w:t>
            </w:r>
          </w:p>
        </w:tc>
        <w:tc>
          <w:tcPr>
            <w:tcW w:w="1429" w:type="dxa"/>
            <w:shd w:val="clear" w:color="000000" w:fill="FFFFFF"/>
            <w:vAlign w:val="bottom"/>
          </w:tcPr>
          <w:p w14:paraId="1AD20B0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1094.98</w:t>
            </w:r>
          </w:p>
        </w:tc>
        <w:tc>
          <w:tcPr>
            <w:tcW w:w="1309" w:type="dxa"/>
            <w:shd w:val="clear" w:color="000000" w:fill="FFFFFF"/>
            <w:vAlign w:val="bottom"/>
          </w:tcPr>
          <w:p w14:paraId="06FDC22B"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699.54</w:t>
            </w:r>
          </w:p>
        </w:tc>
        <w:tc>
          <w:tcPr>
            <w:tcW w:w="2541" w:type="dxa"/>
            <w:shd w:val="clear" w:color="auto" w:fill="auto"/>
            <w:vAlign w:val="bottom"/>
          </w:tcPr>
          <w:p w14:paraId="500EAF0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1102.57</w:t>
            </w:r>
          </w:p>
        </w:tc>
      </w:tr>
      <w:tr w:rsidR="00E71226" w:rsidRPr="00D049B0" w14:paraId="4019D553" w14:textId="77777777" w:rsidTr="00B5696B">
        <w:trPr>
          <w:trHeight w:val="237"/>
        </w:trPr>
        <w:tc>
          <w:tcPr>
            <w:tcW w:w="1705" w:type="dxa"/>
          </w:tcPr>
          <w:p w14:paraId="6E020736" w14:textId="77777777" w:rsidR="00E71226" w:rsidRPr="00D049B0" w:rsidRDefault="00E71226" w:rsidP="00B5696B">
            <w:pPr>
              <w:rPr>
                <w:rFonts w:ascii="Arial" w:hAnsi="Arial" w:cs="Arial"/>
                <w:sz w:val="20"/>
                <w:szCs w:val="20"/>
              </w:rPr>
            </w:pPr>
            <w:r w:rsidRPr="00D049B0">
              <w:rPr>
                <w:rFonts w:ascii="Arial" w:hAnsi="Arial" w:cs="Arial"/>
                <w:sz w:val="20"/>
                <w:szCs w:val="20"/>
              </w:rPr>
              <w:t>2022 May</w:t>
            </w:r>
          </w:p>
        </w:tc>
        <w:tc>
          <w:tcPr>
            <w:tcW w:w="900" w:type="dxa"/>
            <w:shd w:val="clear" w:color="000000" w:fill="FFFFFF"/>
            <w:vAlign w:val="bottom"/>
          </w:tcPr>
          <w:p w14:paraId="5EDB9A4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931.76</w:t>
            </w:r>
          </w:p>
        </w:tc>
        <w:tc>
          <w:tcPr>
            <w:tcW w:w="2044" w:type="dxa"/>
            <w:shd w:val="clear" w:color="000000" w:fill="FFFFFF"/>
            <w:vAlign w:val="bottom"/>
          </w:tcPr>
          <w:p w14:paraId="29BA72C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1268.74</w:t>
            </w:r>
          </w:p>
        </w:tc>
        <w:tc>
          <w:tcPr>
            <w:tcW w:w="1429" w:type="dxa"/>
            <w:shd w:val="clear" w:color="000000" w:fill="FFFFFF"/>
            <w:vAlign w:val="bottom"/>
          </w:tcPr>
          <w:p w14:paraId="70D2261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1132.57</w:t>
            </w:r>
          </w:p>
        </w:tc>
        <w:tc>
          <w:tcPr>
            <w:tcW w:w="1309" w:type="dxa"/>
            <w:shd w:val="clear" w:color="000000" w:fill="FFFFFF"/>
            <w:vAlign w:val="bottom"/>
          </w:tcPr>
          <w:p w14:paraId="490C2C7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715.50</w:t>
            </w:r>
          </w:p>
        </w:tc>
        <w:tc>
          <w:tcPr>
            <w:tcW w:w="2541" w:type="dxa"/>
            <w:shd w:val="clear" w:color="auto" w:fill="auto"/>
            <w:vAlign w:val="bottom"/>
          </w:tcPr>
          <w:p w14:paraId="7313225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1110.93</w:t>
            </w:r>
          </w:p>
        </w:tc>
      </w:tr>
      <w:tr w:rsidR="00E71226" w:rsidRPr="00D049B0" w14:paraId="2C401933" w14:textId="77777777" w:rsidTr="00B5696B">
        <w:trPr>
          <w:trHeight w:val="237"/>
        </w:trPr>
        <w:tc>
          <w:tcPr>
            <w:tcW w:w="1705" w:type="dxa"/>
          </w:tcPr>
          <w:p w14:paraId="3A19AA18" w14:textId="77777777" w:rsidR="00E71226" w:rsidRPr="00D049B0" w:rsidRDefault="00E71226" w:rsidP="00B5696B">
            <w:pPr>
              <w:rPr>
                <w:rFonts w:ascii="Arial" w:hAnsi="Arial" w:cs="Arial"/>
                <w:sz w:val="20"/>
                <w:szCs w:val="20"/>
              </w:rPr>
            </w:pPr>
            <w:r w:rsidRPr="00D049B0">
              <w:rPr>
                <w:rFonts w:ascii="Arial" w:hAnsi="Arial" w:cs="Arial"/>
                <w:sz w:val="20"/>
                <w:szCs w:val="20"/>
              </w:rPr>
              <w:t>2022 June</w:t>
            </w:r>
          </w:p>
        </w:tc>
        <w:tc>
          <w:tcPr>
            <w:tcW w:w="900" w:type="dxa"/>
            <w:shd w:val="clear" w:color="000000" w:fill="FFFFFF"/>
            <w:vAlign w:val="bottom"/>
          </w:tcPr>
          <w:p w14:paraId="059F258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977.90</w:t>
            </w:r>
          </w:p>
        </w:tc>
        <w:tc>
          <w:tcPr>
            <w:tcW w:w="2044" w:type="dxa"/>
            <w:shd w:val="clear" w:color="000000" w:fill="FFFFFF"/>
            <w:vAlign w:val="bottom"/>
          </w:tcPr>
          <w:p w14:paraId="456E5D9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1295.25</w:t>
            </w:r>
          </w:p>
        </w:tc>
        <w:tc>
          <w:tcPr>
            <w:tcW w:w="1429" w:type="dxa"/>
            <w:shd w:val="clear" w:color="000000" w:fill="FFFFFF"/>
            <w:vAlign w:val="bottom"/>
          </w:tcPr>
          <w:p w14:paraId="360A402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1252.47</w:t>
            </w:r>
          </w:p>
        </w:tc>
        <w:tc>
          <w:tcPr>
            <w:tcW w:w="1309" w:type="dxa"/>
            <w:shd w:val="clear" w:color="000000" w:fill="FFFFFF"/>
            <w:vAlign w:val="bottom"/>
          </w:tcPr>
          <w:p w14:paraId="424B01A3"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737.75</w:t>
            </w:r>
          </w:p>
        </w:tc>
        <w:tc>
          <w:tcPr>
            <w:tcW w:w="2541" w:type="dxa"/>
            <w:shd w:val="clear" w:color="auto" w:fill="auto"/>
            <w:vAlign w:val="bottom"/>
          </w:tcPr>
          <w:p w14:paraId="528AA746"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1269.72</w:t>
            </w:r>
          </w:p>
        </w:tc>
      </w:tr>
    </w:tbl>
    <w:p w14:paraId="32137B2A" w14:textId="77777777" w:rsidR="00E71226" w:rsidRPr="00AC1C48" w:rsidRDefault="00E71226" w:rsidP="00D049B0">
      <w:pPr>
        <w:spacing w:after="720" w:line="360" w:lineRule="auto"/>
        <w:jc w:val="both"/>
        <w:rPr>
          <w:sz w:val="20"/>
        </w:rPr>
      </w:pPr>
      <w:r w:rsidRPr="000F5BF0">
        <w:t xml:space="preserve"> </w:t>
      </w:r>
      <w:r w:rsidRPr="00973A30">
        <w:rPr>
          <w:sz w:val="20"/>
        </w:rPr>
        <w:t xml:space="preserve">Source: Turkstat, Authors' calculations. </w:t>
      </w:r>
    </w:p>
    <w:p w14:paraId="3068D898" w14:textId="77777777" w:rsidR="00E71226" w:rsidRPr="00D049B0" w:rsidRDefault="00E71226" w:rsidP="00D049B0">
      <w:pPr>
        <w:spacing w:after="120"/>
        <w:rPr>
          <w:rFonts w:ascii="Arial" w:hAnsi="Arial" w:cs="Arial"/>
          <w:b/>
          <w:sz w:val="22"/>
        </w:rPr>
      </w:pPr>
      <w:r w:rsidRPr="00D049B0">
        <w:rPr>
          <w:rFonts w:ascii="Arial" w:hAnsi="Arial" w:cs="Arial"/>
          <w:b/>
          <w:sz w:val="22"/>
        </w:rPr>
        <w:t>Annex Table 3: Weights by expenditure groups of consumer price index  (2003=100, %)</w:t>
      </w:r>
    </w:p>
    <w:tbl>
      <w:tblPr>
        <w:tblStyle w:val="TabloKlavuzu"/>
        <w:tblW w:w="0" w:type="auto"/>
        <w:tblLook w:val="04A0" w:firstRow="1" w:lastRow="0" w:firstColumn="1" w:lastColumn="0" w:noHBand="0" w:noVBand="1"/>
      </w:tblPr>
      <w:tblGrid>
        <w:gridCol w:w="1835"/>
        <w:gridCol w:w="3182"/>
        <w:gridCol w:w="1225"/>
        <w:gridCol w:w="1838"/>
        <w:gridCol w:w="1838"/>
      </w:tblGrid>
      <w:tr w:rsidR="00E71226" w:rsidRPr="00D049B0" w14:paraId="0840F7D4" w14:textId="77777777" w:rsidTr="00D049B0">
        <w:trPr>
          <w:trHeight w:val="410"/>
        </w:trPr>
        <w:tc>
          <w:tcPr>
            <w:tcW w:w="1835" w:type="dxa"/>
          </w:tcPr>
          <w:p w14:paraId="414A0CFF" w14:textId="77777777" w:rsidR="00E71226" w:rsidRPr="00D049B0" w:rsidRDefault="00E71226" w:rsidP="00B5696B">
            <w:pPr>
              <w:jc w:val="center"/>
              <w:rPr>
                <w:rFonts w:ascii="Arial" w:hAnsi="Arial" w:cs="Arial"/>
                <w:sz w:val="20"/>
                <w:szCs w:val="20"/>
              </w:rPr>
            </w:pPr>
          </w:p>
        </w:tc>
        <w:tc>
          <w:tcPr>
            <w:tcW w:w="3182" w:type="dxa"/>
          </w:tcPr>
          <w:p w14:paraId="50E15AF1"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Food and non-alcoholic beverages</w:t>
            </w:r>
          </w:p>
        </w:tc>
        <w:tc>
          <w:tcPr>
            <w:tcW w:w="1225" w:type="dxa"/>
          </w:tcPr>
          <w:p w14:paraId="706AB440"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Transport</w:t>
            </w:r>
          </w:p>
        </w:tc>
        <w:tc>
          <w:tcPr>
            <w:tcW w:w="1838" w:type="dxa"/>
          </w:tcPr>
          <w:p w14:paraId="4892003F"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Actual rentals for housing</w:t>
            </w:r>
          </w:p>
        </w:tc>
        <w:tc>
          <w:tcPr>
            <w:tcW w:w="1838" w:type="dxa"/>
          </w:tcPr>
          <w:p w14:paraId="24205A9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Electricity, gas and other fuels</w:t>
            </w:r>
          </w:p>
        </w:tc>
      </w:tr>
      <w:tr w:rsidR="00E71226" w:rsidRPr="00D049B0" w14:paraId="17A0E870" w14:textId="77777777" w:rsidTr="00D049B0">
        <w:trPr>
          <w:trHeight w:val="140"/>
        </w:trPr>
        <w:tc>
          <w:tcPr>
            <w:tcW w:w="1835" w:type="dxa"/>
          </w:tcPr>
          <w:p w14:paraId="3F703BB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 xml:space="preserve">2016 </w:t>
            </w:r>
          </w:p>
        </w:tc>
        <w:tc>
          <w:tcPr>
            <w:tcW w:w="3182" w:type="dxa"/>
            <w:shd w:val="clear" w:color="auto" w:fill="auto"/>
            <w:vAlign w:val="bottom"/>
          </w:tcPr>
          <w:p w14:paraId="4FB06C38"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23,68</w:t>
            </w:r>
          </w:p>
        </w:tc>
        <w:tc>
          <w:tcPr>
            <w:tcW w:w="1225" w:type="dxa"/>
            <w:shd w:val="clear" w:color="auto" w:fill="auto"/>
            <w:vAlign w:val="bottom"/>
          </w:tcPr>
          <w:p w14:paraId="3E3480C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14,31</w:t>
            </w:r>
          </w:p>
        </w:tc>
        <w:tc>
          <w:tcPr>
            <w:tcW w:w="1838" w:type="dxa"/>
            <w:shd w:val="clear" w:color="auto" w:fill="auto"/>
            <w:vAlign w:val="bottom"/>
          </w:tcPr>
          <w:p w14:paraId="7F3D235D"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5,15</w:t>
            </w:r>
          </w:p>
        </w:tc>
        <w:tc>
          <w:tcPr>
            <w:tcW w:w="1838" w:type="dxa"/>
            <w:shd w:val="clear" w:color="auto" w:fill="auto"/>
            <w:vAlign w:val="bottom"/>
          </w:tcPr>
          <w:p w14:paraId="67829527"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6,62</w:t>
            </w:r>
          </w:p>
        </w:tc>
      </w:tr>
      <w:tr w:rsidR="00E71226" w:rsidRPr="00D049B0" w14:paraId="5F31EF9D" w14:textId="77777777" w:rsidTr="00D049B0">
        <w:trPr>
          <w:trHeight w:val="134"/>
        </w:trPr>
        <w:tc>
          <w:tcPr>
            <w:tcW w:w="1835" w:type="dxa"/>
          </w:tcPr>
          <w:p w14:paraId="1301E06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 xml:space="preserve">2021 </w:t>
            </w:r>
          </w:p>
        </w:tc>
        <w:tc>
          <w:tcPr>
            <w:tcW w:w="3182" w:type="dxa"/>
            <w:shd w:val="clear" w:color="000000" w:fill="FFFFFF"/>
            <w:vAlign w:val="bottom"/>
          </w:tcPr>
          <w:p w14:paraId="4A0B002C"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25,94</w:t>
            </w:r>
          </w:p>
        </w:tc>
        <w:tc>
          <w:tcPr>
            <w:tcW w:w="1225" w:type="dxa"/>
            <w:shd w:val="clear" w:color="000000" w:fill="FFFFFF"/>
            <w:vAlign w:val="bottom"/>
          </w:tcPr>
          <w:p w14:paraId="231284A2"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15,49</w:t>
            </w:r>
          </w:p>
        </w:tc>
        <w:tc>
          <w:tcPr>
            <w:tcW w:w="1838" w:type="dxa"/>
            <w:shd w:val="clear" w:color="000000" w:fill="FFFFFF"/>
            <w:vAlign w:val="bottom"/>
          </w:tcPr>
          <w:p w14:paraId="1876FCDE"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5,47</w:t>
            </w:r>
          </w:p>
        </w:tc>
        <w:tc>
          <w:tcPr>
            <w:tcW w:w="1838" w:type="dxa"/>
            <w:shd w:val="clear" w:color="auto" w:fill="auto"/>
            <w:vAlign w:val="bottom"/>
          </w:tcPr>
          <w:p w14:paraId="27CF851A" w14:textId="77777777" w:rsidR="00E71226" w:rsidRPr="00D049B0" w:rsidRDefault="00E71226" w:rsidP="00B5696B">
            <w:pPr>
              <w:jc w:val="center"/>
              <w:rPr>
                <w:rFonts w:ascii="Arial" w:hAnsi="Arial" w:cs="Arial"/>
                <w:sz w:val="20"/>
                <w:szCs w:val="20"/>
              </w:rPr>
            </w:pPr>
            <w:r w:rsidRPr="00D049B0">
              <w:rPr>
                <w:rFonts w:ascii="Arial" w:hAnsi="Arial" w:cs="Arial"/>
                <w:sz w:val="20"/>
                <w:szCs w:val="20"/>
              </w:rPr>
              <w:t>5,85</w:t>
            </w:r>
          </w:p>
        </w:tc>
      </w:tr>
    </w:tbl>
    <w:p w14:paraId="19C24A95" w14:textId="77777777" w:rsidR="00E71226" w:rsidRPr="00AC1C48" w:rsidRDefault="00E71226" w:rsidP="00E71226">
      <w:pPr>
        <w:spacing w:line="360" w:lineRule="auto"/>
        <w:jc w:val="both"/>
        <w:rPr>
          <w:sz w:val="20"/>
        </w:rPr>
      </w:pPr>
      <w:r>
        <w:rPr>
          <w:sz w:val="20"/>
        </w:rPr>
        <w:t>Source: Turkstat</w:t>
      </w:r>
      <w:r w:rsidRPr="000F5BF0">
        <w:rPr>
          <w:sz w:val="20"/>
        </w:rPr>
        <w:t>,</w:t>
      </w:r>
      <w:r>
        <w:rPr>
          <w:sz w:val="20"/>
        </w:rPr>
        <w:t xml:space="preserve"> </w:t>
      </w:r>
      <w:r w:rsidRPr="00AC1C48">
        <w:rPr>
          <w:sz w:val="20"/>
        </w:rPr>
        <w:t xml:space="preserve">Authors' </w:t>
      </w:r>
      <w:r>
        <w:rPr>
          <w:sz w:val="20"/>
        </w:rPr>
        <w:t>calculations</w:t>
      </w:r>
      <w:r w:rsidRPr="000F5BF0">
        <w:rPr>
          <w:sz w:val="20"/>
        </w:rPr>
        <w:t xml:space="preserve">. </w:t>
      </w:r>
    </w:p>
    <w:sectPr w:rsidR="00E71226" w:rsidRPr="00AC1C48" w:rsidSect="00DC3BAE">
      <w:headerReference w:type="even" r:id="rId13"/>
      <w:headerReference w:type="default" r:id="rId14"/>
      <w:footerReference w:type="even" r:id="rId15"/>
      <w:footerReference w:type="default" r:id="rId16"/>
      <w:headerReference w:type="first" r:id="rId17"/>
      <w:footerReference w:type="first" r:id="rId18"/>
      <w:pgSz w:w="11905" w:h="16837"/>
      <w:pgMar w:top="1418" w:right="992" w:bottom="7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5351" w14:textId="77777777" w:rsidR="00041A8E" w:rsidRDefault="00041A8E">
      <w:r>
        <w:separator/>
      </w:r>
    </w:p>
  </w:endnote>
  <w:endnote w:type="continuationSeparator" w:id="0">
    <w:p w14:paraId="2B794A1B" w14:textId="77777777" w:rsidR="00041A8E" w:rsidRDefault="0004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panose1 w:val="020B0604020202020204"/>
    <w:charset w:val="80"/>
    <w:family w:val="swiss"/>
    <w:notTrueType/>
    <w:pitch w:val="variable"/>
    <w:sig w:usb0="00000000" w:usb1="08070000" w:usb2="00000010" w:usb3="00000000" w:csb0="00020000" w:csb1="00000000"/>
  </w:font>
  <w:font w:name="DejaVu Sans">
    <w:altName w:val="MS Gothic"/>
    <w:panose1 w:val="020B0604020202020204"/>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072B" w14:textId="77777777" w:rsidR="00E5791D" w:rsidRDefault="00E579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8B21" w14:textId="305E252A" w:rsidR="00E5791D" w:rsidRDefault="00E5791D"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590A">
      <w:rPr>
        <w:rStyle w:val="SayfaNumaras"/>
        <w:noProof/>
      </w:rPr>
      <w:t>5</w:t>
    </w:r>
    <w:r>
      <w:rPr>
        <w:rStyle w:val="SayfaNumaras"/>
      </w:rPr>
      <w:fldChar w:fldCharType="end"/>
    </w:r>
  </w:p>
  <w:p w14:paraId="634E74DD" w14:textId="77777777" w:rsidR="00E5791D" w:rsidRDefault="00E5791D" w:rsidP="00C82050">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8C89" w14:textId="77777777" w:rsidR="00E5791D" w:rsidRDefault="00E579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8900" w14:textId="77777777" w:rsidR="00041A8E" w:rsidRDefault="00041A8E">
      <w:r>
        <w:separator/>
      </w:r>
    </w:p>
  </w:footnote>
  <w:footnote w:type="continuationSeparator" w:id="0">
    <w:p w14:paraId="14E37A55" w14:textId="77777777" w:rsidR="00041A8E" w:rsidRDefault="00041A8E">
      <w:r>
        <w:continuationSeparator/>
      </w:r>
    </w:p>
  </w:footnote>
  <w:footnote w:id="1">
    <w:p w14:paraId="1C39E9F3" w14:textId="4FF0ED97" w:rsidR="00E5791D" w:rsidRPr="00406B3C" w:rsidRDefault="00E5791D" w:rsidP="00506A3E">
      <w:pPr>
        <w:pStyle w:val="DipnotMetni"/>
        <w:spacing w:line="276" w:lineRule="auto"/>
        <w:rPr>
          <w:rFonts w:asciiTheme="minorHAnsi" w:hAnsiTheme="minorHAnsi" w:cs="Arial"/>
          <w:sz w:val="16"/>
          <w:szCs w:val="16"/>
          <w:lang w:val="en-US"/>
        </w:rPr>
      </w:pPr>
      <w:r w:rsidRPr="00406B3C">
        <w:rPr>
          <w:rStyle w:val="DipnotBavurusu"/>
          <w:rFonts w:asciiTheme="minorHAnsi" w:hAnsiTheme="minorHAnsi" w:cs="Arial"/>
          <w:sz w:val="16"/>
          <w:szCs w:val="16"/>
          <w:lang w:val="en-US"/>
        </w:rPr>
        <w:t>*</w:t>
      </w:r>
      <w:r w:rsidRPr="00406B3C">
        <w:rPr>
          <w:rFonts w:asciiTheme="minorHAnsi" w:hAnsiTheme="minorHAnsi" w:cs="Arial"/>
          <w:sz w:val="16"/>
          <w:szCs w:val="16"/>
          <w:lang w:val="en-US"/>
        </w:rPr>
        <w:t xml:space="preserve"> Prof. </w:t>
      </w:r>
      <w:proofErr w:type="spellStart"/>
      <w:r w:rsidR="00936785">
        <w:rPr>
          <w:rFonts w:asciiTheme="minorHAnsi" w:hAnsiTheme="minorHAnsi" w:cs="Arial"/>
          <w:sz w:val="16"/>
          <w:szCs w:val="16"/>
          <w:lang w:val="en-US"/>
        </w:rPr>
        <w:t>Seyfettin</w:t>
      </w:r>
      <w:proofErr w:type="spellEnd"/>
      <w:r w:rsidR="00936785">
        <w:rPr>
          <w:rFonts w:asciiTheme="minorHAnsi" w:hAnsiTheme="minorHAnsi" w:cs="Arial"/>
          <w:sz w:val="16"/>
          <w:szCs w:val="16"/>
          <w:lang w:val="en-US"/>
        </w:rPr>
        <w:t xml:space="preserve"> </w:t>
      </w:r>
      <w:proofErr w:type="spellStart"/>
      <w:r w:rsidR="00936785">
        <w:rPr>
          <w:rFonts w:asciiTheme="minorHAnsi" w:hAnsiTheme="minorHAnsi" w:cs="Arial"/>
          <w:sz w:val="16"/>
          <w:szCs w:val="16"/>
          <w:lang w:val="en-US"/>
        </w:rPr>
        <w:t>Gürsel</w:t>
      </w:r>
      <w:proofErr w:type="spellEnd"/>
      <w:r w:rsidR="00936785">
        <w:rPr>
          <w:rFonts w:asciiTheme="minorHAnsi" w:hAnsiTheme="minorHAnsi" w:cs="Arial"/>
          <w:sz w:val="16"/>
          <w:szCs w:val="16"/>
          <w:lang w:val="en-US"/>
        </w:rPr>
        <w:t xml:space="preserve">, </w:t>
      </w:r>
      <w:proofErr w:type="spellStart"/>
      <w:r w:rsidR="00936785">
        <w:rPr>
          <w:rFonts w:asciiTheme="minorHAnsi" w:hAnsiTheme="minorHAnsi" w:cs="Arial"/>
          <w:sz w:val="16"/>
          <w:szCs w:val="16"/>
          <w:lang w:val="en-US"/>
        </w:rPr>
        <w:t>Betam</w:t>
      </w:r>
      <w:proofErr w:type="spellEnd"/>
      <w:r w:rsidRPr="00406B3C">
        <w:rPr>
          <w:rFonts w:asciiTheme="minorHAnsi" w:hAnsiTheme="minorHAnsi" w:cs="Arial"/>
          <w:sz w:val="16"/>
          <w:szCs w:val="16"/>
          <w:lang w:val="en-US"/>
        </w:rPr>
        <w:t xml:space="preserve">, </w:t>
      </w:r>
      <w:hyperlink r:id="rId1" w:history="1">
        <w:r w:rsidRPr="00406B3C">
          <w:rPr>
            <w:rStyle w:val="Kpr"/>
            <w:rFonts w:asciiTheme="minorHAnsi" w:hAnsiTheme="minorHAnsi" w:cs="Arial"/>
            <w:sz w:val="16"/>
            <w:szCs w:val="16"/>
            <w:lang w:val="en-US"/>
          </w:rPr>
          <w:t>seyfettin.gursel@eas.bau.edu.tr</w:t>
        </w:r>
      </w:hyperlink>
    </w:p>
  </w:footnote>
  <w:footnote w:id="2">
    <w:p w14:paraId="74D0D8EE" w14:textId="513211E1" w:rsidR="00E5791D" w:rsidRPr="00936785" w:rsidRDefault="00E5791D" w:rsidP="00936785">
      <w:pPr>
        <w:pStyle w:val="DipnotMetni"/>
      </w:pPr>
      <w:r w:rsidRPr="00406B3C">
        <w:rPr>
          <w:rStyle w:val="DipnotBavurusu"/>
          <w:rFonts w:asciiTheme="minorHAnsi" w:hAnsiTheme="minorHAnsi" w:cs="Arial"/>
          <w:sz w:val="16"/>
          <w:szCs w:val="16"/>
          <w:lang w:val="en-US"/>
        </w:rPr>
        <w:t>**</w:t>
      </w:r>
      <w:r w:rsidR="00936785">
        <w:rPr>
          <w:rFonts w:asciiTheme="minorHAnsi" w:hAnsiTheme="minorHAnsi" w:cs="Arial"/>
          <w:sz w:val="16"/>
          <w:szCs w:val="16"/>
          <w:lang w:val="en-US"/>
        </w:rPr>
        <w:t xml:space="preserve"> Prof. Ozan </w:t>
      </w:r>
      <w:proofErr w:type="spellStart"/>
      <w:r w:rsidR="00936785">
        <w:rPr>
          <w:rFonts w:asciiTheme="minorHAnsi" w:hAnsiTheme="minorHAnsi" w:cs="Arial"/>
          <w:sz w:val="16"/>
          <w:szCs w:val="16"/>
          <w:lang w:val="en-US"/>
        </w:rPr>
        <w:t>Bakış</w:t>
      </w:r>
      <w:proofErr w:type="spellEnd"/>
      <w:r w:rsidR="00936785">
        <w:rPr>
          <w:rFonts w:asciiTheme="minorHAnsi" w:hAnsiTheme="minorHAnsi" w:cs="Arial"/>
          <w:sz w:val="16"/>
          <w:szCs w:val="16"/>
          <w:lang w:val="en-US"/>
        </w:rPr>
        <w:t xml:space="preserve">, </w:t>
      </w:r>
      <w:proofErr w:type="spellStart"/>
      <w:r w:rsidR="00936785">
        <w:rPr>
          <w:rFonts w:asciiTheme="minorHAnsi" w:hAnsiTheme="minorHAnsi" w:cs="Arial"/>
          <w:sz w:val="16"/>
          <w:szCs w:val="16"/>
          <w:lang w:val="en-US"/>
        </w:rPr>
        <w:t>Betam</w:t>
      </w:r>
      <w:proofErr w:type="spellEnd"/>
      <w:r w:rsidRPr="00406B3C">
        <w:rPr>
          <w:rFonts w:asciiTheme="minorHAnsi" w:hAnsiTheme="minorHAnsi" w:cs="Arial"/>
          <w:sz w:val="16"/>
          <w:szCs w:val="16"/>
          <w:lang w:val="en-US"/>
        </w:rPr>
        <w:t>,</w:t>
      </w:r>
      <w:r w:rsidR="00936785" w:rsidRPr="00936785">
        <w:rPr>
          <w:rFonts w:ascii="Palatino Linotype" w:hAnsi="Palatino Linotype"/>
          <w:sz w:val="18"/>
          <w:szCs w:val="18"/>
        </w:rPr>
        <w:t xml:space="preserve"> </w:t>
      </w:r>
      <w:hyperlink r:id="rId2" w:history="1">
        <w:r w:rsidR="00936785" w:rsidRPr="00936785">
          <w:rPr>
            <w:rStyle w:val="Kpr"/>
            <w:rFonts w:asciiTheme="minorHAnsi" w:hAnsiTheme="minorHAnsi" w:cs="Arial"/>
            <w:sz w:val="16"/>
            <w:szCs w:val="16"/>
            <w:lang w:val="en-US"/>
          </w:rPr>
          <w:t>ozan.bakis@eas.bau.edu.tr</w:t>
        </w:r>
      </w:hyperlink>
      <w:r w:rsidR="00936785">
        <w:t xml:space="preserve"> </w:t>
      </w:r>
    </w:p>
  </w:footnote>
  <w:footnote w:id="3">
    <w:p w14:paraId="0B1F1182" w14:textId="4801E4A9" w:rsidR="00E5791D" w:rsidRPr="00406B3C" w:rsidRDefault="00E5791D" w:rsidP="00506A3E">
      <w:pPr>
        <w:pStyle w:val="DipnotMetni"/>
        <w:spacing w:line="276" w:lineRule="auto"/>
        <w:rPr>
          <w:rFonts w:asciiTheme="minorHAnsi" w:hAnsiTheme="minorHAnsi" w:cs="Arial"/>
          <w:sz w:val="16"/>
          <w:szCs w:val="16"/>
          <w:lang w:val="en-US"/>
        </w:rPr>
      </w:pPr>
      <w:r w:rsidRPr="00406B3C">
        <w:rPr>
          <w:rStyle w:val="DipnotBavurusu"/>
          <w:rFonts w:asciiTheme="minorHAnsi" w:hAnsiTheme="minorHAnsi" w:cs="Arial"/>
          <w:sz w:val="16"/>
          <w:szCs w:val="16"/>
          <w:lang w:val="en-US"/>
        </w:rPr>
        <w:t>***</w:t>
      </w:r>
      <w:r w:rsidR="00936785">
        <w:rPr>
          <w:rFonts w:asciiTheme="minorHAnsi" w:hAnsiTheme="minorHAnsi" w:cs="Arial"/>
          <w:sz w:val="16"/>
          <w:szCs w:val="16"/>
          <w:lang w:val="en-US"/>
        </w:rPr>
        <w:t xml:space="preserve"> Hamza </w:t>
      </w:r>
      <w:proofErr w:type="spellStart"/>
      <w:r w:rsidR="00936785">
        <w:rPr>
          <w:rFonts w:asciiTheme="minorHAnsi" w:hAnsiTheme="minorHAnsi" w:cs="Arial"/>
          <w:sz w:val="16"/>
          <w:szCs w:val="16"/>
          <w:lang w:val="en-US"/>
        </w:rPr>
        <w:t>Mutluay</w:t>
      </w:r>
      <w:proofErr w:type="spellEnd"/>
      <w:r w:rsidRPr="00406B3C">
        <w:rPr>
          <w:rFonts w:asciiTheme="minorHAnsi" w:hAnsiTheme="minorHAnsi" w:cs="Arial"/>
          <w:sz w:val="16"/>
          <w:szCs w:val="16"/>
          <w:lang w:val="en-US"/>
        </w:rPr>
        <w:t xml:space="preserve">, </w:t>
      </w:r>
      <w:proofErr w:type="spellStart"/>
      <w:r w:rsidRPr="00406B3C">
        <w:rPr>
          <w:rFonts w:asciiTheme="minorHAnsi" w:hAnsiTheme="minorHAnsi" w:cs="Arial"/>
          <w:sz w:val="16"/>
          <w:szCs w:val="16"/>
          <w:lang w:val="en-US"/>
        </w:rPr>
        <w:t>Betam</w:t>
      </w:r>
      <w:proofErr w:type="spellEnd"/>
      <w:r w:rsidRPr="00406B3C">
        <w:rPr>
          <w:rFonts w:asciiTheme="minorHAnsi" w:hAnsiTheme="minorHAnsi" w:cs="Arial"/>
          <w:sz w:val="16"/>
          <w:szCs w:val="16"/>
          <w:lang w:val="en-US"/>
        </w:rPr>
        <w:t xml:space="preserve">, </w:t>
      </w:r>
      <w:hyperlink r:id="rId3" w:history="1">
        <w:r w:rsidR="00936785" w:rsidRPr="00495153">
          <w:rPr>
            <w:rStyle w:val="Kpr"/>
            <w:rFonts w:asciiTheme="minorHAnsi" w:hAnsiTheme="minorHAnsi" w:cs="Arial"/>
            <w:sz w:val="16"/>
            <w:szCs w:val="16"/>
            <w:lang w:val="en-US"/>
          </w:rPr>
          <w:t>hamza.mutluay@eas.bau.edu.tr</w:t>
        </w:r>
      </w:hyperlink>
    </w:p>
    <w:p w14:paraId="41EF6332" w14:textId="77777777" w:rsidR="00E5791D" w:rsidRDefault="00E5791D" w:rsidP="00C47423">
      <w:pPr>
        <w:pStyle w:val="DipnotMetni"/>
      </w:pPr>
    </w:p>
  </w:footnote>
  <w:footnote w:id="4">
    <w:p w14:paraId="35A941A2" w14:textId="1E60593E" w:rsidR="00FD3305" w:rsidRDefault="00FD3305">
      <w:pPr>
        <w:pStyle w:val="DipnotMetni"/>
      </w:pPr>
      <w:r>
        <w:rPr>
          <w:rStyle w:val="DipnotBavurusu"/>
        </w:rPr>
        <w:footnoteRef/>
      </w:r>
      <w:r>
        <w:t xml:space="preserve"> </w:t>
      </w:r>
      <w:r w:rsidRPr="007639DF">
        <w:rPr>
          <w:rFonts w:ascii="Arial" w:hAnsi="Arial" w:cs="Arial"/>
          <w:sz w:val="18"/>
        </w:rPr>
        <w:t>Since 2022 has not been completed, the annual inflation rate is unavailable. Therefore, to calculate real minimum wage for June 2022, the price index for June 2003 was taken as a basis. The same method was followed for real minimum wage calculations in other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1F29" w14:textId="77777777" w:rsidR="00E5791D" w:rsidRDefault="00E579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1A83" w14:textId="77777777" w:rsidR="00E5791D" w:rsidRDefault="00E579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87F4" w14:textId="77777777" w:rsidR="00E5791D" w:rsidRDefault="00E579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152B97"/>
    <w:multiLevelType w:val="hybridMultilevel"/>
    <w:tmpl w:val="28CA5C2E"/>
    <w:lvl w:ilvl="0" w:tplc="E28002DC">
      <w:numFmt w:val="bullet"/>
      <w:lvlText w:val=""/>
      <w:lvlJc w:val="left"/>
      <w:pPr>
        <w:ind w:left="720" w:hanging="360"/>
      </w:pPr>
      <w:rPr>
        <w:rFonts w:ascii="Wingdings" w:eastAsia="Times New Roman" w:hAnsi="Wingdings" w:cs="Times New Roman" w:hint="default"/>
        <w:b/>
        <w:color w:val="FFFFFF"/>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963019"/>
    <w:multiLevelType w:val="hybridMultilevel"/>
    <w:tmpl w:val="F5E869BC"/>
    <w:lvl w:ilvl="0" w:tplc="41CEF70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9086E53"/>
    <w:multiLevelType w:val="hybridMultilevel"/>
    <w:tmpl w:val="817A8F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1557812153">
    <w:abstractNumId w:val="0"/>
  </w:num>
  <w:num w:numId="2" w16cid:durableId="1006636184">
    <w:abstractNumId w:val="4"/>
  </w:num>
  <w:num w:numId="3" w16cid:durableId="1268007425">
    <w:abstractNumId w:val="1"/>
  </w:num>
  <w:num w:numId="4" w16cid:durableId="721095370">
    <w:abstractNumId w:val="3"/>
  </w:num>
  <w:num w:numId="5" w16cid:durableId="31032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3D06"/>
    <w:rsid w:val="00004285"/>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D26"/>
    <w:rsid w:val="00032FCF"/>
    <w:rsid w:val="000331FA"/>
    <w:rsid w:val="00034681"/>
    <w:rsid w:val="000358D4"/>
    <w:rsid w:val="00035C79"/>
    <w:rsid w:val="00035FEC"/>
    <w:rsid w:val="000372FD"/>
    <w:rsid w:val="00037D6F"/>
    <w:rsid w:val="000406C2"/>
    <w:rsid w:val="00040A02"/>
    <w:rsid w:val="000412A0"/>
    <w:rsid w:val="00041337"/>
    <w:rsid w:val="000413E6"/>
    <w:rsid w:val="000415D9"/>
    <w:rsid w:val="00041A8E"/>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501"/>
    <w:rsid w:val="000506DB"/>
    <w:rsid w:val="00050813"/>
    <w:rsid w:val="00050CCD"/>
    <w:rsid w:val="00050F2A"/>
    <w:rsid w:val="00052333"/>
    <w:rsid w:val="00052CD0"/>
    <w:rsid w:val="00052F2E"/>
    <w:rsid w:val="0005303D"/>
    <w:rsid w:val="000534E3"/>
    <w:rsid w:val="000538B9"/>
    <w:rsid w:val="00053F64"/>
    <w:rsid w:val="0005489C"/>
    <w:rsid w:val="000548F2"/>
    <w:rsid w:val="00054A9A"/>
    <w:rsid w:val="000555A7"/>
    <w:rsid w:val="000556E7"/>
    <w:rsid w:val="0005590A"/>
    <w:rsid w:val="00055DF3"/>
    <w:rsid w:val="000562EC"/>
    <w:rsid w:val="00057B0D"/>
    <w:rsid w:val="00057C22"/>
    <w:rsid w:val="000605C4"/>
    <w:rsid w:val="00061E0B"/>
    <w:rsid w:val="0006219F"/>
    <w:rsid w:val="000621B1"/>
    <w:rsid w:val="000622B4"/>
    <w:rsid w:val="00062314"/>
    <w:rsid w:val="000628A2"/>
    <w:rsid w:val="000629AF"/>
    <w:rsid w:val="00063070"/>
    <w:rsid w:val="0006309E"/>
    <w:rsid w:val="000632AF"/>
    <w:rsid w:val="00063601"/>
    <w:rsid w:val="00064968"/>
    <w:rsid w:val="00064FED"/>
    <w:rsid w:val="00065707"/>
    <w:rsid w:val="00065B4B"/>
    <w:rsid w:val="00065EBC"/>
    <w:rsid w:val="00066A4C"/>
    <w:rsid w:val="0006721D"/>
    <w:rsid w:val="00067272"/>
    <w:rsid w:val="00070162"/>
    <w:rsid w:val="0007021F"/>
    <w:rsid w:val="00070C1C"/>
    <w:rsid w:val="00070C33"/>
    <w:rsid w:val="0007100A"/>
    <w:rsid w:val="00071691"/>
    <w:rsid w:val="00071975"/>
    <w:rsid w:val="00072691"/>
    <w:rsid w:val="0007284B"/>
    <w:rsid w:val="00072945"/>
    <w:rsid w:val="000729AB"/>
    <w:rsid w:val="00072C90"/>
    <w:rsid w:val="00072CD6"/>
    <w:rsid w:val="000730C1"/>
    <w:rsid w:val="000733B2"/>
    <w:rsid w:val="00073AB7"/>
    <w:rsid w:val="000743ED"/>
    <w:rsid w:val="00074625"/>
    <w:rsid w:val="000752F7"/>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060"/>
    <w:rsid w:val="00084A53"/>
    <w:rsid w:val="00084B32"/>
    <w:rsid w:val="00084C30"/>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A62"/>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443B"/>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73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6D32"/>
    <w:rsid w:val="000C7145"/>
    <w:rsid w:val="000C7309"/>
    <w:rsid w:val="000C792A"/>
    <w:rsid w:val="000C7BA0"/>
    <w:rsid w:val="000D1454"/>
    <w:rsid w:val="000D17F0"/>
    <w:rsid w:val="000D183D"/>
    <w:rsid w:val="000D2238"/>
    <w:rsid w:val="000D2614"/>
    <w:rsid w:val="000D2CDB"/>
    <w:rsid w:val="000D4023"/>
    <w:rsid w:val="000D4567"/>
    <w:rsid w:val="000D4BEC"/>
    <w:rsid w:val="000D4CE0"/>
    <w:rsid w:val="000D4D7D"/>
    <w:rsid w:val="000D5420"/>
    <w:rsid w:val="000D583D"/>
    <w:rsid w:val="000D5B80"/>
    <w:rsid w:val="000D5E76"/>
    <w:rsid w:val="000D5EBC"/>
    <w:rsid w:val="000D6063"/>
    <w:rsid w:val="000D613E"/>
    <w:rsid w:val="000D6257"/>
    <w:rsid w:val="000D6BD9"/>
    <w:rsid w:val="000D6E93"/>
    <w:rsid w:val="000D7897"/>
    <w:rsid w:val="000E0317"/>
    <w:rsid w:val="000E0E80"/>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137"/>
    <w:rsid w:val="000E5CF3"/>
    <w:rsid w:val="000E6183"/>
    <w:rsid w:val="000E619E"/>
    <w:rsid w:val="000E6ADB"/>
    <w:rsid w:val="000E6FF5"/>
    <w:rsid w:val="000E764D"/>
    <w:rsid w:val="000E76D9"/>
    <w:rsid w:val="000E78EE"/>
    <w:rsid w:val="000E7A83"/>
    <w:rsid w:val="000E7B4F"/>
    <w:rsid w:val="000F003B"/>
    <w:rsid w:val="000F04F0"/>
    <w:rsid w:val="000F05DD"/>
    <w:rsid w:val="000F0D76"/>
    <w:rsid w:val="000F1442"/>
    <w:rsid w:val="000F1924"/>
    <w:rsid w:val="000F1E73"/>
    <w:rsid w:val="000F1ECE"/>
    <w:rsid w:val="000F316E"/>
    <w:rsid w:val="000F3ADE"/>
    <w:rsid w:val="000F3F3B"/>
    <w:rsid w:val="000F43A5"/>
    <w:rsid w:val="000F51AF"/>
    <w:rsid w:val="000F5265"/>
    <w:rsid w:val="000F5492"/>
    <w:rsid w:val="000F58A1"/>
    <w:rsid w:val="000F594F"/>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917"/>
    <w:rsid w:val="00105F40"/>
    <w:rsid w:val="00105FB8"/>
    <w:rsid w:val="0010623A"/>
    <w:rsid w:val="00106673"/>
    <w:rsid w:val="00106680"/>
    <w:rsid w:val="00107938"/>
    <w:rsid w:val="001079E6"/>
    <w:rsid w:val="00107AF0"/>
    <w:rsid w:val="00107B95"/>
    <w:rsid w:val="001102FC"/>
    <w:rsid w:val="001103C0"/>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67BE"/>
    <w:rsid w:val="00117344"/>
    <w:rsid w:val="001176C7"/>
    <w:rsid w:val="00117AA9"/>
    <w:rsid w:val="00117ADB"/>
    <w:rsid w:val="00117FA8"/>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698"/>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39A"/>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788"/>
    <w:rsid w:val="00145907"/>
    <w:rsid w:val="001459B1"/>
    <w:rsid w:val="00145BA9"/>
    <w:rsid w:val="00145BAD"/>
    <w:rsid w:val="001462F5"/>
    <w:rsid w:val="0014632F"/>
    <w:rsid w:val="001468BA"/>
    <w:rsid w:val="00146C31"/>
    <w:rsid w:val="00147B5D"/>
    <w:rsid w:val="00147FAF"/>
    <w:rsid w:val="0015011D"/>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7B"/>
    <w:rsid w:val="001545E7"/>
    <w:rsid w:val="001549CD"/>
    <w:rsid w:val="00154C58"/>
    <w:rsid w:val="00155037"/>
    <w:rsid w:val="0015519B"/>
    <w:rsid w:val="00155452"/>
    <w:rsid w:val="001562F3"/>
    <w:rsid w:val="00156446"/>
    <w:rsid w:val="001567AA"/>
    <w:rsid w:val="00156BBA"/>
    <w:rsid w:val="00156DE1"/>
    <w:rsid w:val="001570DD"/>
    <w:rsid w:val="001571FC"/>
    <w:rsid w:val="001602A0"/>
    <w:rsid w:val="0016036E"/>
    <w:rsid w:val="0016041A"/>
    <w:rsid w:val="001609B2"/>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EF2"/>
    <w:rsid w:val="00166F3F"/>
    <w:rsid w:val="001670E5"/>
    <w:rsid w:val="001672C0"/>
    <w:rsid w:val="00167C1A"/>
    <w:rsid w:val="00167CB2"/>
    <w:rsid w:val="00167E23"/>
    <w:rsid w:val="00167EEC"/>
    <w:rsid w:val="00170103"/>
    <w:rsid w:val="00170634"/>
    <w:rsid w:val="00170951"/>
    <w:rsid w:val="00170BDE"/>
    <w:rsid w:val="00170EAE"/>
    <w:rsid w:val="00170FA4"/>
    <w:rsid w:val="00171080"/>
    <w:rsid w:val="0017122E"/>
    <w:rsid w:val="001713C3"/>
    <w:rsid w:val="00172569"/>
    <w:rsid w:val="001728FD"/>
    <w:rsid w:val="00172BC6"/>
    <w:rsid w:val="00172C54"/>
    <w:rsid w:val="00172CB1"/>
    <w:rsid w:val="00173095"/>
    <w:rsid w:val="0017443E"/>
    <w:rsid w:val="001746B3"/>
    <w:rsid w:val="00174B28"/>
    <w:rsid w:val="00174F10"/>
    <w:rsid w:val="001750F2"/>
    <w:rsid w:val="00175309"/>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1E98"/>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AD3"/>
    <w:rsid w:val="001B0E68"/>
    <w:rsid w:val="001B1A4B"/>
    <w:rsid w:val="001B2B8F"/>
    <w:rsid w:val="001B2CEC"/>
    <w:rsid w:val="001B3891"/>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5D4"/>
    <w:rsid w:val="001C2AE3"/>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39F5"/>
    <w:rsid w:val="001D416D"/>
    <w:rsid w:val="001D4180"/>
    <w:rsid w:val="001D4235"/>
    <w:rsid w:val="001D428A"/>
    <w:rsid w:val="001D4564"/>
    <w:rsid w:val="001D46BE"/>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1DFE"/>
    <w:rsid w:val="001E2127"/>
    <w:rsid w:val="001E3115"/>
    <w:rsid w:val="001E3E44"/>
    <w:rsid w:val="001E41AF"/>
    <w:rsid w:val="001E50AA"/>
    <w:rsid w:val="001E58BD"/>
    <w:rsid w:val="001E5C49"/>
    <w:rsid w:val="001E5D6E"/>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5C9"/>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07"/>
    <w:rsid w:val="00203783"/>
    <w:rsid w:val="002038E7"/>
    <w:rsid w:val="00203A92"/>
    <w:rsid w:val="00203D40"/>
    <w:rsid w:val="00204ED5"/>
    <w:rsid w:val="00205088"/>
    <w:rsid w:val="00205DFC"/>
    <w:rsid w:val="00205E88"/>
    <w:rsid w:val="0020640A"/>
    <w:rsid w:val="002065EE"/>
    <w:rsid w:val="00206C9C"/>
    <w:rsid w:val="00206DCD"/>
    <w:rsid w:val="002071E6"/>
    <w:rsid w:val="002074B3"/>
    <w:rsid w:val="00207B3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971"/>
    <w:rsid w:val="00216BE7"/>
    <w:rsid w:val="00216D1F"/>
    <w:rsid w:val="00217016"/>
    <w:rsid w:val="00217CB0"/>
    <w:rsid w:val="00217CDD"/>
    <w:rsid w:val="002204D2"/>
    <w:rsid w:val="002206B4"/>
    <w:rsid w:val="00220DA1"/>
    <w:rsid w:val="00220E2F"/>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35"/>
    <w:rsid w:val="00230DE3"/>
    <w:rsid w:val="0023168A"/>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48BD"/>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6CCD"/>
    <w:rsid w:val="00257036"/>
    <w:rsid w:val="00257842"/>
    <w:rsid w:val="00257FDD"/>
    <w:rsid w:val="002608EE"/>
    <w:rsid w:val="00260ACE"/>
    <w:rsid w:val="00260B29"/>
    <w:rsid w:val="00260EBB"/>
    <w:rsid w:val="002612D7"/>
    <w:rsid w:val="0026144F"/>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5B5E"/>
    <w:rsid w:val="00266ACE"/>
    <w:rsid w:val="00266D29"/>
    <w:rsid w:val="0026702F"/>
    <w:rsid w:val="00267455"/>
    <w:rsid w:val="002677FC"/>
    <w:rsid w:val="00267F1C"/>
    <w:rsid w:val="00270966"/>
    <w:rsid w:val="002709A4"/>
    <w:rsid w:val="002713BB"/>
    <w:rsid w:val="00271802"/>
    <w:rsid w:val="0027204A"/>
    <w:rsid w:val="002720BA"/>
    <w:rsid w:val="00272935"/>
    <w:rsid w:val="00272979"/>
    <w:rsid w:val="0027312B"/>
    <w:rsid w:val="002744FD"/>
    <w:rsid w:val="00274D46"/>
    <w:rsid w:val="00274DEC"/>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0EF2"/>
    <w:rsid w:val="0028119F"/>
    <w:rsid w:val="00281EE8"/>
    <w:rsid w:val="0028200D"/>
    <w:rsid w:val="00282383"/>
    <w:rsid w:val="002823DF"/>
    <w:rsid w:val="00282515"/>
    <w:rsid w:val="002825A9"/>
    <w:rsid w:val="0028317C"/>
    <w:rsid w:val="00283CDA"/>
    <w:rsid w:val="00283EF9"/>
    <w:rsid w:val="0028435F"/>
    <w:rsid w:val="0028564F"/>
    <w:rsid w:val="002859FB"/>
    <w:rsid w:val="00285ED5"/>
    <w:rsid w:val="00286BC4"/>
    <w:rsid w:val="002873C5"/>
    <w:rsid w:val="002878E7"/>
    <w:rsid w:val="002900F0"/>
    <w:rsid w:val="002907A2"/>
    <w:rsid w:val="0029089C"/>
    <w:rsid w:val="00290F0F"/>
    <w:rsid w:val="00291544"/>
    <w:rsid w:val="00291B4F"/>
    <w:rsid w:val="00291DEA"/>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4B6"/>
    <w:rsid w:val="002A099D"/>
    <w:rsid w:val="002A1488"/>
    <w:rsid w:val="002A188F"/>
    <w:rsid w:val="002A1F4D"/>
    <w:rsid w:val="002A2072"/>
    <w:rsid w:val="002A29A6"/>
    <w:rsid w:val="002A2A80"/>
    <w:rsid w:val="002A2E72"/>
    <w:rsid w:val="002A2FE4"/>
    <w:rsid w:val="002A3371"/>
    <w:rsid w:val="002A36AB"/>
    <w:rsid w:val="002A3996"/>
    <w:rsid w:val="002A411C"/>
    <w:rsid w:val="002A41D5"/>
    <w:rsid w:val="002A48A5"/>
    <w:rsid w:val="002A49D9"/>
    <w:rsid w:val="002A5877"/>
    <w:rsid w:val="002A5BF6"/>
    <w:rsid w:val="002A613B"/>
    <w:rsid w:val="002A6697"/>
    <w:rsid w:val="002A6ABF"/>
    <w:rsid w:val="002A7799"/>
    <w:rsid w:val="002A7C09"/>
    <w:rsid w:val="002A7D5C"/>
    <w:rsid w:val="002A7E57"/>
    <w:rsid w:val="002B0B46"/>
    <w:rsid w:val="002B1B4B"/>
    <w:rsid w:val="002B2661"/>
    <w:rsid w:val="002B28C0"/>
    <w:rsid w:val="002B2A2F"/>
    <w:rsid w:val="002B2A35"/>
    <w:rsid w:val="002B2CC4"/>
    <w:rsid w:val="002B2EF7"/>
    <w:rsid w:val="002B3267"/>
    <w:rsid w:val="002B3348"/>
    <w:rsid w:val="002B3E53"/>
    <w:rsid w:val="002B3F74"/>
    <w:rsid w:val="002B42C1"/>
    <w:rsid w:val="002B4454"/>
    <w:rsid w:val="002B446E"/>
    <w:rsid w:val="002B469A"/>
    <w:rsid w:val="002B51AE"/>
    <w:rsid w:val="002B5240"/>
    <w:rsid w:val="002B5EED"/>
    <w:rsid w:val="002B6496"/>
    <w:rsid w:val="002B6A95"/>
    <w:rsid w:val="002B6C6D"/>
    <w:rsid w:val="002B7426"/>
    <w:rsid w:val="002B7485"/>
    <w:rsid w:val="002C015E"/>
    <w:rsid w:val="002C073D"/>
    <w:rsid w:val="002C16DE"/>
    <w:rsid w:val="002C1B90"/>
    <w:rsid w:val="002C1B98"/>
    <w:rsid w:val="002C1BAD"/>
    <w:rsid w:val="002C1E31"/>
    <w:rsid w:val="002C22DB"/>
    <w:rsid w:val="002C22F5"/>
    <w:rsid w:val="002C2330"/>
    <w:rsid w:val="002C252D"/>
    <w:rsid w:val="002C2EEF"/>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9D1"/>
    <w:rsid w:val="002D1AF9"/>
    <w:rsid w:val="002D1CDB"/>
    <w:rsid w:val="002D1D40"/>
    <w:rsid w:val="002D205D"/>
    <w:rsid w:val="002D25E0"/>
    <w:rsid w:val="002D26D6"/>
    <w:rsid w:val="002D29ED"/>
    <w:rsid w:val="002D2E09"/>
    <w:rsid w:val="002D31C7"/>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5D5D"/>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730"/>
    <w:rsid w:val="002F5849"/>
    <w:rsid w:val="002F654E"/>
    <w:rsid w:val="002F67E1"/>
    <w:rsid w:val="002F6D47"/>
    <w:rsid w:val="002F7676"/>
    <w:rsid w:val="003000F7"/>
    <w:rsid w:val="003007CC"/>
    <w:rsid w:val="00300891"/>
    <w:rsid w:val="00300E5C"/>
    <w:rsid w:val="00300FC2"/>
    <w:rsid w:val="003011B1"/>
    <w:rsid w:val="00302292"/>
    <w:rsid w:val="00302531"/>
    <w:rsid w:val="00302539"/>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4EBD"/>
    <w:rsid w:val="00325907"/>
    <w:rsid w:val="00325A8C"/>
    <w:rsid w:val="00326237"/>
    <w:rsid w:val="00326838"/>
    <w:rsid w:val="00326A2F"/>
    <w:rsid w:val="00326BDD"/>
    <w:rsid w:val="00330575"/>
    <w:rsid w:val="00330799"/>
    <w:rsid w:val="0033087D"/>
    <w:rsid w:val="003308E3"/>
    <w:rsid w:val="00331106"/>
    <w:rsid w:val="00331482"/>
    <w:rsid w:val="00331647"/>
    <w:rsid w:val="00331729"/>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2C14"/>
    <w:rsid w:val="00363B4F"/>
    <w:rsid w:val="00363FDB"/>
    <w:rsid w:val="00363FFB"/>
    <w:rsid w:val="0036478C"/>
    <w:rsid w:val="00364F38"/>
    <w:rsid w:val="00365DFC"/>
    <w:rsid w:val="0036629D"/>
    <w:rsid w:val="00366959"/>
    <w:rsid w:val="00366A27"/>
    <w:rsid w:val="00366BE3"/>
    <w:rsid w:val="00366EE9"/>
    <w:rsid w:val="003677B2"/>
    <w:rsid w:val="00367DF6"/>
    <w:rsid w:val="003700CE"/>
    <w:rsid w:val="00370340"/>
    <w:rsid w:val="003704F6"/>
    <w:rsid w:val="00370592"/>
    <w:rsid w:val="0037189B"/>
    <w:rsid w:val="003718AD"/>
    <w:rsid w:val="00371976"/>
    <w:rsid w:val="00371AE9"/>
    <w:rsid w:val="00371F91"/>
    <w:rsid w:val="00372579"/>
    <w:rsid w:val="00372B86"/>
    <w:rsid w:val="00372E66"/>
    <w:rsid w:val="003736D1"/>
    <w:rsid w:val="0037415C"/>
    <w:rsid w:val="00374467"/>
    <w:rsid w:val="003748BE"/>
    <w:rsid w:val="00374EC4"/>
    <w:rsid w:val="0037523E"/>
    <w:rsid w:val="00375A47"/>
    <w:rsid w:val="00375B42"/>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1FFC"/>
    <w:rsid w:val="00382196"/>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2C1C"/>
    <w:rsid w:val="00393048"/>
    <w:rsid w:val="0039385D"/>
    <w:rsid w:val="00393B99"/>
    <w:rsid w:val="00393EAA"/>
    <w:rsid w:val="0039401A"/>
    <w:rsid w:val="0039408E"/>
    <w:rsid w:val="0039431B"/>
    <w:rsid w:val="00394766"/>
    <w:rsid w:val="00394A44"/>
    <w:rsid w:val="00394AEA"/>
    <w:rsid w:val="00394B91"/>
    <w:rsid w:val="00395404"/>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1F72"/>
    <w:rsid w:val="003B20A5"/>
    <w:rsid w:val="003B2227"/>
    <w:rsid w:val="003B23E4"/>
    <w:rsid w:val="003B3336"/>
    <w:rsid w:val="003B3D5A"/>
    <w:rsid w:val="003B3F6F"/>
    <w:rsid w:val="003B40F7"/>
    <w:rsid w:val="003B4813"/>
    <w:rsid w:val="003B484C"/>
    <w:rsid w:val="003B4891"/>
    <w:rsid w:val="003B4CB0"/>
    <w:rsid w:val="003B4E59"/>
    <w:rsid w:val="003B553C"/>
    <w:rsid w:val="003B5552"/>
    <w:rsid w:val="003B5C97"/>
    <w:rsid w:val="003B5F22"/>
    <w:rsid w:val="003B62F1"/>
    <w:rsid w:val="003B6CA6"/>
    <w:rsid w:val="003B7A5D"/>
    <w:rsid w:val="003B7BDF"/>
    <w:rsid w:val="003B7CB4"/>
    <w:rsid w:val="003B7D55"/>
    <w:rsid w:val="003B7FA9"/>
    <w:rsid w:val="003C0BF0"/>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232"/>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2F"/>
    <w:rsid w:val="003F5141"/>
    <w:rsid w:val="003F51FE"/>
    <w:rsid w:val="003F5B34"/>
    <w:rsid w:val="003F5D0A"/>
    <w:rsid w:val="003F5E38"/>
    <w:rsid w:val="003F5F46"/>
    <w:rsid w:val="003F5FA4"/>
    <w:rsid w:val="003F6086"/>
    <w:rsid w:val="003F6806"/>
    <w:rsid w:val="003F71F2"/>
    <w:rsid w:val="003F7652"/>
    <w:rsid w:val="003F7CAF"/>
    <w:rsid w:val="0040063D"/>
    <w:rsid w:val="004010D1"/>
    <w:rsid w:val="004011F9"/>
    <w:rsid w:val="004012FC"/>
    <w:rsid w:val="00401F83"/>
    <w:rsid w:val="00401FB1"/>
    <w:rsid w:val="00402335"/>
    <w:rsid w:val="00402396"/>
    <w:rsid w:val="00402EC1"/>
    <w:rsid w:val="004030E6"/>
    <w:rsid w:val="00403A80"/>
    <w:rsid w:val="0040419C"/>
    <w:rsid w:val="004041CA"/>
    <w:rsid w:val="0040435C"/>
    <w:rsid w:val="00404C20"/>
    <w:rsid w:val="00404FAA"/>
    <w:rsid w:val="004060C8"/>
    <w:rsid w:val="004064A7"/>
    <w:rsid w:val="00406781"/>
    <w:rsid w:val="004069A0"/>
    <w:rsid w:val="00406B3C"/>
    <w:rsid w:val="00407062"/>
    <w:rsid w:val="0040738B"/>
    <w:rsid w:val="00407FD8"/>
    <w:rsid w:val="00410134"/>
    <w:rsid w:val="0041039A"/>
    <w:rsid w:val="00411A19"/>
    <w:rsid w:val="00411E81"/>
    <w:rsid w:val="0041252B"/>
    <w:rsid w:val="00412E50"/>
    <w:rsid w:val="004136DA"/>
    <w:rsid w:val="00413814"/>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84C"/>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573"/>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298B"/>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0F33"/>
    <w:rsid w:val="004610F9"/>
    <w:rsid w:val="00461166"/>
    <w:rsid w:val="00461601"/>
    <w:rsid w:val="004616FE"/>
    <w:rsid w:val="004621C8"/>
    <w:rsid w:val="004623C8"/>
    <w:rsid w:val="004625F7"/>
    <w:rsid w:val="00462F37"/>
    <w:rsid w:val="004631E2"/>
    <w:rsid w:val="00463CE0"/>
    <w:rsid w:val="0046435F"/>
    <w:rsid w:val="004643A6"/>
    <w:rsid w:val="00465DB9"/>
    <w:rsid w:val="00465E94"/>
    <w:rsid w:val="0046669F"/>
    <w:rsid w:val="0046686D"/>
    <w:rsid w:val="00466924"/>
    <w:rsid w:val="0046692D"/>
    <w:rsid w:val="00466C5B"/>
    <w:rsid w:val="00467368"/>
    <w:rsid w:val="0046771E"/>
    <w:rsid w:val="00467CA2"/>
    <w:rsid w:val="00470100"/>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CDA"/>
    <w:rsid w:val="00475EB5"/>
    <w:rsid w:val="00475ED1"/>
    <w:rsid w:val="00476142"/>
    <w:rsid w:val="00476774"/>
    <w:rsid w:val="004767F6"/>
    <w:rsid w:val="0047742F"/>
    <w:rsid w:val="00477796"/>
    <w:rsid w:val="00477DA4"/>
    <w:rsid w:val="00477F6F"/>
    <w:rsid w:val="0048026B"/>
    <w:rsid w:val="004805C9"/>
    <w:rsid w:val="0048065F"/>
    <w:rsid w:val="004808E7"/>
    <w:rsid w:val="00480970"/>
    <w:rsid w:val="004809EB"/>
    <w:rsid w:val="0048265B"/>
    <w:rsid w:val="00483E55"/>
    <w:rsid w:val="0048402E"/>
    <w:rsid w:val="00484334"/>
    <w:rsid w:val="004847EE"/>
    <w:rsid w:val="00484E28"/>
    <w:rsid w:val="00486054"/>
    <w:rsid w:val="00486374"/>
    <w:rsid w:val="00486976"/>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491C"/>
    <w:rsid w:val="004A519F"/>
    <w:rsid w:val="004A56CB"/>
    <w:rsid w:val="004A598A"/>
    <w:rsid w:val="004A5B29"/>
    <w:rsid w:val="004A5CAC"/>
    <w:rsid w:val="004A6698"/>
    <w:rsid w:val="004A70E9"/>
    <w:rsid w:val="004A7959"/>
    <w:rsid w:val="004A7C0D"/>
    <w:rsid w:val="004A7C40"/>
    <w:rsid w:val="004A7EC4"/>
    <w:rsid w:val="004B021E"/>
    <w:rsid w:val="004B0E53"/>
    <w:rsid w:val="004B1AD0"/>
    <w:rsid w:val="004B1B02"/>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E0036"/>
    <w:rsid w:val="004E03DE"/>
    <w:rsid w:val="004E0584"/>
    <w:rsid w:val="004E0956"/>
    <w:rsid w:val="004E0AB7"/>
    <w:rsid w:val="004E0EA5"/>
    <w:rsid w:val="004E1700"/>
    <w:rsid w:val="004E1885"/>
    <w:rsid w:val="004E1CFE"/>
    <w:rsid w:val="004E24A7"/>
    <w:rsid w:val="004E2556"/>
    <w:rsid w:val="004E2C25"/>
    <w:rsid w:val="004E31A6"/>
    <w:rsid w:val="004E34B2"/>
    <w:rsid w:val="004E3563"/>
    <w:rsid w:val="004E35E0"/>
    <w:rsid w:val="004E3A24"/>
    <w:rsid w:val="004E5540"/>
    <w:rsid w:val="004E55B2"/>
    <w:rsid w:val="004E576D"/>
    <w:rsid w:val="004E5F73"/>
    <w:rsid w:val="004E62FB"/>
    <w:rsid w:val="004E68D7"/>
    <w:rsid w:val="004E6DDE"/>
    <w:rsid w:val="004E6DDF"/>
    <w:rsid w:val="004E7026"/>
    <w:rsid w:val="004E7746"/>
    <w:rsid w:val="004F0313"/>
    <w:rsid w:val="004F0C9A"/>
    <w:rsid w:val="004F1684"/>
    <w:rsid w:val="004F1A4B"/>
    <w:rsid w:val="004F1ADD"/>
    <w:rsid w:val="004F1DD1"/>
    <w:rsid w:val="004F1F08"/>
    <w:rsid w:val="004F1F5F"/>
    <w:rsid w:val="004F200A"/>
    <w:rsid w:val="004F24B0"/>
    <w:rsid w:val="004F2831"/>
    <w:rsid w:val="004F3563"/>
    <w:rsid w:val="004F35BC"/>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A3E"/>
    <w:rsid w:val="00506D91"/>
    <w:rsid w:val="00506FA9"/>
    <w:rsid w:val="0050761E"/>
    <w:rsid w:val="005077DB"/>
    <w:rsid w:val="005109D9"/>
    <w:rsid w:val="005112A1"/>
    <w:rsid w:val="0051167B"/>
    <w:rsid w:val="005116B9"/>
    <w:rsid w:val="00511849"/>
    <w:rsid w:val="00511939"/>
    <w:rsid w:val="00511D46"/>
    <w:rsid w:val="00511E31"/>
    <w:rsid w:val="00511EEF"/>
    <w:rsid w:val="00511F24"/>
    <w:rsid w:val="005134C4"/>
    <w:rsid w:val="005134DD"/>
    <w:rsid w:val="005134E5"/>
    <w:rsid w:val="005135EA"/>
    <w:rsid w:val="00513CF1"/>
    <w:rsid w:val="00514541"/>
    <w:rsid w:val="005146AA"/>
    <w:rsid w:val="005146F7"/>
    <w:rsid w:val="00514824"/>
    <w:rsid w:val="005149A9"/>
    <w:rsid w:val="00514A4D"/>
    <w:rsid w:val="00514D6B"/>
    <w:rsid w:val="005154B6"/>
    <w:rsid w:val="00515642"/>
    <w:rsid w:val="00516221"/>
    <w:rsid w:val="00516305"/>
    <w:rsid w:val="005169AA"/>
    <w:rsid w:val="00516A85"/>
    <w:rsid w:val="00517AF1"/>
    <w:rsid w:val="005202BF"/>
    <w:rsid w:val="00520459"/>
    <w:rsid w:val="0052057B"/>
    <w:rsid w:val="00520D03"/>
    <w:rsid w:val="00520D82"/>
    <w:rsid w:val="00520FFB"/>
    <w:rsid w:val="005223DF"/>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27E3A"/>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2C9A"/>
    <w:rsid w:val="00543870"/>
    <w:rsid w:val="00543D99"/>
    <w:rsid w:val="00543EC1"/>
    <w:rsid w:val="005444EB"/>
    <w:rsid w:val="005446CB"/>
    <w:rsid w:val="005448AB"/>
    <w:rsid w:val="005449DB"/>
    <w:rsid w:val="00544D76"/>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82B"/>
    <w:rsid w:val="00557CC4"/>
    <w:rsid w:val="00557E51"/>
    <w:rsid w:val="0056049F"/>
    <w:rsid w:val="005606DC"/>
    <w:rsid w:val="0056110B"/>
    <w:rsid w:val="00561F70"/>
    <w:rsid w:val="005624F0"/>
    <w:rsid w:val="00563BAF"/>
    <w:rsid w:val="00563CA0"/>
    <w:rsid w:val="005640F7"/>
    <w:rsid w:val="005642E6"/>
    <w:rsid w:val="0056495C"/>
    <w:rsid w:val="00564AD6"/>
    <w:rsid w:val="00564B4F"/>
    <w:rsid w:val="00565729"/>
    <w:rsid w:val="0056577B"/>
    <w:rsid w:val="00566206"/>
    <w:rsid w:val="00566667"/>
    <w:rsid w:val="00566734"/>
    <w:rsid w:val="00566ADC"/>
    <w:rsid w:val="00567E2D"/>
    <w:rsid w:val="0057043F"/>
    <w:rsid w:val="005705AA"/>
    <w:rsid w:val="0057090E"/>
    <w:rsid w:val="00570933"/>
    <w:rsid w:val="00571209"/>
    <w:rsid w:val="005713C8"/>
    <w:rsid w:val="0057191C"/>
    <w:rsid w:val="00572324"/>
    <w:rsid w:val="00572554"/>
    <w:rsid w:val="0057290B"/>
    <w:rsid w:val="00572F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77F3E"/>
    <w:rsid w:val="005812E8"/>
    <w:rsid w:val="005818A7"/>
    <w:rsid w:val="00582007"/>
    <w:rsid w:val="00582131"/>
    <w:rsid w:val="005822F6"/>
    <w:rsid w:val="00582475"/>
    <w:rsid w:val="005836A9"/>
    <w:rsid w:val="00583D2A"/>
    <w:rsid w:val="00583D88"/>
    <w:rsid w:val="00584640"/>
    <w:rsid w:val="005846D7"/>
    <w:rsid w:val="0058488F"/>
    <w:rsid w:val="00585A6A"/>
    <w:rsid w:val="00585B09"/>
    <w:rsid w:val="00585BE6"/>
    <w:rsid w:val="00586247"/>
    <w:rsid w:val="00586324"/>
    <w:rsid w:val="005864AC"/>
    <w:rsid w:val="0058665B"/>
    <w:rsid w:val="00586DBF"/>
    <w:rsid w:val="005872C2"/>
    <w:rsid w:val="00587760"/>
    <w:rsid w:val="00590728"/>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68FA"/>
    <w:rsid w:val="005B70D8"/>
    <w:rsid w:val="005B72BC"/>
    <w:rsid w:val="005B76F0"/>
    <w:rsid w:val="005C0D1B"/>
    <w:rsid w:val="005C18E1"/>
    <w:rsid w:val="005C1900"/>
    <w:rsid w:val="005C1F52"/>
    <w:rsid w:val="005C2060"/>
    <w:rsid w:val="005C225A"/>
    <w:rsid w:val="005C247E"/>
    <w:rsid w:val="005C2CCA"/>
    <w:rsid w:val="005C2EC1"/>
    <w:rsid w:val="005C387F"/>
    <w:rsid w:val="005C3D22"/>
    <w:rsid w:val="005C41E1"/>
    <w:rsid w:val="005C4935"/>
    <w:rsid w:val="005C54F4"/>
    <w:rsid w:val="005C570C"/>
    <w:rsid w:val="005C62A4"/>
    <w:rsid w:val="005C6C61"/>
    <w:rsid w:val="005C70B6"/>
    <w:rsid w:val="005C7217"/>
    <w:rsid w:val="005C7635"/>
    <w:rsid w:val="005D009D"/>
    <w:rsid w:val="005D02D2"/>
    <w:rsid w:val="005D02D7"/>
    <w:rsid w:val="005D071F"/>
    <w:rsid w:val="005D0CC6"/>
    <w:rsid w:val="005D0D25"/>
    <w:rsid w:val="005D0FAD"/>
    <w:rsid w:val="005D1F3D"/>
    <w:rsid w:val="005D22F0"/>
    <w:rsid w:val="005D236B"/>
    <w:rsid w:val="005D272E"/>
    <w:rsid w:val="005D2A0C"/>
    <w:rsid w:val="005D2ED0"/>
    <w:rsid w:val="005D3328"/>
    <w:rsid w:val="005D33AA"/>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0E9A"/>
    <w:rsid w:val="005E1F7F"/>
    <w:rsid w:val="005E2193"/>
    <w:rsid w:val="005E232D"/>
    <w:rsid w:val="005E2401"/>
    <w:rsid w:val="005E2496"/>
    <w:rsid w:val="005E2848"/>
    <w:rsid w:val="005E3153"/>
    <w:rsid w:val="005E340E"/>
    <w:rsid w:val="005E3688"/>
    <w:rsid w:val="005E4C44"/>
    <w:rsid w:val="005E4C76"/>
    <w:rsid w:val="005E52A8"/>
    <w:rsid w:val="005E56A0"/>
    <w:rsid w:val="005E5C05"/>
    <w:rsid w:val="005E5DFB"/>
    <w:rsid w:val="005E6062"/>
    <w:rsid w:val="005E60D4"/>
    <w:rsid w:val="005E64A4"/>
    <w:rsid w:val="005E6558"/>
    <w:rsid w:val="005E65C1"/>
    <w:rsid w:val="005E6875"/>
    <w:rsid w:val="005E6CF2"/>
    <w:rsid w:val="005E6DB6"/>
    <w:rsid w:val="005E74DB"/>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255"/>
    <w:rsid w:val="005F5886"/>
    <w:rsid w:val="005F62A8"/>
    <w:rsid w:val="005F62C4"/>
    <w:rsid w:val="005F6501"/>
    <w:rsid w:val="005F6746"/>
    <w:rsid w:val="005F7A7C"/>
    <w:rsid w:val="00600100"/>
    <w:rsid w:val="00600886"/>
    <w:rsid w:val="00600FF4"/>
    <w:rsid w:val="006012E1"/>
    <w:rsid w:val="00601461"/>
    <w:rsid w:val="006017C4"/>
    <w:rsid w:val="00601D9A"/>
    <w:rsid w:val="0060202A"/>
    <w:rsid w:val="00602749"/>
    <w:rsid w:val="00602819"/>
    <w:rsid w:val="00602938"/>
    <w:rsid w:val="0060299F"/>
    <w:rsid w:val="00602B42"/>
    <w:rsid w:val="00603BEF"/>
    <w:rsid w:val="00603CBD"/>
    <w:rsid w:val="00604196"/>
    <w:rsid w:val="0060453B"/>
    <w:rsid w:val="006045C2"/>
    <w:rsid w:val="00604D98"/>
    <w:rsid w:val="00604E80"/>
    <w:rsid w:val="0060508F"/>
    <w:rsid w:val="00605162"/>
    <w:rsid w:val="00605DE0"/>
    <w:rsid w:val="00606626"/>
    <w:rsid w:val="0060668D"/>
    <w:rsid w:val="00606E24"/>
    <w:rsid w:val="00606F5B"/>
    <w:rsid w:val="00607992"/>
    <w:rsid w:val="00607B79"/>
    <w:rsid w:val="006104AB"/>
    <w:rsid w:val="00610642"/>
    <w:rsid w:val="006110D9"/>
    <w:rsid w:val="00611894"/>
    <w:rsid w:val="00611C01"/>
    <w:rsid w:val="006126D0"/>
    <w:rsid w:val="00612C67"/>
    <w:rsid w:val="00612C6C"/>
    <w:rsid w:val="00612D9C"/>
    <w:rsid w:val="00612F0A"/>
    <w:rsid w:val="0061381C"/>
    <w:rsid w:val="00613A25"/>
    <w:rsid w:val="0061466E"/>
    <w:rsid w:val="00614DC6"/>
    <w:rsid w:val="00615085"/>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192"/>
    <w:rsid w:val="006374BD"/>
    <w:rsid w:val="00637EF3"/>
    <w:rsid w:val="00640056"/>
    <w:rsid w:val="006402AB"/>
    <w:rsid w:val="00640693"/>
    <w:rsid w:val="00640B66"/>
    <w:rsid w:val="00640CE0"/>
    <w:rsid w:val="00641B37"/>
    <w:rsid w:val="00641ED4"/>
    <w:rsid w:val="00642CDB"/>
    <w:rsid w:val="006431B2"/>
    <w:rsid w:val="0064368B"/>
    <w:rsid w:val="00643E20"/>
    <w:rsid w:val="0064436D"/>
    <w:rsid w:val="006445E2"/>
    <w:rsid w:val="00644E1C"/>
    <w:rsid w:val="0064503D"/>
    <w:rsid w:val="00645090"/>
    <w:rsid w:val="006469BD"/>
    <w:rsid w:val="00646A7F"/>
    <w:rsid w:val="00646CC2"/>
    <w:rsid w:val="0064761F"/>
    <w:rsid w:val="00647A68"/>
    <w:rsid w:val="00647A77"/>
    <w:rsid w:val="00647FAF"/>
    <w:rsid w:val="00650335"/>
    <w:rsid w:val="00650E30"/>
    <w:rsid w:val="006510C2"/>
    <w:rsid w:val="0065110A"/>
    <w:rsid w:val="006519C8"/>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5C21"/>
    <w:rsid w:val="006661E6"/>
    <w:rsid w:val="0066654C"/>
    <w:rsid w:val="00666CEE"/>
    <w:rsid w:val="006671B9"/>
    <w:rsid w:val="00667B8F"/>
    <w:rsid w:val="00667FE8"/>
    <w:rsid w:val="006704B1"/>
    <w:rsid w:val="006705A2"/>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1F1"/>
    <w:rsid w:val="00680C1C"/>
    <w:rsid w:val="006810C7"/>
    <w:rsid w:val="00682184"/>
    <w:rsid w:val="00682477"/>
    <w:rsid w:val="006824B1"/>
    <w:rsid w:val="00682A9A"/>
    <w:rsid w:val="006830E8"/>
    <w:rsid w:val="00683308"/>
    <w:rsid w:val="0068377C"/>
    <w:rsid w:val="0068461B"/>
    <w:rsid w:val="006846FE"/>
    <w:rsid w:val="00684E8E"/>
    <w:rsid w:val="00685116"/>
    <w:rsid w:val="00685145"/>
    <w:rsid w:val="006856F0"/>
    <w:rsid w:val="00685935"/>
    <w:rsid w:val="00685CE0"/>
    <w:rsid w:val="00686372"/>
    <w:rsid w:val="00686873"/>
    <w:rsid w:val="006879AF"/>
    <w:rsid w:val="00687B84"/>
    <w:rsid w:val="00687DE8"/>
    <w:rsid w:val="006900C3"/>
    <w:rsid w:val="0069030E"/>
    <w:rsid w:val="0069074B"/>
    <w:rsid w:val="00690C62"/>
    <w:rsid w:val="00691005"/>
    <w:rsid w:val="00691072"/>
    <w:rsid w:val="006912A2"/>
    <w:rsid w:val="006912C9"/>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AEB"/>
    <w:rsid w:val="00696FC4"/>
    <w:rsid w:val="006977C4"/>
    <w:rsid w:val="006A0469"/>
    <w:rsid w:val="006A085F"/>
    <w:rsid w:val="006A1613"/>
    <w:rsid w:val="006A17D5"/>
    <w:rsid w:val="006A1DA1"/>
    <w:rsid w:val="006A1EEB"/>
    <w:rsid w:val="006A22F6"/>
    <w:rsid w:val="006A257A"/>
    <w:rsid w:val="006A2D9F"/>
    <w:rsid w:val="006A2DCC"/>
    <w:rsid w:val="006A2EB3"/>
    <w:rsid w:val="006A30DA"/>
    <w:rsid w:val="006A4505"/>
    <w:rsid w:val="006A47CD"/>
    <w:rsid w:val="006A66E4"/>
    <w:rsid w:val="006A6A23"/>
    <w:rsid w:val="006A706B"/>
    <w:rsid w:val="006A767E"/>
    <w:rsid w:val="006A7707"/>
    <w:rsid w:val="006A7727"/>
    <w:rsid w:val="006A7815"/>
    <w:rsid w:val="006A7AB0"/>
    <w:rsid w:val="006A7D0B"/>
    <w:rsid w:val="006B0356"/>
    <w:rsid w:val="006B04C5"/>
    <w:rsid w:val="006B0AC0"/>
    <w:rsid w:val="006B0ACA"/>
    <w:rsid w:val="006B137B"/>
    <w:rsid w:val="006B14AA"/>
    <w:rsid w:val="006B2E54"/>
    <w:rsid w:val="006B390C"/>
    <w:rsid w:val="006B3A8D"/>
    <w:rsid w:val="006B40E6"/>
    <w:rsid w:val="006B4547"/>
    <w:rsid w:val="006B548A"/>
    <w:rsid w:val="006B5FE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8E3"/>
    <w:rsid w:val="006C6C80"/>
    <w:rsid w:val="006C7728"/>
    <w:rsid w:val="006D0193"/>
    <w:rsid w:val="006D071A"/>
    <w:rsid w:val="006D106B"/>
    <w:rsid w:val="006D12DE"/>
    <w:rsid w:val="006D15AD"/>
    <w:rsid w:val="006D1AD0"/>
    <w:rsid w:val="006D22F9"/>
    <w:rsid w:val="006D231D"/>
    <w:rsid w:val="006D262A"/>
    <w:rsid w:val="006D2D0B"/>
    <w:rsid w:val="006D3500"/>
    <w:rsid w:val="006D41AD"/>
    <w:rsid w:val="006D52C9"/>
    <w:rsid w:val="006D5352"/>
    <w:rsid w:val="006D5428"/>
    <w:rsid w:val="006D56F9"/>
    <w:rsid w:val="006D59B0"/>
    <w:rsid w:val="006D5E64"/>
    <w:rsid w:val="006D6B52"/>
    <w:rsid w:val="006D739C"/>
    <w:rsid w:val="006D78F3"/>
    <w:rsid w:val="006D7A80"/>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E7BE2"/>
    <w:rsid w:val="006F082A"/>
    <w:rsid w:val="006F0B1D"/>
    <w:rsid w:val="006F0D05"/>
    <w:rsid w:val="006F0DE9"/>
    <w:rsid w:val="006F1208"/>
    <w:rsid w:val="006F1626"/>
    <w:rsid w:val="006F1A97"/>
    <w:rsid w:val="006F1DFB"/>
    <w:rsid w:val="006F343E"/>
    <w:rsid w:val="006F34E8"/>
    <w:rsid w:val="006F39CE"/>
    <w:rsid w:val="006F3BB5"/>
    <w:rsid w:val="006F3D2F"/>
    <w:rsid w:val="006F493F"/>
    <w:rsid w:val="006F4BC3"/>
    <w:rsid w:val="006F4D52"/>
    <w:rsid w:val="006F5A50"/>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6D63"/>
    <w:rsid w:val="00727427"/>
    <w:rsid w:val="00727C74"/>
    <w:rsid w:val="00731506"/>
    <w:rsid w:val="007318F6"/>
    <w:rsid w:val="00731D97"/>
    <w:rsid w:val="00732A1B"/>
    <w:rsid w:val="00732E68"/>
    <w:rsid w:val="007330A1"/>
    <w:rsid w:val="00733655"/>
    <w:rsid w:val="00733B79"/>
    <w:rsid w:val="00733FA6"/>
    <w:rsid w:val="00734459"/>
    <w:rsid w:val="00734919"/>
    <w:rsid w:val="00734B09"/>
    <w:rsid w:val="0073560A"/>
    <w:rsid w:val="00735B29"/>
    <w:rsid w:val="00736592"/>
    <w:rsid w:val="00736835"/>
    <w:rsid w:val="007368CA"/>
    <w:rsid w:val="00736B58"/>
    <w:rsid w:val="00736D2F"/>
    <w:rsid w:val="00736FA9"/>
    <w:rsid w:val="0073734A"/>
    <w:rsid w:val="007375A8"/>
    <w:rsid w:val="00737F3F"/>
    <w:rsid w:val="00737FAF"/>
    <w:rsid w:val="00740A94"/>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4A3"/>
    <w:rsid w:val="00750641"/>
    <w:rsid w:val="00750E46"/>
    <w:rsid w:val="007512CF"/>
    <w:rsid w:val="00751A89"/>
    <w:rsid w:val="00751B9D"/>
    <w:rsid w:val="007521CB"/>
    <w:rsid w:val="007523EF"/>
    <w:rsid w:val="0075328D"/>
    <w:rsid w:val="007533FF"/>
    <w:rsid w:val="00753AFA"/>
    <w:rsid w:val="00754CB3"/>
    <w:rsid w:val="007563DD"/>
    <w:rsid w:val="007565FB"/>
    <w:rsid w:val="00756851"/>
    <w:rsid w:val="00756AEF"/>
    <w:rsid w:val="00757229"/>
    <w:rsid w:val="00757373"/>
    <w:rsid w:val="007579FC"/>
    <w:rsid w:val="00757DC6"/>
    <w:rsid w:val="00757FD4"/>
    <w:rsid w:val="00760016"/>
    <w:rsid w:val="00760B24"/>
    <w:rsid w:val="00760C86"/>
    <w:rsid w:val="00761087"/>
    <w:rsid w:val="0076118A"/>
    <w:rsid w:val="0076138D"/>
    <w:rsid w:val="0076145E"/>
    <w:rsid w:val="007618C4"/>
    <w:rsid w:val="007621BB"/>
    <w:rsid w:val="0076267A"/>
    <w:rsid w:val="007629C1"/>
    <w:rsid w:val="00762A52"/>
    <w:rsid w:val="00762F9D"/>
    <w:rsid w:val="007631A2"/>
    <w:rsid w:val="007636F9"/>
    <w:rsid w:val="007639DF"/>
    <w:rsid w:val="00764346"/>
    <w:rsid w:val="007649BB"/>
    <w:rsid w:val="00764F2C"/>
    <w:rsid w:val="00765D36"/>
    <w:rsid w:val="00766E9F"/>
    <w:rsid w:val="00767246"/>
    <w:rsid w:val="0076724A"/>
    <w:rsid w:val="007672E0"/>
    <w:rsid w:val="007677AC"/>
    <w:rsid w:val="00770111"/>
    <w:rsid w:val="0077062E"/>
    <w:rsid w:val="007708CB"/>
    <w:rsid w:val="00770EE0"/>
    <w:rsid w:val="0077165A"/>
    <w:rsid w:val="0077172E"/>
    <w:rsid w:val="007724B5"/>
    <w:rsid w:val="00772531"/>
    <w:rsid w:val="00772B4D"/>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227"/>
    <w:rsid w:val="00782312"/>
    <w:rsid w:val="00782523"/>
    <w:rsid w:val="007832D8"/>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367"/>
    <w:rsid w:val="0078774D"/>
    <w:rsid w:val="00787E48"/>
    <w:rsid w:val="0079068C"/>
    <w:rsid w:val="00790852"/>
    <w:rsid w:val="00790EC3"/>
    <w:rsid w:val="0079140B"/>
    <w:rsid w:val="00792190"/>
    <w:rsid w:val="00792637"/>
    <w:rsid w:val="007926B7"/>
    <w:rsid w:val="00792E9F"/>
    <w:rsid w:val="0079331A"/>
    <w:rsid w:val="007939A4"/>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7D4"/>
    <w:rsid w:val="007A1E63"/>
    <w:rsid w:val="007A1ED9"/>
    <w:rsid w:val="007A2355"/>
    <w:rsid w:val="007A2F63"/>
    <w:rsid w:val="007A35A9"/>
    <w:rsid w:val="007A3BD6"/>
    <w:rsid w:val="007A3C15"/>
    <w:rsid w:val="007A4412"/>
    <w:rsid w:val="007A4AFA"/>
    <w:rsid w:val="007A4BE9"/>
    <w:rsid w:val="007A547A"/>
    <w:rsid w:val="007A57BB"/>
    <w:rsid w:val="007A5E1D"/>
    <w:rsid w:val="007A621E"/>
    <w:rsid w:val="007A6433"/>
    <w:rsid w:val="007A7351"/>
    <w:rsid w:val="007A750B"/>
    <w:rsid w:val="007A79AF"/>
    <w:rsid w:val="007B00C5"/>
    <w:rsid w:val="007B0623"/>
    <w:rsid w:val="007B0DD2"/>
    <w:rsid w:val="007B0EF0"/>
    <w:rsid w:val="007B12D8"/>
    <w:rsid w:val="007B183F"/>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3FA"/>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C7BD6"/>
    <w:rsid w:val="007D000D"/>
    <w:rsid w:val="007D04E6"/>
    <w:rsid w:val="007D0F5E"/>
    <w:rsid w:val="007D23A4"/>
    <w:rsid w:val="007D2CF7"/>
    <w:rsid w:val="007D3687"/>
    <w:rsid w:val="007D3CF2"/>
    <w:rsid w:val="007D3DFF"/>
    <w:rsid w:val="007D3E58"/>
    <w:rsid w:val="007D41EA"/>
    <w:rsid w:val="007D43B0"/>
    <w:rsid w:val="007D4686"/>
    <w:rsid w:val="007D47E1"/>
    <w:rsid w:val="007D4AF6"/>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CB3"/>
    <w:rsid w:val="007E3D8B"/>
    <w:rsid w:val="007E4301"/>
    <w:rsid w:val="007E4379"/>
    <w:rsid w:val="007E497C"/>
    <w:rsid w:val="007E5721"/>
    <w:rsid w:val="007E62F8"/>
    <w:rsid w:val="007E6934"/>
    <w:rsid w:val="007E6B1A"/>
    <w:rsid w:val="007E7906"/>
    <w:rsid w:val="007E7E8A"/>
    <w:rsid w:val="007F0824"/>
    <w:rsid w:val="007F1340"/>
    <w:rsid w:val="007F17AB"/>
    <w:rsid w:val="007F1B6A"/>
    <w:rsid w:val="007F2628"/>
    <w:rsid w:val="007F2712"/>
    <w:rsid w:val="007F2E47"/>
    <w:rsid w:val="007F3083"/>
    <w:rsid w:val="007F3182"/>
    <w:rsid w:val="007F36E9"/>
    <w:rsid w:val="007F37BE"/>
    <w:rsid w:val="007F4479"/>
    <w:rsid w:val="007F4C97"/>
    <w:rsid w:val="007F4EDB"/>
    <w:rsid w:val="007F5182"/>
    <w:rsid w:val="007F5702"/>
    <w:rsid w:val="007F608B"/>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697"/>
    <w:rsid w:val="008067FF"/>
    <w:rsid w:val="00806AE9"/>
    <w:rsid w:val="00806FB1"/>
    <w:rsid w:val="0080704E"/>
    <w:rsid w:val="0080798E"/>
    <w:rsid w:val="008103E3"/>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2FE"/>
    <w:rsid w:val="00814E08"/>
    <w:rsid w:val="00815473"/>
    <w:rsid w:val="00815821"/>
    <w:rsid w:val="00817B54"/>
    <w:rsid w:val="00817F1B"/>
    <w:rsid w:val="00820581"/>
    <w:rsid w:val="008206BC"/>
    <w:rsid w:val="00820D35"/>
    <w:rsid w:val="00822243"/>
    <w:rsid w:val="00822F4B"/>
    <w:rsid w:val="008232EE"/>
    <w:rsid w:val="008242AF"/>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3C75"/>
    <w:rsid w:val="0083400E"/>
    <w:rsid w:val="00834746"/>
    <w:rsid w:val="00834B77"/>
    <w:rsid w:val="00835421"/>
    <w:rsid w:val="008354E3"/>
    <w:rsid w:val="008360AC"/>
    <w:rsid w:val="008366AD"/>
    <w:rsid w:val="0083763E"/>
    <w:rsid w:val="008378C7"/>
    <w:rsid w:val="008378CD"/>
    <w:rsid w:val="00837CF1"/>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5E7"/>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1FA6"/>
    <w:rsid w:val="00853269"/>
    <w:rsid w:val="00853504"/>
    <w:rsid w:val="00853507"/>
    <w:rsid w:val="008538C4"/>
    <w:rsid w:val="00853FC6"/>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327"/>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00F"/>
    <w:rsid w:val="00872E2D"/>
    <w:rsid w:val="0087366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4BD"/>
    <w:rsid w:val="0088691E"/>
    <w:rsid w:val="00886CA6"/>
    <w:rsid w:val="00887605"/>
    <w:rsid w:val="00887B3E"/>
    <w:rsid w:val="00890AF4"/>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39E"/>
    <w:rsid w:val="008A3A58"/>
    <w:rsid w:val="008A3F71"/>
    <w:rsid w:val="008A40FA"/>
    <w:rsid w:val="008A4127"/>
    <w:rsid w:val="008A4DC7"/>
    <w:rsid w:val="008A543F"/>
    <w:rsid w:val="008A5903"/>
    <w:rsid w:val="008A5987"/>
    <w:rsid w:val="008A5C91"/>
    <w:rsid w:val="008A6025"/>
    <w:rsid w:val="008A68B1"/>
    <w:rsid w:val="008A6C04"/>
    <w:rsid w:val="008A7372"/>
    <w:rsid w:val="008A77D3"/>
    <w:rsid w:val="008A7B8B"/>
    <w:rsid w:val="008A7C0A"/>
    <w:rsid w:val="008A7EA5"/>
    <w:rsid w:val="008B0193"/>
    <w:rsid w:val="008B0791"/>
    <w:rsid w:val="008B0B72"/>
    <w:rsid w:val="008B1848"/>
    <w:rsid w:val="008B19DD"/>
    <w:rsid w:val="008B1AA9"/>
    <w:rsid w:val="008B1DAB"/>
    <w:rsid w:val="008B1EEA"/>
    <w:rsid w:val="008B207D"/>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63A"/>
    <w:rsid w:val="008C4E49"/>
    <w:rsid w:val="008C5016"/>
    <w:rsid w:val="008C5078"/>
    <w:rsid w:val="008C5188"/>
    <w:rsid w:val="008C52E5"/>
    <w:rsid w:val="008C55A6"/>
    <w:rsid w:val="008C5633"/>
    <w:rsid w:val="008C5AF7"/>
    <w:rsid w:val="008C5CE9"/>
    <w:rsid w:val="008C64B2"/>
    <w:rsid w:val="008C6619"/>
    <w:rsid w:val="008C74EA"/>
    <w:rsid w:val="008C7AB7"/>
    <w:rsid w:val="008C7C4B"/>
    <w:rsid w:val="008D05E6"/>
    <w:rsid w:val="008D06C7"/>
    <w:rsid w:val="008D09E9"/>
    <w:rsid w:val="008D1053"/>
    <w:rsid w:val="008D128F"/>
    <w:rsid w:val="008D21FD"/>
    <w:rsid w:val="008D2FD8"/>
    <w:rsid w:val="008D3891"/>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56"/>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38E"/>
    <w:rsid w:val="008E79C8"/>
    <w:rsid w:val="008F0273"/>
    <w:rsid w:val="008F0A35"/>
    <w:rsid w:val="008F0ED3"/>
    <w:rsid w:val="008F10D1"/>
    <w:rsid w:val="008F1928"/>
    <w:rsid w:val="008F1D01"/>
    <w:rsid w:val="008F222B"/>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22E"/>
    <w:rsid w:val="00904300"/>
    <w:rsid w:val="009044AD"/>
    <w:rsid w:val="00904F68"/>
    <w:rsid w:val="0090505C"/>
    <w:rsid w:val="00905BC3"/>
    <w:rsid w:val="00905D51"/>
    <w:rsid w:val="00905FBA"/>
    <w:rsid w:val="009067BE"/>
    <w:rsid w:val="00906DCC"/>
    <w:rsid w:val="00906E21"/>
    <w:rsid w:val="00907A31"/>
    <w:rsid w:val="00907F33"/>
    <w:rsid w:val="00907FA5"/>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C29"/>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116"/>
    <w:rsid w:val="009343B0"/>
    <w:rsid w:val="00934536"/>
    <w:rsid w:val="009355F0"/>
    <w:rsid w:val="00935712"/>
    <w:rsid w:val="0093574D"/>
    <w:rsid w:val="00935887"/>
    <w:rsid w:val="00936528"/>
    <w:rsid w:val="00936785"/>
    <w:rsid w:val="0093699F"/>
    <w:rsid w:val="00936ADE"/>
    <w:rsid w:val="00936BFA"/>
    <w:rsid w:val="00937A2B"/>
    <w:rsid w:val="00937B3B"/>
    <w:rsid w:val="00937E18"/>
    <w:rsid w:val="00940161"/>
    <w:rsid w:val="00940698"/>
    <w:rsid w:val="00940A83"/>
    <w:rsid w:val="00940CAA"/>
    <w:rsid w:val="00941029"/>
    <w:rsid w:val="009415CE"/>
    <w:rsid w:val="00941D02"/>
    <w:rsid w:val="00941D56"/>
    <w:rsid w:val="009424B5"/>
    <w:rsid w:val="009425DC"/>
    <w:rsid w:val="00942953"/>
    <w:rsid w:val="00942AC4"/>
    <w:rsid w:val="0094367E"/>
    <w:rsid w:val="009438FB"/>
    <w:rsid w:val="00944069"/>
    <w:rsid w:val="009440DB"/>
    <w:rsid w:val="00944697"/>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57BEE"/>
    <w:rsid w:val="0096014D"/>
    <w:rsid w:val="0096085E"/>
    <w:rsid w:val="00960C20"/>
    <w:rsid w:val="00960CAB"/>
    <w:rsid w:val="00960ECA"/>
    <w:rsid w:val="009611F4"/>
    <w:rsid w:val="00961342"/>
    <w:rsid w:val="009614B0"/>
    <w:rsid w:val="009614C1"/>
    <w:rsid w:val="009618F4"/>
    <w:rsid w:val="00961BA3"/>
    <w:rsid w:val="009628AD"/>
    <w:rsid w:val="00962A4F"/>
    <w:rsid w:val="00962D23"/>
    <w:rsid w:val="00962EB5"/>
    <w:rsid w:val="009630BA"/>
    <w:rsid w:val="009635B0"/>
    <w:rsid w:val="00964614"/>
    <w:rsid w:val="00964BFD"/>
    <w:rsid w:val="00964C53"/>
    <w:rsid w:val="009653DA"/>
    <w:rsid w:val="00965C02"/>
    <w:rsid w:val="00966877"/>
    <w:rsid w:val="009670A9"/>
    <w:rsid w:val="0096713E"/>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9CB"/>
    <w:rsid w:val="00973AC2"/>
    <w:rsid w:val="009746A1"/>
    <w:rsid w:val="00974D10"/>
    <w:rsid w:val="00974E82"/>
    <w:rsid w:val="00974E9D"/>
    <w:rsid w:val="009752F3"/>
    <w:rsid w:val="0097565F"/>
    <w:rsid w:val="0097575D"/>
    <w:rsid w:val="009759B9"/>
    <w:rsid w:val="00975EF5"/>
    <w:rsid w:val="009762E1"/>
    <w:rsid w:val="009767F1"/>
    <w:rsid w:val="009769FA"/>
    <w:rsid w:val="00976AFF"/>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061A"/>
    <w:rsid w:val="00991299"/>
    <w:rsid w:val="009913D1"/>
    <w:rsid w:val="009928D6"/>
    <w:rsid w:val="00993874"/>
    <w:rsid w:val="009939AE"/>
    <w:rsid w:val="0099432B"/>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1AB"/>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16B"/>
    <w:rsid w:val="009C568E"/>
    <w:rsid w:val="009C583A"/>
    <w:rsid w:val="009C598B"/>
    <w:rsid w:val="009C5A94"/>
    <w:rsid w:val="009C5D0E"/>
    <w:rsid w:val="009C5DEB"/>
    <w:rsid w:val="009C61A8"/>
    <w:rsid w:val="009C69A4"/>
    <w:rsid w:val="009C7C93"/>
    <w:rsid w:val="009C7D36"/>
    <w:rsid w:val="009D01B5"/>
    <w:rsid w:val="009D034A"/>
    <w:rsid w:val="009D07F3"/>
    <w:rsid w:val="009D1449"/>
    <w:rsid w:val="009D17A5"/>
    <w:rsid w:val="009D1C73"/>
    <w:rsid w:val="009D241D"/>
    <w:rsid w:val="009D27C0"/>
    <w:rsid w:val="009D2D1C"/>
    <w:rsid w:val="009D2D42"/>
    <w:rsid w:val="009D32FB"/>
    <w:rsid w:val="009D36BF"/>
    <w:rsid w:val="009D3FF0"/>
    <w:rsid w:val="009D48C3"/>
    <w:rsid w:val="009D48CA"/>
    <w:rsid w:val="009D4980"/>
    <w:rsid w:val="009D4E61"/>
    <w:rsid w:val="009D52CC"/>
    <w:rsid w:val="009D548F"/>
    <w:rsid w:val="009D566C"/>
    <w:rsid w:val="009D583A"/>
    <w:rsid w:val="009D6897"/>
    <w:rsid w:val="009D6BF6"/>
    <w:rsid w:val="009D6F03"/>
    <w:rsid w:val="009D75DB"/>
    <w:rsid w:val="009D786C"/>
    <w:rsid w:val="009D7960"/>
    <w:rsid w:val="009D7F61"/>
    <w:rsid w:val="009E00FD"/>
    <w:rsid w:val="009E024B"/>
    <w:rsid w:val="009E0818"/>
    <w:rsid w:val="009E08D6"/>
    <w:rsid w:val="009E0909"/>
    <w:rsid w:val="009E0D5A"/>
    <w:rsid w:val="009E10B4"/>
    <w:rsid w:val="009E16CC"/>
    <w:rsid w:val="009E1CEA"/>
    <w:rsid w:val="009E1EE8"/>
    <w:rsid w:val="009E22F0"/>
    <w:rsid w:val="009E2390"/>
    <w:rsid w:val="009E41F6"/>
    <w:rsid w:val="009E4594"/>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290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222"/>
    <w:rsid w:val="00A153B7"/>
    <w:rsid w:val="00A1544D"/>
    <w:rsid w:val="00A1590B"/>
    <w:rsid w:val="00A159F5"/>
    <w:rsid w:val="00A15A4B"/>
    <w:rsid w:val="00A15ED3"/>
    <w:rsid w:val="00A15F79"/>
    <w:rsid w:val="00A1626F"/>
    <w:rsid w:val="00A16733"/>
    <w:rsid w:val="00A168BF"/>
    <w:rsid w:val="00A16BA5"/>
    <w:rsid w:val="00A16BFD"/>
    <w:rsid w:val="00A17193"/>
    <w:rsid w:val="00A172CF"/>
    <w:rsid w:val="00A176D5"/>
    <w:rsid w:val="00A17EBC"/>
    <w:rsid w:val="00A20FA3"/>
    <w:rsid w:val="00A20FA8"/>
    <w:rsid w:val="00A2122F"/>
    <w:rsid w:val="00A2151A"/>
    <w:rsid w:val="00A215FC"/>
    <w:rsid w:val="00A21766"/>
    <w:rsid w:val="00A2194D"/>
    <w:rsid w:val="00A21E26"/>
    <w:rsid w:val="00A22049"/>
    <w:rsid w:val="00A227E7"/>
    <w:rsid w:val="00A22822"/>
    <w:rsid w:val="00A22B06"/>
    <w:rsid w:val="00A230A5"/>
    <w:rsid w:val="00A23363"/>
    <w:rsid w:val="00A23618"/>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26"/>
    <w:rsid w:val="00A35B38"/>
    <w:rsid w:val="00A363E0"/>
    <w:rsid w:val="00A370F1"/>
    <w:rsid w:val="00A378F3"/>
    <w:rsid w:val="00A37FB2"/>
    <w:rsid w:val="00A4059B"/>
    <w:rsid w:val="00A406F1"/>
    <w:rsid w:val="00A40816"/>
    <w:rsid w:val="00A408B2"/>
    <w:rsid w:val="00A420B5"/>
    <w:rsid w:val="00A42996"/>
    <w:rsid w:val="00A42E8B"/>
    <w:rsid w:val="00A42EBA"/>
    <w:rsid w:val="00A431F7"/>
    <w:rsid w:val="00A437D1"/>
    <w:rsid w:val="00A438A3"/>
    <w:rsid w:val="00A43CCB"/>
    <w:rsid w:val="00A43FC6"/>
    <w:rsid w:val="00A44173"/>
    <w:rsid w:val="00A44866"/>
    <w:rsid w:val="00A44A12"/>
    <w:rsid w:val="00A44C00"/>
    <w:rsid w:val="00A455E8"/>
    <w:rsid w:val="00A45CB0"/>
    <w:rsid w:val="00A461FD"/>
    <w:rsid w:val="00A46AAD"/>
    <w:rsid w:val="00A46B30"/>
    <w:rsid w:val="00A47017"/>
    <w:rsid w:val="00A47357"/>
    <w:rsid w:val="00A47C33"/>
    <w:rsid w:val="00A47DD6"/>
    <w:rsid w:val="00A50651"/>
    <w:rsid w:val="00A5076F"/>
    <w:rsid w:val="00A50798"/>
    <w:rsid w:val="00A50F5C"/>
    <w:rsid w:val="00A516EA"/>
    <w:rsid w:val="00A51A01"/>
    <w:rsid w:val="00A51B11"/>
    <w:rsid w:val="00A51BC1"/>
    <w:rsid w:val="00A51E21"/>
    <w:rsid w:val="00A51EA5"/>
    <w:rsid w:val="00A5210A"/>
    <w:rsid w:val="00A52608"/>
    <w:rsid w:val="00A527E1"/>
    <w:rsid w:val="00A536B2"/>
    <w:rsid w:val="00A5395F"/>
    <w:rsid w:val="00A53D3C"/>
    <w:rsid w:val="00A5443C"/>
    <w:rsid w:val="00A5464D"/>
    <w:rsid w:val="00A5487E"/>
    <w:rsid w:val="00A554E0"/>
    <w:rsid w:val="00A5565C"/>
    <w:rsid w:val="00A55D17"/>
    <w:rsid w:val="00A562F5"/>
    <w:rsid w:val="00A56F2F"/>
    <w:rsid w:val="00A570F7"/>
    <w:rsid w:val="00A57556"/>
    <w:rsid w:val="00A57610"/>
    <w:rsid w:val="00A577AA"/>
    <w:rsid w:val="00A6020E"/>
    <w:rsid w:val="00A605DC"/>
    <w:rsid w:val="00A60727"/>
    <w:rsid w:val="00A609B3"/>
    <w:rsid w:val="00A60A76"/>
    <w:rsid w:val="00A61523"/>
    <w:rsid w:val="00A615E4"/>
    <w:rsid w:val="00A6262F"/>
    <w:rsid w:val="00A62951"/>
    <w:rsid w:val="00A62D98"/>
    <w:rsid w:val="00A630B7"/>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61D"/>
    <w:rsid w:val="00A67C22"/>
    <w:rsid w:val="00A67EF1"/>
    <w:rsid w:val="00A70035"/>
    <w:rsid w:val="00A710B6"/>
    <w:rsid w:val="00A71D7E"/>
    <w:rsid w:val="00A71E9E"/>
    <w:rsid w:val="00A720A3"/>
    <w:rsid w:val="00A72163"/>
    <w:rsid w:val="00A72230"/>
    <w:rsid w:val="00A72675"/>
    <w:rsid w:val="00A727E2"/>
    <w:rsid w:val="00A72997"/>
    <w:rsid w:val="00A729A9"/>
    <w:rsid w:val="00A72E0A"/>
    <w:rsid w:val="00A72FCE"/>
    <w:rsid w:val="00A730DC"/>
    <w:rsid w:val="00A73631"/>
    <w:rsid w:val="00A7459F"/>
    <w:rsid w:val="00A7495C"/>
    <w:rsid w:val="00A74C89"/>
    <w:rsid w:val="00A7565E"/>
    <w:rsid w:val="00A75783"/>
    <w:rsid w:val="00A76227"/>
    <w:rsid w:val="00A76764"/>
    <w:rsid w:val="00A76CA2"/>
    <w:rsid w:val="00A77C71"/>
    <w:rsid w:val="00A77D66"/>
    <w:rsid w:val="00A77EBD"/>
    <w:rsid w:val="00A80076"/>
    <w:rsid w:val="00A81869"/>
    <w:rsid w:val="00A8192E"/>
    <w:rsid w:val="00A81D02"/>
    <w:rsid w:val="00A83221"/>
    <w:rsid w:val="00A8349F"/>
    <w:rsid w:val="00A83747"/>
    <w:rsid w:val="00A8388E"/>
    <w:rsid w:val="00A840B8"/>
    <w:rsid w:val="00A84150"/>
    <w:rsid w:val="00A84898"/>
    <w:rsid w:val="00A859C0"/>
    <w:rsid w:val="00A85FE7"/>
    <w:rsid w:val="00A8626F"/>
    <w:rsid w:val="00A86BC9"/>
    <w:rsid w:val="00A87508"/>
    <w:rsid w:val="00A87B54"/>
    <w:rsid w:val="00A87EB3"/>
    <w:rsid w:val="00A9013D"/>
    <w:rsid w:val="00A90892"/>
    <w:rsid w:val="00A91D1D"/>
    <w:rsid w:val="00A91FF7"/>
    <w:rsid w:val="00A920FC"/>
    <w:rsid w:val="00A92522"/>
    <w:rsid w:val="00A92B4E"/>
    <w:rsid w:val="00A93087"/>
    <w:rsid w:val="00A93DC6"/>
    <w:rsid w:val="00A940FB"/>
    <w:rsid w:val="00A942A7"/>
    <w:rsid w:val="00A9446D"/>
    <w:rsid w:val="00A94C14"/>
    <w:rsid w:val="00A95055"/>
    <w:rsid w:val="00A95807"/>
    <w:rsid w:val="00A95BF7"/>
    <w:rsid w:val="00A95C56"/>
    <w:rsid w:val="00A95EA4"/>
    <w:rsid w:val="00A95F56"/>
    <w:rsid w:val="00A95F7A"/>
    <w:rsid w:val="00A96014"/>
    <w:rsid w:val="00A966FF"/>
    <w:rsid w:val="00A96B14"/>
    <w:rsid w:val="00A96C00"/>
    <w:rsid w:val="00A96E1E"/>
    <w:rsid w:val="00A97D45"/>
    <w:rsid w:val="00AA02FA"/>
    <w:rsid w:val="00AA05FF"/>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A792E"/>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DA5"/>
    <w:rsid w:val="00AB5EE9"/>
    <w:rsid w:val="00AB61B5"/>
    <w:rsid w:val="00AB6595"/>
    <w:rsid w:val="00AB6897"/>
    <w:rsid w:val="00AB6B67"/>
    <w:rsid w:val="00AB6E4A"/>
    <w:rsid w:val="00AB7213"/>
    <w:rsid w:val="00AB76A7"/>
    <w:rsid w:val="00AB7F8A"/>
    <w:rsid w:val="00AC00A5"/>
    <w:rsid w:val="00AC0160"/>
    <w:rsid w:val="00AC0207"/>
    <w:rsid w:val="00AC0341"/>
    <w:rsid w:val="00AC1964"/>
    <w:rsid w:val="00AC1C8F"/>
    <w:rsid w:val="00AC1D28"/>
    <w:rsid w:val="00AC1FC8"/>
    <w:rsid w:val="00AC248E"/>
    <w:rsid w:val="00AC2694"/>
    <w:rsid w:val="00AC2B4C"/>
    <w:rsid w:val="00AC2FE4"/>
    <w:rsid w:val="00AC33B3"/>
    <w:rsid w:val="00AC3642"/>
    <w:rsid w:val="00AC3ABC"/>
    <w:rsid w:val="00AC3ABE"/>
    <w:rsid w:val="00AC4AE5"/>
    <w:rsid w:val="00AC4D4C"/>
    <w:rsid w:val="00AC57FD"/>
    <w:rsid w:val="00AC6167"/>
    <w:rsid w:val="00AC7A58"/>
    <w:rsid w:val="00AC7C06"/>
    <w:rsid w:val="00AD0270"/>
    <w:rsid w:val="00AD07BB"/>
    <w:rsid w:val="00AD0A87"/>
    <w:rsid w:val="00AD125A"/>
    <w:rsid w:val="00AD12EA"/>
    <w:rsid w:val="00AD197A"/>
    <w:rsid w:val="00AD2341"/>
    <w:rsid w:val="00AD2440"/>
    <w:rsid w:val="00AD264F"/>
    <w:rsid w:val="00AD366F"/>
    <w:rsid w:val="00AD44C2"/>
    <w:rsid w:val="00AD4853"/>
    <w:rsid w:val="00AD492E"/>
    <w:rsid w:val="00AD593D"/>
    <w:rsid w:val="00AD5D13"/>
    <w:rsid w:val="00AD5E11"/>
    <w:rsid w:val="00AD60B8"/>
    <w:rsid w:val="00AD6499"/>
    <w:rsid w:val="00AD65A4"/>
    <w:rsid w:val="00AD6672"/>
    <w:rsid w:val="00AD66CE"/>
    <w:rsid w:val="00AD6891"/>
    <w:rsid w:val="00AE0012"/>
    <w:rsid w:val="00AE01B0"/>
    <w:rsid w:val="00AE0CEB"/>
    <w:rsid w:val="00AE1580"/>
    <w:rsid w:val="00AE2351"/>
    <w:rsid w:val="00AE2520"/>
    <w:rsid w:val="00AE2B1F"/>
    <w:rsid w:val="00AE2B56"/>
    <w:rsid w:val="00AE31A9"/>
    <w:rsid w:val="00AE34E2"/>
    <w:rsid w:val="00AE3A72"/>
    <w:rsid w:val="00AE3FE2"/>
    <w:rsid w:val="00AE411B"/>
    <w:rsid w:val="00AE4125"/>
    <w:rsid w:val="00AE4817"/>
    <w:rsid w:val="00AE49E0"/>
    <w:rsid w:val="00AE4A19"/>
    <w:rsid w:val="00AE529A"/>
    <w:rsid w:val="00AE56C0"/>
    <w:rsid w:val="00AE5B31"/>
    <w:rsid w:val="00AE6283"/>
    <w:rsid w:val="00AE6AD5"/>
    <w:rsid w:val="00AE6F41"/>
    <w:rsid w:val="00AE702C"/>
    <w:rsid w:val="00AE722A"/>
    <w:rsid w:val="00AE7903"/>
    <w:rsid w:val="00AE7C3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AF7F67"/>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5E41"/>
    <w:rsid w:val="00B0651E"/>
    <w:rsid w:val="00B073FF"/>
    <w:rsid w:val="00B076EC"/>
    <w:rsid w:val="00B0787D"/>
    <w:rsid w:val="00B079FB"/>
    <w:rsid w:val="00B07EC6"/>
    <w:rsid w:val="00B10841"/>
    <w:rsid w:val="00B11263"/>
    <w:rsid w:val="00B1174D"/>
    <w:rsid w:val="00B11910"/>
    <w:rsid w:val="00B12793"/>
    <w:rsid w:val="00B12BC6"/>
    <w:rsid w:val="00B13322"/>
    <w:rsid w:val="00B13543"/>
    <w:rsid w:val="00B14642"/>
    <w:rsid w:val="00B14787"/>
    <w:rsid w:val="00B1490F"/>
    <w:rsid w:val="00B14B0C"/>
    <w:rsid w:val="00B14BAA"/>
    <w:rsid w:val="00B162C2"/>
    <w:rsid w:val="00B1633B"/>
    <w:rsid w:val="00B16469"/>
    <w:rsid w:val="00B16745"/>
    <w:rsid w:val="00B1692F"/>
    <w:rsid w:val="00B16BC2"/>
    <w:rsid w:val="00B1704E"/>
    <w:rsid w:val="00B17276"/>
    <w:rsid w:val="00B174A3"/>
    <w:rsid w:val="00B20313"/>
    <w:rsid w:val="00B20D10"/>
    <w:rsid w:val="00B2191E"/>
    <w:rsid w:val="00B21A90"/>
    <w:rsid w:val="00B21FDE"/>
    <w:rsid w:val="00B225CE"/>
    <w:rsid w:val="00B22735"/>
    <w:rsid w:val="00B22CB5"/>
    <w:rsid w:val="00B23121"/>
    <w:rsid w:val="00B2358B"/>
    <w:rsid w:val="00B23652"/>
    <w:rsid w:val="00B244AA"/>
    <w:rsid w:val="00B247EB"/>
    <w:rsid w:val="00B24BC1"/>
    <w:rsid w:val="00B25B61"/>
    <w:rsid w:val="00B25F8B"/>
    <w:rsid w:val="00B262B7"/>
    <w:rsid w:val="00B26D59"/>
    <w:rsid w:val="00B27380"/>
    <w:rsid w:val="00B277B5"/>
    <w:rsid w:val="00B3001D"/>
    <w:rsid w:val="00B301D7"/>
    <w:rsid w:val="00B30570"/>
    <w:rsid w:val="00B30C7B"/>
    <w:rsid w:val="00B30E8A"/>
    <w:rsid w:val="00B31894"/>
    <w:rsid w:val="00B31B79"/>
    <w:rsid w:val="00B3222A"/>
    <w:rsid w:val="00B323EB"/>
    <w:rsid w:val="00B331CF"/>
    <w:rsid w:val="00B332AA"/>
    <w:rsid w:val="00B33853"/>
    <w:rsid w:val="00B33BF1"/>
    <w:rsid w:val="00B34451"/>
    <w:rsid w:val="00B34DAB"/>
    <w:rsid w:val="00B35203"/>
    <w:rsid w:val="00B3521C"/>
    <w:rsid w:val="00B3541C"/>
    <w:rsid w:val="00B3576C"/>
    <w:rsid w:val="00B35947"/>
    <w:rsid w:val="00B35DD7"/>
    <w:rsid w:val="00B36268"/>
    <w:rsid w:val="00B36518"/>
    <w:rsid w:val="00B36EF7"/>
    <w:rsid w:val="00B3729A"/>
    <w:rsid w:val="00B374AE"/>
    <w:rsid w:val="00B37823"/>
    <w:rsid w:val="00B40063"/>
    <w:rsid w:val="00B40BDC"/>
    <w:rsid w:val="00B41180"/>
    <w:rsid w:val="00B41215"/>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C4D"/>
    <w:rsid w:val="00B53DAF"/>
    <w:rsid w:val="00B55406"/>
    <w:rsid w:val="00B559C1"/>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AC1"/>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BD6"/>
    <w:rsid w:val="00B71C14"/>
    <w:rsid w:val="00B72115"/>
    <w:rsid w:val="00B724BF"/>
    <w:rsid w:val="00B729B7"/>
    <w:rsid w:val="00B7304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A9"/>
    <w:rsid w:val="00B80AE4"/>
    <w:rsid w:val="00B80AF5"/>
    <w:rsid w:val="00B81193"/>
    <w:rsid w:val="00B8153C"/>
    <w:rsid w:val="00B818CF"/>
    <w:rsid w:val="00B81942"/>
    <w:rsid w:val="00B822FF"/>
    <w:rsid w:val="00B823C2"/>
    <w:rsid w:val="00B833A6"/>
    <w:rsid w:val="00B833BE"/>
    <w:rsid w:val="00B83567"/>
    <w:rsid w:val="00B838C7"/>
    <w:rsid w:val="00B83EBD"/>
    <w:rsid w:val="00B842F9"/>
    <w:rsid w:val="00B84BEA"/>
    <w:rsid w:val="00B84C99"/>
    <w:rsid w:val="00B85340"/>
    <w:rsid w:val="00B855F6"/>
    <w:rsid w:val="00B86096"/>
    <w:rsid w:val="00B860F3"/>
    <w:rsid w:val="00B86F99"/>
    <w:rsid w:val="00B870E9"/>
    <w:rsid w:val="00B87735"/>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5FA8"/>
    <w:rsid w:val="00B96052"/>
    <w:rsid w:val="00B96320"/>
    <w:rsid w:val="00B964E5"/>
    <w:rsid w:val="00B969F4"/>
    <w:rsid w:val="00B96B70"/>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6F20"/>
    <w:rsid w:val="00BA7A62"/>
    <w:rsid w:val="00BB0321"/>
    <w:rsid w:val="00BB08EE"/>
    <w:rsid w:val="00BB0998"/>
    <w:rsid w:val="00BB099F"/>
    <w:rsid w:val="00BB129B"/>
    <w:rsid w:val="00BB193A"/>
    <w:rsid w:val="00BB1C5F"/>
    <w:rsid w:val="00BB23DB"/>
    <w:rsid w:val="00BB2592"/>
    <w:rsid w:val="00BB262F"/>
    <w:rsid w:val="00BB2D75"/>
    <w:rsid w:val="00BB325E"/>
    <w:rsid w:val="00BB367D"/>
    <w:rsid w:val="00BB403D"/>
    <w:rsid w:val="00BB4E26"/>
    <w:rsid w:val="00BB552E"/>
    <w:rsid w:val="00BB5533"/>
    <w:rsid w:val="00BB5D31"/>
    <w:rsid w:val="00BB6107"/>
    <w:rsid w:val="00BB619C"/>
    <w:rsid w:val="00BB62A8"/>
    <w:rsid w:val="00BB64E7"/>
    <w:rsid w:val="00BB65DE"/>
    <w:rsid w:val="00BB6FB5"/>
    <w:rsid w:val="00BB7023"/>
    <w:rsid w:val="00BB78A9"/>
    <w:rsid w:val="00BB7B48"/>
    <w:rsid w:val="00BB7E0E"/>
    <w:rsid w:val="00BC0568"/>
    <w:rsid w:val="00BC0FBF"/>
    <w:rsid w:val="00BC178D"/>
    <w:rsid w:val="00BC1796"/>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39D"/>
    <w:rsid w:val="00BD39DE"/>
    <w:rsid w:val="00BD3E1F"/>
    <w:rsid w:val="00BD4064"/>
    <w:rsid w:val="00BD40AD"/>
    <w:rsid w:val="00BD4265"/>
    <w:rsid w:val="00BD496F"/>
    <w:rsid w:val="00BD539D"/>
    <w:rsid w:val="00BD57BA"/>
    <w:rsid w:val="00BD5DC8"/>
    <w:rsid w:val="00BD6785"/>
    <w:rsid w:val="00BD67A4"/>
    <w:rsid w:val="00BD770F"/>
    <w:rsid w:val="00BD7872"/>
    <w:rsid w:val="00BD7ABA"/>
    <w:rsid w:val="00BD7F60"/>
    <w:rsid w:val="00BE0066"/>
    <w:rsid w:val="00BE0241"/>
    <w:rsid w:val="00BE050A"/>
    <w:rsid w:val="00BE0D93"/>
    <w:rsid w:val="00BE1370"/>
    <w:rsid w:val="00BE1564"/>
    <w:rsid w:val="00BE1DCA"/>
    <w:rsid w:val="00BE20BB"/>
    <w:rsid w:val="00BE220D"/>
    <w:rsid w:val="00BE27F7"/>
    <w:rsid w:val="00BE34A5"/>
    <w:rsid w:val="00BE34C0"/>
    <w:rsid w:val="00BE3A20"/>
    <w:rsid w:val="00BE3DCF"/>
    <w:rsid w:val="00BE4180"/>
    <w:rsid w:val="00BE454E"/>
    <w:rsid w:val="00BE45A7"/>
    <w:rsid w:val="00BE49FA"/>
    <w:rsid w:val="00BE4BE0"/>
    <w:rsid w:val="00BE5516"/>
    <w:rsid w:val="00BE59AE"/>
    <w:rsid w:val="00BE67F9"/>
    <w:rsid w:val="00BE69F2"/>
    <w:rsid w:val="00BE6B3D"/>
    <w:rsid w:val="00BE6D48"/>
    <w:rsid w:val="00BE6FBF"/>
    <w:rsid w:val="00BE7521"/>
    <w:rsid w:val="00BE7BCD"/>
    <w:rsid w:val="00BF025A"/>
    <w:rsid w:val="00BF0416"/>
    <w:rsid w:val="00BF0574"/>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06C"/>
    <w:rsid w:val="00C0122B"/>
    <w:rsid w:val="00C020FE"/>
    <w:rsid w:val="00C0225E"/>
    <w:rsid w:val="00C03C19"/>
    <w:rsid w:val="00C04DAE"/>
    <w:rsid w:val="00C058B3"/>
    <w:rsid w:val="00C05987"/>
    <w:rsid w:val="00C05A01"/>
    <w:rsid w:val="00C05BC1"/>
    <w:rsid w:val="00C05D08"/>
    <w:rsid w:val="00C05EAA"/>
    <w:rsid w:val="00C07164"/>
    <w:rsid w:val="00C076A8"/>
    <w:rsid w:val="00C077A7"/>
    <w:rsid w:val="00C078B0"/>
    <w:rsid w:val="00C07B6D"/>
    <w:rsid w:val="00C07E14"/>
    <w:rsid w:val="00C07FD8"/>
    <w:rsid w:val="00C1001A"/>
    <w:rsid w:val="00C10714"/>
    <w:rsid w:val="00C1074F"/>
    <w:rsid w:val="00C109D2"/>
    <w:rsid w:val="00C116DA"/>
    <w:rsid w:val="00C1174C"/>
    <w:rsid w:val="00C11821"/>
    <w:rsid w:val="00C1270E"/>
    <w:rsid w:val="00C127CE"/>
    <w:rsid w:val="00C13161"/>
    <w:rsid w:val="00C13A36"/>
    <w:rsid w:val="00C1425E"/>
    <w:rsid w:val="00C143F0"/>
    <w:rsid w:val="00C14A7A"/>
    <w:rsid w:val="00C14B78"/>
    <w:rsid w:val="00C14BB9"/>
    <w:rsid w:val="00C14D97"/>
    <w:rsid w:val="00C14DBC"/>
    <w:rsid w:val="00C15213"/>
    <w:rsid w:val="00C15216"/>
    <w:rsid w:val="00C1553F"/>
    <w:rsid w:val="00C15546"/>
    <w:rsid w:val="00C1571B"/>
    <w:rsid w:val="00C157A2"/>
    <w:rsid w:val="00C15A3D"/>
    <w:rsid w:val="00C16601"/>
    <w:rsid w:val="00C16AE3"/>
    <w:rsid w:val="00C17669"/>
    <w:rsid w:val="00C2016F"/>
    <w:rsid w:val="00C223C7"/>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4AAA"/>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A4A"/>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6771"/>
    <w:rsid w:val="00C47423"/>
    <w:rsid w:val="00C47807"/>
    <w:rsid w:val="00C509BD"/>
    <w:rsid w:val="00C50D46"/>
    <w:rsid w:val="00C510C4"/>
    <w:rsid w:val="00C517B0"/>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6C11"/>
    <w:rsid w:val="00C57147"/>
    <w:rsid w:val="00C5764D"/>
    <w:rsid w:val="00C57804"/>
    <w:rsid w:val="00C5780D"/>
    <w:rsid w:val="00C57A1E"/>
    <w:rsid w:val="00C603F1"/>
    <w:rsid w:val="00C60979"/>
    <w:rsid w:val="00C60BB8"/>
    <w:rsid w:val="00C61203"/>
    <w:rsid w:val="00C61BA3"/>
    <w:rsid w:val="00C61D2E"/>
    <w:rsid w:val="00C62AB1"/>
    <w:rsid w:val="00C6346D"/>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C83"/>
    <w:rsid w:val="00C70F4E"/>
    <w:rsid w:val="00C7158A"/>
    <w:rsid w:val="00C7191B"/>
    <w:rsid w:val="00C71D1A"/>
    <w:rsid w:val="00C721E2"/>
    <w:rsid w:val="00C72325"/>
    <w:rsid w:val="00C72358"/>
    <w:rsid w:val="00C724D3"/>
    <w:rsid w:val="00C72DC3"/>
    <w:rsid w:val="00C7361B"/>
    <w:rsid w:val="00C73867"/>
    <w:rsid w:val="00C7388A"/>
    <w:rsid w:val="00C73B20"/>
    <w:rsid w:val="00C73F42"/>
    <w:rsid w:val="00C73FCB"/>
    <w:rsid w:val="00C74204"/>
    <w:rsid w:val="00C745E5"/>
    <w:rsid w:val="00C74AD7"/>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BDC"/>
    <w:rsid w:val="00C83C1F"/>
    <w:rsid w:val="00C84052"/>
    <w:rsid w:val="00C84410"/>
    <w:rsid w:val="00C84604"/>
    <w:rsid w:val="00C84CB5"/>
    <w:rsid w:val="00C85F6E"/>
    <w:rsid w:val="00C86285"/>
    <w:rsid w:val="00C8656A"/>
    <w:rsid w:val="00C86AF8"/>
    <w:rsid w:val="00C86EA9"/>
    <w:rsid w:val="00C8740F"/>
    <w:rsid w:val="00C874E9"/>
    <w:rsid w:val="00C91242"/>
    <w:rsid w:val="00C914A0"/>
    <w:rsid w:val="00C916BE"/>
    <w:rsid w:val="00C9172A"/>
    <w:rsid w:val="00C91B92"/>
    <w:rsid w:val="00C91F20"/>
    <w:rsid w:val="00C92256"/>
    <w:rsid w:val="00C923C1"/>
    <w:rsid w:val="00C925A6"/>
    <w:rsid w:val="00C92F47"/>
    <w:rsid w:val="00C93008"/>
    <w:rsid w:val="00C94326"/>
    <w:rsid w:val="00C94E70"/>
    <w:rsid w:val="00C94F53"/>
    <w:rsid w:val="00C9502D"/>
    <w:rsid w:val="00C95C22"/>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A7D18"/>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4A9"/>
    <w:rsid w:val="00CC0639"/>
    <w:rsid w:val="00CC19B9"/>
    <w:rsid w:val="00CC1C26"/>
    <w:rsid w:val="00CC20EE"/>
    <w:rsid w:val="00CC248D"/>
    <w:rsid w:val="00CC27E5"/>
    <w:rsid w:val="00CC2DE9"/>
    <w:rsid w:val="00CC2F2B"/>
    <w:rsid w:val="00CC32D2"/>
    <w:rsid w:val="00CC3331"/>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7C"/>
    <w:rsid w:val="00CD3CAE"/>
    <w:rsid w:val="00CD3D7C"/>
    <w:rsid w:val="00CD42C6"/>
    <w:rsid w:val="00CD42D2"/>
    <w:rsid w:val="00CD4F5D"/>
    <w:rsid w:val="00CD63F2"/>
    <w:rsid w:val="00CD664C"/>
    <w:rsid w:val="00CD69C8"/>
    <w:rsid w:val="00CD6A2B"/>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02"/>
    <w:rsid w:val="00CE7A3E"/>
    <w:rsid w:val="00CE7D2B"/>
    <w:rsid w:val="00CE7F51"/>
    <w:rsid w:val="00CF0151"/>
    <w:rsid w:val="00CF1028"/>
    <w:rsid w:val="00CF1D06"/>
    <w:rsid w:val="00CF2171"/>
    <w:rsid w:val="00CF2247"/>
    <w:rsid w:val="00CF22AE"/>
    <w:rsid w:val="00CF2338"/>
    <w:rsid w:val="00CF2C5D"/>
    <w:rsid w:val="00CF2F21"/>
    <w:rsid w:val="00CF3676"/>
    <w:rsid w:val="00CF37AC"/>
    <w:rsid w:val="00CF3933"/>
    <w:rsid w:val="00CF4A11"/>
    <w:rsid w:val="00CF4A1F"/>
    <w:rsid w:val="00CF4DA4"/>
    <w:rsid w:val="00CF4ED2"/>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49B0"/>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88E"/>
    <w:rsid w:val="00D129A8"/>
    <w:rsid w:val="00D130C5"/>
    <w:rsid w:val="00D1327B"/>
    <w:rsid w:val="00D13CE7"/>
    <w:rsid w:val="00D1463D"/>
    <w:rsid w:val="00D1464B"/>
    <w:rsid w:val="00D153D3"/>
    <w:rsid w:val="00D1571C"/>
    <w:rsid w:val="00D1586F"/>
    <w:rsid w:val="00D15891"/>
    <w:rsid w:val="00D15ADF"/>
    <w:rsid w:val="00D15AF3"/>
    <w:rsid w:val="00D15C98"/>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680"/>
    <w:rsid w:val="00D26AAB"/>
    <w:rsid w:val="00D26DCB"/>
    <w:rsid w:val="00D26E08"/>
    <w:rsid w:val="00D271A2"/>
    <w:rsid w:val="00D27578"/>
    <w:rsid w:val="00D275C2"/>
    <w:rsid w:val="00D30772"/>
    <w:rsid w:val="00D307B3"/>
    <w:rsid w:val="00D30B7A"/>
    <w:rsid w:val="00D30F99"/>
    <w:rsid w:val="00D31337"/>
    <w:rsid w:val="00D313B1"/>
    <w:rsid w:val="00D323C3"/>
    <w:rsid w:val="00D323D2"/>
    <w:rsid w:val="00D32E70"/>
    <w:rsid w:val="00D33068"/>
    <w:rsid w:val="00D33469"/>
    <w:rsid w:val="00D33521"/>
    <w:rsid w:val="00D3356B"/>
    <w:rsid w:val="00D34034"/>
    <w:rsid w:val="00D3495E"/>
    <w:rsid w:val="00D34C37"/>
    <w:rsid w:val="00D3599D"/>
    <w:rsid w:val="00D35E3B"/>
    <w:rsid w:val="00D3620B"/>
    <w:rsid w:val="00D36CB7"/>
    <w:rsid w:val="00D37689"/>
    <w:rsid w:val="00D37A23"/>
    <w:rsid w:val="00D37FD8"/>
    <w:rsid w:val="00D400E2"/>
    <w:rsid w:val="00D40221"/>
    <w:rsid w:val="00D4031E"/>
    <w:rsid w:val="00D40528"/>
    <w:rsid w:val="00D40B1E"/>
    <w:rsid w:val="00D4165E"/>
    <w:rsid w:val="00D416B6"/>
    <w:rsid w:val="00D416ED"/>
    <w:rsid w:val="00D41B74"/>
    <w:rsid w:val="00D41C97"/>
    <w:rsid w:val="00D42BC7"/>
    <w:rsid w:val="00D42E82"/>
    <w:rsid w:val="00D42F18"/>
    <w:rsid w:val="00D43002"/>
    <w:rsid w:val="00D438DF"/>
    <w:rsid w:val="00D43BF0"/>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57903"/>
    <w:rsid w:val="00D601AD"/>
    <w:rsid w:val="00D601D5"/>
    <w:rsid w:val="00D6029A"/>
    <w:rsid w:val="00D606D2"/>
    <w:rsid w:val="00D60EB1"/>
    <w:rsid w:val="00D61188"/>
    <w:rsid w:val="00D611BB"/>
    <w:rsid w:val="00D612EA"/>
    <w:rsid w:val="00D614E7"/>
    <w:rsid w:val="00D61EF9"/>
    <w:rsid w:val="00D62284"/>
    <w:rsid w:val="00D62455"/>
    <w:rsid w:val="00D62D21"/>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4CF"/>
    <w:rsid w:val="00D72691"/>
    <w:rsid w:val="00D72887"/>
    <w:rsid w:val="00D73AFA"/>
    <w:rsid w:val="00D74DE6"/>
    <w:rsid w:val="00D751C2"/>
    <w:rsid w:val="00D75289"/>
    <w:rsid w:val="00D75FFE"/>
    <w:rsid w:val="00D761D1"/>
    <w:rsid w:val="00D766C1"/>
    <w:rsid w:val="00D766ED"/>
    <w:rsid w:val="00D76B7B"/>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8FC"/>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C91"/>
    <w:rsid w:val="00D94E86"/>
    <w:rsid w:val="00D95046"/>
    <w:rsid w:val="00D95087"/>
    <w:rsid w:val="00D9511D"/>
    <w:rsid w:val="00D95163"/>
    <w:rsid w:val="00D95270"/>
    <w:rsid w:val="00D95363"/>
    <w:rsid w:val="00D95447"/>
    <w:rsid w:val="00D9719B"/>
    <w:rsid w:val="00D97269"/>
    <w:rsid w:val="00D979A4"/>
    <w:rsid w:val="00D97E5E"/>
    <w:rsid w:val="00DA0334"/>
    <w:rsid w:val="00DA0B22"/>
    <w:rsid w:val="00DA0F0C"/>
    <w:rsid w:val="00DA2B9D"/>
    <w:rsid w:val="00DA2BE8"/>
    <w:rsid w:val="00DA32A7"/>
    <w:rsid w:val="00DA45C1"/>
    <w:rsid w:val="00DA538D"/>
    <w:rsid w:val="00DA5727"/>
    <w:rsid w:val="00DA5B85"/>
    <w:rsid w:val="00DA5D52"/>
    <w:rsid w:val="00DA5E13"/>
    <w:rsid w:val="00DA67F5"/>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926"/>
    <w:rsid w:val="00DB7D8F"/>
    <w:rsid w:val="00DC00E0"/>
    <w:rsid w:val="00DC0153"/>
    <w:rsid w:val="00DC02A2"/>
    <w:rsid w:val="00DC03E3"/>
    <w:rsid w:val="00DC0727"/>
    <w:rsid w:val="00DC089E"/>
    <w:rsid w:val="00DC090E"/>
    <w:rsid w:val="00DC0E89"/>
    <w:rsid w:val="00DC0FE0"/>
    <w:rsid w:val="00DC0FE1"/>
    <w:rsid w:val="00DC101E"/>
    <w:rsid w:val="00DC1E3A"/>
    <w:rsid w:val="00DC26DD"/>
    <w:rsid w:val="00DC2705"/>
    <w:rsid w:val="00DC298E"/>
    <w:rsid w:val="00DC3BAE"/>
    <w:rsid w:val="00DC3C40"/>
    <w:rsid w:val="00DC3F94"/>
    <w:rsid w:val="00DC42FB"/>
    <w:rsid w:val="00DC450F"/>
    <w:rsid w:val="00DC4568"/>
    <w:rsid w:val="00DC4633"/>
    <w:rsid w:val="00DC5A5F"/>
    <w:rsid w:val="00DC601D"/>
    <w:rsid w:val="00DC63BD"/>
    <w:rsid w:val="00DC6870"/>
    <w:rsid w:val="00DC73E3"/>
    <w:rsid w:val="00DC7E75"/>
    <w:rsid w:val="00DD00B3"/>
    <w:rsid w:val="00DD03B2"/>
    <w:rsid w:val="00DD04AD"/>
    <w:rsid w:val="00DD067F"/>
    <w:rsid w:val="00DD07A6"/>
    <w:rsid w:val="00DD0819"/>
    <w:rsid w:val="00DD099F"/>
    <w:rsid w:val="00DD0A45"/>
    <w:rsid w:val="00DD0A9A"/>
    <w:rsid w:val="00DD0B57"/>
    <w:rsid w:val="00DD0DC2"/>
    <w:rsid w:val="00DD1011"/>
    <w:rsid w:val="00DD2ADE"/>
    <w:rsid w:val="00DD2B00"/>
    <w:rsid w:val="00DD2BEE"/>
    <w:rsid w:val="00DD332D"/>
    <w:rsid w:val="00DD336E"/>
    <w:rsid w:val="00DD348F"/>
    <w:rsid w:val="00DD34BB"/>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2F"/>
    <w:rsid w:val="00DE156F"/>
    <w:rsid w:val="00DE19B3"/>
    <w:rsid w:val="00DE2F0B"/>
    <w:rsid w:val="00DE3D98"/>
    <w:rsid w:val="00DE463D"/>
    <w:rsid w:val="00DE5128"/>
    <w:rsid w:val="00DE5626"/>
    <w:rsid w:val="00DE58E6"/>
    <w:rsid w:val="00DE6239"/>
    <w:rsid w:val="00DE6549"/>
    <w:rsid w:val="00DE6678"/>
    <w:rsid w:val="00DE7052"/>
    <w:rsid w:val="00DE7079"/>
    <w:rsid w:val="00DE7299"/>
    <w:rsid w:val="00DE7481"/>
    <w:rsid w:val="00DE7555"/>
    <w:rsid w:val="00DF04C4"/>
    <w:rsid w:val="00DF11D7"/>
    <w:rsid w:val="00DF14E9"/>
    <w:rsid w:val="00DF1853"/>
    <w:rsid w:val="00DF1E0A"/>
    <w:rsid w:val="00DF1ED2"/>
    <w:rsid w:val="00DF24E4"/>
    <w:rsid w:val="00DF253E"/>
    <w:rsid w:val="00DF267A"/>
    <w:rsid w:val="00DF26AD"/>
    <w:rsid w:val="00DF2BF9"/>
    <w:rsid w:val="00DF3508"/>
    <w:rsid w:val="00DF431A"/>
    <w:rsid w:val="00DF5222"/>
    <w:rsid w:val="00DF5A4E"/>
    <w:rsid w:val="00DF5DCE"/>
    <w:rsid w:val="00DF60A7"/>
    <w:rsid w:val="00DF65E2"/>
    <w:rsid w:val="00DF65F5"/>
    <w:rsid w:val="00DF6AAB"/>
    <w:rsid w:val="00DF6DD2"/>
    <w:rsid w:val="00DF7EB5"/>
    <w:rsid w:val="00DF7ECF"/>
    <w:rsid w:val="00E001CF"/>
    <w:rsid w:val="00E00B26"/>
    <w:rsid w:val="00E00E9B"/>
    <w:rsid w:val="00E01B15"/>
    <w:rsid w:val="00E01C9B"/>
    <w:rsid w:val="00E02586"/>
    <w:rsid w:val="00E026A4"/>
    <w:rsid w:val="00E02824"/>
    <w:rsid w:val="00E02A72"/>
    <w:rsid w:val="00E038AF"/>
    <w:rsid w:val="00E03A1E"/>
    <w:rsid w:val="00E03DB0"/>
    <w:rsid w:val="00E03EA8"/>
    <w:rsid w:val="00E046C2"/>
    <w:rsid w:val="00E04B26"/>
    <w:rsid w:val="00E05517"/>
    <w:rsid w:val="00E0558D"/>
    <w:rsid w:val="00E05820"/>
    <w:rsid w:val="00E06366"/>
    <w:rsid w:val="00E065C4"/>
    <w:rsid w:val="00E0663F"/>
    <w:rsid w:val="00E0670A"/>
    <w:rsid w:val="00E06D52"/>
    <w:rsid w:val="00E075BA"/>
    <w:rsid w:val="00E075CA"/>
    <w:rsid w:val="00E07A97"/>
    <w:rsid w:val="00E07C11"/>
    <w:rsid w:val="00E07C39"/>
    <w:rsid w:val="00E07E63"/>
    <w:rsid w:val="00E10042"/>
    <w:rsid w:val="00E10983"/>
    <w:rsid w:val="00E10E37"/>
    <w:rsid w:val="00E1177E"/>
    <w:rsid w:val="00E11954"/>
    <w:rsid w:val="00E11A9B"/>
    <w:rsid w:val="00E11F15"/>
    <w:rsid w:val="00E12210"/>
    <w:rsid w:val="00E12536"/>
    <w:rsid w:val="00E12C7B"/>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733"/>
    <w:rsid w:val="00E24FDC"/>
    <w:rsid w:val="00E251DE"/>
    <w:rsid w:val="00E2579A"/>
    <w:rsid w:val="00E26ABF"/>
    <w:rsid w:val="00E271B9"/>
    <w:rsid w:val="00E300CB"/>
    <w:rsid w:val="00E3065C"/>
    <w:rsid w:val="00E308C4"/>
    <w:rsid w:val="00E30AB1"/>
    <w:rsid w:val="00E311CA"/>
    <w:rsid w:val="00E312DC"/>
    <w:rsid w:val="00E317A1"/>
    <w:rsid w:val="00E3185A"/>
    <w:rsid w:val="00E31C91"/>
    <w:rsid w:val="00E32D55"/>
    <w:rsid w:val="00E337A3"/>
    <w:rsid w:val="00E33F4F"/>
    <w:rsid w:val="00E342A6"/>
    <w:rsid w:val="00E344DF"/>
    <w:rsid w:val="00E34E56"/>
    <w:rsid w:val="00E36A43"/>
    <w:rsid w:val="00E36E90"/>
    <w:rsid w:val="00E37057"/>
    <w:rsid w:val="00E401CE"/>
    <w:rsid w:val="00E406CB"/>
    <w:rsid w:val="00E4108D"/>
    <w:rsid w:val="00E411D0"/>
    <w:rsid w:val="00E4177B"/>
    <w:rsid w:val="00E41FBA"/>
    <w:rsid w:val="00E43084"/>
    <w:rsid w:val="00E43371"/>
    <w:rsid w:val="00E43936"/>
    <w:rsid w:val="00E44175"/>
    <w:rsid w:val="00E447B6"/>
    <w:rsid w:val="00E44F03"/>
    <w:rsid w:val="00E44F68"/>
    <w:rsid w:val="00E45667"/>
    <w:rsid w:val="00E465D1"/>
    <w:rsid w:val="00E46B8E"/>
    <w:rsid w:val="00E46E30"/>
    <w:rsid w:val="00E47A19"/>
    <w:rsid w:val="00E47A6D"/>
    <w:rsid w:val="00E47C15"/>
    <w:rsid w:val="00E47FEE"/>
    <w:rsid w:val="00E50285"/>
    <w:rsid w:val="00E5068A"/>
    <w:rsid w:val="00E50758"/>
    <w:rsid w:val="00E51E7B"/>
    <w:rsid w:val="00E52B15"/>
    <w:rsid w:val="00E53064"/>
    <w:rsid w:val="00E531B7"/>
    <w:rsid w:val="00E5391B"/>
    <w:rsid w:val="00E53DAC"/>
    <w:rsid w:val="00E53E0B"/>
    <w:rsid w:val="00E53FFA"/>
    <w:rsid w:val="00E5461F"/>
    <w:rsid w:val="00E54B00"/>
    <w:rsid w:val="00E55E46"/>
    <w:rsid w:val="00E55E70"/>
    <w:rsid w:val="00E56447"/>
    <w:rsid w:val="00E5674B"/>
    <w:rsid w:val="00E567A7"/>
    <w:rsid w:val="00E567AF"/>
    <w:rsid w:val="00E56BBB"/>
    <w:rsid w:val="00E56CB4"/>
    <w:rsid w:val="00E572A0"/>
    <w:rsid w:val="00E573B7"/>
    <w:rsid w:val="00E5791D"/>
    <w:rsid w:val="00E57B32"/>
    <w:rsid w:val="00E57E6B"/>
    <w:rsid w:val="00E6020C"/>
    <w:rsid w:val="00E60490"/>
    <w:rsid w:val="00E60D84"/>
    <w:rsid w:val="00E6164B"/>
    <w:rsid w:val="00E61BB1"/>
    <w:rsid w:val="00E620F9"/>
    <w:rsid w:val="00E6224A"/>
    <w:rsid w:val="00E627EF"/>
    <w:rsid w:val="00E62AF2"/>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A6A"/>
    <w:rsid w:val="00E70E0C"/>
    <w:rsid w:val="00E71226"/>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5FA3"/>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87F41"/>
    <w:rsid w:val="00E902E1"/>
    <w:rsid w:val="00E909A2"/>
    <w:rsid w:val="00E90A2C"/>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7D6"/>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49B"/>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20"/>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8A2"/>
    <w:rsid w:val="00EC6B85"/>
    <w:rsid w:val="00EC6D6A"/>
    <w:rsid w:val="00EC7371"/>
    <w:rsid w:val="00EC73A4"/>
    <w:rsid w:val="00EC7AE1"/>
    <w:rsid w:val="00ED0322"/>
    <w:rsid w:val="00ED1C05"/>
    <w:rsid w:val="00ED1F93"/>
    <w:rsid w:val="00ED22D1"/>
    <w:rsid w:val="00ED3320"/>
    <w:rsid w:val="00ED35D6"/>
    <w:rsid w:val="00ED3A4E"/>
    <w:rsid w:val="00ED3E50"/>
    <w:rsid w:val="00ED4189"/>
    <w:rsid w:val="00ED4BD4"/>
    <w:rsid w:val="00ED5345"/>
    <w:rsid w:val="00ED58C7"/>
    <w:rsid w:val="00ED5C57"/>
    <w:rsid w:val="00ED5DE8"/>
    <w:rsid w:val="00ED6296"/>
    <w:rsid w:val="00ED6310"/>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739"/>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B11"/>
    <w:rsid w:val="00EF5D3A"/>
    <w:rsid w:val="00EF5DD4"/>
    <w:rsid w:val="00EF6611"/>
    <w:rsid w:val="00EF6A94"/>
    <w:rsid w:val="00EF6C81"/>
    <w:rsid w:val="00EF7745"/>
    <w:rsid w:val="00F01150"/>
    <w:rsid w:val="00F0122E"/>
    <w:rsid w:val="00F012C7"/>
    <w:rsid w:val="00F01636"/>
    <w:rsid w:val="00F04D8D"/>
    <w:rsid w:val="00F05512"/>
    <w:rsid w:val="00F05B6A"/>
    <w:rsid w:val="00F067A9"/>
    <w:rsid w:val="00F06A3B"/>
    <w:rsid w:val="00F06C6C"/>
    <w:rsid w:val="00F070A8"/>
    <w:rsid w:val="00F074C4"/>
    <w:rsid w:val="00F07A94"/>
    <w:rsid w:val="00F07AFD"/>
    <w:rsid w:val="00F07B2B"/>
    <w:rsid w:val="00F1085D"/>
    <w:rsid w:val="00F11B05"/>
    <w:rsid w:val="00F11D17"/>
    <w:rsid w:val="00F11D30"/>
    <w:rsid w:val="00F11D48"/>
    <w:rsid w:val="00F120BC"/>
    <w:rsid w:val="00F12812"/>
    <w:rsid w:val="00F133D8"/>
    <w:rsid w:val="00F135D6"/>
    <w:rsid w:val="00F13E9C"/>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92A"/>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680"/>
    <w:rsid w:val="00F4580F"/>
    <w:rsid w:val="00F45D60"/>
    <w:rsid w:val="00F45E80"/>
    <w:rsid w:val="00F4670B"/>
    <w:rsid w:val="00F4679B"/>
    <w:rsid w:val="00F46822"/>
    <w:rsid w:val="00F46A60"/>
    <w:rsid w:val="00F46BFD"/>
    <w:rsid w:val="00F46F80"/>
    <w:rsid w:val="00F46FC5"/>
    <w:rsid w:val="00F470F4"/>
    <w:rsid w:val="00F478FE"/>
    <w:rsid w:val="00F5018C"/>
    <w:rsid w:val="00F5020E"/>
    <w:rsid w:val="00F50D00"/>
    <w:rsid w:val="00F50EAF"/>
    <w:rsid w:val="00F51076"/>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7D9"/>
    <w:rsid w:val="00F60A0B"/>
    <w:rsid w:val="00F60F35"/>
    <w:rsid w:val="00F610D5"/>
    <w:rsid w:val="00F613D7"/>
    <w:rsid w:val="00F61508"/>
    <w:rsid w:val="00F61D8B"/>
    <w:rsid w:val="00F6241F"/>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3874"/>
    <w:rsid w:val="00F7458E"/>
    <w:rsid w:val="00F75193"/>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6CA"/>
    <w:rsid w:val="00F92B8E"/>
    <w:rsid w:val="00F92DAE"/>
    <w:rsid w:val="00F9330F"/>
    <w:rsid w:val="00F93502"/>
    <w:rsid w:val="00F939C5"/>
    <w:rsid w:val="00F93C2E"/>
    <w:rsid w:val="00F93C56"/>
    <w:rsid w:val="00F94A41"/>
    <w:rsid w:val="00F94D04"/>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878"/>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B7379"/>
    <w:rsid w:val="00FC01A9"/>
    <w:rsid w:val="00FC029E"/>
    <w:rsid w:val="00FC129C"/>
    <w:rsid w:val="00FC12AE"/>
    <w:rsid w:val="00FC2C6B"/>
    <w:rsid w:val="00FC2FFA"/>
    <w:rsid w:val="00FC37AB"/>
    <w:rsid w:val="00FC37D3"/>
    <w:rsid w:val="00FC468F"/>
    <w:rsid w:val="00FC568D"/>
    <w:rsid w:val="00FC5B5F"/>
    <w:rsid w:val="00FC60EB"/>
    <w:rsid w:val="00FC643F"/>
    <w:rsid w:val="00FC6B10"/>
    <w:rsid w:val="00FC71BF"/>
    <w:rsid w:val="00FC7642"/>
    <w:rsid w:val="00FC7934"/>
    <w:rsid w:val="00FC7CC8"/>
    <w:rsid w:val="00FD045A"/>
    <w:rsid w:val="00FD0558"/>
    <w:rsid w:val="00FD0559"/>
    <w:rsid w:val="00FD06A9"/>
    <w:rsid w:val="00FD0E50"/>
    <w:rsid w:val="00FD12D4"/>
    <w:rsid w:val="00FD153C"/>
    <w:rsid w:val="00FD162A"/>
    <w:rsid w:val="00FD1720"/>
    <w:rsid w:val="00FD17EE"/>
    <w:rsid w:val="00FD1D49"/>
    <w:rsid w:val="00FD1F78"/>
    <w:rsid w:val="00FD2202"/>
    <w:rsid w:val="00FD221E"/>
    <w:rsid w:val="00FD29CC"/>
    <w:rsid w:val="00FD30B9"/>
    <w:rsid w:val="00FD329E"/>
    <w:rsid w:val="00FD3305"/>
    <w:rsid w:val="00FD4D4D"/>
    <w:rsid w:val="00FD50D3"/>
    <w:rsid w:val="00FD51B8"/>
    <w:rsid w:val="00FD526E"/>
    <w:rsid w:val="00FD5315"/>
    <w:rsid w:val="00FD56BF"/>
    <w:rsid w:val="00FD5A05"/>
    <w:rsid w:val="00FD5CA9"/>
    <w:rsid w:val="00FD5F19"/>
    <w:rsid w:val="00FD5FC7"/>
    <w:rsid w:val="00FD64A3"/>
    <w:rsid w:val="00FD6738"/>
    <w:rsid w:val="00FD67FE"/>
    <w:rsid w:val="00FD6AB6"/>
    <w:rsid w:val="00FD75B3"/>
    <w:rsid w:val="00FD7BCE"/>
    <w:rsid w:val="00FE0485"/>
    <w:rsid w:val="00FE05A0"/>
    <w:rsid w:val="00FE10FA"/>
    <w:rsid w:val="00FE1483"/>
    <w:rsid w:val="00FE169D"/>
    <w:rsid w:val="00FE1B80"/>
    <w:rsid w:val="00FE1BB6"/>
    <w:rsid w:val="00FE1D47"/>
    <w:rsid w:val="00FE1D9D"/>
    <w:rsid w:val="00FE21C0"/>
    <w:rsid w:val="00FE2C95"/>
    <w:rsid w:val="00FE33AC"/>
    <w:rsid w:val="00FE3869"/>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5C"/>
    <w:rsid w:val="00FF266D"/>
    <w:rsid w:val="00FF2698"/>
    <w:rsid w:val="00FF2B59"/>
    <w:rsid w:val="00FF2B8B"/>
    <w:rsid w:val="00FF332C"/>
    <w:rsid w:val="00FF37B0"/>
    <w:rsid w:val="00FF3CA6"/>
    <w:rsid w:val="00FF4C61"/>
    <w:rsid w:val="00FF504C"/>
    <w:rsid w:val="00FF5557"/>
    <w:rsid w:val="00FF564D"/>
    <w:rsid w:val="00FF65BA"/>
    <w:rsid w:val="00FF6853"/>
    <w:rsid w:val="00FF7348"/>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3A75C"/>
  <w15:docId w15:val="{B3F39AAA-E177-1748-BA11-F0D994FD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3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paragraph" w:styleId="ListeParagraf">
    <w:name w:val="List Paragraph"/>
    <w:basedOn w:val="Normal"/>
    <w:uiPriority w:val="34"/>
    <w:qFormat/>
    <w:rsid w:val="008D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5452987">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486889">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998432">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1391661">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1994947153">
      <w:bodyDiv w:val="1"/>
      <w:marLeft w:val="0"/>
      <w:marRight w:val="0"/>
      <w:marTop w:val="0"/>
      <w:marBottom w:val="0"/>
      <w:divBdr>
        <w:top w:val="none" w:sz="0" w:space="0" w:color="auto"/>
        <w:left w:val="none" w:sz="0" w:space="0" w:color="auto"/>
        <w:bottom w:val="none" w:sz="0" w:space="0" w:color="auto"/>
        <w:right w:val="none" w:sz="0" w:space="0" w:color="auto"/>
      </w:divBdr>
    </w:div>
    <w:div w:id="1999847335">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reng.com/tr/turkce-ingilizce/value-added%20ta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reng.com/tr/turkce-ingilizce/value-added%20ta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mailto:ozan.bakis@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hcesehir-my.sharepoint.com/personal/ozan_bakis_eas_bau_edu_tr/Documents/betam_ortak/tak/Asgari%20Ucret%20ve%20Enflasyon/AN_07082022/minwage_cpi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9706147842631"/>
          <c:y val="3.5092796205054469E-2"/>
          <c:w val="0.71671162632448726"/>
          <c:h val="0.60676328502415455"/>
        </c:manualLayout>
      </c:layout>
      <c:lineChart>
        <c:grouping val="standard"/>
        <c:varyColors val="0"/>
        <c:ser>
          <c:idx val="2"/>
          <c:order val="1"/>
          <c:tx>
            <c:strRef>
              <c:f>Sheet1!$E$3</c:f>
              <c:strCache>
                <c:ptCount val="1"/>
                <c:pt idx="0">
                  <c:v>CPI (left axix)</c:v>
                </c:pt>
              </c:strCache>
            </c:strRef>
          </c:tx>
          <c:spPr>
            <a:ln w="28575" cap="rnd">
              <a:solidFill>
                <a:srgbClr val="00B0F0"/>
              </a:solidFill>
              <a:round/>
            </a:ln>
            <a:effectLst/>
          </c:spPr>
          <c:marker>
            <c:symbol val="none"/>
          </c:marker>
          <c:cat>
            <c:strRef>
              <c:f>Sheet1!$B$4:$B$23</c:f>
              <c:strCache>
                <c:ptCount val="20"/>
                <c:pt idx="0">
                  <c:v>2003m6</c:v>
                </c:pt>
                <c:pt idx="1">
                  <c:v>2004m6</c:v>
                </c:pt>
                <c:pt idx="2">
                  <c:v>2005m6</c:v>
                </c:pt>
                <c:pt idx="3">
                  <c:v>2006m6</c:v>
                </c:pt>
                <c:pt idx="4">
                  <c:v>2007m6</c:v>
                </c:pt>
                <c:pt idx="5">
                  <c:v>2008m6</c:v>
                </c:pt>
                <c:pt idx="6">
                  <c:v>2009m6</c:v>
                </c:pt>
                <c:pt idx="7">
                  <c:v>2010m6</c:v>
                </c:pt>
                <c:pt idx="8">
                  <c:v>2011m6</c:v>
                </c:pt>
                <c:pt idx="9">
                  <c:v>2012m6</c:v>
                </c:pt>
                <c:pt idx="10">
                  <c:v>2013m6</c:v>
                </c:pt>
                <c:pt idx="11">
                  <c:v>2014m6</c:v>
                </c:pt>
                <c:pt idx="12">
                  <c:v>2015m6</c:v>
                </c:pt>
                <c:pt idx="13">
                  <c:v>2016m6</c:v>
                </c:pt>
                <c:pt idx="14">
                  <c:v>2017m6</c:v>
                </c:pt>
                <c:pt idx="15">
                  <c:v>2018m6</c:v>
                </c:pt>
                <c:pt idx="16">
                  <c:v>2019m6</c:v>
                </c:pt>
                <c:pt idx="17">
                  <c:v>2020m6</c:v>
                </c:pt>
                <c:pt idx="18">
                  <c:v>2021m6</c:v>
                </c:pt>
                <c:pt idx="19">
                  <c:v>2022m6</c:v>
                </c:pt>
              </c:strCache>
            </c:strRef>
          </c:cat>
          <c:val>
            <c:numRef>
              <c:f>Sheet1!$E$4:$E$23</c:f>
              <c:numCache>
                <c:formatCode>0</c:formatCode>
                <c:ptCount val="20"/>
                <c:pt idx="0">
                  <c:v>100</c:v>
                </c:pt>
                <c:pt idx="1">
                  <c:v>107.1</c:v>
                </c:pt>
                <c:pt idx="2">
                  <c:v>116.7</c:v>
                </c:pt>
                <c:pt idx="3">
                  <c:v>128.5</c:v>
                </c:pt>
                <c:pt idx="4">
                  <c:v>139.5</c:v>
                </c:pt>
                <c:pt idx="5">
                  <c:v>154.30000000000001</c:v>
                </c:pt>
                <c:pt idx="6">
                  <c:v>163.19999999999999</c:v>
                </c:pt>
                <c:pt idx="7">
                  <c:v>176.8</c:v>
                </c:pt>
                <c:pt idx="8">
                  <c:v>187.9</c:v>
                </c:pt>
                <c:pt idx="9">
                  <c:v>204.5</c:v>
                </c:pt>
                <c:pt idx="10">
                  <c:v>221.5</c:v>
                </c:pt>
                <c:pt idx="11">
                  <c:v>241.8</c:v>
                </c:pt>
                <c:pt idx="12">
                  <c:v>259.2</c:v>
                </c:pt>
                <c:pt idx="13">
                  <c:v>279</c:v>
                </c:pt>
                <c:pt idx="14">
                  <c:v>309.39999999999998</c:v>
                </c:pt>
                <c:pt idx="15">
                  <c:v>357</c:v>
                </c:pt>
                <c:pt idx="16">
                  <c:v>413.1</c:v>
                </c:pt>
                <c:pt idx="17">
                  <c:v>465.3</c:v>
                </c:pt>
                <c:pt idx="18">
                  <c:v>546.79999999999995</c:v>
                </c:pt>
                <c:pt idx="19">
                  <c:v>976.7</c:v>
                </c:pt>
              </c:numCache>
            </c:numRef>
          </c:val>
          <c:smooth val="0"/>
          <c:extLst>
            <c:ext xmlns:c16="http://schemas.microsoft.com/office/drawing/2014/chart" uri="{C3380CC4-5D6E-409C-BE32-E72D297353CC}">
              <c16:uniqueId val="{00000000-21C6-4A1F-9AF6-5F60B3727427}"/>
            </c:ext>
          </c:extLst>
        </c:ser>
        <c:dLbls>
          <c:showLegendKey val="0"/>
          <c:showVal val="0"/>
          <c:showCatName val="0"/>
          <c:showSerName val="0"/>
          <c:showPercent val="0"/>
          <c:showBubbleSize val="0"/>
        </c:dLbls>
        <c:marker val="1"/>
        <c:smooth val="0"/>
        <c:axId val="324567808"/>
        <c:axId val="324570496"/>
      </c:lineChart>
      <c:lineChart>
        <c:grouping val="standard"/>
        <c:varyColors val="0"/>
        <c:ser>
          <c:idx val="0"/>
          <c:order val="0"/>
          <c:tx>
            <c:strRef>
              <c:f>Sheet1!$C$3</c:f>
              <c:strCache>
                <c:ptCount val="1"/>
                <c:pt idx="0">
                  <c:v>Real minimum wage</c:v>
                </c:pt>
              </c:strCache>
            </c:strRef>
          </c:tx>
          <c:spPr>
            <a:ln w="28575" cap="rnd">
              <a:solidFill>
                <a:srgbClr val="C00000"/>
              </a:solidFill>
              <a:round/>
            </a:ln>
            <a:effectLst/>
          </c:spPr>
          <c:marker>
            <c:symbol val="none"/>
          </c:marker>
          <c:cat>
            <c:strRef>
              <c:f>Sheet1!$B$4:$B$23</c:f>
              <c:strCache>
                <c:ptCount val="20"/>
                <c:pt idx="0">
                  <c:v>2003m6</c:v>
                </c:pt>
                <c:pt idx="1">
                  <c:v>2004m6</c:v>
                </c:pt>
                <c:pt idx="2">
                  <c:v>2005m6</c:v>
                </c:pt>
                <c:pt idx="3">
                  <c:v>2006m6</c:v>
                </c:pt>
                <c:pt idx="4">
                  <c:v>2007m6</c:v>
                </c:pt>
                <c:pt idx="5">
                  <c:v>2008m6</c:v>
                </c:pt>
                <c:pt idx="6">
                  <c:v>2009m6</c:v>
                </c:pt>
                <c:pt idx="7">
                  <c:v>2010m6</c:v>
                </c:pt>
                <c:pt idx="8">
                  <c:v>2011m6</c:v>
                </c:pt>
                <c:pt idx="9">
                  <c:v>2012m6</c:v>
                </c:pt>
                <c:pt idx="10">
                  <c:v>2013m6</c:v>
                </c:pt>
                <c:pt idx="11">
                  <c:v>2014m6</c:v>
                </c:pt>
                <c:pt idx="12">
                  <c:v>2015m6</c:v>
                </c:pt>
                <c:pt idx="13">
                  <c:v>2016m6</c:v>
                </c:pt>
                <c:pt idx="14">
                  <c:v>2017m6</c:v>
                </c:pt>
                <c:pt idx="15">
                  <c:v>2018m6</c:v>
                </c:pt>
                <c:pt idx="16">
                  <c:v>2019m6</c:v>
                </c:pt>
                <c:pt idx="17">
                  <c:v>2020m6</c:v>
                </c:pt>
                <c:pt idx="18">
                  <c:v>2021m6</c:v>
                </c:pt>
                <c:pt idx="19">
                  <c:v>2022m6</c:v>
                </c:pt>
              </c:strCache>
            </c:strRef>
          </c:cat>
          <c:val>
            <c:numRef>
              <c:f>Sheet1!$C$4:$C$23</c:f>
              <c:numCache>
                <c:formatCode>0</c:formatCode>
                <c:ptCount val="20"/>
                <c:pt idx="0">
                  <c:v>226</c:v>
                </c:pt>
                <c:pt idx="1">
                  <c:v>297</c:v>
                </c:pt>
                <c:pt idx="2">
                  <c:v>300</c:v>
                </c:pt>
                <c:pt idx="3">
                  <c:v>296</c:v>
                </c:pt>
                <c:pt idx="4">
                  <c:v>300</c:v>
                </c:pt>
                <c:pt idx="5">
                  <c:v>326</c:v>
                </c:pt>
                <c:pt idx="6">
                  <c:v>335</c:v>
                </c:pt>
                <c:pt idx="7">
                  <c:v>339</c:v>
                </c:pt>
                <c:pt idx="8">
                  <c:v>351</c:v>
                </c:pt>
                <c:pt idx="9">
                  <c:v>362</c:v>
                </c:pt>
                <c:pt idx="10">
                  <c:v>363</c:v>
                </c:pt>
                <c:pt idx="11">
                  <c:v>369</c:v>
                </c:pt>
                <c:pt idx="12">
                  <c:v>386</c:v>
                </c:pt>
                <c:pt idx="13">
                  <c:v>466</c:v>
                </c:pt>
                <c:pt idx="14">
                  <c:v>454</c:v>
                </c:pt>
                <c:pt idx="15">
                  <c:v>449</c:v>
                </c:pt>
                <c:pt idx="16">
                  <c:v>489</c:v>
                </c:pt>
                <c:pt idx="17">
                  <c:v>500</c:v>
                </c:pt>
                <c:pt idx="18">
                  <c:v>517</c:v>
                </c:pt>
                <c:pt idx="19">
                  <c:v>435</c:v>
                </c:pt>
              </c:numCache>
            </c:numRef>
          </c:val>
          <c:smooth val="0"/>
          <c:extLst>
            <c:ext xmlns:c16="http://schemas.microsoft.com/office/drawing/2014/chart" uri="{C3380CC4-5D6E-409C-BE32-E72D297353CC}">
              <c16:uniqueId val="{00000001-21C6-4A1F-9AF6-5F60B3727427}"/>
            </c:ext>
          </c:extLst>
        </c:ser>
        <c:dLbls>
          <c:showLegendKey val="0"/>
          <c:showVal val="0"/>
          <c:showCatName val="0"/>
          <c:showSerName val="0"/>
          <c:showPercent val="0"/>
          <c:showBubbleSize val="0"/>
        </c:dLbls>
        <c:marker val="1"/>
        <c:smooth val="0"/>
        <c:axId val="325955968"/>
        <c:axId val="325826048"/>
      </c:lineChart>
      <c:catAx>
        <c:axId val="3245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324570496"/>
        <c:crosses val="autoZero"/>
        <c:auto val="1"/>
        <c:lblAlgn val="ctr"/>
        <c:lblOffset val="100"/>
        <c:noMultiLvlLbl val="0"/>
      </c:catAx>
      <c:valAx>
        <c:axId val="324570496"/>
        <c:scaling>
          <c:orientation val="minMax"/>
          <c:max val="1100"/>
          <c:min val="10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 Index</a:t>
                </a:r>
              </a:p>
            </c:rich>
          </c:tx>
          <c:layout>
            <c:manualLayout>
              <c:xMode val="edge"/>
              <c:yMode val="edge"/>
              <c:x val="1.3242403836867325E-2"/>
              <c:y val="0.3641795746361226"/>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324567808"/>
        <c:crosses val="autoZero"/>
        <c:crossBetween val="between"/>
        <c:majorUnit val="200"/>
      </c:valAx>
      <c:valAx>
        <c:axId val="325826048"/>
        <c:scaling>
          <c:orientation val="minMax"/>
          <c:max val="600"/>
          <c:min val="200"/>
        </c:scaling>
        <c:delete val="0"/>
        <c:axPos val="r"/>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a:t>
                </a:r>
                <a:r>
                  <a:rPr lang="tr-TR" sz="1200"/>
                  <a:t>urkish</a:t>
                </a:r>
                <a:r>
                  <a:rPr lang="tr-TR" sz="1200" baseline="0"/>
                  <a:t> Lira </a:t>
                </a:r>
                <a:endParaRPr lang="en-US" sz="1200"/>
              </a:p>
            </c:rich>
          </c:tx>
          <c:layout>
            <c:manualLayout>
              <c:xMode val="edge"/>
              <c:yMode val="edge"/>
              <c:x val="0.94733590861676553"/>
              <c:y val="0.37056812147282231"/>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325955968"/>
        <c:crosses val="max"/>
        <c:crossBetween val="between"/>
        <c:majorUnit val="100"/>
      </c:valAx>
      <c:catAx>
        <c:axId val="325955968"/>
        <c:scaling>
          <c:orientation val="minMax"/>
        </c:scaling>
        <c:delete val="1"/>
        <c:axPos val="b"/>
        <c:numFmt formatCode="General" sourceLinked="1"/>
        <c:majorTickMark val="out"/>
        <c:minorTickMark val="none"/>
        <c:tickLblPos val="nextTo"/>
        <c:crossAx val="325826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FF4-3B19-4A20-9A5F-7A500806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1471</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 Akgul</cp:lastModifiedBy>
  <cp:revision>15</cp:revision>
  <cp:lastPrinted>2021-05-02T15:06:00Z</cp:lastPrinted>
  <dcterms:created xsi:type="dcterms:W3CDTF">2022-11-30T12:43:00Z</dcterms:created>
  <dcterms:modified xsi:type="dcterms:W3CDTF">2022-12-01T11:46:00Z</dcterms:modified>
</cp:coreProperties>
</file>