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236BDB19" w:rsidR="00917330" w:rsidRPr="006679E6" w:rsidRDefault="00917330">
      <w:pPr>
        <w:rPr>
          <w:rFonts w:ascii="Palatino Linotype" w:hAnsi="Palatino Linotype" w:cstheme="minorHAnsi"/>
          <w:lang w:val="en-US"/>
        </w:rPr>
      </w:pPr>
    </w:p>
    <w:p w14:paraId="4E745BEF" w14:textId="6DA5E1DA" w:rsidR="00D07713" w:rsidRPr="006679E6" w:rsidRDefault="00062A8A">
      <w:pPr>
        <w:rPr>
          <w:rFonts w:ascii="Palatino Linotype" w:hAnsi="Palatino Linotype" w:cstheme="minorHAnsi"/>
          <w:lang w:val="en-US"/>
        </w:rPr>
      </w:pPr>
      <w:r w:rsidRPr="006679E6">
        <w:rPr>
          <w:rFonts w:ascii="Palatino Linotype" w:hAnsi="Palatino Linotype" w:cstheme="minorHAnsi"/>
          <w:noProof/>
          <w:lang w:val="en-GB" w:eastAsia="en-GB"/>
        </w:rPr>
        <mc:AlternateContent>
          <mc:Choice Requires="wps">
            <w:drawing>
              <wp:anchor distT="0" distB="0" distL="114935" distR="114935" simplePos="0" relativeHeight="251659264" behindDoc="0" locked="0" layoutInCell="1" allowOverlap="1" wp14:anchorId="3C0B86FB" wp14:editId="5F6FCC95">
                <wp:simplePos x="0" y="0"/>
                <wp:positionH relativeFrom="column">
                  <wp:posOffset>5086335</wp:posOffset>
                </wp:positionH>
                <wp:positionV relativeFrom="paragraph">
                  <wp:posOffset>53414</wp:posOffset>
                </wp:positionV>
                <wp:extent cx="1525713"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713"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0B30DAB4" w:rsidR="00D07713" w:rsidRPr="006679E6" w:rsidRDefault="008F7702"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19</w:t>
                            </w:r>
                            <w:r w:rsidR="006F0FC6" w:rsidRPr="006679E6">
                              <w:rPr>
                                <w:rFonts w:ascii="Arial" w:eastAsia="Times New Roman" w:hAnsi="Arial" w:cs="Arial"/>
                                <w:b/>
                                <w:bCs/>
                                <w:color w:val="FFFFFF"/>
                                <w:sz w:val="22"/>
                                <w:szCs w:val="22"/>
                                <w:lang w:val="en-US" w:eastAsia="ar-SA"/>
                              </w:rPr>
                              <w:t xml:space="preserve"> </w:t>
                            </w:r>
                            <w:r>
                              <w:rPr>
                                <w:rFonts w:ascii="Arial" w:eastAsia="Times New Roman" w:hAnsi="Arial" w:cs="Arial"/>
                                <w:b/>
                                <w:bCs/>
                                <w:color w:val="FFFFFF"/>
                                <w:sz w:val="22"/>
                                <w:szCs w:val="22"/>
                                <w:lang w:val="en-US" w:eastAsia="ar-SA"/>
                              </w:rPr>
                              <w:t>12</w:t>
                            </w:r>
                            <w:r w:rsidR="00E37C95" w:rsidRPr="006679E6">
                              <w:rPr>
                                <w:rFonts w:ascii="Arial" w:eastAsia="Times New Roman" w:hAnsi="Arial" w:cs="Arial"/>
                                <w:b/>
                                <w:bCs/>
                                <w:color w:val="FFFFFF"/>
                                <w:sz w:val="22"/>
                                <w:szCs w:val="22"/>
                                <w:lang w:val="en-US" w:eastAsia="ar-SA"/>
                              </w:rPr>
                              <w:t xml:space="preserve"> 202</w:t>
                            </w:r>
                            <w:r w:rsidR="00BE013E">
                              <w:rPr>
                                <w:rFonts w:ascii="Arial" w:eastAsia="Times New Roman" w:hAnsi="Arial" w:cs="Arial"/>
                                <w:b/>
                                <w:bCs/>
                                <w:color w:val="FFFFFF"/>
                                <w:sz w:val="22"/>
                                <w:szCs w:val="22"/>
                                <w:lang w:val="en-US" w:eastAsia="ar-SA"/>
                              </w:rPr>
                              <w:t>2</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0B86FB" id="_x0000_t202" coordsize="21600,21600" o:spt="202" path="m,l,21600r21600,l21600,xe">
                <v:stroke joinstyle="miter"/>
                <v:path gradientshapeok="t" o:connecttype="rect"/>
              </v:shapetype>
              <v:shape id="Text Box 3" o:spid="_x0000_s1026" type="#_x0000_t202" style="position:absolute;margin-left:400.5pt;margin-top:4.2pt;width:120.1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" stroked="f">
                <v:fill opacity="0"/>
                <v:textbox inset="0,0,0,0">
                  <w:txbxContent>
                    <w:p w14:paraId="5B0CFDC6" w14:textId="0B30DAB4" w:rsidR="00D07713" w:rsidRPr="006679E6" w:rsidRDefault="008F7702"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Pr>
                          <w:rFonts w:ascii="Arial" w:eastAsia="Times New Roman" w:hAnsi="Arial" w:cs="Arial"/>
                          <w:b/>
                          <w:bCs/>
                          <w:color w:val="FFFFFF"/>
                          <w:sz w:val="22"/>
                          <w:szCs w:val="22"/>
                          <w:lang w:val="en-US" w:eastAsia="ar-SA"/>
                        </w:rPr>
                        <w:t>19</w:t>
                      </w:r>
                      <w:r w:rsidR="006F0FC6" w:rsidRPr="006679E6">
                        <w:rPr>
                          <w:rFonts w:ascii="Arial" w:eastAsia="Times New Roman" w:hAnsi="Arial" w:cs="Arial"/>
                          <w:b/>
                          <w:bCs/>
                          <w:color w:val="FFFFFF"/>
                          <w:sz w:val="22"/>
                          <w:szCs w:val="22"/>
                          <w:lang w:val="en-US" w:eastAsia="ar-SA"/>
                        </w:rPr>
                        <w:t xml:space="preserve"> </w:t>
                      </w:r>
                      <w:r>
                        <w:rPr>
                          <w:rFonts w:ascii="Arial" w:eastAsia="Times New Roman" w:hAnsi="Arial" w:cs="Arial"/>
                          <w:b/>
                          <w:bCs/>
                          <w:color w:val="FFFFFF"/>
                          <w:sz w:val="22"/>
                          <w:szCs w:val="22"/>
                          <w:lang w:val="en-US" w:eastAsia="ar-SA"/>
                        </w:rPr>
                        <w:t>12</w:t>
                      </w:r>
                      <w:r w:rsidR="00E37C95" w:rsidRPr="006679E6">
                        <w:rPr>
                          <w:rFonts w:ascii="Arial" w:eastAsia="Times New Roman" w:hAnsi="Arial" w:cs="Arial"/>
                          <w:b/>
                          <w:bCs/>
                          <w:color w:val="FFFFFF"/>
                          <w:sz w:val="22"/>
                          <w:szCs w:val="22"/>
                          <w:lang w:val="en-US" w:eastAsia="ar-SA"/>
                        </w:rPr>
                        <w:t xml:space="preserve"> 202</w:t>
                      </w:r>
                      <w:r w:rsidR="00BE013E">
                        <w:rPr>
                          <w:rFonts w:ascii="Arial" w:eastAsia="Times New Roman" w:hAnsi="Arial" w:cs="Arial"/>
                          <w:b/>
                          <w:bCs/>
                          <w:color w:val="FFFFFF"/>
                          <w:sz w:val="22"/>
                          <w:szCs w:val="22"/>
                          <w:lang w:val="en-US" w:eastAsia="ar-SA"/>
                        </w:rPr>
                        <w:t>2</w:t>
                      </w:r>
                    </w:p>
                    <w:p w14:paraId="1C706E2C" w14:textId="77777777" w:rsidR="00D07713" w:rsidRPr="00187FA0" w:rsidRDefault="00D07713" w:rsidP="00D07713"/>
                  </w:txbxContent>
                </v:textbox>
              </v:shape>
            </w:pict>
          </mc:Fallback>
        </mc:AlternateContent>
      </w:r>
      <w:r w:rsidR="007F39BB" w:rsidRPr="006679E6">
        <w:rPr>
          <w:rFonts w:ascii="Palatino Linotype" w:hAnsi="Palatino Linotype" w:cstheme="minorHAnsi"/>
          <w:noProof/>
          <w:lang w:val="en-GB"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2C77852A" w:rsidR="00D07713" w:rsidRPr="006679E6" w:rsidRDefault="006679E6" w:rsidP="00D07713">
                            <w:pPr>
                              <w:pStyle w:val="Heading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471EEBC9" w:rsidR="00D07713" w:rsidRPr="006679E6" w:rsidRDefault="001537D8" w:rsidP="00D07713">
                            <w:pPr>
                              <w:pStyle w:val="Heading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1D7863">
                              <w:rPr>
                                <w:rFonts w:ascii="Times New Roman" w:hAnsi="Times New Roman" w:cs="Times New Roman"/>
                                <w:sz w:val="40"/>
                                <w:szCs w:val="40"/>
                                <w:lang w:val="en-US"/>
                              </w:rPr>
                              <w:t>2</w:t>
                            </w:r>
                            <w:r w:rsidRPr="006679E6">
                              <w:rPr>
                                <w:rFonts w:ascii="Times New Roman" w:hAnsi="Times New Roman" w:cs="Times New Roman"/>
                                <w:sz w:val="40"/>
                                <w:szCs w:val="40"/>
                                <w:lang w:val="en-US"/>
                              </w:rPr>
                              <w:t xml:space="preserve"> </w:t>
                            </w:r>
                            <w:r w:rsidR="00B765FF">
                              <w:rPr>
                                <w:rFonts w:ascii="Times New Roman" w:hAnsi="Times New Roman" w:cs="Times New Roman"/>
                                <w:sz w:val="40"/>
                                <w:szCs w:val="40"/>
                                <w:lang w:val="en-US"/>
                              </w:rPr>
                              <w:t>3</w:t>
                            </w:r>
                            <w:r w:rsidR="00B765FF">
                              <w:rPr>
                                <w:rFonts w:ascii="Times New Roman" w:hAnsi="Times New Roman" w:cs="Times New Roman"/>
                                <w:sz w:val="40"/>
                                <w:szCs w:val="40"/>
                                <w:vertAlign w:val="superscript"/>
                                <w:lang w:val="en-US"/>
                              </w:rPr>
                              <w:t>r</w:t>
                            </w:r>
                            <w:r w:rsidR="00BE013E">
                              <w:rPr>
                                <w:rFonts w:ascii="Times New Roman" w:hAnsi="Times New Roman" w:cs="Times New Roman"/>
                                <w:sz w:val="40"/>
                                <w:szCs w:val="40"/>
                                <w:vertAlign w:val="superscript"/>
                                <w:lang w:val="en-US"/>
                              </w:rPr>
                              <w:t>d</w:t>
                            </w:r>
                            <w:r w:rsidR="006679E6">
                              <w:rPr>
                                <w:rFonts w:ascii="Times New Roman" w:hAnsi="Times New Roman" w:cs="Times New Roman"/>
                                <w:sz w:val="40"/>
                                <w:szCs w:val="40"/>
                                <w:lang w:val="en-US"/>
                              </w:rPr>
                              <w:t xml:space="preserve">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" stroked="f">
                <v:fill opacity="0"/>
                <v:textbox inset="0,0,0,0">
                  <w:txbxContent>
                    <w:p w14:paraId="37AAA76D" w14:textId="2C77852A" w:rsidR="00D07713" w:rsidRPr="006679E6" w:rsidRDefault="006679E6" w:rsidP="00D07713">
                      <w:pPr>
                        <w:pStyle w:val="Balk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471EEBC9" w:rsidR="00D07713" w:rsidRPr="006679E6" w:rsidRDefault="001537D8" w:rsidP="00D07713">
                      <w:pPr>
                        <w:pStyle w:val="Balk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1D7863">
                        <w:rPr>
                          <w:rFonts w:ascii="Times New Roman" w:hAnsi="Times New Roman" w:cs="Times New Roman"/>
                          <w:sz w:val="40"/>
                          <w:szCs w:val="40"/>
                          <w:lang w:val="en-US"/>
                        </w:rPr>
                        <w:t>2</w:t>
                      </w:r>
                      <w:r w:rsidRPr="006679E6">
                        <w:rPr>
                          <w:rFonts w:ascii="Times New Roman" w:hAnsi="Times New Roman" w:cs="Times New Roman"/>
                          <w:sz w:val="40"/>
                          <w:szCs w:val="40"/>
                          <w:lang w:val="en-US"/>
                        </w:rPr>
                        <w:t xml:space="preserve"> </w:t>
                      </w:r>
                      <w:r w:rsidR="00B765FF">
                        <w:rPr>
                          <w:rFonts w:ascii="Times New Roman" w:hAnsi="Times New Roman" w:cs="Times New Roman"/>
                          <w:sz w:val="40"/>
                          <w:szCs w:val="40"/>
                          <w:lang w:val="en-US"/>
                        </w:rPr>
                        <w:t>3</w:t>
                      </w:r>
                      <w:r w:rsidR="00B765FF">
                        <w:rPr>
                          <w:rFonts w:ascii="Times New Roman" w:hAnsi="Times New Roman" w:cs="Times New Roman"/>
                          <w:sz w:val="40"/>
                          <w:szCs w:val="40"/>
                          <w:vertAlign w:val="superscript"/>
                          <w:lang w:val="en-US"/>
                        </w:rPr>
                        <w:t>r</w:t>
                      </w:r>
                      <w:r w:rsidR="00BE013E">
                        <w:rPr>
                          <w:rFonts w:ascii="Times New Roman" w:hAnsi="Times New Roman" w:cs="Times New Roman"/>
                          <w:sz w:val="40"/>
                          <w:szCs w:val="40"/>
                          <w:vertAlign w:val="superscript"/>
                          <w:lang w:val="en-US"/>
                        </w:rPr>
                        <w:t>d</w:t>
                      </w:r>
                      <w:r w:rsidR="006679E6">
                        <w:rPr>
                          <w:rFonts w:ascii="Times New Roman" w:hAnsi="Times New Roman" w:cs="Times New Roman"/>
                          <w:sz w:val="40"/>
                          <w:szCs w:val="40"/>
                          <w:lang w:val="en-US"/>
                        </w:rPr>
                        <w:t xml:space="preserve"> Quarter</w:t>
                      </w:r>
                    </w:p>
                  </w:txbxContent>
                </v:textbox>
              </v:shape>
            </w:pict>
          </mc:Fallback>
        </mc:AlternateContent>
      </w:r>
      <w:r w:rsidR="00D07713" w:rsidRPr="006679E6">
        <w:rPr>
          <w:rFonts w:ascii="Palatino Linotype" w:hAnsi="Palatino Linotype" w:cstheme="minorHAnsi"/>
          <w:noProof/>
          <w:lang w:val="en-GB"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4D5A0563" w:rsidR="00D07713" w:rsidRPr="006679E6" w:rsidRDefault="00D07713">
      <w:pPr>
        <w:rPr>
          <w:rFonts w:ascii="Palatino Linotype" w:hAnsi="Palatino Linotype" w:cstheme="minorHAnsi"/>
          <w:lang w:val="en-US"/>
        </w:rPr>
      </w:pPr>
    </w:p>
    <w:p w14:paraId="6783B39D" w14:textId="7496E16B" w:rsidR="00D34702" w:rsidRPr="006679E6" w:rsidRDefault="001272BD" w:rsidP="00D34702">
      <w:pPr>
        <w:spacing w:line="288" w:lineRule="auto"/>
        <w:ind w:right="-319"/>
        <w:jc w:val="center"/>
        <w:outlineLvl w:val="0"/>
        <w:rPr>
          <w:rFonts w:ascii="Palatino Linotype" w:hAnsi="Palatino Linotype" w:cstheme="minorHAnsi"/>
          <w:b/>
          <w:bCs/>
          <w:sz w:val="28"/>
          <w:szCs w:val="28"/>
          <w:lang w:val="en-US"/>
        </w:rPr>
      </w:pPr>
      <w:r>
        <w:rPr>
          <w:rFonts w:ascii="Palatino Linotype" w:hAnsi="Palatino Linotype" w:cstheme="minorHAnsi"/>
          <w:b/>
          <w:bCs/>
          <w:sz w:val="28"/>
          <w:szCs w:val="28"/>
          <w:highlight w:val="yellow"/>
          <w:lang w:val="en-US"/>
        </w:rPr>
        <w:br/>
      </w:r>
      <w:r w:rsidR="00FC0279">
        <w:rPr>
          <w:rFonts w:ascii="Palatino Linotype" w:hAnsi="Palatino Linotype" w:cstheme="minorHAnsi"/>
          <w:b/>
          <w:bCs/>
          <w:sz w:val="28"/>
          <w:szCs w:val="28"/>
          <w:lang w:val="en-US"/>
        </w:rPr>
        <w:t>INVESTMENT IS DECREASING</w:t>
      </w:r>
    </w:p>
    <w:p w14:paraId="428E7403" w14:textId="174C4C7D" w:rsidR="00D07713" w:rsidRPr="006679E6" w:rsidRDefault="00D07713" w:rsidP="004623F2">
      <w:pPr>
        <w:spacing w:line="288" w:lineRule="auto"/>
        <w:ind w:right="-319"/>
        <w:jc w:val="center"/>
        <w:outlineLvl w:val="0"/>
        <w:rPr>
          <w:rFonts w:ascii="Palatino Linotype" w:hAnsi="Palatino Linotype" w:cstheme="minorHAnsi"/>
          <w:lang w:val="en-US"/>
        </w:rPr>
      </w:pPr>
      <w:r w:rsidRPr="006679E6">
        <w:rPr>
          <w:rFonts w:ascii="Palatino Linotype" w:hAnsi="Palatino Linotype" w:cstheme="minorHAnsi"/>
          <w:b/>
          <w:bCs/>
          <w:sz w:val="22"/>
          <w:szCs w:val="22"/>
          <w:lang w:val="en-US"/>
        </w:rPr>
        <w:t>Ozan Bakış</w:t>
      </w:r>
      <w:r w:rsidR="00C32789" w:rsidRPr="006679E6">
        <w:rPr>
          <w:rStyle w:val="FootnoteReference"/>
          <w:rFonts w:ascii="Palatino Linotype" w:hAnsi="Palatino Linotype" w:cstheme="minorHAnsi"/>
          <w:b/>
          <w:bCs/>
          <w:sz w:val="22"/>
          <w:szCs w:val="22"/>
          <w:lang w:val="en-US"/>
        </w:rPr>
        <w:footnoteReference w:id="1"/>
      </w:r>
      <w:r w:rsidR="001537D8" w:rsidRPr="006679E6">
        <w:rPr>
          <w:rFonts w:ascii="Palatino Linotype" w:hAnsi="Palatino Linotype" w:cstheme="minorHAnsi"/>
          <w:b/>
          <w:bCs/>
          <w:sz w:val="22"/>
          <w:szCs w:val="22"/>
          <w:lang w:val="en-US"/>
        </w:rPr>
        <w:t xml:space="preserve"> ve </w:t>
      </w:r>
      <w:r w:rsidR="00A170FB">
        <w:rPr>
          <w:rFonts w:ascii="Palatino Linotype" w:hAnsi="Palatino Linotype" w:cstheme="minorHAnsi"/>
          <w:b/>
          <w:bCs/>
          <w:sz w:val="22"/>
          <w:szCs w:val="22"/>
          <w:lang w:val="en-US"/>
        </w:rPr>
        <w:t>Uğurcan Acar</w:t>
      </w:r>
      <w:r w:rsidR="001537D8" w:rsidRPr="006679E6">
        <w:rPr>
          <w:rStyle w:val="FootnoteReference"/>
          <w:rFonts w:ascii="Palatino Linotype" w:hAnsi="Palatino Linotype" w:cstheme="minorHAnsi"/>
          <w:b/>
          <w:bCs/>
          <w:sz w:val="22"/>
          <w:szCs w:val="22"/>
          <w:lang w:val="en-US"/>
        </w:rPr>
        <w:footnoteReference w:id="2"/>
      </w:r>
    </w:p>
    <w:p w14:paraId="6E057918" w14:textId="604B3AAF" w:rsidR="00405BD8" w:rsidRPr="006679E6" w:rsidRDefault="00405BD8" w:rsidP="00751F72">
      <w:pPr>
        <w:jc w:val="center"/>
        <w:rPr>
          <w:rFonts w:ascii="Palatino Linotype" w:hAnsi="Palatino Linotype" w:cstheme="minorHAnsi"/>
          <w:b/>
          <w:sz w:val="22"/>
          <w:szCs w:val="22"/>
          <w:lang w:val="en-US"/>
        </w:rPr>
      </w:pPr>
    </w:p>
    <w:p w14:paraId="180703E7" w14:textId="3ACAE343" w:rsidR="00111CED" w:rsidRPr="006679E6" w:rsidRDefault="006679E6" w:rsidP="00405BD8">
      <w:pPr>
        <w:spacing w:line="360" w:lineRule="auto"/>
        <w:jc w:val="center"/>
        <w:rPr>
          <w:rFonts w:ascii="Palatino Linotype" w:hAnsi="Palatino Linotype" w:cstheme="minorHAnsi"/>
          <w:b/>
          <w:sz w:val="22"/>
          <w:szCs w:val="22"/>
          <w:lang w:val="en-US"/>
        </w:rPr>
      </w:pPr>
      <w:r>
        <w:rPr>
          <w:rFonts w:ascii="Palatino Linotype" w:hAnsi="Palatino Linotype" w:cstheme="minorHAnsi"/>
          <w:b/>
          <w:sz w:val="22"/>
          <w:szCs w:val="22"/>
          <w:lang w:val="en-US"/>
        </w:rPr>
        <w:t>Executive Summary</w:t>
      </w:r>
    </w:p>
    <w:p w14:paraId="66D287BC" w14:textId="772D83B1" w:rsidR="000A770F" w:rsidRDefault="002A69AD" w:rsidP="000A770F">
      <w:pPr>
        <w:spacing w:line="271" w:lineRule="auto"/>
        <w:ind w:left="567" w:right="567"/>
        <w:jc w:val="both"/>
        <w:rPr>
          <w:rFonts w:ascii="Palatino Linotype" w:hAnsi="Palatino Linotype" w:cstheme="minorHAnsi"/>
          <w:sz w:val="22"/>
          <w:szCs w:val="22"/>
          <w:lang w:val="en-US"/>
        </w:rPr>
      </w:pPr>
      <w:bookmarkStart w:id="0" w:name="OLE_LINK5"/>
      <w:bookmarkStart w:id="1" w:name="OLE_LINK6"/>
      <w:r w:rsidRPr="001272BD">
        <w:rPr>
          <w:rFonts w:ascii="Palatino Linotype" w:hAnsi="Palatino Linotype" w:cstheme="minorHAnsi"/>
          <w:sz w:val="22"/>
          <w:szCs w:val="22"/>
          <w:lang w:val="en-US"/>
        </w:rPr>
        <w:t xml:space="preserve">The Turkish economy has grown </w:t>
      </w:r>
      <w:r w:rsidR="00FC0279">
        <w:rPr>
          <w:rFonts w:ascii="Palatino Linotype" w:hAnsi="Palatino Linotype" w:cstheme="minorHAnsi"/>
          <w:sz w:val="22"/>
          <w:szCs w:val="22"/>
          <w:lang w:val="en-US"/>
        </w:rPr>
        <w:t>by 3</w:t>
      </w:r>
      <w:r w:rsidRPr="001272BD">
        <w:rPr>
          <w:rFonts w:ascii="Palatino Linotype" w:hAnsi="Palatino Linotype" w:cstheme="minorHAnsi"/>
          <w:sz w:val="22"/>
          <w:szCs w:val="22"/>
          <w:lang w:val="en-US"/>
        </w:rPr>
        <w:t>.</w:t>
      </w:r>
      <w:r w:rsidR="00FC0279">
        <w:rPr>
          <w:rFonts w:ascii="Palatino Linotype" w:hAnsi="Palatino Linotype" w:cstheme="minorHAnsi"/>
          <w:sz w:val="22"/>
          <w:szCs w:val="22"/>
          <w:lang w:val="en-US"/>
        </w:rPr>
        <w:t>9</w:t>
      </w:r>
      <w:r w:rsidRPr="001272BD">
        <w:rPr>
          <w:rFonts w:ascii="Palatino Linotype" w:hAnsi="Palatino Linotype" w:cstheme="minorHAnsi"/>
          <w:sz w:val="22"/>
          <w:szCs w:val="22"/>
          <w:lang w:val="en-US"/>
        </w:rPr>
        <w:t xml:space="preserve"> percent i</w:t>
      </w:r>
      <w:r w:rsidR="006679E6" w:rsidRPr="001272BD">
        <w:rPr>
          <w:rFonts w:ascii="Palatino Linotype" w:hAnsi="Palatino Linotype" w:cstheme="minorHAnsi"/>
          <w:sz w:val="22"/>
          <w:szCs w:val="22"/>
          <w:lang w:val="en-US"/>
        </w:rPr>
        <w:t xml:space="preserve">n the </w:t>
      </w:r>
      <w:r w:rsidR="00FC0279">
        <w:rPr>
          <w:rFonts w:ascii="Palatino Linotype" w:hAnsi="Palatino Linotype" w:cstheme="minorHAnsi"/>
          <w:sz w:val="22"/>
          <w:szCs w:val="22"/>
          <w:lang w:val="en-US"/>
        </w:rPr>
        <w:t>third</w:t>
      </w:r>
      <w:r w:rsidR="006679E6" w:rsidRPr="001272BD">
        <w:rPr>
          <w:rFonts w:ascii="Palatino Linotype" w:hAnsi="Palatino Linotype" w:cstheme="minorHAnsi"/>
          <w:sz w:val="22"/>
          <w:szCs w:val="22"/>
          <w:lang w:val="en-US"/>
        </w:rPr>
        <w:t xml:space="preserve"> quarter of 202</w:t>
      </w:r>
      <w:r w:rsidR="00D200DB">
        <w:rPr>
          <w:rFonts w:ascii="Palatino Linotype" w:hAnsi="Palatino Linotype" w:cstheme="minorHAnsi"/>
          <w:sz w:val="22"/>
          <w:szCs w:val="22"/>
          <w:lang w:val="en-US"/>
        </w:rPr>
        <w:t>2</w:t>
      </w:r>
      <w:r w:rsidRPr="001272BD">
        <w:rPr>
          <w:rFonts w:ascii="Palatino Linotype" w:hAnsi="Palatino Linotype" w:cstheme="minorHAnsi"/>
          <w:sz w:val="22"/>
          <w:szCs w:val="22"/>
          <w:lang w:val="en-US"/>
        </w:rPr>
        <w:t xml:space="preserve">. </w:t>
      </w:r>
      <w:r w:rsidR="00D314F9" w:rsidRPr="001272BD">
        <w:rPr>
          <w:rFonts w:ascii="Palatino Linotype" w:hAnsi="Palatino Linotype" w:cstheme="minorHAnsi"/>
          <w:sz w:val="22"/>
          <w:szCs w:val="22"/>
          <w:lang w:val="en-US"/>
        </w:rPr>
        <w:t xml:space="preserve">The biggest contribution to the growth has come from </w:t>
      </w:r>
      <w:r w:rsidR="0086789C">
        <w:rPr>
          <w:rFonts w:ascii="Palatino Linotype" w:hAnsi="Palatino Linotype" w:cstheme="minorHAnsi"/>
          <w:sz w:val="22"/>
          <w:szCs w:val="22"/>
          <w:lang w:val="en-US"/>
        </w:rPr>
        <w:t>private</w:t>
      </w:r>
      <w:r w:rsidR="001B79D6">
        <w:rPr>
          <w:rFonts w:ascii="Palatino Linotype" w:hAnsi="Palatino Linotype" w:cstheme="minorHAnsi"/>
          <w:sz w:val="22"/>
          <w:szCs w:val="22"/>
          <w:lang w:val="en-US"/>
        </w:rPr>
        <w:t xml:space="preserve"> consumption</w:t>
      </w:r>
      <w:r w:rsidR="00905810">
        <w:rPr>
          <w:rFonts w:ascii="Palatino Linotype" w:hAnsi="Palatino Linotype" w:cstheme="minorHAnsi"/>
          <w:sz w:val="22"/>
          <w:szCs w:val="22"/>
          <w:lang w:val="en-US"/>
        </w:rPr>
        <w:t>,</w:t>
      </w:r>
      <w:r w:rsidR="00D200DB">
        <w:rPr>
          <w:rFonts w:ascii="Palatino Linotype" w:hAnsi="Palatino Linotype" w:cstheme="minorHAnsi"/>
          <w:sz w:val="22"/>
          <w:szCs w:val="22"/>
          <w:lang w:val="en-US"/>
        </w:rPr>
        <w:t xml:space="preserve"> with </w:t>
      </w:r>
      <w:r w:rsidR="00FC0279">
        <w:rPr>
          <w:rFonts w:ascii="Palatino Linotype" w:hAnsi="Palatino Linotype" w:cstheme="minorHAnsi"/>
          <w:sz w:val="22"/>
          <w:szCs w:val="22"/>
          <w:lang w:val="en-US"/>
        </w:rPr>
        <w:t>10</w:t>
      </w:r>
      <w:r w:rsidR="00D200DB">
        <w:rPr>
          <w:rFonts w:ascii="Palatino Linotype" w:hAnsi="Palatino Linotype" w:cstheme="minorHAnsi"/>
          <w:sz w:val="22"/>
          <w:szCs w:val="22"/>
          <w:lang w:val="en-US"/>
        </w:rPr>
        <w:t>.</w:t>
      </w:r>
      <w:r w:rsidR="00FC0279">
        <w:rPr>
          <w:rFonts w:ascii="Palatino Linotype" w:hAnsi="Palatino Linotype" w:cstheme="minorHAnsi"/>
          <w:sz w:val="22"/>
          <w:szCs w:val="22"/>
          <w:lang w:val="en-US"/>
        </w:rPr>
        <w:t>8</w:t>
      </w:r>
      <w:r w:rsidR="00D200DB">
        <w:rPr>
          <w:rFonts w:ascii="Palatino Linotype" w:hAnsi="Palatino Linotype" w:cstheme="minorHAnsi"/>
          <w:sz w:val="22"/>
          <w:szCs w:val="22"/>
          <w:lang w:val="en-US"/>
        </w:rPr>
        <w:t xml:space="preserve"> percentage points</w:t>
      </w:r>
      <w:r w:rsidR="00D314F9" w:rsidRPr="001272BD">
        <w:rPr>
          <w:rFonts w:ascii="Palatino Linotype" w:hAnsi="Palatino Linotype" w:cstheme="minorHAnsi"/>
          <w:sz w:val="22"/>
          <w:szCs w:val="22"/>
          <w:lang w:val="en-US"/>
        </w:rPr>
        <w:t xml:space="preserve">. </w:t>
      </w:r>
      <w:r w:rsidR="00D200DB">
        <w:rPr>
          <w:rFonts w:ascii="Palatino Linotype" w:hAnsi="Palatino Linotype" w:cstheme="minorHAnsi"/>
          <w:sz w:val="22"/>
          <w:szCs w:val="22"/>
          <w:lang w:val="en-US"/>
        </w:rPr>
        <w:t xml:space="preserve">The </w:t>
      </w:r>
      <w:r w:rsidR="00FC0279">
        <w:rPr>
          <w:rFonts w:ascii="Palatino Linotype" w:hAnsi="Palatino Linotype" w:cstheme="minorHAnsi"/>
          <w:sz w:val="22"/>
          <w:szCs w:val="22"/>
          <w:lang w:val="en-US"/>
        </w:rPr>
        <w:t xml:space="preserve">contribution of net foreign trade, which was 3.9 percentage points previous quarter, </w:t>
      </w:r>
      <w:r w:rsidR="00594669">
        <w:rPr>
          <w:rFonts w:ascii="Palatino Linotype" w:hAnsi="Palatino Linotype" w:cstheme="minorHAnsi"/>
          <w:sz w:val="22"/>
          <w:szCs w:val="22"/>
          <w:lang w:val="en-US"/>
        </w:rPr>
        <w:t>has been 0.7 percentage points.</w:t>
      </w:r>
      <w:r w:rsidR="00E35120">
        <w:rPr>
          <w:rFonts w:ascii="Palatino Linotype" w:hAnsi="Palatino Linotype" w:cstheme="minorHAnsi"/>
          <w:sz w:val="22"/>
          <w:szCs w:val="22"/>
          <w:lang w:val="en-US"/>
        </w:rPr>
        <w:t xml:space="preserve"> </w:t>
      </w:r>
      <w:bookmarkStart w:id="2" w:name="OLE_LINK1"/>
      <w:bookmarkStart w:id="3" w:name="OLE_LINK2"/>
      <w:r w:rsidR="00594669">
        <w:rPr>
          <w:rFonts w:ascii="Palatino Linotype" w:hAnsi="Palatino Linotype" w:cstheme="minorHAnsi"/>
          <w:sz w:val="22"/>
          <w:szCs w:val="22"/>
          <w:lang w:val="en-US"/>
        </w:rPr>
        <w:t xml:space="preserve">Changes in inventories have pulled the growth down by 8.3 percentage points. </w:t>
      </w:r>
      <w:r w:rsidR="00D200DB" w:rsidRPr="00D200DB">
        <w:rPr>
          <w:rFonts w:ascii="Palatino Linotype" w:hAnsi="Palatino Linotype" w:cstheme="minorHAnsi"/>
          <w:sz w:val="22"/>
          <w:szCs w:val="22"/>
          <w:lang w:val="en-US"/>
        </w:rPr>
        <w:t xml:space="preserve">According to the seasonally and </w:t>
      </w:r>
      <w:r w:rsidR="00BE013E">
        <w:rPr>
          <w:rFonts w:ascii="Palatino Linotype" w:hAnsi="Palatino Linotype" w:cstheme="minorHAnsi"/>
          <w:sz w:val="22"/>
          <w:szCs w:val="22"/>
          <w:lang w:val="en-US"/>
        </w:rPr>
        <w:t>calendar-adjusted</w:t>
      </w:r>
      <w:bookmarkEnd w:id="2"/>
      <w:bookmarkEnd w:id="3"/>
      <w:r w:rsidR="00D200DB" w:rsidRPr="00D200DB">
        <w:rPr>
          <w:rFonts w:ascii="Palatino Linotype" w:hAnsi="Palatino Linotype" w:cstheme="minorHAnsi"/>
          <w:sz w:val="22"/>
          <w:szCs w:val="22"/>
          <w:lang w:val="en-US"/>
        </w:rPr>
        <w:t xml:space="preserve"> series, the </w:t>
      </w:r>
      <w:r w:rsidR="00594669">
        <w:rPr>
          <w:rFonts w:ascii="Palatino Linotype" w:hAnsi="Palatino Linotype" w:cstheme="minorHAnsi"/>
          <w:sz w:val="22"/>
          <w:szCs w:val="22"/>
          <w:lang w:val="en-US"/>
        </w:rPr>
        <w:t>Turkish economy has shrunk after nine quarters. Despite the 2.4 percentage point contribution of private consumption, net foreign trade’s contribution has been minus 2.5 percentage points.</w:t>
      </w:r>
      <w:r w:rsidR="00D200DB">
        <w:rPr>
          <w:rFonts w:ascii="Palatino Linotype" w:hAnsi="Palatino Linotype" w:cstheme="minorHAnsi"/>
          <w:sz w:val="22"/>
          <w:szCs w:val="22"/>
          <w:lang w:val="en-US"/>
        </w:rPr>
        <w:t xml:space="preserve"> </w:t>
      </w:r>
      <w:r w:rsidR="00D65247">
        <w:rPr>
          <w:rFonts w:ascii="Palatino Linotype" w:hAnsi="Palatino Linotype" w:cstheme="minorHAnsi"/>
          <w:sz w:val="22"/>
          <w:szCs w:val="22"/>
          <w:lang w:val="en-US"/>
        </w:rPr>
        <w:t>C</w:t>
      </w:r>
      <w:r w:rsidR="00905810" w:rsidRPr="00905810">
        <w:rPr>
          <w:rFonts w:ascii="Palatino Linotype" w:hAnsi="Palatino Linotype" w:cstheme="minorHAnsi"/>
          <w:sz w:val="22"/>
          <w:szCs w:val="22"/>
          <w:lang w:val="en-US"/>
        </w:rPr>
        <w:t>hange</w:t>
      </w:r>
      <w:r w:rsidR="00594669">
        <w:rPr>
          <w:rFonts w:ascii="Palatino Linotype" w:hAnsi="Palatino Linotype" w:cstheme="minorHAnsi"/>
          <w:sz w:val="22"/>
          <w:szCs w:val="22"/>
          <w:lang w:val="en-US"/>
        </w:rPr>
        <w:t>s</w:t>
      </w:r>
      <w:r w:rsidR="00D65247">
        <w:rPr>
          <w:rFonts w:ascii="Palatino Linotype" w:hAnsi="Palatino Linotype" w:cstheme="minorHAnsi"/>
          <w:sz w:val="22"/>
          <w:szCs w:val="22"/>
          <w:lang w:val="en-US"/>
        </w:rPr>
        <w:t xml:space="preserve"> in inventories</w:t>
      </w:r>
      <w:r w:rsidR="00905810" w:rsidRPr="00905810">
        <w:rPr>
          <w:rFonts w:ascii="Palatino Linotype" w:hAnsi="Palatino Linotype" w:cstheme="minorHAnsi"/>
          <w:sz w:val="22"/>
          <w:szCs w:val="22"/>
          <w:lang w:val="en-US"/>
        </w:rPr>
        <w:t xml:space="preserve"> and investments </w:t>
      </w:r>
      <w:r w:rsidR="00BE013E" w:rsidRPr="00BE013E">
        <w:rPr>
          <w:rFonts w:ascii="Palatino Linotype" w:hAnsi="Palatino Linotype" w:cstheme="minorHAnsi"/>
          <w:sz w:val="22"/>
          <w:szCs w:val="22"/>
          <w:lang w:val="en-US"/>
        </w:rPr>
        <w:t xml:space="preserve">drove quarterly growth down by </w:t>
      </w:r>
      <w:r w:rsidR="00594669">
        <w:rPr>
          <w:rFonts w:ascii="Palatino Linotype" w:hAnsi="Palatino Linotype" w:cstheme="minorHAnsi"/>
          <w:sz w:val="22"/>
          <w:szCs w:val="22"/>
          <w:lang w:val="en-US"/>
        </w:rPr>
        <w:t>0</w:t>
      </w:r>
      <w:r w:rsidR="00BE013E" w:rsidRPr="00BE013E">
        <w:rPr>
          <w:rFonts w:ascii="Palatino Linotype" w:hAnsi="Palatino Linotype" w:cstheme="minorHAnsi"/>
          <w:sz w:val="22"/>
          <w:szCs w:val="22"/>
          <w:lang w:val="en-US"/>
        </w:rPr>
        <w:t>.</w:t>
      </w:r>
      <w:r w:rsidR="00594669">
        <w:rPr>
          <w:rFonts w:ascii="Palatino Linotype" w:hAnsi="Palatino Linotype" w:cstheme="minorHAnsi"/>
          <w:sz w:val="22"/>
          <w:szCs w:val="22"/>
          <w:lang w:val="en-US"/>
        </w:rPr>
        <w:t>8</w:t>
      </w:r>
      <w:r w:rsidR="00BE013E" w:rsidRPr="00BE013E">
        <w:rPr>
          <w:rFonts w:ascii="Palatino Linotype" w:hAnsi="Palatino Linotype" w:cstheme="minorHAnsi"/>
          <w:sz w:val="22"/>
          <w:szCs w:val="22"/>
          <w:lang w:val="en-US"/>
        </w:rPr>
        <w:t xml:space="preserve"> and 0.</w:t>
      </w:r>
      <w:r w:rsidR="00594669">
        <w:rPr>
          <w:rFonts w:ascii="Palatino Linotype" w:hAnsi="Palatino Linotype" w:cstheme="minorHAnsi"/>
          <w:sz w:val="22"/>
          <w:szCs w:val="22"/>
          <w:lang w:val="en-US"/>
        </w:rPr>
        <w:t>6</w:t>
      </w:r>
      <w:r w:rsidR="00BE013E" w:rsidRPr="00BE013E">
        <w:rPr>
          <w:rFonts w:ascii="Palatino Linotype" w:hAnsi="Palatino Linotype" w:cstheme="minorHAnsi"/>
          <w:sz w:val="22"/>
          <w:szCs w:val="22"/>
          <w:lang w:val="en-US"/>
        </w:rPr>
        <w:t xml:space="preserve"> percentage points, respectively.</w:t>
      </w:r>
    </w:p>
    <w:p w14:paraId="32A16243" w14:textId="5B595A33" w:rsidR="00FC0279" w:rsidRDefault="00FC0279" w:rsidP="000A770F">
      <w:pPr>
        <w:spacing w:line="271" w:lineRule="auto"/>
        <w:ind w:left="567" w:right="567"/>
        <w:jc w:val="both"/>
        <w:rPr>
          <w:rFonts w:ascii="Palatino Linotype" w:hAnsi="Palatino Linotype" w:cstheme="minorHAnsi"/>
          <w:sz w:val="22"/>
          <w:szCs w:val="22"/>
          <w:lang w:val="en-US"/>
        </w:rPr>
      </w:pPr>
      <w:r>
        <w:rPr>
          <w:rFonts w:ascii="Palatino Linotype" w:hAnsi="Palatino Linotype" w:cstheme="minorHAnsi"/>
          <w:b/>
          <w:bCs/>
          <w:noProof/>
          <w:sz w:val="22"/>
          <w:szCs w:val="22"/>
          <w:lang w:val="en-GB" w:eastAsia="en-GB"/>
        </w:rPr>
        <w:drawing>
          <wp:anchor distT="0" distB="0" distL="114300" distR="114300" simplePos="0" relativeHeight="251661312" behindDoc="0" locked="0" layoutInCell="1" allowOverlap="1" wp14:anchorId="3189E48D" wp14:editId="4736A773">
            <wp:simplePos x="0" y="0"/>
            <wp:positionH relativeFrom="column">
              <wp:posOffset>2767330</wp:posOffset>
            </wp:positionH>
            <wp:positionV relativeFrom="paragraph">
              <wp:posOffset>400685</wp:posOffset>
            </wp:positionV>
            <wp:extent cx="3381375" cy="21621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2162175"/>
                    </a:xfrm>
                    <a:prstGeom prst="rect">
                      <a:avLst/>
                    </a:prstGeom>
                    <a:noFill/>
                  </pic:spPr>
                </pic:pic>
              </a:graphicData>
            </a:graphic>
            <wp14:sizeRelH relativeFrom="margin">
              <wp14:pctWidth>0</wp14:pctWidth>
            </wp14:sizeRelH>
            <wp14:sizeRelV relativeFrom="margin">
              <wp14:pctHeight>0</wp14:pctHeight>
            </wp14:sizeRelV>
          </wp:anchor>
        </w:drawing>
      </w:r>
      <w:r>
        <w:rPr>
          <w:rFonts w:ascii="Palatino Linotype" w:hAnsi="Palatino Linotype" w:cstheme="minorHAnsi"/>
          <w:b/>
          <w:bCs/>
          <w:noProof/>
          <w:sz w:val="22"/>
          <w:szCs w:val="22"/>
          <w:lang w:val="en-GB" w:eastAsia="en-GB"/>
        </w:rPr>
        <w:drawing>
          <wp:anchor distT="0" distB="0" distL="114300" distR="114300" simplePos="0" relativeHeight="251660288" behindDoc="0" locked="0" layoutInCell="1" allowOverlap="1" wp14:anchorId="597D92DC" wp14:editId="5100B9DB">
            <wp:simplePos x="0" y="0"/>
            <wp:positionH relativeFrom="column">
              <wp:posOffset>-643255</wp:posOffset>
            </wp:positionH>
            <wp:positionV relativeFrom="paragraph">
              <wp:posOffset>382270</wp:posOffset>
            </wp:positionV>
            <wp:extent cx="3362325" cy="220027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2200275"/>
                    </a:xfrm>
                    <a:prstGeom prst="rect">
                      <a:avLst/>
                    </a:prstGeom>
                    <a:noFill/>
                  </pic:spPr>
                </pic:pic>
              </a:graphicData>
            </a:graphic>
            <wp14:sizeRelH relativeFrom="margin">
              <wp14:pctWidth>0</wp14:pctWidth>
            </wp14:sizeRelH>
            <wp14:sizeRelV relativeFrom="margin">
              <wp14:pctHeight>0</wp14:pctHeight>
            </wp14:sizeRelV>
          </wp:anchor>
        </w:drawing>
      </w:r>
    </w:p>
    <w:p w14:paraId="358903C7" w14:textId="2F356F8D" w:rsidR="00FC0279" w:rsidRPr="001272BD" w:rsidRDefault="00FC0279" w:rsidP="000A770F">
      <w:pPr>
        <w:spacing w:line="271" w:lineRule="auto"/>
        <w:ind w:left="567" w:right="567"/>
        <w:jc w:val="both"/>
        <w:rPr>
          <w:rFonts w:ascii="Palatino Linotype" w:hAnsi="Palatino Linotype" w:cstheme="minorHAnsi"/>
          <w:sz w:val="22"/>
          <w:szCs w:val="22"/>
          <w:lang w:val="en-US"/>
        </w:rPr>
      </w:pPr>
    </w:p>
    <w:p w14:paraId="368B86F2" w14:textId="55781A38" w:rsidR="001272BD" w:rsidRDefault="004D583E" w:rsidP="001272BD">
      <w:pPr>
        <w:ind w:left="567" w:right="56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Figure 1: Contributions to growth (left) and year-on-year growth rates (right) of GDP components in 202</w:t>
      </w:r>
      <w:r w:rsidR="00AF78D0">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bookmarkEnd w:id="0"/>
      <w:bookmarkEnd w:id="1"/>
      <w:r w:rsidR="00594669">
        <w:rPr>
          <w:rFonts w:ascii="Palatino Linotype" w:hAnsi="Palatino Linotype" w:cstheme="minorHAnsi"/>
          <w:b/>
          <w:bCs/>
          <w:sz w:val="22"/>
          <w:szCs w:val="22"/>
          <w:lang w:val="en-US"/>
        </w:rPr>
        <w:t>3</w:t>
      </w:r>
    </w:p>
    <w:p w14:paraId="07FB53CB" w14:textId="48EC465C" w:rsidR="006679E6" w:rsidRPr="001272BD" w:rsidRDefault="00E35120" w:rsidP="00E35120">
      <w:pPr>
        <w:ind w:right="567"/>
        <w:jc w:val="both"/>
        <w:rPr>
          <w:rFonts w:ascii="Palatino Linotype" w:hAnsi="Palatino Linotype" w:cstheme="minorHAnsi"/>
          <w:b/>
          <w:bCs/>
          <w:sz w:val="22"/>
          <w:szCs w:val="22"/>
          <w:lang w:val="en-US"/>
        </w:rPr>
      </w:pPr>
      <w:r>
        <w:rPr>
          <w:rFonts w:ascii="Palatino Linotype" w:hAnsi="Palatino Linotype" w:cstheme="minorHAnsi"/>
          <w:b/>
          <w:bCs/>
          <w:sz w:val="22"/>
          <w:szCs w:val="22"/>
          <w:lang w:val="en-US"/>
        </w:rPr>
        <w:t xml:space="preserve">          </w:t>
      </w:r>
      <w:r w:rsidR="006679E6" w:rsidRPr="00155A64">
        <w:rPr>
          <w:rFonts w:ascii="Palatino Linotype" w:hAnsi="Palatino Linotype" w:cstheme="minorHAnsi"/>
          <w:sz w:val="18"/>
          <w:szCs w:val="18"/>
          <w:lang w:val="en-US"/>
        </w:rPr>
        <w:t>Source: TurkStat, Betam</w:t>
      </w:r>
      <w:r w:rsidR="006679E6" w:rsidRPr="00155A64">
        <w:rPr>
          <w:rFonts w:ascii="Palatino Linotype" w:hAnsi="Palatino Linotype" w:cstheme="minorHAnsi"/>
          <w:sz w:val="16"/>
          <w:szCs w:val="16"/>
          <w:lang w:val="en-US"/>
        </w:rPr>
        <w:t xml:space="preserve"> </w:t>
      </w:r>
    </w:p>
    <w:p w14:paraId="3DFCA132" w14:textId="7911946A"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4199117A" w14:textId="2EDBD620"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47D5F64C" w14:textId="16F91E7C"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6E1327DA" w14:textId="77777777" w:rsidR="00C14FC9" w:rsidRDefault="00C14FC9"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737C7D9C" w14:textId="77777777" w:rsidR="00E35120" w:rsidRDefault="00E35120" w:rsidP="00006890">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526998E8" w14:textId="6115BAD1" w:rsidR="00006890" w:rsidRPr="00155A64" w:rsidRDefault="003A4849" w:rsidP="00006890">
      <w:pPr>
        <w:pStyle w:val="NormalWeb"/>
        <w:spacing w:before="0" w:beforeAutospacing="0" w:after="0" w:afterAutospacing="0" w:line="360" w:lineRule="auto"/>
        <w:ind w:right="77"/>
        <w:rPr>
          <w:rFonts w:ascii="Palatino Linotype" w:hAnsi="Palatino Linotype" w:cstheme="minorHAnsi"/>
          <w:b/>
          <w:bCs/>
          <w:color w:val="FF0000"/>
          <w:sz w:val="22"/>
          <w:szCs w:val="22"/>
          <w:lang w:val="en-US"/>
        </w:rPr>
      </w:pPr>
      <w:r>
        <w:rPr>
          <w:rFonts w:ascii="Palatino Linotype" w:hAnsi="Palatino Linotype" w:cstheme="minorHAnsi"/>
          <w:b/>
          <w:bCs/>
          <w:sz w:val="22"/>
          <w:szCs w:val="22"/>
          <w:lang w:val="en-US"/>
        </w:rPr>
        <w:t>The increase</w:t>
      </w:r>
      <w:r w:rsidR="00006890">
        <w:rPr>
          <w:rFonts w:ascii="Palatino Linotype" w:hAnsi="Palatino Linotype" w:cstheme="minorHAnsi"/>
          <w:b/>
          <w:bCs/>
          <w:sz w:val="22"/>
          <w:szCs w:val="22"/>
          <w:lang w:val="en-US"/>
        </w:rPr>
        <w:t xml:space="preserve"> in </w:t>
      </w:r>
      <w:r w:rsidR="00006890" w:rsidRPr="00ED431D">
        <w:rPr>
          <w:rFonts w:ascii="Palatino Linotype" w:hAnsi="Palatino Linotype" w:cstheme="minorHAnsi"/>
          <w:b/>
          <w:bCs/>
          <w:sz w:val="22"/>
          <w:szCs w:val="22"/>
          <w:lang w:val="en-US"/>
        </w:rPr>
        <w:t>private consumption</w:t>
      </w:r>
      <w:r>
        <w:rPr>
          <w:rFonts w:ascii="Palatino Linotype" w:hAnsi="Palatino Linotype" w:cstheme="minorHAnsi"/>
          <w:b/>
          <w:bCs/>
          <w:sz w:val="22"/>
          <w:szCs w:val="22"/>
          <w:lang w:val="en-US"/>
        </w:rPr>
        <w:t xml:space="preserve"> continues</w:t>
      </w:r>
    </w:p>
    <w:p w14:paraId="376793DA" w14:textId="30B231DC" w:rsidR="0000013E" w:rsidRDefault="00EB2B22"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EB2B22">
        <w:rPr>
          <w:rFonts w:ascii="Palatino Linotype" w:hAnsi="Palatino Linotype" w:cstheme="minorHAnsi"/>
          <w:sz w:val="22"/>
          <w:szCs w:val="22"/>
          <w:lang w:val="en-US"/>
        </w:rPr>
        <w:t xml:space="preserve">In the </w:t>
      </w:r>
      <w:r w:rsidR="00594669">
        <w:rPr>
          <w:rFonts w:ascii="Palatino Linotype" w:hAnsi="Palatino Linotype" w:cstheme="minorHAnsi"/>
          <w:sz w:val="22"/>
          <w:szCs w:val="22"/>
          <w:lang w:val="en-US"/>
        </w:rPr>
        <w:t>third</w:t>
      </w:r>
      <w:r w:rsidRPr="00EB2B22">
        <w:rPr>
          <w:rFonts w:ascii="Palatino Linotype" w:hAnsi="Palatino Linotype" w:cstheme="minorHAnsi"/>
          <w:sz w:val="22"/>
          <w:szCs w:val="22"/>
          <w:lang w:val="en-US"/>
        </w:rPr>
        <w:t xml:space="preserve"> quarter of 202</w:t>
      </w:r>
      <w:r w:rsidR="00AF78D0">
        <w:rPr>
          <w:rFonts w:ascii="Palatino Linotype" w:hAnsi="Palatino Linotype" w:cstheme="minorHAnsi"/>
          <w:sz w:val="22"/>
          <w:szCs w:val="22"/>
          <w:lang w:val="en-US"/>
        </w:rPr>
        <w:t>2</w:t>
      </w:r>
      <w:r w:rsidRPr="00EB2B22">
        <w:rPr>
          <w:rFonts w:ascii="Palatino Linotype" w:hAnsi="Palatino Linotype" w:cstheme="minorHAnsi"/>
          <w:sz w:val="22"/>
          <w:szCs w:val="22"/>
          <w:lang w:val="en-US"/>
        </w:rPr>
        <w:t xml:space="preserve">, private consumption increased by </w:t>
      </w:r>
      <w:r w:rsidR="001163CA">
        <w:rPr>
          <w:rFonts w:ascii="Palatino Linotype" w:hAnsi="Palatino Linotype" w:cstheme="minorHAnsi"/>
          <w:sz w:val="22"/>
          <w:szCs w:val="22"/>
          <w:lang w:val="en-US"/>
        </w:rPr>
        <w:t>19</w:t>
      </w:r>
      <w:r w:rsidRPr="00EB2B22">
        <w:rPr>
          <w:rFonts w:ascii="Palatino Linotype" w:hAnsi="Palatino Linotype" w:cstheme="minorHAnsi"/>
          <w:sz w:val="22"/>
          <w:szCs w:val="22"/>
          <w:lang w:val="en-US"/>
        </w:rPr>
        <w:t>.</w:t>
      </w:r>
      <w:r w:rsidR="001163CA">
        <w:rPr>
          <w:rFonts w:ascii="Palatino Linotype" w:hAnsi="Palatino Linotype" w:cstheme="minorHAnsi"/>
          <w:sz w:val="22"/>
          <w:szCs w:val="22"/>
          <w:lang w:val="en-US"/>
        </w:rPr>
        <w:t>9</w:t>
      </w:r>
      <w:r w:rsidRPr="00EB2B22">
        <w:rPr>
          <w:rFonts w:ascii="Palatino Linotype" w:hAnsi="Palatino Linotype" w:cstheme="minorHAnsi"/>
          <w:sz w:val="22"/>
          <w:szCs w:val="22"/>
          <w:lang w:val="en-US"/>
        </w:rPr>
        <w:t xml:space="preserve"> percent </w:t>
      </w:r>
      <w:r w:rsidR="00905810">
        <w:rPr>
          <w:rFonts w:ascii="Palatino Linotype" w:hAnsi="Palatino Linotype" w:cstheme="minorHAnsi"/>
          <w:sz w:val="22"/>
          <w:szCs w:val="22"/>
          <w:lang w:val="en-US"/>
        </w:rPr>
        <w:t>yearly</w:t>
      </w:r>
      <w:r w:rsidRPr="00EB2B22">
        <w:rPr>
          <w:rFonts w:ascii="Palatino Linotype" w:hAnsi="Palatino Linotype" w:cstheme="minorHAnsi"/>
          <w:sz w:val="22"/>
          <w:szCs w:val="22"/>
          <w:lang w:val="en-US"/>
        </w:rPr>
        <w:t>, contributing 1</w:t>
      </w:r>
      <w:r w:rsidR="001163CA">
        <w:rPr>
          <w:rFonts w:ascii="Palatino Linotype" w:hAnsi="Palatino Linotype" w:cstheme="minorHAnsi"/>
          <w:sz w:val="22"/>
          <w:szCs w:val="22"/>
          <w:lang w:val="en-US"/>
        </w:rPr>
        <w:t>0</w:t>
      </w:r>
      <w:r w:rsidRPr="00EB2B22">
        <w:rPr>
          <w:rFonts w:ascii="Palatino Linotype" w:hAnsi="Palatino Linotype" w:cstheme="minorHAnsi"/>
          <w:sz w:val="22"/>
          <w:szCs w:val="22"/>
          <w:lang w:val="en-US"/>
        </w:rPr>
        <w:t>.</w:t>
      </w:r>
      <w:r w:rsidR="001163CA">
        <w:rPr>
          <w:rFonts w:ascii="Palatino Linotype" w:hAnsi="Palatino Linotype" w:cstheme="minorHAnsi"/>
          <w:sz w:val="22"/>
          <w:szCs w:val="22"/>
          <w:lang w:val="en-US"/>
        </w:rPr>
        <w:t>8</w:t>
      </w:r>
      <w:r w:rsidRPr="00EB2B22">
        <w:rPr>
          <w:rFonts w:ascii="Palatino Linotype" w:hAnsi="Palatino Linotype" w:cstheme="minorHAnsi"/>
          <w:sz w:val="22"/>
          <w:szCs w:val="22"/>
          <w:lang w:val="en-US"/>
        </w:rPr>
        <w:t xml:space="preserve"> percentage points to growth (Table 1). </w:t>
      </w:r>
      <w:r w:rsidR="003A4849" w:rsidRPr="003A4849">
        <w:rPr>
          <w:rFonts w:ascii="Palatino Linotype" w:hAnsi="Palatino Linotype" w:cstheme="minorHAnsi"/>
          <w:sz w:val="22"/>
          <w:szCs w:val="22"/>
          <w:lang w:val="en-US"/>
        </w:rPr>
        <w:t>According to the seasonally and calendar-adjusted</w:t>
      </w:r>
      <w:r w:rsidR="003A4849">
        <w:rPr>
          <w:rFonts w:ascii="Palatino Linotype" w:hAnsi="Palatino Linotype" w:cstheme="minorHAnsi"/>
          <w:sz w:val="22"/>
          <w:szCs w:val="22"/>
          <w:lang w:val="en-US"/>
        </w:rPr>
        <w:t xml:space="preserve"> figures, private consumption increased by 3.9 percent compared to the previous quarter, contributing 2.</w:t>
      </w:r>
      <w:r w:rsidR="001163CA">
        <w:rPr>
          <w:rFonts w:ascii="Palatino Linotype" w:hAnsi="Palatino Linotype" w:cstheme="minorHAnsi"/>
          <w:sz w:val="22"/>
          <w:szCs w:val="22"/>
          <w:lang w:val="en-US"/>
        </w:rPr>
        <w:t>4</w:t>
      </w:r>
      <w:r w:rsidR="003A4849">
        <w:rPr>
          <w:rFonts w:ascii="Palatino Linotype" w:hAnsi="Palatino Linotype" w:cstheme="minorHAnsi"/>
          <w:sz w:val="22"/>
          <w:szCs w:val="22"/>
          <w:lang w:val="en-US"/>
        </w:rPr>
        <w:t xml:space="preserve"> percentage points to quarterly growth </w:t>
      </w:r>
      <w:r w:rsidRPr="00EB2B22">
        <w:rPr>
          <w:rFonts w:ascii="Palatino Linotype" w:hAnsi="Palatino Linotype" w:cstheme="minorHAnsi"/>
          <w:sz w:val="22"/>
          <w:szCs w:val="22"/>
          <w:lang w:val="en-US"/>
        </w:rPr>
        <w:t>(Table 2).</w:t>
      </w:r>
    </w:p>
    <w:p w14:paraId="248A4A91" w14:textId="77777777" w:rsidR="00EB2B22" w:rsidRPr="006679E6" w:rsidRDefault="00EB2B22"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p>
    <w:p w14:paraId="47596A1C" w14:textId="1505E0DD" w:rsidR="00006890" w:rsidRDefault="00006890" w:rsidP="00006890">
      <w:pPr>
        <w:keepNext/>
        <w:ind w:right="79"/>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1: Growth rates and contributions to the </w:t>
      </w:r>
      <w:r w:rsidR="00325894">
        <w:rPr>
          <w:rFonts w:ascii="Palatino Linotype" w:hAnsi="Palatino Linotype" w:cstheme="minorHAnsi"/>
          <w:b/>
          <w:bCs/>
          <w:sz w:val="22"/>
          <w:szCs w:val="22"/>
          <w:lang w:val="en-US"/>
        </w:rPr>
        <w:t>growth of GDP components in 202</w:t>
      </w:r>
      <w:r w:rsidR="003F6C2B">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r w:rsidR="001163CA">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and 202</w:t>
      </w:r>
      <w:r w:rsidR="00AF78D0">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r w:rsidR="001163CA">
        <w:rPr>
          <w:rFonts w:ascii="Palatino Linotype" w:hAnsi="Palatino Linotype" w:cstheme="minorHAnsi"/>
          <w:b/>
          <w:bCs/>
          <w:sz w:val="22"/>
          <w:szCs w:val="22"/>
          <w:lang w:val="en-US"/>
        </w:rPr>
        <w:t>3</w:t>
      </w:r>
      <w:r w:rsidRPr="00155A64">
        <w:rPr>
          <w:rFonts w:ascii="Palatino Linotype" w:hAnsi="Palatino Linotype" w:cstheme="minorHAnsi"/>
          <w:b/>
          <w:bCs/>
          <w:sz w:val="22"/>
          <w:szCs w:val="22"/>
          <w:lang w:val="en-US"/>
        </w:rPr>
        <w:t xml:space="preserve"> compared to the same quarter of the previous year</w:t>
      </w:r>
    </w:p>
    <w:tbl>
      <w:tblPr>
        <w:tblW w:w="8120" w:type="dxa"/>
        <w:tblLook w:val="04A0" w:firstRow="1" w:lastRow="0" w:firstColumn="1" w:lastColumn="0" w:noHBand="0" w:noVBand="1"/>
      </w:tblPr>
      <w:tblGrid>
        <w:gridCol w:w="1980"/>
        <w:gridCol w:w="1252"/>
        <w:gridCol w:w="1828"/>
        <w:gridCol w:w="1243"/>
        <w:gridCol w:w="1817"/>
      </w:tblGrid>
      <w:tr w:rsidR="00FC0279" w:rsidRPr="00FC0279" w14:paraId="19DE0653" w14:textId="77777777" w:rsidTr="00FC0279">
        <w:trPr>
          <w:trHeight w:val="282"/>
        </w:trPr>
        <w:tc>
          <w:tcPr>
            <w:tcW w:w="1980" w:type="dxa"/>
            <w:tcBorders>
              <w:top w:val="nil"/>
              <w:left w:val="nil"/>
              <w:bottom w:val="nil"/>
              <w:right w:val="nil"/>
            </w:tcBorders>
            <w:shd w:val="clear" w:color="000000" w:fill="FFFFFF"/>
            <w:noWrap/>
            <w:vAlign w:val="bottom"/>
            <w:hideMark/>
          </w:tcPr>
          <w:p w14:paraId="426B6E57"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74DB8B"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2022Q2</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4173877"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2022Q3</w:t>
            </w:r>
          </w:p>
        </w:tc>
      </w:tr>
      <w:tr w:rsidR="00FC0279" w:rsidRPr="00FC0279" w14:paraId="511727BC" w14:textId="77777777" w:rsidTr="00FC0279">
        <w:trPr>
          <w:trHeight w:val="282"/>
        </w:trPr>
        <w:tc>
          <w:tcPr>
            <w:tcW w:w="1980" w:type="dxa"/>
            <w:tcBorders>
              <w:top w:val="nil"/>
              <w:left w:val="nil"/>
              <w:bottom w:val="nil"/>
              <w:right w:val="nil"/>
            </w:tcBorders>
            <w:shd w:val="clear" w:color="000000" w:fill="FFFFFF"/>
            <w:noWrap/>
            <w:vAlign w:val="bottom"/>
            <w:hideMark/>
          </w:tcPr>
          <w:p w14:paraId="75A55080"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 </w:t>
            </w:r>
          </w:p>
        </w:tc>
        <w:tc>
          <w:tcPr>
            <w:tcW w:w="1252" w:type="dxa"/>
            <w:tcBorders>
              <w:top w:val="nil"/>
              <w:left w:val="single" w:sz="4" w:space="0" w:color="auto"/>
              <w:bottom w:val="single" w:sz="4" w:space="0" w:color="auto"/>
              <w:right w:val="nil"/>
            </w:tcBorders>
            <w:shd w:val="clear" w:color="000000" w:fill="FFFFFF"/>
            <w:noWrap/>
            <w:vAlign w:val="bottom"/>
            <w:hideMark/>
          </w:tcPr>
          <w:p w14:paraId="620E4119"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Change (%)</w:t>
            </w:r>
          </w:p>
        </w:tc>
        <w:tc>
          <w:tcPr>
            <w:tcW w:w="1828" w:type="dxa"/>
            <w:tcBorders>
              <w:top w:val="nil"/>
              <w:left w:val="nil"/>
              <w:bottom w:val="nil"/>
              <w:right w:val="single" w:sz="4" w:space="0" w:color="auto"/>
            </w:tcBorders>
            <w:shd w:val="clear" w:color="000000" w:fill="FFFFFF"/>
            <w:noWrap/>
            <w:vAlign w:val="bottom"/>
            <w:hideMark/>
          </w:tcPr>
          <w:p w14:paraId="57E44CFF"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Contribution (%)</w:t>
            </w:r>
          </w:p>
        </w:tc>
        <w:tc>
          <w:tcPr>
            <w:tcW w:w="1243" w:type="dxa"/>
            <w:tcBorders>
              <w:top w:val="nil"/>
              <w:left w:val="nil"/>
              <w:bottom w:val="nil"/>
              <w:right w:val="nil"/>
            </w:tcBorders>
            <w:shd w:val="clear" w:color="000000" w:fill="FFFFFF"/>
            <w:noWrap/>
            <w:vAlign w:val="bottom"/>
            <w:hideMark/>
          </w:tcPr>
          <w:p w14:paraId="6C6AC892"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Change (%)</w:t>
            </w:r>
          </w:p>
        </w:tc>
        <w:tc>
          <w:tcPr>
            <w:tcW w:w="1817" w:type="dxa"/>
            <w:tcBorders>
              <w:top w:val="nil"/>
              <w:left w:val="nil"/>
              <w:bottom w:val="nil"/>
              <w:right w:val="single" w:sz="4" w:space="0" w:color="auto"/>
            </w:tcBorders>
            <w:shd w:val="clear" w:color="000000" w:fill="FFFFFF"/>
            <w:noWrap/>
            <w:vAlign w:val="bottom"/>
            <w:hideMark/>
          </w:tcPr>
          <w:p w14:paraId="579D857E"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Contribution (%)</w:t>
            </w:r>
          </w:p>
        </w:tc>
      </w:tr>
      <w:tr w:rsidR="00FC0279" w:rsidRPr="00FC0279" w14:paraId="3B0AF680" w14:textId="77777777" w:rsidTr="00FC0279">
        <w:trPr>
          <w:trHeight w:val="282"/>
        </w:trPr>
        <w:tc>
          <w:tcPr>
            <w:tcW w:w="1980" w:type="dxa"/>
            <w:tcBorders>
              <w:top w:val="single" w:sz="4" w:space="0" w:color="auto"/>
              <w:left w:val="nil"/>
              <w:bottom w:val="nil"/>
              <w:right w:val="nil"/>
            </w:tcBorders>
            <w:shd w:val="clear" w:color="000000" w:fill="FFFFFF"/>
            <w:noWrap/>
            <w:vAlign w:val="bottom"/>
            <w:hideMark/>
          </w:tcPr>
          <w:p w14:paraId="005C45E5"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Consumption</w:t>
            </w:r>
          </w:p>
        </w:tc>
        <w:tc>
          <w:tcPr>
            <w:tcW w:w="1252" w:type="dxa"/>
            <w:tcBorders>
              <w:top w:val="nil"/>
              <w:left w:val="single" w:sz="4" w:space="0" w:color="auto"/>
              <w:bottom w:val="nil"/>
              <w:right w:val="nil"/>
            </w:tcBorders>
            <w:shd w:val="clear" w:color="000000" w:fill="FFFFFF"/>
            <w:noWrap/>
            <w:vAlign w:val="bottom"/>
            <w:hideMark/>
          </w:tcPr>
          <w:p w14:paraId="6EF21990"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22.5</w:t>
            </w:r>
          </w:p>
        </w:tc>
        <w:tc>
          <w:tcPr>
            <w:tcW w:w="1828" w:type="dxa"/>
            <w:tcBorders>
              <w:top w:val="single" w:sz="4" w:space="0" w:color="auto"/>
              <w:left w:val="nil"/>
              <w:bottom w:val="nil"/>
              <w:right w:val="single" w:sz="4" w:space="0" w:color="auto"/>
            </w:tcBorders>
            <w:shd w:val="clear" w:color="000000" w:fill="FFFFFF"/>
            <w:noWrap/>
            <w:vAlign w:val="bottom"/>
            <w:hideMark/>
          </w:tcPr>
          <w:p w14:paraId="58CB8C11"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12.2</w:t>
            </w:r>
          </w:p>
        </w:tc>
        <w:tc>
          <w:tcPr>
            <w:tcW w:w="1243" w:type="dxa"/>
            <w:tcBorders>
              <w:top w:val="single" w:sz="4" w:space="0" w:color="auto"/>
              <w:left w:val="nil"/>
              <w:bottom w:val="nil"/>
              <w:right w:val="nil"/>
            </w:tcBorders>
            <w:shd w:val="clear" w:color="000000" w:fill="FFFFFF"/>
            <w:noWrap/>
            <w:vAlign w:val="bottom"/>
            <w:hideMark/>
          </w:tcPr>
          <w:p w14:paraId="13C95FD7"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19.9</w:t>
            </w:r>
          </w:p>
        </w:tc>
        <w:tc>
          <w:tcPr>
            <w:tcW w:w="1817" w:type="dxa"/>
            <w:tcBorders>
              <w:top w:val="single" w:sz="4" w:space="0" w:color="auto"/>
              <w:left w:val="nil"/>
              <w:bottom w:val="nil"/>
              <w:right w:val="single" w:sz="4" w:space="0" w:color="auto"/>
            </w:tcBorders>
            <w:shd w:val="clear" w:color="000000" w:fill="FFFFFF"/>
            <w:noWrap/>
            <w:vAlign w:val="bottom"/>
            <w:hideMark/>
          </w:tcPr>
          <w:p w14:paraId="2F6E71A8"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10.8</w:t>
            </w:r>
          </w:p>
        </w:tc>
      </w:tr>
      <w:tr w:rsidR="00FC0279" w:rsidRPr="00FC0279" w14:paraId="7F24CC6B" w14:textId="77777777" w:rsidTr="00FC0279">
        <w:trPr>
          <w:trHeight w:val="282"/>
        </w:trPr>
        <w:tc>
          <w:tcPr>
            <w:tcW w:w="1980" w:type="dxa"/>
            <w:tcBorders>
              <w:top w:val="nil"/>
              <w:left w:val="nil"/>
              <w:bottom w:val="nil"/>
              <w:right w:val="nil"/>
            </w:tcBorders>
            <w:shd w:val="clear" w:color="000000" w:fill="FFFFFF"/>
            <w:noWrap/>
            <w:vAlign w:val="bottom"/>
            <w:hideMark/>
          </w:tcPr>
          <w:p w14:paraId="2E9F5661"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Government Spending</w:t>
            </w:r>
          </w:p>
        </w:tc>
        <w:tc>
          <w:tcPr>
            <w:tcW w:w="1252" w:type="dxa"/>
            <w:tcBorders>
              <w:top w:val="nil"/>
              <w:left w:val="single" w:sz="4" w:space="0" w:color="auto"/>
              <w:bottom w:val="nil"/>
              <w:right w:val="nil"/>
            </w:tcBorders>
            <w:shd w:val="clear" w:color="000000" w:fill="FFFFFF"/>
            <w:noWrap/>
            <w:vAlign w:val="bottom"/>
            <w:hideMark/>
          </w:tcPr>
          <w:p w14:paraId="31C1A4D3"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2.0</w:t>
            </w:r>
          </w:p>
        </w:tc>
        <w:tc>
          <w:tcPr>
            <w:tcW w:w="1828" w:type="dxa"/>
            <w:tcBorders>
              <w:top w:val="nil"/>
              <w:left w:val="nil"/>
              <w:bottom w:val="nil"/>
              <w:right w:val="single" w:sz="4" w:space="0" w:color="auto"/>
            </w:tcBorders>
            <w:shd w:val="clear" w:color="000000" w:fill="FFFFFF"/>
            <w:noWrap/>
            <w:vAlign w:val="bottom"/>
            <w:hideMark/>
          </w:tcPr>
          <w:p w14:paraId="6CDD0778"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0.3</w:t>
            </w:r>
          </w:p>
        </w:tc>
        <w:tc>
          <w:tcPr>
            <w:tcW w:w="1243" w:type="dxa"/>
            <w:tcBorders>
              <w:top w:val="nil"/>
              <w:left w:val="nil"/>
              <w:bottom w:val="nil"/>
              <w:right w:val="nil"/>
            </w:tcBorders>
            <w:shd w:val="clear" w:color="000000" w:fill="FFFFFF"/>
            <w:noWrap/>
            <w:vAlign w:val="bottom"/>
            <w:hideMark/>
          </w:tcPr>
          <w:p w14:paraId="7674781B"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8.5</w:t>
            </w:r>
          </w:p>
        </w:tc>
        <w:tc>
          <w:tcPr>
            <w:tcW w:w="1817" w:type="dxa"/>
            <w:tcBorders>
              <w:top w:val="nil"/>
              <w:left w:val="nil"/>
              <w:bottom w:val="nil"/>
              <w:right w:val="single" w:sz="4" w:space="0" w:color="auto"/>
            </w:tcBorders>
            <w:shd w:val="clear" w:color="000000" w:fill="FFFFFF"/>
            <w:noWrap/>
            <w:vAlign w:val="bottom"/>
            <w:hideMark/>
          </w:tcPr>
          <w:p w14:paraId="6D30AB34"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1.1</w:t>
            </w:r>
          </w:p>
        </w:tc>
      </w:tr>
      <w:tr w:rsidR="00FC0279" w:rsidRPr="00FC0279" w14:paraId="1A94157C" w14:textId="77777777" w:rsidTr="00FC0279">
        <w:trPr>
          <w:trHeight w:val="282"/>
        </w:trPr>
        <w:tc>
          <w:tcPr>
            <w:tcW w:w="1980" w:type="dxa"/>
            <w:tcBorders>
              <w:top w:val="nil"/>
              <w:left w:val="nil"/>
              <w:bottom w:val="nil"/>
              <w:right w:val="nil"/>
            </w:tcBorders>
            <w:shd w:val="clear" w:color="000000" w:fill="FFFFFF"/>
            <w:noWrap/>
            <w:vAlign w:val="bottom"/>
            <w:hideMark/>
          </w:tcPr>
          <w:p w14:paraId="41C31FAE"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Investment</w:t>
            </w:r>
          </w:p>
        </w:tc>
        <w:tc>
          <w:tcPr>
            <w:tcW w:w="1252" w:type="dxa"/>
            <w:tcBorders>
              <w:top w:val="nil"/>
              <w:left w:val="single" w:sz="4" w:space="0" w:color="auto"/>
              <w:bottom w:val="nil"/>
              <w:right w:val="nil"/>
            </w:tcBorders>
            <w:shd w:val="clear" w:color="000000" w:fill="FFFFFF"/>
            <w:noWrap/>
            <w:vAlign w:val="bottom"/>
            <w:hideMark/>
          </w:tcPr>
          <w:p w14:paraId="75A324F5"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5.0</w:t>
            </w:r>
          </w:p>
        </w:tc>
        <w:tc>
          <w:tcPr>
            <w:tcW w:w="1828" w:type="dxa"/>
            <w:tcBorders>
              <w:top w:val="nil"/>
              <w:left w:val="nil"/>
              <w:bottom w:val="nil"/>
              <w:right w:val="single" w:sz="4" w:space="0" w:color="auto"/>
            </w:tcBorders>
            <w:shd w:val="clear" w:color="000000" w:fill="FFFFFF"/>
            <w:noWrap/>
            <w:vAlign w:val="bottom"/>
            <w:hideMark/>
          </w:tcPr>
          <w:p w14:paraId="0ECDC78A"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1.5</w:t>
            </w:r>
          </w:p>
        </w:tc>
        <w:tc>
          <w:tcPr>
            <w:tcW w:w="1243" w:type="dxa"/>
            <w:tcBorders>
              <w:top w:val="nil"/>
              <w:left w:val="nil"/>
              <w:bottom w:val="nil"/>
              <w:right w:val="nil"/>
            </w:tcBorders>
            <w:shd w:val="clear" w:color="000000" w:fill="FFFFFF"/>
            <w:noWrap/>
            <w:vAlign w:val="bottom"/>
            <w:hideMark/>
          </w:tcPr>
          <w:p w14:paraId="076CA86B"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-1.3</w:t>
            </w:r>
          </w:p>
        </w:tc>
        <w:tc>
          <w:tcPr>
            <w:tcW w:w="1817" w:type="dxa"/>
            <w:tcBorders>
              <w:top w:val="nil"/>
              <w:left w:val="nil"/>
              <w:bottom w:val="nil"/>
              <w:right w:val="single" w:sz="4" w:space="0" w:color="auto"/>
            </w:tcBorders>
            <w:shd w:val="clear" w:color="000000" w:fill="FFFFFF"/>
            <w:noWrap/>
            <w:vAlign w:val="bottom"/>
            <w:hideMark/>
          </w:tcPr>
          <w:p w14:paraId="6E85B595"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-0.4</w:t>
            </w:r>
          </w:p>
        </w:tc>
      </w:tr>
      <w:tr w:rsidR="00FC0279" w:rsidRPr="00FC0279" w14:paraId="139D5AA8" w14:textId="77777777" w:rsidTr="00FC0279">
        <w:trPr>
          <w:trHeight w:val="282"/>
        </w:trPr>
        <w:tc>
          <w:tcPr>
            <w:tcW w:w="1980" w:type="dxa"/>
            <w:tcBorders>
              <w:top w:val="nil"/>
              <w:left w:val="nil"/>
              <w:bottom w:val="nil"/>
              <w:right w:val="nil"/>
            </w:tcBorders>
            <w:shd w:val="clear" w:color="000000" w:fill="FFFFFF"/>
            <w:noWrap/>
            <w:vAlign w:val="bottom"/>
            <w:hideMark/>
          </w:tcPr>
          <w:p w14:paraId="3E08EF5E"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Change in Inventories</w:t>
            </w:r>
          </w:p>
        </w:tc>
        <w:tc>
          <w:tcPr>
            <w:tcW w:w="1252" w:type="dxa"/>
            <w:tcBorders>
              <w:top w:val="nil"/>
              <w:left w:val="single" w:sz="4" w:space="0" w:color="auto"/>
              <w:bottom w:val="nil"/>
              <w:right w:val="nil"/>
            </w:tcBorders>
            <w:shd w:val="clear" w:color="000000" w:fill="FFFFFF"/>
            <w:noWrap/>
            <w:vAlign w:val="bottom"/>
            <w:hideMark/>
          </w:tcPr>
          <w:p w14:paraId="77D3C143"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 </w:t>
            </w:r>
          </w:p>
        </w:tc>
        <w:tc>
          <w:tcPr>
            <w:tcW w:w="1828" w:type="dxa"/>
            <w:tcBorders>
              <w:top w:val="nil"/>
              <w:left w:val="nil"/>
              <w:bottom w:val="nil"/>
              <w:right w:val="single" w:sz="4" w:space="0" w:color="auto"/>
            </w:tcBorders>
            <w:shd w:val="clear" w:color="000000" w:fill="FFFFFF"/>
            <w:noWrap/>
            <w:vAlign w:val="bottom"/>
            <w:hideMark/>
          </w:tcPr>
          <w:p w14:paraId="11AA188F"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-10.1</w:t>
            </w:r>
          </w:p>
        </w:tc>
        <w:tc>
          <w:tcPr>
            <w:tcW w:w="1243" w:type="dxa"/>
            <w:tcBorders>
              <w:top w:val="nil"/>
              <w:left w:val="nil"/>
              <w:bottom w:val="nil"/>
              <w:right w:val="nil"/>
            </w:tcBorders>
            <w:shd w:val="clear" w:color="000000" w:fill="FFFFFF"/>
            <w:noWrap/>
            <w:vAlign w:val="bottom"/>
            <w:hideMark/>
          </w:tcPr>
          <w:p w14:paraId="457CEB1C"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 </w:t>
            </w:r>
          </w:p>
        </w:tc>
        <w:tc>
          <w:tcPr>
            <w:tcW w:w="1817" w:type="dxa"/>
            <w:tcBorders>
              <w:top w:val="nil"/>
              <w:left w:val="nil"/>
              <w:bottom w:val="nil"/>
              <w:right w:val="single" w:sz="4" w:space="0" w:color="auto"/>
            </w:tcBorders>
            <w:shd w:val="clear" w:color="000000" w:fill="FFFFFF"/>
            <w:noWrap/>
            <w:vAlign w:val="bottom"/>
            <w:hideMark/>
          </w:tcPr>
          <w:p w14:paraId="64545DBF"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-8.3</w:t>
            </w:r>
          </w:p>
        </w:tc>
      </w:tr>
      <w:tr w:rsidR="00FC0279" w:rsidRPr="00FC0279" w14:paraId="388C5243" w14:textId="77777777" w:rsidTr="00FC0279">
        <w:trPr>
          <w:trHeight w:val="282"/>
        </w:trPr>
        <w:tc>
          <w:tcPr>
            <w:tcW w:w="1980" w:type="dxa"/>
            <w:tcBorders>
              <w:top w:val="nil"/>
              <w:left w:val="nil"/>
              <w:bottom w:val="nil"/>
              <w:right w:val="nil"/>
            </w:tcBorders>
            <w:shd w:val="clear" w:color="000000" w:fill="FFFFFF"/>
            <w:noWrap/>
            <w:vAlign w:val="bottom"/>
            <w:hideMark/>
          </w:tcPr>
          <w:p w14:paraId="16AB9296"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Export</w:t>
            </w:r>
          </w:p>
        </w:tc>
        <w:tc>
          <w:tcPr>
            <w:tcW w:w="1252" w:type="dxa"/>
            <w:tcBorders>
              <w:top w:val="nil"/>
              <w:left w:val="single" w:sz="4" w:space="0" w:color="auto"/>
              <w:bottom w:val="nil"/>
              <w:right w:val="nil"/>
            </w:tcBorders>
            <w:shd w:val="clear" w:color="000000" w:fill="FFFFFF"/>
            <w:noWrap/>
            <w:vAlign w:val="bottom"/>
            <w:hideMark/>
          </w:tcPr>
          <w:p w14:paraId="4F2336C5"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16.4</w:t>
            </w:r>
          </w:p>
        </w:tc>
        <w:tc>
          <w:tcPr>
            <w:tcW w:w="1828" w:type="dxa"/>
            <w:tcBorders>
              <w:top w:val="nil"/>
              <w:left w:val="nil"/>
              <w:bottom w:val="nil"/>
              <w:right w:val="single" w:sz="4" w:space="0" w:color="auto"/>
            </w:tcBorders>
            <w:shd w:val="clear" w:color="000000" w:fill="FFFFFF"/>
            <w:noWrap/>
            <w:vAlign w:val="bottom"/>
            <w:hideMark/>
          </w:tcPr>
          <w:p w14:paraId="14F8F8D6"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5.7</w:t>
            </w:r>
          </w:p>
        </w:tc>
        <w:tc>
          <w:tcPr>
            <w:tcW w:w="1243" w:type="dxa"/>
            <w:tcBorders>
              <w:top w:val="nil"/>
              <w:left w:val="nil"/>
              <w:bottom w:val="nil"/>
              <w:right w:val="nil"/>
            </w:tcBorders>
            <w:shd w:val="clear" w:color="000000" w:fill="FFFFFF"/>
            <w:noWrap/>
            <w:vAlign w:val="bottom"/>
            <w:hideMark/>
          </w:tcPr>
          <w:p w14:paraId="2E6EF858"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12.6</w:t>
            </w:r>
          </w:p>
        </w:tc>
        <w:tc>
          <w:tcPr>
            <w:tcW w:w="1817" w:type="dxa"/>
            <w:tcBorders>
              <w:top w:val="nil"/>
              <w:left w:val="nil"/>
              <w:bottom w:val="nil"/>
              <w:right w:val="single" w:sz="4" w:space="0" w:color="auto"/>
            </w:tcBorders>
            <w:shd w:val="clear" w:color="000000" w:fill="FFFFFF"/>
            <w:noWrap/>
            <w:vAlign w:val="bottom"/>
            <w:hideMark/>
          </w:tcPr>
          <w:p w14:paraId="723A1032"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4.1</w:t>
            </w:r>
          </w:p>
        </w:tc>
      </w:tr>
      <w:tr w:rsidR="00FC0279" w:rsidRPr="00FC0279" w14:paraId="1F3EFAC5" w14:textId="77777777" w:rsidTr="00FC0279">
        <w:trPr>
          <w:trHeight w:val="282"/>
        </w:trPr>
        <w:tc>
          <w:tcPr>
            <w:tcW w:w="1980" w:type="dxa"/>
            <w:tcBorders>
              <w:top w:val="nil"/>
              <w:left w:val="nil"/>
              <w:bottom w:val="nil"/>
              <w:right w:val="nil"/>
            </w:tcBorders>
            <w:shd w:val="clear" w:color="000000" w:fill="FFFFFF"/>
            <w:noWrap/>
            <w:vAlign w:val="bottom"/>
            <w:hideMark/>
          </w:tcPr>
          <w:p w14:paraId="7A3CB72B"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Import</w:t>
            </w:r>
          </w:p>
        </w:tc>
        <w:tc>
          <w:tcPr>
            <w:tcW w:w="1252" w:type="dxa"/>
            <w:tcBorders>
              <w:top w:val="nil"/>
              <w:left w:val="single" w:sz="4" w:space="0" w:color="auto"/>
              <w:bottom w:val="nil"/>
              <w:right w:val="nil"/>
            </w:tcBorders>
            <w:shd w:val="clear" w:color="000000" w:fill="FFFFFF"/>
            <w:noWrap/>
            <w:vAlign w:val="bottom"/>
            <w:hideMark/>
          </w:tcPr>
          <w:p w14:paraId="064BDCDE"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5.8</w:t>
            </w:r>
          </w:p>
        </w:tc>
        <w:tc>
          <w:tcPr>
            <w:tcW w:w="1828" w:type="dxa"/>
            <w:tcBorders>
              <w:top w:val="nil"/>
              <w:left w:val="nil"/>
              <w:bottom w:val="nil"/>
              <w:right w:val="single" w:sz="4" w:space="0" w:color="auto"/>
            </w:tcBorders>
            <w:shd w:val="clear" w:color="000000" w:fill="FFFFFF"/>
            <w:noWrap/>
            <w:vAlign w:val="bottom"/>
            <w:hideMark/>
          </w:tcPr>
          <w:p w14:paraId="2764E806"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-1.9</w:t>
            </w:r>
          </w:p>
        </w:tc>
        <w:tc>
          <w:tcPr>
            <w:tcW w:w="1243" w:type="dxa"/>
            <w:tcBorders>
              <w:top w:val="nil"/>
              <w:left w:val="nil"/>
              <w:bottom w:val="nil"/>
              <w:right w:val="nil"/>
            </w:tcBorders>
            <w:shd w:val="clear" w:color="000000" w:fill="FFFFFF"/>
            <w:noWrap/>
            <w:vAlign w:val="bottom"/>
            <w:hideMark/>
          </w:tcPr>
          <w:p w14:paraId="6525EA92"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12.2</w:t>
            </w:r>
          </w:p>
        </w:tc>
        <w:tc>
          <w:tcPr>
            <w:tcW w:w="1817" w:type="dxa"/>
            <w:tcBorders>
              <w:top w:val="nil"/>
              <w:left w:val="nil"/>
              <w:bottom w:val="nil"/>
              <w:right w:val="single" w:sz="4" w:space="0" w:color="auto"/>
            </w:tcBorders>
            <w:shd w:val="clear" w:color="000000" w:fill="FFFFFF"/>
            <w:noWrap/>
            <w:vAlign w:val="bottom"/>
            <w:hideMark/>
          </w:tcPr>
          <w:p w14:paraId="7AA4CC4F"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-3.4</w:t>
            </w:r>
          </w:p>
        </w:tc>
      </w:tr>
      <w:tr w:rsidR="00FC0279" w:rsidRPr="00FC0279" w14:paraId="1FDA5807" w14:textId="77777777" w:rsidTr="00FC0279">
        <w:trPr>
          <w:trHeight w:val="315"/>
        </w:trPr>
        <w:tc>
          <w:tcPr>
            <w:tcW w:w="1980" w:type="dxa"/>
            <w:tcBorders>
              <w:top w:val="nil"/>
              <w:left w:val="nil"/>
              <w:bottom w:val="double" w:sz="6" w:space="0" w:color="auto"/>
              <w:right w:val="nil"/>
            </w:tcBorders>
            <w:shd w:val="clear" w:color="000000" w:fill="FFFFFF"/>
            <w:noWrap/>
            <w:vAlign w:val="bottom"/>
            <w:hideMark/>
          </w:tcPr>
          <w:p w14:paraId="4E272C03"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GDP</w:t>
            </w:r>
          </w:p>
        </w:tc>
        <w:tc>
          <w:tcPr>
            <w:tcW w:w="1252" w:type="dxa"/>
            <w:tcBorders>
              <w:top w:val="nil"/>
              <w:left w:val="single" w:sz="4" w:space="0" w:color="auto"/>
              <w:bottom w:val="double" w:sz="6" w:space="0" w:color="auto"/>
              <w:right w:val="nil"/>
            </w:tcBorders>
            <w:shd w:val="clear" w:color="000000" w:fill="FFFFFF"/>
            <w:noWrap/>
            <w:vAlign w:val="bottom"/>
            <w:hideMark/>
          </w:tcPr>
          <w:p w14:paraId="4FD03DC4"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7.7</w:t>
            </w:r>
          </w:p>
        </w:tc>
        <w:tc>
          <w:tcPr>
            <w:tcW w:w="1828" w:type="dxa"/>
            <w:tcBorders>
              <w:top w:val="nil"/>
              <w:left w:val="nil"/>
              <w:bottom w:val="double" w:sz="6" w:space="0" w:color="auto"/>
              <w:right w:val="single" w:sz="4" w:space="0" w:color="auto"/>
            </w:tcBorders>
            <w:shd w:val="clear" w:color="000000" w:fill="FFFFFF"/>
            <w:noWrap/>
            <w:vAlign w:val="bottom"/>
            <w:hideMark/>
          </w:tcPr>
          <w:p w14:paraId="02DE5768"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 </w:t>
            </w:r>
          </w:p>
        </w:tc>
        <w:tc>
          <w:tcPr>
            <w:tcW w:w="1243" w:type="dxa"/>
            <w:tcBorders>
              <w:top w:val="nil"/>
              <w:left w:val="nil"/>
              <w:bottom w:val="double" w:sz="6" w:space="0" w:color="auto"/>
              <w:right w:val="nil"/>
            </w:tcBorders>
            <w:shd w:val="clear" w:color="000000" w:fill="FFFFFF"/>
            <w:noWrap/>
            <w:vAlign w:val="bottom"/>
            <w:hideMark/>
          </w:tcPr>
          <w:p w14:paraId="26CBE409"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3.9</w:t>
            </w:r>
          </w:p>
        </w:tc>
        <w:tc>
          <w:tcPr>
            <w:tcW w:w="1817" w:type="dxa"/>
            <w:tcBorders>
              <w:top w:val="nil"/>
              <w:left w:val="nil"/>
              <w:bottom w:val="double" w:sz="6" w:space="0" w:color="auto"/>
              <w:right w:val="single" w:sz="4" w:space="0" w:color="auto"/>
            </w:tcBorders>
            <w:shd w:val="clear" w:color="000000" w:fill="FFFFFF"/>
            <w:noWrap/>
            <w:vAlign w:val="bottom"/>
            <w:hideMark/>
          </w:tcPr>
          <w:p w14:paraId="76F7EA09"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 </w:t>
            </w:r>
          </w:p>
        </w:tc>
      </w:tr>
    </w:tbl>
    <w:p w14:paraId="06E46BDB" w14:textId="4D43F558" w:rsidR="00311EFF" w:rsidRDefault="00006890" w:rsidP="00405BD8">
      <w:pPr>
        <w:keepLines/>
        <w:widowControl w:val="0"/>
        <w:rPr>
          <w:rFonts w:ascii="Palatino Linotype" w:hAnsi="Palatino Linotype" w:cstheme="minorHAnsi"/>
          <w:sz w:val="18"/>
          <w:szCs w:val="18"/>
          <w:lang w:val="en-US"/>
        </w:rPr>
      </w:pPr>
      <w:r w:rsidRPr="00155A64">
        <w:rPr>
          <w:rFonts w:ascii="Palatino Linotype" w:hAnsi="Palatino Linotype" w:cstheme="minorHAnsi"/>
          <w:sz w:val="18"/>
          <w:szCs w:val="18"/>
          <w:lang w:val="en-US"/>
        </w:rPr>
        <w:t>Source: TurkStat, Betam</w:t>
      </w:r>
    </w:p>
    <w:p w14:paraId="64566559" w14:textId="3DC71D0A" w:rsidR="00EB2543" w:rsidRPr="006679E6" w:rsidRDefault="00EB2543" w:rsidP="00405BD8">
      <w:pPr>
        <w:keepLines/>
        <w:widowControl w:val="0"/>
        <w:rPr>
          <w:rFonts w:ascii="Palatino Linotype" w:hAnsi="Palatino Linotype" w:cstheme="minorHAnsi"/>
          <w:sz w:val="18"/>
          <w:szCs w:val="18"/>
          <w:lang w:val="en-US"/>
        </w:rPr>
      </w:pPr>
    </w:p>
    <w:p w14:paraId="3CBA6B9B" w14:textId="7CC7894B" w:rsidR="00006890" w:rsidRPr="00155A64" w:rsidRDefault="00006890" w:rsidP="00006890">
      <w:pPr>
        <w:ind w:right="7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 xml:space="preserve">Table 2: Growth rates and contributions to the </w:t>
      </w:r>
      <w:r w:rsidR="00114BBE">
        <w:rPr>
          <w:rFonts w:ascii="Palatino Linotype" w:hAnsi="Palatino Linotype" w:cstheme="minorHAnsi"/>
          <w:b/>
          <w:bCs/>
          <w:sz w:val="22"/>
          <w:szCs w:val="22"/>
          <w:lang w:val="en-US"/>
        </w:rPr>
        <w:t>growth of GDP components in 202</w:t>
      </w:r>
      <w:r w:rsidR="003F6C2B">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r w:rsidR="001163CA">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and 202</w:t>
      </w:r>
      <w:r w:rsidR="00AF78D0">
        <w:rPr>
          <w:rFonts w:ascii="Palatino Linotype" w:hAnsi="Palatino Linotype" w:cstheme="minorHAnsi"/>
          <w:b/>
          <w:bCs/>
          <w:sz w:val="22"/>
          <w:szCs w:val="22"/>
          <w:lang w:val="en-US"/>
        </w:rPr>
        <w:t>2</w:t>
      </w:r>
      <w:r w:rsidRPr="00155A64">
        <w:rPr>
          <w:rFonts w:ascii="Palatino Linotype" w:hAnsi="Palatino Linotype" w:cstheme="minorHAnsi"/>
          <w:b/>
          <w:bCs/>
          <w:sz w:val="22"/>
          <w:szCs w:val="22"/>
          <w:lang w:val="en-US"/>
        </w:rPr>
        <w:t xml:space="preserve"> Q</w:t>
      </w:r>
      <w:r w:rsidR="001163CA">
        <w:rPr>
          <w:rFonts w:ascii="Palatino Linotype" w:hAnsi="Palatino Linotype" w:cstheme="minorHAnsi"/>
          <w:b/>
          <w:bCs/>
          <w:sz w:val="22"/>
          <w:szCs w:val="22"/>
          <w:lang w:val="en-US"/>
        </w:rPr>
        <w:t>3</w:t>
      </w:r>
      <w:r w:rsidRPr="00155A64">
        <w:rPr>
          <w:rFonts w:ascii="Palatino Linotype" w:hAnsi="Palatino Linotype" w:cstheme="minorHAnsi"/>
          <w:b/>
          <w:bCs/>
          <w:sz w:val="22"/>
          <w:szCs w:val="22"/>
          <w:lang w:val="en-US"/>
        </w:rPr>
        <w:t xml:space="preserve"> compared to the previous quarter</w:t>
      </w:r>
    </w:p>
    <w:tbl>
      <w:tblPr>
        <w:tblW w:w="8120" w:type="dxa"/>
        <w:tblLook w:val="04A0" w:firstRow="1" w:lastRow="0" w:firstColumn="1" w:lastColumn="0" w:noHBand="0" w:noVBand="1"/>
      </w:tblPr>
      <w:tblGrid>
        <w:gridCol w:w="1980"/>
        <w:gridCol w:w="1252"/>
        <w:gridCol w:w="1828"/>
        <w:gridCol w:w="1243"/>
        <w:gridCol w:w="1817"/>
      </w:tblGrid>
      <w:tr w:rsidR="00FC0279" w:rsidRPr="00FC0279" w14:paraId="17E4C2A4" w14:textId="77777777" w:rsidTr="00FC0279">
        <w:trPr>
          <w:trHeight w:val="282"/>
        </w:trPr>
        <w:tc>
          <w:tcPr>
            <w:tcW w:w="1980" w:type="dxa"/>
            <w:tcBorders>
              <w:top w:val="nil"/>
              <w:left w:val="nil"/>
              <w:bottom w:val="nil"/>
              <w:right w:val="nil"/>
            </w:tcBorders>
            <w:shd w:val="clear" w:color="000000" w:fill="FFFFFF"/>
            <w:noWrap/>
            <w:vAlign w:val="bottom"/>
            <w:hideMark/>
          </w:tcPr>
          <w:p w14:paraId="09B09B94"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74D3D34"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2022Q2</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931D5D2"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2022Q3</w:t>
            </w:r>
          </w:p>
        </w:tc>
      </w:tr>
      <w:tr w:rsidR="00FC0279" w:rsidRPr="00FC0279" w14:paraId="349FB671" w14:textId="77777777" w:rsidTr="00FC0279">
        <w:trPr>
          <w:trHeight w:val="282"/>
        </w:trPr>
        <w:tc>
          <w:tcPr>
            <w:tcW w:w="1980" w:type="dxa"/>
            <w:tcBorders>
              <w:top w:val="nil"/>
              <w:left w:val="nil"/>
              <w:bottom w:val="nil"/>
              <w:right w:val="nil"/>
            </w:tcBorders>
            <w:shd w:val="clear" w:color="000000" w:fill="FFFFFF"/>
            <w:noWrap/>
            <w:vAlign w:val="bottom"/>
            <w:hideMark/>
          </w:tcPr>
          <w:p w14:paraId="3E0BCFE4"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 </w:t>
            </w:r>
          </w:p>
        </w:tc>
        <w:tc>
          <w:tcPr>
            <w:tcW w:w="1252" w:type="dxa"/>
            <w:tcBorders>
              <w:top w:val="nil"/>
              <w:left w:val="single" w:sz="4" w:space="0" w:color="auto"/>
              <w:bottom w:val="single" w:sz="4" w:space="0" w:color="auto"/>
              <w:right w:val="nil"/>
            </w:tcBorders>
            <w:shd w:val="clear" w:color="000000" w:fill="FFFFFF"/>
            <w:noWrap/>
            <w:vAlign w:val="bottom"/>
            <w:hideMark/>
          </w:tcPr>
          <w:p w14:paraId="66332E26"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Change (%)</w:t>
            </w:r>
          </w:p>
        </w:tc>
        <w:tc>
          <w:tcPr>
            <w:tcW w:w="1828" w:type="dxa"/>
            <w:tcBorders>
              <w:top w:val="nil"/>
              <w:left w:val="nil"/>
              <w:bottom w:val="nil"/>
              <w:right w:val="single" w:sz="4" w:space="0" w:color="auto"/>
            </w:tcBorders>
            <w:shd w:val="clear" w:color="000000" w:fill="FFFFFF"/>
            <w:noWrap/>
            <w:vAlign w:val="bottom"/>
            <w:hideMark/>
          </w:tcPr>
          <w:p w14:paraId="547E5D37"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Contribution (%)</w:t>
            </w:r>
          </w:p>
        </w:tc>
        <w:tc>
          <w:tcPr>
            <w:tcW w:w="1243" w:type="dxa"/>
            <w:tcBorders>
              <w:top w:val="nil"/>
              <w:left w:val="nil"/>
              <w:bottom w:val="nil"/>
              <w:right w:val="nil"/>
            </w:tcBorders>
            <w:shd w:val="clear" w:color="000000" w:fill="FFFFFF"/>
            <w:noWrap/>
            <w:vAlign w:val="bottom"/>
            <w:hideMark/>
          </w:tcPr>
          <w:p w14:paraId="0ECAF906"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Change (%)</w:t>
            </w:r>
          </w:p>
        </w:tc>
        <w:tc>
          <w:tcPr>
            <w:tcW w:w="1817" w:type="dxa"/>
            <w:tcBorders>
              <w:top w:val="nil"/>
              <w:left w:val="nil"/>
              <w:bottom w:val="nil"/>
              <w:right w:val="single" w:sz="4" w:space="0" w:color="auto"/>
            </w:tcBorders>
            <w:shd w:val="clear" w:color="000000" w:fill="FFFFFF"/>
            <w:noWrap/>
            <w:vAlign w:val="bottom"/>
            <w:hideMark/>
          </w:tcPr>
          <w:p w14:paraId="1BC02031" w14:textId="77777777" w:rsidR="00FC0279" w:rsidRPr="00FC0279" w:rsidRDefault="00FC0279" w:rsidP="00FC0279">
            <w:pPr>
              <w:jc w:val="cente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Contribution (%)</w:t>
            </w:r>
          </w:p>
        </w:tc>
      </w:tr>
      <w:tr w:rsidR="00FC0279" w:rsidRPr="00FC0279" w14:paraId="4423E999" w14:textId="77777777" w:rsidTr="00FC0279">
        <w:trPr>
          <w:trHeight w:val="282"/>
        </w:trPr>
        <w:tc>
          <w:tcPr>
            <w:tcW w:w="1980" w:type="dxa"/>
            <w:tcBorders>
              <w:top w:val="single" w:sz="4" w:space="0" w:color="auto"/>
              <w:left w:val="nil"/>
              <w:bottom w:val="nil"/>
              <w:right w:val="nil"/>
            </w:tcBorders>
            <w:shd w:val="clear" w:color="000000" w:fill="FFFFFF"/>
            <w:noWrap/>
            <w:vAlign w:val="bottom"/>
            <w:hideMark/>
          </w:tcPr>
          <w:p w14:paraId="6E26E131"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Consumption</w:t>
            </w:r>
          </w:p>
        </w:tc>
        <w:tc>
          <w:tcPr>
            <w:tcW w:w="1252" w:type="dxa"/>
            <w:tcBorders>
              <w:top w:val="nil"/>
              <w:left w:val="single" w:sz="4" w:space="0" w:color="auto"/>
              <w:bottom w:val="nil"/>
              <w:right w:val="nil"/>
            </w:tcBorders>
            <w:shd w:val="clear" w:color="000000" w:fill="FFFFFF"/>
            <w:noWrap/>
            <w:vAlign w:val="bottom"/>
            <w:hideMark/>
          </w:tcPr>
          <w:p w14:paraId="649A1454"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4.3</w:t>
            </w:r>
          </w:p>
        </w:tc>
        <w:tc>
          <w:tcPr>
            <w:tcW w:w="1828" w:type="dxa"/>
            <w:tcBorders>
              <w:top w:val="single" w:sz="4" w:space="0" w:color="auto"/>
              <w:left w:val="nil"/>
              <w:bottom w:val="nil"/>
              <w:right w:val="single" w:sz="4" w:space="0" w:color="auto"/>
            </w:tcBorders>
            <w:shd w:val="clear" w:color="000000" w:fill="FFFFFF"/>
            <w:noWrap/>
            <w:vAlign w:val="bottom"/>
            <w:hideMark/>
          </w:tcPr>
          <w:p w14:paraId="060ABA5A"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2.5</w:t>
            </w:r>
          </w:p>
        </w:tc>
        <w:tc>
          <w:tcPr>
            <w:tcW w:w="1243" w:type="dxa"/>
            <w:tcBorders>
              <w:top w:val="single" w:sz="4" w:space="0" w:color="auto"/>
              <w:left w:val="nil"/>
              <w:bottom w:val="nil"/>
              <w:right w:val="nil"/>
            </w:tcBorders>
            <w:shd w:val="clear" w:color="000000" w:fill="FFFFFF"/>
            <w:noWrap/>
            <w:vAlign w:val="bottom"/>
            <w:hideMark/>
          </w:tcPr>
          <w:p w14:paraId="649BCE62"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3.9</w:t>
            </w:r>
          </w:p>
        </w:tc>
        <w:tc>
          <w:tcPr>
            <w:tcW w:w="1817" w:type="dxa"/>
            <w:tcBorders>
              <w:top w:val="single" w:sz="4" w:space="0" w:color="auto"/>
              <w:left w:val="nil"/>
              <w:bottom w:val="nil"/>
              <w:right w:val="single" w:sz="4" w:space="0" w:color="auto"/>
            </w:tcBorders>
            <w:shd w:val="clear" w:color="000000" w:fill="FFFFFF"/>
            <w:noWrap/>
            <w:vAlign w:val="bottom"/>
            <w:hideMark/>
          </w:tcPr>
          <w:p w14:paraId="48496E93"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2.4</w:t>
            </w:r>
          </w:p>
        </w:tc>
      </w:tr>
      <w:tr w:rsidR="00FC0279" w:rsidRPr="00FC0279" w14:paraId="78475324" w14:textId="77777777" w:rsidTr="00FC0279">
        <w:trPr>
          <w:trHeight w:val="282"/>
        </w:trPr>
        <w:tc>
          <w:tcPr>
            <w:tcW w:w="1980" w:type="dxa"/>
            <w:tcBorders>
              <w:top w:val="nil"/>
              <w:left w:val="nil"/>
              <w:bottom w:val="nil"/>
              <w:right w:val="nil"/>
            </w:tcBorders>
            <w:shd w:val="clear" w:color="000000" w:fill="FFFFFF"/>
            <w:noWrap/>
            <w:vAlign w:val="bottom"/>
            <w:hideMark/>
          </w:tcPr>
          <w:p w14:paraId="30C57783"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Government Spending</w:t>
            </w:r>
          </w:p>
        </w:tc>
        <w:tc>
          <w:tcPr>
            <w:tcW w:w="1252" w:type="dxa"/>
            <w:tcBorders>
              <w:top w:val="nil"/>
              <w:left w:val="single" w:sz="4" w:space="0" w:color="auto"/>
              <w:bottom w:val="nil"/>
              <w:right w:val="nil"/>
            </w:tcBorders>
            <w:shd w:val="clear" w:color="000000" w:fill="FFFFFF"/>
            <w:noWrap/>
            <w:vAlign w:val="bottom"/>
            <w:hideMark/>
          </w:tcPr>
          <w:p w14:paraId="2286A9C5"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-0.2</w:t>
            </w:r>
          </w:p>
        </w:tc>
        <w:tc>
          <w:tcPr>
            <w:tcW w:w="1828" w:type="dxa"/>
            <w:tcBorders>
              <w:top w:val="nil"/>
              <w:left w:val="nil"/>
              <w:bottom w:val="nil"/>
              <w:right w:val="single" w:sz="4" w:space="0" w:color="auto"/>
            </w:tcBorders>
            <w:shd w:val="clear" w:color="000000" w:fill="FFFFFF"/>
            <w:noWrap/>
            <w:vAlign w:val="bottom"/>
            <w:hideMark/>
          </w:tcPr>
          <w:p w14:paraId="232BA17E"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0.0</w:t>
            </w:r>
          </w:p>
        </w:tc>
        <w:tc>
          <w:tcPr>
            <w:tcW w:w="1243" w:type="dxa"/>
            <w:tcBorders>
              <w:top w:val="nil"/>
              <w:left w:val="nil"/>
              <w:bottom w:val="nil"/>
              <w:right w:val="nil"/>
            </w:tcBorders>
            <w:shd w:val="clear" w:color="000000" w:fill="FFFFFF"/>
            <w:noWrap/>
            <w:vAlign w:val="bottom"/>
            <w:hideMark/>
          </w:tcPr>
          <w:p w14:paraId="5BDF17B8"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11.7</w:t>
            </w:r>
          </w:p>
        </w:tc>
        <w:tc>
          <w:tcPr>
            <w:tcW w:w="1817" w:type="dxa"/>
            <w:tcBorders>
              <w:top w:val="nil"/>
              <w:left w:val="nil"/>
              <w:bottom w:val="nil"/>
              <w:right w:val="single" w:sz="4" w:space="0" w:color="auto"/>
            </w:tcBorders>
            <w:shd w:val="clear" w:color="000000" w:fill="FFFFFF"/>
            <w:noWrap/>
            <w:vAlign w:val="bottom"/>
            <w:hideMark/>
          </w:tcPr>
          <w:p w14:paraId="189DC97C"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1.4</w:t>
            </w:r>
          </w:p>
        </w:tc>
      </w:tr>
      <w:tr w:rsidR="00FC0279" w:rsidRPr="00FC0279" w14:paraId="7E199D48" w14:textId="77777777" w:rsidTr="00FC0279">
        <w:trPr>
          <w:trHeight w:val="282"/>
        </w:trPr>
        <w:tc>
          <w:tcPr>
            <w:tcW w:w="1980" w:type="dxa"/>
            <w:tcBorders>
              <w:top w:val="nil"/>
              <w:left w:val="nil"/>
              <w:bottom w:val="nil"/>
              <w:right w:val="nil"/>
            </w:tcBorders>
            <w:shd w:val="clear" w:color="000000" w:fill="FFFFFF"/>
            <w:noWrap/>
            <w:vAlign w:val="bottom"/>
            <w:hideMark/>
          </w:tcPr>
          <w:p w14:paraId="634D75A6"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Investment</w:t>
            </w:r>
          </w:p>
        </w:tc>
        <w:tc>
          <w:tcPr>
            <w:tcW w:w="1252" w:type="dxa"/>
            <w:tcBorders>
              <w:top w:val="nil"/>
              <w:left w:val="single" w:sz="4" w:space="0" w:color="auto"/>
              <w:bottom w:val="nil"/>
              <w:right w:val="nil"/>
            </w:tcBorders>
            <w:shd w:val="clear" w:color="000000" w:fill="FFFFFF"/>
            <w:noWrap/>
            <w:vAlign w:val="bottom"/>
            <w:hideMark/>
          </w:tcPr>
          <w:p w14:paraId="2DA75EF6"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-1.4</w:t>
            </w:r>
          </w:p>
        </w:tc>
        <w:tc>
          <w:tcPr>
            <w:tcW w:w="1828" w:type="dxa"/>
            <w:tcBorders>
              <w:top w:val="nil"/>
              <w:left w:val="nil"/>
              <w:bottom w:val="nil"/>
              <w:right w:val="single" w:sz="4" w:space="0" w:color="auto"/>
            </w:tcBorders>
            <w:shd w:val="clear" w:color="000000" w:fill="FFFFFF"/>
            <w:noWrap/>
            <w:vAlign w:val="bottom"/>
            <w:hideMark/>
          </w:tcPr>
          <w:p w14:paraId="08F2CE4D"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-0.4</w:t>
            </w:r>
          </w:p>
        </w:tc>
        <w:tc>
          <w:tcPr>
            <w:tcW w:w="1243" w:type="dxa"/>
            <w:tcBorders>
              <w:top w:val="nil"/>
              <w:left w:val="nil"/>
              <w:bottom w:val="nil"/>
              <w:right w:val="nil"/>
            </w:tcBorders>
            <w:shd w:val="clear" w:color="000000" w:fill="FFFFFF"/>
            <w:noWrap/>
            <w:vAlign w:val="bottom"/>
            <w:hideMark/>
          </w:tcPr>
          <w:p w14:paraId="65E105A9"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-2.3</w:t>
            </w:r>
          </w:p>
        </w:tc>
        <w:tc>
          <w:tcPr>
            <w:tcW w:w="1817" w:type="dxa"/>
            <w:tcBorders>
              <w:top w:val="nil"/>
              <w:left w:val="nil"/>
              <w:bottom w:val="nil"/>
              <w:right w:val="single" w:sz="4" w:space="0" w:color="auto"/>
            </w:tcBorders>
            <w:shd w:val="clear" w:color="000000" w:fill="FFFFFF"/>
            <w:noWrap/>
            <w:vAlign w:val="bottom"/>
            <w:hideMark/>
          </w:tcPr>
          <w:p w14:paraId="04A30C40"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-0.6</w:t>
            </w:r>
          </w:p>
        </w:tc>
      </w:tr>
      <w:tr w:rsidR="00FC0279" w:rsidRPr="00FC0279" w14:paraId="1636DCF3" w14:textId="77777777" w:rsidTr="00FC0279">
        <w:trPr>
          <w:trHeight w:val="282"/>
        </w:trPr>
        <w:tc>
          <w:tcPr>
            <w:tcW w:w="1980" w:type="dxa"/>
            <w:tcBorders>
              <w:top w:val="nil"/>
              <w:left w:val="nil"/>
              <w:bottom w:val="nil"/>
              <w:right w:val="nil"/>
            </w:tcBorders>
            <w:shd w:val="clear" w:color="000000" w:fill="FFFFFF"/>
            <w:noWrap/>
            <w:vAlign w:val="bottom"/>
            <w:hideMark/>
          </w:tcPr>
          <w:p w14:paraId="37B3CF8A"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Change in Inventories</w:t>
            </w:r>
          </w:p>
        </w:tc>
        <w:tc>
          <w:tcPr>
            <w:tcW w:w="1252" w:type="dxa"/>
            <w:tcBorders>
              <w:top w:val="nil"/>
              <w:left w:val="single" w:sz="4" w:space="0" w:color="auto"/>
              <w:bottom w:val="nil"/>
              <w:right w:val="nil"/>
            </w:tcBorders>
            <w:shd w:val="clear" w:color="000000" w:fill="FFFFFF"/>
            <w:noWrap/>
            <w:vAlign w:val="bottom"/>
            <w:hideMark/>
          </w:tcPr>
          <w:p w14:paraId="082DA8B1"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 </w:t>
            </w:r>
          </w:p>
        </w:tc>
        <w:tc>
          <w:tcPr>
            <w:tcW w:w="1828" w:type="dxa"/>
            <w:tcBorders>
              <w:top w:val="nil"/>
              <w:left w:val="nil"/>
              <w:bottom w:val="nil"/>
              <w:right w:val="single" w:sz="4" w:space="0" w:color="auto"/>
            </w:tcBorders>
            <w:shd w:val="clear" w:color="000000" w:fill="FFFFFF"/>
            <w:noWrap/>
            <w:vAlign w:val="bottom"/>
            <w:hideMark/>
          </w:tcPr>
          <w:p w14:paraId="5AAD53AF"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-1.1</w:t>
            </w:r>
          </w:p>
        </w:tc>
        <w:tc>
          <w:tcPr>
            <w:tcW w:w="1243" w:type="dxa"/>
            <w:tcBorders>
              <w:top w:val="nil"/>
              <w:left w:val="nil"/>
              <w:bottom w:val="nil"/>
              <w:right w:val="nil"/>
            </w:tcBorders>
            <w:shd w:val="clear" w:color="000000" w:fill="FFFFFF"/>
            <w:noWrap/>
            <w:vAlign w:val="bottom"/>
            <w:hideMark/>
          </w:tcPr>
          <w:p w14:paraId="4670420E"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 </w:t>
            </w:r>
          </w:p>
        </w:tc>
        <w:tc>
          <w:tcPr>
            <w:tcW w:w="1817" w:type="dxa"/>
            <w:tcBorders>
              <w:top w:val="nil"/>
              <w:left w:val="nil"/>
              <w:bottom w:val="nil"/>
              <w:right w:val="single" w:sz="4" w:space="0" w:color="auto"/>
            </w:tcBorders>
            <w:shd w:val="clear" w:color="000000" w:fill="FFFFFF"/>
            <w:noWrap/>
            <w:vAlign w:val="bottom"/>
            <w:hideMark/>
          </w:tcPr>
          <w:p w14:paraId="5BA2F8FD"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-0.8</w:t>
            </w:r>
          </w:p>
        </w:tc>
      </w:tr>
      <w:tr w:rsidR="00FC0279" w:rsidRPr="00FC0279" w14:paraId="45C96056" w14:textId="77777777" w:rsidTr="00FC0279">
        <w:trPr>
          <w:trHeight w:val="282"/>
        </w:trPr>
        <w:tc>
          <w:tcPr>
            <w:tcW w:w="1980" w:type="dxa"/>
            <w:tcBorders>
              <w:top w:val="nil"/>
              <w:left w:val="nil"/>
              <w:bottom w:val="nil"/>
              <w:right w:val="nil"/>
            </w:tcBorders>
            <w:shd w:val="clear" w:color="000000" w:fill="FFFFFF"/>
            <w:noWrap/>
            <w:vAlign w:val="bottom"/>
            <w:hideMark/>
          </w:tcPr>
          <w:p w14:paraId="51C7245A"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Export</w:t>
            </w:r>
          </w:p>
        </w:tc>
        <w:tc>
          <w:tcPr>
            <w:tcW w:w="1252" w:type="dxa"/>
            <w:tcBorders>
              <w:top w:val="nil"/>
              <w:left w:val="single" w:sz="4" w:space="0" w:color="auto"/>
              <w:bottom w:val="nil"/>
              <w:right w:val="nil"/>
            </w:tcBorders>
            <w:shd w:val="clear" w:color="000000" w:fill="FFFFFF"/>
            <w:noWrap/>
            <w:vAlign w:val="bottom"/>
            <w:hideMark/>
          </w:tcPr>
          <w:p w14:paraId="5FCA74DF"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3.9</w:t>
            </w:r>
          </w:p>
        </w:tc>
        <w:tc>
          <w:tcPr>
            <w:tcW w:w="1828" w:type="dxa"/>
            <w:tcBorders>
              <w:top w:val="nil"/>
              <w:left w:val="nil"/>
              <w:bottom w:val="nil"/>
              <w:right w:val="single" w:sz="4" w:space="0" w:color="auto"/>
            </w:tcBorders>
            <w:shd w:val="clear" w:color="000000" w:fill="FFFFFF"/>
            <w:noWrap/>
            <w:vAlign w:val="bottom"/>
            <w:hideMark/>
          </w:tcPr>
          <w:p w14:paraId="74F28997"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1.4</w:t>
            </w:r>
          </w:p>
        </w:tc>
        <w:tc>
          <w:tcPr>
            <w:tcW w:w="1243" w:type="dxa"/>
            <w:tcBorders>
              <w:top w:val="nil"/>
              <w:left w:val="nil"/>
              <w:bottom w:val="nil"/>
              <w:right w:val="nil"/>
            </w:tcBorders>
            <w:shd w:val="clear" w:color="000000" w:fill="FFFFFF"/>
            <w:noWrap/>
            <w:vAlign w:val="bottom"/>
            <w:hideMark/>
          </w:tcPr>
          <w:p w14:paraId="17956C5B"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-1.1</w:t>
            </w:r>
          </w:p>
        </w:tc>
        <w:tc>
          <w:tcPr>
            <w:tcW w:w="1817" w:type="dxa"/>
            <w:tcBorders>
              <w:top w:val="nil"/>
              <w:left w:val="nil"/>
              <w:bottom w:val="nil"/>
              <w:right w:val="single" w:sz="4" w:space="0" w:color="auto"/>
            </w:tcBorders>
            <w:shd w:val="clear" w:color="000000" w:fill="FFFFFF"/>
            <w:noWrap/>
            <w:vAlign w:val="bottom"/>
            <w:hideMark/>
          </w:tcPr>
          <w:p w14:paraId="5A6A9455"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-0.4</w:t>
            </w:r>
          </w:p>
        </w:tc>
      </w:tr>
      <w:tr w:rsidR="00FC0279" w:rsidRPr="00FC0279" w14:paraId="66DEAFCC" w14:textId="77777777" w:rsidTr="00FC0279">
        <w:trPr>
          <w:trHeight w:val="282"/>
        </w:trPr>
        <w:tc>
          <w:tcPr>
            <w:tcW w:w="1980" w:type="dxa"/>
            <w:tcBorders>
              <w:top w:val="nil"/>
              <w:left w:val="nil"/>
              <w:bottom w:val="nil"/>
              <w:right w:val="nil"/>
            </w:tcBorders>
            <w:shd w:val="clear" w:color="000000" w:fill="FFFFFF"/>
            <w:noWrap/>
            <w:vAlign w:val="bottom"/>
            <w:hideMark/>
          </w:tcPr>
          <w:p w14:paraId="5981ACD1"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Import</w:t>
            </w:r>
          </w:p>
        </w:tc>
        <w:tc>
          <w:tcPr>
            <w:tcW w:w="1252" w:type="dxa"/>
            <w:tcBorders>
              <w:top w:val="nil"/>
              <w:left w:val="single" w:sz="4" w:space="0" w:color="auto"/>
              <w:bottom w:val="nil"/>
              <w:right w:val="nil"/>
            </w:tcBorders>
            <w:shd w:val="clear" w:color="000000" w:fill="FFFFFF"/>
            <w:noWrap/>
            <w:vAlign w:val="bottom"/>
            <w:hideMark/>
          </w:tcPr>
          <w:p w14:paraId="5ECFA524"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1.5</w:t>
            </w:r>
          </w:p>
        </w:tc>
        <w:tc>
          <w:tcPr>
            <w:tcW w:w="1828" w:type="dxa"/>
            <w:tcBorders>
              <w:top w:val="nil"/>
              <w:left w:val="nil"/>
              <w:bottom w:val="nil"/>
              <w:right w:val="single" w:sz="4" w:space="0" w:color="auto"/>
            </w:tcBorders>
            <w:shd w:val="clear" w:color="000000" w:fill="FFFFFF"/>
            <w:noWrap/>
            <w:vAlign w:val="bottom"/>
            <w:hideMark/>
          </w:tcPr>
          <w:p w14:paraId="5EFF4066"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-0.5</w:t>
            </w:r>
          </w:p>
        </w:tc>
        <w:tc>
          <w:tcPr>
            <w:tcW w:w="1243" w:type="dxa"/>
            <w:tcBorders>
              <w:top w:val="nil"/>
              <w:left w:val="nil"/>
              <w:bottom w:val="nil"/>
              <w:right w:val="nil"/>
            </w:tcBorders>
            <w:shd w:val="clear" w:color="000000" w:fill="FFFFFF"/>
            <w:noWrap/>
            <w:vAlign w:val="bottom"/>
            <w:hideMark/>
          </w:tcPr>
          <w:p w14:paraId="01567F98"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6.0</w:t>
            </w:r>
          </w:p>
        </w:tc>
        <w:tc>
          <w:tcPr>
            <w:tcW w:w="1817" w:type="dxa"/>
            <w:tcBorders>
              <w:top w:val="nil"/>
              <w:left w:val="nil"/>
              <w:bottom w:val="nil"/>
              <w:right w:val="single" w:sz="4" w:space="0" w:color="auto"/>
            </w:tcBorders>
            <w:shd w:val="clear" w:color="000000" w:fill="FFFFFF"/>
            <w:noWrap/>
            <w:vAlign w:val="bottom"/>
            <w:hideMark/>
          </w:tcPr>
          <w:p w14:paraId="6E69AB54"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-2.1</w:t>
            </w:r>
          </w:p>
        </w:tc>
      </w:tr>
      <w:tr w:rsidR="00FC0279" w:rsidRPr="00FC0279" w14:paraId="45ED3AAE" w14:textId="77777777" w:rsidTr="00FC0279">
        <w:trPr>
          <w:trHeight w:val="315"/>
        </w:trPr>
        <w:tc>
          <w:tcPr>
            <w:tcW w:w="1980" w:type="dxa"/>
            <w:tcBorders>
              <w:top w:val="nil"/>
              <w:left w:val="nil"/>
              <w:bottom w:val="double" w:sz="6" w:space="0" w:color="auto"/>
              <w:right w:val="nil"/>
            </w:tcBorders>
            <w:shd w:val="clear" w:color="000000" w:fill="FFFFFF"/>
            <w:noWrap/>
            <w:vAlign w:val="bottom"/>
            <w:hideMark/>
          </w:tcPr>
          <w:p w14:paraId="080B1B46" w14:textId="77777777" w:rsidR="00FC0279" w:rsidRPr="00FC0279" w:rsidRDefault="00FC0279" w:rsidP="00FC0279">
            <w:pPr>
              <w:rPr>
                <w:rFonts w:ascii="Calibri" w:hAnsi="Calibri" w:cs="Calibri"/>
                <w:b/>
                <w:bCs/>
                <w:color w:val="000000"/>
                <w:sz w:val="20"/>
                <w:szCs w:val="20"/>
                <w:lang w:val="en-GB" w:eastAsia="en-GB"/>
              </w:rPr>
            </w:pPr>
            <w:r w:rsidRPr="00FC0279">
              <w:rPr>
                <w:rFonts w:ascii="Calibri" w:hAnsi="Calibri" w:cs="Calibri"/>
                <w:b/>
                <w:bCs/>
                <w:color w:val="000000"/>
                <w:sz w:val="20"/>
                <w:szCs w:val="20"/>
                <w:lang w:val="en-GB" w:eastAsia="en-GB"/>
              </w:rPr>
              <w:t>GDP</w:t>
            </w:r>
          </w:p>
        </w:tc>
        <w:tc>
          <w:tcPr>
            <w:tcW w:w="1252" w:type="dxa"/>
            <w:tcBorders>
              <w:top w:val="nil"/>
              <w:left w:val="single" w:sz="4" w:space="0" w:color="auto"/>
              <w:bottom w:val="double" w:sz="6" w:space="0" w:color="auto"/>
              <w:right w:val="nil"/>
            </w:tcBorders>
            <w:shd w:val="clear" w:color="000000" w:fill="FFFFFF"/>
            <w:noWrap/>
            <w:vAlign w:val="bottom"/>
            <w:hideMark/>
          </w:tcPr>
          <w:p w14:paraId="2D221111"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1.9</w:t>
            </w:r>
          </w:p>
        </w:tc>
        <w:tc>
          <w:tcPr>
            <w:tcW w:w="1828" w:type="dxa"/>
            <w:tcBorders>
              <w:top w:val="nil"/>
              <w:left w:val="nil"/>
              <w:bottom w:val="double" w:sz="6" w:space="0" w:color="auto"/>
              <w:right w:val="single" w:sz="4" w:space="0" w:color="auto"/>
            </w:tcBorders>
            <w:shd w:val="clear" w:color="000000" w:fill="FFFFFF"/>
            <w:noWrap/>
            <w:vAlign w:val="bottom"/>
            <w:hideMark/>
          </w:tcPr>
          <w:p w14:paraId="0EF57B57"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 </w:t>
            </w:r>
          </w:p>
        </w:tc>
        <w:tc>
          <w:tcPr>
            <w:tcW w:w="1243" w:type="dxa"/>
            <w:tcBorders>
              <w:top w:val="nil"/>
              <w:left w:val="nil"/>
              <w:bottom w:val="double" w:sz="6" w:space="0" w:color="auto"/>
              <w:right w:val="nil"/>
            </w:tcBorders>
            <w:shd w:val="clear" w:color="000000" w:fill="FFFFFF"/>
            <w:noWrap/>
            <w:vAlign w:val="bottom"/>
            <w:hideMark/>
          </w:tcPr>
          <w:p w14:paraId="7A897AFD"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-0.1</w:t>
            </w:r>
          </w:p>
        </w:tc>
        <w:tc>
          <w:tcPr>
            <w:tcW w:w="1817" w:type="dxa"/>
            <w:tcBorders>
              <w:top w:val="nil"/>
              <w:left w:val="nil"/>
              <w:bottom w:val="double" w:sz="6" w:space="0" w:color="auto"/>
              <w:right w:val="single" w:sz="4" w:space="0" w:color="auto"/>
            </w:tcBorders>
            <w:shd w:val="clear" w:color="000000" w:fill="FFFFFF"/>
            <w:noWrap/>
            <w:vAlign w:val="bottom"/>
            <w:hideMark/>
          </w:tcPr>
          <w:p w14:paraId="07403992" w14:textId="77777777" w:rsidR="00FC0279" w:rsidRPr="00FC0279" w:rsidRDefault="00FC0279" w:rsidP="00FC0279">
            <w:pPr>
              <w:jc w:val="center"/>
              <w:rPr>
                <w:rFonts w:ascii="Calibri" w:hAnsi="Calibri" w:cs="Calibri"/>
                <w:color w:val="000000"/>
                <w:sz w:val="20"/>
                <w:szCs w:val="20"/>
                <w:lang w:val="en-GB" w:eastAsia="en-GB"/>
              </w:rPr>
            </w:pPr>
            <w:r w:rsidRPr="00FC0279">
              <w:rPr>
                <w:rFonts w:ascii="Calibri" w:hAnsi="Calibri" w:cs="Calibri"/>
                <w:color w:val="000000"/>
                <w:sz w:val="20"/>
                <w:szCs w:val="20"/>
                <w:lang w:val="en-GB" w:eastAsia="en-GB"/>
              </w:rPr>
              <w:t> </w:t>
            </w:r>
          </w:p>
        </w:tc>
      </w:tr>
    </w:tbl>
    <w:p w14:paraId="046656A3" w14:textId="77777777" w:rsidR="00006890" w:rsidRPr="00155A64" w:rsidRDefault="00006890" w:rsidP="00006890">
      <w:pPr>
        <w:keepNext/>
        <w:rPr>
          <w:rFonts w:ascii="Palatino Linotype" w:hAnsi="Palatino Linotype" w:cstheme="minorHAnsi"/>
          <w:sz w:val="18"/>
          <w:szCs w:val="18"/>
          <w:lang w:val="en-US"/>
        </w:rPr>
      </w:pPr>
      <w:r w:rsidRPr="00155A64">
        <w:rPr>
          <w:rFonts w:ascii="Palatino Linotype" w:hAnsi="Palatino Linotype" w:cstheme="minorHAnsi"/>
          <w:sz w:val="18"/>
          <w:szCs w:val="18"/>
          <w:lang w:val="en-US"/>
        </w:rPr>
        <w:t>Source: TurkStat, Betam</w:t>
      </w:r>
    </w:p>
    <w:p w14:paraId="67F1EC21" w14:textId="77777777" w:rsidR="006C3EE6" w:rsidRPr="006679E6" w:rsidRDefault="006C3EE6" w:rsidP="004931A5">
      <w:pPr>
        <w:pStyle w:val="NormalWeb"/>
        <w:spacing w:before="0" w:beforeAutospacing="0" w:after="0" w:afterAutospacing="0" w:line="360" w:lineRule="auto"/>
        <w:ind w:right="77"/>
        <w:rPr>
          <w:rFonts w:ascii="Palatino Linotype" w:hAnsi="Palatino Linotype" w:cstheme="minorHAnsi"/>
          <w:b/>
          <w:sz w:val="20"/>
          <w:szCs w:val="20"/>
          <w:lang w:val="en-US"/>
        </w:rPr>
      </w:pPr>
    </w:p>
    <w:p w14:paraId="1A0D56BC" w14:textId="0A09A611" w:rsidR="00AF78D0" w:rsidRDefault="00AF78D0" w:rsidP="002A037D">
      <w:pPr>
        <w:pStyle w:val="NormalWeb"/>
        <w:spacing w:before="0" w:beforeAutospacing="0" w:after="0" w:afterAutospacing="0" w:line="360" w:lineRule="auto"/>
        <w:ind w:right="77"/>
        <w:jc w:val="both"/>
        <w:rPr>
          <w:rFonts w:ascii="Palatino Linotype" w:hAnsi="Palatino Linotype" w:cstheme="minorHAnsi"/>
          <w:b/>
          <w:sz w:val="22"/>
          <w:szCs w:val="22"/>
          <w:lang w:val="en-US"/>
        </w:rPr>
      </w:pPr>
      <w:r w:rsidRPr="00AF78D0">
        <w:rPr>
          <w:rFonts w:ascii="Palatino Linotype" w:hAnsi="Palatino Linotype" w:cstheme="minorHAnsi"/>
          <w:b/>
          <w:sz w:val="22"/>
          <w:szCs w:val="22"/>
          <w:lang w:val="en-US"/>
        </w:rPr>
        <w:t>Investment spending</w:t>
      </w:r>
      <w:r>
        <w:rPr>
          <w:rFonts w:ascii="Palatino Linotype" w:hAnsi="Palatino Linotype" w:cstheme="minorHAnsi"/>
          <w:b/>
          <w:sz w:val="22"/>
          <w:szCs w:val="22"/>
          <w:lang w:val="en-US"/>
        </w:rPr>
        <w:t xml:space="preserve"> has</w:t>
      </w:r>
      <w:r w:rsidRPr="00AF78D0">
        <w:rPr>
          <w:rFonts w:ascii="Palatino Linotype" w:hAnsi="Palatino Linotype" w:cstheme="minorHAnsi"/>
          <w:b/>
          <w:sz w:val="22"/>
          <w:szCs w:val="22"/>
          <w:lang w:val="en-US"/>
        </w:rPr>
        <w:t xml:space="preserve"> </w:t>
      </w:r>
      <w:r w:rsidR="00C33B78">
        <w:rPr>
          <w:rFonts w:ascii="Palatino Linotype" w:hAnsi="Palatino Linotype" w:cstheme="minorHAnsi"/>
          <w:b/>
          <w:sz w:val="22"/>
          <w:szCs w:val="22"/>
          <w:lang w:val="en-US"/>
        </w:rPr>
        <w:t>decreased</w:t>
      </w:r>
    </w:p>
    <w:p w14:paraId="1C21C60A" w14:textId="53BC6A86" w:rsidR="00AF78D0" w:rsidRDefault="003A4849" w:rsidP="00681022">
      <w:pPr>
        <w:pStyle w:val="NormalWeb"/>
        <w:spacing w:before="0" w:beforeAutospacing="0" w:after="0" w:afterAutospacing="0" w:line="360" w:lineRule="auto"/>
        <w:ind w:right="77"/>
        <w:rPr>
          <w:rFonts w:ascii="Palatino Linotype" w:hAnsi="Palatino Linotype" w:cstheme="minorHAnsi"/>
          <w:sz w:val="22"/>
          <w:szCs w:val="22"/>
          <w:lang w:val="en-US"/>
        </w:rPr>
      </w:pPr>
      <w:r w:rsidRPr="003A4849">
        <w:rPr>
          <w:rFonts w:ascii="Palatino Linotype" w:hAnsi="Palatino Linotype" w:cstheme="minorHAnsi"/>
          <w:sz w:val="22"/>
          <w:szCs w:val="22"/>
          <w:lang w:val="en-US"/>
        </w:rPr>
        <w:t xml:space="preserve">Investment </w:t>
      </w:r>
      <w:r w:rsidR="00C33B78">
        <w:rPr>
          <w:rFonts w:ascii="Palatino Linotype" w:hAnsi="Palatino Linotype" w:cstheme="minorHAnsi"/>
          <w:sz w:val="22"/>
          <w:szCs w:val="22"/>
          <w:lang w:val="en-US"/>
        </w:rPr>
        <w:t>spending</w:t>
      </w:r>
      <w:r w:rsidRPr="003A4849">
        <w:rPr>
          <w:rFonts w:ascii="Palatino Linotype" w:hAnsi="Palatino Linotype" w:cstheme="minorHAnsi"/>
          <w:sz w:val="22"/>
          <w:szCs w:val="22"/>
          <w:lang w:val="en-US"/>
        </w:rPr>
        <w:t xml:space="preserve"> </w:t>
      </w:r>
      <w:r w:rsidR="00C33B78">
        <w:rPr>
          <w:rFonts w:ascii="Palatino Linotype" w:hAnsi="Palatino Linotype" w:cstheme="minorHAnsi"/>
          <w:sz w:val="22"/>
          <w:szCs w:val="22"/>
          <w:lang w:val="en-US"/>
        </w:rPr>
        <w:t>has decreased</w:t>
      </w:r>
      <w:r w:rsidRPr="003A4849">
        <w:rPr>
          <w:rFonts w:ascii="Palatino Linotype" w:hAnsi="Palatino Linotype" w:cstheme="minorHAnsi"/>
          <w:sz w:val="22"/>
          <w:szCs w:val="22"/>
          <w:lang w:val="en-US"/>
        </w:rPr>
        <w:t xml:space="preserve"> by </w:t>
      </w:r>
      <w:r w:rsidR="00C33B78">
        <w:rPr>
          <w:rFonts w:ascii="Palatino Linotype" w:hAnsi="Palatino Linotype" w:cstheme="minorHAnsi"/>
          <w:sz w:val="22"/>
          <w:szCs w:val="22"/>
          <w:lang w:val="en-US"/>
        </w:rPr>
        <w:t>1</w:t>
      </w:r>
      <w:r w:rsidRPr="003A4849">
        <w:rPr>
          <w:rFonts w:ascii="Palatino Linotype" w:hAnsi="Palatino Linotype" w:cstheme="minorHAnsi"/>
          <w:sz w:val="22"/>
          <w:szCs w:val="22"/>
          <w:lang w:val="en-US"/>
        </w:rPr>
        <w:t>.</w:t>
      </w:r>
      <w:r w:rsidR="00C33B78">
        <w:rPr>
          <w:rFonts w:ascii="Palatino Linotype" w:hAnsi="Palatino Linotype" w:cstheme="minorHAnsi"/>
          <w:sz w:val="22"/>
          <w:szCs w:val="22"/>
          <w:lang w:val="en-US"/>
        </w:rPr>
        <w:t>3</w:t>
      </w:r>
      <w:r w:rsidRPr="003A4849">
        <w:rPr>
          <w:rFonts w:ascii="Palatino Linotype" w:hAnsi="Palatino Linotype" w:cstheme="minorHAnsi"/>
          <w:sz w:val="22"/>
          <w:szCs w:val="22"/>
          <w:lang w:val="en-US"/>
        </w:rPr>
        <w:t xml:space="preserve"> percent this quarter, contributing </w:t>
      </w:r>
      <w:r w:rsidR="00C33B78">
        <w:rPr>
          <w:rFonts w:ascii="Palatino Linotype" w:hAnsi="Palatino Linotype" w:cstheme="minorHAnsi"/>
          <w:sz w:val="22"/>
          <w:szCs w:val="22"/>
          <w:lang w:val="en-US"/>
        </w:rPr>
        <w:t>minus 0</w:t>
      </w:r>
      <w:r w:rsidRPr="003A4849">
        <w:rPr>
          <w:rFonts w:ascii="Palatino Linotype" w:hAnsi="Palatino Linotype" w:cstheme="minorHAnsi"/>
          <w:sz w:val="22"/>
          <w:szCs w:val="22"/>
          <w:lang w:val="en-US"/>
        </w:rPr>
        <w:t xml:space="preserve">.4 percentage points to growth. </w:t>
      </w:r>
      <w:r w:rsidR="00905810">
        <w:rPr>
          <w:rFonts w:ascii="Palatino Linotype" w:hAnsi="Palatino Linotype" w:cstheme="minorHAnsi"/>
          <w:sz w:val="22"/>
          <w:szCs w:val="22"/>
          <w:lang w:val="en-US"/>
        </w:rPr>
        <w:t>I</w:t>
      </w:r>
      <w:r w:rsidRPr="003A4849">
        <w:rPr>
          <w:rFonts w:ascii="Palatino Linotype" w:hAnsi="Palatino Linotype" w:cstheme="minorHAnsi"/>
          <w:sz w:val="22"/>
          <w:szCs w:val="22"/>
          <w:lang w:val="en-US"/>
        </w:rPr>
        <w:t>t</w:t>
      </w:r>
      <w:r w:rsidR="00905810">
        <w:rPr>
          <w:rFonts w:ascii="Palatino Linotype" w:hAnsi="Palatino Linotype" w:cstheme="minorHAnsi"/>
          <w:sz w:val="22"/>
          <w:szCs w:val="22"/>
          <w:lang w:val="en-US"/>
        </w:rPr>
        <w:t xml:space="preserve"> decreased by </w:t>
      </w:r>
      <w:r w:rsidR="00C33B78">
        <w:rPr>
          <w:rFonts w:ascii="Palatino Linotype" w:hAnsi="Palatino Linotype" w:cstheme="minorHAnsi"/>
          <w:sz w:val="22"/>
          <w:szCs w:val="22"/>
          <w:lang w:val="en-US"/>
        </w:rPr>
        <w:t>2</w:t>
      </w:r>
      <w:r w:rsidR="00905810">
        <w:rPr>
          <w:rFonts w:ascii="Palatino Linotype" w:hAnsi="Palatino Linotype" w:cstheme="minorHAnsi"/>
          <w:sz w:val="22"/>
          <w:szCs w:val="22"/>
          <w:lang w:val="en-US"/>
        </w:rPr>
        <w:t xml:space="preserve">.3 percent quarterly </w:t>
      </w:r>
      <w:r w:rsidRPr="003A4849">
        <w:rPr>
          <w:rFonts w:ascii="Palatino Linotype" w:hAnsi="Palatino Linotype" w:cstheme="minorHAnsi"/>
          <w:sz w:val="22"/>
          <w:szCs w:val="22"/>
          <w:lang w:val="en-US"/>
        </w:rPr>
        <w:t xml:space="preserve">compared to the previous quarter, suppressing </w:t>
      </w:r>
      <w:r>
        <w:rPr>
          <w:rFonts w:ascii="Palatino Linotype" w:hAnsi="Palatino Linotype" w:cstheme="minorHAnsi"/>
          <w:sz w:val="22"/>
          <w:szCs w:val="22"/>
          <w:lang w:val="en-US"/>
        </w:rPr>
        <w:t>growth by 0.</w:t>
      </w:r>
      <w:r w:rsidR="00C33B78">
        <w:rPr>
          <w:rFonts w:ascii="Palatino Linotype" w:hAnsi="Palatino Linotype" w:cstheme="minorHAnsi"/>
          <w:sz w:val="22"/>
          <w:szCs w:val="22"/>
          <w:lang w:val="en-US"/>
        </w:rPr>
        <w:t>6</w:t>
      </w:r>
      <w:r>
        <w:rPr>
          <w:rFonts w:ascii="Palatino Linotype" w:hAnsi="Palatino Linotype" w:cstheme="minorHAnsi"/>
          <w:sz w:val="22"/>
          <w:szCs w:val="22"/>
          <w:lang w:val="en-US"/>
        </w:rPr>
        <w:t xml:space="preserve"> percentage points </w:t>
      </w:r>
      <w:r w:rsidR="00AF78D0" w:rsidRPr="00AF78D0">
        <w:rPr>
          <w:rFonts w:ascii="Palatino Linotype" w:hAnsi="Palatino Linotype" w:cstheme="minorHAnsi"/>
          <w:sz w:val="22"/>
          <w:szCs w:val="22"/>
          <w:lang w:val="en-US"/>
        </w:rPr>
        <w:t xml:space="preserve">(Table 1 and Table 2). </w:t>
      </w:r>
    </w:p>
    <w:p w14:paraId="559610BA" w14:textId="77777777" w:rsidR="003A4849" w:rsidRDefault="003A4849" w:rsidP="00681022">
      <w:pPr>
        <w:pStyle w:val="NormalWeb"/>
        <w:spacing w:before="0" w:beforeAutospacing="0" w:after="0" w:afterAutospacing="0" w:line="360" w:lineRule="auto"/>
        <w:ind w:right="77"/>
        <w:rPr>
          <w:rFonts w:ascii="Palatino Linotype" w:hAnsi="Palatino Linotype" w:cstheme="minorHAnsi"/>
          <w:sz w:val="22"/>
          <w:szCs w:val="22"/>
          <w:lang w:val="en-US"/>
        </w:rPr>
      </w:pPr>
    </w:p>
    <w:p w14:paraId="16625566" w14:textId="73E8FBFC" w:rsidR="00681AD9" w:rsidRPr="006679E6" w:rsidRDefault="00EB2B22" w:rsidP="00681022">
      <w:pPr>
        <w:pStyle w:val="NormalWeb"/>
        <w:spacing w:before="0" w:beforeAutospacing="0" w:after="0" w:afterAutospacing="0" w:line="360" w:lineRule="auto"/>
        <w:ind w:right="77"/>
        <w:rPr>
          <w:rFonts w:ascii="Palatino Linotype" w:hAnsi="Palatino Linotype" w:cstheme="minorHAnsi"/>
          <w:b/>
          <w:sz w:val="22"/>
          <w:szCs w:val="22"/>
          <w:lang w:val="en-US"/>
        </w:rPr>
      </w:pPr>
      <w:r>
        <w:rPr>
          <w:rFonts w:ascii="Palatino Linotype" w:hAnsi="Palatino Linotype" w:cstheme="minorHAnsi"/>
          <w:b/>
          <w:sz w:val="22"/>
          <w:szCs w:val="22"/>
          <w:lang w:val="en-US"/>
        </w:rPr>
        <w:t>I</w:t>
      </w:r>
      <w:r w:rsidR="004A4910">
        <w:rPr>
          <w:rFonts w:ascii="Palatino Linotype" w:hAnsi="Palatino Linotype" w:cstheme="minorHAnsi"/>
          <w:b/>
          <w:sz w:val="22"/>
          <w:szCs w:val="22"/>
          <w:lang w:val="en-US"/>
        </w:rPr>
        <w:t>nventor</w:t>
      </w:r>
      <w:r>
        <w:rPr>
          <w:rFonts w:ascii="Palatino Linotype" w:hAnsi="Palatino Linotype" w:cstheme="minorHAnsi"/>
          <w:b/>
          <w:sz w:val="22"/>
          <w:szCs w:val="22"/>
          <w:lang w:val="en-US"/>
        </w:rPr>
        <w:t>ies</w:t>
      </w:r>
      <w:r w:rsidR="004A4910">
        <w:rPr>
          <w:rFonts w:ascii="Palatino Linotype" w:hAnsi="Palatino Linotype" w:cstheme="minorHAnsi"/>
          <w:b/>
          <w:sz w:val="22"/>
          <w:szCs w:val="22"/>
          <w:lang w:val="en-US"/>
        </w:rPr>
        <w:t xml:space="preserve"> </w:t>
      </w:r>
      <w:r>
        <w:rPr>
          <w:rFonts w:ascii="Palatino Linotype" w:hAnsi="Palatino Linotype" w:cstheme="minorHAnsi"/>
          <w:b/>
          <w:sz w:val="22"/>
          <w:szCs w:val="22"/>
          <w:lang w:val="en-US"/>
        </w:rPr>
        <w:t xml:space="preserve">have </w:t>
      </w:r>
      <w:r w:rsidR="00AF78D0">
        <w:rPr>
          <w:rFonts w:ascii="Palatino Linotype" w:hAnsi="Palatino Linotype" w:cstheme="minorHAnsi"/>
          <w:b/>
          <w:sz w:val="22"/>
          <w:szCs w:val="22"/>
          <w:lang w:val="en-US"/>
        </w:rPr>
        <w:t>continued to decrease</w:t>
      </w:r>
      <w:r w:rsidR="00494926" w:rsidRPr="006679E6">
        <w:rPr>
          <w:rStyle w:val="FootnoteReference"/>
          <w:rFonts w:ascii="Palatino Linotype" w:hAnsi="Palatino Linotype" w:cstheme="minorHAnsi"/>
          <w:b/>
          <w:sz w:val="22"/>
          <w:szCs w:val="22"/>
          <w:lang w:val="en-US"/>
        </w:rPr>
        <w:footnoteReference w:id="3"/>
      </w:r>
    </w:p>
    <w:p w14:paraId="073CD0EF" w14:textId="28852EA5" w:rsidR="00610EAA" w:rsidRDefault="00AF78D0" w:rsidP="00610EAA">
      <w:pPr>
        <w:pStyle w:val="NormalWeb"/>
        <w:spacing w:before="0" w:beforeAutospacing="0" w:after="0" w:afterAutospacing="0" w:line="360" w:lineRule="auto"/>
        <w:ind w:right="79"/>
        <w:jc w:val="both"/>
        <w:rPr>
          <w:rFonts w:ascii="Palatino Linotype" w:hAnsi="Palatino Linotype" w:cstheme="minorHAnsi"/>
          <w:sz w:val="22"/>
          <w:szCs w:val="22"/>
          <w:lang w:val="en-US"/>
        </w:rPr>
      </w:pPr>
      <w:r w:rsidRPr="00AF78D0">
        <w:rPr>
          <w:rFonts w:ascii="Palatino Linotype" w:hAnsi="Palatino Linotype" w:cstheme="minorHAnsi"/>
          <w:sz w:val="22"/>
          <w:szCs w:val="22"/>
          <w:lang w:val="en-US"/>
        </w:rPr>
        <w:t>We see that stock changes</w:t>
      </w:r>
      <w:r>
        <w:rPr>
          <w:rFonts w:ascii="Palatino Linotype" w:hAnsi="Palatino Linotype" w:cstheme="minorHAnsi"/>
          <w:sz w:val="22"/>
          <w:szCs w:val="22"/>
          <w:lang w:val="en-US"/>
        </w:rPr>
        <w:t xml:space="preserve"> are</w:t>
      </w:r>
      <w:r w:rsidRPr="00AF78D0">
        <w:rPr>
          <w:rFonts w:ascii="Palatino Linotype" w:hAnsi="Palatino Linotype" w:cstheme="minorHAnsi"/>
          <w:sz w:val="22"/>
          <w:szCs w:val="22"/>
          <w:lang w:val="en-US"/>
        </w:rPr>
        <w:t xml:space="preserve"> continu</w:t>
      </w:r>
      <w:r>
        <w:rPr>
          <w:rFonts w:ascii="Palatino Linotype" w:hAnsi="Palatino Linotype" w:cstheme="minorHAnsi"/>
          <w:sz w:val="22"/>
          <w:szCs w:val="22"/>
          <w:lang w:val="en-US"/>
        </w:rPr>
        <w:t>ing</w:t>
      </w:r>
      <w:r w:rsidRPr="00AF78D0">
        <w:rPr>
          <w:rFonts w:ascii="Palatino Linotype" w:hAnsi="Palatino Linotype" w:cstheme="minorHAnsi"/>
          <w:sz w:val="22"/>
          <w:szCs w:val="22"/>
          <w:lang w:val="en-US"/>
        </w:rPr>
        <w:t xml:space="preserve"> to suppress annual growth. </w:t>
      </w:r>
      <w:r w:rsidR="00C42979">
        <w:rPr>
          <w:rFonts w:ascii="Palatino Linotype" w:hAnsi="Palatino Linotype" w:cstheme="minorHAnsi"/>
          <w:sz w:val="22"/>
          <w:szCs w:val="22"/>
          <w:lang w:val="en-US"/>
        </w:rPr>
        <w:t>T</w:t>
      </w:r>
      <w:r w:rsidRPr="00AF78D0">
        <w:rPr>
          <w:rFonts w:ascii="Palatino Linotype" w:hAnsi="Palatino Linotype" w:cstheme="minorHAnsi"/>
          <w:sz w:val="22"/>
          <w:szCs w:val="22"/>
          <w:lang w:val="en-US"/>
        </w:rPr>
        <w:t>he contribution of stock changes to annual</w:t>
      </w:r>
      <w:r w:rsidR="00C42979">
        <w:rPr>
          <w:rFonts w:ascii="Palatino Linotype" w:hAnsi="Palatino Linotype" w:cstheme="minorHAnsi"/>
          <w:sz w:val="22"/>
          <w:szCs w:val="22"/>
          <w:lang w:val="en-US"/>
        </w:rPr>
        <w:t xml:space="preserve"> and quarterly</w:t>
      </w:r>
      <w:r w:rsidRPr="00AF78D0">
        <w:rPr>
          <w:rFonts w:ascii="Palatino Linotype" w:hAnsi="Palatino Linotype" w:cstheme="minorHAnsi"/>
          <w:sz w:val="22"/>
          <w:szCs w:val="22"/>
          <w:lang w:val="en-US"/>
        </w:rPr>
        <w:t xml:space="preserve"> growth </w:t>
      </w:r>
      <w:r>
        <w:rPr>
          <w:rFonts w:ascii="Palatino Linotype" w:hAnsi="Palatino Linotype" w:cstheme="minorHAnsi"/>
          <w:sz w:val="22"/>
          <w:szCs w:val="22"/>
          <w:lang w:val="en-US"/>
        </w:rPr>
        <w:t>has been</w:t>
      </w:r>
      <w:r w:rsidRPr="00AF78D0">
        <w:rPr>
          <w:rFonts w:ascii="Palatino Linotype" w:hAnsi="Palatino Linotype" w:cstheme="minorHAnsi"/>
          <w:sz w:val="22"/>
          <w:szCs w:val="22"/>
          <w:lang w:val="en-US"/>
        </w:rPr>
        <w:t xml:space="preserve"> minus </w:t>
      </w:r>
      <w:r w:rsidR="00C42979">
        <w:rPr>
          <w:rFonts w:ascii="Palatino Linotype" w:hAnsi="Palatino Linotype" w:cstheme="minorHAnsi"/>
          <w:sz w:val="22"/>
          <w:szCs w:val="22"/>
          <w:lang w:val="en-US"/>
        </w:rPr>
        <w:t>8</w:t>
      </w:r>
      <w:r w:rsidRPr="00AF78D0">
        <w:rPr>
          <w:rFonts w:ascii="Palatino Linotype" w:hAnsi="Palatino Linotype" w:cstheme="minorHAnsi"/>
          <w:sz w:val="22"/>
          <w:szCs w:val="22"/>
          <w:lang w:val="en-US"/>
        </w:rPr>
        <w:t>.</w:t>
      </w:r>
      <w:r w:rsidR="003A4849">
        <w:rPr>
          <w:rFonts w:ascii="Palatino Linotype" w:hAnsi="Palatino Linotype" w:cstheme="minorHAnsi"/>
          <w:sz w:val="22"/>
          <w:szCs w:val="22"/>
          <w:lang w:val="en-US"/>
        </w:rPr>
        <w:t>3</w:t>
      </w:r>
      <w:r w:rsidR="00C42979">
        <w:rPr>
          <w:rFonts w:ascii="Palatino Linotype" w:hAnsi="Palatino Linotype" w:cstheme="minorHAnsi"/>
          <w:sz w:val="22"/>
          <w:szCs w:val="22"/>
          <w:lang w:val="en-US"/>
        </w:rPr>
        <w:t xml:space="preserve"> and 0.8</w:t>
      </w:r>
      <w:r w:rsidRPr="00AF78D0">
        <w:rPr>
          <w:rFonts w:ascii="Palatino Linotype" w:hAnsi="Palatino Linotype" w:cstheme="minorHAnsi"/>
          <w:sz w:val="22"/>
          <w:szCs w:val="22"/>
          <w:lang w:val="en-US"/>
        </w:rPr>
        <w:t xml:space="preserve"> percentage points</w:t>
      </w:r>
      <w:r w:rsidR="00C42979">
        <w:rPr>
          <w:rFonts w:ascii="Palatino Linotype" w:hAnsi="Palatino Linotype" w:cstheme="minorHAnsi"/>
          <w:sz w:val="22"/>
          <w:szCs w:val="22"/>
          <w:lang w:val="en-US"/>
        </w:rPr>
        <w:t>, respectively</w:t>
      </w:r>
      <w:r w:rsidRPr="00AF78D0">
        <w:rPr>
          <w:rFonts w:ascii="Palatino Linotype" w:hAnsi="Palatino Linotype" w:cstheme="minorHAnsi"/>
          <w:sz w:val="22"/>
          <w:szCs w:val="22"/>
          <w:lang w:val="en-US"/>
        </w:rPr>
        <w:t xml:space="preserve"> (</w:t>
      </w:r>
      <w:r w:rsidR="008D19E5">
        <w:rPr>
          <w:rFonts w:ascii="Palatino Linotype" w:hAnsi="Palatino Linotype" w:cstheme="minorHAnsi"/>
          <w:sz w:val="22"/>
          <w:szCs w:val="22"/>
          <w:lang w:val="en-US"/>
        </w:rPr>
        <w:t>Tables</w:t>
      </w:r>
      <w:r w:rsidRPr="00AF78D0">
        <w:rPr>
          <w:rFonts w:ascii="Palatino Linotype" w:hAnsi="Palatino Linotype" w:cstheme="minorHAnsi"/>
          <w:sz w:val="22"/>
          <w:szCs w:val="22"/>
          <w:lang w:val="en-US"/>
        </w:rPr>
        <w:t xml:space="preserve"> 1</w:t>
      </w:r>
      <w:r w:rsidR="00C42979">
        <w:rPr>
          <w:rFonts w:ascii="Palatino Linotype" w:hAnsi="Palatino Linotype" w:cstheme="minorHAnsi"/>
          <w:sz w:val="22"/>
          <w:szCs w:val="22"/>
          <w:lang w:val="en-US"/>
        </w:rPr>
        <w:t xml:space="preserve"> and 2</w:t>
      </w:r>
      <w:r w:rsidRPr="00AF78D0">
        <w:rPr>
          <w:rFonts w:ascii="Palatino Linotype" w:hAnsi="Palatino Linotype" w:cstheme="minorHAnsi"/>
          <w:sz w:val="22"/>
          <w:szCs w:val="22"/>
          <w:lang w:val="en-US"/>
        </w:rPr>
        <w:t>)</w:t>
      </w:r>
      <w:r w:rsidR="00C42979">
        <w:rPr>
          <w:rFonts w:ascii="Palatino Linotype" w:hAnsi="Palatino Linotype" w:cstheme="minorHAnsi"/>
          <w:sz w:val="22"/>
          <w:szCs w:val="22"/>
          <w:lang w:val="en-US"/>
        </w:rPr>
        <w:t>.</w:t>
      </w:r>
      <w:r w:rsidRPr="00AF78D0">
        <w:rPr>
          <w:rFonts w:ascii="Palatino Linotype" w:hAnsi="Palatino Linotype" w:cstheme="minorHAnsi"/>
          <w:sz w:val="22"/>
          <w:szCs w:val="22"/>
          <w:lang w:val="en-US"/>
        </w:rPr>
        <w:t xml:space="preserve"> </w:t>
      </w:r>
      <w:r w:rsidR="00C50B4E" w:rsidRPr="00C50B4E">
        <w:rPr>
          <w:rFonts w:ascii="Palatino Linotype" w:hAnsi="Palatino Linotype" w:cstheme="minorHAnsi"/>
          <w:sz w:val="22"/>
          <w:szCs w:val="22"/>
          <w:lang w:val="en-US"/>
        </w:rPr>
        <w:t xml:space="preserve">The contribution of stock change to annual growth is negative because the stocks </w:t>
      </w:r>
      <w:r w:rsidR="008D19E5">
        <w:rPr>
          <w:rFonts w:ascii="Palatino Linotype" w:hAnsi="Palatino Linotype" w:cstheme="minorHAnsi"/>
          <w:sz w:val="22"/>
          <w:szCs w:val="22"/>
          <w:lang w:val="en-US"/>
        </w:rPr>
        <w:t>accumulated</w:t>
      </w:r>
      <w:r w:rsidR="00C50B4E" w:rsidRPr="00C50B4E">
        <w:rPr>
          <w:rFonts w:ascii="Palatino Linotype" w:hAnsi="Palatino Linotype" w:cstheme="minorHAnsi"/>
          <w:sz w:val="22"/>
          <w:szCs w:val="22"/>
          <w:lang w:val="en-US"/>
        </w:rPr>
        <w:t xml:space="preserve"> during the pandemic </w:t>
      </w:r>
      <w:r w:rsidRPr="00AF78D0">
        <w:rPr>
          <w:rFonts w:ascii="Palatino Linotype" w:hAnsi="Palatino Linotype" w:cstheme="minorHAnsi"/>
          <w:sz w:val="22"/>
          <w:szCs w:val="22"/>
          <w:lang w:val="en-US"/>
        </w:rPr>
        <w:t>continue to melt in 2022, as in</w:t>
      </w:r>
      <w:r w:rsidR="003A4849">
        <w:rPr>
          <w:rFonts w:ascii="Palatino Linotype" w:hAnsi="Palatino Linotype" w:cstheme="minorHAnsi"/>
          <w:sz w:val="22"/>
          <w:szCs w:val="22"/>
          <w:lang w:val="en-US"/>
        </w:rPr>
        <w:t xml:space="preserve"> </w:t>
      </w:r>
      <w:r w:rsidRPr="00AF78D0">
        <w:rPr>
          <w:rFonts w:ascii="Palatino Linotype" w:hAnsi="Palatino Linotype" w:cstheme="minorHAnsi"/>
          <w:sz w:val="22"/>
          <w:szCs w:val="22"/>
          <w:lang w:val="en-US"/>
        </w:rPr>
        <w:t xml:space="preserve">2021. </w:t>
      </w:r>
      <w:r w:rsidR="008D19E5">
        <w:rPr>
          <w:rFonts w:ascii="Palatino Linotype" w:hAnsi="Palatino Linotype" w:cstheme="minorHAnsi"/>
          <w:sz w:val="22"/>
          <w:szCs w:val="22"/>
          <w:lang w:val="en-US"/>
        </w:rPr>
        <w:t>The</w:t>
      </w:r>
      <w:r w:rsidRPr="00AF78D0">
        <w:rPr>
          <w:rFonts w:ascii="Palatino Linotype" w:hAnsi="Palatino Linotype" w:cstheme="minorHAnsi"/>
          <w:sz w:val="22"/>
          <w:szCs w:val="22"/>
          <w:lang w:val="en-US"/>
        </w:rPr>
        <w:t xml:space="preserve"> increase in production lags behind the </w:t>
      </w:r>
      <w:r w:rsidR="00C50B4E">
        <w:rPr>
          <w:rFonts w:ascii="Palatino Linotype" w:hAnsi="Palatino Linotype" w:cstheme="minorHAnsi"/>
          <w:sz w:val="22"/>
          <w:szCs w:val="22"/>
          <w:lang w:val="en-US"/>
        </w:rPr>
        <w:t>rise</w:t>
      </w:r>
      <w:r w:rsidRPr="00AF78D0">
        <w:rPr>
          <w:rFonts w:ascii="Palatino Linotype" w:hAnsi="Palatino Linotype" w:cstheme="minorHAnsi"/>
          <w:sz w:val="22"/>
          <w:szCs w:val="22"/>
          <w:lang w:val="en-US"/>
        </w:rPr>
        <w:t xml:space="preserve"> in consumption due to decreasing stocks.</w:t>
      </w:r>
    </w:p>
    <w:p w14:paraId="3137157A" w14:textId="77777777" w:rsidR="00AF78D0" w:rsidRDefault="00AF78D0" w:rsidP="00610EAA">
      <w:pPr>
        <w:pStyle w:val="NormalWeb"/>
        <w:spacing w:before="0" w:beforeAutospacing="0" w:after="0" w:afterAutospacing="0" w:line="360" w:lineRule="auto"/>
        <w:ind w:right="79"/>
        <w:jc w:val="both"/>
        <w:rPr>
          <w:rFonts w:ascii="Palatino Linotype" w:hAnsi="Palatino Linotype" w:cstheme="minorHAnsi"/>
          <w:b/>
          <w:sz w:val="22"/>
          <w:szCs w:val="22"/>
          <w:lang w:val="en-US"/>
        </w:rPr>
      </w:pPr>
    </w:p>
    <w:p w14:paraId="1788AC75" w14:textId="63A48484" w:rsidR="00AF78D0" w:rsidRDefault="008D19E5" w:rsidP="00610EAA">
      <w:pPr>
        <w:pStyle w:val="NormalWeb"/>
        <w:spacing w:before="0" w:beforeAutospacing="0" w:after="0" w:afterAutospacing="0" w:line="360" w:lineRule="auto"/>
        <w:ind w:right="77"/>
        <w:jc w:val="both"/>
        <w:rPr>
          <w:rFonts w:ascii="Palatino Linotype" w:hAnsi="Palatino Linotype" w:cstheme="minorHAnsi"/>
          <w:b/>
          <w:sz w:val="22"/>
          <w:szCs w:val="22"/>
          <w:lang w:val="en-US"/>
        </w:rPr>
      </w:pPr>
      <w:r>
        <w:rPr>
          <w:rFonts w:ascii="Palatino Linotype" w:hAnsi="Palatino Linotype" w:cstheme="minorHAnsi"/>
          <w:b/>
          <w:sz w:val="22"/>
          <w:szCs w:val="22"/>
          <w:lang w:val="en-US"/>
        </w:rPr>
        <w:t xml:space="preserve">Low </w:t>
      </w:r>
      <w:r w:rsidR="00AF78D0" w:rsidRPr="00AF78D0">
        <w:rPr>
          <w:rFonts w:ascii="Palatino Linotype" w:hAnsi="Palatino Linotype" w:cstheme="minorHAnsi"/>
          <w:b/>
          <w:sz w:val="22"/>
          <w:szCs w:val="22"/>
          <w:lang w:val="en-US"/>
        </w:rPr>
        <w:t xml:space="preserve">Foreign trade contribution </w:t>
      </w:r>
      <w:r>
        <w:rPr>
          <w:rFonts w:ascii="Palatino Linotype" w:hAnsi="Palatino Linotype" w:cstheme="minorHAnsi"/>
          <w:b/>
          <w:sz w:val="22"/>
          <w:szCs w:val="22"/>
          <w:lang w:val="en-US"/>
        </w:rPr>
        <w:t>due to increasing import</w:t>
      </w:r>
      <w:r w:rsidR="00AF78D0" w:rsidRPr="00AF78D0">
        <w:rPr>
          <w:rFonts w:ascii="Palatino Linotype" w:hAnsi="Palatino Linotype" w:cstheme="minorHAnsi"/>
          <w:b/>
          <w:sz w:val="22"/>
          <w:szCs w:val="22"/>
          <w:lang w:val="en-US"/>
        </w:rPr>
        <w:t xml:space="preserve"> </w:t>
      </w:r>
    </w:p>
    <w:p w14:paraId="351E3D90" w14:textId="74E45FB4" w:rsidR="00AF78D0" w:rsidRPr="00610EAA" w:rsidRDefault="003A4849" w:rsidP="00610EAA">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3A4849">
        <w:rPr>
          <w:rFonts w:ascii="Palatino Linotype" w:hAnsi="Palatino Linotype" w:cstheme="minorHAnsi"/>
          <w:sz w:val="22"/>
          <w:szCs w:val="22"/>
          <w:lang w:val="en-US"/>
        </w:rPr>
        <w:t xml:space="preserve">In the </w:t>
      </w:r>
      <w:r w:rsidR="008D19E5">
        <w:rPr>
          <w:rFonts w:ascii="Palatino Linotype" w:hAnsi="Palatino Linotype" w:cstheme="minorHAnsi"/>
          <w:sz w:val="22"/>
          <w:szCs w:val="22"/>
          <w:lang w:val="en-US"/>
        </w:rPr>
        <w:t>third</w:t>
      </w:r>
      <w:r w:rsidRPr="003A4849">
        <w:rPr>
          <w:rFonts w:ascii="Palatino Linotype" w:hAnsi="Palatino Linotype" w:cstheme="minorHAnsi"/>
          <w:sz w:val="22"/>
          <w:szCs w:val="22"/>
          <w:lang w:val="en-US"/>
        </w:rPr>
        <w:t xml:space="preserve"> quarter of 2022, exports increased by 1</w:t>
      </w:r>
      <w:r w:rsidR="008D19E5">
        <w:rPr>
          <w:rFonts w:ascii="Palatino Linotype" w:hAnsi="Palatino Linotype" w:cstheme="minorHAnsi"/>
          <w:sz w:val="22"/>
          <w:szCs w:val="22"/>
          <w:lang w:val="en-US"/>
        </w:rPr>
        <w:t>2</w:t>
      </w:r>
      <w:r w:rsidRPr="003A4849">
        <w:rPr>
          <w:rFonts w:ascii="Palatino Linotype" w:hAnsi="Palatino Linotype" w:cstheme="minorHAnsi"/>
          <w:sz w:val="22"/>
          <w:szCs w:val="22"/>
          <w:lang w:val="en-US"/>
        </w:rPr>
        <w:t>.</w:t>
      </w:r>
      <w:r w:rsidR="008D19E5">
        <w:rPr>
          <w:rFonts w:ascii="Palatino Linotype" w:hAnsi="Palatino Linotype" w:cstheme="minorHAnsi"/>
          <w:sz w:val="22"/>
          <w:szCs w:val="22"/>
          <w:lang w:val="en-US"/>
        </w:rPr>
        <w:t>6</w:t>
      </w:r>
      <w:r w:rsidRPr="003A4849">
        <w:rPr>
          <w:rFonts w:ascii="Palatino Linotype" w:hAnsi="Palatino Linotype" w:cstheme="minorHAnsi"/>
          <w:sz w:val="22"/>
          <w:szCs w:val="22"/>
          <w:lang w:val="en-US"/>
        </w:rPr>
        <w:t xml:space="preserve"> percent</w:t>
      </w:r>
      <w:r>
        <w:rPr>
          <w:rFonts w:ascii="Palatino Linotype" w:hAnsi="Palatino Linotype" w:cstheme="minorHAnsi"/>
          <w:sz w:val="22"/>
          <w:szCs w:val="22"/>
          <w:lang w:val="en-US"/>
        </w:rPr>
        <w:t>,</w:t>
      </w:r>
      <w:r w:rsidRPr="003A4849">
        <w:rPr>
          <w:rFonts w:ascii="Palatino Linotype" w:hAnsi="Palatino Linotype" w:cstheme="minorHAnsi"/>
          <w:sz w:val="22"/>
          <w:szCs w:val="22"/>
          <w:lang w:val="en-US"/>
        </w:rPr>
        <w:t xml:space="preserve"> and imports increased by </w:t>
      </w:r>
      <w:r w:rsidR="008D19E5">
        <w:rPr>
          <w:rFonts w:ascii="Palatino Linotype" w:hAnsi="Palatino Linotype" w:cstheme="minorHAnsi"/>
          <w:sz w:val="22"/>
          <w:szCs w:val="22"/>
          <w:lang w:val="en-US"/>
        </w:rPr>
        <w:t>12</w:t>
      </w:r>
      <w:r w:rsidRPr="003A4849">
        <w:rPr>
          <w:rFonts w:ascii="Palatino Linotype" w:hAnsi="Palatino Linotype" w:cstheme="minorHAnsi"/>
          <w:sz w:val="22"/>
          <w:szCs w:val="22"/>
          <w:lang w:val="en-US"/>
        </w:rPr>
        <w:t>.</w:t>
      </w:r>
      <w:r w:rsidR="008D19E5">
        <w:rPr>
          <w:rFonts w:ascii="Palatino Linotype" w:hAnsi="Palatino Linotype" w:cstheme="minorHAnsi"/>
          <w:sz w:val="22"/>
          <w:szCs w:val="22"/>
          <w:lang w:val="en-US"/>
        </w:rPr>
        <w:t>2</w:t>
      </w:r>
      <w:r w:rsidRPr="003A4849">
        <w:rPr>
          <w:rFonts w:ascii="Palatino Linotype" w:hAnsi="Palatino Linotype" w:cstheme="minorHAnsi"/>
          <w:sz w:val="22"/>
          <w:szCs w:val="22"/>
          <w:lang w:val="en-US"/>
        </w:rPr>
        <w:t xml:space="preserve"> percent </w:t>
      </w:r>
      <w:r w:rsidR="00905810">
        <w:rPr>
          <w:rFonts w:ascii="Palatino Linotype" w:hAnsi="Palatino Linotype" w:cstheme="minorHAnsi"/>
          <w:sz w:val="22"/>
          <w:szCs w:val="22"/>
          <w:lang w:val="en-US"/>
        </w:rPr>
        <w:t>annually</w:t>
      </w:r>
      <w:r w:rsidRPr="003A4849">
        <w:rPr>
          <w:rFonts w:ascii="Palatino Linotype" w:hAnsi="Palatino Linotype" w:cstheme="minorHAnsi"/>
          <w:sz w:val="22"/>
          <w:szCs w:val="22"/>
          <w:lang w:val="en-US"/>
        </w:rPr>
        <w:t xml:space="preserve">. </w:t>
      </w:r>
      <w:r w:rsidR="008D19E5" w:rsidRPr="008D19E5">
        <w:rPr>
          <w:rFonts w:ascii="Palatino Linotype" w:hAnsi="Palatino Linotype" w:cstheme="minorHAnsi"/>
          <w:sz w:val="22"/>
          <w:szCs w:val="22"/>
          <w:lang w:val="en-US"/>
        </w:rPr>
        <w:t xml:space="preserve">The acceleration in the increase in imports caused the foreign trade contribution to </w:t>
      </w:r>
      <w:r w:rsidR="008D19E5">
        <w:rPr>
          <w:rFonts w:ascii="Palatino Linotype" w:hAnsi="Palatino Linotype" w:cstheme="minorHAnsi"/>
          <w:sz w:val="22"/>
          <w:szCs w:val="22"/>
          <w:lang w:val="en-US"/>
        </w:rPr>
        <w:t>decline</w:t>
      </w:r>
      <w:r w:rsidR="008D19E5" w:rsidRPr="008D19E5">
        <w:rPr>
          <w:rFonts w:ascii="Palatino Linotype" w:hAnsi="Palatino Linotype" w:cstheme="minorHAnsi"/>
          <w:sz w:val="22"/>
          <w:szCs w:val="22"/>
          <w:lang w:val="en-US"/>
        </w:rPr>
        <w:t xml:space="preserve"> </w:t>
      </w:r>
      <w:r w:rsidR="008D19E5">
        <w:rPr>
          <w:rFonts w:ascii="Palatino Linotype" w:hAnsi="Palatino Linotype" w:cstheme="minorHAnsi"/>
          <w:sz w:val="22"/>
          <w:szCs w:val="22"/>
          <w:lang w:val="en-US"/>
        </w:rPr>
        <w:t>to</w:t>
      </w:r>
      <w:r w:rsidR="008D19E5" w:rsidRPr="008D19E5">
        <w:rPr>
          <w:rFonts w:ascii="Palatino Linotype" w:hAnsi="Palatino Linotype" w:cstheme="minorHAnsi"/>
          <w:sz w:val="22"/>
          <w:szCs w:val="22"/>
          <w:lang w:val="en-US"/>
        </w:rPr>
        <w:t xml:space="preserve"> 0.7 percentage points this quarter, which was 3.9 percentage points in the previous quarter.</w:t>
      </w:r>
      <w:r w:rsidRPr="003A4849">
        <w:rPr>
          <w:rFonts w:ascii="Palatino Linotype" w:hAnsi="Palatino Linotype" w:cstheme="minorHAnsi"/>
          <w:sz w:val="22"/>
          <w:szCs w:val="22"/>
          <w:lang w:val="en-US"/>
        </w:rPr>
        <w:t xml:space="preserve"> (Table 1).</w:t>
      </w:r>
      <w:r>
        <w:rPr>
          <w:rFonts w:ascii="Palatino Linotype" w:hAnsi="Palatino Linotype" w:cstheme="minorHAnsi"/>
          <w:sz w:val="22"/>
          <w:szCs w:val="22"/>
          <w:lang w:val="en-US"/>
        </w:rPr>
        <w:t xml:space="preserve"> Looking at the </w:t>
      </w:r>
      <w:bookmarkStart w:id="4" w:name="OLE_LINK3"/>
      <w:bookmarkStart w:id="5" w:name="OLE_LINK4"/>
      <w:r>
        <w:rPr>
          <w:rFonts w:ascii="Palatino Linotype" w:hAnsi="Palatino Linotype" w:cstheme="minorHAnsi"/>
          <w:sz w:val="22"/>
          <w:szCs w:val="22"/>
          <w:lang w:val="en-US"/>
        </w:rPr>
        <w:t xml:space="preserve">seasonally and calendar-adjusted </w:t>
      </w:r>
      <w:bookmarkEnd w:id="4"/>
      <w:bookmarkEnd w:id="5"/>
      <w:r>
        <w:rPr>
          <w:rFonts w:ascii="Palatino Linotype" w:hAnsi="Palatino Linotype" w:cstheme="minorHAnsi"/>
          <w:sz w:val="22"/>
          <w:szCs w:val="22"/>
          <w:lang w:val="en-US"/>
        </w:rPr>
        <w:t>figures</w:t>
      </w:r>
      <w:r w:rsidRPr="003A4849">
        <w:rPr>
          <w:rFonts w:ascii="Palatino Linotype" w:hAnsi="Palatino Linotype" w:cstheme="minorHAnsi"/>
          <w:sz w:val="22"/>
          <w:szCs w:val="22"/>
          <w:lang w:val="en-US"/>
        </w:rPr>
        <w:t xml:space="preserve">, it is seen that exports </w:t>
      </w:r>
      <w:r w:rsidR="008D19E5">
        <w:rPr>
          <w:rFonts w:ascii="Palatino Linotype" w:hAnsi="Palatino Linotype" w:cstheme="minorHAnsi"/>
          <w:sz w:val="22"/>
          <w:szCs w:val="22"/>
          <w:lang w:val="en-US"/>
        </w:rPr>
        <w:t>decreas</w:t>
      </w:r>
      <w:r w:rsidRPr="003A4849">
        <w:rPr>
          <w:rFonts w:ascii="Palatino Linotype" w:hAnsi="Palatino Linotype" w:cstheme="minorHAnsi"/>
          <w:sz w:val="22"/>
          <w:szCs w:val="22"/>
          <w:lang w:val="en-US"/>
        </w:rPr>
        <w:t xml:space="preserve">ed by </w:t>
      </w:r>
      <w:r w:rsidR="008D19E5">
        <w:rPr>
          <w:rFonts w:ascii="Palatino Linotype" w:hAnsi="Palatino Linotype" w:cstheme="minorHAnsi"/>
          <w:sz w:val="22"/>
          <w:szCs w:val="22"/>
          <w:lang w:val="en-US"/>
        </w:rPr>
        <w:t>1</w:t>
      </w:r>
      <w:r w:rsidRPr="003A4849">
        <w:rPr>
          <w:rFonts w:ascii="Palatino Linotype" w:hAnsi="Palatino Linotype" w:cstheme="minorHAnsi"/>
          <w:sz w:val="22"/>
          <w:szCs w:val="22"/>
          <w:lang w:val="en-US"/>
        </w:rPr>
        <w:t xml:space="preserve">.1 percent and imports increased by </w:t>
      </w:r>
      <w:r w:rsidR="008D19E5">
        <w:rPr>
          <w:rFonts w:ascii="Palatino Linotype" w:hAnsi="Palatino Linotype" w:cstheme="minorHAnsi"/>
          <w:sz w:val="22"/>
          <w:szCs w:val="22"/>
          <w:lang w:val="en-US"/>
        </w:rPr>
        <w:t>6</w:t>
      </w:r>
      <w:r w:rsidRPr="003A4849">
        <w:rPr>
          <w:rFonts w:ascii="Palatino Linotype" w:hAnsi="Palatino Linotype" w:cstheme="minorHAnsi"/>
          <w:sz w:val="22"/>
          <w:szCs w:val="22"/>
          <w:lang w:val="en-US"/>
        </w:rPr>
        <w:t xml:space="preserve"> percent</w:t>
      </w:r>
      <w:r w:rsidR="008D19E5">
        <w:rPr>
          <w:rFonts w:ascii="Palatino Linotype" w:hAnsi="Palatino Linotype" w:cstheme="minorHAnsi"/>
          <w:sz w:val="22"/>
          <w:szCs w:val="22"/>
          <w:lang w:val="en-US"/>
        </w:rPr>
        <w:t>; thus,</w:t>
      </w:r>
      <w:r w:rsidRPr="003A4849">
        <w:rPr>
          <w:rFonts w:ascii="Palatino Linotype" w:hAnsi="Palatino Linotype" w:cstheme="minorHAnsi"/>
          <w:sz w:val="22"/>
          <w:szCs w:val="22"/>
          <w:lang w:val="en-US"/>
        </w:rPr>
        <w:t xml:space="preserve"> foreign trade </w:t>
      </w:r>
      <w:r w:rsidR="008D19E5">
        <w:rPr>
          <w:rFonts w:ascii="Palatino Linotype" w:hAnsi="Palatino Linotype" w:cstheme="minorHAnsi"/>
          <w:sz w:val="22"/>
          <w:szCs w:val="22"/>
          <w:lang w:val="en-US"/>
        </w:rPr>
        <w:t>pulled quarterly growth down</w:t>
      </w:r>
      <w:r w:rsidRPr="003A4849">
        <w:rPr>
          <w:rFonts w:ascii="Palatino Linotype" w:hAnsi="Palatino Linotype" w:cstheme="minorHAnsi"/>
          <w:sz w:val="22"/>
          <w:szCs w:val="22"/>
          <w:lang w:val="en-US"/>
        </w:rPr>
        <w:t xml:space="preserve"> </w:t>
      </w:r>
      <w:r w:rsidR="008D19E5">
        <w:rPr>
          <w:rFonts w:ascii="Palatino Linotype" w:hAnsi="Palatino Linotype" w:cstheme="minorHAnsi"/>
          <w:sz w:val="22"/>
          <w:szCs w:val="22"/>
          <w:lang w:val="en-US"/>
        </w:rPr>
        <w:t xml:space="preserve">by </w:t>
      </w:r>
      <w:r w:rsidRPr="003A4849">
        <w:rPr>
          <w:rFonts w:ascii="Palatino Linotype" w:hAnsi="Palatino Linotype" w:cstheme="minorHAnsi"/>
          <w:sz w:val="22"/>
          <w:szCs w:val="22"/>
          <w:lang w:val="en-US"/>
        </w:rPr>
        <w:t>1.7 percentage points (Table 2).</w:t>
      </w:r>
    </w:p>
    <w:p w14:paraId="2C621B8E" w14:textId="39BC94FA" w:rsidR="00C50B4E" w:rsidRPr="00C50B4E" w:rsidRDefault="00C50B4E" w:rsidP="00C50B4E">
      <w:pPr>
        <w:pStyle w:val="NormalWeb"/>
        <w:spacing w:line="360" w:lineRule="auto"/>
        <w:ind w:right="77"/>
        <w:rPr>
          <w:rFonts w:ascii="Palatino Linotype" w:hAnsi="Palatino Linotype" w:cstheme="minorHAnsi"/>
          <w:b/>
          <w:bCs/>
          <w:sz w:val="22"/>
          <w:szCs w:val="22"/>
          <w:lang w:val="en-US"/>
        </w:rPr>
      </w:pPr>
      <w:r w:rsidRPr="00C50B4E">
        <w:rPr>
          <w:rFonts w:ascii="Palatino Linotype" w:hAnsi="Palatino Linotype" w:cstheme="minorHAnsi"/>
          <w:b/>
          <w:bCs/>
          <w:sz w:val="22"/>
          <w:szCs w:val="22"/>
          <w:lang w:val="en-US"/>
        </w:rPr>
        <w:t>Public spending</w:t>
      </w:r>
      <w:r>
        <w:rPr>
          <w:rFonts w:ascii="Palatino Linotype" w:hAnsi="Palatino Linotype" w:cstheme="minorHAnsi"/>
          <w:b/>
          <w:bCs/>
          <w:sz w:val="22"/>
          <w:szCs w:val="22"/>
          <w:lang w:val="en-US"/>
        </w:rPr>
        <w:t xml:space="preserve"> has</w:t>
      </w:r>
      <w:r w:rsidRPr="00C50B4E">
        <w:rPr>
          <w:rFonts w:ascii="Palatino Linotype" w:hAnsi="Palatino Linotype" w:cstheme="minorHAnsi"/>
          <w:b/>
          <w:bCs/>
          <w:sz w:val="22"/>
          <w:szCs w:val="22"/>
          <w:lang w:val="en-US"/>
        </w:rPr>
        <w:t xml:space="preserve"> </w:t>
      </w:r>
      <w:r w:rsidR="003A4849">
        <w:rPr>
          <w:rFonts w:ascii="Palatino Linotype" w:hAnsi="Palatino Linotype" w:cstheme="minorHAnsi"/>
          <w:b/>
          <w:bCs/>
          <w:sz w:val="22"/>
          <w:szCs w:val="22"/>
          <w:lang w:val="en-US"/>
        </w:rPr>
        <w:t>increased</w:t>
      </w:r>
    </w:p>
    <w:p w14:paraId="06B7E7B4" w14:textId="3E70D53C" w:rsidR="00EB2B22" w:rsidRPr="00C50B4E" w:rsidRDefault="00C50B4E" w:rsidP="00C50B4E">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C50B4E">
        <w:rPr>
          <w:rFonts w:ascii="Palatino Linotype" w:hAnsi="Palatino Linotype" w:cstheme="minorHAnsi"/>
          <w:bCs/>
          <w:sz w:val="22"/>
          <w:szCs w:val="22"/>
          <w:lang w:val="en-US"/>
        </w:rPr>
        <w:t xml:space="preserve">In the </w:t>
      </w:r>
      <w:r w:rsidR="003A4849">
        <w:rPr>
          <w:rFonts w:ascii="Palatino Linotype" w:hAnsi="Palatino Linotype" w:cstheme="minorHAnsi"/>
          <w:bCs/>
          <w:sz w:val="22"/>
          <w:szCs w:val="22"/>
          <w:lang w:val="en-US"/>
        </w:rPr>
        <w:t>second</w:t>
      </w:r>
      <w:r w:rsidRPr="00C50B4E">
        <w:rPr>
          <w:rFonts w:ascii="Palatino Linotype" w:hAnsi="Palatino Linotype" w:cstheme="minorHAnsi"/>
          <w:bCs/>
          <w:sz w:val="22"/>
          <w:szCs w:val="22"/>
          <w:lang w:val="en-US"/>
        </w:rPr>
        <w:t xml:space="preserve"> quarter of 2022, public </w:t>
      </w:r>
      <w:r>
        <w:rPr>
          <w:rFonts w:ascii="Palatino Linotype" w:hAnsi="Palatino Linotype" w:cstheme="minorHAnsi"/>
          <w:bCs/>
          <w:sz w:val="22"/>
          <w:szCs w:val="22"/>
          <w:lang w:val="en-US"/>
        </w:rPr>
        <w:t xml:space="preserve">spending </w:t>
      </w:r>
      <w:r w:rsidRPr="00C50B4E">
        <w:rPr>
          <w:rFonts w:ascii="Palatino Linotype" w:hAnsi="Palatino Linotype" w:cstheme="minorHAnsi"/>
          <w:bCs/>
          <w:sz w:val="22"/>
          <w:szCs w:val="22"/>
          <w:lang w:val="en-US"/>
        </w:rPr>
        <w:t xml:space="preserve">increased by </w:t>
      </w:r>
      <w:r w:rsidR="008D19E5">
        <w:rPr>
          <w:rFonts w:ascii="Palatino Linotype" w:hAnsi="Palatino Linotype" w:cstheme="minorHAnsi"/>
          <w:bCs/>
          <w:sz w:val="22"/>
          <w:szCs w:val="22"/>
          <w:lang w:val="en-US"/>
        </w:rPr>
        <w:t>8</w:t>
      </w:r>
      <w:r w:rsidRPr="00C50B4E">
        <w:rPr>
          <w:rFonts w:ascii="Palatino Linotype" w:hAnsi="Palatino Linotype" w:cstheme="minorHAnsi"/>
          <w:bCs/>
          <w:sz w:val="22"/>
          <w:szCs w:val="22"/>
          <w:lang w:val="en-US"/>
        </w:rPr>
        <w:t>.</w:t>
      </w:r>
      <w:r w:rsidR="008D19E5">
        <w:rPr>
          <w:rFonts w:ascii="Palatino Linotype" w:hAnsi="Palatino Linotype" w:cstheme="minorHAnsi"/>
          <w:bCs/>
          <w:sz w:val="22"/>
          <w:szCs w:val="22"/>
          <w:lang w:val="en-US"/>
        </w:rPr>
        <w:t>5</w:t>
      </w:r>
      <w:r w:rsidRPr="00C50B4E">
        <w:rPr>
          <w:rFonts w:ascii="Palatino Linotype" w:hAnsi="Palatino Linotype" w:cstheme="minorHAnsi"/>
          <w:bCs/>
          <w:sz w:val="22"/>
          <w:szCs w:val="22"/>
          <w:lang w:val="en-US"/>
        </w:rPr>
        <w:t xml:space="preserve"> percent, contributing </w:t>
      </w:r>
      <w:r w:rsidR="008D19E5">
        <w:rPr>
          <w:rFonts w:ascii="Palatino Linotype" w:hAnsi="Palatino Linotype" w:cstheme="minorHAnsi"/>
          <w:bCs/>
          <w:sz w:val="22"/>
          <w:szCs w:val="22"/>
          <w:lang w:val="en-US"/>
        </w:rPr>
        <w:t>1</w:t>
      </w:r>
      <w:r w:rsidRPr="00C50B4E">
        <w:rPr>
          <w:rFonts w:ascii="Palatino Linotype" w:hAnsi="Palatino Linotype" w:cstheme="minorHAnsi"/>
          <w:bCs/>
          <w:sz w:val="22"/>
          <w:szCs w:val="22"/>
          <w:lang w:val="en-US"/>
        </w:rPr>
        <w:t>.</w:t>
      </w:r>
      <w:r w:rsidR="008D19E5">
        <w:rPr>
          <w:rFonts w:ascii="Palatino Linotype" w:hAnsi="Palatino Linotype" w:cstheme="minorHAnsi"/>
          <w:bCs/>
          <w:sz w:val="22"/>
          <w:szCs w:val="22"/>
          <w:lang w:val="en-US"/>
        </w:rPr>
        <w:t>1</w:t>
      </w:r>
      <w:r w:rsidRPr="00C50B4E">
        <w:rPr>
          <w:rFonts w:ascii="Palatino Linotype" w:hAnsi="Palatino Linotype" w:cstheme="minorHAnsi"/>
          <w:bCs/>
          <w:sz w:val="22"/>
          <w:szCs w:val="22"/>
          <w:lang w:val="en-US"/>
        </w:rPr>
        <w:t xml:space="preserve"> percentage points to annual growth (Table 1). </w:t>
      </w:r>
      <w:r w:rsidR="00905810" w:rsidRPr="00905810">
        <w:rPr>
          <w:rFonts w:ascii="Palatino Linotype" w:hAnsi="Palatino Linotype" w:cstheme="minorHAnsi"/>
          <w:bCs/>
          <w:sz w:val="22"/>
          <w:szCs w:val="22"/>
          <w:lang w:val="en-US"/>
        </w:rPr>
        <w:t>Public consumption increased by 1</w:t>
      </w:r>
      <w:r w:rsidR="008D19E5">
        <w:rPr>
          <w:rFonts w:ascii="Palatino Linotype" w:hAnsi="Palatino Linotype" w:cstheme="minorHAnsi"/>
          <w:bCs/>
          <w:sz w:val="22"/>
          <w:szCs w:val="22"/>
          <w:lang w:val="en-US"/>
        </w:rPr>
        <w:t>1</w:t>
      </w:r>
      <w:r w:rsidR="00905810" w:rsidRPr="00905810">
        <w:rPr>
          <w:rFonts w:ascii="Palatino Linotype" w:hAnsi="Palatino Linotype" w:cstheme="minorHAnsi"/>
          <w:bCs/>
          <w:sz w:val="22"/>
          <w:szCs w:val="22"/>
          <w:lang w:val="en-US"/>
        </w:rPr>
        <w:t>.</w:t>
      </w:r>
      <w:r w:rsidR="008D19E5">
        <w:rPr>
          <w:rFonts w:ascii="Palatino Linotype" w:hAnsi="Palatino Linotype" w:cstheme="minorHAnsi"/>
          <w:bCs/>
          <w:sz w:val="22"/>
          <w:szCs w:val="22"/>
          <w:lang w:val="en-US"/>
        </w:rPr>
        <w:t>7</w:t>
      </w:r>
      <w:r w:rsidR="00905810" w:rsidRPr="00905810">
        <w:rPr>
          <w:rFonts w:ascii="Palatino Linotype" w:hAnsi="Palatino Linotype" w:cstheme="minorHAnsi"/>
          <w:bCs/>
          <w:sz w:val="22"/>
          <w:szCs w:val="22"/>
          <w:lang w:val="en-US"/>
        </w:rPr>
        <w:t xml:space="preserve"> percent in seasonally and calendar-adjusted figures</w:t>
      </w:r>
      <w:r w:rsidR="00B74E5B">
        <w:rPr>
          <w:rFonts w:ascii="Palatino Linotype" w:hAnsi="Palatino Linotype" w:cstheme="minorHAnsi"/>
          <w:bCs/>
          <w:sz w:val="22"/>
          <w:szCs w:val="22"/>
          <w:lang w:val="en-US"/>
        </w:rPr>
        <w:t xml:space="preserve">, supporting </w:t>
      </w:r>
      <w:r w:rsidR="008D19E5">
        <w:rPr>
          <w:rFonts w:ascii="Palatino Linotype" w:hAnsi="Palatino Linotype" w:cstheme="minorHAnsi"/>
          <w:bCs/>
          <w:sz w:val="22"/>
          <w:szCs w:val="22"/>
          <w:lang w:val="en-US"/>
        </w:rPr>
        <w:t>quarterly growth by 1</w:t>
      </w:r>
      <w:r w:rsidR="00B74E5B">
        <w:rPr>
          <w:rFonts w:ascii="Palatino Linotype" w:hAnsi="Palatino Linotype" w:cstheme="minorHAnsi"/>
          <w:bCs/>
          <w:sz w:val="22"/>
          <w:szCs w:val="22"/>
          <w:lang w:val="en-US"/>
        </w:rPr>
        <w:t>.</w:t>
      </w:r>
      <w:r w:rsidR="008D19E5">
        <w:rPr>
          <w:rFonts w:ascii="Palatino Linotype" w:hAnsi="Palatino Linotype" w:cstheme="minorHAnsi"/>
          <w:bCs/>
          <w:sz w:val="22"/>
          <w:szCs w:val="22"/>
          <w:lang w:val="en-US"/>
        </w:rPr>
        <w:t>4</w:t>
      </w:r>
      <w:r w:rsidR="00B74E5B">
        <w:rPr>
          <w:rFonts w:ascii="Palatino Linotype" w:hAnsi="Palatino Linotype" w:cstheme="minorHAnsi"/>
          <w:bCs/>
          <w:sz w:val="22"/>
          <w:szCs w:val="22"/>
          <w:lang w:val="en-US"/>
        </w:rPr>
        <w:t xml:space="preserve"> percentage </w:t>
      </w:r>
      <w:r w:rsidR="00905810">
        <w:rPr>
          <w:rFonts w:ascii="Palatino Linotype" w:hAnsi="Palatino Linotype" w:cstheme="minorHAnsi"/>
          <w:bCs/>
          <w:sz w:val="22"/>
          <w:szCs w:val="22"/>
          <w:lang w:val="en-US"/>
        </w:rPr>
        <w:t>points</w:t>
      </w:r>
      <w:r w:rsidRPr="00C50B4E">
        <w:rPr>
          <w:rFonts w:ascii="Palatino Linotype" w:hAnsi="Palatino Linotype" w:cstheme="minorHAnsi"/>
          <w:bCs/>
          <w:sz w:val="22"/>
          <w:szCs w:val="22"/>
          <w:lang w:val="en-US"/>
        </w:rPr>
        <w:t xml:space="preserve"> (Table 2).</w:t>
      </w:r>
    </w:p>
    <w:p w14:paraId="18C98E26" w14:textId="258865F7" w:rsidR="00C50B4E" w:rsidRDefault="00C50B4E" w:rsidP="00C50B4E">
      <w:pPr>
        <w:pStyle w:val="NormalWeb"/>
        <w:spacing w:before="0" w:beforeAutospacing="0" w:after="0" w:afterAutospacing="0" w:line="360" w:lineRule="auto"/>
        <w:ind w:right="77"/>
        <w:rPr>
          <w:rFonts w:ascii="Palatino Linotype" w:hAnsi="Palatino Linotype" w:cstheme="minorHAnsi"/>
          <w:sz w:val="22"/>
          <w:szCs w:val="22"/>
          <w:lang w:val="en-US"/>
        </w:rPr>
      </w:pPr>
      <w:bookmarkStart w:id="6" w:name="_GoBack"/>
      <w:bookmarkEnd w:id="6"/>
    </w:p>
    <w:p w14:paraId="4C5F10E3" w14:textId="02A9B98E" w:rsidR="00955E90" w:rsidRPr="006679E6" w:rsidRDefault="00981D42" w:rsidP="00B366B7">
      <w:pPr>
        <w:pStyle w:val="NormalWeb"/>
        <w:spacing w:before="0" w:beforeAutospacing="0" w:after="0" w:afterAutospacing="0" w:line="360" w:lineRule="auto"/>
        <w:ind w:right="77"/>
        <w:rPr>
          <w:rFonts w:ascii="Palatino Linotype" w:hAnsi="Palatino Linotype" w:cstheme="minorHAnsi"/>
          <w:b/>
          <w:bCs/>
          <w:sz w:val="22"/>
          <w:szCs w:val="22"/>
          <w:lang w:val="en-US"/>
        </w:rPr>
      </w:pPr>
      <w:r>
        <w:rPr>
          <w:rFonts w:ascii="Palatino Linotype" w:hAnsi="Palatino Linotype" w:cstheme="minorHAnsi"/>
          <w:b/>
          <w:bCs/>
          <w:sz w:val="22"/>
          <w:szCs w:val="22"/>
          <w:lang w:val="en-US"/>
        </w:rPr>
        <w:t>The future of growth</w:t>
      </w:r>
    </w:p>
    <w:p w14:paraId="12200A18" w14:textId="18BE4D7D" w:rsidR="00A12631" w:rsidRDefault="00C50B4E" w:rsidP="00593041">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C50B4E">
        <w:rPr>
          <w:rFonts w:ascii="Palatino Linotype" w:hAnsi="Palatino Linotype" w:cstheme="minorHAnsi"/>
          <w:bCs/>
          <w:sz w:val="22"/>
          <w:szCs w:val="22"/>
          <w:lang w:val="en-US"/>
        </w:rPr>
        <w:t xml:space="preserve">Two components drove growth in the </w:t>
      </w:r>
      <w:r w:rsidR="007A2E24">
        <w:rPr>
          <w:rFonts w:ascii="Palatino Linotype" w:hAnsi="Palatino Linotype" w:cstheme="minorHAnsi"/>
          <w:bCs/>
          <w:sz w:val="22"/>
          <w:szCs w:val="22"/>
          <w:lang w:val="en-US"/>
        </w:rPr>
        <w:t>third</w:t>
      </w:r>
      <w:r w:rsidRPr="00C50B4E">
        <w:rPr>
          <w:rFonts w:ascii="Palatino Linotype" w:hAnsi="Palatino Linotype" w:cstheme="minorHAnsi"/>
          <w:bCs/>
          <w:sz w:val="22"/>
          <w:szCs w:val="22"/>
          <w:lang w:val="en-US"/>
        </w:rPr>
        <w:t xml:space="preserve"> quarter of 2022</w:t>
      </w:r>
      <w:r w:rsidR="00905810">
        <w:rPr>
          <w:rFonts w:ascii="Palatino Linotype" w:hAnsi="Palatino Linotype" w:cstheme="minorHAnsi"/>
          <w:bCs/>
          <w:sz w:val="22"/>
          <w:szCs w:val="22"/>
          <w:lang w:val="en-US"/>
        </w:rPr>
        <w:t xml:space="preserve"> as in the first quarter</w:t>
      </w:r>
      <w:r w:rsidRPr="00C50B4E">
        <w:rPr>
          <w:rFonts w:ascii="Palatino Linotype" w:hAnsi="Palatino Linotype" w:cstheme="minorHAnsi"/>
          <w:bCs/>
          <w:sz w:val="22"/>
          <w:szCs w:val="22"/>
          <w:lang w:val="en-US"/>
        </w:rPr>
        <w:t xml:space="preserve">: private consumption and exports. </w:t>
      </w:r>
      <w:r w:rsidR="000466FF">
        <w:rPr>
          <w:rFonts w:ascii="Palatino Linotype" w:hAnsi="Palatino Linotype" w:cstheme="minorHAnsi"/>
          <w:bCs/>
          <w:sz w:val="22"/>
          <w:szCs w:val="22"/>
          <w:lang w:val="en-US"/>
        </w:rPr>
        <w:t xml:space="preserve">The contribution of change in inventories and </w:t>
      </w:r>
      <w:r w:rsidR="00232745">
        <w:rPr>
          <w:rFonts w:ascii="Palatino Linotype" w:hAnsi="Palatino Linotype" w:cstheme="minorHAnsi"/>
          <w:bCs/>
          <w:sz w:val="22"/>
          <w:szCs w:val="22"/>
          <w:lang w:val="en-US"/>
        </w:rPr>
        <w:t>investments have been negative.</w:t>
      </w:r>
      <w:r w:rsidR="000466FF">
        <w:rPr>
          <w:rFonts w:ascii="Palatino Linotype" w:hAnsi="Palatino Linotype" w:cstheme="minorHAnsi"/>
          <w:bCs/>
          <w:sz w:val="22"/>
          <w:szCs w:val="22"/>
          <w:lang w:val="en-US"/>
        </w:rPr>
        <w:t xml:space="preserve"> </w:t>
      </w:r>
      <w:r w:rsidR="00561710">
        <w:rPr>
          <w:rFonts w:ascii="Palatino Linotype" w:hAnsi="Palatino Linotype" w:cstheme="minorHAnsi"/>
          <w:bCs/>
          <w:sz w:val="22"/>
          <w:szCs w:val="22"/>
          <w:lang w:val="en-US"/>
        </w:rPr>
        <w:t xml:space="preserve">It is less likely </w:t>
      </w:r>
      <w:r w:rsidR="00D65247">
        <w:rPr>
          <w:rFonts w:ascii="Palatino Linotype" w:hAnsi="Palatino Linotype" w:cstheme="minorHAnsi"/>
          <w:bCs/>
          <w:sz w:val="22"/>
          <w:szCs w:val="22"/>
          <w:lang w:val="en-US"/>
        </w:rPr>
        <w:t xml:space="preserve">that </w:t>
      </w:r>
      <w:r w:rsidR="00561710">
        <w:rPr>
          <w:rFonts w:ascii="Palatino Linotype" w:hAnsi="Palatino Linotype" w:cstheme="minorHAnsi"/>
          <w:bCs/>
          <w:sz w:val="22"/>
          <w:szCs w:val="22"/>
          <w:lang w:val="en-US"/>
        </w:rPr>
        <w:t>private consumption and export</w:t>
      </w:r>
      <w:r w:rsidR="00BC02B8">
        <w:rPr>
          <w:rFonts w:ascii="Palatino Linotype" w:hAnsi="Palatino Linotype" w:cstheme="minorHAnsi"/>
          <w:bCs/>
          <w:sz w:val="22"/>
          <w:szCs w:val="22"/>
          <w:lang w:val="en-US"/>
        </w:rPr>
        <w:t xml:space="preserve">s </w:t>
      </w:r>
      <w:r w:rsidR="0044116A">
        <w:rPr>
          <w:rFonts w:ascii="Palatino Linotype" w:hAnsi="Palatino Linotype" w:cstheme="minorHAnsi"/>
          <w:bCs/>
          <w:sz w:val="22"/>
          <w:szCs w:val="22"/>
          <w:lang w:val="en-US"/>
        </w:rPr>
        <w:t xml:space="preserve">will retain same trend </w:t>
      </w:r>
      <w:r w:rsidR="007117F1">
        <w:rPr>
          <w:rFonts w:ascii="Palatino Linotype" w:hAnsi="Palatino Linotype" w:cstheme="minorHAnsi"/>
          <w:bCs/>
          <w:sz w:val="22"/>
          <w:szCs w:val="22"/>
          <w:lang w:val="en-US"/>
        </w:rPr>
        <w:t xml:space="preserve">in the coming quarters. </w:t>
      </w:r>
      <w:r w:rsidR="00AE0998" w:rsidRPr="00AE0998">
        <w:rPr>
          <w:rFonts w:ascii="Palatino Linotype" w:hAnsi="Palatino Linotype" w:cstheme="minorHAnsi"/>
          <w:bCs/>
          <w:sz w:val="22"/>
          <w:szCs w:val="22"/>
          <w:lang w:val="en-US"/>
        </w:rPr>
        <w:t xml:space="preserve">Because, we can say that we have come to the end of the </w:t>
      </w:r>
      <w:r w:rsidR="00D31807">
        <w:rPr>
          <w:rFonts w:ascii="Palatino Linotype" w:hAnsi="Palatino Linotype" w:cstheme="minorHAnsi"/>
          <w:bCs/>
          <w:sz w:val="22"/>
          <w:szCs w:val="22"/>
          <w:lang w:val="en-US"/>
        </w:rPr>
        <w:t>period</w:t>
      </w:r>
      <w:r w:rsidR="00AE0998" w:rsidRPr="00AE0998">
        <w:rPr>
          <w:rFonts w:ascii="Palatino Linotype" w:hAnsi="Palatino Linotype" w:cstheme="minorHAnsi"/>
          <w:bCs/>
          <w:sz w:val="22"/>
          <w:szCs w:val="22"/>
          <w:lang w:val="en-US"/>
        </w:rPr>
        <w:t xml:space="preserve"> of </w:t>
      </w:r>
      <w:r w:rsidR="00D31807">
        <w:rPr>
          <w:rFonts w:ascii="Palatino Linotype" w:hAnsi="Palatino Linotype" w:cstheme="minorHAnsi"/>
          <w:bCs/>
          <w:sz w:val="22"/>
          <w:szCs w:val="22"/>
          <w:lang w:val="en-US"/>
        </w:rPr>
        <w:lastRenderedPageBreak/>
        <w:t xml:space="preserve">deferred </w:t>
      </w:r>
      <w:r w:rsidR="00AE0998" w:rsidRPr="00AE0998">
        <w:rPr>
          <w:rFonts w:ascii="Palatino Linotype" w:hAnsi="Palatino Linotype" w:cstheme="minorHAnsi"/>
          <w:bCs/>
          <w:sz w:val="22"/>
          <w:szCs w:val="22"/>
          <w:lang w:val="en-US"/>
        </w:rPr>
        <w:t xml:space="preserve">demand </w:t>
      </w:r>
      <w:r w:rsidR="00D31807">
        <w:rPr>
          <w:rFonts w:ascii="Palatino Linotype" w:hAnsi="Palatino Linotype" w:cstheme="minorHAnsi"/>
          <w:bCs/>
          <w:sz w:val="22"/>
          <w:szCs w:val="22"/>
          <w:lang w:val="en-US"/>
        </w:rPr>
        <w:t>due to the pandemic and of</w:t>
      </w:r>
      <w:r w:rsidR="00AE0998" w:rsidRPr="00AE0998">
        <w:rPr>
          <w:rFonts w:ascii="Palatino Linotype" w:hAnsi="Palatino Linotype" w:cstheme="minorHAnsi"/>
          <w:bCs/>
          <w:sz w:val="22"/>
          <w:szCs w:val="22"/>
          <w:lang w:val="en-US"/>
        </w:rPr>
        <w:t xml:space="preserve"> </w:t>
      </w:r>
      <w:r w:rsidR="00081C81">
        <w:rPr>
          <w:rFonts w:ascii="Palatino Linotype" w:hAnsi="Palatino Linotype" w:cstheme="minorHAnsi"/>
          <w:bCs/>
          <w:sz w:val="22"/>
          <w:szCs w:val="22"/>
          <w:lang w:val="en-US"/>
        </w:rPr>
        <w:t>pull-</w:t>
      </w:r>
      <w:r w:rsidR="00081C81" w:rsidRPr="00AE0998">
        <w:rPr>
          <w:rFonts w:ascii="Palatino Linotype" w:hAnsi="Palatino Linotype" w:cstheme="minorHAnsi"/>
          <w:bCs/>
          <w:sz w:val="22"/>
          <w:szCs w:val="22"/>
          <w:lang w:val="en-US"/>
        </w:rPr>
        <w:t>forward</w:t>
      </w:r>
      <w:r w:rsidR="00081C81">
        <w:rPr>
          <w:rFonts w:ascii="Palatino Linotype" w:hAnsi="Palatino Linotype" w:cstheme="minorHAnsi"/>
          <w:bCs/>
          <w:sz w:val="22"/>
          <w:szCs w:val="22"/>
          <w:lang w:val="en-US"/>
        </w:rPr>
        <w:t xml:space="preserve"> demand</w:t>
      </w:r>
      <w:r w:rsidR="00081C81" w:rsidRPr="00AE0998">
        <w:rPr>
          <w:rFonts w:ascii="Palatino Linotype" w:hAnsi="Palatino Linotype" w:cstheme="minorHAnsi"/>
          <w:bCs/>
          <w:sz w:val="22"/>
          <w:szCs w:val="22"/>
          <w:lang w:val="en-US"/>
        </w:rPr>
        <w:t xml:space="preserve"> </w:t>
      </w:r>
      <w:r w:rsidR="00081C81">
        <w:rPr>
          <w:rFonts w:ascii="Palatino Linotype" w:hAnsi="Palatino Linotype" w:cstheme="minorHAnsi"/>
          <w:bCs/>
          <w:sz w:val="22"/>
          <w:szCs w:val="22"/>
          <w:lang w:val="en-US"/>
        </w:rPr>
        <w:t xml:space="preserve">of </w:t>
      </w:r>
      <w:r w:rsidR="00AE0998" w:rsidRPr="00AE0998">
        <w:rPr>
          <w:rFonts w:ascii="Palatino Linotype" w:hAnsi="Palatino Linotype" w:cstheme="minorHAnsi"/>
          <w:bCs/>
          <w:sz w:val="22"/>
          <w:szCs w:val="22"/>
          <w:lang w:val="en-US"/>
        </w:rPr>
        <w:t>durable goods</w:t>
      </w:r>
      <w:r w:rsidR="00664F82">
        <w:rPr>
          <w:rFonts w:ascii="Palatino Linotype" w:hAnsi="Palatino Linotype" w:cstheme="minorHAnsi"/>
          <w:bCs/>
          <w:sz w:val="22"/>
          <w:szCs w:val="22"/>
          <w:lang w:val="en-US"/>
        </w:rPr>
        <w:t xml:space="preserve"> due to</w:t>
      </w:r>
      <w:r w:rsidR="00081C81">
        <w:rPr>
          <w:rFonts w:ascii="Palatino Linotype" w:hAnsi="Palatino Linotype" w:cstheme="minorHAnsi"/>
          <w:bCs/>
          <w:sz w:val="22"/>
          <w:szCs w:val="22"/>
          <w:lang w:val="en-US"/>
        </w:rPr>
        <w:t xml:space="preserve"> the high inflation.</w:t>
      </w:r>
      <w:r w:rsidR="00AE0998" w:rsidRPr="00AE0998">
        <w:rPr>
          <w:rFonts w:ascii="Palatino Linotype" w:hAnsi="Palatino Linotype" w:cstheme="minorHAnsi"/>
          <w:bCs/>
          <w:sz w:val="22"/>
          <w:szCs w:val="22"/>
          <w:lang w:val="en-US"/>
        </w:rPr>
        <w:t xml:space="preserve"> </w:t>
      </w:r>
      <w:r w:rsidR="00593041" w:rsidRPr="00593041">
        <w:rPr>
          <w:rFonts w:ascii="Palatino Linotype" w:hAnsi="Palatino Linotype" w:cstheme="minorHAnsi"/>
          <w:bCs/>
          <w:sz w:val="22"/>
          <w:szCs w:val="22"/>
          <w:lang w:val="en-US"/>
        </w:rPr>
        <w:t xml:space="preserve">The </w:t>
      </w:r>
      <w:r w:rsidR="00593041">
        <w:rPr>
          <w:rFonts w:ascii="Palatino Linotype" w:hAnsi="Palatino Linotype" w:cstheme="minorHAnsi"/>
          <w:bCs/>
          <w:sz w:val="22"/>
          <w:szCs w:val="22"/>
          <w:lang w:val="en-US"/>
        </w:rPr>
        <w:t>stable</w:t>
      </w:r>
      <w:r w:rsidR="00593041" w:rsidRPr="00593041">
        <w:rPr>
          <w:rFonts w:ascii="Palatino Linotype" w:hAnsi="Palatino Linotype" w:cstheme="minorHAnsi"/>
          <w:bCs/>
          <w:sz w:val="22"/>
          <w:szCs w:val="22"/>
          <w:lang w:val="en-US"/>
        </w:rPr>
        <w:t xml:space="preserve"> </w:t>
      </w:r>
      <w:r w:rsidR="00593041">
        <w:rPr>
          <w:rFonts w:ascii="Palatino Linotype" w:hAnsi="Palatino Linotype" w:cstheme="minorHAnsi"/>
          <w:bCs/>
          <w:sz w:val="22"/>
          <w:szCs w:val="22"/>
          <w:lang w:val="en-US"/>
        </w:rPr>
        <w:t>trend</w:t>
      </w:r>
      <w:r w:rsidR="00593041" w:rsidRPr="00593041">
        <w:rPr>
          <w:rFonts w:ascii="Palatino Linotype" w:hAnsi="Palatino Linotype" w:cstheme="minorHAnsi"/>
          <w:bCs/>
          <w:sz w:val="22"/>
          <w:szCs w:val="22"/>
          <w:lang w:val="en-US"/>
        </w:rPr>
        <w:t xml:space="preserve"> of the dollar exchange rate is expected to increase the import demand in the coming periods. As we mentioned in our previous evaluation note, there are two other factors that negatively affect the course of growth. The first is declining investment spending for a while. The other is melting stocks. The decrease in these two variables can be interpreted as the expectations of the producing sectors for the future periods are not very positive.</w:t>
      </w:r>
    </w:p>
    <w:p w14:paraId="7B72995D" w14:textId="15B6B327" w:rsidR="00FC0279" w:rsidRDefault="00A0084D" w:rsidP="00A12631">
      <w:pPr>
        <w:pStyle w:val="NormalWeb"/>
        <w:spacing w:before="0" w:beforeAutospacing="0" w:after="0" w:afterAutospacing="0" w:line="360" w:lineRule="auto"/>
        <w:ind w:right="77"/>
        <w:rPr>
          <w:rFonts w:ascii="Palatino Linotype" w:hAnsi="Palatino Linotype" w:cstheme="minorHAnsi"/>
          <w:b/>
          <w:bCs/>
          <w:sz w:val="21"/>
          <w:szCs w:val="21"/>
          <w:lang w:val="en-US"/>
        </w:rPr>
      </w:pPr>
      <w:r>
        <w:rPr>
          <w:noProof/>
          <w:lang w:val="en-GB" w:eastAsia="en-GB"/>
        </w:rPr>
        <w:drawing>
          <wp:anchor distT="0" distB="0" distL="114300" distR="114300" simplePos="0" relativeHeight="251662336" behindDoc="0" locked="0" layoutInCell="1" allowOverlap="1" wp14:anchorId="6D50A64D" wp14:editId="63811803">
            <wp:simplePos x="0" y="0"/>
            <wp:positionH relativeFrom="margin">
              <wp:posOffset>-41910</wp:posOffset>
            </wp:positionH>
            <wp:positionV relativeFrom="paragraph">
              <wp:posOffset>179217</wp:posOffset>
            </wp:positionV>
            <wp:extent cx="5760720" cy="3045460"/>
            <wp:effectExtent l="0" t="0" r="11430" b="2540"/>
            <wp:wrapTopAndBottom/>
            <wp:docPr id="10" name="Chart 10">
              <a:extLst xmlns:a="http://schemas.openxmlformats.org/drawingml/2006/main">
                <a:ext uri="{FF2B5EF4-FFF2-40B4-BE49-F238E27FC236}">
                  <a16:creationId xmlns:a16="http://schemas.microsoft.com/office/drawing/2014/main" id="{6BBC39FF-3E2F-4628-A53E-D0F7BA1841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61C8E3D1" w14:textId="3FF8406B" w:rsidR="00A12631" w:rsidRPr="00155A64" w:rsidRDefault="00A12631" w:rsidP="00FC0279">
      <w:pPr>
        <w:pStyle w:val="NormalWeb"/>
        <w:spacing w:before="0" w:beforeAutospacing="0" w:after="0" w:afterAutospacing="0" w:line="360" w:lineRule="auto"/>
        <w:ind w:right="77"/>
        <w:jc w:val="both"/>
        <w:rPr>
          <w:rFonts w:ascii="Palatino Linotype" w:hAnsi="Palatino Linotype" w:cstheme="minorHAnsi"/>
          <w:b/>
          <w:bCs/>
          <w:sz w:val="21"/>
          <w:szCs w:val="21"/>
          <w:lang w:val="en-US"/>
        </w:rPr>
      </w:pPr>
      <w:r w:rsidRPr="00155A64">
        <w:rPr>
          <w:rFonts w:ascii="Palatino Linotype" w:hAnsi="Palatino Linotype" w:cstheme="minorHAnsi"/>
          <w:b/>
          <w:bCs/>
          <w:sz w:val="21"/>
          <w:szCs w:val="21"/>
          <w:lang w:val="en-US"/>
        </w:rPr>
        <w:t xml:space="preserve">Figure 2: GDP growth rates compared to the previous quarter and </w:t>
      </w:r>
      <w:r w:rsidR="00C50B4E">
        <w:rPr>
          <w:rFonts w:ascii="Palatino Linotype" w:hAnsi="Palatino Linotype" w:cstheme="minorHAnsi"/>
          <w:b/>
          <w:bCs/>
          <w:sz w:val="21"/>
          <w:szCs w:val="21"/>
          <w:lang w:val="en-US"/>
        </w:rPr>
        <w:t xml:space="preserve">the </w:t>
      </w:r>
      <w:r w:rsidRPr="00155A64">
        <w:rPr>
          <w:rFonts w:ascii="Palatino Linotype" w:hAnsi="Palatino Linotype" w:cstheme="minorHAnsi"/>
          <w:b/>
          <w:bCs/>
          <w:sz w:val="21"/>
          <w:szCs w:val="21"/>
          <w:lang w:val="en-US"/>
        </w:rPr>
        <w:t>same quarter of last year</w:t>
      </w:r>
      <w:r w:rsidRPr="00155A64">
        <w:rPr>
          <w:noProof/>
          <w:sz w:val="21"/>
          <w:szCs w:val="21"/>
          <w:lang w:val="en-US" w:eastAsia="en-GB"/>
        </w:rPr>
        <w:t xml:space="preserve"> </w:t>
      </w:r>
      <w:r w:rsidRPr="00155A64">
        <w:rPr>
          <w:noProof/>
          <w:lang w:val="en-US"/>
        </w:rPr>
        <w:t xml:space="preserve"> </w:t>
      </w:r>
    </w:p>
    <w:p w14:paraId="79047BBA" w14:textId="124C571D" w:rsidR="001A080D" w:rsidRPr="006679E6" w:rsidRDefault="00A12631" w:rsidP="00A12631">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155A64">
        <w:rPr>
          <w:rFonts w:ascii="Palatino Linotype" w:hAnsi="Palatino Linotype" w:cstheme="minorHAnsi"/>
          <w:sz w:val="18"/>
          <w:szCs w:val="18"/>
          <w:lang w:val="en-US"/>
        </w:rPr>
        <w:t>Source: TurkStat, Betam</w:t>
      </w:r>
    </w:p>
    <w:sectPr w:rsidR="001A080D" w:rsidRPr="006679E6"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E311" w14:textId="77777777" w:rsidR="00E85115" w:rsidRDefault="00E85115" w:rsidP="00DA0C5D">
      <w:r>
        <w:separator/>
      </w:r>
    </w:p>
  </w:endnote>
  <w:endnote w:type="continuationSeparator" w:id="0">
    <w:p w14:paraId="2EF5FFA7" w14:textId="77777777" w:rsidR="00E85115" w:rsidRDefault="00E85115"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C0E38" w14:textId="77777777" w:rsidR="00E85115" w:rsidRDefault="00E85115" w:rsidP="00DA0C5D">
      <w:r>
        <w:separator/>
      </w:r>
    </w:p>
  </w:footnote>
  <w:footnote w:type="continuationSeparator" w:id="0">
    <w:p w14:paraId="3661DA06" w14:textId="77777777" w:rsidR="00E85115" w:rsidRDefault="00E85115"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0391DF4D"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A170FB">
        <w:rPr>
          <w:rFonts w:ascii="Palatino Linotype" w:hAnsi="Palatino Linotype"/>
          <w:sz w:val="18"/>
          <w:szCs w:val="18"/>
        </w:rPr>
        <w:t>ugurcan.acar</w:t>
      </w:r>
      <w:r w:rsidRPr="001866FC">
        <w:rPr>
          <w:rFonts w:ascii="Palatino Linotype" w:hAnsi="Palatino Linotype"/>
          <w:sz w:val="18"/>
          <w:szCs w:val="18"/>
        </w:rPr>
        <w:t>@eas.bau.edu.tr</w:t>
      </w:r>
      <w:r>
        <w:t xml:space="preserve"> </w:t>
      </w:r>
    </w:p>
  </w:footnote>
  <w:footnote w:id="3">
    <w:p w14:paraId="02E4FAD1" w14:textId="1EDCF60B" w:rsidR="00494926" w:rsidRPr="008273F1" w:rsidRDefault="00494926">
      <w:pPr>
        <w:pStyle w:val="FootnoteText"/>
        <w:rPr>
          <w:lang w:val="en-US"/>
        </w:rPr>
      </w:pPr>
      <w:r w:rsidRPr="008273F1">
        <w:rPr>
          <w:rStyle w:val="FootnoteReference"/>
          <w:lang w:val="en-US"/>
        </w:rPr>
        <w:footnoteRef/>
      </w:r>
      <w:r w:rsidRPr="008273F1">
        <w:rPr>
          <w:lang w:val="en-US"/>
        </w:rPr>
        <w:t xml:space="preserve"> </w:t>
      </w:r>
      <w:r w:rsidR="008273F1" w:rsidRPr="008273F1">
        <w:rPr>
          <w:lang w:val="en-US"/>
        </w:rPr>
        <w:t>TurkStat uses the chained volume index method when calculating new national income series. The contribution to growth of the inventory change cannot be easily calculated because there is an additivity problem in the chain method and a chain index cannot be derived for the "changes in inventories". We discussed in detail in the research note that we recently published how to account for the contribution of inventory change to growth in the chain-volume index approach (see Betam Research Note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Q1MzcytDQzNrBU0lEKTi0uzszPAykwrgUAxT2duywAAAA="/>
  </w:docVars>
  <w:rsids>
    <w:rsidRoot w:val="00D07713"/>
    <w:rsid w:val="0000013E"/>
    <w:rsid w:val="0000228F"/>
    <w:rsid w:val="00006890"/>
    <w:rsid w:val="00007C3F"/>
    <w:rsid w:val="0001392F"/>
    <w:rsid w:val="000141C7"/>
    <w:rsid w:val="00017B51"/>
    <w:rsid w:val="00030A2C"/>
    <w:rsid w:val="00036770"/>
    <w:rsid w:val="000404B3"/>
    <w:rsid w:val="00041FB7"/>
    <w:rsid w:val="0004390D"/>
    <w:rsid w:val="00044AF3"/>
    <w:rsid w:val="00044D9E"/>
    <w:rsid w:val="0004588B"/>
    <w:rsid w:val="000466FF"/>
    <w:rsid w:val="0005290F"/>
    <w:rsid w:val="00052B86"/>
    <w:rsid w:val="00054943"/>
    <w:rsid w:val="00055EA1"/>
    <w:rsid w:val="000561F7"/>
    <w:rsid w:val="00057F8E"/>
    <w:rsid w:val="00061936"/>
    <w:rsid w:val="00062A8A"/>
    <w:rsid w:val="000652B6"/>
    <w:rsid w:val="00070018"/>
    <w:rsid w:val="000725DB"/>
    <w:rsid w:val="00073415"/>
    <w:rsid w:val="00073E72"/>
    <w:rsid w:val="000753CE"/>
    <w:rsid w:val="000769CF"/>
    <w:rsid w:val="000772A5"/>
    <w:rsid w:val="00080211"/>
    <w:rsid w:val="00080336"/>
    <w:rsid w:val="00081C81"/>
    <w:rsid w:val="00085271"/>
    <w:rsid w:val="00087011"/>
    <w:rsid w:val="000905E5"/>
    <w:rsid w:val="00091F3E"/>
    <w:rsid w:val="00096CDA"/>
    <w:rsid w:val="00097794"/>
    <w:rsid w:val="000978C8"/>
    <w:rsid w:val="000A05ED"/>
    <w:rsid w:val="000A3019"/>
    <w:rsid w:val="000A612E"/>
    <w:rsid w:val="000A770F"/>
    <w:rsid w:val="000B0D12"/>
    <w:rsid w:val="000B0FC1"/>
    <w:rsid w:val="000B45D6"/>
    <w:rsid w:val="000C1672"/>
    <w:rsid w:val="000C5C80"/>
    <w:rsid w:val="000C634D"/>
    <w:rsid w:val="000D5FD3"/>
    <w:rsid w:val="000D6E6C"/>
    <w:rsid w:val="000D70D1"/>
    <w:rsid w:val="000E2388"/>
    <w:rsid w:val="000E3805"/>
    <w:rsid w:val="000E445D"/>
    <w:rsid w:val="000F0B6B"/>
    <w:rsid w:val="000F28B9"/>
    <w:rsid w:val="000F2C7A"/>
    <w:rsid w:val="000F378E"/>
    <w:rsid w:val="000F6529"/>
    <w:rsid w:val="001004FF"/>
    <w:rsid w:val="0010209C"/>
    <w:rsid w:val="00111CED"/>
    <w:rsid w:val="00114BBE"/>
    <w:rsid w:val="0011613D"/>
    <w:rsid w:val="001163CA"/>
    <w:rsid w:val="001239FD"/>
    <w:rsid w:val="0012527F"/>
    <w:rsid w:val="00125770"/>
    <w:rsid w:val="00126200"/>
    <w:rsid w:val="001272BD"/>
    <w:rsid w:val="00130D73"/>
    <w:rsid w:val="001314B0"/>
    <w:rsid w:val="00132910"/>
    <w:rsid w:val="00140468"/>
    <w:rsid w:val="00143F17"/>
    <w:rsid w:val="0014542A"/>
    <w:rsid w:val="00150D02"/>
    <w:rsid w:val="00150FFB"/>
    <w:rsid w:val="001527FA"/>
    <w:rsid w:val="001537D8"/>
    <w:rsid w:val="001540B7"/>
    <w:rsid w:val="0016084A"/>
    <w:rsid w:val="00160880"/>
    <w:rsid w:val="001648AB"/>
    <w:rsid w:val="00173CB3"/>
    <w:rsid w:val="001744CD"/>
    <w:rsid w:val="00176914"/>
    <w:rsid w:val="00177002"/>
    <w:rsid w:val="001777A4"/>
    <w:rsid w:val="00184174"/>
    <w:rsid w:val="00184B02"/>
    <w:rsid w:val="001851FE"/>
    <w:rsid w:val="001855BC"/>
    <w:rsid w:val="001866FC"/>
    <w:rsid w:val="00190944"/>
    <w:rsid w:val="00194FF2"/>
    <w:rsid w:val="001978A0"/>
    <w:rsid w:val="001A080D"/>
    <w:rsid w:val="001A42FF"/>
    <w:rsid w:val="001A5699"/>
    <w:rsid w:val="001B1A85"/>
    <w:rsid w:val="001B371C"/>
    <w:rsid w:val="001B3A44"/>
    <w:rsid w:val="001B79D6"/>
    <w:rsid w:val="001C2763"/>
    <w:rsid w:val="001C2C68"/>
    <w:rsid w:val="001C65BF"/>
    <w:rsid w:val="001C7370"/>
    <w:rsid w:val="001D0150"/>
    <w:rsid w:val="001D2107"/>
    <w:rsid w:val="001D36E7"/>
    <w:rsid w:val="001D420E"/>
    <w:rsid w:val="001D5B02"/>
    <w:rsid w:val="001D6465"/>
    <w:rsid w:val="001D7073"/>
    <w:rsid w:val="001D7513"/>
    <w:rsid w:val="001D7863"/>
    <w:rsid w:val="001E181B"/>
    <w:rsid w:val="001E2E49"/>
    <w:rsid w:val="001E495B"/>
    <w:rsid w:val="001E514D"/>
    <w:rsid w:val="001E72E4"/>
    <w:rsid w:val="001F12E3"/>
    <w:rsid w:val="001F1554"/>
    <w:rsid w:val="001F2DE9"/>
    <w:rsid w:val="001F5841"/>
    <w:rsid w:val="001F7B1D"/>
    <w:rsid w:val="001F7BC7"/>
    <w:rsid w:val="00201E79"/>
    <w:rsid w:val="00202302"/>
    <w:rsid w:val="00205844"/>
    <w:rsid w:val="00206F72"/>
    <w:rsid w:val="002106DF"/>
    <w:rsid w:val="00211E95"/>
    <w:rsid w:val="00212579"/>
    <w:rsid w:val="00212782"/>
    <w:rsid w:val="00214914"/>
    <w:rsid w:val="00214B5E"/>
    <w:rsid w:val="0022637C"/>
    <w:rsid w:val="0022673E"/>
    <w:rsid w:val="00232635"/>
    <w:rsid w:val="00232745"/>
    <w:rsid w:val="002343A8"/>
    <w:rsid w:val="00235DBE"/>
    <w:rsid w:val="00241944"/>
    <w:rsid w:val="00242C10"/>
    <w:rsid w:val="00247A3C"/>
    <w:rsid w:val="0025111C"/>
    <w:rsid w:val="00253E19"/>
    <w:rsid w:val="00265553"/>
    <w:rsid w:val="002663FD"/>
    <w:rsid w:val="002676CD"/>
    <w:rsid w:val="00267F48"/>
    <w:rsid w:val="00270A75"/>
    <w:rsid w:val="002714F9"/>
    <w:rsid w:val="00272912"/>
    <w:rsid w:val="002729B4"/>
    <w:rsid w:val="002755D9"/>
    <w:rsid w:val="00275745"/>
    <w:rsid w:val="002804E5"/>
    <w:rsid w:val="00282242"/>
    <w:rsid w:val="002829BC"/>
    <w:rsid w:val="002847DE"/>
    <w:rsid w:val="0028498B"/>
    <w:rsid w:val="0029215C"/>
    <w:rsid w:val="00293D43"/>
    <w:rsid w:val="00295E9A"/>
    <w:rsid w:val="0029623C"/>
    <w:rsid w:val="0029624E"/>
    <w:rsid w:val="002A037D"/>
    <w:rsid w:val="002A07A9"/>
    <w:rsid w:val="002A16BA"/>
    <w:rsid w:val="002A57DB"/>
    <w:rsid w:val="002A69AD"/>
    <w:rsid w:val="002A7C37"/>
    <w:rsid w:val="002B2172"/>
    <w:rsid w:val="002B2A1B"/>
    <w:rsid w:val="002B3C10"/>
    <w:rsid w:val="002B4A1A"/>
    <w:rsid w:val="002C00A1"/>
    <w:rsid w:val="002C4CC7"/>
    <w:rsid w:val="002C4E2F"/>
    <w:rsid w:val="002C5C24"/>
    <w:rsid w:val="002C64BB"/>
    <w:rsid w:val="002D1797"/>
    <w:rsid w:val="002D4D2D"/>
    <w:rsid w:val="002E555E"/>
    <w:rsid w:val="002F2245"/>
    <w:rsid w:val="002F26B4"/>
    <w:rsid w:val="002F2D70"/>
    <w:rsid w:val="002F3163"/>
    <w:rsid w:val="002F63B2"/>
    <w:rsid w:val="00302EDD"/>
    <w:rsid w:val="003061DC"/>
    <w:rsid w:val="003079ED"/>
    <w:rsid w:val="00310C5C"/>
    <w:rsid w:val="00311EFF"/>
    <w:rsid w:val="00313311"/>
    <w:rsid w:val="003162CB"/>
    <w:rsid w:val="003172DB"/>
    <w:rsid w:val="003208E6"/>
    <w:rsid w:val="0032176F"/>
    <w:rsid w:val="00321D78"/>
    <w:rsid w:val="0032280F"/>
    <w:rsid w:val="0032324A"/>
    <w:rsid w:val="00324C51"/>
    <w:rsid w:val="00325894"/>
    <w:rsid w:val="00326195"/>
    <w:rsid w:val="00326678"/>
    <w:rsid w:val="00327CFB"/>
    <w:rsid w:val="00334E27"/>
    <w:rsid w:val="0033649B"/>
    <w:rsid w:val="00344A74"/>
    <w:rsid w:val="003464FE"/>
    <w:rsid w:val="00347AE9"/>
    <w:rsid w:val="00351F12"/>
    <w:rsid w:val="00362359"/>
    <w:rsid w:val="00364AAB"/>
    <w:rsid w:val="00370A07"/>
    <w:rsid w:val="00370FEE"/>
    <w:rsid w:val="00375EB0"/>
    <w:rsid w:val="003771C7"/>
    <w:rsid w:val="003777B5"/>
    <w:rsid w:val="00385A29"/>
    <w:rsid w:val="00385C7B"/>
    <w:rsid w:val="003967B5"/>
    <w:rsid w:val="003A4849"/>
    <w:rsid w:val="003A488B"/>
    <w:rsid w:val="003A4C32"/>
    <w:rsid w:val="003A7596"/>
    <w:rsid w:val="003B2008"/>
    <w:rsid w:val="003B2D0B"/>
    <w:rsid w:val="003C267D"/>
    <w:rsid w:val="003C2891"/>
    <w:rsid w:val="003C65A1"/>
    <w:rsid w:val="003C795F"/>
    <w:rsid w:val="003D4202"/>
    <w:rsid w:val="003D44CE"/>
    <w:rsid w:val="003D4627"/>
    <w:rsid w:val="003E1EED"/>
    <w:rsid w:val="003E3299"/>
    <w:rsid w:val="003E3EDF"/>
    <w:rsid w:val="003E5C0F"/>
    <w:rsid w:val="003F00A9"/>
    <w:rsid w:val="003F4E89"/>
    <w:rsid w:val="003F6C2B"/>
    <w:rsid w:val="004017B2"/>
    <w:rsid w:val="00401813"/>
    <w:rsid w:val="0040374C"/>
    <w:rsid w:val="004040C3"/>
    <w:rsid w:val="00405BD8"/>
    <w:rsid w:val="00407C84"/>
    <w:rsid w:val="00416A4B"/>
    <w:rsid w:val="00417F6E"/>
    <w:rsid w:val="00422850"/>
    <w:rsid w:val="00424382"/>
    <w:rsid w:val="00431236"/>
    <w:rsid w:val="00431C38"/>
    <w:rsid w:val="00433A75"/>
    <w:rsid w:val="0044116A"/>
    <w:rsid w:val="004426B4"/>
    <w:rsid w:val="004435E3"/>
    <w:rsid w:val="00443C08"/>
    <w:rsid w:val="00447743"/>
    <w:rsid w:val="00450CEA"/>
    <w:rsid w:val="00451A8A"/>
    <w:rsid w:val="004623F2"/>
    <w:rsid w:val="004647F0"/>
    <w:rsid w:val="00476131"/>
    <w:rsid w:val="00476E22"/>
    <w:rsid w:val="00477AED"/>
    <w:rsid w:val="00480684"/>
    <w:rsid w:val="00483EC5"/>
    <w:rsid w:val="0048774D"/>
    <w:rsid w:val="00490AAE"/>
    <w:rsid w:val="00492020"/>
    <w:rsid w:val="004931A5"/>
    <w:rsid w:val="00494926"/>
    <w:rsid w:val="004A4910"/>
    <w:rsid w:val="004B0D97"/>
    <w:rsid w:val="004B130D"/>
    <w:rsid w:val="004B6E05"/>
    <w:rsid w:val="004B7166"/>
    <w:rsid w:val="004C548E"/>
    <w:rsid w:val="004D1FAD"/>
    <w:rsid w:val="004D583E"/>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3359"/>
    <w:rsid w:val="005150C1"/>
    <w:rsid w:val="00521326"/>
    <w:rsid w:val="005225E0"/>
    <w:rsid w:val="00530B9F"/>
    <w:rsid w:val="0053582F"/>
    <w:rsid w:val="0053586E"/>
    <w:rsid w:val="005412B2"/>
    <w:rsid w:val="0054145E"/>
    <w:rsid w:val="00542345"/>
    <w:rsid w:val="005438B0"/>
    <w:rsid w:val="00544773"/>
    <w:rsid w:val="005600E7"/>
    <w:rsid w:val="00561710"/>
    <w:rsid w:val="005635AF"/>
    <w:rsid w:val="00566223"/>
    <w:rsid w:val="00570C1B"/>
    <w:rsid w:val="00572FD8"/>
    <w:rsid w:val="005748A8"/>
    <w:rsid w:val="005814C0"/>
    <w:rsid w:val="005824BD"/>
    <w:rsid w:val="0058588C"/>
    <w:rsid w:val="00586424"/>
    <w:rsid w:val="00593041"/>
    <w:rsid w:val="00594669"/>
    <w:rsid w:val="005A2246"/>
    <w:rsid w:val="005A3B33"/>
    <w:rsid w:val="005A617F"/>
    <w:rsid w:val="005B35F3"/>
    <w:rsid w:val="005B438A"/>
    <w:rsid w:val="005B67B3"/>
    <w:rsid w:val="005C00FE"/>
    <w:rsid w:val="005C08B0"/>
    <w:rsid w:val="005C4436"/>
    <w:rsid w:val="005C51D9"/>
    <w:rsid w:val="005C6245"/>
    <w:rsid w:val="005D00FB"/>
    <w:rsid w:val="005D27F8"/>
    <w:rsid w:val="005D2979"/>
    <w:rsid w:val="005D3C96"/>
    <w:rsid w:val="005D4126"/>
    <w:rsid w:val="005D72F5"/>
    <w:rsid w:val="005D7F3E"/>
    <w:rsid w:val="005E2717"/>
    <w:rsid w:val="005E458B"/>
    <w:rsid w:val="005E49F0"/>
    <w:rsid w:val="005F0C29"/>
    <w:rsid w:val="005F0FF9"/>
    <w:rsid w:val="005F26AF"/>
    <w:rsid w:val="005F60F3"/>
    <w:rsid w:val="005F63C3"/>
    <w:rsid w:val="005F69B2"/>
    <w:rsid w:val="005F7787"/>
    <w:rsid w:val="00602C2B"/>
    <w:rsid w:val="0060593A"/>
    <w:rsid w:val="00610889"/>
    <w:rsid w:val="00610EAA"/>
    <w:rsid w:val="0061333E"/>
    <w:rsid w:val="006138F0"/>
    <w:rsid w:val="00613D1F"/>
    <w:rsid w:val="0061410A"/>
    <w:rsid w:val="00625B95"/>
    <w:rsid w:val="006268DA"/>
    <w:rsid w:val="00630E99"/>
    <w:rsid w:val="006318CD"/>
    <w:rsid w:val="00631D5B"/>
    <w:rsid w:val="00632221"/>
    <w:rsid w:val="006324E3"/>
    <w:rsid w:val="00632CF6"/>
    <w:rsid w:val="0064012D"/>
    <w:rsid w:val="00643113"/>
    <w:rsid w:val="006432C9"/>
    <w:rsid w:val="006439C5"/>
    <w:rsid w:val="00643F5D"/>
    <w:rsid w:val="0064483B"/>
    <w:rsid w:val="00645147"/>
    <w:rsid w:val="00647318"/>
    <w:rsid w:val="0064747F"/>
    <w:rsid w:val="00647792"/>
    <w:rsid w:val="00650BB3"/>
    <w:rsid w:val="006549E3"/>
    <w:rsid w:val="00655938"/>
    <w:rsid w:val="00655B95"/>
    <w:rsid w:val="006569B5"/>
    <w:rsid w:val="00657B23"/>
    <w:rsid w:val="00664F82"/>
    <w:rsid w:val="006679E6"/>
    <w:rsid w:val="0067008D"/>
    <w:rsid w:val="0067066F"/>
    <w:rsid w:val="006761BB"/>
    <w:rsid w:val="0067693E"/>
    <w:rsid w:val="00680AE4"/>
    <w:rsid w:val="00680E36"/>
    <w:rsid w:val="00681022"/>
    <w:rsid w:val="006813D8"/>
    <w:rsid w:val="00681AD9"/>
    <w:rsid w:val="00694B4D"/>
    <w:rsid w:val="00694F52"/>
    <w:rsid w:val="00695471"/>
    <w:rsid w:val="006A201E"/>
    <w:rsid w:val="006A308B"/>
    <w:rsid w:val="006B0633"/>
    <w:rsid w:val="006C122C"/>
    <w:rsid w:val="006C3DFE"/>
    <w:rsid w:val="006C3EE6"/>
    <w:rsid w:val="006C49A7"/>
    <w:rsid w:val="006D02FD"/>
    <w:rsid w:val="006D160C"/>
    <w:rsid w:val="006D1DD6"/>
    <w:rsid w:val="006D32A0"/>
    <w:rsid w:val="006E07BA"/>
    <w:rsid w:val="006F0FC6"/>
    <w:rsid w:val="006F1912"/>
    <w:rsid w:val="006F2CD8"/>
    <w:rsid w:val="006F49E7"/>
    <w:rsid w:val="006F5E82"/>
    <w:rsid w:val="006F615A"/>
    <w:rsid w:val="007011B6"/>
    <w:rsid w:val="0070188F"/>
    <w:rsid w:val="00703D6B"/>
    <w:rsid w:val="00707FBD"/>
    <w:rsid w:val="007117F1"/>
    <w:rsid w:val="00711A8A"/>
    <w:rsid w:val="007135FC"/>
    <w:rsid w:val="007201BD"/>
    <w:rsid w:val="00720250"/>
    <w:rsid w:val="007224AF"/>
    <w:rsid w:val="00724E7C"/>
    <w:rsid w:val="00726C51"/>
    <w:rsid w:val="00731521"/>
    <w:rsid w:val="007362AC"/>
    <w:rsid w:val="0074205B"/>
    <w:rsid w:val="0075142F"/>
    <w:rsid w:val="00751F72"/>
    <w:rsid w:val="007559DB"/>
    <w:rsid w:val="00761711"/>
    <w:rsid w:val="00765445"/>
    <w:rsid w:val="0077111C"/>
    <w:rsid w:val="007715F2"/>
    <w:rsid w:val="00773A17"/>
    <w:rsid w:val="00773D69"/>
    <w:rsid w:val="00773D8B"/>
    <w:rsid w:val="00776789"/>
    <w:rsid w:val="00777AEF"/>
    <w:rsid w:val="00783CD4"/>
    <w:rsid w:val="0079216E"/>
    <w:rsid w:val="00792F4E"/>
    <w:rsid w:val="00797437"/>
    <w:rsid w:val="007A0630"/>
    <w:rsid w:val="007A0DBE"/>
    <w:rsid w:val="007A1767"/>
    <w:rsid w:val="007A2E24"/>
    <w:rsid w:val="007A5FB1"/>
    <w:rsid w:val="007B5A28"/>
    <w:rsid w:val="007B70AD"/>
    <w:rsid w:val="007C1995"/>
    <w:rsid w:val="007C462A"/>
    <w:rsid w:val="007D4953"/>
    <w:rsid w:val="007F13F2"/>
    <w:rsid w:val="007F39BB"/>
    <w:rsid w:val="007F3B7C"/>
    <w:rsid w:val="007F3C9B"/>
    <w:rsid w:val="008057C2"/>
    <w:rsid w:val="008063E6"/>
    <w:rsid w:val="0081114C"/>
    <w:rsid w:val="008151D2"/>
    <w:rsid w:val="0081589C"/>
    <w:rsid w:val="00817A10"/>
    <w:rsid w:val="008273F1"/>
    <w:rsid w:val="008275A8"/>
    <w:rsid w:val="00830B62"/>
    <w:rsid w:val="008312F9"/>
    <w:rsid w:val="00832402"/>
    <w:rsid w:val="00835D87"/>
    <w:rsid w:val="0083655C"/>
    <w:rsid w:val="00837B95"/>
    <w:rsid w:val="00841183"/>
    <w:rsid w:val="00841E4C"/>
    <w:rsid w:val="00844C00"/>
    <w:rsid w:val="00844C47"/>
    <w:rsid w:val="0084500C"/>
    <w:rsid w:val="00845815"/>
    <w:rsid w:val="00845A54"/>
    <w:rsid w:val="0084623F"/>
    <w:rsid w:val="008469D3"/>
    <w:rsid w:val="00852075"/>
    <w:rsid w:val="00856B55"/>
    <w:rsid w:val="00857C0E"/>
    <w:rsid w:val="0086495E"/>
    <w:rsid w:val="00865CE6"/>
    <w:rsid w:val="0086789C"/>
    <w:rsid w:val="00867DEE"/>
    <w:rsid w:val="0087023B"/>
    <w:rsid w:val="00870A3F"/>
    <w:rsid w:val="008753B3"/>
    <w:rsid w:val="0088079F"/>
    <w:rsid w:val="00881E18"/>
    <w:rsid w:val="0088270D"/>
    <w:rsid w:val="00884819"/>
    <w:rsid w:val="0089048A"/>
    <w:rsid w:val="008914E6"/>
    <w:rsid w:val="0089158B"/>
    <w:rsid w:val="00891C6B"/>
    <w:rsid w:val="00893320"/>
    <w:rsid w:val="008945AE"/>
    <w:rsid w:val="008949E0"/>
    <w:rsid w:val="008A3BD9"/>
    <w:rsid w:val="008B0385"/>
    <w:rsid w:val="008B29F8"/>
    <w:rsid w:val="008B6FC3"/>
    <w:rsid w:val="008C51CA"/>
    <w:rsid w:val="008C56F9"/>
    <w:rsid w:val="008C70C5"/>
    <w:rsid w:val="008C73E6"/>
    <w:rsid w:val="008D19E5"/>
    <w:rsid w:val="008D5E07"/>
    <w:rsid w:val="008D7AA2"/>
    <w:rsid w:val="008F1741"/>
    <w:rsid w:val="008F2BCD"/>
    <w:rsid w:val="008F7702"/>
    <w:rsid w:val="00902A07"/>
    <w:rsid w:val="00905810"/>
    <w:rsid w:val="00912A8A"/>
    <w:rsid w:val="00914D26"/>
    <w:rsid w:val="0091617E"/>
    <w:rsid w:val="00916533"/>
    <w:rsid w:val="00916C78"/>
    <w:rsid w:val="00917330"/>
    <w:rsid w:val="009204AA"/>
    <w:rsid w:val="00920878"/>
    <w:rsid w:val="00920DA2"/>
    <w:rsid w:val="00922059"/>
    <w:rsid w:val="0092255D"/>
    <w:rsid w:val="0092349F"/>
    <w:rsid w:val="009247BA"/>
    <w:rsid w:val="00924CD9"/>
    <w:rsid w:val="00927D28"/>
    <w:rsid w:val="00935D6E"/>
    <w:rsid w:val="00936595"/>
    <w:rsid w:val="009400E0"/>
    <w:rsid w:val="00940150"/>
    <w:rsid w:val="00940DA9"/>
    <w:rsid w:val="0094295F"/>
    <w:rsid w:val="009455F2"/>
    <w:rsid w:val="00945950"/>
    <w:rsid w:val="00955DC8"/>
    <w:rsid w:val="00955E90"/>
    <w:rsid w:val="00957FE5"/>
    <w:rsid w:val="00961F5B"/>
    <w:rsid w:val="00963B04"/>
    <w:rsid w:val="009663D6"/>
    <w:rsid w:val="00981D42"/>
    <w:rsid w:val="00982B22"/>
    <w:rsid w:val="0098310A"/>
    <w:rsid w:val="00983612"/>
    <w:rsid w:val="0098616F"/>
    <w:rsid w:val="00990E34"/>
    <w:rsid w:val="009928D9"/>
    <w:rsid w:val="00996151"/>
    <w:rsid w:val="00996EBD"/>
    <w:rsid w:val="00997694"/>
    <w:rsid w:val="00997713"/>
    <w:rsid w:val="00997C54"/>
    <w:rsid w:val="009A71AF"/>
    <w:rsid w:val="009B07DD"/>
    <w:rsid w:val="009B1546"/>
    <w:rsid w:val="009B16AD"/>
    <w:rsid w:val="009B2E56"/>
    <w:rsid w:val="009B3197"/>
    <w:rsid w:val="009B385A"/>
    <w:rsid w:val="009B651F"/>
    <w:rsid w:val="009C2C5D"/>
    <w:rsid w:val="009C40EF"/>
    <w:rsid w:val="009C66C3"/>
    <w:rsid w:val="009D62AC"/>
    <w:rsid w:val="009D71BF"/>
    <w:rsid w:val="009E0348"/>
    <w:rsid w:val="009E25DA"/>
    <w:rsid w:val="009E2AA5"/>
    <w:rsid w:val="009E5241"/>
    <w:rsid w:val="009E68C6"/>
    <w:rsid w:val="009F23C4"/>
    <w:rsid w:val="009F2483"/>
    <w:rsid w:val="009F42CC"/>
    <w:rsid w:val="009F603E"/>
    <w:rsid w:val="00A0084D"/>
    <w:rsid w:val="00A0130D"/>
    <w:rsid w:val="00A03316"/>
    <w:rsid w:val="00A0483D"/>
    <w:rsid w:val="00A04EFA"/>
    <w:rsid w:val="00A06A3E"/>
    <w:rsid w:val="00A10891"/>
    <w:rsid w:val="00A109C3"/>
    <w:rsid w:val="00A12631"/>
    <w:rsid w:val="00A15DC3"/>
    <w:rsid w:val="00A170FB"/>
    <w:rsid w:val="00A2147D"/>
    <w:rsid w:val="00A251CD"/>
    <w:rsid w:val="00A25823"/>
    <w:rsid w:val="00A2601A"/>
    <w:rsid w:val="00A303D5"/>
    <w:rsid w:val="00A3095F"/>
    <w:rsid w:val="00A310EA"/>
    <w:rsid w:val="00A322AA"/>
    <w:rsid w:val="00A327F6"/>
    <w:rsid w:val="00A33E71"/>
    <w:rsid w:val="00A34DB9"/>
    <w:rsid w:val="00A40E31"/>
    <w:rsid w:val="00A444F9"/>
    <w:rsid w:val="00A46C4A"/>
    <w:rsid w:val="00A50FB7"/>
    <w:rsid w:val="00A6009C"/>
    <w:rsid w:val="00A603B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96DDC"/>
    <w:rsid w:val="00AA1706"/>
    <w:rsid w:val="00AA187A"/>
    <w:rsid w:val="00AA5024"/>
    <w:rsid w:val="00AA678E"/>
    <w:rsid w:val="00AA75BD"/>
    <w:rsid w:val="00AB1006"/>
    <w:rsid w:val="00AB36F7"/>
    <w:rsid w:val="00AB63B9"/>
    <w:rsid w:val="00AC2B3D"/>
    <w:rsid w:val="00AC59ED"/>
    <w:rsid w:val="00AD01B6"/>
    <w:rsid w:val="00AD7ADC"/>
    <w:rsid w:val="00AE0998"/>
    <w:rsid w:val="00AE0D6A"/>
    <w:rsid w:val="00AE59EE"/>
    <w:rsid w:val="00AF3D11"/>
    <w:rsid w:val="00AF78D0"/>
    <w:rsid w:val="00B01508"/>
    <w:rsid w:val="00B01533"/>
    <w:rsid w:val="00B02076"/>
    <w:rsid w:val="00B02D74"/>
    <w:rsid w:val="00B119E3"/>
    <w:rsid w:val="00B17241"/>
    <w:rsid w:val="00B17B6A"/>
    <w:rsid w:val="00B215AC"/>
    <w:rsid w:val="00B24D13"/>
    <w:rsid w:val="00B27C9F"/>
    <w:rsid w:val="00B31FC9"/>
    <w:rsid w:val="00B34132"/>
    <w:rsid w:val="00B35FDB"/>
    <w:rsid w:val="00B366B7"/>
    <w:rsid w:val="00B36BFA"/>
    <w:rsid w:val="00B45DFF"/>
    <w:rsid w:val="00B4685F"/>
    <w:rsid w:val="00B5190A"/>
    <w:rsid w:val="00B56D03"/>
    <w:rsid w:val="00B62037"/>
    <w:rsid w:val="00B703DE"/>
    <w:rsid w:val="00B74E5B"/>
    <w:rsid w:val="00B765FF"/>
    <w:rsid w:val="00B76782"/>
    <w:rsid w:val="00B82B92"/>
    <w:rsid w:val="00B9319A"/>
    <w:rsid w:val="00B95E66"/>
    <w:rsid w:val="00BA3C62"/>
    <w:rsid w:val="00BA5FF0"/>
    <w:rsid w:val="00BA7E44"/>
    <w:rsid w:val="00BB0912"/>
    <w:rsid w:val="00BB1741"/>
    <w:rsid w:val="00BB3448"/>
    <w:rsid w:val="00BB3FE6"/>
    <w:rsid w:val="00BB5725"/>
    <w:rsid w:val="00BC02B8"/>
    <w:rsid w:val="00BC1EF8"/>
    <w:rsid w:val="00BD00B2"/>
    <w:rsid w:val="00BD51DF"/>
    <w:rsid w:val="00BD6621"/>
    <w:rsid w:val="00BD6EC8"/>
    <w:rsid w:val="00BD7F4E"/>
    <w:rsid w:val="00BE013E"/>
    <w:rsid w:val="00BE06CE"/>
    <w:rsid w:val="00BE1622"/>
    <w:rsid w:val="00BE280E"/>
    <w:rsid w:val="00BE6CCA"/>
    <w:rsid w:val="00BE7C49"/>
    <w:rsid w:val="00BF1EC4"/>
    <w:rsid w:val="00BF59B3"/>
    <w:rsid w:val="00C066D2"/>
    <w:rsid w:val="00C11B5A"/>
    <w:rsid w:val="00C126FC"/>
    <w:rsid w:val="00C1422A"/>
    <w:rsid w:val="00C14C86"/>
    <w:rsid w:val="00C14FC9"/>
    <w:rsid w:val="00C167CC"/>
    <w:rsid w:val="00C20582"/>
    <w:rsid w:val="00C21E02"/>
    <w:rsid w:val="00C26ED1"/>
    <w:rsid w:val="00C271FA"/>
    <w:rsid w:val="00C32789"/>
    <w:rsid w:val="00C33B78"/>
    <w:rsid w:val="00C34C5C"/>
    <w:rsid w:val="00C35660"/>
    <w:rsid w:val="00C425A1"/>
    <w:rsid w:val="00C42979"/>
    <w:rsid w:val="00C43EBE"/>
    <w:rsid w:val="00C45966"/>
    <w:rsid w:val="00C5056E"/>
    <w:rsid w:val="00C50B4E"/>
    <w:rsid w:val="00C50FD5"/>
    <w:rsid w:val="00C51F7B"/>
    <w:rsid w:val="00C53444"/>
    <w:rsid w:val="00C56C6E"/>
    <w:rsid w:val="00C57749"/>
    <w:rsid w:val="00C60221"/>
    <w:rsid w:val="00C6130D"/>
    <w:rsid w:val="00C7220A"/>
    <w:rsid w:val="00C73CC1"/>
    <w:rsid w:val="00C742C7"/>
    <w:rsid w:val="00C754E1"/>
    <w:rsid w:val="00C7698F"/>
    <w:rsid w:val="00C807B2"/>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B76B6"/>
    <w:rsid w:val="00CC0355"/>
    <w:rsid w:val="00CC3EAD"/>
    <w:rsid w:val="00CC44D3"/>
    <w:rsid w:val="00CC5784"/>
    <w:rsid w:val="00CC79C0"/>
    <w:rsid w:val="00CC7C34"/>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00DB"/>
    <w:rsid w:val="00D24254"/>
    <w:rsid w:val="00D257C1"/>
    <w:rsid w:val="00D314F9"/>
    <w:rsid w:val="00D31807"/>
    <w:rsid w:val="00D32C5D"/>
    <w:rsid w:val="00D34702"/>
    <w:rsid w:val="00D406AA"/>
    <w:rsid w:val="00D4418E"/>
    <w:rsid w:val="00D44562"/>
    <w:rsid w:val="00D45167"/>
    <w:rsid w:val="00D4574F"/>
    <w:rsid w:val="00D463B7"/>
    <w:rsid w:val="00D46CA0"/>
    <w:rsid w:val="00D4719D"/>
    <w:rsid w:val="00D50220"/>
    <w:rsid w:val="00D53424"/>
    <w:rsid w:val="00D54395"/>
    <w:rsid w:val="00D57B0A"/>
    <w:rsid w:val="00D60AAF"/>
    <w:rsid w:val="00D63430"/>
    <w:rsid w:val="00D64700"/>
    <w:rsid w:val="00D65247"/>
    <w:rsid w:val="00D65AAD"/>
    <w:rsid w:val="00D67514"/>
    <w:rsid w:val="00D67F66"/>
    <w:rsid w:val="00D732A9"/>
    <w:rsid w:val="00D76361"/>
    <w:rsid w:val="00D803A1"/>
    <w:rsid w:val="00D90931"/>
    <w:rsid w:val="00D92A1A"/>
    <w:rsid w:val="00D92C07"/>
    <w:rsid w:val="00D942BE"/>
    <w:rsid w:val="00D94A3B"/>
    <w:rsid w:val="00D95EA2"/>
    <w:rsid w:val="00D9649B"/>
    <w:rsid w:val="00D976E9"/>
    <w:rsid w:val="00DA0C5D"/>
    <w:rsid w:val="00DA5524"/>
    <w:rsid w:val="00DA618C"/>
    <w:rsid w:val="00DA6E52"/>
    <w:rsid w:val="00DB4A16"/>
    <w:rsid w:val="00DB5024"/>
    <w:rsid w:val="00DB5518"/>
    <w:rsid w:val="00DB5EFB"/>
    <w:rsid w:val="00DB6C1E"/>
    <w:rsid w:val="00DC0B1C"/>
    <w:rsid w:val="00DC2AAD"/>
    <w:rsid w:val="00DC2EE6"/>
    <w:rsid w:val="00DC47DA"/>
    <w:rsid w:val="00DD2D75"/>
    <w:rsid w:val="00DD4D85"/>
    <w:rsid w:val="00DE57B8"/>
    <w:rsid w:val="00DE5907"/>
    <w:rsid w:val="00DF0251"/>
    <w:rsid w:val="00DF08BD"/>
    <w:rsid w:val="00DF1057"/>
    <w:rsid w:val="00DF44DE"/>
    <w:rsid w:val="00E04EFE"/>
    <w:rsid w:val="00E05DE7"/>
    <w:rsid w:val="00E0602A"/>
    <w:rsid w:val="00E109EA"/>
    <w:rsid w:val="00E122C5"/>
    <w:rsid w:val="00E21E9E"/>
    <w:rsid w:val="00E23E54"/>
    <w:rsid w:val="00E25A25"/>
    <w:rsid w:val="00E265D5"/>
    <w:rsid w:val="00E271BB"/>
    <w:rsid w:val="00E306CB"/>
    <w:rsid w:val="00E35120"/>
    <w:rsid w:val="00E3778C"/>
    <w:rsid w:val="00E37C95"/>
    <w:rsid w:val="00E40BEF"/>
    <w:rsid w:val="00E40CBC"/>
    <w:rsid w:val="00E40DD5"/>
    <w:rsid w:val="00E41840"/>
    <w:rsid w:val="00E4681E"/>
    <w:rsid w:val="00E540BC"/>
    <w:rsid w:val="00E565C5"/>
    <w:rsid w:val="00E57043"/>
    <w:rsid w:val="00E5723B"/>
    <w:rsid w:val="00E631F0"/>
    <w:rsid w:val="00E632EE"/>
    <w:rsid w:val="00E634D2"/>
    <w:rsid w:val="00E667CB"/>
    <w:rsid w:val="00E67DCD"/>
    <w:rsid w:val="00E750CC"/>
    <w:rsid w:val="00E77CAA"/>
    <w:rsid w:val="00E82940"/>
    <w:rsid w:val="00E83A84"/>
    <w:rsid w:val="00E85115"/>
    <w:rsid w:val="00E85F3F"/>
    <w:rsid w:val="00E94006"/>
    <w:rsid w:val="00EA0ED2"/>
    <w:rsid w:val="00EA52B3"/>
    <w:rsid w:val="00EA7527"/>
    <w:rsid w:val="00EB2543"/>
    <w:rsid w:val="00EB2B22"/>
    <w:rsid w:val="00EB2C83"/>
    <w:rsid w:val="00EB3A96"/>
    <w:rsid w:val="00EB476F"/>
    <w:rsid w:val="00EB52B3"/>
    <w:rsid w:val="00EC136E"/>
    <w:rsid w:val="00EC1852"/>
    <w:rsid w:val="00EC2814"/>
    <w:rsid w:val="00EC37CB"/>
    <w:rsid w:val="00ED0762"/>
    <w:rsid w:val="00ED266F"/>
    <w:rsid w:val="00ED431D"/>
    <w:rsid w:val="00ED5E21"/>
    <w:rsid w:val="00ED7C53"/>
    <w:rsid w:val="00EE0633"/>
    <w:rsid w:val="00EE150B"/>
    <w:rsid w:val="00EE1BE5"/>
    <w:rsid w:val="00EE4795"/>
    <w:rsid w:val="00EF09A7"/>
    <w:rsid w:val="00EF29EC"/>
    <w:rsid w:val="00F0076E"/>
    <w:rsid w:val="00F00FB7"/>
    <w:rsid w:val="00F0654E"/>
    <w:rsid w:val="00F118B1"/>
    <w:rsid w:val="00F1313C"/>
    <w:rsid w:val="00F136EE"/>
    <w:rsid w:val="00F22A71"/>
    <w:rsid w:val="00F242DA"/>
    <w:rsid w:val="00F259FE"/>
    <w:rsid w:val="00F27D86"/>
    <w:rsid w:val="00F30329"/>
    <w:rsid w:val="00F31726"/>
    <w:rsid w:val="00F31E52"/>
    <w:rsid w:val="00F33EED"/>
    <w:rsid w:val="00F343EB"/>
    <w:rsid w:val="00F41E19"/>
    <w:rsid w:val="00F441A2"/>
    <w:rsid w:val="00F44E44"/>
    <w:rsid w:val="00F46A54"/>
    <w:rsid w:val="00F50705"/>
    <w:rsid w:val="00F5130C"/>
    <w:rsid w:val="00F5534B"/>
    <w:rsid w:val="00F65C09"/>
    <w:rsid w:val="00F676BF"/>
    <w:rsid w:val="00F67B66"/>
    <w:rsid w:val="00F70EC7"/>
    <w:rsid w:val="00F72AAB"/>
    <w:rsid w:val="00F74EB9"/>
    <w:rsid w:val="00F80F23"/>
    <w:rsid w:val="00F823F7"/>
    <w:rsid w:val="00F87405"/>
    <w:rsid w:val="00F9160B"/>
    <w:rsid w:val="00F94113"/>
    <w:rsid w:val="00F9530C"/>
    <w:rsid w:val="00FA206C"/>
    <w:rsid w:val="00FA2340"/>
    <w:rsid w:val="00FA63BA"/>
    <w:rsid w:val="00FB3FBF"/>
    <w:rsid w:val="00FB5611"/>
    <w:rsid w:val="00FB701E"/>
    <w:rsid w:val="00FC0279"/>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06">
      <w:bodyDiv w:val="1"/>
      <w:marLeft w:val="0"/>
      <w:marRight w:val="0"/>
      <w:marTop w:val="0"/>
      <w:marBottom w:val="0"/>
      <w:divBdr>
        <w:top w:val="none" w:sz="0" w:space="0" w:color="auto"/>
        <w:left w:val="none" w:sz="0" w:space="0" w:color="auto"/>
        <w:bottom w:val="none" w:sz="0" w:space="0" w:color="auto"/>
        <w:right w:val="none" w:sz="0" w:space="0" w:color="auto"/>
      </w:divBdr>
    </w:div>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78261841">
      <w:bodyDiv w:val="1"/>
      <w:marLeft w:val="0"/>
      <w:marRight w:val="0"/>
      <w:marTop w:val="0"/>
      <w:marBottom w:val="0"/>
      <w:divBdr>
        <w:top w:val="none" w:sz="0" w:space="0" w:color="auto"/>
        <w:left w:val="none" w:sz="0" w:space="0" w:color="auto"/>
        <w:bottom w:val="none" w:sz="0" w:space="0" w:color="auto"/>
        <w:right w:val="none" w:sz="0" w:space="0" w:color="auto"/>
      </w:divBdr>
    </w:div>
    <w:div w:id="113255543">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304093280">
      <w:bodyDiv w:val="1"/>
      <w:marLeft w:val="0"/>
      <w:marRight w:val="0"/>
      <w:marTop w:val="0"/>
      <w:marBottom w:val="0"/>
      <w:divBdr>
        <w:top w:val="none" w:sz="0" w:space="0" w:color="auto"/>
        <w:left w:val="none" w:sz="0" w:space="0" w:color="auto"/>
        <w:bottom w:val="none" w:sz="0" w:space="0" w:color="auto"/>
        <w:right w:val="none" w:sz="0" w:space="0" w:color="auto"/>
      </w:divBdr>
    </w:div>
    <w:div w:id="440687899">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7367253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861355019">
      <w:bodyDiv w:val="1"/>
      <w:marLeft w:val="0"/>
      <w:marRight w:val="0"/>
      <w:marTop w:val="0"/>
      <w:marBottom w:val="0"/>
      <w:divBdr>
        <w:top w:val="none" w:sz="0" w:space="0" w:color="auto"/>
        <w:left w:val="none" w:sz="0" w:space="0" w:color="auto"/>
        <w:bottom w:val="none" w:sz="0" w:space="0" w:color="auto"/>
        <w:right w:val="none" w:sz="0" w:space="0" w:color="auto"/>
      </w:divBdr>
    </w:div>
    <w:div w:id="890963229">
      <w:bodyDiv w:val="1"/>
      <w:marLeft w:val="0"/>
      <w:marRight w:val="0"/>
      <w:marTop w:val="0"/>
      <w:marBottom w:val="0"/>
      <w:divBdr>
        <w:top w:val="none" w:sz="0" w:space="0" w:color="auto"/>
        <w:left w:val="none" w:sz="0" w:space="0" w:color="auto"/>
        <w:bottom w:val="none" w:sz="0" w:space="0" w:color="auto"/>
        <w:right w:val="none" w:sz="0" w:space="0" w:color="auto"/>
      </w:divBdr>
    </w:div>
    <w:div w:id="900869166">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972174542">
      <w:bodyDiv w:val="1"/>
      <w:marLeft w:val="0"/>
      <w:marRight w:val="0"/>
      <w:marTop w:val="0"/>
      <w:marBottom w:val="0"/>
      <w:divBdr>
        <w:top w:val="none" w:sz="0" w:space="0" w:color="auto"/>
        <w:left w:val="none" w:sz="0" w:space="0" w:color="auto"/>
        <w:bottom w:val="none" w:sz="0" w:space="0" w:color="auto"/>
        <w:right w:val="none" w:sz="0" w:space="0" w:color="auto"/>
      </w:divBdr>
    </w:div>
    <w:div w:id="994259362">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15730573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18759161">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 w:id="2130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_englis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'2022Q3'!$E$32</c:f>
              <c:strCache>
                <c:ptCount val="1"/>
                <c:pt idx="0">
                  <c:v>Annual Change</c:v>
                </c:pt>
              </c:strCache>
            </c:strRef>
          </c:tx>
          <c:spPr>
            <a:solidFill>
              <a:schemeClr val="accent1"/>
            </a:solidFill>
            <a:ln>
              <a:noFill/>
            </a:ln>
            <a:effectLst/>
          </c:spPr>
          <c:invertIfNegative val="0"/>
          <c:cat>
            <c:strRef>
              <c:f>'2022Q3'!$A$40:$A$63</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'2022Q3'!$E$40:$E$63</c:f>
              <c:numCache>
                <c:formatCode>0.0</c:formatCode>
                <c:ptCount val="24"/>
                <c:pt idx="0">
                  <c:v>4.4311945807482322</c:v>
                </c:pt>
                <c:pt idx="1">
                  <c:v>5.2908425432556472</c:v>
                </c:pt>
                <c:pt idx="2">
                  <c:v>5.3018811864605109</c:v>
                </c:pt>
                <c:pt idx="3">
                  <c:v>11.790057801663067</c:v>
                </c:pt>
                <c:pt idx="4">
                  <c:v>7.268453394698593</c:v>
                </c:pt>
                <c:pt idx="5">
                  <c:v>7.4790849570820495</c:v>
                </c:pt>
                <c:pt idx="6">
                  <c:v>5.8373529623979348</c:v>
                </c:pt>
                <c:pt idx="7">
                  <c:v>2.4970675554269572</c:v>
                </c:pt>
                <c:pt idx="8">
                  <c:v>-2.6385699021583275</c:v>
                </c:pt>
                <c:pt idx="9">
                  <c:v>-2.5584144346031623</c:v>
                </c:pt>
                <c:pt idx="10">
                  <c:v>-1.6606138131681103</c:v>
                </c:pt>
                <c:pt idx="11">
                  <c:v>0.93738377656722438</c:v>
                </c:pt>
                <c:pt idx="12">
                  <c:v>5.8947299681534782</c:v>
                </c:pt>
                <c:pt idx="13">
                  <c:v>4.4297179508610007</c:v>
                </c:pt>
                <c:pt idx="14">
                  <c:v>-10.287252031670214</c:v>
                </c:pt>
                <c:pt idx="15">
                  <c:v>6.5133513599918036</c:v>
                </c:pt>
                <c:pt idx="16">
                  <c:v>6.3597059018903224</c:v>
                </c:pt>
                <c:pt idx="17">
                  <c:v>7.5074170898249637</c:v>
                </c:pt>
                <c:pt idx="18">
                  <c:v>22.246406064977343</c:v>
                </c:pt>
                <c:pt idx="19">
                  <c:v>7.8917487901841499</c:v>
                </c:pt>
                <c:pt idx="20">
                  <c:v>9.5968538971011661</c:v>
                </c:pt>
                <c:pt idx="21">
                  <c:v>7.5155790783268728</c:v>
                </c:pt>
                <c:pt idx="22">
                  <c:v>7.7374653662830584</c:v>
                </c:pt>
                <c:pt idx="23">
                  <c:v>3.8533068290933725</c:v>
                </c:pt>
              </c:numCache>
            </c:numRef>
          </c:val>
          <c:extLst>
            <c:ext xmlns:c16="http://schemas.microsoft.com/office/drawing/2014/chart" uri="{C3380CC4-5D6E-409C-BE32-E72D297353CC}">
              <c16:uniqueId val="{00000000-E3B8-45CB-8BFC-6FC48F248B94}"/>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'2022Q3'!$F$32</c:f>
              <c:strCache>
                <c:ptCount val="1"/>
                <c:pt idx="0">
                  <c:v>Quarter Change</c:v>
                </c:pt>
              </c:strCache>
            </c:strRef>
          </c:tx>
          <c:spPr>
            <a:ln w="25400" cap="rnd">
              <a:solidFill>
                <a:schemeClr val="tx1"/>
              </a:solidFill>
              <a:round/>
            </a:ln>
            <a:effectLst/>
          </c:spPr>
          <c:marker>
            <c:symbol val="none"/>
          </c:marker>
          <c:cat>
            <c:strRef>
              <c:f>'2022Q3'!$A$40:$A$63</c:f>
              <c:strCache>
                <c:ptCount val="24"/>
                <c:pt idx="0">
                  <c:v>2016Q4</c:v>
                </c:pt>
                <c:pt idx="1">
                  <c:v>2017Q1</c:v>
                </c:pt>
                <c:pt idx="2">
                  <c:v>2017Q2</c:v>
                </c:pt>
                <c:pt idx="3">
                  <c:v>2017Q3</c:v>
                </c:pt>
                <c:pt idx="4">
                  <c:v>2017Q4</c:v>
                </c:pt>
                <c:pt idx="5">
                  <c:v>2018Q1</c:v>
                </c:pt>
                <c:pt idx="6">
                  <c:v>2018Q2</c:v>
                </c:pt>
                <c:pt idx="7">
                  <c:v>2018Q3</c:v>
                </c:pt>
                <c:pt idx="8">
                  <c:v>2018Q4</c:v>
                </c:pt>
                <c:pt idx="9">
                  <c:v>2019Q1</c:v>
                </c:pt>
                <c:pt idx="10">
                  <c:v>2019Q2</c:v>
                </c:pt>
                <c:pt idx="11">
                  <c:v>2019Q3</c:v>
                </c:pt>
                <c:pt idx="12">
                  <c:v>2019Q4</c:v>
                </c:pt>
                <c:pt idx="13">
                  <c:v>2020Q1</c:v>
                </c:pt>
                <c:pt idx="14">
                  <c:v>2020Q2</c:v>
                </c:pt>
                <c:pt idx="15">
                  <c:v>2020Q3</c:v>
                </c:pt>
                <c:pt idx="16">
                  <c:v>2020Q4</c:v>
                </c:pt>
                <c:pt idx="17">
                  <c:v>2021Q1</c:v>
                </c:pt>
                <c:pt idx="18">
                  <c:v>2021Q2</c:v>
                </c:pt>
                <c:pt idx="19">
                  <c:v>2021Q3</c:v>
                </c:pt>
                <c:pt idx="20">
                  <c:v>2021Q4</c:v>
                </c:pt>
                <c:pt idx="21">
                  <c:v>2022Q1</c:v>
                </c:pt>
                <c:pt idx="22">
                  <c:v>2022Q2</c:v>
                </c:pt>
                <c:pt idx="23">
                  <c:v>2022Q3</c:v>
                </c:pt>
              </c:strCache>
            </c:strRef>
          </c:cat>
          <c:val>
            <c:numRef>
              <c:f>'2022Q3'!$F$40:$F$63</c:f>
              <c:numCache>
                <c:formatCode>0.0</c:formatCode>
                <c:ptCount val="24"/>
                <c:pt idx="0">
                  <c:v>5.5096116443495324</c:v>
                </c:pt>
                <c:pt idx="1">
                  <c:v>1.368865259222618</c:v>
                </c:pt>
                <c:pt idx="2">
                  <c:v>2.2803188216812265</c:v>
                </c:pt>
                <c:pt idx="3">
                  <c:v>1.515918557513718</c:v>
                </c:pt>
                <c:pt idx="4">
                  <c:v>1.8827611322633553</c:v>
                </c:pt>
                <c:pt idx="5">
                  <c:v>1.4687431302132792</c:v>
                </c:pt>
                <c:pt idx="6">
                  <c:v>0.65752178788840432</c:v>
                </c:pt>
                <c:pt idx="7">
                  <c:v>-1.6279355144123486</c:v>
                </c:pt>
                <c:pt idx="8">
                  <c:v>-3.1841153368222574</c:v>
                </c:pt>
                <c:pt idx="9">
                  <c:v>1.8777893627963671</c:v>
                </c:pt>
                <c:pt idx="10">
                  <c:v>2.5678003132384219</c:v>
                </c:pt>
                <c:pt idx="11">
                  <c:v>-0.35290778459662331</c:v>
                </c:pt>
                <c:pt idx="12">
                  <c:v>1.2799084485346723</c:v>
                </c:pt>
                <c:pt idx="13">
                  <c:v>0.84932546643585738</c:v>
                </c:pt>
                <c:pt idx="14">
                  <c:v>-10.371752589236927</c:v>
                </c:pt>
                <c:pt idx="15">
                  <c:v>15.649317790807004</c:v>
                </c:pt>
                <c:pt idx="16">
                  <c:v>1.0846477656639042</c:v>
                </c:pt>
                <c:pt idx="17">
                  <c:v>2.6166590695453573</c:v>
                </c:pt>
                <c:pt idx="18">
                  <c:v>1.9949569992060434</c:v>
                </c:pt>
                <c:pt idx="19">
                  <c:v>2.7144828244644925</c:v>
                </c:pt>
                <c:pt idx="20">
                  <c:v>1.5756383914333538</c:v>
                </c:pt>
                <c:pt idx="21">
                  <c:v>0.58941379691044293</c:v>
                </c:pt>
                <c:pt idx="22">
                  <c:v>1.8743137836006118</c:v>
                </c:pt>
                <c:pt idx="23">
                  <c:v>-0.12469848215368451</c:v>
                </c:pt>
              </c:numCache>
            </c:numRef>
          </c:val>
          <c:smooth val="0"/>
          <c:extLst>
            <c:ext xmlns:c16="http://schemas.microsoft.com/office/drawing/2014/chart" uri="{C3380CC4-5D6E-409C-BE32-E72D297353CC}">
              <c16:uniqueId val="{00000001-E3B8-45CB-8BFC-6FC48F248B94}"/>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77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C1381-8B13-423E-BB14-9F36A92C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4</Pages>
  <Words>750</Words>
  <Characters>4279</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Ugurcan ACAR</cp:lastModifiedBy>
  <cp:revision>79</cp:revision>
  <cp:lastPrinted>2022-09-26T12:41:00Z</cp:lastPrinted>
  <dcterms:created xsi:type="dcterms:W3CDTF">2021-09-28T13:00:00Z</dcterms:created>
  <dcterms:modified xsi:type="dcterms:W3CDTF">2022-12-19T09:20:00Z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0b41929a76fdc369c11536293068787720530d83219c8f9e2dbef719bc8724fa</vt:lpwstr>
  </property>
</Properties>
</file>