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lang w:val="en-GB" w:eastAsia="en-GB"/>
        </w:rPr>
        <mc:AlternateContent>
          <mc:Choice Requires="wps">
            <w:drawing>
              <wp:anchor distT="0" distB="0" distL="114935" distR="114935" simplePos="0" relativeHeight="251658752"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06B418D5" w:rsidR="00D07713" w:rsidRPr="00D07713" w:rsidRDefault="00E658A1"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9</w:t>
                            </w:r>
                            <w:r w:rsidR="006F0FC6">
                              <w:rPr>
                                <w:rFonts w:ascii="Arial" w:eastAsia="Times New Roman" w:hAnsi="Arial" w:cs="Arial"/>
                                <w:b/>
                                <w:bCs/>
                                <w:color w:val="FFFFFF"/>
                                <w:sz w:val="22"/>
                                <w:szCs w:val="22"/>
                                <w:lang w:eastAsia="ar-SA"/>
                              </w:rPr>
                              <w:t xml:space="preserve"> </w:t>
                            </w:r>
                            <w:r w:rsidR="009858E9">
                              <w:rPr>
                                <w:rFonts w:ascii="Arial" w:eastAsia="Times New Roman" w:hAnsi="Arial" w:cs="Arial"/>
                                <w:b/>
                                <w:bCs/>
                                <w:color w:val="FFFFFF"/>
                                <w:sz w:val="22"/>
                                <w:szCs w:val="22"/>
                                <w:lang w:eastAsia="ar-SA"/>
                              </w:rPr>
                              <w:t>Aralık</w:t>
                            </w:r>
                            <w:r w:rsidR="00E37C95">
                              <w:rPr>
                                <w:rFonts w:ascii="Arial" w:eastAsia="Times New Roman" w:hAnsi="Arial" w:cs="Arial"/>
                                <w:b/>
                                <w:bCs/>
                                <w:color w:val="FFFFFF"/>
                                <w:sz w:val="22"/>
                                <w:szCs w:val="22"/>
                                <w:lang w:eastAsia="ar-SA"/>
                              </w:rPr>
                              <w:t xml:space="preserve"> 202</w:t>
                            </w:r>
                            <w:r w:rsidR="006C1ABC">
                              <w:rPr>
                                <w:rFonts w:ascii="Arial" w:eastAsia="Times New Roman" w:hAnsi="Arial" w:cs="Arial"/>
                                <w:b/>
                                <w:bCs/>
                                <w:color w:val="FFFFFF"/>
                                <w:sz w:val="22"/>
                                <w:szCs w:val="22"/>
                                <w:lang w:eastAsia="ar-SA"/>
                              </w:rPr>
                              <w:t>2</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" stroked="f">
                <v:fill opacity="0"/>
                <v:textbox inset="0,0,0,0">
                  <w:txbxContent>
                    <w:p w14:paraId="5B0CFDC6" w14:textId="06B418D5" w:rsidR="00D07713" w:rsidRPr="00D07713" w:rsidRDefault="00E658A1"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9</w:t>
                      </w:r>
                      <w:r w:rsidR="006F0FC6">
                        <w:rPr>
                          <w:rFonts w:ascii="Arial" w:eastAsia="Times New Roman" w:hAnsi="Arial" w:cs="Arial"/>
                          <w:b/>
                          <w:bCs/>
                          <w:color w:val="FFFFFF"/>
                          <w:sz w:val="22"/>
                          <w:szCs w:val="22"/>
                          <w:lang w:eastAsia="ar-SA"/>
                        </w:rPr>
                        <w:t xml:space="preserve"> </w:t>
                      </w:r>
                      <w:r w:rsidR="009858E9">
                        <w:rPr>
                          <w:rFonts w:ascii="Arial" w:eastAsia="Times New Roman" w:hAnsi="Arial" w:cs="Arial"/>
                          <w:b/>
                          <w:bCs/>
                          <w:color w:val="FFFFFF"/>
                          <w:sz w:val="22"/>
                          <w:szCs w:val="22"/>
                          <w:lang w:eastAsia="ar-SA"/>
                        </w:rPr>
                        <w:t>Aralık</w:t>
                      </w:r>
                      <w:r w:rsidR="00E37C95">
                        <w:rPr>
                          <w:rFonts w:ascii="Arial" w:eastAsia="Times New Roman" w:hAnsi="Arial" w:cs="Arial"/>
                          <w:b/>
                          <w:bCs/>
                          <w:color w:val="FFFFFF"/>
                          <w:sz w:val="22"/>
                          <w:szCs w:val="22"/>
                          <w:lang w:eastAsia="ar-SA"/>
                        </w:rPr>
                        <w:t xml:space="preserve"> 202</w:t>
                      </w:r>
                      <w:r w:rsidR="006C1ABC">
                        <w:rPr>
                          <w:rFonts w:ascii="Arial" w:eastAsia="Times New Roman" w:hAnsi="Arial" w:cs="Arial"/>
                          <w:b/>
                          <w:bCs/>
                          <w:color w:val="FFFFFF"/>
                          <w:sz w:val="22"/>
                          <w:szCs w:val="22"/>
                          <w:lang w:eastAsia="ar-SA"/>
                        </w:rPr>
                        <w:t>2</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lang w:val="en-GB" w:eastAsia="en-GB"/>
        </w:rPr>
        <mc:AlternateContent>
          <mc:Choice Requires="wps">
            <w:drawing>
              <wp:anchor distT="0" distB="0" distL="114935" distR="114935" simplePos="0" relativeHeight="251656704"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2E8C3AE9"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C34D9B">
                              <w:rPr>
                                <w:rFonts w:ascii="Times New Roman" w:hAnsi="Times New Roman" w:cs="Times New Roman"/>
                                <w:sz w:val="40"/>
                                <w:szCs w:val="40"/>
                              </w:rPr>
                              <w:t>2</w:t>
                            </w:r>
                            <w:r>
                              <w:rPr>
                                <w:rFonts w:ascii="Times New Roman" w:hAnsi="Times New Roman" w:cs="Times New Roman"/>
                                <w:sz w:val="40"/>
                                <w:szCs w:val="40"/>
                              </w:rPr>
                              <w:t xml:space="preserve"> </w:t>
                            </w:r>
                            <w:r w:rsidR="009858E9">
                              <w:rPr>
                                <w:rFonts w:ascii="Times New Roman" w:hAnsi="Times New Roman" w:cs="Times New Roman"/>
                                <w:sz w:val="40"/>
                                <w:szCs w:val="40"/>
                              </w:rPr>
                              <w:t>3</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1AF94" id="Text Box 2" o:spid="_x0000_s1027" type="#_x0000_t202" style="position:absolute;margin-left:107.65pt;margin-top:-55.85pt;width:300.75pt;height:5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" stroked="f">
                <v:fill opacity="0"/>
                <v:textbox inset="0,0,0,0">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2E8C3AE9"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C34D9B">
                        <w:rPr>
                          <w:rFonts w:ascii="Times New Roman" w:hAnsi="Times New Roman" w:cs="Times New Roman"/>
                          <w:sz w:val="40"/>
                          <w:szCs w:val="40"/>
                        </w:rPr>
                        <w:t>2</w:t>
                      </w:r>
                      <w:r>
                        <w:rPr>
                          <w:rFonts w:ascii="Times New Roman" w:hAnsi="Times New Roman" w:cs="Times New Roman"/>
                          <w:sz w:val="40"/>
                          <w:szCs w:val="40"/>
                        </w:rPr>
                        <w:t xml:space="preserve"> </w:t>
                      </w:r>
                      <w:r w:rsidR="009858E9">
                        <w:rPr>
                          <w:rFonts w:ascii="Times New Roman" w:hAnsi="Times New Roman" w:cs="Times New Roman"/>
                          <w:sz w:val="40"/>
                          <w:szCs w:val="40"/>
                        </w:rPr>
                        <w:t>3</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lang w:val="en-GB" w:eastAsia="en-GB"/>
        </w:rPr>
        <w:drawing>
          <wp:anchor distT="0" distB="0" distL="114300" distR="114300" simplePos="0" relativeHeight="251655680"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1"/>
                    <a:srcRect/>
                    <a:stretch>
                      <a:fillRect/>
                    </a:stretch>
                  </pic:blipFill>
                  <pic:spPr bwMode="auto">
                    <a:xfrm>
                      <a:off x="0" y="0"/>
                      <a:ext cx="7315200" cy="1330325"/>
                    </a:xfrm>
                    <a:prstGeom prst="rect">
                      <a:avLst/>
                    </a:prstGeom>
                    <a:noFill/>
                  </pic:spPr>
                </pic:pic>
              </a:graphicData>
            </a:graphic>
          </wp:anchor>
        </w:drawing>
      </w:r>
    </w:p>
    <w:p w14:paraId="1A2A657A" w14:textId="408BA8A5" w:rsidR="00D07713" w:rsidRDefault="00D07713" w:rsidP="009E4A1F">
      <w:pPr>
        <w:spacing w:line="288" w:lineRule="auto"/>
        <w:ind w:right="-319"/>
        <w:outlineLvl w:val="0"/>
        <w:rPr>
          <w:rFonts w:ascii="Palatino Linotype" w:hAnsi="Palatino Linotype" w:cstheme="minorHAnsi"/>
        </w:rPr>
      </w:pPr>
    </w:p>
    <w:p w14:paraId="48D1A525" w14:textId="77777777" w:rsidR="009E4A1F" w:rsidRPr="00CC0355" w:rsidRDefault="009E4A1F" w:rsidP="009E4A1F">
      <w:pPr>
        <w:spacing w:line="288" w:lineRule="auto"/>
        <w:ind w:right="-319"/>
        <w:outlineLvl w:val="0"/>
        <w:rPr>
          <w:rFonts w:ascii="Palatino Linotype" w:hAnsi="Palatino Linotype" w:cstheme="minorHAnsi"/>
          <w:b/>
          <w:bCs/>
          <w:sz w:val="28"/>
          <w:szCs w:val="28"/>
        </w:rPr>
      </w:pPr>
    </w:p>
    <w:p w14:paraId="6D031923" w14:textId="0EF8C0DF" w:rsidR="0002466A" w:rsidRPr="0002466A" w:rsidRDefault="001167EB" w:rsidP="0002466A">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YATIRIM HARCAMALARI AZALIYOR</w:t>
      </w:r>
      <w:r w:rsidRPr="001167EB">
        <w:rPr>
          <w:rFonts w:ascii="Palatino Linotype" w:hAnsi="Palatino Linotype" w:cstheme="minorHAnsi"/>
          <w:b/>
          <w:bCs/>
          <w:sz w:val="28"/>
          <w:szCs w:val="28"/>
        </w:rPr>
        <w:t xml:space="preserve"> </w:t>
      </w:r>
    </w:p>
    <w:p w14:paraId="428E7403" w14:textId="2D72E974" w:rsidR="00D07713" w:rsidRPr="0002466A" w:rsidRDefault="00D07713" w:rsidP="004623F2">
      <w:pPr>
        <w:spacing w:line="288" w:lineRule="auto"/>
        <w:ind w:right="-319"/>
        <w:jc w:val="center"/>
        <w:outlineLvl w:val="0"/>
        <w:rPr>
          <w:rFonts w:ascii="Palatino Linotype" w:hAnsi="Palatino Linotype" w:cstheme="minorHAnsi"/>
        </w:rPr>
      </w:pPr>
      <w:r w:rsidRPr="0002466A">
        <w:rPr>
          <w:rFonts w:ascii="Palatino Linotype" w:hAnsi="Palatino Linotype" w:cstheme="minorHAnsi"/>
          <w:b/>
          <w:bCs/>
          <w:sz w:val="22"/>
          <w:szCs w:val="22"/>
        </w:rPr>
        <w:t>Ozan Bakış</w:t>
      </w:r>
      <w:r w:rsidR="00C32789" w:rsidRPr="0002466A">
        <w:rPr>
          <w:rStyle w:val="FootnoteReference"/>
          <w:rFonts w:ascii="Palatino Linotype" w:hAnsi="Palatino Linotype" w:cstheme="minorHAnsi"/>
          <w:b/>
          <w:bCs/>
          <w:sz w:val="22"/>
          <w:szCs w:val="22"/>
        </w:rPr>
        <w:footnoteReference w:id="1"/>
      </w:r>
      <w:r w:rsidR="001537D8" w:rsidRPr="0002466A">
        <w:rPr>
          <w:rFonts w:ascii="Palatino Linotype" w:hAnsi="Palatino Linotype" w:cstheme="minorHAnsi"/>
          <w:b/>
          <w:bCs/>
          <w:sz w:val="22"/>
          <w:szCs w:val="22"/>
        </w:rPr>
        <w:t xml:space="preserve"> ve </w:t>
      </w:r>
      <w:r w:rsidR="00E7272A">
        <w:rPr>
          <w:rFonts w:ascii="Palatino Linotype" w:hAnsi="Palatino Linotype" w:cstheme="minorHAnsi"/>
          <w:b/>
          <w:bCs/>
          <w:sz w:val="22"/>
          <w:szCs w:val="22"/>
        </w:rPr>
        <w:t>Uğurcan Acar</w:t>
      </w:r>
      <w:r w:rsidR="001537D8" w:rsidRPr="0002466A">
        <w:rPr>
          <w:rStyle w:val="FootnoteReference"/>
          <w:rFonts w:ascii="Palatino Linotype" w:hAnsi="Palatino Linotype" w:cstheme="minorHAnsi"/>
          <w:b/>
          <w:bCs/>
          <w:sz w:val="22"/>
          <w:szCs w:val="22"/>
        </w:rPr>
        <w:footnoteReference w:id="2"/>
      </w:r>
    </w:p>
    <w:p w14:paraId="6E057918" w14:textId="77777777" w:rsidR="00405BD8" w:rsidRPr="0002466A" w:rsidRDefault="00405BD8" w:rsidP="00751F72">
      <w:pPr>
        <w:jc w:val="center"/>
        <w:rPr>
          <w:rFonts w:ascii="Palatino Linotype" w:hAnsi="Palatino Linotype" w:cstheme="minorHAnsi"/>
          <w:b/>
          <w:sz w:val="22"/>
          <w:szCs w:val="22"/>
        </w:rPr>
      </w:pPr>
    </w:p>
    <w:p w14:paraId="2F0E4C03" w14:textId="77777777" w:rsidR="00C34D9B" w:rsidRDefault="00D257C1" w:rsidP="00C34D9B">
      <w:pPr>
        <w:spacing w:line="360" w:lineRule="auto"/>
        <w:jc w:val="center"/>
        <w:rPr>
          <w:rFonts w:ascii="Palatino Linotype" w:hAnsi="Palatino Linotype" w:cstheme="minorHAnsi"/>
          <w:b/>
          <w:sz w:val="22"/>
          <w:szCs w:val="22"/>
        </w:rPr>
      </w:pPr>
      <w:r w:rsidRPr="0002466A">
        <w:rPr>
          <w:rFonts w:ascii="Palatino Linotype" w:hAnsi="Palatino Linotype" w:cstheme="minorHAnsi"/>
          <w:b/>
          <w:sz w:val="22"/>
          <w:szCs w:val="22"/>
        </w:rPr>
        <w:t>Yönetici</w:t>
      </w:r>
      <w:r w:rsidR="00C86475" w:rsidRPr="0002466A">
        <w:rPr>
          <w:rFonts w:ascii="Palatino Linotype" w:hAnsi="Palatino Linotype" w:cstheme="minorHAnsi"/>
          <w:b/>
          <w:sz w:val="22"/>
          <w:szCs w:val="22"/>
        </w:rPr>
        <w:t xml:space="preserve"> </w:t>
      </w:r>
      <w:r w:rsidRPr="0002466A">
        <w:rPr>
          <w:rFonts w:ascii="Palatino Linotype" w:hAnsi="Palatino Linotype" w:cstheme="minorHAnsi"/>
          <w:b/>
          <w:sz w:val="22"/>
          <w:szCs w:val="22"/>
        </w:rPr>
        <w:t>Özeti</w:t>
      </w:r>
      <w:bookmarkStart w:id="0" w:name="OLE_LINK5"/>
      <w:bookmarkStart w:id="1" w:name="OLE_LINK6"/>
    </w:p>
    <w:p w14:paraId="49621AB2" w14:textId="0523C1F4" w:rsidR="009A3D0F" w:rsidRDefault="00DD1374" w:rsidP="00C34D9B">
      <w:pPr>
        <w:spacing w:line="360" w:lineRule="auto"/>
        <w:jc w:val="both"/>
        <w:rPr>
          <w:rFonts w:ascii="Palatino Linotype" w:hAnsi="Palatino Linotype" w:cstheme="minorHAnsi"/>
          <w:sz w:val="22"/>
          <w:szCs w:val="22"/>
        </w:rPr>
      </w:pPr>
      <w:r>
        <w:rPr>
          <w:rFonts w:ascii="Palatino Linotype" w:hAnsi="Palatino Linotype" w:cstheme="minorHAnsi"/>
          <w:sz w:val="22"/>
          <w:szCs w:val="22"/>
        </w:rPr>
        <w:t xml:space="preserve">Türkiye </w:t>
      </w:r>
      <w:r w:rsidRPr="005E0D21">
        <w:rPr>
          <w:rFonts w:ascii="Palatino Linotype" w:hAnsi="Palatino Linotype" w:cstheme="minorHAnsi"/>
          <w:sz w:val="22"/>
          <w:szCs w:val="22"/>
        </w:rPr>
        <w:t>ekonomisi 202</w:t>
      </w:r>
      <w:r w:rsidR="005D0E8C">
        <w:rPr>
          <w:rFonts w:ascii="Palatino Linotype" w:hAnsi="Palatino Linotype" w:cstheme="minorHAnsi"/>
          <w:sz w:val="22"/>
          <w:szCs w:val="22"/>
        </w:rPr>
        <w:t>2</w:t>
      </w:r>
      <w:r w:rsidRPr="005E0D21">
        <w:rPr>
          <w:rFonts w:ascii="Palatino Linotype" w:hAnsi="Palatino Linotype" w:cstheme="minorHAnsi"/>
          <w:sz w:val="22"/>
          <w:szCs w:val="22"/>
        </w:rPr>
        <w:t xml:space="preserve"> yılının </w:t>
      </w:r>
      <w:r w:rsidR="002C0F1D">
        <w:rPr>
          <w:rFonts w:ascii="Palatino Linotype" w:hAnsi="Palatino Linotype" w:cstheme="minorHAnsi"/>
          <w:sz w:val="22"/>
          <w:szCs w:val="22"/>
        </w:rPr>
        <w:t>üçüncü</w:t>
      </w:r>
      <w:r w:rsidRPr="005E0D21">
        <w:rPr>
          <w:rFonts w:ascii="Palatino Linotype" w:hAnsi="Palatino Linotype" w:cstheme="minorHAnsi"/>
          <w:sz w:val="22"/>
          <w:szCs w:val="22"/>
        </w:rPr>
        <w:t xml:space="preserve"> çeyreğinde yüzde </w:t>
      </w:r>
      <w:r w:rsidR="002C0F1D">
        <w:rPr>
          <w:rFonts w:ascii="Palatino Linotype" w:hAnsi="Palatino Linotype" w:cstheme="minorHAnsi"/>
          <w:sz w:val="22"/>
          <w:szCs w:val="22"/>
        </w:rPr>
        <w:t>3</w:t>
      </w:r>
      <w:r w:rsidRPr="005E0D21">
        <w:rPr>
          <w:rFonts w:ascii="Palatino Linotype" w:hAnsi="Palatino Linotype" w:cstheme="minorHAnsi"/>
          <w:sz w:val="22"/>
          <w:szCs w:val="22"/>
        </w:rPr>
        <w:t>,</w:t>
      </w:r>
      <w:r w:rsidR="002C0F1D">
        <w:rPr>
          <w:rFonts w:ascii="Palatino Linotype" w:hAnsi="Palatino Linotype" w:cstheme="minorHAnsi"/>
          <w:sz w:val="22"/>
          <w:szCs w:val="22"/>
        </w:rPr>
        <w:t>9</w:t>
      </w:r>
      <w:r w:rsidRPr="005E0D21">
        <w:rPr>
          <w:rFonts w:ascii="Palatino Linotype" w:hAnsi="Palatino Linotype" w:cstheme="minorHAnsi"/>
          <w:sz w:val="22"/>
          <w:szCs w:val="22"/>
        </w:rPr>
        <w:t xml:space="preserve"> büyüdü. Bu çeyrekte büyümeye </w:t>
      </w:r>
      <w:r w:rsidR="00AC59ED" w:rsidRPr="005E0D21">
        <w:rPr>
          <w:rFonts w:ascii="Palatino Linotype" w:hAnsi="Palatino Linotype" w:cstheme="minorHAnsi"/>
          <w:sz w:val="22"/>
          <w:szCs w:val="22"/>
        </w:rPr>
        <w:t xml:space="preserve">en büyük katkı </w:t>
      </w:r>
      <w:r w:rsidR="006C1ABC">
        <w:rPr>
          <w:rFonts w:ascii="Palatino Linotype" w:hAnsi="Palatino Linotype" w:cstheme="minorHAnsi"/>
          <w:sz w:val="22"/>
          <w:szCs w:val="22"/>
        </w:rPr>
        <w:t>1</w:t>
      </w:r>
      <w:r w:rsidR="00137467">
        <w:rPr>
          <w:rFonts w:ascii="Palatino Linotype" w:hAnsi="Palatino Linotype" w:cstheme="minorHAnsi"/>
          <w:sz w:val="22"/>
          <w:szCs w:val="22"/>
        </w:rPr>
        <w:t>0</w:t>
      </w:r>
      <w:r w:rsidR="006C1ABC">
        <w:rPr>
          <w:rFonts w:ascii="Palatino Linotype" w:hAnsi="Palatino Linotype" w:cstheme="minorHAnsi"/>
          <w:sz w:val="22"/>
          <w:szCs w:val="22"/>
        </w:rPr>
        <w:t>,</w:t>
      </w:r>
      <w:r w:rsidR="00137467">
        <w:rPr>
          <w:rFonts w:ascii="Palatino Linotype" w:hAnsi="Palatino Linotype" w:cstheme="minorHAnsi"/>
          <w:sz w:val="22"/>
          <w:szCs w:val="22"/>
        </w:rPr>
        <w:t>8</w:t>
      </w:r>
      <w:r w:rsidR="006C1ABC">
        <w:rPr>
          <w:rFonts w:ascii="Palatino Linotype" w:hAnsi="Palatino Linotype" w:cstheme="minorHAnsi"/>
          <w:sz w:val="22"/>
          <w:szCs w:val="22"/>
        </w:rPr>
        <w:t xml:space="preserve"> yüzde puan ile özel tüketimden</w:t>
      </w:r>
      <w:r w:rsidRPr="005E0D21">
        <w:rPr>
          <w:rFonts w:ascii="Palatino Linotype" w:hAnsi="Palatino Linotype" w:cstheme="minorHAnsi"/>
          <w:sz w:val="22"/>
          <w:szCs w:val="22"/>
        </w:rPr>
        <w:t xml:space="preserve"> geldi</w:t>
      </w:r>
      <w:r w:rsidR="00AC59ED" w:rsidRPr="005E0D21">
        <w:rPr>
          <w:rFonts w:ascii="Palatino Linotype" w:hAnsi="Palatino Linotype" w:cstheme="minorHAnsi"/>
          <w:sz w:val="22"/>
          <w:szCs w:val="22"/>
        </w:rPr>
        <w:t xml:space="preserve">. </w:t>
      </w:r>
      <w:bookmarkStart w:id="2" w:name="OLE_LINK9"/>
      <w:bookmarkStart w:id="3" w:name="OLE_LINK10"/>
      <w:r w:rsidR="00137467">
        <w:rPr>
          <w:rFonts w:ascii="Palatino Linotype" w:hAnsi="Palatino Linotype" w:cstheme="minorHAnsi"/>
          <w:sz w:val="22"/>
          <w:szCs w:val="22"/>
        </w:rPr>
        <w:t>Bir önceki çeyrek 3,9 yüzde puan olan d</w:t>
      </w:r>
      <w:r w:rsidR="006C1ABC">
        <w:rPr>
          <w:rFonts w:ascii="Palatino Linotype" w:hAnsi="Palatino Linotype" w:cstheme="minorHAnsi"/>
          <w:sz w:val="22"/>
          <w:szCs w:val="22"/>
        </w:rPr>
        <w:t xml:space="preserve">ış ticaret katkısı </w:t>
      </w:r>
      <w:r w:rsidR="00C2295B">
        <w:rPr>
          <w:rFonts w:ascii="Palatino Linotype" w:hAnsi="Palatino Linotype" w:cstheme="minorHAnsi"/>
          <w:sz w:val="22"/>
          <w:szCs w:val="22"/>
        </w:rPr>
        <w:t>bu</w:t>
      </w:r>
      <w:r w:rsidR="005D0E8C">
        <w:rPr>
          <w:rFonts w:ascii="Palatino Linotype" w:hAnsi="Palatino Linotype" w:cstheme="minorHAnsi"/>
          <w:sz w:val="22"/>
          <w:szCs w:val="22"/>
        </w:rPr>
        <w:t xml:space="preserve"> çeyrekte</w:t>
      </w:r>
      <w:r w:rsidR="00EF6FEB">
        <w:rPr>
          <w:rFonts w:ascii="Palatino Linotype" w:hAnsi="Palatino Linotype" w:cstheme="minorHAnsi"/>
          <w:sz w:val="22"/>
          <w:szCs w:val="22"/>
        </w:rPr>
        <w:t xml:space="preserve"> </w:t>
      </w:r>
      <w:r w:rsidR="00D71D22">
        <w:rPr>
          <w:rFonts w:ascii="Palatino Linotype" w:hAnsi="Palatino Linotype" w:cstheme="minorHAnsi"/>
          <w:sz w:val="22"/>
          <w:szCs w:val="22"/>
        </w:rPr>
        <w:t>0</w:t>
      </w:r>
      <w:r w:rsidR="005D0E8C">
        <w:rPr>
          <w:rFonts w:ascii="Palatino Linotype" w:hAnsi="Palatino Linotype" w:cstheme="minorHAnsi"/>
          <w:sz w:val="22"/>
          <w:szCs w:val="22"/>
        </w:rPr>
        <w:t>,</w:t>
      </w:r>
      <w:r w:rsidR="00D71D22">
        <w:rPr>
          <w:rFonts w:ascii="Palatino Linotype" w:hAnsi="Palatino Linotype" w:cstheme="minorHAnsi"/>
          <w:sz w:val="22"/>
          <w:szCs w:val="22"/>
        </w:rPr>
        <w:t>7</w:t>
      </w:r>
      <w:r w:rsidR="006C1ABC">
        <w:rPr>
          <w:rFonts w:ascii="Palatino Linotype" w:hAnsi="Palatino Linotype" w:cstheme="minorHAnsi"/>
          <w:sz w:val="22"/>
          <w:szCs w:val="22"/>
        </w:rPr>
        <w:t xml:space="preserve"> yüzde puan</w:t>
      </w:r>
      <w:r w:rsidR="005D0E8C">
        <w:rPr>
          <w:rFonts w:ascii="Palatino Linotype" w:hAnsi="Palatino Linotype" w:cstheme="minorHAnsi"/>
          <w:sz w:val="22"/>
          <w:szCs w:val="22"/>
        </w:rPr>
        <w:t xml:space="preserve"> </w:t>
      </w:r>
      <w:bookmarkEnd w:id="2"/>
      <w:bookmarkEnd w:id="3"/>
      <w:r w:rsidR="005D0E8C">
        <w:rPr>
          <w:rFonts w:ascii="Palatino Linotype" w:hAnsi="Palatino Linotype" w:cstheme="minorHAnsi"/>
          <w:sz w:val="22"/>
          <w:szCs w:val="22"/>
        </w:rPr>
        <w:t>olarak gerçekleşti</w:t>
      </w:r>
      <w:r w:rsidR="006C1ABC">
        <w:rPr>
          <w:rFonts w:ascii="Palatino Linotype" w:hAnsi="Palatino Linotype" w:cstheme="minorHAnsi"/>
          <w:sz w:val="22"/>
          <w:szCs w:val="22"/>
        </w:rPr>
        <w:t xml:space="preserve">. </w:t>
      </w:r>
      <w:r w:rsidR="005D0E8C">
        <w:rPr>
          <w:rFonts w:ascii="Palatino Linotype" w:hAnsi="Palatino Linotype" w:cstheme="minorHAnsi"/>
          <w:sz w:val="22"/>
          <w:szCs w:val="22"/>
        </w:rPr>
        <w:t>Stok değişimi</w:t>
      </w:r>
      <w:r w:rsidR="004B5355">
        <w:rPr>
          <w:rFonts w:ascii="Palatino Linotype" w:hAnsi="Palatino Linotype" w:cstheme="minorHAnsi"/>
          <w:sz w:val="22"/>
          <w:szCs w:val="22"/>
        </w:rPr>
        <w:t xml:space="preserve"> büyümey</w:t>
      </w:r>
      <w:r w:rsidR="00117128">
        <w:rPr>
          <w:rFonts w:ascii="Palatino Linotype" w:hAnsi="Palatino Linotype" w:cstheme="minorHAnsi"/>
          <w:sz w:val="22"/>
          <w:szCs w:val="22"/>
        </w:rPr>
        <w:t>i</w:t>
      </w:r>
      <w:r w:rsidR="005D0E8C">
        <w:rPr>
          <w:rFonts w:ascii="Palatino Linotype" w:hAnsi="Palatino Linotype" w:cstheme="minorHAnsi"/>
          <w:sz w:val="22"/>
          <w:szCs w:val="22"/>
        </w:rPr>
        <w:t xml:space="preserve"> </w:t>
      </w:r>
      <w:r w:rsidR="00D71D22">
        <w:rPr>
          <w:rFonts w:ascii="Palatino Linotype" w:hAnsi="Palatino Linotype" w:cstheme="minorHAnsi"/>
          <w:sz w:val="22"/>
          <w:szCs w:val="22"/>
        </w:rPr>
        <w:t>8</w:t>
      </w:r>
      <w:r w:rsidR="00DB320D">
        <w:rPr>
          <w:rFonts w:ascii="Palatino Linotype" w:hAnsi="Palatino Linotype" w:cstheme="minorHAnsi"/>
          <w:sz w:val="22"/>
          <w:szCs w:val="22"/>
        </w:rPr>
        <w:t>,3</w:t>
      </w:r>
      <w:r w:rsidR="005D0E8C">
        <w:rPr>
          <w:rFonts w:ascii="Palatino Linotype" w:hAnsi="Palatino Linotype" w:cstheme="minorHAnsi"/>
          <w:sz w:val="22"/>
          <w:szCs w:val="22"/>
        </w:rPr>
        <w:t xml:space="preserve"> yüzde puan </w:t>
      </w:r>
      <w:r w:rsidR="00117128">
        <w:rPr>
          <w:rFonts w:ascii="Palatino Linotype" w:hAnsi="Palatino Linotype" w:cstheme="minorHAnsi"/>
          <w:sz w:val="22"/>
          <w:szCs w:val="22"/>
        </w:rPr>
        <w:t>düşürdü</w:t>
      </w:r>
      <w:r w:rsidR="005D0E8C">
        <w:rPr>
          <w:rFonts w:ascii="Palatino Linotype" w:hAnsi="Palatino Linotype" w:cstheme="minorHAnsi"/>
          <w:sz w:val="22"/>
          <w:szCs w:val="22"/>
        </w:rPr>
        <w:t xml:space="preserve">. </w:t>
      </w:r>
      <w:r w:rsidR="00AC59ED" w:rsidRPr="005E0D21">
        <w:rPr>
          <w:rFonts w:ascii="Palatino Linotype" w:hAnsi="Palatino Linotype" w:cstheme="minorHAnsi"/>
          <w:sz w:val="22"/>
          <w:szCs w:val="22"/>
        </w:rPr>
        <w:t xml:space="preserve">Mevsim ve takvim etkisinden arındırılmış serilere </w:t>
      </w:r>
      <w:r w:rsidR="005D0E8C">
        <w:rPr>
          <w:rFonts w:ascii="Palatino Linotype" w:hAnsi="Palatino Linotype" w:cstheme="minorHAnsi"/>
          <w:sz w:val="22"/>
          <w:szCs w:val="22"/>
        </w:rPr>
        <w:t>göre</w:t>
      </w:r>
      <w:r w:rsidR="00AC59ED" w:rsidRPr="005E0D21">
        <w:rPr>
          <w:rFonts w:ascii="Palatino Linotype" w:hAnsi="Palatino Linotype" w:cstheme="minorHAnsi"/>
          <w:sz w:val="22"/>
          <w:szCs w:val="22"/>
        </w:rPr>
        <w:t xml:space="preserve"> ise</w:t>
      </w:r>
      <w:r w:rsidR="005D0E8C">
        <w:rPr>
          <w:rFonts w:ascii="Palatino Linotype" w:hAnsi="Palatino Linotype" w:cstheme="minorHAnsi"/>
          <w:sz w:val="22"/>
          <w:szCs w:val="22"/>
        </w:rPr>
        <w:t xml:space="preserve"> </w:t>
      </w:r>
      <w:r w:rsidR="00CE2DF7">
        <w:rPr>
          <w:rFonts w:ascii="Palatino Linotype" w:hAnsi="Palatino Linotype" w:cstheme="minorHAnsi"/>
          <w:sz w:val="22"/>
          <w:szCs w:val="22"/>
        </w:rPr>
        <w:t xml:space="preserve">Türkiye ekonomisi </w:t>
      </w:r>
      <w:r w:rsidR="00492E7A">
        <w:rPr>
          <w:rFonts w:ascii="Palatino Linotype" w:hAnsi="Palatino Linotype" w:cstheme="minorHAnsi"/>
          <w:sz w:val="22"/>
          <w:szCs w:val="22"/>
        </w:rPr>
        <w:t xml:space="preserve">9 çeyrek sonra küçüldü. </w:t>
      </w:r>
      <w:r w:rsidR="00445C96">
        <w:rPr>
          <w:rFonts w:ascii="Palatino Linotype" w:hAnsi="Palatino Linotype" w:cstheme="minorHAnsi"/>
          <w:sz w:val="22"/>
          <w:szCs w:val="22"/>
        </w:rPr>
        <w:t xml:space="preserve">Çeyreklik büyümeye </w:t>
      </w:r>
      <w:r w:rsidR="00F646E5">
        <w:rPr>
          <w:rFonts w:ascii="Palatino Linotype" w:hAnsi="Palatino Linotype" w:cstheme="minorHAnsi"/>
          <w:sz w:val="22"/>
          <w:szCs w:val="22"/>
        </w:rPr>
        <w:t>özel tüketim 2,</w:t>
      </w:r>
      <w:r w:rsidR="00F83779">
        <w:rPr>
          <w:rFonts w:ascii="Palatino Linotype" w:hAnsi="Palatino Linotype" w:cstheme="minorHAnsi"/>
          <w:sz w:val="22"/>
          <w:szCs w:val="22"/>
        </w:rPr>
        <w:t>4</w:t>
      </w:r>
      <w:r w:rsidR="00F646E5">
        <w:rPr>
          <w:rFonts w:ascii="Palatino Linotype" w:hAnsi="Palatino Linotype" w:cstheme="minorHAnsi"/>
          <w:sz w:val="22"/>
          <w:szCs w:val="22"/>
        </w:rPr>
        <w:t xml:space="preserve"> yüzde puan</w:t>
      </w:r>
      <w:r w:rsidR="005D1F23">
        <w:rPr>
          <w:rFonts w:ascii="Palatino Linotype" w:hAnsi="Palatino Linotype" w:cstheme="minorHAnsi"/>
          <w:sz w:val="22"/>
          <w:szCs w:val="22"/>
        </w:rPr>
        <w:t xml:space="preserve"> pozitif katkı yaparken</w:t>
      </w:r>
      <w:r w:rsidR="00F646E5">
        <w:rPr>
          <w:rFonts w:ascii="Palatino Linotype" w:hAnsi="Palatino Linotype" w:cstheme="minorHAnsi"/>
          <w:sz w:val="22"/>
          <w:szCs w:val="22"/>
        </w:rPr>
        <w:t xml:space="preserve">, dış ticaret </w:t>
      </w:r>
      <w:r w:rsidR="005D1F23">
        <w:rPr>
          <w:rFonts w:ascii="Palatino Linotype" w:hAnsi="Palatino Linotype" w:cstheme="minorHAnsi"/>
          <w:sz w:val="22"/>
          <w:szCs w:val="22"/>
        </w:rPr>
        <w:t>2,5</w:t>
      </w:r>
      <w:r w:rsidR="00F646E5">
        <w:rPr>
          <w:rFonts w:ascii="Palatino Linotype" w:hAnsi="Palatino Linotype" w:cstheme="minorHAnsi"/>
          <w:sz w:val="22"/>
          <w:szCs w:val="22"/>
        </w:rPr>
        <w:t xml:space="preserve"> yüzde puan</w:t>
      </w:r>
      <w:r w:rsidR="005D1F23">
        <w:rPr>
          <w:rFonts w:ascii="Palatino Linotype" w:hAnsi="Palatino Linotype" w:cstheme="minorHAnsi"/>
          <w:sz w:val="22"/>
          <w:szCs w:val="22"/>
        </w:rPr>
        <w:t xml:space="preserve"> negatif</w:t>
      </w:r>
      <w:r w:rsidR="00F646E5">
        <w:rPr>
          <w:rFonts w:ascii="Palatino Linotype" w:hAnsi="Palatino Linotype" w:cstheme="minorHAnsi"/>
          <w:sz w:val="22"/>
          <w:szCs w:val="22"/>
        </w:rPr>
        <w:t xml:space="preserve"> katkı yaptı. </w:t>
      </w:r>
      <w:r w:rsidR="00990A16">
        <w:rPr>
          <w:rFonts w:ascii="Palatino Linotype" w:hAnsi="Palatino Linotype" w:cstheme="minorHAnsi"/>
          <w:sz w:val="22"/>
          <w:szCs w:val="22"/>
        </w:rPr>
        <w:t xml:space="preserve">Stok değişimi ve yatırımlar ise </w:t>
      </w:r>
      <w:r w:rsidR="00880210">
        <w:rPr>
          <w:rFonts w:ascii="Palatino Linotype" w:hAnsi="Palatino Linotype" w:cstheme="minorHAnsi"/>
          <w:sz w:val="22"/>
          <w:szCs w:val="22"/>
        </w:rPr>
        <w:t xml:space="preserve">çeyreklik büyümeyi </w:t>
      </w:r>
      <w:r w:rsidR="00990A16">
        <w:rPr>
          <w:rFonts w:ascii="Palatino Linotype" w:hAnsi="Palatino Linotype" w:cstheme="minorHAnsi"/>
          <w:sz w:val="22"/>
          <w:szCs w:val="22"/>
        </w:rPr>
        <w:t xml:space="preserve">sırasıyla </w:t>
      </w:r>
      <w:r w:rsidR="00653B30">
        <w:rPr>
          <w:rFonts w:ascii="Palatino Linotype" w:hAnsi="Palatino Linotype" w:cstheme="minorHAnsi"/>
          <w:sz w:val="22"/>
          <w:szCs w:val="22"/>
        </w:rPr>
        <w:t>0</w:t>
      </w:r>
      <w:r w:rsidR="00990A16">
        <w:rPr>
          <w:rFonts w:ascii="Palatino Linotype" w:hAnsi="Palatino Linotype" w:cstheme="minorHAnsi"/>
          <w:sz w:val="22"/>
          <w:szCs w:val="22"/>
        </w:rPr>
        <w:t>,</w:t>
      </w:r>
      <w:r w:rsidR="00653B30">
        <w:rPr>
          <w:rFonts w:ascii="Palatino Linotype" w:hAnsi="Palatino Linotype" w:cstheme="minorHAnsi"/>
          <w:sz w:val="22"/>
          <w:szCs w:val="22"/>
        </w:rPr>
        <w:t>8</w:t>
      </w:r>
      <w:r w:rsidR="00990A16">
        <w:rPr>
          <w:rFonts w:ascii="Palatino Linotype" w:hAnsi="Palatino Linotype" w:cstheme="minorHAnsi"/>
          <w:sz w:val="22"/>
          <w:szCs w:val="22"/>
        </w:rPr>
        <w:t xml:space="preserve"> ve 0,</w:t>
      </w:r>
      <w:r w:rsidR="00653B30">
        <w:rPr>
          <w:rFonts w:ascii="Palatino Linotype" w:hAnsi="Palatino Linotype" w:cstheme="minorHAnsi"/>
          <w:sz w:val="22"/>
          <w:szCs w:val="22"/>
        </w:rPr>
        <w:t>6</w:t>
      </w:r>
      <w:r w:rsidR="00990A16">
        <w:rPr>
          <w:rFonts w:ascii="Palatino Linotype" w:hAnsi="Palatino Linotype" w:cstheme="minorHAnsi"/>
          <w:sz w:val="22"/>
          <w:szCs w:val="22"/>
        </w:rPr>
        <w:t xml:space="preserve"> yüzde puan </w:t>
      </w:r>
      <w:r w:rsidR="00880210">
        <w:rPr>
          <w:rFonts w:ascii="Palatino Linotype" w:hAnsi="Palatino Linotype" w:cstheme="minorHAnsi"/>
          <w:sz w:val="22"/>
          <w:szCs w:val="22"/>
        </w:rPr>
        <w:t>aşağı çekti.</w:t>
      </w:r>
      <w:r w:rsidR="00917ED3">
        <w:rPr>
          <w:rFonts w:ascii="Palatino Linotype" w:hAnsi="Palatino Linotype" w:cstheme="minorHAnsi"/>
          <w:sz w:val="22"/>
          <w:szCs w:val="22"/>
        </w:rPr>
        <w:t xml:space="preserve"> </w:t>
      </w:r>
    </w:p>
    <w:p w14:paraId="3FEC0B87" w14:textId="77777777" w:rsidR="005D0E8C" w:rsidRDefault="005D0E8C" w:rsidP="00C34D9B">
      <w:pPr>
        <w:spacing w:line="360" w:lineRule="auto"/>
        <w:jc w:val="both"/>
        <w:rPr>
          <w:rFonts w:ascii="Palatino Linotype" w:hAnsi="Palatino Linotype" w:cstheme="minorHAnsi"/>
          <w:sz w:val="22"/>
          <w:szCs w:val="22"/>
        </w:rPr>
      </w:pPr>
    </w:p>
    <w:p w14:paraId="5A035E2A" w14:textId="2A34E94F" w:rsidR="00646879" w:rsidRPr="005E0D21" w:rsidRDefault="0003173A" w:rsidP="00646879">
      <w:pPr>
        <w:spacing w:line="288" w:lineRule="auto"/>
        <w:ind w:left="567" w:right="567"/>
        <w:jc w:val="both"/>
        <w:rPr>
          <w:rFonts w:ascii="Palatino Linotype" w:hAnsi="Palatino Linotype" w:cstheme="minorHAnsi"/>
          <w:sz w:val="22"/>
          <w:szCs w:val="22"/>
        </w:rPr>
      </w:pPr>
      <w:r>
        <w:rPr>
          <w:noProof/>
          <w:lang w:val="en-GB" w:eastAsia="en-GB"/>
        </w:rPr>
        <w:drawing>
          <wp:anchor distT="0" distB="0" distL="114300" distR="114300" simplePos="0" relativeHeight="251660800" behindDoc="0" locked="0" layoutInCell="1" allowOverlap="1" wp14:anchorId="2CF3BED7" wp14:editId="4C993C81">
            <wp:simplePos x="0" y="0"/>
            <wp:positionH relativeFrom="column">
              <wp:posOffset>2834005</wp:posOffset>
            </wp:positionH>
            <wp:positionV relativeFrom="paragraph">
              <wp:posOffset>571500</wp:posOffset>
            </wp:positionV>
            <wp:extent cx="3054350" cy="2089150"/>
            <wp:effectExtent l="0" t="0" r="12700" b="6350"/>
            <wp:wrapTopAndBottom/>
            <wp:docPr id="8" name="Grafik 8">
              <a:extLst xmlns:a="http://schemas.openxmlformats.org/drawingml/2006/main">
                <a:ext uri="{FF2B5EF4-FFF2-40B4-BE49-F238E27FC236}">
                  <a16:creationId xmlns:a16="http://schemas.microsoft.com/office/drawing/2014/main" id="{AFB3EBE0-1CE9-4AEA-A1FE-DB805BE5CA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776" behindDoc="1" locked="0" layoutInCell="1" allowOverlap="1" wp14:anchorId="78C11F30" wp14:editId="4AE74414">
            <wp:simplePos x="0" y="0"/>
            <wp:positionH relativeFrom="column">
              <wp:posOffset>-226695</wp:posOffset>
            </wp:positionH>
            <wp:positionV relativeFrom="paragraph">
              <wp:posOffset>571500</wp:posOffset>
            </wp:positionV>
            <wp:extent cx="3009900" cy="2089150"/>
            <wp:effectExtent l="0" t="0" r="0" b="6350"/>
            <wp:wrapTopAndBottom/>
            <wp:docPr id="5" name="Grafik 5">
              <a:extLst xmlns:a="http://schemas.openxmlformats.org/drawingml/2006/main">
                <a:ext uri="{FF2B5EF4-FFF2-40B4-BE49-F238E27FC236}">
                  <a16:creationId xmlns:a16="http://schemas.microsoft.com/office/drawing/2014/main" id="{9B9379E2-FACF-42A2-8E29-5A1841D3A5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46879" w:rsidRPr="005E0D21">
        <w:rPr>
          <w:rFonts w:ascii="Palatino Linotype" w:hAnsi="Palatino Linotype" w:cstheme="minorHAnsi"/>
          <w:b/>
          <w:bCs/>
          <w:sz w:val="22"/>
          <w:szCs w:val="22"/>
        </w:rPr>
        <w:t>Şekil</w:t>
      </w:r>
      <w:r w:rsidR="001F1CCF">
        <w:rPr>
          <w:rFonts w:ascii="Palatino Linotype" w:hAnsi="Palatino Linotype" w:cstheme="minorHAnsi"/>
          <w:b/>
          <w:bCs/>
          <w:sz w:val="22"/>
          <w:szCs w:val="22"/>
        </w:rPr>
        <w:t xml:space="preserve"> 1: GSYH alt kalemlerinin 202</w:t>
      </w:r>
      <w:r w:rsidR="00C34D9B">
        <w:rPr>
          <w:rFonts w:ascii="Palatino Linotype" w:hAnsi="Palatino Linotype" w:cstheme="minorHAnsi"/>
          <w:b/>
          <w:bCs/>
          <w:sz w:val="22"/>
          <w:szCs w:val="22"/>
        </w:rPr>
        <w:t>2</w:t>
      </w:r>
      <w:r w:rsidR="001F1CCF">
        <w:rPr>
          <w:rFonts w:ascii="Palatino Linotype" w:hAnsi="Palatino Linotype" w:cstheme="minorHAnsi"/>
          <w:b/>
          <w:bCs/>
          <w:sz w:val="22"/>
          <w:szCs w:val="22"/>
        </w:rPr>
        <w:t xml:space="preserve"> </w:t>
      </w:r>
      <w:r w:rsidR="009858E9">
        <w:rPr>
          <w:rFonts w:ascii="Palatino Linotype" w:hAnsi="Palatino Linotype" w:cstheme="minorHAnsi"/>
          <w:b/>
          <w:bCs/>
          <w:sz w:val="22"/>
          <w:szCs w:val="22"/>
        </w:rPr>
        <w:t>3</w:t>
      </w:r>
      <w:r w:rsidR="00646879" w:rsidRPr="005E0D21">
        <w:rPr>
          <w:rFonts w:ascii="Palatino Linotype" w:hAnsi="Palatino Linotype" w:cstheme="minorHAnsi"/>
          <w:b/>
          <w:bCs/>
          <w:sz w:val="22"/>
          <w:szCs w:val="22"/>
        </w:rPr>
        <w:t>. çeyrekte bir önceki yılın aynı çeyreğine göre büyümeye katkıları (sol şekil) ve büyüme oranları (sağ şekil)</w:t>
      </w:r>
    </w:p>
    <w:bookmarkEnd w:id="0"/>
    <w:bookmarkEnd w:id="1"/>
    <w:p w14:paraId="535900CC" w14:textId="18273932" w:rsidR="0045146C" w:rsidRDefault="0045146C" w:rsidP="00BB27EB">
      <w:pPr>
        <w:ind w:left="567" w:right="567"/>
        <w:jc w:val="both"/>
        <w:rPr>
          <w:rFonts w:ascii="Palatino Linotype" w:hAnsi="Palatino Linotype" w:cstheme="minorHAnsi"/>
          <w:sz w:val="18"/>
          <w:szCs w:val="18"/>
        </w:rPr>
      </w:pPr>
    </w:p>
    <w:p w14:paraId="27DDFB67" w14:textId="3BB91CF5" w:rsidR="00C1422A" w:rsidRPr="005E0D21" w:rsidRDefault="00C1422A" w:rsidP="0003173A">
      <w:pPr>
        <w:ind w:right="567" w:firstLine="567"/>
        <w:jc w:val="both"/>
        <w:rPr>
          <w:rFonts w:ascii="Palatino Linotype" w:hAnsi="Palatino Linotype" w:cstheme="minorHAnsi"/>
        </w:rPr>
      </w:pPr>
      <w:r w:rsidRPr="005E0D21">
        <w:rPr>
          <w:rFonts w:ascii="Palatino Linotype" w:hAnsi="Palatino Linotype" w:cstheme="minorHAnsi"/>
          <w:sz w:val="18"/>
          <w:szCs w:val="18"/>
        </w:rPr>
        <w:t>Kaynak: TÜİK, Betam</w:t>
      </w:r>
      <w:r w:rsidRPr="005E0D21">
        <w:rPr>
          <w:rFonts w:ascii="Palatino Linotype" w:hAnsi="Palatino Linotype" w:cstheme="minorHAnsi"/>
          <w:sz w:val="16"/>
          <w:szCs w:val="16"/>
        </w:rPr>
        <w:t xml:space="preserve">. </w:t>
      </w:r>
    </w:p>
    <w:p w14:paraId="24C6C2F1" w14:textId="0BC55561" w:rsidR="0033649B"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47F373E6" w14:textId="1ABFB52E"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02C9166F" w14:textId="77777777"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753758E6" w14:textId="77777777" w:rsidR="00900E1A" w:rsidRPr="005E0D21" w:rsidRDefault="00900E1A"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66A8F766" w14:textId="77777777" w:rsidR="00C34D9B" w:rsidRDefault="00C34D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6D04EC50" w:rsidR="006C3EE6" w:rsidRPr="005E0D21"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5E0D21">
        <w:rPr>
          <w:rFonts w:ascii="Palatino Linotype" w:hAnsi="Palatino Linotype" w:cstheme="minorHAnsi"/>
          <w:b/>
          <w:bCs/>
          <w:sz w:val="22"/>
          <w:szCs w:val="22"/>
        </w:rPr>
        <w:t>Özel</w:t>
      </w:r>
      <w:r w:rsidR="00C11B5A" w:rsidRPr="005E0D21">
        <w:rPr>
          <w:rFonts w:ascii="Palatino Linotype" w:hAnsi="Palatino Linotype" w:cstheme="minorHAnsi"/>
          <w:b/>
          <w:bCs/>
          <w:sz w:val="22"/>
          <w:szCs w:val="22"/>
        </w:rPr>
        <w:t xml:space="preserve"> t</w:t>
      </w:r>
      <w:r w:rsidR="00D1282D" w:rsidRPr="005E0D21">
        <w:rPr>
          <w:rFonts w:ascii="Palatino Linotype" w:hAnsi="Palatino Linotype" w:cstheme="minorHAnsi"/>
          <w:b/>
          <w:bCs/>
          <w:sz w:val="22"/>
          <w:szCs w:val="22"/>
        </w:rPr>
        <w:t>üketim</w:t>
      </w:r>
      <w:r w:rsidR="00BB3FE6" w:rsidRPr="005E0D21">
        <w:rPr>
          <w:rFonts w:ascii="Palatino Linotype" w:hAnsi="Palatino Linotype" w:cstheme="minorHAnsi"/>
          <w:b/>
          <w:bCs/>
          <w:sz w:val="22"/>
          <w:szCs w:val="22"/>
        </w:rPr>
        <w:t xml:space="preserve">de </w:t>
      </w:r>
      <w:r w:rsidR="0031731B">
        <w:rPr>
          <w:rFonts w:ascii="Palatino Linotype" w:hAnsi="Palatino Linotype" w:cstheme="minorHAnsi"/>
          <w:b/>
          <w:bCs/>
          <w:sz w:val="22"/>
          <w:szCs w:val="22"/>
        </w:rPr>
        <w:t>artış sürüyor</w:t>
      </w:r>
    </w:p>
    <w:p w14:paraId="3D67829E" w14:textId="0A2C8235" w:rsidR="00044AF3" w:rsidRPr="005E0D21" w:rsidRDefault="00BB05D5" w:rsidP="00916C7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3C09C5">
        <w:rPr>
          <w:rFonts w:ascii="Palatino Linotype" w:hAnsi="Palatino Linotype" w:cstheme="minorHAnsi"/>
          <w:sz w:val="22"/>
          <w:szCs w:val="22"/>
        </w:rPr>
        <w:t>2</w:t>
      </w:r>
      <w:r w:rsidRPr="005E0D21">
        <w:rPr>
          <w:rFonts w:ascii="Palatino Linotype" w:hAnsi="Palatino Linotype" w:cstheme="minorHAnsi"/>
          <w:sz w:val="22"/>
          <w:szCs w:val="22"/>
        </w:rPr>
        <w:t xml:space="preserve"> yılının </w:t>
      </w:r>
      <w:r w:rsidR="00BF7DA2">
        <w:rPr>
          <w:rFonts w:ascii="Palatino Linotype" w:hAnsi="Palatino Linotype" w:cstheme="minorHAnsi"/>
          <w:sz w:val="22"/>
          <w:szCs w:val="22"/>
        </w:rPr>
        <w:t>üçüncü</w:t>
      </w:r>
      <w:r w:rsidRPr="005E0D21">
        <w:rPr>
          <w:rFonts w:ascii="Palatino Linotype" w:hAnsi="Palatino Linotype" w:cstheme="minorHAnsi"/>
          <w:sz w:val="22"/>
          <w:szCs w:val="22"/>
        </w:rPr>
        <w:t xml:space="preserve"> çeyreğinde özel tüketim yıllık yüzde </w:t>
      </w:r>
      <w:r w:rsidR="00BA6343">
        <w:rPr>
          <w:rFonts w:ascii="Palatino Linotype" w:hAnsi="Palatino Linotype" w:cstheme="minorHAnsi"/>
          <w:sz w:val="22"/>
          <w:szCs w:val="22"/>
        </w:rPr>
        <w:t>19</w:t>
      </w:r>
      <w:r w:rsidR="003C09C5">
        <w:rPr>
          <w:rFonts w:ascii="Palatino Linotype" w:hAnsi="Palatino Linotype" w:cstheme="minorHAnsi"/>
          <w:sz w:val="22"/>
          <w:szCs w:val="22"/>
        </w:rPr>
        <w:t>,</w:t>
      </w:r>
      <w:r w:rsidR="00BA6343">
        <w:rPr>
          <w:rFonts w:ascii="Palatino Linotype" w:hAnsi="Palatino Linotype" w:cstheme="minorHAnsi"/>
          <w:sz w:val="22"/>
          <w:szCs w:val="22"/>
        </w:rPr>
        <w:t>9</w:t>
      </w:r>
      <w:r w:rsidRPr="005E0D21">
        <w:rPr>
          <w:rFonts w:ascii="Palatino Linotype" w:hAnsi="Palatino Linotype" w:cstheme="minorHAnsi"/>
          <w:sz w:val="22"/>
          <w:szCs w:val="22"/>
        </w:rPr>
        <w:t xml:space="preserve"> </w:t>
      </w:r>
      <w:r w:rsidR="00377868">
        <w:rPr>
          <w:rFonts w:ascii="Palatino Linotype" w:hAnsi="Palatino Linotype" w:cstheme="minorHAnsi"/>
          <w:sz w:val="22"/>
          <w:szCs w:val="22"/>
        </w:rPr>
        <w:t>artarak</w:t>
      </w:r>
      <w:r w:rsidRPr="005E0D21">
        <w:rPr>
          <w:rFonts w:ascii="Palatino Linotype" w:hAnsi="Palatino Linotype" w:cstheme="minorHAnsi"/>
          <w:sz w:val="22"/>
          <w:szCs w:val="22"/>
        </w:rPr>
        <w:t xml:space="preserve"> büyümeye </w:t>
      </w:r>
      <w:r w:rsidR="00377868">
        <w:rPr>
          <w:rFonts w:ascii="Palatino Linotype" w:hAnsi="Palatino Linotype" w:cstheme="minorHAnsi"/>
          <w:sz w:val="22"/>
          <w:szCs w:val="22"/>
        </w:rPr>
        <w:t>1</w:t>
      </w:r>
      <w:r w:rsidR="00BA6343">
        <w:rPr>
          <w:rFonts w:ascii="Palatino Linotype" w:hAnsi="Palatino Linotype" w:cstheme="minorHAnsi"/>
          <w:sz w:val="22"/>
          <w:szCs w:val="22"/>
        </w:rPr>
        <w:t>0</w:t>
      </w:r>
      <w:r w:rsidR="00DD1374" w:rsidRPr="005E0D21">
        <w:rPr>
          <w:rFonts w:ascii="Palatino Linotype" w:hAnsi="Palatino Linotype" w:cstheme="minorHAnsi"/>
          <w:sz w:val="22"/>
          <w:szCs w:val="22"/>
        </w:rPr>
        <w:t>,</w:t>
      </w:r>
      <w:r w:rsidR="00BA6343">
        <w:rPr>
          <w:rFonts w:ascii="Palatino Linotype" w:hAnsi="Palatino Linotype" w:cstheme="minorHAnsi"/>
          <w:sz w:val="22"/>
          <w:szCs w:val="22"/>
        </w:rPr>
        <w:t>8</w:t>
      </w:r>
      <w:r w:rsidRPr="005E0D21">
        <w:rPr>
          <w:rFonts w:ascii="Palatino Linotype" w:hAnsi="Palatino Linotype" w:cstheme="minorHAnsi"/>
          <w:sz w:val="22"/>
          <w:szCs w:val="22"/>
        </w:rPr>
        <w:t xml:space="preserve"> yüzde puan katkı yaptı</w:t>
      </w:r>
      <w:r w:rsidR="003C267D" w:rsidRPr="005E0D21">
        <w:rPr>
          <w:rFonts w:ascii="Palatino Linotype" w:hAnsi="Palatino Linotype" w:cstheme="minorHAnsi"/>
          <w:sz w:val="22"/>
          <w:szCs w:val="22"/>
        </w:rPr>
        <w:t xml:space="preserve"> (</w:t>
      </w:r>
      <w:r w:rsidR="003F00A9" w:rsidRPr="005E0D21">
        <w:rPr>
          <w:rFonts w:ascii="Palatino Linotype" w:hAnsi="Palatino Linotype" w:cstheme="minorHAnsi"/>
          <w:sz w:val="22"/>
          <w:szCs w:val="22"/>
        </w:rPr>
        <w:t xml:space="preserve">Tablo 1). </w:t>
      </w:r>
      <w:bookmarkStart w:id="4" w:name="OLE_LINK21"/>
      <w:bookmarkStart w:id="5" w:name="OLE_LINK22"/>
      <w:r w:rsidR="003F00A9" w:rsidRPr="005E0D21">
        <w:rPr>
          <w:rFonts w:ascii="Palatino Linotype" w:hAnsi="Palatino Linotype" w:cstheme="minorHAnsi"/>
          <w:sz w:val="22"/>
          <w:szCs w:val="22"/>
        </w:rPr>
        <w:t xml:space="preserve">Mevsim ve takvim etkilerinden arındırılmış rakamlara baktığımızda ise </w:t>
      </w:r>
      <w:r w:rsidR="00CD6CF2">
        <w:rPr>
          <w:rFonts w:ascii="Palatino Linotype" w:hAnsi="Palatino Linotype" w:cstheme="minorHAnsi"/>
          <w:sz w:val="22"/>
          <w:szCs w:val="22"/>
        </w:rPr>
        <w:t xml:space="preserve">özel tüketimin </w:t>
      </w:r>
      <w:r w:rsidR="00524F9F">
        <w:rPr>
          <w:rFonts w:ascii="Palatino Linotype" w:hAnsi="Palatino Linotype" w:cstheme="minorHAnsi"/>
          <w:sz w:val="22"/>
          <w:szCs w:val="22"/>
        </w:rPr>
        <w:t xml:space="preserve">yüzde 3,9 artarak çeyrekten çeyreğe büyümeye </w:t>
      </w:r>
      <w:r w:rsidR="002A2C66">
        <w:rPr>
          <w:rFonts w:ascii="Palatino Linotype" w:hAnsi="Palatino Linotype" w:cstheme="minorHAnsi"/>
          <w:sz w:val="22"/>
          <w:szCs w:val="22"/>
        </w:rPr>
        <w:t>2,</w:t>
      </w:r>
      <w:r w:rsidR="00F07BC3">
        <w:rPr>
          <w:rFonts w:ascii="Palatino Linotype" w:hAnsi="Palatino Linotype" w:cstheme="minorHAnsi"/>
          <w:sz w:val="22"/>
          <w:szCs w:val="22"/>
        </w:rPr>
        <w:t>4</w:t>
      </w:r>
      <w:r w:rsidR="002A2C66">
        <w:rPr>
          <w:rFonts w:ascii="Palatino Linotype" w:hAnsi="Palatino Linotype" w:cstheme="minorHAnsi"/>
          <w:sz w:val="22"/>
          <w:szCs w:val="22"/>
        </w:rPr>
        <w:t xml:space="preserve"> yüzde puan katkı yaptığını görüyoruz</w:t>
      </w:r>
      <w:r w:rsidR="003F00A9" w:rsidRPr="005E0D21">
        <w:rPr>
          <w:rFonts w:ascii="Palatino Linotype" w:hAnsi="Palatino Linotype" w:cstheme="minorHAnsi"/>
          <w:sz w:val="22"/>
          <w:szCs w:val="22"/>
        </w:rPr>
        <w:t xml:space="preserve"> </w:t>
      </w:r>
      <w:bookmarkEnd w:id="4"/>
      <w:bookmarkEnd w:id="5"/>
      <w:r w:rsidR="003F00A9" w:rsidRPr="005E0D21">
        <w:rPr>
          <w:rFonts w:ascii="Palatino Linotype" w:hAnsi="Palatino Linotype" w:cstheme="minorHAnsi"/>
          <w:sz w:val="22"/>
          <w:szCs w:val="22"/>
        </w:rPr>
        <w:t>(Tablo 2</w:t>
      </w:r>
      <w:r w:rsidR="00715A66" w:rsidRPr="005E0D21">
        <w:rPr>
          <w:rFonts w:ascii="Palatino Linotype" w:hAnsi="Palatino Linotype" w:cstheme="minorHAnsi"/>
          <w:sz w:val="22"/>
          <w:szCs w:val="22"/>
        </w:rPr>
        <w:t>).</w:t>
      </w:r>
      <w:r w:rsidR="00F94070" w:rsidRPr="005E0D21">
        <w:rPr>
          <w:rFonts w:ascii="Palatino Linotype" w:hAnsi="Palatino Linotype" w:cstheme="minorHAnsi"/>
          <w:sz w:val="22"/>
          <w:szCs w:val="22"/>
        </w:rPr>
        <w:t xml:space="preserve"> </w:t>
      </w:r>
    </w:p>
    <w:p w14:paraId="376793DA" w14:textId="77777777" w:rsidR="0000013E" w:rsidRPr="005E0D21"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51C4E532" w:rsidR="004647F0" w:rsidRPr="005E0D21" w:rsidRDefault="006C3EE6" w:rsidP="006C3EE6">
      <w:pPr>
        <w:keepNext/>
        <w:ind w:right="77"/>
        <w:jc w:val="both"/>
        <w:rPr>
          <w:rFonts w:ascii="Palatino Linotype" w:hAnsi="Palatino Linotype" w:cstheme="minorHAnsi"/>
          <w:b/>
          <w:bCs/>
          <w:sz w:val="22"/>
          <w:szCs w:val="22"/>
        </w:rPr>
      </w:pPr>
      <w:r w:rsidRPr="005E0D21">
        <w:rPr>
          <w:rFonts w:ascii="Palatino Linotype" w:hAnsi="Palatino Linotype" w:cstheme="minorHAnsi"/>
          <w:b/>
          <w:bCs/>
          <w:sz w:val="22"/>
          <w:szCs w:val="22"/>
        </w:rPr>
        <w:t xml:space="preserve">Tablo 1: </w:t>
      </w:r>
      <w:r w:rsidR="00D53424" w:rsidRPr="005E0D21">
        <w:rPr>
          <w:rFonts w:ascii="Palatino Linotype" w:hAnsi="Palatino Linotype" w:cstheme="minorHAnsi"/>
          <w:b/>
          <w:bCs/>
          <w:sz w:val="22"/>
          <w:szCs w:val="22"/>
        </w:rPr>
        <w:t xml:space="preserve">GSYH alt kalemlerinin </w:t>
      </w:r>
      <w:bookmarkStart w:id="6" w:name="OLE_LINK1"/>
      <w:bookmarkStart w:id="7" w:name="OLE_LINK2"/>
      <w:r w:rsidR="009F2483" w:rsidRPr="005E0D21">
        <w:rPr>
          <w:rFonts w:ascii="Palatino Linotype" w:hAnsi="Palatino Linotype" w:cstheme="minorHAnsi"/>
          <w:b/>
          <w:bCs/>
          <w:sz w:val="22"/>
          <w:szCs w:val="22"/>
        </w:rPr>
        <w:t>20</w:t>
      </w:r>
      <w:r w:rsidR="0001081A" w:rsidRPr="005E0D21">
        <w:rPr>
          <w:rFonts w:ascii="Palatino Linotype" w:hAnsi="Palatino Linotype" w:cstheme="minorHAnsi"/>
          <w:b/>
          <w:bCs/>
          <w:sz w:val="22"/>
          <w:szCs w:val="22"/>
        </w:rPr>
        <w:t>2</w:t>
      </w:r>
      <w:r w:rsidR="003800CF">
        <w:rPr>
          <w:rFonts w:ascii="Palatino Linotype" w:hAnsi="Palatino Linotype" w:cstheme="minorHAnsi"/>
          <w:b/>
          <w:bCs/>
          <w:sz w:val="22"/>
          <w:szCs w:val="22"/>
        </w:rPr>
        <w:t>2</w:t>
      </w:r>
      <w:r w:rsidR="009F2483" w:rsidRPr="005E0D21">
        <w:rPr>
          <w:rFonts w:ascii="Palatino Linotype" w:hAnsi="Palatino Linotype" w:cstheme="minorHAnsi"/>
          <w:b/>
          <w:bCs/>
          <w:sz w:val="22"/>
          <w:szCs w:val="22"/>
        </w:rPr>
        <w:t xml:space="preserve"> </w:t>
      </w:r>
      <w:r w:rsidR="00063B28">
        <w:rPr>
          <w:rFonts w:ascii="Palatino Linotype" w:hAnsi="Palatino Linotype" w:cstheme="minorHAnsi"/>
          <w:b/>
          <w:bCs/>
          <w:sz w:val="22"/>
          <w:szCs w:val="22"/>
        </w:rPr>
        <w:t>2</w:t>
      </w:r>
      <w:r w:rsidR="00632CF6" w:rsidRPr="005E0D21">
        <w:rPr>
          <w:rFonts w:ascii="Palatino Linotype" w:hAnsi="Palatino Linotype" w:cstheme="minorHAnsi"/>
          <w:b/>
          <w:bCs/>
          <w:sz w:val="22"/>
          <w:szCs w:val="22"/>
        </w:rPr>
        <w:t>. ve 20</w:t>
      </w:r>
      <w:r w:rsidR="00BB0912" w:rsidRPr="005E0D21">
        <w:rPr>
          <w:rFonts w:ascii="Palatino Linotype" w:hAnsi="Palatino Linotype" w:cstheme="minorHAnsi"/>
          <w:b/>
          <w:bCs/>
          <w:sz w:val="22"/>
          <w:szCs w:val="22"/>
        </w:rPr>
        <w:t>2</w:t>
      </w:r>
      <w:r w:rsidR="00C34D9B">
        <w:rPr>
          <w:rFonts w:ascii="Palatino Linotype" w:hAnsi="Palatino Linotype" w:cstheme="minorHAnsi"/>
          <w:b/>
          <w:bCs/>
          <w:sz w:val="22"/>
          <w:szCs w:val="22"/>
        </w:rPr>
        <w:t>2</w:t>
      </w:r>
      <w:r w:rsidR="00632CF6" w:rsidRPr="005E0D21">
        <w:rPr>
          <w:rFonts w:ascii="Palatino Linotype" w:hAnsi="Palatino Linotype" w:cstheme="minorHAnsi"/>
          <w:b/>
          <w:bCs/>
          <w:sz w:val="22"/>
          <w:szCs w:val="22"/>
        </w:rPr>
        <w:t xml:space="preserve"> </w:t>
      </w:r>
      <w:r w:rsidR="00063B28">
        <w:rPr>
          <w:rFonts w:ascii="Palatino Linotype" w:hAnsi="Palatino Linotype" w:cstheme="minorHAnsi"/>
          <w:b/>
          <w:bCs/>
          <w:sz w:val="22"/>
          <w:szCs w:val="22"/>
        </w:rPr>
        <w:t>3</w:t>
      </w:r>
      <w:r w:rsidR="009F2483" w:rsidRPr="005E0D21">
        <w:rPr>
          <w:rFonts w:ascii="Palatino Linotype" w:hAnsi="Palatino Linotype" w:cstheme="minorHAnsi"/>
          <w:b/>
          <w:bCs/>
          <w:sz w:val="22"/>
          <w:szCs w:val="22"/>
        </w:rPr>
        <w:t>. çeyrekte</w:t>
      </w:r>
      <w:bookmarkEnd w:id="6"/>
      <w:bookmarkEnd w:id="7"/>
      <w:r w:rsidR="009F2483" w:rsidRPr="005E0D21">
        <w:rPr>
          <w:rFonts w:ascii="Palatino Linotype" w:hAnsi="Palatino Linotype" w:cstheme="minorHAnsi"/>
          <w:b/>
          <w:bCs/>
          <w:sz w:val="22"/>
          <w:szCs w:val="22"/>
        </w:rPr>
        <w:t xml:space="preserve"> </w:t>
      </w:r>
      <w:r w:rsidRPr="005E0D21">
        <w:rPr>
          <w:rFonts w:ascii="Palatino Linotype" w:hAnsi="Palatino Linotype" w:cstheme="minorHAnsi"/>
          <w:b/>
          <w:bCs/>
          <w:sz w:val="22"/>
          <w:szCs w:val="22"/>
        </w:rPr>
        <w:t>bir önceki yılın aynı çeyreğine göre büyüme oranları ve büyümeye katkıları</w:t>
      </w:r>
    </w:p>
    <w:p w14:paraId="3BD50814" w14:textId="77777777" w:rsidR="008949E0" w:rsidRPr="005E0D21" w:rsidRDefault="008949E0" w:rsidP="006C3EE6">
      <w:pPr>
        <w:keepNext/>
        <w:ind w:right="77"/>
        <w:jc w:val="both"/>
        <w:rPr>
          <w:rFonts w:ascii="Palatino Linotype" w:hAnsi="Palatino Linotype" w:cstheme="minorHAnsi"/>
          <w:b/>
          <w:bCs/>
          <w:sz w:val="22"/>
          <w:szCs w:val="22"/>
        </w:rPr>
      </w:pPr>
    </w:p>
    <w:tbl>
      <w:tblPr>
        <w:tblW w:w="6200" w:type="dxa"/>
        <w:tblCellMar>
          <w:left w:w="70" w:type="dxa"/>
          <w:right w:w="70" w:type="dxa"/>
        </w:tblCellMar>
        <w:tblLook w:val="04A0" w:firstRow="1" w:lastRow="0" w:firstColumn="1" w:lastColumn="0" w:noHBand="0" w:noVBand="1"/>
      </w:tblPr>
      <w:tblGrid>
        <w:gridCol w:w="1560"/>
        <w:gridCol w:w="1316"/>
        <w:gridCol w:w="1004"/>
        <w:gridCol w:w="1316"/>
        <w:gridCol w:w="1004"/>
      </w:tblGrid>
      <w:tr w:rsidR="0095079F" w14:paraId="38174D0F" w14:textId="77777777" w:rsidTr="0095079F">
        <w:trPr>
          <w:trHeight w:val="283"/>
        </w:trPr>
        <w:tc>
          <w:tcPr>
            <w:tcW w:w="1560" w:type="dxa"/>
            <w:tcBorders>
              <w:top w:val="nil"/>
              <w:left w:val="nil"/>
              <w:bottom w:val="nil"/>
              <w:right w:val="nil"/>
            </w:tcBorders>
            <w:shd w:val="clear" w:color="000000" w:fill="FFFFFF"/>
            <w:noWrap/>
            <w:vAlign w:val="bottom"/>
            <w:hideMark/>
          </w:tcPr>
          <w:p w14:paraId="10FCCCAC"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 </w:t>
            </w:r>
          </w:p>
        </w:tc>
        <w:tc>
          <w:tcPr>
            <w:tcW w:w="23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D44A0E6"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2022Q2</w:t>
            </w:r>
          </w:p>
        </w:tc>
        <w:tc>
          <w:tcPr>
            <w:tcW w:w="23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CDD7D28"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2022Q3</w:t>
            </w:r>
          </w:p>
        </w:tc>
      </w:tr>
      <w:tr w:rsidR="0095079F" w14:paraId="398202D2" w14:textId="77777777" w:rsidTr="0095079F">
        <w:trPr>
          <w:trHeight w:val="283"/>
        </w:trPr>
        <w:tc>
          <w:tcPr>
            <w:tcW w:w="1560" w:type="dxa"/>
            <w:tcBorders>
              <w:top w:val="nil"/>
              <w:left w:val="nil"/>
              <w:bottom w:val="nil"/>
              <w:right w:val="nil"/>
            </w:tcBorders>
            <w:shd w:val="clear" w:color="000000" w:fill="FFFFFF"/>
            <w:noWrap/>
            <w:vAlign w:val="bottom"/>
            <w:hideMark/>
          </w:tcPr>
          <w:p w14:paraId="70F41702"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 </w:t>
            </w:r>
          </w:p>
        </w:tc>
        <w:tc>
          <w:tcPr>
            <w:tcW w:w="1316" w:type="dxa"/>
            <w:tcBorders>
              <w:top w:val="nil"/>
              <w:left w:val="single" w:sz="4" w:space="0" w:color="auto"/>
              <w:bottom w:val="single" w:sz="4" w:space="0" w:color="auto"/>
              <w:right w:val="nil"/>
            </w:tcBorders>
            <w:shd w:val="clear" w:color="000000" w:fill="FFFFFF"/>
            <w:noWrap/>
            <w:vAlign w:val="bottom"/>
            <w:hideMark/>
          </w:tcPr>
          <w:p w14:paraId="5F238A68"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1004" w:type="dxa"/>
            <w:tcBorders>
              <w:top w:val="nil"/>
              <w:left w:val="nil"/>
              <w:bottom w:val="nil"/>
              <w:right w:val="single" w:sz="4" w:space="0" w:color="auto"/>
            </w:tcBorders>
            <w:shd w:val="clear" w:color="000000" w:fill="FFFFFF"/>
            <w:noWrap/>
            <w:vAlign w:val="bottom"/>
            <w:hideMark/>
          </w:tcPr>
          <w:p w14:paraId="71819A29"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316" w:type="dxa"/>
            <w:tcBorders>
              <w:top w:val="nil"/>
              <w:left w:val="nil"/>
              <w:bottom w:val="nil"/>
              <w:right w:val="nil"/>
            </w:tcBorders>
            <w:shd w:val="clear" w:color="000000" w:fill="FFFFFF"/>
            <w:noWrap/>
            <w:vAlign w:val="bottom"/>
            <w:hideMark/>
          </w:tcPr>
          <w:p w14:paraId="140403B2"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1004" w:type="dxa"/>
            <w:tcBorders>
              <w:top w:val="nil"/>
              <w:left w:val="nil"/>
              <w:bottom w:val="nil"/>
              <w:right w:val="single" w:sz="4" w:space="0" w:color="auto"/>
            </w:tcBorders>
            <w:shd w:val="clear" w:color="000000" w:fill="FFFFFF"/>
            <w:noWrap/>
            <w:vAlign w:val="bottom"/>
            <w:hideMark/>
          </w:tcPr>
          <w:p w14:paraId="790E6D3F"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95079F" w14:paraId="719B6B52" w14:textId="77777777" w:rsidTr="0095079F">
        <w:trPr>
          <w:trHeight w:val="283"/>
        </w:trPr>
        <w:tc>
          <w:tcPr>
            <w:tcW w:w="1560" w:type="dxa"/>
            <w:tcBorders>
              <w:top w:val="single" w:sz="4" w:space="0" w:color="auto"/>
              <w:left w:val="nil"/>
              <w:bottom w:val="nil"/>
              <w:right w:val="nil"/>
            </w:tcBorders>
            <w:shd w:val="clear" w:color="000000" w:fill="FFFFFF"/>
            <w:noWrap/>
            <w:vAlign w:val="bottom"/>
            <w:hideMark/>
          </w:tcPr>
          <w:p w14:paraId="4BB312B9"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Özel Tüketim</w:t>
            </w:r>
          </w:p>
        </w:tc>
        <w:tc>
          <w:tcPr>
            <w:tcW w:w="1316" w:type="dxa"/>
            <w:tcBorders>
              <w:top w:val="nil"/>
              <w:left w:val="single" w:sz="4" w:space="0" w:color="auto"/>
              <w:bottom w:val="nil"/>
              <w:right w:val="nil"/>
            </w:tcBorders>
            <w:shd w:val="clear" w:color="000000" w:fill="FFFFFF"/>
            <w:noWrap/>
            <w:vAlign w:val="bottom"/>
            <w:hideMark/>
          </w:tcPr>
          <w:p w14:paraId="2FE21448"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22.5</w:t>
            </w:r>
          </w:p>
        </w:tc>
        <w:tc>
          <w:tcPr>
            <w:tcW w:w="1004" w:type="dxa"/>
            <w:tcBorders>
              <w:top w:val="single" w:sz="4" w:space="0" w:color="auto"/>
              <w:left w:val="nil"/>
              <w:bottom w:val="nil"/>
              <w:right w:val="single" w:sz="4" w:space="0" w:color="auto"/>
            </w:tcBorders>
            <w:shd w:val="clear" w:color="000000" w:fill="FFFFFF"/>
            <w:noWrap/>
            <w:vAlign w:val="bottom"/>
            <w:hideMark/>
          </w:tcPr>
          <w:p w14:paraId="0F30D62A"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12.2</w:t>
            </w:r>
          </w:p>
        </w:tc>
        <w:tc>
          <w:tcPr>
            <w:tcW w:w="1316" w:type="dxa"/>
            <w:tcBorders>
              <w:top w:val="single" w:sz="4" w:space="0" w:color="auto"/>
              <w:left w:val="nil"/>
              <w:bottom w:val="nil"/>
              <w:right w:val="nil"/>
            </w:tcBorders>
            <w:shd w:val="clear" w:color="000000" w:fill="FFFFFF"/>
            <w:noWrap/>
            <w:vAlign w:val="bottom"/>
            <w:hideMark/>
          </w:tcPr>
          <w:p w14:paraId="5F94D216"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19.9</w:t>
            </w:r>
          </w:p>
        </w:tc>
        <w:tc>
          <w:tcPr>
            <w:tcW w:w="1004" w:type="dxa"/>
            <w:tcBorders>
              <w:top w:val="single" w:sz="4" w:space="0" w:color="auto"/>
              <w:left w:val="nil"/>
              <w:bottom w:val="nil"/>
              <w:right w:val="single" w:sz="4" w:space="0" w:color="auto"/>
            </w:tcBorders>
            <w:shd w:val="clear" w:color="000000" w:fill="FFFFFF"/>
            <w:noWrap/>
            <w:vAlign w:val="bottom"/>
            <w:hideMark/>
          </w:tcPr>
          <w:p w14:paraId="6B4C851C"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10.8</w:t>
            </w:r>
          </w:p>
        </w:tc>
      </w:tr>
      <w:tr w:rsidR="0095079F" w14:paraId="139C0251" w14:textId="77777777" w:rsidTr="0095079F">
        <w:trPr>
          <w:trHeight w:val="283"/>
        </w:trPr>
        <w:tc>
          <w:tcPr>
            <w:tcW w:w="1560" w:type="dxa"/>
            <w:tcBorders>
              <w:top w:val="nil"/>
              <w:left w:val="nil"/>
              <w:bottom w:val="nil"/>
              <w:right w:val="nil"/>
            </w:tcBorders>
            <w:shd w:val="clear" w:color="000000" w:fill="FFFFFF"/>
            <w:noWrap/>
            <w:vAlign w:val="bottom"/>
            <w:hideMark/>
          </w:tcPr>
          <w:p w14:paraId="72711535"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Kamu Tüketimi</w:t>
            </w:r>
          </w:p>
        </w:tc>
        <w:tc>
          <w:tcPr>
            <w:tcW w:w="1316" w:type="dxa"/>
            <w:tcBorders>
              <w:top w:val="nil"/>
              <w:left w:val="single" w:sz="4" w:space="0" w:color="auto"/>
              <w:bottom w:val="nil"/>
              <w:right w:val="nil"/>
            </w:tcBorders>
            <w:shd w:val="clear" w:color="000000" w:fill="FFFFFF"/>
            <w:noWrap/>
            <w:vAlign w:val="bottom"/>
            <w:hideMark/>
          </w:tcPr>
          <w:p w14:paraId="77478C29"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2.0</w:t>
            </w:r>
          </w:p>
        </w:tc>
        <w:tc>
          <w:tcPr>
            <w:tcW w:w="1004" w:type="dxa"/>
            <w:tcBorders>
              <w:top w:val="nil"/>
              <w:left w:val="nil"/>
              <w:bottom w:val="nil"/>
              <w:right w:val="single" w:sz="4" w:space="0" w:color="auto"/>
            </w:tcBorders>
            <w:shd w:val="clear" w:color="000000" w:fill="FFFFFF"/>
            <w:noWrap/>
            <w:vAlign w:val="bottom"/>
            <w:hideMark/>
          </w:tcPr>
          <w:p w14:paraId="0ED8EF1E"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0.3</w:t>
            </w:r>
          </w:p>
        </w:tc>
        <w:tc>
          <w:tcPr>
            <w:tcW w:w="1316" w:type="dxa"/>
            <w:tcBorders>
              <w:top w:val="nil"/>
              <w:left w:val="nil"/>
              <w:bottom w:val="nil"/>
              <w:right w:val="nil"/>
            </w:tcBorders>
            <w:shd w:val="clear" w:color="000000" w:fill="FFFFFF"/>
            <w:noWrap/>
            <w:vAlign w:val="bottom"/>
            <w:hideMark/>
          </w:tcPr>
          <w:p w14:paraId="335A0CDE"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8.5</w:t>
            </w:r>
          </w:p>
        </w:tc>
        <w:tc>
          <w:tcPr>
            <w:tcW w:w="1004" w:type="dxa"/>
            <w:tcBorders>
              <w:top w:val="nil"/>
              <w:left w:val="nil"/>
              <w:bottom w:val="nil"/>
              <w:right w:val="single" w:sz="4" w:space="0" w:color="auto"/>
            </w:tcBorders>
            <w:shd w:val="clear" w:color="000000" w:fill="FFFFFF"/>
            <w:noWrap/>
            <w:vAlign w:val="bottom"/>
            <w:hideMark/>
          </w:tcPr>
          <w:p w14:paraId="20AC789E"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1.1</w:t>
            </w:r>
          </w:p>
        </w:tc>
      </w:tr>
      <w:tr w:rsidR="0095079F" w14:paraId="30DAE995" w14:textId="77777777" w:rsidTr="0095079F">
        <w:trPr>
          <w:trHeight w:val="283"/>
        </w:trPr>
        <w:tc>
          <w:tcPr>
            <w:tcW w:w="1560" w:type="dxa"/>
            <w:tcBorders>
              <w:top w:val="nil"/>
              <w:left w:val="nil"/>
              <w:bottom w:val="nil"/>
              <w:right w:val="nil"/>
            </w:tcBorders>
            <w:shd w:val="clear" w:color="000000" w:fill="FFFFFF"/>
            <w:noWrap/>
            <w:vAlign w:val="bottom"/>
            <w:hideMark/>
          </w:tcPr>
          <w:p w14:paraId="6311AAC0"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Yatırım</w:t>
            </w:r>
          </w:p>
        </w:tc>
        <w:tc>
          <w:tcPr>
            <w:tcW w:w="1316" w:type="dxa"/>
            <w:tcBorders>
              <w:top w:val="nil"/>
              <w:left w:val="single" w:sz="4" w:space="0" w:color="auto"/>
              <w:bottom w:val="nil"/>
              <w:right w:val="nil"/>
            </w:tcBorders>
            <w:shd w:val="clear" w:color="000000" w:fill="FFFFFF"/>
            <w:noWrap/>
            <w:vAlign w:val="bottom"/>
            <w:hideMark/>
          </w:tcPr>
          <w:p w14:paraId="37D072F9"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5.0</w:t>
            </w:r>
          </w:p>
        </w:tc>
        <w:tc>
          <w:tcPr>
            <w:tcW w:w="1004" w:type="dxa"/>
            <w:tcBorders>
              <w:top w:val="nil"/>
              <w:left w:val="nil"/>
              <w:bottom w:val="nil"/>
              <w:right w:val="single" w:sz="4" w:space="0" w:color="auto"/>
            </w:tcBorders>
            <w:shd w:val="clear" w:color="000000" w:fill="FFFFFF"/>
            <w:noWrap/>
            <w:vAlign w:val="bottom"/>
            <w:hideMark/>
          </w:tcPr>
          <w:p w14:paraId="52D79186"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1.5</w:t>
            </w:r>
          </w:p>
        </w:tc>
        <w:tc>
          <w:tcPr>
            <w:tcW w:w="1316" w:type="dxa"/>
            <w:tcBorders>
              <w:top w:val="nil"/>
              <w:left w:val="nil"/>
              <w:bottom w:val="nil"/>
              <w:right w:val="nil"/>
            </w:tcBorders>
            <w:shd w:val="clear" w:color="000000" w:fill="FFFFFF"/>
            <w:noWrap/>
            <w:vAlign w:val="bottom"/>
            <w:hideMark/>
          </w:tcPr>
          <w:p w14:paraId="32F69E11"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-1.3</w:t>
            </w:r>
          </w:p>
        </w:tc>
        <w:tc>
          <w:tcPr>
            <w:tcW w:w="1004" w:type="dxa"/>
            <w:tcBorders>
              <w:top w:val="nil"/>
              <w:left w:val="nil"/>
              <w:bottom w:val="nil"/>
              <w:right w:val="single" w:sz="4" w:space="0" w:color="auto"/>
            </w:tcBorders>
            <w:shd w:val="clear" w:color="000000" w:fill="FFFFFF"/>
            <w:noWrap/>
            <w:vAlign w:val="bottom"/>
            <w:hideMark/>
          </w:tcPr>
          <w:p w14:paraId="3A1ACA98"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-0.4</w:t>
            </w:r>
          </w:p>
        </w:tc>
      </w:tr>
      <w:tr w:rsidR="0095079F" w14:paraId="78A61C68" w14:textId="77777777" w:rsidTr="0095079F">
        <w:trPr>
          <w:trHeight w:val="283"/>
        </w:trPr>
        <w:tc>
          <w:tcPr>
            <w:tcW w:w="1560" w:type="dxa"/>
            <w:tcBorders>
              <w:top w:val="nil"/>
              <w:left w:val="nil"/>
              <w:bottom w:val="nil"/>
              <w:right w:val="nil"/>
            </w:tcBorders>
            <w:shd w:val="clear" w:color="000000" w:fill="FFFFFF"/>
            <w:noWrap/>
            <w:vAlign w:val="bottom"/>
            <w:hideMark/>
          </w:tcPr>
          <w:p w14:paraId="593FD417"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Stok Değişimi</w:t>
            </w:r>
          </w:p>
        </w:tc>
        <w:tc>
          <w:tcPr>
            <w:tcW w:w="1316" w:type="dxa"/>
            <w:tcBorders>
              <w:top w:val="nil"/>
              <w:left w:val="single" w:sz="4" w:space="0" w:color="auto"/>
              <w:bottom w:val="nil"/>
              <w:right w:val="nil"/>
            </w:tcBorders>
            <w:shd w:val="clear" w:color="000000" w:fill="FFFFFF"/>
            <w:noWrap/>
            <w:vAlign w:val="bottom"/>
            <w:hideMark/>
          </w:tcPr>
          <w:p w14:paraId="00B863D4"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 </w:t>
            </w:r>
          </w:p>
        </w:tc>
        <w:tc>
          <w:tcPr>
            <w:tcW w:w="1004" w:type="dxa"/>
            <w:tcBorders>
              <w:top w:val="nil"/>
              <w:left w:val="nil"/>
              <w:bottom w:val="nil"/>
              <w:right w:val="single" w:sz="4" w:space="0" w:color="auto"/>
            </w:tcBorders>
            <w:shd w:val="clear" w:color="000000" w:fill="FFFFFF"/>
            <w:noWrap/>
            <w:vAlign w:val="bottom"/>
            <w:hideMark/>
          </w:tcPr>
          <w:p w14:paraId="3CDA7DF4"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-10.1</w:t>
            </w:r>
          </w:p>
        </w:tc>
        <w:tc>
          <w:tcPr>
            <w:tcW w:w="1316" w:type="dxa"/>
            <w:tcBorders>
              <w:top w:val="nil"/>
              <w:left w:val="nil"/>
              <w:bottom w:val="nil"/>
              <w:right w:val="nil"/>
            </w:tcBorders>
            <w:shd w:val="clear" w:color="000000" w:fill="FFFFFF"/>
            <w:noWrap/>
            <w:vAlign w:val="bottom"/>
            <w:hideMark/>
          </w:tcPr>
          <w:p w14:paraId="251ECD7D"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 </w:t>
            </w:r>
          </w:p>
        </w:tc>
        <w:tc>
          <w:tcPr>
            <w:tcW w:w="1004" w:type="dxa"/>
            <w:tcBorders>
              <w:top w:val="nil"/>
              <w:left w:val="nil"/>
              <w:bottom w:val="nil"/>
              <w:right w:val="single" w:sz="4" w:space="0" w:color="auto"/>
            </w:tcBorders>
            <w:shd w:val="clear" w:color="000000" w:fill="FFFFFF"/>
            <w:noWrap/>
            <w:vAlign w:val="bottom"/>
            <w:hideMark/>
          </w:tcPr>
          <w:p w14:paraId="29BDFD2B"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-8.3</w:t>
            </w:r>
          </w:p>
        </w:tc>
      </w:tr>
      <w:tr w:rsidR="0095079F" w14:paraId="7997EDB4" w14:textId="77777777" w:rsidTr="0095079F">
        <w:trPr>
          <w:trHeight w:val="283"/>
        </w:trPr>
        <w:tc>
          <w:tcPr>
            <w:tcW w:w="1560" w:type="dxa"/>
            <w:tcBorders>
              <w:top w:val="nil"/>
              <w:left w:val="nil"/>
              <w:bottom w:val="nil"/>
              <w:right w:val="nil"/>
            </w:tcBorders>
            <w:shd w:val="clear" w:color="000000" w:fill="FFFFFF"/>
            <w:noWrap/>
            <w:vAlign w:val="bottom"/>
            <w:hideMark/>
          </w:tcPr>
          <w:p w14:paraId="179CAE0E"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İhracat</w:t>
            </w:r>
          </w:p>
        </w:tc>
        <w:tc>
          <w:tcPr>
            <w:tcW w:w="1316" w:type="dxa"/>
            <w:tcBorders>
              <w:top w:val="nil"/>
              <w:left w:val="single" w:sz="4" w:space="0" w:color="auto"/>
              <w:bottom w:val="nil"/>
              <w:right w:val="nil"/>
            </w:tcBorders>
            <w:shd w:val="clear" w:color="000000" w:fill="FFFFFF"/>
            <w:noWrap/>
            <w:vAlign w:val="bottom"/>
            <w:hideMark/>
          </w:tcPr>
          <w:p w14:paraId="70CE14B1"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16.4</w:t>
            </w:r>
          </w:p>
        </w:tc>
        <w:tc>
          <w:tcPr>
            <w:tcW w:w="1004" w:type="dxa"/>
            <w:tcBorders>
              <w:top w:val="nil"/>
              <w:left w:val="nil"/>
              <w:bottom w:val="nil"/>
              <w:right w:val="single" w:sz="4" w:space="0" w:color="auto"/>
            </w:tcBorders>
            <w:shd w:val="clear" w:color="000000" w:fill="FFFFFF"/>
            <w:noWrap/>
            <w:vAlign w:val="bottom"/>
            <w:hideMark/>
          </w:tcPr>
          <w:p w14:paraId="2CFCC0B0"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5.7</w:t>
            </w:r>
          </w:p>
        </w:tc>
        <w:tc>
          <w:tcPr>
            <w:tcW w:w="1316" w:type="dxa"/>
            <w:tcBorders>
              <w:top w:val="nil"/>
              <w:left w:val="nil"/>
              <w:bottom w:val="nil"/>
              <w:right w:val="nil"/>
            </w:tcBorders>
            <w:shd w:val="clear" w:color="000000" w:fill="FFFFFF"/>
            <w:noWrap/>
            <w:vAlign w:val="bottom"/>
            <w:hideMark/>
          </w:tcPr>
          <w:p w14:paraId="7778F979"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12.6</w:t>
            </w:r>
          </w:p>
        </w:tc>
        <w:tc>
          <w:tcPr>
            <w:tcW w:w="1004" w:type="dxa"/>
            <w:tcBorders>
              <w:top w:val="nil"/>
              <w:left w:val="nil"/>
              <w:bottom w:val="nil"/>
              <w:right w:val="single" w:sz="4" w:space="0" w:color="auto"/>
            </w:tcBorders>
            <w:shd w:val="clear" w:color="000000" w:fill="FFFFFF"/>
            <w:noWrap/>
            <w:vAlign w:val="bottom"/>
            <w:hideMark/>
          </w:tcPr>
          <w:p w14:paraId="7707997B"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4.1</w:t>
            </w:r>
          </w:p>
        </w:tc>
      </w:tr>
      <w:tr w:rsidR="0095079F" w14:paraId="76CEA5D6" w14:textId="77777777" w:rsidTr="0095079F">
        <w:trPr>
          <w:trHeight w:val="283"/>
        </w:trPr>
        <w:tc>
          <w:tcPr>
            <w:tcW w:w="1560" w:type="dxa"/>
            <w:tcBorders>
              <w:top w:val="nil"/>
              <w:left w:val="nil"/>
              <w:bottom w:val="nil"/>
              <w:right w:val="nil"/>
            </w:tcBorders>
            <w:shd w:val="clear" w:color="000000" w:fill="FFFFFF"/>
            <w:noWrap/>
            <w:vAlign w:val="bottom"/>
            <w:hideMark/>
          </w:tcPr>
          <w:p w14:paraId="5487137E"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İthalat</w:t>
            </w:r>
          </w:p>
        </w:tc>
        <w:tc>
          <w:tcPr>
            <w:tcW w:w="1316" w:type="dxa"/>
            <w:tcBorders>
              <w:top w:val="nil"/>
              <w:left w:val="single" w:sz="4" w:space="0" w:color="auto"/>
              <w:bottom w:val="nil"/>
              <w:right w:val="nil"/>
            </w:tcBorders>
            <w:shd w:val="clear" w:color="000000" w:fill="FFFFFF"/>
            <w:noWrap/>
            <w:vAlign w:val="bottom"/>
            <w:hideMark/>
          </w:tcPr>
          <w:p w14:paraId="5D03A16A"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5.8</w:t>
            </w:r>
          </w:p>
        </w:tc>
        <w:tc>
          <w:tcPr>
            <w:tcW w:w="1004" w:type="dxa"/>
            <w:tcBorders>
              <w:top w:val="nil"/>
              <w:left w:val="nil"/>
              <w:bottom w:val="nil"/>
              <w:right w:val="single" w:sz="4" w:space="0" w:color="auto"/>
            </w:tcBorders>
            <w:shd w:val="clear" w:color="000000" w:fill="FFFFFF"/>
            <w:noWrap/>
            <w:vAlign w:val="bottom"/>
            <w:hideMark/>
          </w:tcPr>
          <w:p w14:paraId="6F5434C6"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-1.9</w:t>
            </w:r>
          </w:p>
        </w:tc>
        <w:tc>
          <w:tcPr>
            <w:tcW w:w="1316" w:type="dxa"/>
            <w:tcBorders>
              <w:top w:val="nil"/>
              <w:left w:val="nil"/>
              <w:bottom w:val="nil"/>
              <w:right w:val="nil"/>
            </w:tcBorders>
            <w:shd w:val="clear" w:color="000000" w:fill="FFFFFF"/>
            <w:noWrap/>
            <w:vAlign w:val="bottom"/>
            <w:hideMark/>
          </w:tcPr>
          <w:p w14:paraId="0C7984E5"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12.2</w:t>
            </w:r>
          </w:p>
        </w:tc>
        <w:tc>
          <w:tcPr>
            <w:tcW w:w="1004" w:type="dxa"/>
            <w:tcBorders>
              <w:top w:val="nil"/>
              <w:left w:val="nil"/>
              <w:bottom w:val="nil"/>
              <w:right w:val="single" w:sz="4" w:space="0" w:color="auto"/>
            </w:tcBorders>
            <w:shd w:val="clear" w:color="000000" w:fill="FFFFFF"/>
            <w:noWrap/>
            <w:vAlign w:val="bottom"/>
            <w:hideMark/>
          </w:tcPr>
          <w:p w14:paraId="2CEC0D80"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-3.4</w:t>
            </w:r>
          </w:p>
        </w:tc>
      </w:tr>
      <w:tr w:rsidR="0095079F" w14:paraId="207B48A1" w14:textId="77777777" w:rsidTr="0095079F">
        <w:trPr>
          <w:trHeight w:val="300"/>
        </w:trPr>
        <w:tc>
          <w:tcPr>
            <w:tcW w:w="1560" w:type="dxa"/>
            <w:tcBorders>
              <w:top w:val="nil"/>
              <w:left w:val="nil"/>
              <w:bottom w:val="double" w:sz="6" w:space="0" w:color="auto"/>
              <w:right w:val="nil"/>
            </w:tcBorders>
            <w:shd w:val="clear" w:color="000000" w:fill="FFFFFF"/>
            <w:noWrap/>
            <w:vAlign w:val="bottom"/>
            <w:hideMark/>
          </w:tcPr>
          <w:p w14:paraId="70BD07BD"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GSYH</w:t>
            </w:r>
          </w:p>
        </w:tc>
        <w:tc>
          <w:tcPr>
            <w:tcW w:w="1316" w:type="dxa"/>
            <w:tcBorders>
              <w:top w:val="nil"/>
              <w:left w:val="single" w:sz="4" w:space="0" w:color="auto"/>
              <w:bottom w:val="double" w:sz="6" w:space="0" w:color="auto"/>
              <w:right w:val="nil"/>
            </w:tcBorders>
            <w:shd w:val="clear" w:color="000000" w:fill="FFFFFF"/>
            <w:noWrap/>
            <w:vAlign w:val="bottom"/>
            <w:hideMark/>
          </w:tcPr>
          <w:p w14:paraId="1EDEC763"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7.7</w:t>
            </w:r>
          </w:p>
        </w:tc>
        <w:tc>
          <w:tcPr>
            <w:tcW w:w="1004" w:type="dxa"/>
            <w:tcBorders>
              <w:top w:val="nil"/>
              <w:left w:val="nil"/>
              <w:bottom w:val="double" w:sz="6" w:space="0" w:color="auto"/>
              <w:right w:val="single" w:sz="4" w:space="0" w:color="auto"/>
            </w:tcBorders>
            <w:shd w:val="clear" w:color="000000" w:fill="FFFFFF"/>
            <w:noWrap/>
            <w:vAlign w:val="bottom"/>
            <w:hideMark/>
          </w:tcPr>
          <w:p w14:paraId="6393DFD4"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 </w:t>
            </w:r>
          </w:p>
        </w:tc>
        <w:tc>
          <w:tcPr>
            <w:tcW w:w="1316" w:type="dxa"/>
            <w:tcBorders>
              <w:top w:val="nil"/>
              <w:left w:val="nil"/>
              <w:bottom w:val="double" w:sz="6" w:space="0" w:color="auto"/>
              <w:right w:val="nil"/>
            </w:tcBorders>
            <w:shd w:val="clear" w:color="000000" w:fill="FFFFFF"/>
            <w:noWrap/>
            <w:vAlign w:val="bottom"/>
            <w:hideMark/>
          </w:tcPr>
          <w:p w14:paraId="3AFEB111"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3.9</w:t>
            </w:r>
          </w:p>
        </w:tc>
        <w:tc>
          <w:tcPr>
            <w:tcW w:w="1004" w:type="dxa"/>
            <w:tcBorders>
              <w:top w:val="nil"/>
              <w:left w:val="nil"/>
              <w:bottom w:val="double" w:sz="6" w:space="0" w:color="auto"/>
              <w:right w:val="single" w:sz="4" w:space="0" w:color="auto"/>
            </w:tcBorders>
            <w:shd w:val="clear" w:color="000000" w:fill="FFFFFF"/>
            <w:noWrap/>
            <w:vAlign w:val="bottom"/>
            <w:hideMark/>
          </w:tcPr>
          <w:p w14:paraId="57DBA5FA"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 </w:t>
            </w:r>
          </w:p>
        </w:tc>
      </w:tr>
    </w:tbl>
    <w:p w14:paraId="68ED2418" w14:textId="664BD983" w:rsidR="00405BD8" w:rsidRDefault="003D44CE" w:rsidP="00405BD8">
      <w:pPr>
        <w:keepLines/>
        <w:widowControl w:val="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06E46BDB" w14:textId="77777777" w:rsidR="00311EFF" w:rsidRPr="00CC0355" w:rsidRDefault="00311EFF" w:rsidP="00405BD8">
      <w:pPr>
        <w:keepLines/>
        <w:widowControl w:val="0"/>
        <w:rPr>
          <w:rFonts w:ascii="Palatino Linotype" w:hAnsi="Palatino Linotype" w:cstheme="minorHAnsi"/>
          <w:sz w:val="18"/>
          <w:szCs w:val="18"/>
        </w:rPr>
      </w:pPr>
    </w:p>
    <w:p w14:paraId="4C8D8926" w14:textId="1D9E3252"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01081A">
        <w:rPr>
          <w:rFonts w:ascii="Palatino Linotype" w:hAnsi="Palatino Linotype" w:cstheme="minorHAnsi"/>
          <w:b/>
          <w:bCs/>
          <w:sz w:val="22"/>
          <w:szCs w:val="22"/>
        </w:rPr>
        <w:t>2</w:t>
      </w:r>
      <w:r w:rsidR="003800CF">
        <w:rPr>
          <w:rFonts w:ascii="Palatino Linotype" w:hAnsi="Palatino Linotype" w:cstheme="minorHAnsi"/>
          <w:b/>
          <w:bCs/>
          <w:sz w:val="22"/>
          <w:szCs w:val="22"/>
        </w:rPr>
        <w:t>2</w:t>
      </w:r>
      <w:r w:rsidR="00CC0355">
        <w:rPr>
          <w:rFonts w:ascii="Palatino Linotype" w:hAnsi="Palatino Linotype" w:cstheme="minorHAnsi"/>
          <w:b/>
          <w:bCs/>
          <w:sz w:val="22"/>
          <w:szCs w:val="22"/>
        </w:rPr>
        <w:t xml:space="preserve"> </w:t>
      </w:r>
      <w:r w:rsidR="00063B28">
        <w:rPr>
          <w:rFonts w:ascii="Palatino Linotype" w:hAnsi="Palatino Linotype" w:cstheme="minorHAnsi"/>
          <w:b/>
          <w:bCs/>
          <w:sz w:val="22"/>
          <w:szCs w:val="22"/>
        </w:rPr>
        <w:t>2</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w:t>
      </w:r>
      <w:r w:rsidR="00C34D9B">
        <w:rPr>
          <w:rFonts w:ascii="Palatino Linotype" w:hAnsi="Palatino Linotype" w:cstheme="minorHAnsi"/>
          <w:b/>
          <w:bCs/>
          <w:sz w:val="22"/>
          <w:szCs w:val="22"/>
        </w:rPr>
        <w:t>2</w:t>
      </w:r>
      <w:r w:rsidR="00CC0355">
        <w:rPr>
          <w:rFonts w:ascii="Palatino Linotype" w:hAnsi="Palatino Linotype" w:cstheme="minorHAnsi"/>
          <w:b/>
          <w:bCs/>
          <w:sz w:val="22"/>
          <w:szCs w:val="22"/>
        </w:rPr>
        <w:t xml:space="preserve"> </w:t>
      </w:r>
      <w:r w:rsidR="00063B28">
        <w:rPr>
          <w:rFonts w:ascii="Palatino Linotype" w:hAnsi="Palatino Linotype" w:cstheme="minorHAnsi"/>
          <w:b/>
          <w:bCs/>
          <w:sz w:val="22"/>
          <w:szCs w:val="22"/>
        </w:rPr>
        <w:t>3</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6200" w:type="dxa"/>
        <w:tblCellMar>
          <w:left w:w="70" w:type="dxa"/>
          <w:right w:w="70" w:type="dxa"/>
        </w:tblCellMar>
        <w:tblLook w:val="04A0" w:firstRow="1" w:lastRow="0" w:firstColumn="1" w:lastColumn="0" w:noHBand="0" w:noVBand="1"/>
      </w:tblPr>
      <w:tblGrid>
        <w:gridCol w:w="1560"/>
        <w:gridCol w:w="1316"/>
        <w:gridCol w:w="1004"/>
        <w:gridCol w:w="1316"/>
        <w:gridCol w:w="1004"/>
      </w:tblGrid>
      <w:tr w:rsidR="0095079F" w14:paraId="19481C1F" w14:textId="77777777" w:rsidTr="0095079F">
        <w:trPr>
          <w:trHeight w:val="283"/>
        </w:trPr>
        <w:tc>
          <w:tcPr>
            <w:tcW w:w="1560" w:type="dxa"/>
            <w:tcBorders>
              <w:top w:val="nil"/>
              <w:left w:val="nil"/>
              <w:bottom w:val="nil"/>
              <w:right w:val="nil"/>
            </w:tcBorders>
            <w:shd w:val="clear" w:color="000000" w:fill="FFFFFF"/>
            <w:noWrap/>
            <w:vAlign w:val="bottom"/>
            <w:hideMark/>
          </w:tcPr>
          <w:p w14:paraId="0C37D8CE"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 </w:t>
            </w:r>
          </w:p>
        </w:tc>
        <w:tc>
          <w:tcPr>
            <w:tcW w:w="23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85006C"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2022Q2</w:t>
            </w:r>
          </w:p>
        </w:tc>
        <w:tc>
          <w:tcPr>
            <w:tcW w:w="23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A6E01CE"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2022Q3</w:t>
            </w:r>
          </w:p>
        </w:tc>
      </w:tr>
      <w:tr w:rsidR="0095079F" w14:paraId="32C77ACC" w14:textId="77777777" w:rsidTr="0095079F">
        <w:trPr>
          <w:trHeight w:val="283"/>
        </w:trPr>
        <w:tc>
          <w:tcPr>
            <w:tcW w:w="1560" w:type="dxa"/>
            <w:tcBorders>
              <w:top w:val="nil"/>
              <w:left w:val="nil"/>
              <w:bottom w:val="nil"/>
              <w:right w:val="nil"/>
            </w:tcBorders>
            <w:shd w:val="clear" w:color="000000" w:fill="FFFFFF"/>
            <w:noWrap/>
            <w:vAlign w:val="bottom"/>
            <w:hideMark/>
          </w:tcPr>
          <w:p w14:paraId="7E6B9465"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 </w:t>
            </w:r>
          </w:p>
        </w:tc>
        <w:tc>
          <w:tcPr>
            <w:tcW w:w="1316" w:type="dxa"/>
            <w:tcBorders>
              <w:top w:val="nil"/>
              <w:left w:val="single" w:sz="4" w:space="0" w:color="auto"/>
              <w:bottom w:val="nil"/>
              <w:right w:val="nil"/>
            </w:tcBorders>
            <w:shd w:val="clear" w:color="000000" w:fill="FFFFFF"/>
            <w:noWrap/>
            <w:vAlign w:val="bottom"/>
            <w:hideMark/>
          </w:tcPr>
          <w:p w14:paraId="0028DD4F"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1004" w:type="dxa"/>
            <w:tcBorders>
              <w:top w:val="nil"/>
              <w:left w:val="nil"/>
              <w:bottom w:val="nil"/>
              <w:right w:val="single" w:sz="4" w:space="0" w:color="auto"/>
            </w:tcBorders>
            <w:shd w:val="clear" w:color="000000" w:fill="FFFFFF"/>
            <w:noWrap/>
            <w:vAlign w:val="bottom"/>
            <w:hideMark/>
          </w:tcPr>
          <w:p w14:paraId="3ABEC17E"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316" w:type="dxa"/>
            <w:tcBorders>
              <w:top w:val="nil"/>
              <w:left w:val="nil"/>
              <w:bottom w:val="nil"/>
              <w:right w:val="nil"/>
            </w:tcBorders>
            <w:shd w:val="clear" w:color="000000" w:fill="FFFFFF"/>
            <w:noWrap/>
            <w:vAlign w:val="bottom"/>
            <w:hideMark/>
          </w:tcPr>
          <w:p w14:paraId="4311D58B"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1004" w:type="dxa"/>
            <w:tcBorders>
              <w:top w:val="nil"/>
              <w:left w:val="nil"/>
              <w:bottom w:val="nil"/>
              <w:right w:val="single" w:sz="4" w:space="0" w:color="auto"/>
            </w:tcBorders>
            <w:shd w:val="clear" w:color="000000" w:fill="FFFFFF"/>
            <w:noWrap/>
            <w:vAlign w:val="bottom"/>
            <w:hideMark/>
          </w:tcPr>
          <w:p w14:paraId="1E3A0466" w14:textId="77777777" w:rsidR="0095079F" w:rsidRDefault="0095079F">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95079F" w14:paraId="617E5AC3" w14:textId="77777777" w:rsidTr="0095079F">
        <w:trPr>
          <w:trHeight w:val="283"/>
        </w:trPr>
        <w:tc>
          <w:tcPr>
            <w:tcW w:w="1560" w:type="dxa"/>
            <w:tcBorders>
              <w:top w:val="single" w:sz="4" w:space="0" w:color="auto"/>
              <w:left w:val="nil"/>
              <w:bottom w:val="nil"/>
              <w:right w:val="nil"/>
            </w:tcBorders>
            <w:shd w:val="clear" w:color="000000" w:fill="FFFFFF"/>
            <w:noWrap/>
            <w:vAlign w:val="bottom"/>
            <w:hideMark/>
          </w:tcPr>
          <w:p w14:paraId="29BEB15D"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Özel Tüketim</w:t>
            </w:r>
          </w:p>
        </w:tc>
        <w:tc>
          <w:tcPr>
            <w:tcW w:w="1316" w:type="dxa"/>
            <w:tcBorders>
              <w:top w:val="single" w:sz="4" w:space="0" w:color="auto"/>
              <w:left w:val="single" w:sz="4" w:space="0" w:color="auto"/>
              <w:bottom w:val="nil"/>
              <w:right w:val="nil"/>
            </w:tcBorders>
            <w:shd w:val="clear" w:color="000000" w:fill="FFFFFF"/>
            <w:noWrap/>
            <w:vAlign w:val="bottom"/>
            <w:hideMark/>
          </w:tcPr>
          <w:p w14:paraId="13A6FAAE"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4.3</w:t>
            </w:r>
          </w:p>
        </w:tc>
        <w:tc>
          <w:tcPr>
            <w:tcW w:w="1004" w:type="dxa"/>
            <w:tcBorders>
              <w:top w:val="single" w:sz="4" w:space="0" w:color="auto"/>
              <w:left w:val="nil"/>
              <w:bottom w:val="nil"/>
              <w:right w:val="single" w:sz="4" w:space="0" w:color="auto"/>
            </w:tcBorders>
            <w:shd w:val="clear" w:color="000000" w:fill="FFFFFF"/>
            <w:noWrap/>
            <w:vAlign w:val="bottom"/>
            <w:hideMark/>
          </w:tcPr>
          <w:p w14:paraId="07EB9A0A"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2.5</w:t>
            </w:r>
          </w:p>
        </w:tc>
        <w:tc>
          <w:tcPr>
            <w:tcW w:w="1316" w:type="dxa"/>
            <w:tcBorders>
              <w:top w:val="single" w:sz="4" w:space="0" w:color="auto"/>
              <w:left w:val="nil"/>
              <w:bottom w:val="nil"/>
              <w:right w:val="nil"/>
            </w:tcBorders>
            <w:shd w:val="clear" w:color="000000" w:fill="FFFFFF"/>
            <w:noWrap/>
            <w:vAlign w:val="bottom"/>
            <w:hideMark/>
          </w:tcPr>
          <w:p w14:paraId="74812747"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3.9</w:t>
            </w:r>
          </w:p>
        </w:tc>
        <w:tc>
          <w:tcPr>
            <w:tcW w:w="1004" w:type="dxa"/>
            <w:tcBorders>
              <w:top w:val="single" w:sz="4" w:space="0" w:color="auto"/>
              <w:left w:val="nil"/>
              <w:bottom w:val="nil"/>
              <w:right w:val="single" w:sz="4" w:space="0" w:color="auto"/>
            </w:tcBorders>
            <w:shd w:val="clear" w:color="000000" w:fill="FFFFFF"/>
            <w:noWrap/>
            <w:vAlign w:val="bottom"/>
            <w:hideMark/>
          </w:tcPr>
          <w:p w14:paraId="19CCD119"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2.4</w:t>
            </w:r>
          </w:p>
        </w:tc>
      </w:tr>
      <w:tr w:rsidR="0095079F" w14:paraId="32E98354" w14:textId="77777777" w:rsidTr="0095079F">
        <w:trPr>
          <w:trHeight w:val="283"/>
        </w:trPr>
        <w:tc>
          <w:tcPr>
            <w:tcW w:w="1560" w:type="dxa"/>
            <w:tcBorders>
              <w:top w:val="nil"/>
              <w:left w:val="nil"/>
              <w:bottom w:val="nil"/>
              <w:right w:val="nil"/>
            </w:tcBorders>
            <w:shd w:val="clear" w:color="000000" w:fill="FFFFFF"/>
            <w:noWrap/>
            <w:vAlign w:val="bottom"/>
            <w:hideMark/>
          </w:tcPr>
          <w:p w14:paraId="476CCAE6"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Kamu Tüketimi</w:t>
            </w:r>
          </w:p>
        </w:tc>
        <w:tc>
          <w:tcPr>
            <w:tcW w:w="1316" w:type="dxa"/>
            <w:tcBorders>
              <w:top w:val="nil"/>
              <w:left w:val="single" w:sz="4" w:space="0" w:color="auto"/>
              <w:bottom w:val="nil"/>
              <w:right w:val="nil"/>
            </w:tcBorders>
            <w:shd w:val="clear" w:color="000000" w:fill="FFFFFF"/>
            <w:noWrap/>
            <w:vAlign w:val="bottom"/>
            <w:hideMark/>
          </w:tcPr>
          <w:p w14:paraId="33B0AE26"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-0.2</w:t>
            </w:r>
          </w:p>
        </w:tc>
        <w:tc>
          <w:tcPr>
            <w:tcW w:w="1004" w:type="dxa"/>
            <w:tcBorders>
              <w:top w:val="nil"/>
              <w:left w:val="nil"/>
              <w:bottom w:val="nil"/>
              <w:right w:val="single" w:sz="4" w:space="0" w:color="auto"/>
            </w:tcBorders>
            <w:shd w:val="clear" w:color="000000" w:fill="FFFFFF"/>
            <w:noWrap/>
            <w:vAlign w:val="bottom"/>
            <w:hideMark/>
          </w:tcPr>
          <w:p w14:paraId="1C15C46B"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0.0</w:t>
            </w:r>
          </w:p>
        </w:tc>
        <w:tc>
          <w:tcPr>
            <w:tcW w:w="1316" w:type="dxa"/>
            <w:tcBorders>
              <w:top w:val="nil"/>
              <w:left w:val="nil"/>
              <w:bottom w:val="nil"/>
              <w:right w:val="nil"/>
            </w:tcBorders>
            <w:shd w:val="clear" w:color="000000" w:fill="FFFFFF"/>
            <w:noWrap/>
            <w:vAlign w:val="bottom"/>
            <w:hideMark/>
          </w:tcPr>
          <w:p w14:paraId="0A1D03D5"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11.7</w:t>
            </w:r>
          </w:p>
        </w:tc>
        <w:tc>
          <w:tcPr>
            <w:tcW w:w="1004" w:type="dxa"/>
            <w:tcBorders>
              <w:top w:val="nil"/>
              <w:left w:val="nil"/>
              <w:bottom w:val="nil"/>
              <w:right w:val="single" w:sz="4" w:space="0" w:color="auto"/>
            </w:tcBorders>
            <w:shd w:val="clear" w:color="000000" w:fill="FFFFFF"/>
            <w:noWrap/>
            <w:vAlign w:val="bottom"/>
            <w:hideMark/>
          </w:tcPr>
          <w:p w14:paraId="1628B662"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1.4</w:t>
            </w:r>
          </w:p>
        </w:tc>
      </w:tr>
      <w:tr w:rsidR="0095079F" w14:paraId="495647C7" w14:textId="77777777" w:rsidTr="0095079F">
        <w:trPr>
          <w:trHeight w:val="283"/>
        </w:trPr>
        <w:tc>
          <w:tcPr>
            <w:tcW w:w="1560" w:type="dxa"/>
            <w:tcBorders>
              <w:top w:val="nil"/>
              <w:left w:val="nil"/>
              <w:bottom w:val="nil"/>
              <w:right w:val="nil"/>
            </w:tcBorders>
            <w:shd w:val="clear" w:color="000000" w:fill="FFFFFF"/>
            <w:noWrap/>
            <w:vAlign w:val="bottom"/>
            <w:hideMark/>
          </w:tcPr>
          <w:p w14:paraId="435FEA0F"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Yatırım</w:t>
            </w:r>
          </w:p>
        </w:tc>
        <w:tc>
          <w:tcPr>
            <w:tcW w:w="1316" w:type="dxa"/>
            <w:tcBorders>
              <w:top w:val="nil"/>
              <w:left w:val="single" w:sz="4" w:space="0" w:color="auto"/>
              <w:bottom w:val="nil"/>
              <w:right w:val="nil"/>
            </w:tcBorders>
            <w:shd w:val="clear" w:color="000000" w:fill="FFFFFF"/>
            <w:noWrap/>
            <w:vAlign w:val="bottom"/>
            <w:hideMark/>
          </w:tcPr>
          <w:p w14:paraId="51A3124C"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-1.4</w:t>
            </w:r>
          </w:p>
        </w:tc>
        <w:tc>
          <w:tcPr>
            <w:tcW w:w="1004" w:type="dxa"/>
            <w:tcBorders>
              <w:top w:val="nil"/>
              <w:left w:val="nil"/>
              <w:bottom w:val="nil"/>
              <w:right w:val="single" w:sz="4" w:space="0" w:color="auto"/>
            </w:tcBorders>
            <w:shd w:val="clear" w:color="000000" w:fill="FFFFFF"/>
            <w:noWrap/>
            <w:vAlign w:val="bottom"/>
            <w:hideMark/>
          </w:tcPr>
          <w:p w14:paraId="7801C712"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-0.4</w:t>
            </w:r>
          </w:p>
        </w:tc>
        <w:tc>
          <w:tcPr>
            <w:tcW w:w="1316" w:type="dxa"/>
            <w:tcBorders>
              <w:top w:val="nil"/>
              <w:left w:val="nil"/>
              <w:bottom w:val="nil"/>
              <w:right w:val="nil"/>
            </w:tcBorders>
            <w:shd w:val="clear" w:color="000000" w:fill="FFFFFF"/>
            <w:noWrap/>
            <w:vAlign w:val="bottom"/>
            <w:hideMark/>
          </w:tcPr>
          <w:p w14:paraId="773EF918"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-2.3</w:t>
            </w:r>
          </w:p>
        </w:tc>
        <w:tc>
          <w:tcPr>
            <w:tcW w:w="1004" w:type="dxa"/>
            <w:tcBorders>
              <w:top w:val="nil"/>
              <w:left w:val="nil"/>
              <w:bottom w:val="nil"/>
              <w:right w:val="single" w:sz="4" w:space="0" w:color="auto"/>
            </w:tcBorders>
            <w:shd w:val="clear" w:color="000000" w:fill="FFFFFF"/>
            <w:noWrap/>
            <w:vAlign w:val="bottom"/>
            <w:hideMark/>
          </w:tcPr>
          <w:p w14:paraId="45E6FBCA"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-0.6</w:t>
            </w:r>
          </w:p>
        </w:tc>
      </w:tr>
      <w:tr w:rsidR="0095079F" w14:paraId="2B736E88" w14:textId="77777777" w:rsidTr="0095079F">
        <w:trPr>
          <w:trHeight w:val="283"/>
        </w:trPr>
        <w:tc>
          <w:tcPr>
            <w:tcW w:w="1560" w:type="dxa"/>
            <w:tcBorders>
              <w:top w:val="nil"/>
              <w:left w:val="nil"/>
              <w:bottom w:val="nil"/>
              <w:right w:val="nil"/>
            </w:tcBorders>
            <w:shd w:val="clear" w:color="000000" w:fill="FFFFFF"/>
            <w:noWrap/>
            <w:vAlign w:val="bottom"/>
            <w:hideMark/>
          </w:tcPr>
          <w:p w14:paraId="0E0C7D81"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Stok Değişimi</w:t>
            </w:r>
          </w:p>
        </w:tc>
        <w:tc>
          <w:tcPr>
            <w:tcW w:w="1316" w:type="dxa"/>
            <w:tcBorders>
              <w:top w:val="nil"/>
              <w:left w:val="single" w:sz="4" w:space="0" w:color="auto"/>
              <w:bottom w:val="nil"/>
              <w:right w:val="nil"/>
            </w:tcBorders>
            <w:shd w:val="clear" w:color="000000" w:fill="FFFFFF"/>
            <w:noWrap/>
            <w:vAlign w:val="bottom"/>
            <w:hideMark/>
          </w:tcPr>
          <w:p w14:paraId="10377A09"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 </w:t>
            </w:r>
          </w:p>
        </w:tc>
        <w:tc>
          <w:tcPr>
            <w:tcW w:w="1004" w:type="dxa"/>
            <w:tcBorders>
              <w:top w:val="nil"/>
              <w:left w:val="nil"/>
              <w:bottom w:val="nil"/>
              <w:right w:val="single" w:sz="4" w:space="0" w:color="auto"/>
            </w:tcBorders>
            <w:shd w:val="clear" w:color="000000" w:fill="FFFFFF"/>
            <w:noWrap/>
            <w:vAlign w:val="bottom"/>
            <w:hideMark/>
          </w:tcPr>
          <w:p w14:paraId="3B515947"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-1.1</w:t>
            </w:r>
          </w:p>
        </w:tc>
        <w:tc>
          <w:tcPr>
            <w:tcW w:w="1316" w:type="dxa"/>
            <w:tcBorders>
              <w:top w:val="nil"/>
              <w:left w:val="nil"/>
              <w:bottom w:val="nil"/>
              <w:right w:val="nil"/>
            </w:tcBorders>
            <w:shd w:val="clear" w:color="000000" w:fill="FFFFFF"/>
            <w:noWrap/>
            <w:vAlign w:val="bottom"/>
            <w:hideMark/>
          </w:tcPr>
          <w:p w14:paraId="3ADAC080"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 </w:t>
            </w:r>
          </w:p>
        </w:tc>
        <w:tc>
          <w:tcPr>
            <w:tcW w:w="1004" w:type="dxa"/>
            <w:tcBorders>
              <w:top w:val="nil"/>
              <w:left w:val="nil"/>
              <w:bottom w:val="nil"/>
              <w:right w:val="single" w:sz="4" w:space="0" w:color="auto"/>
            </w:tcBorders>
            <w:shd w:val="clear" w:color="000000" w:fill="FFFFFF"/>
            <w:noWrap/>
            <w:vAlign w:val="bottom"/>
            <w:hideMark/>
          </w:tcPr>
          <w:p w14:paraId="7517C1D1"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-0.8</w:t>
            </w:r>
          </w:p>
        </w:tc>
      </w:tr>
      <w:tr w:rsidR="0095079F" w14:paraId="2C48F424" w14:textId="77777777" w:rsidTr="0095079F">
        <w:trPr>
          <w:trHeight w:val="283"/>
        </w:trPr>
        <w:tc>
          <w:tcPr>
            <w:tcW w:w="1560" w:type="dxa"/>
            <w:tcBorders>
              <w:top w:val="nil"/>
              <w:left w:val="nil"/>
              <w:bottom w:val="nil"/>
              <w:right w:val="nil"/>
            </w:tcBorders>
            <w:shd w:val="clear" w:color="000000" w:fill="FFFFFF"/>
            <w:noWrap/>
            <w:vAlign w:val="bottom"/>
            <w:hideMark/>
          </w:tcPr>
          <w:p w14:paraId="066417C6"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İhracat</w:t>
            </w:r>
          </w:p>
        </w:tc>
        <w:tc>
          <w:tcPr>
            <w:tcW w:w="1316" w:type="dxa"/>
            <w:tcBorders>
              <w:top w:val="nil"/>
              <w:left w:val="single" w:sz="4" w:space="0" w:color="auto"/>
              <w:bottom w:val="nil"/>
              <w:right w:val="nil"/>
            </w:tcBorders>
            <w:shd w:val="clear" w:color="000000" w:fill="FFFFFF"/>
            <w:noWrap/>
            <w:vAlign w:val="bottom"/>
            <w:hideMark/>
          </w:tcPr>
          <w:p w14:paraId="48F0BB87"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3.9</w:t>
            </w:r>
          </w:p>
        </w:tc>
        <w:tc>
          <w:tcPr>
            <w:tcW w:w="1004" w:type="dxa"/>
            <w:tcBorders>
              <w:top w:val="nil"/>
              <w:left w:val="nil"/>
              <w:bottom w:val="nil"/>
              <w:right w:val="single" w:sz="4" w:space="0" w:color="auto"/>
            </w:tcBorders>
            <w:shd w:val="clear" w:color="000000" w:fill="FFFFFF"/>
            <w:noWrap/>
            <w:vAlign w:val="bottom"/>
            <w:hideMark/>
          </w:tcPr>
          <w:p w14:paraId="56571783"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1.4</w:t>
            </w:r>
          </w:p>
        </w:tc>
        <w:tc>
          <w:tcPr>
            <w:tcW w:w="1316" w:type="dxa"/>
            <w:tcBorders>
              <w:top w:val="nil"/>
              <w:left w:val="nil"/>
              <w:bottom w:val="nil"/>
              <w:right w:val="nil"/>
            </w:tcBorders>
            <w:shd w:val="clear" w:color="000000" w:fill="FFFFFF"/>
            <w:noWrap/>
            <w:vAlign w:val="bottom"/>
            <w:hideMark/>
          </w:tcPr>
          <w:p w14:paraId="662DE4E3"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-1.1</w:t>
            </w:r>
          </w:p>
        </w:tc>
        <w:tc>
          <w:tcPr>
            <w:tcW w:w="1004" w:type="dxa"/>
            <w:tcBorders>
              <w:top w:val="nil"/>
              <w:left w:val="nil"/>
              <w:bottom w:val="nil"/>
              <w:right w:val="single" w:sz="4" w:space="0" w:color="auto"/>
            </w:tcBorders>
            <w:shd w:val="clear" w:color="000000" w:fill="FFFFFF"/>
            <w:noWrap/>
            <w:vAlign w:val="bottom"/>
            <w:hideMark/>
          </w:tcPr>
          <w:p w14:paraId="09B2D2AD"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-0.4</w:t>
            </w:r>
          </w:p>
        </w:tc>
      </w:tr>
      <w:tr w:rsidR="0095079F" w14:paraId="1A12AE96" w14:textId="77777777" w:rsidTr="0095079F">
        <w:trPr>
          <w:trHeight w:val="283"/>
        </w:trPr>
        <w:tc>
          <w:tcPr>
            <w:tcW w:w="1560" w:type="dxa"/>
            <w:tcBorders>
              <w:top w:val="nil"/>
              <w:left w:val="nil"/>
              <w:bottom w:val="nil"/>
              <w:right w:val="nil"/>
            </w:tcBorders>
            <w:shd w:val="clear" w:color="000000" w:fill="FFFFFF"/>
            <w:noWrap/>
            <w:vAlign w:val="bottom"/>
            <w:hideMark/>
          </w:tcPr>
          <w:p w14:paraId="05CAD2E3"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İthalat</w:t>
            </w:r>
          </w:p>
        </w:tc>
        <w:tc>
          <w:tcPr>
            <w:tcW w:w="1316" w:type="dxa"/>
            <w:tcBorders>
              <w:top w:val="nil"/>
              <w:left w:val="single" w:sz="4" w:space="0" w:color="auto"/>
              <w:bottom w:val="nil"/>
              <w:right w:val="nil"/>
            </w:tcBorders>
            <w:shd w:val="clear" w:color="000000" w:fill="FFFFFF"/>
            <w:noWrap/>
            <w:vAlign w:val="bottom"/>
            <w:hideMark/>
          </w:tcPr>
          <w:p w14:paraId="5108FEB8"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1.5</w:t>
            </w:r>
          </w:p>
        </w:tc>
        <w:tc>
          <w:tcPr>
            <w:tcW w:w="1004" w:type="dxa"/>
            <w:tcBorders>
              <w:top w:val="nil"/>
              <w:left w:val="nil"/>
              <w:bottom w:val="nil"/>
              <w:right w:val="single" w:sz="4" w:space="0" w:color="auto"/>
            </w:tcBorders>
            <w:shd w:val="clear" w:color="000000" w:fill="FFFFFF"/>
            <w:noWrap/>
            <w:vAlign w:val="bottom"/>
            <w:hideMark/>
          </w:tcPr>
          <w:p w14:paraId="6120B1C8"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-0.5</w:t>
            </w:r>
          </w:p>
        </w:tc>
        <w:tc>
          <w:tcPr>
            <w:tcW w:w="1316" w:type="dxa"/>
            <w:tcBorders>
              <w:top w:val="nil"/>
              <w:left w:val="nil"/>
              <w:bottom w:val="nil"/>
              <w:right w:val="nil"/>
            </w:tcBorders>
            <w:shd w:val="clear" w:color="000000" w:fill="FFFFFF"/>
            <w:noWrap/>
            <w:vAlign w:val="bottom"/>
            <w:hideMark/>
          </w:tcPr>
          <w:p w14:paraId="3E5136CC"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6.0</w:t>
            </w:r>
          </w:p>
        </w:tc>
        <w:tc>
          <w:tcPr>
            <w:tcW w:w="1004" w:type="dxa"/>
            <w:tcBorders>
              <w:top w:val="nil"/>
              <w:left w:val="nil"/>
              <w:bottom w:val="nil"/>
              <w:right w:val="single" w:sz="4" w:space="0" w:color="auto"/>
            </w:tcBorders>
            <w:shd w:val="clear" w:color="000000" w:fill="FFFFFF"/>
            <w:noWrap/>
            <w:vAlign w:val="bottom"/>
            <w:hideMark/>
          </w:tcPr>
          <w:p w14:paraId="4CB01496"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-2.1</w:t>
            </w:r>
          </w:p>
        </w:tc>
      </w:tr>
      <w:tr w:rsidR="0095079F" w14:paraId="7EA4E66B" w14:textId="77777777" w:rsidTr="0095079F">
        <w:trPr>
          <w:trHeight w:val="300"/>
        </w:trPr>
        <w:tc>
          <w:tcPr>
            <w:tcW w:w="1560" w:type="dxa"/>
            <w:tcBorders>
              <w:top w:val="nil"/>
              <w:left w:val="nil"/>
              <w:bottom w:val="double" w:sz="6" w:space="0" w:color="auto"/>
              <w:right w:val="nil"/>
            </w:tcBorders>
            <w:shd w:val="clear" w:color="000000" w:fill="FFFFFF"/>
            <w:noWrap/>
            <w:vAlign w:val="bottom"/>
            <w:hideMark/>
          </w:tcPr>
          <w:p w14:paraId="59C08024" w14:textId="77777777" w:rsidR="0095079F" w:rsidRDefault="0095079F">
            <w:pPr>
              <w:rPr>
                <w:rFonts w:ascii="Calibri" w:hAnsi="Calibri" w:cs="Calibri"/>
                <w:b/>
                <w:bCs/>
                <w:color w:val="000000"/>
                <w:sz w:val="20"/>
                <w:szCs w:val="20"/>
              </w:rPr>
            </w:pPr>
            <w:r>
              <w:rPr>
                <w:rFonts w:ascii="Calibri" w:hAnsi="Calibri" w:cs="Calibri"/>
                <w:b/>
                <w:bCs/>
                <w:color w:val="000000"/>
                <w:sz w:val="20"/>
                <w:szCs w:val="20"/>
              </w:rPr>
              <w:t>GSYH</w:t>
            </w:r>
          </w:p>
        </w:tc>
        <w:tc>
          <w:tcPr>
            <w:tcW w:w="1316" w:type="dxa"/>
            <w:tcBorders>
              <w:top w:val="nil"/>
              <w:left w:val="single" w:sz="4" w:space="0" w:color="auto"/>
              <w:bottom w:val="double" w:sz="6" w:space="0" w:color="auto"/>
              <w:right w:val="nil"/>
            </w:tcBorders>
            <w:shd w:val="clear" w:color="000000" w:fill="FFFFFF"/>
            <w:noWrap/>
            <w:vAlign w:val="bottom"/>
            <w:hideMark/>
          </w:tcPr>
          <w:p w14:paraId="4900C224"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1.9</w:t>
            </w:r>
          </w:p>
        </w:tc>
        <w:tc>
          <w:tcPr>
            <w:tcW w:w="1004" w:type="dxa"/>
            <w:tcBorders>
              <w:top w:val="nil"/>
              <w:left w:val="nil"/>
              <w:bottom w:val="double" w:sz="6" w:space="0" w:color="auto"/>
              <w:right w:val="single" w:sz="4" w:space="0" w:color="auto"/>
            </w:tcBorders>
            <w:shd w:val="clear" w:color="000000" w:fill="FFFFFF"/>
            <w:noWrap/>
            <w:vAlign w:val="bottom"/>
            <w:hideMark/>
          </w:tcPr>
          <w:p w14:paraId="3D24A97B"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 </w:t>
            </w:r>
          </w:p>
        </w:tc>
        <w:tc>
          <w:tcPr>
            <w:tcW w:w="1316" w:type="dxa"/>
            <w:tcBorders>
              <w:top w:val="nil"/>
              <w:left w:val="nil"/>
              <w:bottom w:val="double" w:sz="6" w:space="0" w:color="auto"/>
              <w:right w:val="nil"/>
            </w:tcBorders>
            <w:shd w:val="clear" w:color="000000" w:fill="FFFFFF"/>
            <w:noWrap/>
            <w:vAlign w:val="bottom"/>
            <w:hideMark/>
          </w:tcPr>
          <w:p w14:paraId="4286BBAF"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-0.1</w:t>
            </w:r>
          </w:p>
        </w:tc>
        <w:tc>
          <w:tcPr>
            <w:tcW w:w="1004" w:type="dxa"/>
            <w:tcBorders>
              <w:top w:val="nil"/>
              <w:left w:val="nil"/>
              <w:bottom w:val="double" w:sz="6" w:space="0" w:color="auto"/>
              <w:right w:val="single" w:sz="4" w:space="0" w:color="auto"/>
            </w:tcBorders>
            <w:shd w:val="clear" w:color="000000" w:fill="FFFFFF"/>
            <w:noWrap/>
            <w:vAlign w:val="bottom"/>
            <w:hideMark/>
          </w:tcPr>
          <w:p w14:paraId="45DB06E9" w14:textId="77777777" w:rsidR="0095079F" w:rsidRDefault="0095079F">
            <w:pPr>
              <w:jc w:val="center"/>
              <w:rPr>
                <w:rFonts w:ascii="Calibri" w:hAnsi="Calibri" w:cs="Calibri"/>
                <w:color w:val="000000"/>
                <w:sz w:val="20"/>
                <w:szCs w:val="20"/>
              </w:rPr>
            </w:pPr>
            <w:r>
              <w:rPr>
                <w:rFonts w:ascii="Calibri" w:hAnsi="Calibri" w:cs="Calibri"/>
                <w:color w:val="000000"/>
                <w:sz w:val="20"/>
                <w:szCs w:val="20"/>
              </w:rPr>
              <w:t> </w:t>
            </w:r>
          </w:p>
        </w:tc>
      </w:tr>
    </w:tbl>
    <w:p w14:paraId="04FC8E76" w14:textId="76A3C0F4" w:rsidR="00F46A54" w:rsidRPr="00CC0355" w:rsidRDefault="003D44CE" w:rsidP="00F46A54">
      <w:pPr>
        <w:keepNext/>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1476C3D3"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bookmarkStart w:id="8" w:name="OLE_LINK23"/>
      <w:r w:rsidRPr="00CC0355">
        <w:rPr>
          <w:rFonts w:ascii="Palatino Linotype" w:hAnsi="Palatino Linotype" w:cstheme="minorHAnsi"/>
          <w:b/>
          <w:sz w:val="22"/>
          <w:szCs w:val="22"/>
        </w:rPr>
        <w:t>Yatırım</w:t>
      </w:r>
      <w:r w:rsidR="003C267D">
        <w:rPr>
          <w:rFonts w:ascii="Palatino Linotype" w:hAnsi="Palatino Linotype" w:cstheme="minorHAnsi"/>
          <w:b/>
          <w:sz w:val="22"/>
          <w:szCs w:val="22"/>
        </w:rPr>
        <w:t xml:space="preserve"> harcamaları</w:t>
      </w:r>
      <w:r w:rsidR="00007C3F">
        <w:rPr>
          <w:rFonts w:ascii="Palatino Linotype" w:hAnsi="Palatino Linotype" w:cstheme="minorHAnsi"/>
          <w:b/>
          <w:sz w:val="22"/>
          <w:szCs w:val="22"/>
        </w:rPr>
        <w:t xml:space="preserve"> </w:t>
      </w:r>
      <w:r w:rsidR="00AD2D9B">
        <w:rPr>
          <w:rFonts w:ascii="Palatino Linotype" w:hAnsi="Palatino Linotype" w:cstheme="minorHAnsi"/>
          <w:b/>
          <w:sz w:val="22"/>
          <w:szCs w:val="22"/>
        </w:rPr>
        <w:t>düştü</w:t>
      </w:r>
    </w:p>
    <w:p w14:paraId="1EDCC445" w14:textId="2FEA39AC" w:rsidR="00062A8A" w:rsidRPr="005E0D21" w:rsidRDefault="008A3594"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Yatırım harcamaları bu çeyrekte yıllık bazda </w:t>
      </w:r>
      <w:r w:rsidR="00EC1186">
        <w:rPr>
          <w:rFonts w:ascii="Palatino Linotype" w:hAnsi="Palatino Linotype" w:cstheme="minorHAnsi"/>
          <w:sz w:val="22"/>
          <w:szCs w:val="22"/>
        </w:rPr>
        <w:t xml:space="preserve">yüzde </w:t>
      </w:r>
      <w:r w:rsidR="009D1AC7">
        <w:rPr>
          <w:rFonts w:ascii="Palatino Linotype" w:hAnsi="Palatino Linotype" w:cstheme="minorHAnsi"/>
          <w:sz w:val="22"/>
          <w:szCs w:val="22"/>
        </w:rPr>
        <w:t>1</w:t>
      </w:r>
      <w:r w:rsidR="00EC1186">
        <w:rPr>
          <w:rFonts w:ascii="Palatino Linotype" w:hAnsi="Palatino Linotype" w:cstheme="minorHAnsi"/>
          <w:sz w:val="22"/>
          <w:szCs w:val="22"/>
        </w:rPr>
        <w:t>,</w:t>
      </w:r>
      <w:r w:rsidR="009D1AC7">
        <w:rPr>
          <w:rFonts w:ascii="Palatino Linotype" w:hAnsi="Palatino Linotype" w:cstheme="minorHAnsi"/>
          <w:sz w:val="22"/>
          <w:szCs w:val="22"/>
        </w:rPr>
        <w:t>3</w:t>
      </w:r>
      <w:r w:rsidR="00EC1186">
        <w:rPr>
          <w:rFonts w:ascii="Palatino Linotype" w:hAnsi="Palatino Linotype" w:cstheme="minorHAnsi"/>
          <w:sz w:val="22"/>
          <w:szCs w:val="22"/>
        </w:rPr>
        <w:t xml:space="preserve"> </w:t>
      </w:r>
      <w:r w:rsidR="009D1AC7">
        <w:rPr>
          <w:rFonts w:ascii="Palatino Linotype" w:hAnsi="Palatino Linotype" w:cstheme="minorHAnsi"/>
          <w:sz w:val="22"/>
          <w:szCs w:val="22"/>
        </w:rPr>
        <w:t>azalarak</w:t>
      </w:r>
      <w:r w:rsidR="00EC1186">
        <w:rPr>
          <w:rFonts w:ascii="Palatino Linotype" w:hAnsi="Palatino Linotype" w:cstheme="minorHAnsi"/>
          <w:sz w:val="22"/>
          <w:szCs w:val="22"/>
        </w:rPr>
        <w:t xml:space="preserve"> büyümeye </w:t>
      </w:r>
      <w:r w:rsidR="009D1AC7">
        <w:rPr>
          <w:rFonts w:ascii="Palatino Linotype" w:hAnsi="Palatino Linotype" w:cstheme="minorHAnsi"/>
          <w:sz w:val="22"/>
          <w:szCs w:val="22"/>
        </w:rPr>
        <w:t>-0</w:t>
      </w:r>
      <w:r w:rsidR="00EC1186">
        <w:rPr>
          <w:rFonts w:ascii="Palatino Linotype" w:hAnsi="Palatino Linotype" w:cstheme="minorHAnsi"/>
          <w:sz w:val="22"/>
          <w:szCs w:val="22"/>
        </w:rPr>
        <w:t>,4 yüzde puan katkı yaptı. Çeyreklik</w:t>
      </w:r>
      <w:r w:rsidR="003C09C5">
        <w:rPr>
          <w:rFonts w:ascii="Palatino Linotype" w:hAnsi="Palatino Linotype" w:cstheme="minorHAnsi"/>
          <w:sz w:val="22"/>
          <w:szCs w:val="22"/>
        </w:rPr>
        <w:t xml:space="preserve"> bazda</w:t>
      </w:r>
      <w:r w:rsidR="00EC1186">
        <w:rPr>
          <w:rFonts w:ascii="Palatino Linotype" w:hAnsi="Palatino Linotype" w:cstheme="minorHAnsi"/>
          <w:sz w:val="22"/>
          <w:szCs w:val="22"/>
        </w:rPr>
        <w:t xml:space="preserve"> ise </w:t>
      </w:r>
      <w:r w:rsidR="002270D8">
        <w:rPr>
          <w:rFonts w:ascii="Palatino Linotype" w:hAnsi="Palatino Linotype" w:cstheme="minorHAnsi"/>
          <w:sz w:val="22"/>
          <w:szCs w:val="22"/>
        </w:rPr>
        <w:t xml:space="preserve">bir önceki çeyreği kıyasla </w:t>
      </w:r>
      <w:r w:rsidR="003C09C5">
        <w:rPr>
          <w:rFonts w:ascii="Palatino Linotype" w:hAnsi="Palatino Linotype" w:cstheme="minorHAnsi"/>
          <w:sz w:val="22"/>
          <w:szCs w:val="22"/>
        </w:rPr>
        <w:t xml:space="preserve">yüzde </w:t>
      </w:r>
      <w:r w:rsidR="009D1AC7">
        <w:rPr>
          <w:rFonts w:ascii="Palatino Linotype" w:hAnsi="Palatino Linotype" w:cstheme="minorHAnsi"/>
          <w:sz w:val="22"/>
          <w:szCs w:val="22"/>
        </w:rPr>
        <w:t>2</w:t>
      </w:r>
      <w:r w:rsidR="003C09C5">
        <w:rPr>
          <w:rFonts w:ascii="Palatino Linotype" w:hAnsi="Palatino Linotype" w:cstheme="minorHAnsi"/>
          <w:sz w:val="22"/>
          <w:szCs w:val="22"/>
        </w:rPr>
        <w:t>,</w:t>
      </w:r>
      <w:r w:rsidR="002270D8">
        <w:rPr>
          <w:rFonts w:ascii="Palatino Linotype" w:hAnsi="Palatino Linotype" w:cstheme="minorHAnsi"/>
          <w:sz w:val="22"/>
          <w:szCs w:val="22"/>
        </w:rPr>
        <w:t xml:space="preserve">3 azalarak </w:t>
      </w:r>
      <w:r w:rsidR="00A527AC">
        <w:rPr>
          <w:rFonts w:ascii="Palatino Linotype" w:hAnsi="Palatino Linotype" w:cstheme="minorHAnsi"/>
          <w:sz w:val="22"/>
          <w:szCs w:val="22"/>
        </w:rPr>
        <w:t>büyümeyi 0,</w:t>
      </w:r>
      <w:r w:rsidR="009D1AC7">
        <w:rPr>
          <w:rFonts w:ascii="Palatino Linotype" w:hAnsi="Palatino Linotype" w:cstheme="minorHAnsi"/>
          <w:sz w:val="22"/>
          <w:szCs w:val="22"/>
        </w:rPr>
        <w:t>6</w:t>
      </w:r>
      <w:r w:rsidR="00A527AC">
        <w:rPr>
          <w:rFonts w:ascii="Palatino Linotype" w:hAnsi="Palatino Linotype" w:cstheme="minorHAnsi"/>
          <w:sz w:val="22"/>
          <w:szCs w:val="22"/>
        </w:rPr>
        <w:t xml:space="preserve"> yüzde puan baskıladı</w:t>
      </w:r>
      <w:r w:rsidR="001D37D1">
        <w:rPr>
          <w:rFonts w:ascii="Palatino Linotype" w:hAnsi="Palatino Linotype" w:cstheme="minorHAnsi"/>
          <w:sz w:val="22"/>
          <w:szCs w:val="22"/>
        </w:rPr>
        <w:t xml:space="preserve"> (Tablo 1</w:t>
      </w:r>
      <w:r w:rsidR="003C09C5">
        <w:rPr>
          <w:rFonts w:ascii="Palatino Linotype" w:hAnsi="Palatino Linotype" w:cstheme="minorHAnsi"/>
          <w:sz w:val="22"/>
          <w:szCs w:val="22"/>
        </w:rPr>
        <w:t xml:space="preserve"> ve Tablo 2</w:t>
      </w:r>
      <w:r w:rsidR="001D37D1">
        <w:rPr>
          <w:rFonts w:ascii="Palatino Linotype" w:hAnsi="Palatino Linotype" w:cstheme="minorHAnsi"/>
          <w:sz w:val="22"/>
          <w:szCs w:val="22"/>
        </w:rPr>
        <w:t>).</w:t>
      </w:r>
      <w:r w:rsidR="006324E3">
        <w:rPr>
          <w:rFonts w:ascii="Palatino Linotype" w:hAnsi="Palatino Linotype" w:cstheme="minorHAnsi"/>
          <w:sz w:val="22"/>
          <w:szCs w:val="22"/>
        </w:rPr>
        <w:t xml:space="preserve"> </w:t>
      </w:r>
    </w:p>
    <w:bookmarkEnd w:id="8"/>
    <w:p w14:paraId="526B7713" w14:textId="77777777"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16625566" w14:textId="0DD95884" w:rsidR="00681AD9" w:rsidRPr="005E0D21"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bookmarkStart w:id="9" w:name="OLE_LINK24"/>
      <w:bookmarkStart w:id="10" w:name="OLE_LINK25"/>
      <w:r w:rsidRPr="005E0D21">
        <w:rPr>
          <w:rFonts w:ascii="Palatino Linotype" w:hAnsi="Palatino Linotype" w:cstheme="minorHAnsi"/>
          <w:b/>
          <w:sz w:val="22"/>
          <w:szCs w:val="22"/>
        </w:rPr>
        <w:lastRenderedPageBreak/>
        <w:t>Stok</w:t>
      </w:r>
      <w:r w:rsidR="00B31727">
        <w:rPr>
          <w:rFonts w:ascii="Palatino Linotype" w:hAnsi="Palatino Linotype" w:cstheme="minorHAnsi"/>
          <w:b/>
          <w:sz w:val="22"/>
          <w:szCs w:val="22"/>
        </w:rPr>
        <w:t>lar eri</w:t>
      </w:r>
      <w:r w:rsidR="000F34BE">
        <w:rPr>
          <w:rFonts w:ascii="Palatino Linotype" w:hAnsi="Palatino Linotype" w:cstheme="minorHAnsi"/>
          <w:b/>
          <w:sz w:val="22"/>
          <w:szCs w:val="22"/>
        </w:rPr>
        <w:t>meye devam etti</w:t>
      </w:r>
      <w:r w:rsidR="00494926" w:rsidRPr="005E0D21">
        <w:rPr>
          <w:rStyle w:val="FootnoteReference"/>
          <w:rFonts w:ascii="Palatino Linotype" w:hAnsi="Palatino Linotype" w:cstheme="minorHAnsi"/>
          <w:b/>
          <w:sz w:val="22"/>
          <w:szCs w:val="22"/>
        </w:rPr>
        <w:footnoteReference w:id="3"/>
      </w:r>
    </w:p>
    <w:p w14:paraId="2F77854E" w14:textId="173C41E7" w:rsidR="00450CEA" w:rsidRDefault="00F022E0"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13" w:name="OLE_LINK15"/>
      <w:bookmarkStart w:id="14" w:name="OLE_LINK16"/>
      <w:bookmarkStart w:id="15" w:name="OLE_LINK7"/>
      <w:bookmarkStart w:id="16" w:name="OLE_LINK8"/>
      <w:r>
        <w:rPr>
          <w:rFonts w:ascii="Palatino Linotype" w:hAnsi="Palatino Linotype" w:cstheme="minorHAnsi"/>
          <w:sz w:val="22"/>
          <w:szCs w:val="22"/>
        </w:rPr>
        <w:t>Stok değişimlerinin yıllık büyümeyi baskılamaya devam ettiğini görüyoruz.</w:t>
      </w:r>
      <w:r w:rsidR="00007C3F" w:rsidRPr="005E0D21">
        <w:rPr>
          <w:rFonts w:ascii="Palatino Linotype" w:hAnsi="Palatino Linotype" w:cstheme="minorHAnsi"/>
          <w:sz w:val="22"/>
          <w:szCs w:val="22"/>
        </w:rPr>
        <w:t xml:space="preserve"> </w:t>
      </w:r>
      <w:bookmarkEnd w:id="13"/>
      <w:bookmarkEnd w:id="14"/>
      <w:r w:rsidR="00173752">
        <w:rPr>
          <w:rFonts w:ascii="Palatino Linotype" w:hAnsi="Palatino Linotype" w:cstheme="minorHAnsi"/>
          <w:sz w:val="22"/>
          <w:szCs w:val="22"/>
        </w:rPr>
        <w:t xml:space="preserve">Stok değişimlerinin yıllık büyümeye katkısı eksi </w:t>
      </w:r>
      <w:r w:rsidR="00224895">
        <w:rPr>
          <w:rFonts w:ascii="Palatino Linotype" w:hAnsi="Palatino Linotype" w:cstheme="minorHAnsi"/>
          <w:sz w:val="22"/>
          <w:szCs w:val="22"/>
        </w:rPr>
        <w:t>8</w:t>
      </w:r>
      <w:r w:rsidR="00173752">
        <w:rPr>
          <w:rFonts w:ascii="Palatino Linotype" w:hAnsi="Palatino Linotype" w:cstheme="minorHAnsi"/>
          <w:sz w:val="22"/>
          <w:szCs w:val="22"/>
        </w:rPr>
        <w:t>,</w:t>
      </w:r>
      <w:r w:rsidR="00642AA7">
        <w:rPr>
          <w:rFonts w:ascii="Palatino Linotype" w:hAnsi="Palatino Linotype" w:cstheme="minorHAnsi"/>
          <w:sz w:val="22"/>
          <w:szCs w:val="22"/>
        </w:rPr>
        <w:t>3</w:t>
      </w:r>
      <w:r w:rsidR="00173752">
        <w:rPr>
          <w:rFonts w:ascii="Palatino Linotype" w:hAnsi="Palatino Linotype" w:cstheme="minorHAnsi"/>
          <w:sz w:val="22"/>
          <w:szCs w:val="22"/>
        </w:rPr>
        <w:t xml:space="preserve"> yüzde puan</w:t>
      </w:r>
      <w:r w:rsidR="00C21163">
        <w:rPr>
          <w:rFonts w:ascii="Palatino Linotype" w:hAnsi="Palatino Linotype" w:cstheme="minorHAnsi"/>
          <w:sz w:val="22"/>
          <w:szCs w:val="22"/>
        </w:rPr>
        <w:t xml:space="preserve"> </w:t>
      </w:r>
      <w:r w:rsidR="005C51D9" w:rsidRPr="005E0D21">
        <w:rPr>
          <w:rFonts w:ascii="Palatino Linotype" w:hAnsi="Palatino Linotype" w:cstheme="minorHAnsi"/>
          <w:sz w:val="22"/>
          <w:szCs w:val="22"/>
        </w:rPr>
        <w:t>(Tablo 1)</w:t>
      </w:r>
      <w:r w:rsidR="00C21163">
        <w:rPr>
          <w:rFonts w:ascii="Palatino Linotype" w:hAnsi="Palatino Linotype" w:cstheme="minorHAnsi"/>
          <w:sz w:val="22"/>
          <w:szCs w:val="22"/>
        </w:rPr>
        <w:t>,</w:t>
      </w:r>
      <w:r w:rsidR="005C51D9" w:rsidRPr="005E0D21">
        <w:rPr>
          <w:rFonts w:ascii="Palatino Linotype" w:hAnsi="Palatino Linotype" w:cstheme="minorHAnsi"/>
          <w:sz w:val="22"/>
          <w:szCs w:val="22"/>
        </w:rPr>
        <w:t xml:space="preserve"> mevsim ve takvim etkisinden </w:t>
      </w:r>
      <w:r w:rsidR="005C51D9" w:rsidRPr="00A81A40">
        <w:rPr>
          <w:rFonts w:ascii="Palatino Linotype" w:hAnsi="Palatino Linotype" w:cstheme="minorHAnsi"/>
          <w:sz w:val="22"/>
          <w:szCs w:val="22"/>
        </w:rPr>
        <w:t>arındırılmış veriye göre</w:t>
      </w:r>
      <w:r w:rsidRPr="00A81A40">
        <w:rPr>
          <w:rFonts w:ascii="Palatino Linotype" w:hAnsi="Palatino Linotype" w:cstheme="minorHAnsi"/>
          <w:sz w:val="22"/>
          <w:szCs w:val="22"/>
        </w:rPr>
        <w:t xml:space="preserve"> ise</w:t>
      </w:r>
      <w:r w:rsidR="005C51D9" w:rsidRPr="00A81A40">
        <w:rPr>
          <w:rFonts w:ascii="Palatino Linotype" w:hAnsi="Palatino Linotype" w:cstheme="minorHAnsi"/>
          <w:sz w:val="22"/>
          <w:szCs w:val="22"/>
        </w:rPr>
        <w:t xml:space="preserve"> çeyreklik büyümeye katkısı</w:t>
      </w:r>
      <w:r w:rsidR="00AA678E" w:rsidRPr="00A81A40">
        <w:rPr>
          <w:rFonts w:ascii="Palatino Linotype" w:hAnsi="Palatino Linotype" w:cstheme="minorHAnsi"/>
          <w:sz w:val="22"/>
          <w:szCs w:val="22"/>
        </w:rPr>
        <w:t xml:space="preserve"> </w:t>
      </w:r>
      <w:r w:rsidR="00C21163" w:rsidRPr="00A81A40">
        <w:rPr>
          <w:rFonts w:ascii="Palatino Linotype" w:hAnsi="Palatino Linotype" w:cstheme="minorHAnsi"/>
          <w:sz w:val="22"/>
          <w:szCs w:val="22"/>
        </w:rPr>
        <w:t>eksi</w:t>
      </w:r>
      <w:r w:rsidRPr="00A81A40">
        <w:rPr>
          <w:rFonts w:ascii="Palatino Linotype" w:hAnsi="Palatino Linotype" w:cstheme="minorHAnsi"/>
          <w:sz w:val="22"/>
          <w:szCs w:val="22"/>
        </w:rPr>
        <w:t xml:space="preserve"> </w:t>
      </w:r>
      <w:r w:rsidR="00224895" w:rsidRPr="00A81A40">
        <w:rPr>
          <w:rFonts w:ascii="Palatino Linotype" w:hAnsi="Palatino Linotype" w:cstheme="minorHAnsi"/>
          <w:sz w:val="22"/>
          <w:szCs w:val="22"/>
        </w:rPr>
        <w:t>0</w:t>
      </w:r>
      <w:r w:rsidRPr="00A81A40">
        <w:rPr>
          <w:rFonts w:ascii="Palatino Linotype" w:hAnsi="Palatino Linotype" w:cstheme="minorHAnsi"/>
          <w:sz w:val="22"/>
          <w:szCs w:val="22"/>
        </w:rPr>
        <w:t>,</w:t>
      </w:r>
      <w:r w:rsidR="00224895" w:rsidRPr="00A81A40">
        <w:rPr>
          <w:rFonts w:ascii="Palatino Linotype" w:hAnsi="Palatino Linotype" w:cstheme="minorHAnsi"/>
          <w:sz w:val="22"/>
          <w:szCs w:val="22"/>
        </w:rPr>
        <w:t>8</w:t>
      </w:r>
      <w:r w:rsidRPr="00A81A40">
        <w:rPr>
          <w:rFonts w:ascii="Palatino Linotype" w:hAnsi="Palatino Linotype" w:cstheme="minorHAnsi"/>
          <w:sz w:val="22"/>
          <w:szCs w:val="22"/>
        </w:rPr>
        <w:t xml:space="preserve"> yüzde puan olarak gerçekleşti</w:t>
      </w:r>
      <w:r w:rsidR="005C51D9" w:rsidRPr="00A81A40">
        <w:rPr>
          <w:rFonts w:ascii="Palatino Linotype" w:hAnsi="Palatino Linotype" w:cstheme="minorHAnsi"/>
          <w:sz w:val="22"/>
          <w:szCs w:val="22"/>
        </w:rPr>
        <w:t xml:space="preserve"> (Tablo 2).</w:t>
      </w:r>
      <w:bookmarkEnd w:id="15"/>
      <w:bookmarkEnd w:id="16"/>
      <w:r w:rsidR="006E09D6" w:rsidRPr="00A81A40">
        <w:rPr>
          <w:rFonts w:ascii="Palatino Linotype" w:hAnsi="Palatino Linotype" w:cstheme="minorHAnsi"/>
          <w:sz w:val="22"/>
          <w:szCs w:val="22"/>
        </w:rPr>
        <w:t xml:space="preserve"> Stok değişiminin yıllık büyümey</w:t>
      </w:r>
      <w:r w:rsidR="00793D58" w:rsidRPr="00A81A40">
        <w:rPr>
          <w:rFonts w:ascii="Palatino Linotype" w:hAnsi="Palatino Linotype" w:cstheme="minorHAnsi"/>
          <w:sz w:val="22"/>
          <w:szCs w:val="22"/>
        </w:rPr>
        <w:t>e katkısı negatif oldu. Bunun sebebi p</w:t>
      </w:r>
      <w:r w:rsidR="0048730C" w:rsidRPr="00A81A40">
        <w:rPr>
          <w:rFonts w:ascii="Palatino Linotype" w:hAnsi="Palatino Linotype" w:cstheme="minorHAnsi"/>
          <w:sz w:val="22"/>
          <w:szCs w:val="22"/>
        </w:rPr>
        <w:t xml:space="preserve">andemi </w:t>
      </w:r>
      <w:r w:rsidR="00793D58" w:rsidRPr="00A81A40">
        <w:rPr>
          <w:rFonts w:ascii="Palatino Linotype" w:hAnsi="Palatino Linotype" w:cstheme="minorHAnsi"/>
          <w:sz w:val="22"/>
          <w:szCs w:val="22"/>
        </w:rPr>
        <w:t xml:space="preserve">döneminde biriken </w:t>
      </w:r>
      <w:r w:rsidR="00B31727" w:rsidRPr="00A81A40">
        <w:rPr>
          <w:rFonts w:ascii="Palatino Linotype" w:hAnsi="Palatino Linotype" w:cstheme="minorHAnsi"/>
          <w:sz w:val="22"/>
          <w:szCs w:val="22"/>
        </w:rPr>
        <w:t>stokların</w:t>
      </w:r>
      <w:r w:rsidR="0071724C" w:rsidRPr="00A81A40">
        <w:rPr>
          <w:rFonts w:ascii="Palatino Linotype" w:hAnsi="Palatino Linotype" w:cstheme="minorHAnsi"/>
          <w:sz w:val="22"/>
          <w:szCs w:val="22"/>
        </w:rPr>
        <w:t xml:space="preserve">, </w:t>
      </w:r>
      <w:r w:rsidR="00DD00FB" w:rsidRPr="00A81A40">
        <w:rPr>
          <w:rFonts w:ascii="Palatino Linotype" w:hAnsi="Palatino Linotype" w:cstheme="minorHAnsi"/>
          <w:sz w:val="22"/>
          <w:szCs w:val="22"/>
        </w:rPr>
        <w:t xml:space="preserve">2021’de olduğu gibi 2022’nin </w:t>
      </w:r>
      <w:r w:rsidR="0071724C" w:rsidRPr="00A81A40">
        <w:rPr>
          <w:rFonts w:ascii="Palatino Linotype" w:hAnsi="Palatino Linotype" w:cstheme="minorHAnsi"/>
          <w:sz w:val="22"/>
          <w:szCs w:val="22"/>
        </w:rPr>
        <w:t>ilk</w:t>
      </w:r>
      <w:r w:rsidR="0048730C" w:rsidRPr="00A81A40">
        <w:rPr>
          <w:rFonts w:ascii="Palatino Linotype" w:hAnsi="Palatino Linotype" w:cstheme="minorHAnsi"/>
          <w:sz w:val="22"/>
          <w:szCs w:val="22"/>
        </w:rPr>
        <w:t xml:space="preserve"> çeyre</w:t>
      </w:r>
      <w:r w:rsidR="00DD00FB" w:rsidRPr="00A81A40">
        <w:rPr>
          <w:rFonts w:ascii="Palatino Linotype" w:hAnsi="Palatino Linotype" w:cstheme="minorHAnsi"/>
          <w:sz w:val="22"/>
          <w:szCs w:val="22"/>
        </w:rPr>
        <w:t xml:space="preserve">ğinde de </w:t>
      </w:r>
      <w:r w:rsidR="0048730C" w:rsidRPr="00A81A40">
        <w:rPr>
          <w:rFonts w:ascii="Palatino Linotype" w:hAnsi="Palatino Linotype" w:cstheme="minorHAnsi"/>
          <w:sz w:val="22"/>
          <w:szCs w:val="22"/>
        </w:rPr>
        <w:t>eri</w:t>
      </w:r>
      <w:r w:rsidR="00B31727" w:rsidRPr="00A81A40">
        <w:rPr>
          <w:rFonts w:ascii="Palatino Linotype" w:hAnsi="Palatino Linotype" w:cstheme="minorHAnsi"/>
          <w:sz w:val="22"/>
          <w:szCs w:val="22"/>
        </w:rPr>
        <w:t>meye devam et</w:t>
      </w:r>
      <w:r w:rsidR="00DD00FB" w:rsidRPr="00A81A40">
        <w:rPr>
          <w:rFonts w:ascii="Palatino Linotype" w:hAnsi="Palatino Linotype" w:cstheme="minorHAnsi"/>
          <w:sz w:val="22"/>
          <w:szCs w:val="22"/>
        </w:rPr>
        <w:t>me</w:t>
      </w:r>
      <w:r w:rsidR="008F10DA" w:rsidRPr="00A81A40">
        <w:rPr>
          <w:rFonts w:ascii="Palatino Linotype" w:hAnsi="Palatino Linotype" w:cstheme="minorHAnsi"/>
          <w:sz w:val="22"/>
          <w:szCs w:val="22"/>
        </w:rPr>
        <w:t xml:space="preserve">sidir. Azalan stoklar sebebi ile </w:t>
      </w:r>
      <w:r w:rsidR="004950F8" w:rsidRPr="00A81A40">
        <w:rPr>
          <w:rFonts w:ascii="Palatino Linotype" w:hAnsi="Palatino Linotype" w:cstheme="minorHAnsi"/>
          <w:sz w:val="22"/>
          <w:szCs w:val="22"/>
        </w:rPr>
        <w:t>üretim</w:t>
      </w:r>
      <w:r w:rsidR="008F10DA" w:rsidRPr="00A81A40">
        <w:rPr>
          <w:rFonts w:ascii="Palatino Linotype" w:hAnsi="Palatino Linotype" w:cstheme="minorHAnsi"/>
          <w:sz w:val="22"/>
          <w:szCs w:val="22"/>
        </w:rPr>
        <w:t xml:space="preserve"> artışı</w:t>
      </w:r>
      <w:r w:rsidR="000F34BE" w:rsidRPr="00A81A40">
        <w:rPr>
          <w:rFonts w:ascii="Palatino Linotype" w:hAnsi="Palatino Linotype" w:cstheme="minorHAnsi"/>
          <w:sz w:val="22"/>
          <w:szCs w:val="22"/>
        </w:rPr>
        <w:t xml:space="preserve">nın </w:t>
      </w:r>
      <w:r w:rsidR="007C47CA" w:rsidRPr="00A81A40">
        <w:rPr>
          <w:rFonts w:ascii="Palatino Linotype" w:hAnsi="Palatino Linotype" w:cstheme="minorHAnsi"/>
          <w:sz w:val="22"/>
          <w:szCs w:val="22"/>
        </w:rPr>
        <w:t>tüketim artışın</w:t>
      </w:r>
      <w:r w:rsidR="00AC2CCA" w:rsidRPr="00A81A40">
        <w:rPr>
          <w:rFonts w:ascii="Palatino Linotype" w:hAnsi="Palatino Linotype" w:cstheme="minorHAnsi"/>
          <w:sz w:val="22"/>
          <w:szCs w:val="22"/>
        </w:rPr>
        <w:t>a kıyasla daha düşük</w:t>
      </w:r>
      <w:r w:rsidR="007C47CA" w:rsidRPr="00A81A40">
        <w:rPr>
          <w:rFonts w:ascii="Palatino Linotype" w:hAnsi="Palatino Linotype" w:cstheme="minorHAnsi"/>
          <w:sz w:val="22"/>
          <w:szCs w:val="22"/>
        </w:rPr>
        <w:t xml:space="preserve"> kaldığı</w:t>
      </w:r>
      <w:r w:rsidR="00190CDF" w:rsidRPr="00A81A40">
        <w:rPr>
          <w:rFonts w:ascii="Palatino Linotype" w:hAnsi="Palatino Linotype" w:cstheme="minorHAnsi"/>
          <w:sz w:val="22"/>
          <w:szCs w:val="22"/>
        </w:rPr>
        <w:t>nı</w:t>
      </w:r>
      <w:r w:rsidR="007C47CA" w:rsidRPr="00A81A40">
        <w:rPr>
          <w:rFonts w:ascii="Palatino Linotype" w:hAnsi="Palatino Linotype" w:cstheme="minorHAnsi"/>
          <w:sz w:val="22"/>
          <w:szCs w:val="22"/>
        </w:rPr>
        <w:t xml:space="preserve"> </w:t>
      </w:r>
      <w:r w:rsidR="000F34BE" w:rsidRPr="00A81A40">
        <w:rPr>
          <w:rFonts w:ascii="Palatino Linotype" w:hAnsi="Palatino Linotype" w:cstheme="minorHAnsi"/>
          <w:sz w:val="22"/>
          <w:szCs w:val="22"/>
        </w:rPr>
        <w:t>söyle</w:t>
      </w:r>
      <w:r w:rsidR="00190CDF" w:rsidRPr="00A81A40">
        <w:rPr>
          <w:rFonts w:ascii="Palatino Linotype" w:hAnsi="Palatino Linotype" w:cstheme="minorHAnsi"/>
          <w:sz w:val="22"/>
          <w:szCs w:val="22"/>
        </w:rPr>
        <w:t>y</w:t>
      </w:r>
      <w:r w:rsidR="000F34BE" w:rsidRPr="00A81A40">
        <w:rPr>
          <w:rFonts w:ascii="Palatino Linotype" w:hAnsi="Palatino Linotype" w:cstheme="minorHAnsi"/>
          <w:sz w:val="22"/>
          <w:szCs w:val="22"/>
        </w:rPr>
        <w:t>ebilir</w:t>
      </w:r>
      <w:r w:rsidR="00190CDF" w:rsidRPr="00A81A40">
        <w:rPr>
          <w:rFonts w:ascii="Palatino Linotype" w:hAnsi="Palatino Linotype" w:cstheme="minorHAnsi"/>
          <w:sz w:val="22"/>
          <w:szCs w:val="22"/>
        </w:rPr>
        <w:t>iz</w:t>
      </w:r>
      <w:r w:rsidR="000F34BE" w:rsidRPr="00A81A40">
        <w:rPr>
          <w:rFonts w:ascii="Palatino Linotype" w:hAnsi="Palatino Linotype" w:cstheme="minorHAnsi"/>
          <w:sz w:val="22"/>
          <w:szCs w:val="22"/>
        </w:rPr>
        <w:t>.</w:t>
      </w:r>
      <w:r w:rsidR="000F34BE">
        <w:rPr>
          <w:rFonts w:ascii="Palatino Linotype" w:hAnsi="Palatino Linotype" w:cstheme="minorHAnsi"/>
          <w:sz w:val="22"/>
          <w:szCs w:val="22"/>
        </w:rPr>
        <w:t xml:space="preserve"> </w:t>
      </w:r>
    </w:p>
    <w:bookmarkEnd w:id="9"/>
    <w:bookmarkEnd w:id="10"/>
    <w:p w14:paraId="460F9C7D" w14:textId="77777777" w:rsidR="007C47CA" w:rsidRPr="005E0D21" w:rsidRDefault="007C47CA" w:rsidP="002A037D">
      <w:pPr>
        <w:pStyle w:val="NormalWeb"/>
        <w:spacing w:before="0" w:beforeAutospacing="0" w:after="120" w:afterAutospacing="0" w:line="360" w:lineRule="auto"/>
        <w:ind w:right="79"/>
        <w:jc w:val="both"/>
        <w:rPr>
          <w:rFonts w:ascii="Palatino Linotype" w:hAnsi="Palatino Linotype" w:cstheme="minorHAnsi"/>
          <w:sz w:val="22"/>
          <w:szCs w:val="22"/>
        </w:rPr>
      </w:pPr>
    </w:p>
    <w:p w14:paraId="7233E2B8" w14:textId="770C6D42" w:rsidR="00F46A54" w:rsidRPr="005E0D21" w:rsidRDefault="00670BB4" w:rsidP="00F30329">
      <w:pPr>
        <w:pStyle w:val="NormalWeb"/>
        <w:spacing w:before="0" w:beforeAutospacing="0" w:after="120" w:afterAutospacing="0" w:line="360" w:lineRule="auto"/>
        <w:ind w:right="79"/>
        <w:rPr>
          <w:rFonts w:ascii="Palatino Linotype" w:hAnsi="Palatino Linotype" w:cstheme="minorHAnsi"/>
          <w:b/>
          <w:sz w:val="22"/>
          <w:szCs w:val="22"/>
        </w:rPr>
      </w:pPr>
      <w:bookmarkStart w:id="17" w:name="OLE_LINK26"/>
      <w:r>
        <w:rPr>
          <w:rFonts w:ascii="Palatino Linotype" w:hAnsi="Palatino Linotype" w:cstheme="minorHAnsi"/>
          <w:b/>
          <w:sz w:val="22"/>
          <w:szCs w:val="22"/>
        </w:rPr>
        <w:t>Artan ithalatla düşük dış ticaret katkısı</w:t>
      </w:r>
    </w:p>
    <w:p w14:paraId="142C0302" w14:textId="45A7ACC4" w:rsidR="00062A8A" w:rsidRPr="005E0D21" w:rsidRDefault="001F5399" w:rsidP="00EB7390">
      <w:pPr>
        <w:pStyle w:val="NormalWeb"/>
        <w:spacing w:before="0" w:beforeAutospacing="0" w:after="0" w:afterAutospacing="0" w:line="360" w:lineRule="auto"/>
        <w:ind w:right="77"/>
        <w:jc w:val="both"/>
        <w:rPr>
          <w:rFonts w:ascii="Palatino Linotype" w:hAnsi="Palatino Linotype" w:cstheme="minorHAnsi"/>
          <w:sz w:val="22"/>
          <w:szCs w:val="22"/>
        </w:rPr>
      </w:pPr>
      <w:bookmarkStart w:id="18" w:name="OLE_LINK11"/>
      <w:bookmarkStart w:id="19" w:name="OLE_LINK12"/>
      <w:r>
        <w:rPr>
          <w:rFonts w:ascii="Palatino Linotype" w:hAnsi="Palatino Linotype" w:cstheme="minorHAnsi"/>
          <w:sz w:val="22"/>
          <w:szCs w:val="22"/>
        </w:rPr>
        <w:t xml:space="preserve">2022 yılının </w:t>
      </w:r>
      <w:r w:rsidR="007A28DD">
        <w:rPr>
          <w:rFonts w:ascii="Palatino Linotype" w:hAnsi="Palatino Linotype" w:cstheme="minorHAnsi"/>
          <w:sz w:val="22"/>
          <w:szCs w:val="22"/>
        </w:rPr>
        <w:t>üçüncü</w:t>
      </w:r>
      <w:r>
        <w:rPr>
          <w:rFonts w:ascii="Palatino Linotype" w:hAnsi="Palatino Linotype" w:cstheme="minorHAnsi"/>
          <w:sz w:val="22"/>
          <w:szCs w:val="22"/>
        </w:rPr>
        <w:t xml:space="preserve"> çeyreğinde</w:t>
      </w:r>
      <w:r w:rsidR="00D9362E">
        <w:rPr>
          <w:rFonts w:ascii="Palatino Linotype" w:hAnsi="Palatino Linotype" w:cstheme="minorHAnsi"/>
          <w:sz w:val="22"/>
          <w:szCs w:val="22"/>
        </w:rPr>
        <w:t xml:space="preserve"> yıllık bazda</w:t>
      </w:r>
      <w:r>
        <w:rPr>
          <w:rFonts w:ascii="Palatino Linotype" w:hAnsi="Palatino Linotype" w:cstheme="minorHAnsi"/>
          <w:sz w:val="22"/>
          <w:szCs w:val="22"/>
        </w:rPr>
        <w:t xml:space="preserve"> </w:t>
      </w:r>
      <w:r w:rsidR="00D9362E">
        <w:rPr>
          <w:rFonts w:ascii="Palatino Linotype" w:hAnsi="Palatino Linotype" w:cstheme="minorHAnsi"/>
          <w:sz w:val="22"/>
          <w:szCs w:val="22"/>
        </w:rPr>
        <w:t>ihracat yüzde 1</w:t>
      </w:r>
      <w:r w:rsidR="007A28DD">
        <w:rPr>
          <w:rFonts w:ascii="Palatino Linotype" w:hAnsi="Palatino Linotype" w:cstheme="minorHAnsi"/>
          <w:sz w:val="22"/>
          <w:szCs w:val="22"/>
        </w:rPr>
        <w:t>2</w:t>
      </w:r>
      <w:r w:rsidR="00D9362E">
        <w:rPr>
          <w:rFonts w:ascii="Palatino Linotype" w:hAnsi="Palatino Linotype" w:cstheme="minorHAnsi"/>
          <w:sz w:val="22"/>
          <w:szCs w:val="22"/>
        </w:rPr>
        <w:t>,</w:t>
      </w:r>
      <w:r w:rsidR="007A28DD">
        <w:rPr>
          <w:rFonts w:ascii="Palatino Linotype" w:hAnsi="Palatino Linotype" w:cstheme="minorHAnsi"/>
          <w:sz w:val="22"/>
          <w:szCs w:val="22"/>
        </w:rPr>
        <w:t>6</w:t>
      </w:r>
      <w:r w:rsidR="00D9362E">
        <w:rPr>
          <w:rFonts w:ascii="Palatino Linotype" w:hAnsi="Palatino Linotype" w:cstheme="minorHAnsi"/>
          <w:sz w:val="22"/>
          <w:szCs w:val="22"/>
        </w:rPr>
        <w:t xml:space="preserve">, ithalat ise yüzde </w:t>
      </w:r>
      <w:r w:rsidR="007A28DD">
        <w:rPr>
          <w:rFonts w:ascii="Palatino Linotype" w:hAnsi="Palatino Linotype" w:cstheme="minorHAnsi"/>
          <w:sz w:val="22"/>
          <w:szCs w:val="22"/>
        </w:rPr>
        <w:t>12</w:t>
      </w:r>
      <w:r w:rsidR="00D9362E">
        <w:rPr>
          <w:rFonts w:ascii="Palatino Linotype" w:hAnsi="Palatino Linotype" w:cstheme="minorHAnsi"/>
          <w:sz w:val="22"/>
          <w:szCs w:val="22"/>
        </w:rPr>
        <w:t>,</w:t>
      </w:r>
      <w:r w:rsidR="007A28DD">
        <w:rPr>
          <w:rFonts w:ascii="Palatino Linotype" w:hAnsi="Palatino Linotype" w:cstheme="minorHAnsi"/>
          <w:sz w:val="22"/>
          <w:szCs w:val="22"/>
        </w:rPr>
        <w:t>2</w:t>
      </w:r>
      <w:r w:rsidR="00D9362E">
        <w:rPr>
          <w:rFonts w:ascii="Palatino Linotype" w:hAnsi="Palatino Linotype" w:cstheme="minorHAnsi"/>
          <w:sz w:val="22"/>
          <w:szCs w:val="22"/>
        </w:rPr>
        <w:t xml:space="preserve"> arttı.</w:t>
      </w:r>
      <w:r w:rsidR="00A94E9C" w:rsidRPr="005E0D21">
        <w:rPr>
          <w:rFonts w:ascii="Palatino Linotype" w:hAnsi="Palatino Linotype" w:cstheme="minorHAnsi"/>
          <w:sz w:val="22"/>
          <w:szCs w:val="22"/>
        </w:rPr>
        <w:t xml:space="preserve"> </w:t>
      </w:r>
      <w:r w:rsidR="00505D2D">
        <w:rPr>
          <w:rFonts w:ascii="Palatino Linotype" w:hAnsi="Palatino Linotype" w:cstheme="minorHAnsi"/>
          <w:sz w:val="22"/>
          <w:szCs w:val="22"/>
        </w:rPr>
        <w:t>İthalattaki artışın hızlanması, bir önceki çeyrek 3,9 yüzde puan olan d</w:t>
      </w:r>
      <w:r w:rsidR="00220425">
        <w:rPr>
          <w:rFonts w:ascii="Palatino Linotype" w:hAnsi="Palatino Linotype" w:cstheme="minorHAnsi"/>
          <w:sz w:val="22"/>
          <w:szCs w:val="22"/>
        </w:rPr>
        <w:t>ış ticaret</w:t>
      </w:r>
      <w:r w:rsidR="00505D2D">
        <w:rPr>
          <w:rFonts w:ascii="Palatino Linotype" w:hAnsi="Palatino Linotype" w:cstheme="minorHAnsi"/>
          <w:sz w:val="22"/>
          <w:szCs w:val="22"/>
        </w:rPr>
        <w:t xml:space="preserve"> katkısının bu çeyrek</w:t>
      </w:r>
      <w:r w:rsidR="00220425">
        <w:rPr>
          <w:rFonts w:ascii="Palatino Linotype" w:hAnsi="Palatino Linotype" w:cstheme="minorHAnsi"/>
          <w:sz w:val="22"/>
          <w:szCs w:val="22"/>
        </w:rPr>
        <w:t xml:space="preserve"> </w:t>
      </w:r>
      <w:r w:rsidR="0032427F">
        <w:rPr>
          <w:rFonts w:ascii="Palatino Linotype" w:hAnsi="Palatino Linotype" w:cstheme="minorHAnsi"/>
          <w:sz w:val="22"/>
          <w:szCs w:val="22"/>
        </w:rPr>
        <w:t>0,7</w:t>
      </w:r>
      <w:r w:rsidR="00220425">
        <w:rPr>
          <w:rFonts w:ascii="Palatino Linotype" w:hAnsi="Palatino Linotype" w:cstheme="minorHAnsi"/>
          <w:sz w:val="22"/>
          <w:szCs w:val="22"/>
        </w:rPr>
        <w:t xml:space="preserve"> yüzde puan</w:t>
      </w:r>
      <w:r w:rsidR="0032427F">
        <w:rPr>
          <w:rFonts w:ascii="Palatino Linotype" w:hAnsi="Palatino Linotype" w:cstheme="minorHAnsi"/>
          <w:sz w:val="22"/>
          <w:szCs w:val="22"/>
        </w:rPr>
        <w:t>a düşmesine neden</w:t>
      </w:r>
      <w:r w:rsidR="00220425">
        <w:rPr>
          <w:rFonts w:ascii="Palatino Linotype" w:hAnsi="Palatino Linotype" w:cstheme="minorHAnsi"/>
          <w:sz w:val="22"/>
          <w:szCs w:val="22"/>
        </w:rPr>
        <w:t xml:space="preserve"> oldu</w:t>
      </w:r>
      <w:r w:rsidR="00A076DB">
        <w:rPr>
          <w:rFonts w:ascii="Palatino Linotype" w:hAnsi="Palatino Linotype" w:cstheme="minorHAnsi"/>
          <w:sz w:val="22"/>
          <w:szCs w:val="22"/>
        </w:rPr>
        <w:t xml:space="preserve"> </w:t>
      </w:r>
      <w:r w:rsidR="004D1A55" w:rsidRPr="005E0D21">
        <w:rPr>
          <w:rFonts w:ascii="Palatino Linotype" w:hAnsi="Palatino Linotype" w:cstheme="minorHAnsi"/>
          <w:sz w:val="22"/>
          <w:szCs w:val="22"/>
        </w:rPr>
        <w:t xml:space="preserve">(Tablo 1). </w:t>
      </w:r>
      <w:bookmarkStart w:id="20" w:name="OLE_LINK13"/>
      <w:bookmarkStart w:id="21" w:name="OLE_LINK14"/>
      <w:r w:rsidR="0068354F">
        <w:rPr>
          <w:rFonts w:ascii="Palatino Linotype" w:hAnsi="Palatino Linotype" w:cstheme="minorHAnsi"/>
          <w:sz w:val="22"/>
          <w:szCs w:val="22"/>
        </w:rPr>
        <w:t>Mevsim ve takvim etkisinden arındırılmış rakamlara</w:t>
      </w:r>
      <w:r w:rsidR="00A94E9C"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 xml:space="preserve">bakıldığınsa ise </w:t>
      </w:r>
      <w:bookmarkEnd w:id="20"/>
      <w:bookmarkEnd w:id="21"/>
      <w:r w:rsidR="00D43C22">
        <w:rPr>
          <w:rFonts w:ascii="Palatino Linotype" w:hAnsi="Palatino Linotype" w:cstheme="minorHAnsi"/>
          <w:sz w:val="22"/>
          <w:szCs w:val="22"/>
        </w:rPr>
        <w:t xml:space="preserve">ihracatın yüzde </w:t>
      </w:r>
      <w:r w:rsidR="00DE251C">
        <w:rPr>
          <w:rFonts w:ascii="Palatino Linotype" w:hAnsi="Palatino Linotype" w:cstheme="minorHAnsi"/>
          <w:sz w:val="22"/>
          <w:szCs w:val="22"/>
        </w:rPr>
        <w:t>1</w:t>
      </w:r>
      <w:r w:rsidR="00D43C22">
        <w:rPr>
          <w:rFonts w:ascii="Palatino Linotype" w:hAnsi="Palatino Linotype" w:cstheme="minorHAnsi"/>
          <w:sz w:val="22"/>
          <w:szCs w:val="22"/>
        </w:rPr>
        <w:t>,</w:t>
      </w:r>
      <w:r w:rsidR="00EB7390">
        <w:rPr>
          <w:rFonts w:ascii="Palatino Linotype" w:hAnsi="Palatino Linotype" w:cstheme="minorHAnsi"/>
          <w:sz w:val="22"/>
          <w:szCs w:val="22"/>
        </w:rPr>
        <w:t>1</w:t>
      </w:r>
      <w:r w:rsidR="00DE251C">
        <w:rPr>
          <w:rFonts w:ascii="Palatino Linotype" w:hAnsi="Palatino Linotype" w:cstheme="minorHAnsi"/>
          <w:sz w:val="22"/>
          <w:szCs w:val="22"/>
        </w:rPr>
        <w:t xml:space="preserve"> azaldığını</w:t>
      </w:r>
      <w:r w:rsidR="00EB7390">
        <w:rPr>
          <w:rFonts w:ascii="Palatino Linotype" w:hAnsi="Palatino Linotype" w:cstheme="minorHAnsi"/>
          <w:sz w:val="22"/>
          <w:szCs w:val="22"/>
        </w:rPr>
        <w:t xml:space="preserve">, ithalatın ise yüzde </w:t>
      </w:r>
      <w:r w:rsidR="009B4BE2">
        <w:rPr>
          <w:rFonts w:ascii="Palatino Linotype" w:hAnsi="Palatino Linotype" w:cstheme="minorHAnsi"/>
          <w:sz w:val="22"/>
          <w:szCs w:val="22"/>
        </w:rPr>
        <w:t>6 arttığı görülmektedir.</w:t>
      </w:r>
      <w:r w:rsidR="00EB7390">
        <w:rPr>
          <w:rFonts w:ascii="Palatino Linotype" w:hAnsi="Palatino Linotype" w:cstheme="minorHAnsi"/>
          <w:sz w:val="22"/>
          <w:szCs w:val="22"/>
        </w:rPr>
        <w:t xml:space="preserve"> </w:t>
      </w:r>
      <w:r w:rsidR="009B4BE2">
        <w:rPr>
          <w:rFonts w:ascii="Palatino Linotype" w:hAnsi="Palatino Linotype" w:cstheme="minorHAnsi"/>
          <w:sz w:val="22"/>
          <w:szCs w:val="22"/>
        </w:rPr>
        <w:t>Bu durum</w:t>
      </w:r>
      <w:r w:rsidR="007C7A46">
        <w:rPr>
          <w:rFonts w:ascii="Palatino Linotype" w:hAnsi="Palatino Linotype" w:cstheme="minorHAnsi"/>
          <w:sz w:val="22"/>
          <w:szCs w:val="22"/>
        </w:rPr>
        <w:t xml:space="preserve"> dış ticaretin çeyrekten çeyreğe büyümeyi 2,5 yüzde puan baskılamasına yol açmıştır </w:t>
      </w:r>
      <w:r w:rsidR="00A94E9C" w:rsidRPr="005E0D21">
        <w:rPr>
          <w:rFonts w:ascii="Palatino Linotype" w:hAnsi="Palatino Linotype" w:cstheme="minorHAnsi"/>
          <w:sz w:val="22"/>
          <w:szCs w:val="22"/>
        </w:rPr>
        <w:t>(Tablo 2).</w:t>
      </w:r>
      <w:r w:rsidR="0064747F" w:rsidRPr="005E0D21">
        <w:rPr>
          <w:rFonts w:ascii="Palatino Linotype" w:hAnsi="Palatino Linotype" w:cstheme="minorHAnsi"/>
          <w:sz w:val="22"/>
          <w:szCs w:val="22"/>
        </w:rPr>
        <w:t xml:space="preserve"> </w:t>
      </w:r>
    </w:p>
    <w:bookmarkEnd w:id="17"/>
    <w:bookmarkEnd w:id="18"/>
    <w:bookmarkEnd w:id="19"/>
    <w:p w14:paraId="2B8DE216" w14:textId="642AB2AC"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777C1939" w14:textId="16D82E19" w:rsidR="006C3EE6" w:rsidRPr="005E0D21"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bookmarkStart w:id="22" w:name="OLE_LINK27"/>
      <w:bookmarkStart w:id="23" w:name="OLE_LINK28"/>
      <w:r w:rsidRPr="005E0D21">
        <w:rPr>
          <w:rFonts w:ascii="Palatino Linotype" w:hAnsi="Palatino Linotype" w:cstheme="minorHAnsi"/>
          <w:b/>
          <w:bCs/>
          <w:sz w:val="22"/>
          <w:szCs w:val="22"/>
        </w:rPr>
        <w:t>Kamu harcamaları</w:t>
      </w:r>
      <w:r w:rsidR="00A94E9C" w:rsidRPr="005E0D21">
        <w:rPr>
          <w:rFonts w:ascii="Palatino Linotype" w:hAnsi="Palatino Linotype" w:cstheme="minorHAnsi"/>
          <w:b/>
          <w:bCs/>
          <w:sz w:val="22"/>
          <w:szCs w:val="22"/>
        </w:rPr>
        <w:t xml:space="preserve"> </w:t>
      </w:r>
      <w:r w:rsidR="00F43521">
        <w:rPr>
          <w:rFonts w:ascii="Palatino Linotype" w:hAnsi="Palatino Linotype" w:cstheme="minorHAnsi"/>
          <w:b/>
          <w:bCs/>
          <w:sz w:val="22"/>
          <w:szCs w:val="22"/>
        </w:rPr>
        <w:t>azaldı</w:t>
      </w:r>
    </w:p>
    <w:p w14:paraId="6D5A1000" w14:textId="0BFE4863" w:rsidR="00370FEE" w:rsidRPr="00CC0355" w:rsidRDefault="009C4B9E"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68354F">
        <w:rPr>
          <w:rFonts w:ascii="Palatino Linotype" w:hAnsi="Palatino Linotype" w:cstheme="minorHAnsi"/>
          <w:sz w:val="22"/>
          <w:szCs w:val="22"/>
        </w:rPr>
        <w:t>2</w:t>
      </w:r>
      <w:r w:rsidR="00A94E9C" w:rsidRPr="005E0D21">
        <w:rPr>
          <w:rFonts w:ascii="Palatino Linotype" w:hAnsi="Palatino Linotype" w:cstheme="minorHAnsi"/>
          <w:sz w:val="22"/>
          <w:szCs w:val="22"/>
        </w:rPr>
        <w:t xml:space="preserve"> yılın</w:t>
      </w:r>
      <w:r w:rsidRPr="005E0D21">
        <w:rPr>
          <w:rFonts w:ascii="Palatino Linotype" w:hAnsi="Palatino Linotype" w:cstheme="minorHAnsi"/>
          <w:sz w:val="22"/>
          <w:szCs w:val="22"/>
        </w:rPr>
        <w:t>ın</w:t>
      </w:r>
      <w:r w:rsidR="00A94E9C" w:rsidRPr="005E0D21">
        <w:rPr>
          <w:rFonts w:ascii="Palatino Linotype" w:hAnsi="Palatino Linotype" w:cstheme="minorHAnsi"/>
          <w:sz w:val="22"/>
          <w:szCs w:val="22"/>
        </w:rPr>
        <w:t xml:space="preserve"> </w:t>
      </w:r>
      <w:r w:rsidR="00F43521">
        <w:rPr>
          <w:rFonts w:ascii="Palatino Linotype" w:hAnsi="Palatino Linotype" w:cstheme="minorHAnsi"/>
          <w:sz w:val="22"/>
          <w:szCs w:val="22"/>
        </w:rPr>
        <w:t>üçüncü</w:t>
      </w:r>
      <w:r w:rsidR="00A94E9C" w:rsidRPr="005E0D21">
        <w:rPr>
          <w:rFonts w:ascii="Palatino Linotype" w:hAnsi="Palatino Linotype" w:cstheme="minorHAnsi"/>
          <w:sz w:val="22"/>
          <w:szCs w:val="22"/>
        </w:rPr>
        <w:t xml:space="preserve"> çeyreğinde </w:t>
      </w:r>
      <w:bookmarkStart w:id="24" w:name="OLE_LINK17"/>
      <w:bookmarkStart w:id="25" w:name="OLE_LINK18"/>
      <w:r w:rsidRPr="005E0D21">
        <w:rPr>
          <w:rFonts w:ascii="Palatino Linotype" w:hAnsi="Palatino Linotype" w:cstheme="minorHAnsi"/>
          <w:sz w:val="22"/>
          <w:szCs w:val="22"/>
        </w:rPr>
        <w:t>kamu harcamaları</w:t>
      </w:r>
      <w:r w:rsidR="005A3A4D" w:rsidRPr="005E0D21">
        <w:rPr>
          <w:rFonts w:ascii="Palatino Linotype" w:hAnsi="Palatino Linotype" w:cstheme="minorHAnsi"/>
          <w:sz w:val="22"/>
          <w:szCs w:val="22"/>
        </w:rPr>
        <w:t xml:space="preserve"> yüzde </w:t>
      </w:r>
      <w:r w:rsidR="00F43521">
        <w:rPr>
          <w:rFonts w:ascii="Palatino Linotype" w:hAnsi="Palatino Linotype" w:cstheme="minorHAnsi"/>
          <w:sz w:val="22"/>
          <w:szCs w:val="22"/>
        </w:rPr>
        <w:t>8</w:t>
      </w:r>
      <w:r w:rsidR="0048406B">
        <w:rPr>
          <w:rFonts w:ascii="Palatino Linotype" w:hAnsi="Palatino Linotype" w:cstheme="minorHAnsi"/>
          <w:sz w:val="22"/>
          <w:szCs w:val="22"/>
        </w:rPr>
        <w:t>,</w:t>
      </w:r>
      <w:r w:rsidR="00F43521">
        <w:rPr>
          <w:rFonts w:ascii="Palatino Linotype" w:hAnsi="Palatino Linotype" w:cstheme="minorHAnsi"/>
          <w:sz w:val="22"/>
          <w:szCs w:val="22"/>
        </w:rPr>
        <w:t>5</w:t>
      </w:r>
      <w:r w:rsidR="0048406B">
        <w:rPr>
          <w:rFonts w:ascii="Palatino Linotype" w:hAnsi="Palatino Linotype" w:cstheme="minorHAnsi"/>
          <w:sz w:val="22"/>
          <w:szCs w:val="22"/>
        </w:rPr>
        <w:t xml:space="preserve"> </w:t>
      </w:r>
      <w:r w:rsidR="0068354F">
        <w:rPr>
          <w:rFonts w:ascii="Palatino Linotype" w:hAnsi="Palatino Linotype" w:cstheme="minorHAnsi"/>
          <w:sz w:val="22"/>
          <w:szCs w:val="22"/>
        </w:rPr>
        <w:t>artarak</w:t>
      </w:r>
      <w:r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yı</w:t>
      </w:r>
      <w:r w:rsidRPr="005E0D21">
        <w:rPr>
          <w:rFonts w:ascii="Palatino Linotype" w:hAnsi="Palatino Linotype" w:cstheme="minorHAnsi"/>
          <w:sz w:val="22"/>
          <w:szCs w:val="22"/>
        </w:rPr>
        <w:t xml:space="preserve">llık </w:t>
      </w:r>
      <w:r w:rsidR="005A3A4D" w:rsidRPr="005E0D21">
        <w:rPr>
          <w:rFonts w:ascii="Palatino Linotype" w:hAnsi="Palatino Linotype" w:cstheme="minorHAnsi"/>
          <w:sz w:val="22"/>
          <w:szCs w:val="22"/>
        </w:rPr>
        <w:t>büyümey</w:t>
      </w:r>
      <w:r w:rsidR="0068354F">
        <w:rPr>
          <w:rFonts w:ascii="Palatino Linotype" w:hAnsi="Palatino Linotype" w:cstheme="minorHAnsi"/>
          <w:sz w:val="22"/>
          <w:szCs w:val="22"/>
        </w:rPr>
        <w:t>e</w:t>
      </w:r>
      <w:r w:rsidRPr="005E0D21">
        <w:rPr>
          <w:rFonts w:ascii="Palatino Linotype" w:hAnsi="Palatino Linotype" w:cstheme="minorHAnsi"/>
          <w:sz w:val="22"/>
          <w:szCs w:val="22"/>
        </w:rPr>
        <w:t xml:space="preserve"> </w:t>
      </w:r>
      <w:r w:rsidR="00F43521">
        <w:rPr>
          <w:rFonts w:ascii="Palatino Linotype" w:hAnsi="Palatino Linotype" w:cstheme="minorHAnsi"/>
          <w:sz w:val="22"/>
          <w:szCs w:val="22"/>
        </w:rPr>
        <w:t>1</w:t>
      </w:r>
      <w:r w:rsidRPr="005E0D21">
        <w:rPr>
          <w:rFonts w:ascii="Palatino Linotype" w:hAnsi="Palatino Linotype" w:cstheme="minorHAnsi"/>
          <w:sz w:val="22"/>
          <w:szCs w:val="22"/>
        </w:rPr>
        <w:t>,</w:t>
      </w:r>
      <w:r w:rsidR="00F43521">
        <w:rPr>
          <w:rFonts w:ascii="Palatino Linotype" w:hAnsi="Palatino Linotype" w:cstheme="minorHAnsi"/>
          <w:sz w:val="22"/>
          <w:szCs w:val="22"/>
        </w:rPr>
        <w:t>1</w:t>
      </w:r>
      <w:r w:rsidRPr="005E0D21">
        <w:rPr>
          <w:rFonts w:ascii="Palatino Linotype" w:hAnsi="Palatino Linotype" w:cstheme="minorHAnsi"/>
          <w:sz w:val="22"/>
          <w:szCs w:val="22"/>
        </w:rPr>
        <w:t xml:space="preserve"> yüzde puan</w:t>
      </w:r>
      <w:r w:rsidR="0048406B">
        <w:rPr>
          <w:rFonts w:ascii="Palatino Linotype" w:hAnsi="Palatino Linotype" w:cstheme="minorHAnsi"/>
          <w:sz w:val="22"/>
          <w:szCs w:val="22"/>
        </w:rPr>
        <w:t xml:space="preserve"> </w:t>
      </w:r>
      <w:bookmarkEnd w:id="24"/>
      <w:bookmarkEnd w:id="25"/>
      <w:r w:rsidR="0068354F">
        <w:rPr>
          <w:rFonts w:ascii="Palatino Linotype" w:hAnsi="Palatino Linotype" w:cstheme="minorHAnsi"/>
          <w:sz w:val="22"/>
          <w:szCs w:val="22"/>
        </w:rPr>
        <w:t>katkı yaptı</w:t>
      </w:r>
      <w:r w:rsidR="007D4168" w:rsidRPr="005E0D21">
        <w:rPr>
          <w:rFonts w:ascii="Palatino Linotype" w:hAnsi="Palatino Linotype" w:cstheme="minorHAnsi"/>
          <w:sz w:val="22"/>
          <w:szCs w:val="22"/>
        </w:rPr>
        <w:t xml:space="preserve"> </w:t>
      </w:r>
      <w:r w:rsidR="00792837" w:rsidRPr="005E0D21">
        <w:rPr>
          <w:rFonts w:ascii="Palatino Linotype" w:hAnsi="Palatino Linotype" w:cstheme="minorHAnsi"/>
          <w:sz w:val="22"/>
          <w:szCs w:val="22"/>
        </w:rPr>
        <w:t>(Tablo 1)</w:t>
      </w:r>
      <w:r w:rsidRPr="005E0D21">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Mevsim</w:t>
      </w:r>
      <w:r w:rsidR="008C628A">
        <w:rPr>
          <w:rFonts w:ascii="Palatino Linotype" w:hAnsi="Palatino Linotype" w:cstheme="minorHAnsi"/>
          <w:sz w:val="22"/>
          <w:szCs w:val="22"/>
        </w:rPr>
        <w:t xml:space="preserve"> ve takvim etkilerinden </w:t>
      </w:r>
      <w:r w:rsidR="00A94E9C">
        <w:rPr>
          <w:rFonts w:ascii="Palatino Linotype" w:hAnsi="Palatino Linotype" w:cstheme="minorHAnsi"/>
          <w:sz w:val="22"/>
          <w:szCs w:val="22"/>
        </w:rPr>
        <w:t>arındırılmış rakamlarda ise, kamu tüketimi</w:t>
      </w:r>
      <w:r w:rsidR="0068354F">
        <w:rPr>
          <w:rFonts w:ascii="Palatino Linotype" w:hAnsi="Palatino Linotype" w:cstheme="minorHAnsi"/>
          <w:sz w:val="22"/>
          <w:szCs w:val="22"/>
        </w:rPr>
        <w:t xml:space="preserve"> </w:t>
      </w:r>
      <w:r w:rsidR="00CD2067">
        <w:rPr>
          <w:rFonts w:ascii="Palatino Linotype" w:hAnsi="Palatino Linotype" w:cstheme="minorHAnsi"/>
          <w:sz w:val="22"/>
          <w:szCs w:val="22"/>
        </w:rPr>
        <w:t>yüzde 1</w:t>
      </w:r>
      <w:r w:rsidR="0074084C">
        <w:rPr>
          <w:rFonts w:ascii="Palatino Linotype" w:hAnsi="Palatino Linotype" w:cstheme="minorHAnsi"/>
          <w:sz w:val="22"/>
          <w:szCs w:val="22"/>
        </w:rPr>
        <w:t>1</w:t>
      </w:r>
      <w:r w:rsidR="00CD2067">
        <w:rPr>
          <w:rFonts w:ascii="Palatino Linotype" w:hAnsi="Palatino Linotype" w:cstheme="minorHAnsi"/>
          <w:sz w:val="22"/>
          <w:szCs w:val="22"/>
        </w:rPr>
        <w:t>,</w:t>
      </w:r>
      <w:r w:rsidR="0074084C">
        <w:rPr>
          <w:rFonts w:ascii="Palatino Linotype" w:hAnsi="Palatino Linotype" w:cstheme="minorHAnsi"/>
          <w:sz w:val="22"/>
          <w:szCs w:val="22"/>
        </w:rPr>
        <w:t>7</w:t>
      </w:r>
      <w:r w:rsidR="00CD2067">
        <w:rPr>
          <w:rFonts w:ascii="Palatino Linotype" w:hAnsi="Palatino Linotype" w:cstheme="minorHAnsi"/>
          <w:sz w:val="22"/>
          <w:szCs w:val="22"/>
        </w:rPr>
        <w:t xml:space="preserve">’lik artışla, büyümeye </w:t>
      </w:r>
      <w:r w:rsidR="0074084C">
        <w:rPr>
          <w:rFonts w:ascii="Palatino Linotype" w:hAnsi="Palatino Linotype" w:cstheme="minorHAnsi"/>
          <w:sz w:val="22"/>
          <w:szCs w:val="22"/>
        </w:rPr>
        <w:t>1</w:t>
      </w:r>
      <w:r w:rsidR="00173671">
        <w:rPr>
          <w:rFonts w:ascii="Palatino Linotype" w:hAnsi="Palatino Linotype" w:cstheme="minorHAnsi"/>
          <w:sz w:val="22"/>
          <w:szCs w:val="22"/>
        </w:rPr>
        <w:t>,</w:t>
      </w:r>
      <w:r w:rsidR="0074084C">
        <w:rPr>
          <w:rFonts w:ascii="Palatino Linotype" w:hAnsi="Palatino Linotype" w:cstheme="minorHAnsi"/>
          <w:sz w:val="22"/>
          <w:szCs w:val="22"/>
        </w:rPr>
        <w:t>4</w:t>
      </w:r>
      <w:r w:rsidR="00173671">
        <w:rPr>
          <w:rFonts w:ascii="Palatino Linotype" w:hAnsi="Palatino Linotype" w:cstheme="minorHAnsi"/>
          <w:sz w:val="22"/>
          <w:szCs w:val="22"/>
        </w:rPr>
        <w:t xml:space="preserve"> yüzde puan katkı yapmıştır</w:t>
      </w:r>
      <w:r w:rsidR="0068354F">
        <w:rPr>
          <w:rFonts w:ascii="Palatino Linotype" w:hAnsi="Palatino Linotype" w:cstheme="minorHAnsi"/>
          <w:sz w:val="22"/>
          <w:szCs w:val="22"/>
        </w:rPr>
        <w:t xml:space="preserve"> </w:t>
      </w:r>
      <w:r w:rsidR="00944ED5">
        <w:rPr>
          <w:rFonts w:ascii="Palatino Linotype" w:hAnsi="Palatino Linotype" w:cstheme="minorHAnsi"/>
          <w:sz w:val="22"/>
          <w:szCs w:val="22"/>
        </w:rPr>
        <w:t>(Tablo 2).</w:t>
      </w:r>
      <w:r w:rsidR="00A94E9C">
        <w:rPr>
          <w:rFonts w:ascii="Palatino Linotype" w:hAnsi="Palatino Linotype" w:cstheme="minorHAnsi"/>
          <w:sz w:val="22"/>
          <w:szCs w:val="22"/>
        </w:rPr>
        <w:t xml:space="preserve"> </w:t>
      </w:r>
    </w:p>
    <w:bookmarkEnd w:id="22"/>
    <w:bookmarkEnd w:id="23"/>
    <w:p w14:paraId="52AD8623" w14:textId="040A6E4E"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1F364D3A" w14:textId="77777777" w:rsidR="00311EFF" w:rsidRDefault="00311EFF"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72449C03" w14:textId="77777777" w:rsidR="00944ED5" w:rsidRDefault="00944ED5">
      <w:pPr>
        <w:spacing w:after="160" w:line="259" w:lineRule="auto"/>
        <w:rPr>
          <w:rFonts w:ascii="Palatino Linotype" w:hAnsi="Palatino Linotype" w:cstheme="minorHAnsi"/>
          <w:b/>
          <w:bCs/>
          <w:sz w:val="22"/>
          <w:szCs w:val="22"/>
        </w:rPr>
      </w:pPr>
      <w:r>
        <w:rPr>
          <w:rFonts w:ascii="Palatino Linotype" w:hAnsi="Palatino Linotype" w:cstheme="minorHAnsi"/>
          <w:b/>
          <w:bCs/>
          <w:sz w:val="22"/>
          <w:szCs w:val="22"/>
        </w:rPr>
        <w:br w:type="page"/>
      </w:r>
    </w:p>
    <w:p w14:paraId="4C5F10E3" w14:textId="1F5746D2" w:rsidR="00955E90" w:rsidRPr="00F11E6D" w:rsidRDefault="004F0543" w:rsidP="00B366B7">
      <w:pPr>
        <w:pStyle w:val="NormalWeb"/>
        <w:spacing w:before="0" w:beforeAutospacing="0" w:after="0" w:afterAutospacing="0" w:line="360" w:lineRule="auto"/>
        <w:ind w:right="77"/>
        <w:rPr>
          <w:rFonts w:ascii="Palatino Linotype" w:hAnsi="Palatino Linotype" w:cstheme="minorHAnsi"/>
          <w:b/>
          <w:bCs/>
          <w:sz w:val="22"/>
          <w:szCs w:val="22"/>
        </w:rPr>
      </w:pPr>
      <w:r w:rsidRPr="00F11E6D">
        <w:rPr>
          <w:rFonts w:ascii="Palatino Linotype" w:hAnsi="Palatino Linotype" w:cstheme="minorHAnsi"/>
          <w:b/>
          <w:bCs/>
          <w:sz w:val="22"/>
          <w:szCs w:val="22"/>
        </w:rPr>
        <w:lastRenderedPageBreak/>
        <w:t>B</w:t>
      </w:r>
      <w:r w:rsidR="00B27C9F" w:rsidRPr="00F11E6D">
        <w:rPr>
          <w:rFonts w:ascii="Palatino Linotype" w:hAnsi="Palatino Linotype" w:cstheme="minorHAnsi"/>
          <w:b/>
          <w:bCs/>
          <w:sz w:val="22"/>
          <w:szCs w:val="22"/>
        </w:rPr>
        <w:t>üyümenin geleceği</w:t>
      </w:r>
      <w:r w:rsidR="00955E90" w:rsidRPr="00F11E6D">
        <w:rPr>
          <w:rFonts w:ascii="Palatino Linotype" w:hAnsi="Palatino Linotype" w:cstheme="minorHAnsi"/>
          <w:bCs/>
          <w:sz w:val="22"/>
          <w:szCs w:val="22"/>
        </w:rPr>
        <w:t xml:space="preserve"> </w:t>
      </w:r>
    </w:p>
    <w:p w14:paraId="193A0CC4" w14:textId="1DB9248E" w:rsidR="00E265D5" w:rsidRDefault="00F63DCE" w:rsidP="0045586B">
      <w:pPr>
        <w:pStyle w:val="NormalWeb"/>
        <w:spacing w:before="0" w:beforeAutospacing="0" w:after="0" w:afterAutospacing="0" w:line="360" w:lineRule="auto"/>
        <w:ind w:right="77"/>
        <w:jc w:val="both"/>
        <w:rPr>
          <w:rFonts w:ascii="Palatino Linotype" w:hAnsi="Palatino Linotype" w:cstheme="minorHAnsi"/>
          <w:bCs/>
          <w:sz w:val="22"/>
          <w:szCs w:val="22"/>
        </w:rPr>
      </w:pPr>
      <w:bookmarkStart w:id="26" w:name="OLE_LINK29"/>
      <w:bookmarkStart w:id="27" w:name="OLE_LINK30"/>
      <w:bookmarkStart w:id="28" w:name="OLE_LINK31"/>
      <w:r w:rsidRPr="00A81A40">
        <w:rPr>
          <w:rFonts w:ascii="Palatino Linotype" w:hAnsi="Palatino Linotype" w:cstheme="minorHAnsi"/>
          <w:bCs/>
          <w:sz w:val="22"/>
          <w:szCs w:val="22"/>
        </w:rPr>
        <w:t>2022</w:t>
      </w:r>
      <w:r w:rsidR="00F9745E" w:rsidRPr="00A81A40">
        <w:rPr>
          <w:rFonts w:ascii="Palatino Linotype" w:hAnsi="Palatino Linotype" w:cstheme="minorHAnsi"/>
          <w:bCs/>
          <w:sz w:val="22"/>
          <w:szCs w:val="22"/>
        </w:rPr>
        <w:t xml:space="preserve"> yılı üçüncü çeyreğinde, ikinci çeyrekte olduğu gibi, büyümeye esas katkı tüketim harcamaları ve ihracattan geldi. Stok değişimi ve yatırımların katkısı ise negatif oldu. Özel tüketim ve ihracat artışlarının gelecek dönemde aynı seyri sürdürmesi pek gerçekçi değil. Zira, </w:t>
      </w:r>
      <w:proofErr w:type="spellStart"/>
      <w:r w:rsidR="00F9745E" w:rsidRPr="00A81A40">
        <w:rPr>
          <w:rFonts w:ascii="Palatino Linotype" w:hAnsi="Palatino Linotype" w:cstheme="minorHAnsi"/>
          <w:bCs/>
          <w:sz w:val="22"/>
          <w:szCs w:val="22"/>
        </w:rPr>
        <w:t>pandemi</w:t>
      </w:r>
      <w:proofErr w:type="spellEnd"/>
      <w:r w:rsidR="00F9745E" w:rsidRPr="00A81A40">
        <w:rPr>
          <w:rFonts w:ascii="Palatino Linotype" w:hAnsi="Palatino Linotype" w:cstheme="minorHAnsi"/>
          <w:bCs/>
          <w:sz w:val="22"/>
          <w:szCs w:val="22"/>
        </w:rPr>
        <w:t xml:space="preserve"> sebebi ile ötelenen tüketim ve </w:t>
      </w:r>
      <w:r w:rsidR="00282C5D" w:rsidRPr="00A81A40">
        <w:rPr>
          <w:rFonts w:ascii="Palatino Linotype" w:hAnsi="Palatino Linotype" w:cstheme="minorHAnsi"/>
          <w:bCs/>
          <w:sz w:val="22"/>
          <w:szCs w:val="22"/>
        </w:rPr>
        <w:t xml:space="preserve">yüksek enflasyon beklentileri nedeniyle dayanıklı mal talebinin öne çekilmesi </w:t>
      </w:r>
      <w:r w:rsidR="00F9745E" w:rsidRPr="00A81A40">
        <w:rPr>
          <w:rFonts w:ascii="Palatino Linotype" w:hAnsi="Palatino Linotype" w:cstheme="minorHAnsi"/>
          <w:bCs/>
          <w:sz w:val="22"/>
          <w:szCs w:val="22"/>
        </w:rPr>
        <w:t>sürecinin sonuna geldiğimiz</w:t>
      </w:r>
      <w:r w:rsidR="00287D00" w:rsidRPr="00A81A40">
        <w:rPr>
          <w:rFonts w:ascii="Palatino Linotype" w:hAnsi="Palatino Linotype" w:cstheme="minorHAnsi"/>
          <w:bCs/>
          <w:sz w:val="22"/>
          <w:szCs w:val="22"/>
        </w:rPr>
        <w:t>i söyleyebiliriz. Dolar kurunun yatay seyri</w:t>
      </w:r>
      <w:r w:rsidR="00E658A1">
        <w:rPr>
          <w:rFonts w:ascii="Palatino Linotype" w:hAnsi="Palatino Linotype" w:cstheme="minorHAnsi"/>
          <w:bCs/>
          <w:sz w:val="22"/>
          <w:szCs w:val="22"/>
        </w:rPr>
        <w:t>nin</w:t>
      </w:r>
      <w:bookmarkStart w:id="29" w:name="_GoBack"/>
      <w:bookmarkEnd w:id="29"/>
      <w:r w:rsidR="00287D00" w:rsidRPr="00A81A40">
        <w:rPr>
          <w:rFonts w:ascii="Palatino Linotype" w:hAnsi="Palatino Linotype" w:cstheme="minorHAnsi"/>
          <w:bCs/>
          <w:sz w:val="22"/>
          <w:szCs w:val="22"/>
        </w:rPr>
        <w:t xml:space="preserve"> ise önümüzdeki dönemlerde ithalat talebini artırması beklenir. Bir önceki değerlendirm</w:t>
      </w:r>
      <w:r w:rsidR="00A81A40" w:rsidRPr="00A81A40">
        <w:rPr>
          <w:rFonts w:ascii="Palatino Linotype" w:hAnsi="Palatino Linotype" w:cstheme="minorHAnsi"/>
          <w:bCs/>
          <w:sz w:val="22"/>
          <w:szCs w:val="22"/>
        </w:rPr>
        <w:t>e notumuzda değindiğimiz gibi, b</w:t>
      </w:r>
      <w:r w:rsidR="00287D00" w:rsidRPr="00A81A40">
        <w:rPr>
          <w:rFonts w:ascii="Palatino Linotype" w:hAnsi="Palatino Linotype" w:cstheme="minorHAnsi"/>
          <w:bCs/>
          <w:sz w:val="22"/>
          <w:szCs w:val="22"/>
        </w:rPr>
        <w:t>üyüme seyrini olumsuz etkileyen iki unsur daha var. İlki bir süredir azalan yatırım harcamaları. Diğer</w:t>
      </w:r>
      <w:r w:rsidR="00A81A40" w:rsidRPr="00A81A40">
        <w:rPr>
          <w:rFonts w:ascii="Palatino Linotype" w:hAnsi="Palatino Linotype" w:cstheme="minorHAnsi"/>
          <w:bCs/>
          <w:sz w:val="22"/>
          <w:szCs w:val="22"/>
        </w:rPr>
        <w:t>i</w:t>
      </w:r>
      <w:r w:rsidR="00287D00" w:rsidRPr="00A81A40">
        <w:rPr>
          <w:rFonts w:ascii="Palatino Linotype" w:hAnsi="Palatino Linotype" w:cstheme="minorHAnsi"/>
          <w:bCs/>
          <w:sz w:val="22"/>
          <w:szCs w:val="22"/>
        </w:rPr>
        <w:t xml:space="preserve"> ise eriyen stoklar. Bu iki değişkenin azalışı üretim yapan kesimlerin gelecek dönemlere ait beklentilerinin pek de olumlu olmadığı şeklinde yorumlanabilir.</w:t>
      </w:r>
      <w:r w:rsidR="0045586B" w:rsidRPr="0075460E">
        <w:rPr>
          <w:rFonts w:ascii="Palatino Linotype" w:hAnsi="Palatino Linotype" w:cstheme="minorHAnsi"/>
          <w:bCs/>
          <w:sz w:val="22"/>
          <w:szCs w:val="22"/>
        </w:rPr>
        <w:t xml:space="preserve"> </w:t>
      </w:r>
    </w:p>
    <w:bookmarkEnd w:id="26"/>
    <w:bookmarkEnd w:id="27"/>
    <w:bookmarkEnd w:id="28"/>
    <w:p w14:paraId="12200A18" w14:textId="77777777" w:rsidR="00513359" w:rsidRPr="00513359" w:rsidRDefault="00513359"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1F647BBD" w14:textId="753D9A7A" w:rsidR="0001081A" w:rsidRDefault="003776CD" w:rsidP="00062A8A">
      <w:pPr>
        <w:pStyle w:val="NormalWeb"/>
        <w:spacing w:before="0" w:beforeAutospacing="0" w:after="0" w:afterAutospacing="0" w:line="360" w:lineRule="auto"/>
        <w:ind w:right="77"/>
        <w:jc w:val="both"/>
        <w:rPr>
          <w:rFonts w:ascii="Palatino Linotype" w:hAnsi="Palatino Linotype" w:cstheme="minorHAnsi"/>
          <w:noProof/>
          <w:sz w:val="18"/>
          <w:szCs w:val="18"/>
        </w:rPr>
      </w:pPr>
      <w:r>
        <w:rPr>
          <w:noProof/>
          <w:lang w:val="en-GB" w:eastAsia="en-GB"/>
        </w:rPr>
        <w:drawing>
          <wp:inline distT="0" distB="0" distL="0" distR="0" wp14:anchorId="575C3161" wp14:editId="0EDF0629">
            <wp:extent cx="5511800" cy="3003550"/>
            <wp:effectExtent l="0" t="0" r="12700" b="6350"/>
            <wp:docPr id="4" name="Grafik 4">
              <a:extLst xmlns:a="http://schemas.openxmlformats.org/drawingml/2006/main">
                <a:ext uri="{FF2B5EF4-FFF2-40B4-BE49-F238E27FC236}">
                  <a16:creationId xmlns:a16="http://schemas.microsoft.com/office/drawing/2014/main" id="{07BC1BD5-E44B-4C2B-8D01-C614F94A1A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047BBA" w14:textId="375A5465"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FE81F" w14:textId="77777777" w:rsidR="004316F0" w:rsidRDefault="004316F0" w:rsidP="00DA0C5D">
      <w:r>
        <w:separator/>
      </w:r>
    </w:p>
  </w:endnote>
  <w:endnote w:type="continuationSeparator" w:id="0">
    <w:p w14:paraId="2553C0F0" w14:textId="77777777" w:rsidR="004316F0" w:rsidRDefault="004316F0"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B90E0" w14:textId="77777777" w:rsidR="004316F0" w:rsidRDefault="004316F0" w:rsidP="00DA0C5D">
      <w:r>
        <w:separator/>
      </w:r>
    </w:p>
  </w:footnote>
  <w:footnote w:type="continuationSeparator" w:id="0">
    <w:p w14:paraId="470C549C" w14:textId="77777777" w:rsidR="004316F0" w:rsidRDefault="004316F0" w:rsidP="00DA0C5D">
      <w:r>
        <w:continuationSeparator/>
      </w:r>
    </w:p>
  </w:footnote>
  <w:footnote w:id="1">
    <w:p w14:paraId="6D61CC27" w14:textId="77777777" w:rsidR="00C32789" w:rsidRDefault="00C32789" w:rsidP="00173671">
      <w:pPr>
        <w:pStyle w:val="FootnoteText"/>
        <w:jc w:val="both"/>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39F7BC74" w:rsidR="001537D8" w:rsidRDefault="001537D8" w:rsidP="00173671">
      <w:pPr>
        <w:pStyle w:val="FootnoteText"/>
        <w:jc w:val="both"/>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715A66">
        <w:rPr>
          <w:rFonts w:ascii="Palatino Linotype" w:hAnsi="Palatino Linotype"/>
          <w:sz w:val="18"/>
          <w:szCs w:val="18"/>
        </w:rPr>
        <w:t>ugurcan.acar</w:t>
      </w:r>
      <w:r w:rsidRPr="001866FC">
        <w:rPr>
          <w:rFonts w:ascii="Palatino Linotype" w:hAnsi="Palatino Linotype"/>
          <w:sz w:val="18"/>
          <w:szCs w:val="18"/>
        </w:rPr>
        <w:t>@eas.bau.edu.tr</w:t>
      </w:r>
      <w:r>
        <w:t xml:space="preserve"> </w:t>
      </w:r>
    </w:p>
  </w:footnote>
  <w:footnote w:id="3">
    <w:p w14:paraId="02E4FAD1" w14:textId="45844E10" w:rsidR="00494926" w:rsidRPr="00E22DFD" w:rsidRDefault="00494926" w:rsidP="00173671">
      <w:pPr>
        <w:pStyle w:val="FootnoteText"/>
        <w:jc w:val="both"/>
        <w:rPr>
          <w:rFonts w:ascii="Palatino Linotype" w:hAnsi="Palatino Linotype"/>
          <w:sz w:val="18"/>
          <w:szCs w:val="18"/>
        </w:rPr>
      </w:pPr>
      <w:r w:rsidRPr="00E22DFD">
        <w:rPr>
          <w:rStyle w:val="FootnoteReference"/>
          <w:rFonts w:ascii="Palatino Linotype" w:hAnsi="Palatino Linotype"/>
          <w:sz w:val="18"/>
          <w:szCs w:val="18"/>
        </w:rPr>
        <w:footnoteRef/>
      </w:r>
      <w:r w:rsidRPr="00E22DFD">
        <w:rPr>
          <w:rFonts w:ascii="Palatino Linotype" w:hAnsi="Palatino Linotype"/>
          <w:sz w:val="18"/>
          <w:szCs w:val="18"/>
        </w:rPr>
        <w:t xml:space="preserve"> TÜİK yeni milli gelir serilerini hesaplarken zincirleme hacim endeksi yöntemini kullanıyor. Zincirleme yöntemde hem </w:t>
      </w:r>
      <w:proofErr w:type="spellStart"/>
      <w:r w:rsidRPr="00E22DFD">
        <w:rPr>
          <w:rFonts w:ascii="Palatino Linotype" w:hAnsi="Palatino Linotype"/>
          <w:sz w:val="18"/>
          <w:szCs w:val="18"/>
        </w:rPr>
        <w:t>toplamsallık</w:t>
      </w:r>
      <w:proofErr w:type="spellEnd"/>
      <w:r w:rsidRPr="00E22DFD">
        <w:rPr>
          <w:rFonts w:ascii="Palatino Linotype" w:hAnsi="Palatino Linotype"/>
          <w:sz w:val="18"/>
          <w:szCs w:val="18"/>
        </w:rPr>
        <w:t xml:space="preserve">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yayınladığımız araştırma notunda detaylı olarak tartışmıştık (bkz. </w:t>
      </w:r>
      <w:bookmarkStart w:id="11" w:name="OLE_LINK3"/>
      <w:bookmarkStart w:id="12" w:name="OLE_LINK4"/>
      <w:r w:rsidRPr="00E22DFD">
        <w:rPr>
          <w:rFonts w:ascii="Palatino Linotype" w:hAnsi="Palatino Linotype"/>
          <w:sz w:val="18"/>
          <w:szCs w:val="18"/>
        </w:rPr>
        <w:t>Betam Araştırma Notu 17/217</w:t>
      </w:r>
      <w:bookmarkEnd w:id="11"/>
      <w:bookmarkEnd w:id="12"/>
      <w:r w:rsidRPr="00E22DFD">
        <w:rPr>
          <w:rFonts w:ascii="Palatino Linotype" w:hAnsi="Palatino Linotyp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Q1MzcytDQzNrBU0lEKTi0uzszPAykwrQUAQ5rH7SwAAAA="/>
  </w:docVars>
  <w:rsids>
    <w:rsidRoot w:val="00D07713"/>
    <w:rsid w:val="0000013E"/>
    <w:rsid w:val="00000824"/>
    <w:rsid w:val="0000228F"/>
    <w:rsid w:val="00007C3F"/>
    <w:rsid w:val="0001081A"/>
    <w:rsid w:val="0001392F"/>
    <w:rsid w:val="000141C7"/>
    <w:rsid w:val="00017B51"/>
    <w:rsid w:val="00023B97"/>
    <w:rsid w:val="0002466A"/>
    <w:rsid w:val="00030A2C"/>
    <w:rsid w:val="0003173A"/>
    <w:rsid w:val="00036770"/>
    <w:rsid w:val="000404B3"/>
    <w:rsid w:val="00041FB7"/>
    <w:rsid w:val="0004390D"/>
    <w:rsid w:val="00044AF3"/>
    <w:rsid w:val="00044D9E"/>
    <w:rsid w:val="0004588B"/>
    <w:rsid w:val="0005290F"/>
    <w:rsid w:val="000529F2"/>
    <w:rsid w:val="00052B86"/>
    <w:rsid w:val="00054943"/>
    <w:rsid w:val="00055EA1"/>
    <w:rsid w:val="000561F7"/>
    <w:rsid w:val="00057F8E"/>
    <w:rsid w:val="00062A8A"/>
    <w:rsid w:val="00063B28"/>
    <w:rsid w:val="000652B6"/>
    <w:rsid w:val="00070018"/>
    <w:rsid w:val="000719F5"/>
    <w:rsid w:val="000725DB"/>
    <w:rsid w:val="00073415"/>
    <w:rsid w:val="000753CE"/>
    <w:rsid w:val="00077CA8"/>
    <w:rsid w:val="00080211"/>
    <w:rsid w:val="00080336"/>
    <w:rsid w:val="00085271"/>
    <w:rsid w:val="00086C64"/>
    <w:rsid w:val="00087011"/>
    <w:rsid w:val="000905E5"/>
    <w:rsid w:val="00091F3E"/>
    <w:rsid w:val="00094206"/>
    <w:rsid w:val="00096CDA"/>
    <w:rsid w:val="00097794"/>
    <w:rsid w:val="000978C8"/>
    <w:rsid w:val="000A05ED"/>
    <w:rsid w:val="000A3019"/>
    <w:rsid w:val="000A612E"/>
    <w:rsid w:val="000B0D12"/>
    <w:rsid w:val="000B0FC1"/>
    <w:rsid w:val="000B45D6"/>
    <w:rsid w:val="000C1672"/>
    <w:rsid w:val="000C5C80"/>
    <w:rsid w:val="000C634D"/>
    <w:rsid w:val="000D5974"/>
    <w:rsid w:val="000D5FD3"/>
    <w:rsid w:val="000D6E6C"/>
    <w:rsid w:val="000D70D1"/>
    <w:rsid w:val="000E2388"/>
    <w:rsid w:val="000E3436"/>
    <w:rsid w:val="000E445D"/>
    <w:rsid w:val="000F0B6B"/>
    <w:rsid w:val="000F2C7A"/>
    <w:rsid w:val="000F34BE"/>
    <w:rsid w:val="000F378E"/>
    <w:rsid w:val="000F6529"/>
    <w:rsid w:val="000F75B9"/>
    <w:rsid w:val="001004FF"/>
    <w:rsid w:val="0010209C"/>
    <w:rsid w:val="00111CED"/>
    <w:rsid w:val="00112AEA"/>
    <w:rsid w:val="0011613D"/>
    <w:rsid w:val="001167EB"/>
    <w:rsid w:val="00117128"/>
    <w:rsid w:val="001239FD"/>
    <w:rsid w:val="0012527F"/>
    <w:rsid w:val="00125770"/>
    <w:rsid w:val="00126200"/>
    <w:rsid w:val="00130D73"/>
    <w:rsid w:val="00131C5C"/>
    <w:rsid w:val="00132910"/>
    <w:rsid w:val="00137467"/>
    <w:rsid w:val="00140468"/>
    <w:rsid w:val="00143F17"/>
    <w:rsid w:val="0014542A"/>
    <w:rsid w:val="00150FFB"/>
    <w:rsid w:val="001527FA"/>
    <w:rsid w:val="001537D8"/>
    <w:rsid w:val="001540B7"/>
    <w:rsid w:val="00157070"/>
    <w:rsid w:val="001570F3"/>
    <w:rsid w:val="0016084A"/>
    <w:rsid w:val="00160880"/>
    <w:rsid w:val="001648AB"/>
    <w:rsid w:val="00173671"/>
    <w:rsid w:val="00173752"/>
    <w:rsid w:val="00173CB3"/>
    <w:rsid w:val="0017424F"/>
    <w:rsid w:val="001744CD"/>
    <w:rsid w:val="00177002"/>
    <w:rsid w:val="001777A4"/>
    <w:rsid w:val="001804D3"/>
    <w:rsid w:val="00183AFA"/>
    <w:rsid w:val="00184174"/>
    <w:rsid w:val="00184B02"/>
    <w:rsid w:val="001851FE"/>
    <w:rsid w:val="001855BC"/>
    <w:rsid w:val="001866FC"/>
    <w:rsid w:val="00190944"/>
    <w:rsid w:val="00190CDF"/>
    <w:rsid w:val="00190F8D"/>
    <w:rsid w:val="00194FF2"/>
    <w:rsid w:val="001978A0"/>
    <w:rsid w:val="001A080D"/>
    <w:rsid w:val="001A18B0"/>
    <w:rsid w:val="001A42FF"/>
    <w:rsid w:val="001A5699"/>
    <w:rsid w:val="001B371C"/>
    <w:rsid w:val="001B3A44"/>
    <w:rsid w:val="001B584B"/>
    <w:rsid w:val="001C2763"/>
    <w:rsid w:val="001C2C68"/>
    <w:rsid w:val="001C566F"/>
    <w:rsid w:val="001C65BF"/>
    <w:rsid w:val="001C7370"/>
    <w:rsid w:val="001D0150"/>
    <w:rsid w:val="001D2107"/>
    <w:rsid w:val="001D36E7"/>
    <w:rsid w:val="001D37D1"/>
    <w:rsid w:val="001D420E"/>
    <w:rsid w:val="001D5B02"/>
    <w:rsid w:val="001D6465"/>
    <w:rsid w:val="001D7073"/>
    <w:rsid w:val="001D7513"/>
    <w:rsid w:val="001E181B"/>
    <w:rsid w:val="001E2E49"/>
    <w:rsid w:val="001E3320"/>
    <w:rsid w:val="001E495B"/>
    <w:rsid w:val="001E514D"/>
    <w:rsid w:val="001E7126"/>
    <w:rsid w:val="001E72E4"/>
    <w:rsid w:val="001F12E3"/>
    <w:rsid w:val="001F1554"/>
    <w:rsid w:val="001F1CCF"/>
    <w:rsid w:val="001F2DE9"/>
    <w:rsid w:val="001F4E3D"/>
    <w:rsid w:val="001F5399"/>
    <w:rsid w:val="001F5841"/>
    <w:rsid w:val="001F729E"/>
    <w:rsid w:val="001F7B1D"/>
    <w:rsid w:val="001F7BC7"/>
    <w:rsid w:val="00201554"/>
    <w:rsid w:val="00201E79"/>
    <w:rsid w:val="00202302"/>
    <w:rsid w:val="00205844"/>
    <w:rsid w:val="00206F72"/>
    <w:rsid w:val="002106DF"/>
    <w:rsid w:val="00211E95"/>
    <w:rsid w:val="00212579"/>
    <w:rsid w:val="00212782"/>
    <w:rsid w:val="00214914"/>
    <w:rsid w:val="00214B5E"/>
    <w:rsid w:val="002176BD"/>
    <w:rsid w:val="00220425"/>
    <w:rsid w:val="00224895"/>
    <w:rsid w:val="0022637C"/>
    <w:rsid w:val="0022673E"/>
    <w:rsid w:val="002270D8"/>
    <w:rsid w:val="00232635"/>
    <w:rsid w:val="002343A8"/>
    <w:rsid w:val="00235DBE"/>
    <w:rsid w:val="00242C10"/>
    <w:rsid w:val="00244CF8"/>
    <w:rsid w:val="00247A3C"/>
    <w:rsid w:val="0025111C"/>
    <w:rsid w:val="00253E19"/>
    <w:rsid w:val="002561CB"/>
    <w:rsid w:val="00263C3E"/>
    <w:rsid w:val="00265553"/>
    <w:rsid w:val="002655E5"/>
    <w:rsid w:val="002663FD"/>
    <w:rsid w:val="00267F48"/>
    <w:rsid w:val="00270A75"/>
    <w:rsid w:val="002714F9"/>
    <w:rsid w:val="002729B4"/>
    <w:rsid w:val="002755D9"/>
    <w:rsid w:val="00275745"/>
    <w:rsid w:val="002804E5"/>
    <w:rsid w:val="00282242"/>
    <w:rsid w:val="002829BC"/>
    <w:rsid w:val="00282C5D"/>
    <w:rsid w:val="002847DE"/>
    <w:rsid w:val="0028498B"/>
    <w:rsid w:val="00287D00"/>
    <w:rsid w:val="0029215C"/>
    <w:rsid w:val="00295E9A"/>
    <w:rsid w:val="0029623C"/>
    <w:rsid w:val="0029624E"/>
    <w:rsid w:val="002A037D"/>
    <w:rsid w:val="002A07A9"/>
    <w:rsid w:val="002A16BA"/>
    <w:rsid w:val="002A20F3"/>
    <w:rsid w:val="002A2C66"/>
    <w:rsid w:val="002A7C37"/>
    <w:rsid w:val="002B2172"/>
    <w:rsid w:val="002B2A1B"/>
    <w:rsid w:val="002B3C10"/>
    <w:rsid w:val="002B4A1A"/>
    <w:rsid w:val="002C00A1"/>
    <w:rsid w:val="002C0F1D"/>
    <w:rsid w:val="002C4CC7"/>
    <w:rsid w:val="002C4E2F"/>
    <w:rsid w:val="002C57C6"/>
    <w:rsid w:val="002C5C24"/>
    <w:rsid w:val="002C64BB"/>
    <w:rsid w:val="002D0F16"/>
    <w:rsid w:val="002D1797"/>
    <w:rsid w:val="002D4D2D"/>
    <w:rsid w:val="002E1F54"/>
    <w:rsid w:val="002E6C96"/>
    <w:rsid w:val="002F1503"/>
    <w:rsid w:val="002F2245"/>
    <w:rsid w:val="002F26B4"/>
    <w:rsid w:val="002F2D70"/>
    <w:rsid w:val="002F3163"/>
    <w:rsid w:val="002F63B2"/>
    <w:rsid w:val="0030250D"/>
    <w:rsid w:val="00302EDD"/>
    <w:rsid w:val="003061DC"/>
    <w:rsid w:val="003079ED"/>
    <w:rsid w:val="00310C5C"/>
    <w:rsid w:val="00311EFF"/>
    <w:rsid w:val="003142E3"/>
    <w:rsid w:val="003172DB"/>
    <w:rsid w:val="0031731B"/>
    <w:rsid w:val="00320281"/>
    <w:rsid w:val="0032176F"/>
    <w:rsid w:val="00321D78"/>
    <w:rsid w:val="0032280F"/>
    <w:rsid w:val="0032324A"/>
    <w:rsid w:val="0032427F"/>
    <w:rsid w:val="00324C51"/>
    <w:rsid w:val="00326195"/>
    <w:rsid w:val="00326678"/>
    <w:rsid w:val="00327CFB"/>
    <w:rsid w:val="00334E27"/>
    <w:rsid w:val="0033649B"/>
    <w:rsid w:val="00344A74"/>
    <w:rsid w:val="00351F12"/>
    <w:rsid w:val="00357BC6"/>
    <w:rsid w:val="00362359"/>
    <w:rsid w:val="00364AAB"/>
    <w:rsid w:val="00370A07"/>
    <w:rsid w:val="00370FEE"/>
    <w:rsid w:val="00375EB0"/>
    <w:rsid w:val="003771C7"/>
    <w:rsid w:val="003776CD"/>
    <w:rsid w:val="003777B5"/>
    <w:rsid w:val="00377868"/>
    <w:rsid w:val="003800CF"/>
    <w:rsid w:val="0038057D"/>
    <w:rsid w:val="00382EE8"/>
    <w:rsid w:val="00385A29"/>
    <w:rsid w:val="00385C7B"/>
    <w:rsid w:val="003864E6"/>
    <w:rsid w:val="003967B5"/>
    <w:rsid w:val="003A1AFE"/>
    <w:rsid w:val="003A488B"/>
    <w:rsid w:val="003A4C32"/>
    <w:rsid w:val="003A5499"/>
    <w:rsid w:val="003A7596"/>
    <w:rsid w:val="003B2008"/>
    <w:rsid w:val="003B2D0B"/>
    <w:rsid w:val="003B42D2"/>
    <w:rsid w:val="003B61AA"/>
    <w:rsid w:val="003C09C5"/>
    <w:rsid w:val="003C15C6"/>
    <w:rsid w:val="003C267D"/>
    <w:rsid w:val="003C2891"/>
    <w:rsid w:val="003C65A1"/>
    <w:rsid w:val="003D1EFE"/>
    <w:rsid w:val="003D4202"/>
    <w:rsid w:val="003D44CE"/>
    <w:rsid w:val="003D4627"/>
    <w:rsid w:val="003E1EED"/>
    <w:rsid w:val="003E3299"/>
    <w:rsid w:val="003E5C0F"/>
    <w:rsid w:val="003F00A9"/>
    <w:rsid w:val="003F4E89"/>
    <w:rsid w:val="004017B2"/>
    <w:rsid w:val="00401813"/>
    <w:rsid w:val="004040C3"/>
    <w:rsid w:val="00405BD8"/>
    <w:rsid w:val="00407C84"/>
    <w:rsid w:val="004126A2"/>
    <w:rsid w:val="00416A4B"/>
    <w:rsid w:val="00417F6E"/>
    <w:rsid w:val="00424382"/>
    <w:rsid w:val="00431236"/>
    <w:rsid w:val="004316F0"/>
    <w:rsid w:val="00431C38"/>
    <w:rsid w:val="00432B76"/>
    <w:rsid w:val="00433A75"/>
    <w:rsid w:val="00435806"/>
    <w:rsid w:val="004426B4"/>
    <w:rsid w:val="004435E3"/>
    <w:rsid w:val="00443C08"/>
    <w:rsid w:val="00443D50"/>
    <w:rsid w:val="00445C96"/>
    <w:rsid w:val="00447743"/>
    <w:rsid w:val="00450CEA"/>
    <w:rsid w:val="0045146C"/>
    <w:rsid w:val="00451A8A"/>
    <w:rsid w:val="0045586B"/>
    <w:rsid w:val="004574B5"/>
    <w:rsid w:val="004623F2"/>
    <w:rsid w:val="00464333"/>
    <w:rsid w:val="004647F0"/>
    <w:rsid w:val="00476131"/>
    <w:rsid w:val="00476E22"/>
    <w:rsid w:val="00477AED"/>
    <w:rsid w:val="00480684"/>
    <w:rsid w:val="00483EC5"/>
    <w:rsid w:val="0048406B"/>
    <w:rsid w:val="0048730C"/>
    <w:rsid w:val="0048774D"/>
    <w:rsid w:val="00490AAE"/>
    <w:rsid w:val="00492020"/>
    <w:rsid w:val="00492E7A"/>
    <w:rsid w:val="004931A5"/>
    <w:rsid w:val="00494926"/>
    <w:rsid w:val="004950F8"/>
    <w:rsid w:val="004B0D97"/>
    <w:rsid w:val="004B130D"/>
    <w:rsid w:val="004B2DAB"/>
    <w:rsid w:val="004B5355"/>
    <w:rsid w:val="004B6E05"/>
    <w:rsid w:val="004B7166"/>
    <w:rsid w:val="004C548E"/>
    <w:rsid w:val="004D1A55"/>
    <w:rsid w:val="004D1FAD"/>
    <w:rsid w:val="004D626D"/>
    <w:rsid w:val="004D6586"/>
    <w:rsid w:val="004E0098"/>
    <w:rsid w:val="004E0D77"/>
    <w:rsid w:val="004E5018"/>
    <w:rsid w:val="004E78AD"/>
    <w:rsid w:val="004F0543"/>
    <w:rsid w:val="004F10AB"/>
    <w:rsid w:val="004F4BDC"/>
    <w:rsid w:val="0050008F"/>
    <w:rsid w:val="005020BC"/>
    <w:rsid w:val="005033DB"/>
    <w:rsid w:val="00505041"/>
    <w:rsid w:val="00505D2D"/>
    <w:rsid w:val="00506253"/>
    <w:rsid w:val="00507586"/>
    <w:rsid w:val="00510883"/>
    <w:rsid w:val="00513359"/>
    <w:rsid w:val="005150C1"/>
    <w:rsid w:val="00521326"/>
    <w:rsid w:val="005225E0"/>
    <w:rsid w:val="00524F9F"/>
    <w:rsid w:val="00530A3C"/>
    <w:rsid w:val="00530B9F"/>
    <w:rsid w:val="0053582F"/>
    <w:rsid w:val="0053586E"/>
    <w:rsid w:val="00537BE1"/>
    <w:rsid w:val="0054145E"/>
    <w:rsid w:val="00542345"/>
    <w:rsid w:val="005438B0"/>
    <w:rsid w:val="00544773"/>
    <w:rsid w:val="00551589"/>
    <w:rsid w:val="005600E7"/>
    <w:rsid w:val="00560CD9"/>
    <w:rsid w:val="00570C1B"/>
    <w:rsid w:val="00572FD8"/>
    <w:rsid w:val="005748A8"/>
    <w:rsid w:val="005824BD"/>
    <w:rsid w:val="0058588C"/>
    <w:rsid w:val="00586424"/>
    <w:rsid w:val="005A2246"/>
    <w:rsid w:val="005A3A4D"/>
    <w:rsid w:val="005A3B33"/>
    <w:rsid w:val="005A611C"/>
    <w:rsid w:val="005A617F"/>
    <w:rsid w:val="005B35F3"/>
    <w:rsid w:val="005B3B05"/>
    <w:rsid w:val="005B67B3"/>
    <w:rsid w:val="005C00FE"/>
    <w:rsid w:val="005C08B0"/>
    <w:rsid w:val="005C51D9"/>
    <w:rsid w:val="005C6245"/>
    <w:rsid w:val="005D00FB"/>
    <w:rsid w:val="005D0E8C"/>
    <w:rsid w:val="005D1F23"/>
    <w:rsid w:val="005D27F8"/>
    <w:rsid w:val="005D2979"/>
    <w:rsid w:val="005D3C96"/>
    <w:rsid w:val="005D4126"/>
    <w:rsid w:val="005D72F5"/>
    <w:rsid w:val="005D7F3E"/>
    <w:rsid w:val="005E0D21"/>
    <w:rsid w:val="005E2717"/>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145E6"/>
    <w:rsid w:val="00625B95"/>
    <w:rsid w:val="006268DA"/>
    <w:rsid w:val="00631D5B"/>
    <w:rsid w:val="00632221"/>
    <w:rsid w:val="006324E3"/>
    <w:rsid w:val="00632CF6"/>
    <w:rsid w:val="00636F71"/>
    <w:rsid w:val="0064012D"/>
    <w:rsid w:val="0064287A"/>
    <w:rsid w:val="00642AA7"/>
    <w:rsid w:val="00643113"/>
    <w:rsid w:val="006432C9"/>
    <w:rsid w:val="006439C5"/>
    <w:rsid w:val="00643F5D"/>
    <w:rsid w:val="0064483B"/>
    <w:rsid w:val="00645147"/>
    <w:rsid w:val="00646879"/>
    <w:rsid w:val="00647318"/>
    <w:rsid w:val="0064747F"/>
    <w:rsid w:val="00647792"/>
    <w:rsid w:val="00650BB3"/>
    <w:rsid w:val="00653B30"/>
    <w:rsid w:val="006549E3"/>
    <w:rsid w:val="00654A8F"/>
    <w:rsid w:val="00655938"/>
    <w:rsid w:val="00655B95"/>
    <w:rsid w:val="00657B23"/>
    <w:rsid w:val="00666235"/>
    <w:rsid w:val="0067008D"/>
    <w:rsid w:val="0067066F"/>
    <w:rsid w:val="00670BB4"/>
    <w:rsid w:val="006761BB"/>
    <w:rsid w:val="0067693E"/>
    <w:rsid w:val="00680AE4"/>
    <w:rsid w:val="00680E36"/>
    <w:rsid w:val="00681022"/>
    <w:rsid w:val="006813D8"/>
    <w:rsid w:val="00681AD9"/>
    <w:rsid w:val="006825C1"/>
    <w:rsid w:val="0068354F"/>
    <w:rsid w:val="00693FB8"/>
    <w:rsid w:val="00694B4D"/>
    <w:rsid w:val="00694F52"/>
    <w:rsid w:val="00695471"/>
    <w:rsid w:val="006A201E"/>
    <w:rsid w:val="006A308B"/>
    <w:rsid w:val="006B0633"/>
    <w:rsid w:val="006C122C"/>
    <w:rsid w:val="006C1ABC"/>
    <w:rsid w:val="006C3EE6"/>
    <w:rsid w:val="006C49A7"/>
    <w:rsid w:val="006D02FD"/>
    <w:rsid w:val="006D1DD6"/>
    <w:rsid w:val="006D32A0"/>
    <w:rsid w:val="006D419B"/>
    <w:rsid w:val="006D48CF"/>
    <w:rsid w:val="006D507A"/>
    <w:rsid w:val="006E07BA"/>
    <w:rsid w:val="006E09D6"/>
    <w:rsid w:val="006F0FC6"/>
    <w:rsid w:val="006F1912"/>
    <w:rsid w:val="006F2CD8"/>
    <w:rsid w:val="006F49E7"/>
    <w:rsid w:val="006F5E82"/>
    <w:rsid w:val="006F615A"/>
    <w:rsid w:val="007011B6"/>
    <w:rsid w:val="007014CD"/>
    <w:rsid w:val="0070188F"/>
    <w:rsid w:val="00707FBD"/>
    <w:rsid w:val="00711A8A"/>
    <w:rsid w:val="007135FC"/>
    <w:rsid w:val="00715A66"/>
    <w:rsid w:val="0071724C"/>
    <w:rsid w:val="007201BD"/>
    <w:rsid w:val="00720250"/>
    <w:rsid w:val="007224AF"/>
    <w:rsid w:val="00724E7C"/>
    <w:rsid w:val="00731521"/>
    <w:rsid w:val="00734701"/>
    <w:rsid w:val="0074084C"/>
    <w:rsid w:val="0074205B"/>
    <w:rsid w:val="007468E9"/>
    <w:rsid w:val="0075142F"/>
    <w:rsid w:val="00751F72"/>
    <w:rsid w:val="0075460E"/>
    <w:rsid w:val="00761711"/>
    <w:rsid w:val="00761E4E"/>
    <w:rsid w:val="0076407C"/>
    <w:rsid w:val="00765445"/>
    <w:rsid w:val="00767713"/>
    <w:rsid w:val="0077111C"/>
    <w:rsid w:val="007715F2"/>
    <w:rsid w:val="0077267F"/>
    <w:rsid w:val="00773A17"/>
    <w:rsid w:val="00773D8B"/>
    <w:rsid w:val="00775CAF"/>
    <w:rsid w:val="00776789"/>
    <w:rsid w:val="00777594"/>
    <w:rsid w:val="00777AEF"/>
    <w:rsid w:val="00783CD4"/>
    <w:rsid w:val="0079216E"/>
    <w:rsid w:val="00792837"/>
    <w:rsid w:val="00792F4E"/>
    <w:rsid w:val="00793D58"/>
    <w:rsid w:val="00797437"/>
    <w:rsid w:val="007A0DBE"/>
    <w:rsid w:val="007A1767"/>
    <w:rsid w:val="007A28DD"/>
    <w:rsid w:val="007A5AC1"/>
    <w:rsid w:val="007A5FB1"/>
    <w:rsid w:val="007B1D6E"/>
    <w:rsid w:val="007B3FC0"/>
    <w:rsid w:val="007B5A28"/>
    <w:rsid w:val="007B70AD"/>
    <w:rsid w:val="007C1995"/>
    <w:rsid w:val="007C462A"/>
    <w:rsid w:val="007C47CA"/>
    <w:rsid w:val="007C7A46"/>
    <w:rsid w:val="007D2341"/>
    <w:rsid w:val="007D4168"/>
    <w:rsid w:val="007D4953"/>
    <w:rsid w:val="007F13F2"/>
    <w:rsid w:val="007F39BB"/>
    <w:rsid w:val="007F3B7C"/>
    <w:rsid w:val="007F3C9B"/>
    <w:rsid w:val="008063E6"/>
    <w:rsid w:val="00806989"/>
    <w:rsid w:val="00806C7C"/>
    <w:rsid w:val="0081114C"/>
    <w:rsid w:val="008151D2"/>
    <w:rsid w:val="0081589C"/>
    <w:rsid w:val="00817A10"/>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05DA"/>
    <w:rsid w:val="008549A0"/>
    <w:rsid w:val="00856B55"/>
    <w:rsid w:val="0086495E"/>
    <w:rsid w:val="00865CE6"/>
    <w:rsid w:val="00866E5B"/>
    <w:rsid w:val="00867DEE"/>
    <w:rsid w:val="0087023B"/>
    <w:rsid w:val="00870A3F"/>
    <w:rsid w:val="00874EB4"/>
    <w:rsid w:val="008753B3"/>
    <w:rsid w:val="00880210"/>
    <w:rsid w:val="0088079F"/>
    <w:rsid w:val="00881E18"/>
    <w:rsid w:val="00882151"/>
    <w:rsid w:val="0088270D"/>
    <w:rsid w:val="00884819"/>
    <w:rsid w:val="0089048A"/>
    <w:rsid w:val="008914E6"/>
    <w:rsid w:val="0089158B"/>
    <w:rsid w:val="00893320"/>
    <w:rsid w:val="008945AE"/>
    <w:rsid w:val="008949E0"/>
    <w:rsid w:val="008A3594"/>
    <w:rsid w:val="008A3BD9"/>
    <w:rsid w:val="008B0385"/>
    <w:rsid w:val="008B29F8"/>
    <w:rsid w:val="008B6FC3"/>
    <w:rsid w:val="008C51CA"/>
    <w:rsid w:val="008C56F9"/>
    <w:rsid w:val="008C628A"/>
    <w:rsid w:val="008C70C5"/>
    <w:rsid w:val="008C73E6"/>
    <w:rsid w:val="008D6DC6"/>
    <w:rsid w:val="008D7AA2"/>
    <w:rsid w:val="008E1CF4"/>
    <w:rsid w:val="008E4870"/>
    <w:rsid w:val="008F10DA"/>
    <w:rsid w:val="008F1741"/>
    <w:rsid w:val="008F2BCD"/>
    <w:rsid w:val="00900E1A"/>
    <w:rsid w:val="00912A8A"/>
    <w:rsid w:val="009145CD"/>
    <w:rsid w:val="00914D26"/>
    <w:rsid w:val="00916142"/>
    <w:rsid w:val="0091617E"/>
    <w:rsid w:val="00916533"/>
    <w:rsid w:val="00916C78"/>
    <w:rsid w:val="00917330"/>
    <w:rsid w:val="00917ED3"/>
    <w:rsid w:val="009204AA"/>
    <w:rsid w:val="00920DA2"/>
    <w:rsid w:val="0092349F"/>
    <w:rsid w:val="009247BA"/>
    <w:rsid w:val="00924CD9"/>
    <w:rsid w:val="00927D28"/>
    <w:rsid w:val="0093554D"/>
    <w:rsid w:val="00935D6E"/>
    <w:rsid w:val="00936595"/>
    <w:rsid w:val="009400E0"/>
    <w:rsid w:val="00940150"/>
    <w:rsid w:val="00940DA9"/>
    <w:rsid w:val="00941E44"/>
    <w:rsid w:val="0094295F"/>
    <w:rsid w:val="00944ED5"/>
    <w:rsid w:val="009455F2"/>
    <w:rsid w:val="00945950"/>
    <w:rsid w:val="0095079F"/>
    <w:rsid w:val="0095529F"/>
    <w:rsid w:val="0095536D"/>
    <w:rsid w:val="00955DC8"/>
    <w:rsid w:val="00955E90"/>
    <w:rsid w:val="00957FE5"/>
    <w:rsid w:val="00961F5B"/>
    <w:rsid w:val="00963B04"/>
    <w:rsid w:val="009663D6"/>
    <w:rsid w:val="00967571"/>
    <w:rsid w:val="0097116F"/>
    <w:rsid w:val="00982B22"/>
    <w:rsid w:val="0098310A"/>
    <w:rsid w:val="00983612"/>
    <w:rsid w:val="009858E9"/>
    <w:rsid w:val="0098616F"/>
    <w:rsid w:val="00990A16"/>
    <w:rsid w:val="00990E34"/>
    <w:rsid w:val="00996151"/>
    <w:rsid w:val="00996EBD"/>
    <w:rsid w:val="00997694"/>
    <w:rsid w:val="00997713"/>
    <w:rsid w:val="00997C54"/>
    <w:rsid w:val="009A292D"/>
    <w:rsid w:val="009A3D0F"/>
    <w:rsid w:val="009A71AF"/>
    <w:rsid w:val="009B1546"/>
    <w:rsid w:val="009B16AD"/>
    <w:rsid w:val="009B2E56"/>
    <w:rsid w:val="009B3197"/>
    <w:rsid w:val="009B385A"/>
    <w:rsid w:val="009B4BE2"/>
    <w:rsid w:val="009B651F"/>
    <w:rsid w:val="009C082A"/>
    <w:rsid w:val="009C40EF"/>
    <w:rsid w:val="009C4B9E"/>
    <w:rsid w:val="009C66C3"/>
    <w:rsid w:val="009D1AC7"/>
    <w:rsid w:val="009D62AC"/>
    <w:rsid w:val="009D71BF"/>
    <w:rsid w:val="009E0348"/>
    <w:rsid w:val="009E25DA"/>
    <w:rsid w:val="009E4A1F"/>
    <w:rsid w:val="009E5241"/>
    <w:rsid w:val="009E68C6"/>
    <w:rsid w:val="009F23C4"/>
    <w:rsid w:val="009F2483"/>
    <w:rsid w:val="009F42CC"/>
    <w:rsid w:val="009F4574"/>
    <w:rsid w:val="009F603E"/>
    <w:rsid w:val="009F6C5C"/>
    <w:rsid w:val="009F75B1"/>
    <w:rsid w:val="00A0130D"/>
    <w:rsid w:val="00A03316"/>
    <w:rsid w:val="00A0483D"/>
    <w:rsid w:val="00A04EFA"/>
    <w:rsid w:val="00A06A3E"/>
    <w:rsid w:val="00A076DB"/>
    <w:rsid w:val="00A10891"/>
    <w:rsid w:val="00A109C3"/>
    <w:rsid w:val="00A15DC3"/>
    <w:rsid w:val="00A2147D"/>
    <w:rsid w:val="00A251CD"/>
    <w:rsid w:val="00A25823"/>
    <w:rsid w:val="00A2601A"/>
    <w:rsid w:val="00A303D5"/>
    <w:rsid w:val="00A3095F"/>
    <w:rsid w:val="00A310EA"/>
    <w:rsid w:val="00A322AA"/>
    <w:rsid w:val="00A327F6"/>
    <w:rsid w:val="00A34DB9"/>
    <w:rsid w:val="00A40E31"/>
    <w:rsid w:val="00A444F9"/>
    <w:rsid w:val="00A46C4A"/>
    <w:rsid w:val="00A50FB7"/>
    <w:rsid w:val="00A527AC"/>
    <w:rsid w:val="00A6009C"/>
    <w:rsid w:val="00A6165E"/>
    <w:rsid w:val="00A6376F"/>
    <w:rsid w:val="00A648DB"/>
    <w:rsid w:val="00A675D3"/>
    <w:rsid w:val="00A719DB"/>
    <w:rsid w:val="00A72E1B"/>
    <w:rsid w:val="00A73EA9"/>
    <w:rsid w:val="00A7662B"/>
    <w:rsid w:val="00A81A40"/>
    <w:rsid w:val="00A842EA"/>
    <w:rsid w:val="00A8572B"/>
    <w:rsid w:val="00A86808"/>
    <w:rsid w:val="00A874DA"/>
    <w:rsid w:val="00A90B4F"/>
    <w:rsid w:val="00A90F77"/>
    <w:rsid w:val="00A92286"/>
    <w:rsid w:val="00A9270B"/>
    <w:rsid w:val="00A94E9C"/>
    <w:rsid w:val="00AA1706"/>
    <w:rsid w:val="00AA678E"/>
    <w:rsid w:val="00AB1006"/>
    <w:rsid w:val="00AB36F7"/>
    <w:rsid w:val="00AB5197"/>
    <w:rsid w:val="00AC2B3D"/>
    <w:rsid w:val="00AC2CCA"/>
    <w:rsid w:val="00AC59ED"/>
    <w:rsid w:val="00AC7102"/>
    <w:rsid w:val="00AD01B6"/>
    <w:rsid w:val="00AD2D9B"/>
    <w:rsid w:val="00AD7ADC"/>
    <w:rsid w:val="00AE59EE"/>
    <w:rsid w:val="00AF2318"/>
    <w:rsid w:val="00AF35DD"/>
    <w:rsid w:val="00AF3D11"/>
    <w:rsid w:val="00B01508"/>
    <w:rsid w:val="00B01533"/>
    <w:rsid w:val="00B02076"/>
    <w:rsid w:val="00B02D74"/>
    <w:rsid w:val="00B119E3"/>
    <w:rsid w:val="00B17241"/>
    <w:rsid w:val="00B17B6A"/>
    <w:rsid w:val="00B24D13"/>
    <w:rsid w:val="00B25D14"/>
    <w:rsid w:val="00B26FF9"/>
    <w:rsid w:val="00B27C9F"/>
    <w:rsid w:val="00B31727"/>
    <w:rsid w:val="00B31FC9"/>
    <w:rsid w:val="00B34132"/>
    <w:rsid w:val="00B35FDB"/>
    <w:rsid w:val="00B366B7"/>
    <w:rsid w:val="00B36BFA"/>
    <w:rsid w:val="00B45DFF"/>
    <w:rsid w:val="00B4685F"/>
    <w:rsid w:val="00B56D03"/>
    <w:rsid w:val="00B606FC"/>
    <w:rsid w:val="00B61D3D"/>
    <w:rsid w:val="00B62037"/>
    <w:rsid w:val="00B703DE"/>
    <w:rsid w:val="00B76782"/>
    <w:rsid w:val="00B82B92"/>
    <w:rsid w:val="00B92E7B"/>
    <w:rsid w:val="00B9319A"/>
    <w:rsid w:val="00B95E66"/>
    <w:rsid w:val="00BA3C62"/>
    <w:rsid w:val="00BA5FF0"/>
    <w:rsid w:val="00BA6343"/>
    <w:rsid w:val="00BA7E44"/>
    <w:rsid w:val="00BB05D5"/>
    <w:rsid w:val="00BB0912"/>
    <w:rsid w:val="00BB27EB"/>
    <w:rsid w:val="00BB3448"/>
    <w:rsid w:val="00BB3FE6"/>
    <w:rsid w:val="00BB5725"/>
    <w:rsid w:val="00BC1EF8"/>
    <w:rsid w:val="00BC42E1"/>
    <w:rsid w:val="00BD00B2"/>
    <w:rsid w:val="00BD51DF"/>
    <w:rsid w:val="00BD6621"/>
    <w:rsid w:val="00BD6EC8"/>
    <w:rsid w:val="00BD7F4E"/>
    <w:rsid w:val="00BE0415"/>
    <w:rsid w:val="00BE06CE"/>
    <w:rsid w:val="00BE1622"/>
    <w:rsid w:val="00BE280E"/>
    <w:rsid w:val="00BE5BD1"/>
    <w:rsid w:val="00BE6CCA"/>
    <w:rsid w:val="00BE7C49"/>
    <w:rsid w:val="00BF1EC4"/>
    <w:rsid w:val="00BF59B3"/>
    <w:rsid w:val="00BF7DA2"/>
    <w:rsid w:val="00C066D2"/>
    <w:rsid w:val="00C11B5A"/>
    <w:rsid w:val="00C126FC"/>
    <w:rsid w:val="00C1422A"/>
    <w:rsid w:val="00C14C86"/>
    <w:rsid w:val="00C167CC"/>
    <w:rsid w:val="00C21163"/>
    <w:rsid w:val="00C21BB8"/>
    <w:rsid w:val="00C21E02"/>
    <w:rsid w:val="00C2295B"/>
    <w:rsid w:val="00C271FA"/>
    <w:rsid w:val="00C32789"/>
    <w:rsid w:val="00C34C5C"/>
    <w:rsid w:val="00C34D9B"/>
    <w:rsid w:val="00C35660"/>
    <w:rsid w:val="00C43EBE"/>
    <w:rsid w:val="00C5056E"/>
    <w:rsid w:val="00C50FD5"/>
    <w:rsid w:val="00C53444"/>
    <w:rsid w:val="00C56C6E"/>
    <w:rsid w:val="00C57749"/>
    <w:rsid w:val="00C60221"/>
    <w:rsid w:val="00C6130D"/>
    <w:rsid w:val="00C7220A"/>
    <w:rsid w:val="00C73CC1"/>
    <w:rsid w:val="00C742C7"/>
    <w:rsid w:val="00C75096"/>
    <w:rsid w:val="00C754E1"/>
    <w:rsid w:val="00C757D6"/>
    <w:rsid w:val="00C7698F"/>
    <w:rsid w:val="00C807B2"/>
    <w:rsid w:val="00C813E4"/>
    <w:rsid w:val="00C82B14"/>
    <w:rsid w:val="00C850EC"/>
    <w:rsid w:val="00C86475"/>
    <w:rsid w:val="00C87C00"/>
    <w:rsid w:val="00C9003F"/>
    <w:rsid w:val="00C900F9"/>
    <w:rsid w:val="00C9036E"/>
    <w:rsid w:val="00C97FD1"/>
    <w:rsid w:val="00CA234B"/>
    <w:rsid w:val="00CA77D7"/>
    <w:rsid w:val="00CA7D4F"/>
    <w:rsid w:val="00CB0E7B"/>
    <w:rsid w:val="00CB1AD7"/>
    <w:rsid w:val="00CB3462"/>
    <w:rsid w:val="00CB4102"/>
    <w:rsid w:val="00CB41BA"/>
    <w:rsid w:val="00CB72D1"/>
    <w:rsid w:val="00CB767C"/>
    <w:rsid w:val="00CB76B6"/>
    <w:rsid w:val="00CC0355"/>
    <w:rsid w:val="00CC3EAD"/>
    <w:rsid w:val="00CC44D3"/>
    <w:rsid w:val="00CC5784"/>
    <w:rsid w:val="00CC79C0"/>
    <w:rsid w:val="00CD1A86"/>
    <w:rsid w:val="00CD2067"/>
    <w:rsid w:val="00CD2C46"/>
    <w:rsid w:val="00CD6778"/>
    <w:rsid w:val="00CD6CF2"/>
    <w:rsid w:val="00CE2DF7"/>
    <w:rsid w:val="00CE6E39"/>
    <w:rsid w:val="00CF365B"/>
    <w:rsid w:val="00CF5053"/>
    <w:rsid w:val="00CF506B"/>
    <w:rsid w:val="00CF7180"/>
    <w:rsid w:val="00CF7798"/>
    <w:rsid w:val="00D0155A"/>
    <w:rsid w:val="00D01A3E"/>
    <w:rsid w:val="00D07713"/>
    <w:rsid w:val="00D10C44"/>
    <w:rsid w:val="00D1282D"/>
    <w:rsid w:val="00D136A7"/>
    <w:rsid w:val="00D147ED"/>
    <w:rsid w:val="00D1686E"/>
    <w:rsid w:val="00D24254"/>
    <w:rsid w:val="00D257C1"/>
    <w:rsid w:val="00D32C5D"/>
    <w:rsid w:val="00D34702"/>
    <w:rsid w:val="00D43C22"/>
    <w:rsid w:val="00D4418E"/>
    <w:rsid w:val="00D44562"/>
    <w:rsid w:val="00D45167"/>
    <w:rsid w:val="00D4574F"/>
    <w:rsid w:val="00D463B7"/>
    <w:rsid w:val="00D4648E"/>
    <w:rsid w:val="00D468FA"/>
    <w:rsid w:val="00D4719D"/>
    <w:rsid w:val="00D50220"/>
    <w:rsid w:val="00D50428"/>
    <w:rsid w:val="00D53424"/>
    <w:rsid w:val="00D54395"/>
    <w:rsid w:val="00D60AAF"/>
    <w:rsid w:val="00D63430"/>
    <w:rsid w:val="00D64700"/>
    <w:rsid w:val="00D65AAD"/>
    <w:rsid w:val="00D67F66"/>
    <w:rsid w:val="00D71D22"/>
    <w:rsid w:val="00D732A9"/>
    <w:rsid w:val="00D76361"/>
    <w:rsid w:val="00D803A1"/>
    <w:rsid w:val="00D83AB7"/>
    <w:rsid w:val="00D8482B"/>
    <w:rsid w:val="00D90931"/>
    <w:rsid w:val="00D91919"/>
    <w:rsid w:val="00D92A1A"/>
    <w:rsid w:val="00D9362E"/>
    <w:rsid w:val="00D94A3B"/>
    <w:rsid w:val="00D95EA2"/>
    <w:rsid w:val="00D9649B"/>
    <w:rsid w:val="00D976E9"/>
    <w:rsid w:val="00DA0C5D"/>
    <w:rsid w:val="00DA5524"/>
    <w:rsid w:val="00DA618C"/>
    <w:rsid w:val="00DA6E52"/>
    <w:rsid w:val="00DB320D"/>
    <w:rsid w:val="00DB4A16"/>
    <w:rsid w:val="00DB5024"/>
    <w:rsid w:val="00DB5518"/>
    <w:rsid w:val="00DB5EFB"/>
    <w:rsid w:val="00DB6C1E"/>
    <w:rsid w:val="00DC0B1C"/>
    <w:rsid w:val="00DC2AAD"/>
    <w:rsid w:val="00DC2C8D"/>
    <w:rsid w:val="00DC2DF9"/>
    <w:rsid w:val="00DD00FB"/>
    <w:rsid w:val="00DD1374"/>
    <w:rsid w:val="00DD2D75"/>
    <w:rsid w:val="00DD4D85"/>
    <w:rsid w:val="00DD6EE1"/>
    <w:rsid w:val="00DE251C"/>
    <w:rsid w:val="00DE57B8"/>
    <w:rsid w:val="00DF08BD"/>
    <w:rsid w:val="00DF1057"/>
    <w:rsid w:val="00DF44DE"/>
    <w:rsid w:val="00E00E60"/>
    <w:rsid w:val="00E03972"/>
    <w:rsid w:val="00E04EFE"/>
    <w:rsid w:val="00E05DE7"/>
    <w:rsid w:val="00E0602A"/>
    <w:rsid w:val="00E07DD7"/>
    <w:rsid w:val="00E109EA"/>
    <w:rsid w:val="00E122C5"/>
    <w:rsid w:val="00E13456"/>
    <w:rsid w:val="00E14637"/>
    <w:rsid w:val="00E17CED"/>
    <w:rsid w:val="00E21E9E"/>
    <w:rsid w:val="00E2254F"/>
    <w:rsid w:val="00E22DFD"/>
    <w:rsid w:val="00E23E54"/>
    <w:rsid w:val="00E24D8F"/>
    <w:rsid w:val="00E25A25"/>
    <w:rsid w:val="00E265D5"/>
    <w:rsid w:val="00E27199"/>
    <w:rsid w:val="00E306CB"/>
    <w:rsid w:val="00E3778C"/>
    <w:rsid w:val="00E37C95"/>
    <w:rsid w:val="00E40BEF"/>
    <w:rsid w:val="00E40CBC"/>
    <w:rsid w:val="00E40DD5"/>
    <w:rsid w:val="00E41840"/>
    <w:rsid w:val="00E431D7"/>
    <w:rsid w:val="00E4681E"/>
    <w:rsid w:val="00E540BC"/>
    <w:rsid w:val="00E565C5"/>
    <w:rsid w:val="00E57043"/>
    <w:rsid w:val="00E5723B"/>
    <w:rsid w:val="00E631F0"/>
    <w:rsid w:val="00E634D2"/>
    <w:rsid w:val="00E658A1"/>
    <w:rsid w:val="00E667CB"/>
    <w:rsid w:val="00E67DCD"/>
    <w:rsid w:val="00E7272A"/>
    <w:rsid w:val="00E7345F"/>
    <w:rsid w:val="00E750CC"/>
    <w:rsid w:val="00E77CAA"/>
    <w:rsid w:val="00E82940"/>
    <w:rsid w:val="00E83A84"/>
    <w:rsid w:val="00E85F3F"/>
    <w:rsid w:val="00EA0452"/>
    <w:rsid w:val="00EA0ED2"/>
    <w:rsid w:val="00EA7527"/>
    <w:rsid w:val="00EB2C83"/>
    <w:rsid w:val="00EB3A96"/>
    <w:rsid w:val="00EB476F"/>
    <w:rsid w:val="00EB52B3"/>
    <w:rsid w:val="00EB5882"/>
    <w:rsid w:val="00EB7390"/>
    <w:rsid w:val="00EC1186"/>
    <w:rsid w:val="00EC136E"/>
    <w:rsid w:val="00EC2814"/>
    <w:rsid w:val="00EC37CB"/>
    <w:rsid w:val="00ED0762"/>
    <w:rsid w:val="00ED266F"/>
    <w:rsid w:val="00ED5E21"/>
    <w:rsid w:val="00ED61A8"/>
    <w:rsid w:val="00ED7C24"/>
    <w:rsid w:val="00ED7C53"/>
    <w:rsid w:val="00EE0633"/>
    <w:rsid w:val="00EE150B"/>
    <w:rsid w:val="00EE1BE5"/>
    <w:rsid w:val="00EE4795"/>
    <w:rsid w:val="00EF09A7"/>
    <w:rsid w:val="00EF1E78"/>
    <w:rsid w:val="00EF29EC"/>
    <w:rsid w:val="00EF6FEB"/>
    <w:rsid w:val="00EF7154"/>
    <w:rsid w:val="00F0076E"/>
    <w:rsid w:val="00F00FB7"/>
    <w:rsid w:val="00F022E0"/>
    <w:rsid w:val="00F0425A"/>
    <w:rsid w:val="00F0654E"/>
    <w:rsid w:val="00F07BC3"/>
    <w:rsid w:val="00F118B1"/>
    <w:rsid w:val="00F11E6D"/>
    <w:rsid w:val="00F136EE"/>
    <w:rsid w:val="00F22A71"/>
    <w:rsid w:val="00F259FE"/>
    <w:rsid w:val="00F27D86"/>
    <w:rsid w:val="00F30329"/>
    <w:rsid w:val="00F31726"/>
    <w:rsid w:val="00F31E52"/>
    <w:rsid w:val="00F32A84"/>
    <w:rsid w:val="00F33EED"/>
    <w:rsid w:val="00F36F06"/>
    <w:rsid w:val="00F41E19"/>
    <w:rsid w:val="00F43521"/>
    <w:rsid w:val="00F43C5B"/>
    <w:rsid w:val="00F441A2"/>
    <w:rsid w:val="00F44E44"/>
    <w:rsid w:val="00F46A54"/>
    <w:rsid w:val="00F50705"/>
    <w:rsid w:val="00F5130C"/>
    <w:rsid w:val="00F5534B"/>
    <w:rsid w:val="00F63CEC"/>
    <w:rsid w:val="00F63DCE"/>
    <w:rsid w:val="00F646E5"/>
    <w:rsid w:val="00F65C09"/>
    <w:rsid w:val="00F676BF"/>
    <w:rsid w:val="00F67B66"/>
    <w:rsid w:val="00F7049F"/>
    <w:rsid w:val="00F70EC7"/>
    <w:rsid w:val="00F72AAB"/>
    <w:rsid w:val="00F80CE2"/>
    <w:rsid w:val="00F80F23"/>
    <w:rsid w:val="00F823F7"/>
    <w:rsid w:val="00F83779"/>
    <w:rsid w:val="00F87405"/>
    <w:rsid w:val="00F9160B"/>
    <w:rsid w:val="00F94070"/>
    <w:rsid w:val="00F94113"/>
    <w:rsid w:val="00F9530C"/>
    <w:rsid w:val="00F9745E"/>
    <w:rsid w:val="00F97520"/>
    <w:rsid w:val="00FA1A2D"/>
    <w:rsid w:val="00FA206C"/>
    <w:rsid w:val="00FA2070"/>
    <w:rsid w:val="00FA63BA"/>
    <w:rsid w:val="00FB3FBF"/>
    <w:rsid w:val="00FB5611"/>
    <w:rsid w:val="00FB6066"/>
    <w:rsid w:val="00FB701E"/>
    <w:rsid w:val="00FC00B2"/>
    <w:rsid w:val="00FC0F20"/>
    <w:rsid w:val="00FC5B54"/>
    <w:rsid w:val="00FD2267"/>
    <w:rsid w:val="00FD35CE"/>
    <w:rsid w:val="00FD7B4A"/>
    <w:rsid w:val="00FE385C"/>
    <w:rsid w:val="00FE7DE5"/>
    <w:rsid w:val="00FF0884"/>
    <w:rsid w:val="00FF13E3"/>
    <w:rsid w:val="00FF7C4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20085449">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99107687">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470834030">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20171166">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592318087">
      <w:bodyDiv w:val="1"/>
      <w:marLeft w:val="0"/>
      <w:marRight w:val="0"/>
      <w:marTop w:val="0"/>
      <w:marBottom w:val="0"/>
      <w:divBdr>
        <w:top w:val="none" w:sz="0" w:space="0" w:color="auto"/>
        <w:left w:val="none" w:sz="0" w:space="0" w:color="auto"/>
        <w:bottom w:val="none" w:sz="0" w:space="0" w:color="auto"/>
        <w:right w:val="none" w:sz="0" w:space="0" w:color="auto"/>
      </w:divBdr>
    </w:div>
    <w:div w:id="663625836">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4935556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282493043">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375738626">
      <w:bodyDiv w:val="1"/>
      <w:marLeft w:val="0"/>
      <w:marRight w:val="0"/>
      <w:marTop w:val="0"/>
      <w:marBottom w:val="0"/>
      <w:divBdr>
        <w:top w:val="none" w:sz="0" w:space="0" w:color="auto"/>
        <w:left w:val="none" w:sz="0" w:space="0" w:color="auto"/>
        <w:bottom w:val="none" w:sz="0" w:space="0" w:color="auto"/>
        <w:right w:val="none" w:sz="0" w:space="0" w:color="auto"/>
      </w:divBdr>
    </w:div>
    <w:div w:id="1489588039">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64891248">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23486722">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7FCC-4AD0-A796-6724F7F9FDD4}"/>
              </c:ext>
            </c:extLst>
          </c:dPt>
          <c:dPt>
            <c:idx val="2"/>
            <c:invertIfNegative val="0"/>
            <c:bubble3D val="0"/>
            <c:spPr>
              <a:solidFill>
                <a:srgbClr val="FF0000"/>
              </a:solidFill>
              <a:ln>
                <a:noFill/>
              </a:ln>
              <a:effectLst/>
            </c:spPr>
            <c:extLst>
              <c:ext xmlns:c16="http://schemas.microsoft.com/office/drawing/2014/chart" uri="{C3380CC4-5D6E-409C-BE32-E72D297353CC}">
                <c16:uniqueId val="{00000003-7FCC-4AD0-A796-6724F7F9FDD4}"/>
              </c:ext>
            </c:extLst>
          </c:dPt>
          <c:dPt>
            <c:idx val="3"/>
            <c:invertIfNegative val="0"/>
            <c:bubble3D val="0"/>
            <c:spPr>
              <a:solidFill>
                <a:srgbClr val="0070C0"/>
              </a:solidFill>
              <a:ln>
                <a:noFill/>
              </a:ln>
              <a:effectLst/>
            </c:spPr>
            <c:extLst>
              <c:ext xmlns:c16="http://schemas.microsoft.com/office/drawing/2014/chart" uri="{C3380CC4-5D6E-409C-BE32-E72D297353CC}">
                <c16:uniqueId val="{00000005-7FCC-4AD0-A796-6724F7F9FDD4}"/>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7-7FCC-4AD0-A796-6724F7F9FD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('2022Q3'!$B$4:$B$6,'2022Q3'!$B$8:$B$10)</c:f>
              <c:strCache>
                <c:ptCount val="6"/>
                <c:pt idx="0">
                  <c:v>Özel Tüketim</c:v>
                </c:pt>
                <c:pt idx="1">
                  <c:v>Kamu Tüketimi</c:v>
                </c:pt>
                <c:pt idx="2">
                  <c:v>Yatırım</c:v>
                </c:pt>
                <c:pt idx="3">
                  <c:v>İhracat</c:v>
                </c:pt>
                <c:pt idx="4">
                  <c:v>İthalat</c:v>
                </c:pt>
                <c:pt idx="5">
                  <c:v>GSYH</c:v>
                </c:pt>
              </c:strCache>
            </c:strRef>
          </c:cat>
          <c:val>
            <c:numRef>
              <c:f>('2022Q3'!$E$4:$E$6,'2022Q3'!$E$8:$E$10)</c:f>
              <c:numCache>
                <c:formatCode>0.0</c:formatCode>
                <c:ptCount val="6"/>
                <c:pt idx="0">
                  <c:v>19.904474464364409</c:v>
                </c:pt>
                <c:pt idx="1">
                  <c:v>8.5360005950074314</c:v>
                </c:pt>
                <c:pt idx="2">
                  <c:v>-1.3463043956277732</c:v>
                </c:pt>
                <c:pt idx="3">
                  <c:v>12.645555030813171</c:v>
                </c:pt>
                <c:pt idx="4">
                  <c:v>12.17618703014347</c:v>
                </c:pt>
                <c:pt idx="5">
                  <c:v>3.8533068290933725</c:v>
                </c:pt>
              </c:numCache>
            </c:numRef>
          </c:val>
          <c:extLst>
            <c:ext xmlns:c16="http://schemas.microsoft.com/office/drawing/2014/chart" uri="{C3380CC4-5D6E-409C-BE32-E72D297353CC}">
              <c16:uniqueId val="{00000008-7FCC-4AD0-A796-6724F7F9FDD4}"/>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2405-4F9B-831E-3D3B8A014871}"/>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2405-4F9B-831E-3D3B8A014871}"/>
              </c:ext>
            </c:extLst>
          </c:dPt>
          <c:dPt>
            <c:idx val="2"/>
            <c:invertIfNegative val="0"/>
            <c:bubble3D val="0"/>
            <c:spPr>
              <a:solidFill>
                <a:srgbClr val="FF0000"/>
              </a:solidFill>
              <a:ln>
                <a:noFill/>
              </a:ln>
              <a:effectLst/>
            </c:spPr>
            <c:extLst>
              <c:ext xmlns:c16="http://schemas.microsoft.com/office/drawing/2014/chart" uri="{C3380CC4-5D6E-409C-BE32-E72D297353CC}">
                <c16:uniqueId val="{00000005-2405-4F9B-831E-3D3B8A014871}"/>
              </c:ext>
            </c:extLst>
          </c:dPt>
          <c:dPt>
            <c:idx val="3"/>
            <c:invertIfNegative val="0"/>
            <c:bubble3D val="0"/>
            <c:spPr>
              <a:solidFill>
                <a:srgbClr val="FF0000"/>
              </a:solidFill>
              <a:ln>
                <a:noFill/>
              </a:ln>
              <a:effectLst/>
            </c:spPr>
            <c:extLst>
              <c:ext xmlns:c16="http://schemas.microsoft.com/office/drawing/2014/chart" uri="{C3380CC4-5D6E-409C-BE32-E72D297353CC}">
                <c16:uniqueId val="{00000007-2405-4F9B-831E-3D3B8A014871}"/>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2405-4F9B-831E-3D3B8A014871}"/>
              </c:ext>
            </c:extLst>
          </c:dPt>
          <c:dPt>
            <c:idx val="5"/>
            <c:invertIfNegative val="0"/>
            <c:bubble3D val="0"/>
            <c:spPr>
              <a:solidFill>
                <a:srgbClr val="FF0000"/>
              </a:solidFill>
              <a:ln>
                <a:noFill/>
              </a:ln>
              <a:effectLst/>
            </c:spPr>
            <c:extLst>
              <c:ext xmlns:c16="http://schemas.microsoft.com/office/drawing/2014/chart" uri="{C3380CC4-5D6E-409C-BE32-E72D297353CC}">
                <c16:uniqueId val="{0000000B-2405-4F9B-831E-3D3B8A01487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'2022Q3'!$B$4:$B$9</c:f>
              <c:strCache>
                <c:ptCount val="6"/>
                <c:pt idx="0">
                  <c:v>Özel Tüketim</c:v>
                </c:pt>
                <c:pt idx="1">
                  <c:v>Kamu Tüketimi</c:v>
                </c:pt>
                <c:pt idx="2">
                  <c:v>Yatırım</c:v>
                </c:pt>
                <c:pt idx="3">
                  <c:v>Stok Değişimi</c:v>
                </c:pt>
                <c:pt idx="4">
                  <c:v>İhracat</c:v>
                </c:pt>
                <c:pt idx="5">
                  <c:v>İthalat</c:v>
                </c:pt>
              </c:strCache>
            </c:strRef>
          </c:cat>
          <c:val>
            <c:numRef>
              <c:f>'2022Q3'!$F$4:$F$9</c:f>
              <c:numCache>
                <c:formatCode>0.0</c:formatCode>
                <c:ptCount val="6"/>
                <c:pt idx="0">
                  <c:v>10.809211699643351</c:v>
                </c:pt>
                <c:pt idx="1">
                  <c:v>1.103601539983299</c:v>
                </c:pt>
                <c:pt idx="2">
                  <c:v>-0.42541264278784963</c:v>
                </c:pt>
                <c:pt idx="3">
                  <c:v>-8.3308507036405182</c:v>
                </c:pt>
                <c:pt idx="4">
                  <c:v>4.1428671598154478</c:v>
                </c:pt>
                <c:pt idx="5">
                  <c:v>-3.4461102239203738</c:v>
                </c:pt>
              </c:numCache>
            </c:numRef>
          </c:val>
          <c:extLst>
            <c:ext xmlns:c16="http://schemas.microsoft.com/office/drawing/2014/chart" uri="{C3380CC4-5D6E-409C-BE32-E72D297353CC}">
              <c16:uniqueId val="{0000000C-2405-4F9B-831E-3D3B8A014871}"/>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'2022Q3'!$E$29</c:f>
              <c:strCache>
                <c:ptCount val="1"/>
                <c:pt idx="0">
                  <c:v>Yıllık değişim</c:v>
                </c:pt>
              </c:strCache>
            </c:strRef>
          </c:tx>
          <c:spPr>
            <a:solidFill>
              <a:schemeClr val="accent1"/>
            </a:solidFill>
            <a:ln>
              <a:noFill/>
            </a:ln>
            <a:effectLst/>
          </c:spPr>
          <c:invertIfNegative val="0"/>
          <c:cat>
            <c:strRef>
              <c:f>'2022Q3'!$A$37:$A$60</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'2022Q3'!$E$37:$E$60</c:f>
              <c:numCache>
                <c:formatCode>0.0</c:formatCode>
                <c:ptCount val="24"/>
                <c:pt idx="0">
                  <c:v>4.4311945807482322</c:v>
                </c:pt>
                <c:pt idx="1">
                  <c:v>5.2908425432556472</c:v>
                </c:pt>
                <c:pt idx="2">
                  <c:v>5.3018811864605109</c:v>
                </c:pt>
                <c:pt idx="3">
                  <c:v>11.790057801663067</c:v>
                </c:pt>
                <c:pt idx="4">
                  <c:v>7.268453394698593</c:v>
                </c:pt>
                <c:pt idx="5">
                  <c:v>7.4790849570820495</c:v>
                </c:pt>
                <c:pt idx="6">
                  <c:v>5.8373529623979348</c:v>
                </c:pt>
                <c:pt idx="7">
                  <c:v>2.4970675554269572</c:v>
                </c:pt>
                <c:pt idx="8">
                  <c:v>-2.6385699021583275</c:v>
                </c:pt>
                <c:pt idx="9">
                  <c:v>-2.5584144346031623</c:v>
                </c:pt>
                <c:pt idx="10">
                  <c:v>-1.6606138131681103</c:v>
                </c:pt>
                <c:pt idx="11">
                  <c:v>0.93738377656722438</c:v>
                </c:pt>
                <c:pt idx="12">
                  <c:v>5.8947299681534782</c:v>
                </c:pt>
                <c:pt idx="13">
                  <c:v>4.4297179508610007</c:v>
                </c:pt>
                <c:pt idx="14">
                  <c:v>-10.287252031670214</c:v>
                </c:pt>
                <c:pt idx="15">
                  <c:v>6.5133513599918036</c:v>
                </c:pt>
                <c:pt idx="16">
                  <c:v>6.3597059018903224</c:v>
                </c:pt>
                <c:pt idx="17">
                  <c:v>7.5074170898249637</c:v>
                </c:pt>
                <c:pt idx="18">
                  <c:v>22.246406064977343</c:v>
                </c:pt>
                <c:pt idx="19">
                  <c:v>7.8917487901841499</c:v>
                </c:pt>
                <c:pt idx="20">
                  <c:v>9.5968538971011661</c:v>
                </c:pt>
                <c:pt idx="21">
                  <c:v>7.5155790783268728</c:v>
                </c:pt>
                <c:pt idx="22">
                  <c:v>7.7374653662830584</c:v>
                </c:pt>
                <c:pt idx="23">
                  <c:v>3.8533068290933725</c:v>
                </c:pt>
              </c:numCache>
            </c:numRef>
          </c:val>
          <c:extLst>
            <c:ext xmlns:c16="http://schemas.microsoft.com/office/drawing/2014/chart" uri="{C3380CC4-5D6E-409C-BE32-E72D297353CC}">
              <c16:uniqueId val="{00000000-7D79-4ED9-9360-3886752E2E83}"/>
            </c:ext>
          </c:extLst>
        </c:ser>
        <c:dLbls>
          <c:showLegendKey val="0"/>
          <c:showVal val="0"/>
          <c:showCatName val="0"/>
          <c:showSerName val="0"/>
          <c:showPercent val="0"/>
          <c:showBubbleSize val="0"/>
        </c:dLbls>
        <c:gapWidth val="75"/>
        <c:overlap val="-25"/>
        <c:axId val="796996655"/>
        <c:axId val="795652143"/>
      </c:barChart>
      <c:lineChart>
        <c:grouping val="standard"/>
        <c:varyColors val="0"/>
        <c:ser>
          <c:idx val="1"/>
          <c:order val="1"/>
          <c:tx>
            <c:strRef>
              <c:f>'2022Q3'!$F$29</c:f>
              <c:strCache>
                <c:ptCount val="1"/>
                <c:pt idx="0">
                  <c:v>Çeyreklik değişim</c:v>
                </c:pt>
              </c:strCache>
            </c:strRef>
          </c:tx>
          <c:spPr>
            <a:ln w="25400" cap="rnd">
              <a:solidFill>
                <a:schemeClr val="tx1"/>
              </a:solidFill>
              <a:round/>
            </a:ln>
            <a:effectLst/>
          </c:spPr>
          <c:marker>
            <c:symbol val="none"/>
          </c:marker>
          <c:cat>
            <c:strRef>
              <c:f>'2022Q3'!$A$37:$A$60</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'2022Q3'!$F$37:$F$60</c:f>
              <c:numCache>
                <c:formatCode>0.0</c:formatCode>
                <c:ptCount val="24"/>
                <c:pt idx="0">
                  <c:v>5.5096116443495324</c:v>
                </c:pt>
                <c:pt idx="1">
                  <c:v>1.368865259222618</c:v>
                </c:pt>
                <c:pt idx="2">
                  <c:v>2.2803188216812265</c:v>
                </c:pt>
                <c:pt idx="3">
                  <c:v>1.515918557513718</c:v>
                </c:pt>
                <c:pt idx="4">
                  <c:v>1.8827611322633553</c:v>
                </c:pt>
                <c:pt idx="5">
                  <c:v>1.4687431302132792</c:v>
                </c:pt>
                <c:pt idx="6">
                  <c:v>0.65752178788840432</c:v>
                </c:pt>
                <c:pt idx="7">
                  <c:v>-1.6279355144123486</c:v>
                </c:pt>
                <c:pt idx="8">
                  <c:v>-3.1841153368222574</c:v>
                </c:pt>
                <c:pt idx="9">
                  <c:v>1.8777893627963671</c:v>
                </c:pt>
                <c:pt idx="10">
                  <c:v>2.5678003132384219</c:v>
                </c:pt>
                <c:pt idx="11">
                  <c:v>-0.35290778459662331</c:v>
                </c:pt>
                <c:pt idx="12">
                  <c:v>1.2799084485346723</c:v>
                </c:pt>
                <c:pt idx="13">
                  <c:v>0.84932546643585738</c:v>
                </c:pt>
                <c:pt idx="14">
                  <c:v>-10.371752589236927</c:v>
                </c:pt>
                <c:pt idx="15">
                  <c:v>15.649317790807004</c:v>
                </c:pt>
                <c:pt idx="16">
                  <c:v>1.0846477656639042</c:v>
                </c:pt>
                <c:pt idx="17">
                  <c:v>2.6166590695453573</c:v>
                </c:pt>
                <c:pt idx="18">
                  <c:v>1.9949569992060434</c:v>
                </c:pt>
                <c:pt idx="19">
                  <c:v>2.7144828244644925</c:v>
                </c:pt>
                <c:pt idx="20">
                  <c:v>1.5756383914333538</c:v>
                </c:pt>
                <c:pt idx="21">
                  <c:v>0.58941379691044293</c:v>
                </c:pt>
                <c:pt idx="22">
                  <c:v>1.8743137836006118</c:v>
                </c:pt>
                <c:pt idx="23">
                  <c:v>-0.12469848215368451</c:v>
                </c:pt>
              </c:numCache>
            </c:numRef>
          </c:val>
          <c:smooth val="0"/>
          <c:extLst>
            <c:ext xmlns:c16="http://schemas.microsoft.com/office/drawing/2014/chart" uri="{C3380CC4-5D6E-409C-BE32-E72D297353CC}">
              <c16:uniqueId val="{00000001-7D79-4ED9-9360-3886752E2E83}"/>
            </c:ext>
          </c:extLst>
        </c:ser>
        <c:dLbls>
          <c:showLegendKey val="0"/>
          <c:showVal val="0"/>
          <c:showCatName val="0"/>
          <c:showSerName val="0"/>
          <c:showPercent val="0"/>
          <c:showBubbleSize val="0"/>
        </c:dLbls>
        <c:marker val="1"/>
        <c:smooth val="0"/>
        <c:axId val="796996655"/>
        <c:axId val="795652143"/>
      </c:lineChart>
      <c:catAx>
        <c:axId val="7969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652143"/>
        <c:crosses val="autoZero"/>
        <c:auto val="1"/>
        <c:lblAlgn val="ctr"/>
        <c:lblOffset val="100"/>
        <c:noMultiLvlLbl val="0"/>
      </c:catAx>
      <c:valAx>
        <c:axId val="795652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99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92CDA151078BE4DB52CE2A0BF05C16B" ma:contentTypeVersion="16" ma:contentTypeDescription="Yeni belge oluşturun." ma:contentTypeScope="" ma:versionID="2464b6872367c00d340570baff9db5d5">
  <xsd:schema xmlns:xsd="http://www.w3.org/2001/XMLSchema" xmlns:xs="http://www.w3.org/2001/XMLSchema" xmlns:p="http://schemas.microsoft.com/office/2006/metadata/properties" xmlns:ns1="http://schemas.microsoft.com/sharepoint/v3" xmlns:ns3="6a91392b-4aab-4a5a-8abc-e018e4ed1710" xmlns:ns4="a948c1a1-7427-4f82-bcc1-319815582633" targetNamespace="http://schemas.microsoft.com/office/2006/metadata/properties" ma:root="true" ma:fieldsID="e643b129f10375a8b0d74e30ffdaf847" ns1:_="" ns3:_="" ns4:_="">
    <xsd:import namespace="http://schemas.microsoft.com/sharepoint/v3"/>
    <xsd:import namespace="6a91392b-4aab-4a5a-8abc-e018e4ed1710"/>
    <xsd:import namespace="a948c1a1-7427-4f82-bcc1-319815582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Birleşik Uygunluk İlkesi Özellikleri" ma:hidden="true" ma:internalName="_ip_UnifiedCompliancePolicyProperties">
      <xsd:simpleType>
        <xsd:restriction base="dms:Note"/>
      </xsd:simpleType>
    </xsd:element>
    <xsd:element name="_ip_UnifiedCompliancePolicyUIAction" ma:index="23"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1392b-4aab-4a5a-8abc-e018e4ed1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48c1a1-7427-4f82-bcc1-319815582633"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26F8-431B-4CF4-A81B-FBECE9A7C923}">
  <ds:schemaRefs>
    <ds:schemaRef ds:uri="http://schemas.microsoft.com/sharepoint/v3/contenttype/forms"/>
  </ds:schemaRefs>
</ds:datastoreItem>
</file>

<file path=customXml/itemProps2.xml><?xml version="1.0" encoding="utf-8"?>
<ds:datastoreItem xmlns:ds="http://schemas.openxmlformats.org/officeDocument/2006/customXml" ds:itemID="{14E19B37-448A-4262-8F52-E69973EE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1392b-4aab-4a5a-8abc-e018e4ed1710"/>
    <ds:schemaRef ds:uri="a948c1a1-7427-4f82-bcc1-319815582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C4E5F-EF7F-4EBF-974F-0DFE5C48456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78208F9-56A5-4A58-B8E9-82C79AE8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Pages>
  <Words>690</Words>
  <Characters>4033</Characters>
  <Application>Microsoft Office Word</Application>
  <DocSecurity>0</DocSecurity>
  <Lines>175</Lines>
  <Paragraphs>115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Ozan BAKIS</dc:creator>
  <cp:lastModifiedBy>Ugurcan ACAR</cp:lastModifiedBy>
  <cp:revision>48</cp:revision>
  <cp:lastPrinted>2022-06-06T07:00:00Z</cp:lastPrinted>
  <dcterms:created xsi:type="dcterms:W3CDTF">2022-09-02T10:04:00Z</dcterms:created>
  <dcterms:modified xsi:type="dcterms:W3CDTF">2022-12-09T09:33:00Z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0x010100192CDA151078BE4DB52CE2A0BF05C16B</vt:lpwstr>
  </property>
</Properties>
</file>