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F6" w:rsidRDefault="004A3DF6">
      <w:pPr>
        <w:jc w:val="center"/>
      </w:pPr>
    </w:p>
    <w:p w:rsidR="004A3DF6" w:rsidRDefault="00F81C14">
      <w:pPr>
        <w:jc w:val="right"/>
      </w:pPr>
      <w:r>
        <w:t>18</w:t>
      </w:r>
      <w:bookmarkStart w:id="0" w:name="_GoBack"/>
      <w:bookmarkEnd w:id="0"/>
      <w:r w:rsidR="00011070">
        <w:t xml:space="preserve"> Ekim 2022</w:t>
      </w:r>
    </w:p>
    <w:p w:rsidR="004A3DF6" w:rsidRDefault="004A3DF6">
      <w:pPr>
        <w:jc w:val="right"/>
      </w:pPr>
    </w:p>
    <w:p w:rsidR="004A3DF6" w:rsidRDefault="00011070">
      <w:pPr>
        <w:spacing w:after="0"/>
        <w:jc w:val="center"/>
      </w:pPr>
      <w:r>
        <w:rPr>
          <w:noProof/>
        </w:rPr>
        <w:drawing>
          <wp:anchor distT="0" distB="0" distL="114300" distR="114300" simplePos="0" relativeHeight="251658240" behindDoc="0" locked="0" layoutInCell="1" hidden="0" allowOverlap="1">
            <wp:simplePos x="0" y="0"/>
            <wp:positionH relativeFrom="page">
              <wp:posOffset>2556038</wp:posOffset>
            </wp:positionH>
            <wp:positionV relativeFrom="page">
              <wp:posOffset>304800</wp:posOffset>
            </wp:positionV>
            <wp:extent cx="2450306" cy="525948"/>
            <wp:effectExtent l="0" t="0" r="0" b="0"/>
            <wp:wrapTopAndBottom distT="0" distB="0"/>
            <wp:docPr id="204907894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2070" t="36655" r="1524" b="36310"/>
                    <a:stretch>
                      <a:fillRect/>
                    </a:stretch>
                  </pic:blipFill>
                  <pic:spPr>
                    <a:xfrm>
                      <a:off x="0" y="0"/>
                      <a:ext cx="2450306" cy="525948"/>
                    </a:xfrm>
                    <a:prstGeom prst="rect">
                      <a:avLst/>
                    </a:prstGeom>
                    <a:ln/>
                  </pic:spPr>
                </pic:pic>
              </a:graphicData>
            </a:graphic>
          </wp:anchor>
        </w:drawing>
      </w:r>
      <w:r>
        <w:t>Sahibindex Satılık Konut Piyasası Görünümü Ekim Ayı Raporuna göre;</w:t>
      </w:r>
    </w:p>
    <w:p w:rsidR="004A3DF6" w:rsidRDefault="00011070">
      <w:pPr>
        <w:spacing w:after="0"/>
        <w:jc w:val="center"/>
        <w:rPr>
          <w:b/>
          <w:sz w:val="32"/>
          <w:szCs w:val="32"/>
        </w:rPr>
      </w:pPr>
      <w:r>
        <w:rPr>
          <w:b/>
          <w:sz w:val="32"/>
          <w:szCs w:val="32"/>
        </w:rPr>
        <w:t>Konut piyasası durgu</w:t>
      </w:r>
      <w:r w:rsidR="007B55B9">
        <w:rPr>
          <w:b/>
          <w:sz w:val="32"/>
          <w:szCs w:val="32"/>
        </w:rPr>
        <w:t>n</w:t>
      </w:r>
      <w:r>
        <w:rPr>
          <w:b/>
          <w:sz w:val="32"/>
          <w:szCs w:val="32"/>
        </w:rPr>
        <w:t>laşıyor</w:t>
      </w:r>
    </w:p>
    <w:p w:rsidR="004A3DF6" w:rsidRDefault="004A3DF6">
      <w:pPr>
        <w:spacing w:after="0"/>
        <w:jc w:val="center"/>
        <w:rPr>
          <w:b/>
          <w:sz w:val="32"/>
          <w:szCs w:val="32"/>
        </w:rPr>
      </w:pPr>
    </w:p>
    <w:p w:rsidR="004A3DF6" w:rsidRDefault="00011070">
      <w:bookmarkStart w:id="1" w:name="_heading=h.gjdgxs" w:colFirst="0" w:colLast="0"/>
      <w:bookmarkEnd w:id="1"/>
      <w:r>
        <w:t>Bahçeşehir Üniversitesi Ekonomik ve Toplumsal Araştırmalar Merkezi (BETAM) tarafından sahibinden.com’un ilan verileriyle hazırlanan “sahibindex Satılık Konut Piyasası Görünümü” 2022 Ekim ayı raporunu yayınladı. Eylül ayı verileri baz alınarak hazırlanan rapora göre ülke genelinde ortalama satılık konut ilanı m</w:t>
      </w:r>
      <w:r>
        <w:rPr>
          <w:vertAlign w:val="superscript"/>
        </w:rPr>
        <w:t>2</w:t>
      </w:r>
      <w:r>
        <w:t xml:space="preserve"> cari fiyatı geçen yılın aynı ayına göre yüzde 196,8 artarak 13.766 TL oldu. Satılık konut ilan m</w:t>
      </w:r>
      <w:r>
        <w:rPr>
          <w:vertAlign w:val="superscript"/>
        </w:rPr>
        <w:t>2</w:t>
      </w:r>
      <w:r>
        <w:t xml:space="preserve"> cari fiyatları aynı dönemde İstanbul’da yüzde 229,4 Ankara’da yüzde 205,6 ve İzmir’de yüzde 183,1 arttı. Ortalama satılık konut m</w:t>
      </w:r>
      <w:r>
        <w:rPr>
          <w:vertAlign w:val="superscript"/>
        </w:rPr>
        <w:t>2</w:t>
      </w:r>
      <w:r>
        <w:t xml:space="preserve"> fiyatları İstanbul’da 20.588 TL, Ankara’da 9.307 TL ve İzmir’de 15.455 TL oldu. </w:t>
      </w:r>
    </w:p>
    <w:p w:rsidR="004A3DF6" w:rsidRDefault="00011070">
      <w:r>
        <w:t>Ülke genelinde ve büyükşehirlerdeki konut fiyatları geçen aya kıyasla artmış olmasına rağmen, artış oranı 15 aydan sonra ilk kez 1,9 puan azaldı. İstanbul’daki bir ayda yıllık fiyat artış oranında 9,4 puanlık düşüş görüldü.Konut talebi endeksi Ağustos’taki kısmi yükselişin ardından Eylül’de yüzde 16,7 azaldı. Satılan konutların satılık ilan sayısına oranı Ağustos ayına göre hem ülke genelinde hem de üç büyük ilde düştü. Satılık konut ilanlarının ne kadar süre yayında kaldıklarını gösteren “kapatılan ilan yaşı” geçen aya kıyasla ülke genelinde ve üç büyük ilde uzadı.</w:t>
      </w:r>
    </w:p>
    <w:p w:rsidR="004A3DF6" w:rsidRDefault="00011070">
      <w:pPr>
        <w:spacing w:after="0"/>
        <w:rPr>
          <w:b/>
        </w:rPr>
      </w:pPr>
      <w:r>
        <w:rPr>
          <w:b/>
        </w:rPr>
        <w:t>Satış fiyatlarında yıllık artış oranı uzun bir aradan sonra düşerek yüzde 196,8’e geriledi</w:t>
      </w:r>
    </w:p>
    <w:p w:rsidR="004A3DF6" w:rsidRDefault="00011070">
      <w:pPr>
        <w:spacing w:after="0"/>
      </w:pPr>
      <w:r>
        <w:t>Satılık konut fiyatlarındaki yıllık artış oranı uzun bir aradan sonra düştü. Ağustos ayında önceki aya kıyasla 1,9 puan yükselen yıllık fiyat artış oranı, Eylül ayında 1,9 puan düştü. Ağustos’ta yüzde 198,7 olan yıllık fiyat artışı Eylül’de yüzde 196,8’e geriledi. Geçen yılın aynı ayında 4.638 TL olan Türkiye geneli ortalama satılık konut ilan m</w:t>
      </w:r>
      <w:r>
        <w:rPr>
          <w:vertAlign w:val="superscript"/>
        </w:rPr>
        <w:t>2</w:t>
      </w:r>
      <w:r>
        <w:t xml:space="preserve"> fiyatı 13.766 TL ye yükseldi.</w:t>
      </w:r>
    </w:p>
    <w:p w:rsidR="004A3DF6" w:rsidRDefault="004A3DF6">
      <w:pPr>
        <w:spacing w:after="0"/>
      </w:pPr>
    </w:p>
    <w:p w:rsidR="004A3DF6" w:rsidRDefault="00011070">
      <w:pPr>
        <w:widowControl w:val="0"/>
        <w:spacing w:after="0" w:line="276" w:lineRule="auto"/>
        <w:rPr>
          <w:b/>
        </w:rPr>
      </w:pPr>
      <w:r>
        <w:rPr>
          <w:b/>
        </w:rPr>
        <w:t>Şekil 1: Türkiye ve üç büyük ilde satılık konut ilan fiyatlarının yıllık değişimi (%)</w:t>
      </w:r>
    </w:p>
    <w:p w:rsidR="004A3DF6" w:rsidRDefault="00011070">
      <w:pPr>
        <w:widowControl w:val="0"/>
        <w:spacing w:after="0" w:line="276" w:lineRule="auto"/>
        <w:jc w:val="center"/>
      </w:pPr>
      <w:r>
        <w:rPr>
          <w:noProof/>
        </w:rPr>
        <w:drawing>
          <wp:inline distT="0" distB="0" distL="0" distR="0">
            <wp:extent cx="3939676" cy="2208865"/>
            <wp:effectExtent l="0" t="0" r="0" b="0"/>
            <wp:docPr id="20490789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939676" cy="2208865"/>
                    </a:xfrm>
                    <a:prstGeom prst="rect">
                      <a:avLst/>
                    </a:prstGeom>
                    <a:ln/>
                  </pic:spPr>
                </pic:pic>
              </a:graphicData>
            </a:graphic>
          </wp:inline>
        </w:drawing>
      </w:r>
    </w:p>
    <w:p w:rsidR="004A3DF6" w:rsidRDefault="00011070">
      <w:pPr>
        <w:widowControl w:val="0"/>
        <w:spacing w:after="0" w:line="276" w:lineRule="auto"/>
        <w:jc w:val="both"/>
      </w:pPr>
      <w:r>
        <w:t>Kaynak: sahibinden.com, Betam</w:t>
      </w:r>
    </w:p>
    <w:p w:rsidR="004A3DF6" w:rsidRDefault="004A3DF6"/>
    <w:p w:rsidR="004A3DF6" w:rsidRDefault="00011070">
      <w:pPr>
        <w:spacing w:after="0"/>
        <w:rPr>
          <w:b/>
        </w:rPr>
      </w:pPr>
      <w:r>
        <w:rPr>
          <w:b/>
        </w:rPr>
        <w:t>Satılık konut fiyatlarında yıllık artış oranı İstanbul’da düşerken, Ankara ve İzmir’de durağanlaştı</w:t>
      </w:r>
    </w:p>
    <w:p w:rsidR="004A3DF6" w:rsidRDefault="00011070">
      <w:pPr>
        <w:spacing w:after="0"/>
      </w:pPr>
      <w:r>
        <w:t xml:space="preserve">Cari fiyatlardaki yıllık artış oranının Ankara ve İzmir’de yavaşladığı gözlendi. Ankara’da yıllık artış oranı Ağustos’tan Eylül’e yüzde 203,3’ten 205,6’a, İzmir’de yüzde 180,4’ten 183,1’e yükseldi. Öte </w:t>
      </w:r>
      <w:r>
        <w:lastRenderedPageBreak/>
        <w:t>yandan, Ağustos’ta İstanbul’da yıllık cari fiyat artış oranı yüzde 238,8’den 229,4’e geriledi. İstanbul’da bir ayda yıllık fiyat artış oranında 9,4 puanlık düşüş kaydedildi. Satılık konut ilan m</w:t>
      </w:r>
      <w:r>
        <w:rPr>
          <w:vertAlign w:val="superscript"/>
        </w:rPr>
        <w:t>2</w:t>
      </w:r>
      <w:r>
        <w:t xml:space="preserve"> ortalama fiyatları İstanbul’da 20.588 TL’ye, Ankara’da 9.307 TL’ye ve İzmir’de 15.455 TL’ye yükseldi.</w:t>
      </w:r>
    </w:p>
    <w:p w:rsidR="004A3DF6" w:rsidRDefault="004A3DF6">
      <w:pPr>
        <w:spacing w:after="0"/>
      </w:pPr>
    </w:p>
    <w:p w:rsidR="004A3DF6" w:rsidRDefault="00011070">
      <w:pPr>
        <w:spacing w:after="0"/>
      </w:pPr>
      <w:r>
        <w:rPr>
          <w:b/>
        </w:rPr>
        <w:t>Satılık konut m</w:t>
      </w:r>
      <w:r>
        <w:rPr>
          <w:b/>
          <w:vertAlign w:val="superscript"/>
        </w:rPr>
        <w:t>2</w:t>
      </w:r>
      <w:r>
        <w:rPr>
          <w:b/>
        </w:rPr>
        <w:t xml:space="preserve"> fiyatlarında en yüksek artış Mersin’de, en düşük artış Erzurum’da görüldü</w:t>
      </w:r>
    </w:p>
    <w:p w:rsidR="004A3DF6" w:rsidRDefault="00011070">
      <w:pPr>
        <w:spacing w:after="0"/>
        <w:jc w:val="both"/>
      </w:pPr>
      <w:r>
        <w:rPr>
          <w:color w:val="000000"/>
        </w:rPr>
        <w:t>İlan satış fiyatları Eylül ayında da geçen yılın aynı ayına kıyasla bütün büyükşehirlerde arttı. Satılık konut m</w:t>
      </w:r>
      <w:r>
        <w:rPr>
          <w:color w:val="000000"/>
          <w:vertAlign w:val="superscript"/>
        </w:rPr>
        <w:t>2</w:t>
      </w:r>
      <w:r>
        <w:rPr>
          <w:color w:val="000000"/>
        </w:rPr>
        <w:t xml:space="preserve"> fiyatlarında en hızlı artışın görüldüğü iller </w:t>
      </w:r>
      <w:r>
        <w:t xml:space="preserve">Mersin (yüzde 239,8), İstanbul (yüzde 229,4), Antalya (yüzde 229), Kocaeli (yüzde 222,1) ve Trabzon (yüzde 196,1) oldu. </w:t>
      </w:r>
      <w:r>
        <w:rPr>
          <w:color w:val="000000"/>
        </w:rPr>
        <w:t>En düşük artışlar</w:t>
      </w:r>
      <w:r>
        <w:t xml:space="preserve"> ise Eskişehir (yüzde 159,1), Manisa (yüzde 156,7), Kayseri (yüzde 154,1), Muğla (yüzde 147,7) ve Erzurum’da (yüzde 145,8) görüldü.</w:t>
      </w:r>
      <w:r>
        <w:br/>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4"/>
        <w:gridCol w:w="2254"/>
        <w:gridCol w:w="2254"/>
        <w:gridCol w:w="2254"/>
      </w:tblGrid>
      <w:tr w:rsidR="004A3DF6">
        <w:trPr>
          <w:trHeight w:val="780"/>
        </w:trPr>
        <w:tc>
          <w:tcPr>
            <w:tcW w:w="2254" w:type="dxa"/>
            <w:tcBorders>
              <w:top w:val="single" w:sz="8" w:space="0" w:color="000000"/>
              <w:left w:val="single" w:sz="8" w:space="0" w:color="000000"/>
              <w:bottom w:val="single" w:sz="8" w:space="0" w:color="000000"/>
              <w:right w:val="single" w:sz="4" w:space="0" w:color="000000"/>
            </w:tcBorders>
            <w:vAlign w:val="center"/>
          </w:tcPr>
          <w:p w:rsidR="004A3DF6" w:rsidRDefault="00011070">
            <w:pPr>
              <w:jc w:val="center"/>
            </w:pPr>
            <w:r>
              <w:rPr>
                <w:b/>
                <w:color w:val="000000"/>
              </w:rPr>
              <w:t>İller</w:t>
            </w:r>
          </w:p>
        </w:tc>
        <w:tc>
          <w:tcPr>
            <w:tcW w:w="2254" w:type="dxa"/>
            <w:tcBorders>
              <w:top w:val="single" w:sz="8" w:space="0" w:color="000000"/>
              <w:left w:val="single" w:sz="4" w:space="0" w:color="000000"/>
              <w:bottom w:val="single" w:sz="8" w:space="0" w:color="000000"/>
              <w:right w:val="single" w:sz="4" w:space="0" w:color="000000"/>
            </w:tcBorders>
            <w:vAlign w:val="center"/>
          </w:tcPr>
          <w:p w:rsidR="004A3DF6" w:rsidRDefault="00011070">
            <w:pPr>
              <w:jc w:val="center"/>
            </w:pPr>
            <w:r>
              <w:rPr>
                <w:b/>
                <w:color w:val="000000"/>
              </w:rPr>
              <w:t>Eylül 2021 m</w:t>
            </w:r>
            <w:r>
              <w:rPr>
                <w:b/>
                <w:color w:val="000000"/>
                <w:vertAlign w:val="superscript"/>
              </w:rPr>
              <w:t>2</w:t>
            </w:r>
            <w:r>
              <w:rPr>
                <w:b/>
                <w:color w:val="000000"/>
              </w:rPr>
              <w:t xml:space="preserve"> Fiyatı</w:t>
            </w:r>
          </w:p>
        </w:tc>
        <w:tc>
          <w:tcPr>
            <w:tcW w:w="2254" w:type="dxa"/>
            <w:tcBorders>
              <w:top w:val="single" w:sz="8" w:space="0" w:color="000000"/>
              <w:left w:val="single" w:sz="4" w:space="0" w:color="000000"/>
              <w:bottom w:val="single" w:sz="8" w:space="0" w:color="000000"/>
              <w:right w:val="single" w:sz="4" w:space="0" w:color="000000"/>
            </w:tcBorders>
            <w:vAlign w:val="center"/>
          </w:tcPr>
          <w:p w:rsidR="004A3DF6" w:rsidRDefault="00011070">
            <w:pPr>
              <w:jc w:val="center"/>
            </w:pPr>
            <w:r>
              <w:rPr>
                <w:b/>
                <w:color w:val="000000"/>
              </w:rPr>
              <w:t>Eylül 2022 m</w:t>
            </w:r>
            <w:r>
              <w:rPr>
                <w:b/>
                <w:color w:val="000000"/>
                <w:vertAlign w:val="superscript"/>
              </w:rPr>
              <w:t>2</w:t>
            </w:r>
            <w:r>
              <w:rPr>
                <w:b/>
                <w:color w:val="000000"/>
              </w:rPr>
              <w:t xml:space="preserve"> Fiyatı</w:t>
            </w:r>
          </w:p>
        </w:tc>
        <w:tc>
          <w:tcPr>
            <w:tcW w:w="2254" w:type="dxa"/>
            <w:tcBorders>
              <w:top w:val="single" w:sz="8" w:space="0" w:color="000000"/>
              <w:left w:val="single" w:sz="4" w:space="0" w:color="000000"/>
              <w:bottom w:val="single" w:sz="8" w:space="0" w:color="000000"/>
              <w:right w:val="single" w:sz="8" w:space="0" w:color="000000"/>
            </w:tcBorders>
            <w:vAlign w:val="center"/>
          </w:tcPr>
          <w:p w:rsidR="004A3DF6" w:rsidRDefault="00011070">
            <w:pPr>
              <w:jc w:val="center"/>
            </w:pPr>
            <w:r>
              <w:rPr>
                <w:b/>
                <w:color w:val="000000"/>
              </w:rPr>
              <w:t>Satılık Fiyat Değişimi (%)</w:t>
            </w:r>
          </w:p>
        </w:tc>
      </w:tr>
      <w:tr w:rsidR="004A3DF6">
        <w:trPr>
          <w:trHeight w:val="300"/>
        </w:trPr>
        <w:tc>
          <w:tcPr>
            <w:tcW w:w="2254" w:type="dxa"/>
            <w:tcBorders>
              <w:top w:val="single" w:sz="8" w:space="0" w:color="000000"/>
              <w:left w:val="single" w:sz="8" w:space="0" w:color="000000"/>
              <w:bottom w:val="single" w:sz="8" w:space="0" w:color="000000"/>
              <w:right w:val="single" w:sz="4" w:space="0" w:color="000000"/>
            </w:tcBorders>
            <w:vAlign w:val="center"/>
          </w:tcPr>
          <w:p w:rsidR="004A3DF6" w:rsidRDefault="00011070">
            <w:pPr>
              <w:jc w:val="center"/>
            </w:pPr>
            <w:r>
              <w:rPr>
                <w:color w:val="FF0000"/>
              </w:rPr>
              <w:t>Türkiye Ortalaması</w:t>
            </w:r>
          </w:p>
        </w:tc>
        <w:tc>
          <w:tcPr>
            <w:tcW w:w="2254" w:type="dxa"/>
            <w:tcBorders>
              <w:top w:val="single" w:sz="8" w:space="0" w:color="000000"/>
              <w:left w:val="single" w:sz="4" w:space="0" w:color="000000"/>
              <w:bottom w:val="single" w:sz="8" w:space="0" w:color="000000"/>
              <w:right w:val="single" w:sz="4" w:space="0" w:color="000000"/>
            </w:tcBorders>
            <w:vAlign w:val="bottom"/>
          </w:tcPr>
          <w:p w:rsidR="004A3DF6" w:rsidRDefault="00011070">
            <w:pPr>
              <w:jc w:val="center"/>
            </w:pPr>
            <w:r>
              <w:rPr>
                <w:color w:val="FF0000"/>
              </w:rPr>
              <w:t>4637</w:t>
            </w:r>
          </w:p>
        </w:tc>
        <w:tc>
          <w:tcPr>
            <w:tcW w:w="2254" w:type="dxa"/>
            <w:tcBorders>
              <w:top w:val="single" w:sz="8" w:space="0" w:color="000000"/>
              <w:left w:val="single" w:sz="4" w:space="0" w:color="000000"/>
              <w:bottom w:val="single" w:sz="8" w:space="0" w:color="000000"/>
              <w:right w:val="single" w:sz="4" w:space="0" w:color="000000"/>
            </w:tcBorders>
            <w:vAlign w:val="bottom"/>
          </w:tcPr>
          <w:p w:rsidR="004A3DF6" w:rsidRDefault="00011070">
            <w:pPr>
              <w:jc w:val="center"/>
            </w:pPr>
            <w:r>
              <w:rPr>
                <w:color w:val="FF0000"/>
              </w:rPr>
              <w:t>13766</w:t>
            </w:r>
          </w:p>
        </w:tc>
        <w:tc>
          <w:tcPr>
            <w:tcW w:w="2254" w:type="dxa"/>
            <w:tcBorders>
              <w:top w:val="single" w:sz="8" w:space="0" w:color="000000"/>
              <w:left w:val="single" w:sz="4" w:space="0" w:color="000000"/>
              <w:bottom w:val="single" w:sz="8" w:space="0" w:color="000000"/>
              <w:right w:val="single" w:sz="8" w:space="0" w:color="000000"/>
            </w:tcBorders>
            <w:vAlign w:val="center"/>
          </w:tcPr>
          <w:p w:rsidR="004A3DF6" w:rsidRDefault="00011070">
            <w:pPr>
              <w:jc w:val="center"/>
            </w:pPr>
            <w:r>
              <w:rPr>
                <w:color w:val="FF0000"/>
              </w:rPr>
              <w:t>196,8</w:t>
            </w:r>
          </w:p>
        </w:tc>
      </w:tr>
      <w:tr w:rsidR="004A3DF6">
        <w:trPr>
          <w:trHeight w:val="75"/>
        </w:trPr>
        <w:tc>
          <w:tcPr>
            <w:tcW w:w="2254" w:type="dxa"/>
            <w:tcBorders>
              <w:top w:val="single" w:sz="8" w:space="0" w:color="000000"/>
              <w:left w:val="single" w:sz="8" w:space="0" w:color="000000"/>
              <w:bottom w:val="single" w:sz="4" w:space="0" w:color="000000"/>
              <w:right w:val="single" w:sz="4" w:space="0" w:color="000000"/>
            </w:tcBorders>
            <w:vAlign w:val="bottom"/>
          </w:tcPr>
          <w:p w:rsidR="004A3DF6" w:rsidRDefault="00011070">
            <w:pPr>
              <w:jc w:val="center"/>
            </w:pPr>
            <w:r>
              <w:rPr>
                <w:color w:val="000000"/>
              </w:rPr>
              <w:t>Mersin</w:t>
            </w:r>
          </w:p>
        </w:tc>
        <w:tc>
          <w:tcPr>
            <w:tcW w:w="2254" w:type="dxa"/>
            <w:tcBorders>
              <w:top w:val="single" w:sz="8"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3385</w:t>
            </w:r>
          </w:p>
        </w:tc>
        <w:tc>
          <w:tcPr>
            <w:tcW w:w="2254" w:type="dxa"/>
            <w:tcBorders>
              <w:top w:val="single" w:sz="8"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11500</w:t>
            </w:r>
          </w:p>
        </w:tc>
        <w:tc>
          <w:tcPr>
            <w:tcW w:w="2254" w:type="dxa"/>
            <w:tcBorders>
              <w:top w:val="single" w:sz="8" w:space="0" w:color="000000"/>
              <w:left w:val="single" w:sz="4" w:space="0" w:color="000000"/>
              <w:bottom w:val="single" w:sz="4" w:space="0" w:color="000000"/>
              <w:right w:val="single" w:sz="8" w:space="0" w:color="000000"/>
            </w:tcBorders>
            <w:shd w:val="clear" w:color="auto" w:fill="00B050"/>
            <w:vAlign w:val="center"/>
          </w:tcPr>
          <w:p w:rsidR="004A3DF6" w:rsidRDefault="00011070">
            <w:pPr>
              <w:jc w:val="center"/>
            </w:pPr>
            <w:r>
              <w:rPr>
                <w:color w:val="000000"/>
              </w:rPr>
              <w:t>239,8</w:t>
            </w:r>
          </w:p>
        </w:tc>
      </w:tr>
      <w:tr w:rsidR="004A3DF6">
        <w:trPr>
          <w:trHeight w:val="300"/>
        </w:trPr>
        <w:tc>
          <w:tcPr>
            <w:tcW w:w="2254" w:type="dxa"/>
            <w:tcBorders>
              <w:top w:val="single" w:sz="4" w:space="0" w:color="000000"/>
              <w:left w:val="single" w:sz="8" w:space="0" w:color="000000"/>
              <w:bottom w:val="single" w:sz="4" w:space="0" w:color="000000"/>
              <w:right w:val="single" w:sz="4" w:space="0" w:color="000000"/>
            </w:tcBorders>
            <w:vAlign w:val="bottom"/>
          </w:tcPr>
          <w:p w:rsidR="004A3DF6" w:rsidRDefault="00011070">
            <w:pPr>
              <w:jc w:val="center"/>
            </w:pPr>
            <w:r>
              <w:rPr>
                <w:color w:val="000000"/>
              </w:rPr>
              <w:t>İstanbul</w:t>
            </w:r>
          </w:p>
        </w:tc>
        <w:tc>
          <w:tcPr>
            <w:tcW w:w="2254" w:type="dxa"/>
            <w:tcBorders>
              <w:top w:val="single" w:sz="4"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6250</w:t>
            </w:r>
          </w:p>
        </w:tc>
        <w:tc>
          <w:tcPr>
            <w:tcW w:w="2254" w:type="dxa"/>
            <w:tcBorders>
              <w:top w:val="single" w:sz="4"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20588</w:t>
            </w:r>
          </w:p>
        </w:tc>
        <w:tc>
          <w:tcPr>
            <w:tcW w:w="2254" w:type="dxa"/>
            <w:tcBorders>
              <w:top w:val="single" w:sz="4" w:space="0" w:color="000000"/>
              <w:left w:val="single" w:sz="4" w:space="0" w:color="000000"/>
              <w:bottom w:val="single" w:sz="4" w:space="0" w:color="000000"/>
              <w:right w:val="single" w:sz="8" w:space="0" w:color="000000"/>
            </w:tcBorders>
            <w:shd w:val="clear" w:color="auto" w:fill="00B050"/>
            <w:vAlign w:val="center"/>
          </w:tcPr>
          <w:p w:rsidR="004A3DF6" w:rsidRDefault="00011070">
            <w:pPr>
              <w:jc w:val="center"/>
            </w:pPr>
            <w:r>
              <w:rPr>
                <w:color w:val="000000"/>
              </w:rPr>
              <w:t>229,4</w:t>
            </w:r>
          </w:p>
        </w:tc>
      </w:tr>
      <w:tr w:rsidR="004A3DF6">
        <w:trPr>
          <w:trHeight w:val="300"/>
        </w:trPr>
        <w:tc>
          <w:tcPr>
            <w:tcW w:w="2254" w:type="dxa"/>
            <w:tcBorders>
              <w:top w:val="single" w:sz="4" w:space="0" w:color="000000"/>
              <w:left w:val="single" w:sz="8" w:space="0" w:color="000000"/>
              <w:bottom w:val="single" w:sz="4" w:space="0" w:color="000000"/>
              <w:right w:val="single" w:sz="4" w:space="0" w:color="000000"/>
            </w:tcBorders>
            <w:vAlign w:val="bottom"/>
          </w:tcPr>
          <w:p w:rsidR="004A3DF6" w:rsidRDefault="00011070">
            <w:pPr>
              <w:jc w:val="center"/>
            </w:pPr>
            <w:r>
              <w:rPr>
                <w:color w:val="000000"/>
              </w:rPr>
              <w:t>Antalya</w:t>
            </w:r>
          </w:p>
        </w:tc>
        <w:tc>
          <w:tcPr>
            <w:tcW w:w="2254" w:type="dxa"/>
            <w:tcBorders>
              <w:top w:val="single" w:sz="4"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5129</w:t>
            </w:r>
          </w:p>
        </w:tc>
        <w:tc>
          <w:tcPr>
            <w:tcW w:w="2254" w:type="dxa"/>
            <w:tcBorders>
              <w:top w:val="single" w:sz="4"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16875</w:t>
            </w:r>
          </w:p>
        </w:tc>
        <w:tc>
          <w:tcPr>
            <w:tcW w:w="2254" w:type="dxa"/>
            <w:tcBorders>
              <w:top w:val="single" w:sz="4" w:space="0" w:color="000000"/>
              <w:left w:val="single" w:sz="4" w:space="0" w:color="000000"/>
              <w:bottom w:val="single" w:sz="4" w:space="0" w:color="000000"/>
              <w:right w:val="single" w:sz="8" w:space="0" w:color="000000"/>
            </w:tcBorders>
            <w:shd w:val="clear" w:color="auto" w:fill="00B050"/>
            <w:vAlign w:val="center"/>
          </w:tcPr>
          <w:p w:rsidR="004A3DF6" w:rsidRDefault="00011070">
            <w:pPr>
              <w:jc w:val="center"/>
            </w:pPr>
            <w:r>
              <w:rPr>
                <w:color w:val="000000"/>
              </w:rPr>
              <w:t>229,0</w:t>
            </w:r>
          </w:p>
        </w:tc>
      </w:tr>
      <w:tr w:rsidR="004A3DF6">
        <w:trPr>
          <w:trHeight w:val="300"/>
        </w:trPr>
        <w:tc>
          <w:tcPr>
            <w:tcW w:w="2254" w:type="dxa"/>
            <w:tcBorders>
              <w:top w:val="single" w:sz="4" w:space="0" w:color="000000"/>
              <w:left w:val="single" w:sz="8" w:space="0" w:color="000000"/>
              <w:bottom w:val="single" w:sz="4" w:space="0" w:color="000000"/>
              <w:right w:val="single" w:sz="4" w:space="0" w:color="000000"/>
            </w:tcBorders>
            <w:vAlign w:val="bottom"/>
          </w:tcPr>
          <w:p w:rsidR="004A3DF6" w:rsidRDefault="00011070">
            <w:pPr>
              <w:jc w:val="center"/>
            </w:pPr>
            <w:r>
              <w:rPr>
                <w:color w:val="000000"/>
              </w:rPr>
              <w:t>Kocaeli</w:t>
            </w:r>
          </w:p>
        </w:tc>
        <w:tc>
          <w:tcPr>
            <w:tcW w:w="2254" w:type="dxa"/>
            <w:tcBorders>
              <w:top w:val="single" w:sz="4"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3250</w:t>
            </w:r>
          </w:p>
        </w:tc>
        <w:tc>
          <w:tcPr>
            <w:tcW w:w="2254" w:type="dxa"/>
            <w:tcBorders>
              <w:top w:val="single" w:sz="4"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10470</w:t>
            </w:r>
          </w:p>
        </w:tc>
        <w:tc>
          <w:tcPr>
            <w:tcW w:w="2254" w:type="dxa"/>
            <w:tcBorders>
              <w:top w:val="single" w:sz="4" w:space="0" w:color="000000"/>
              <w:left w:val="single" w:sz="4" w:space="0" w:color="000000"/>
              <w:bottom w:val="single" w:sz="4" w:space="0" w:color="000000"/>
              <w:right w:val="single" w:sz="8" w:space="0" w:color="000000"/>
            </w:tcBorders>
            <w:shd w:val="clear" w:color="auto" w:fill="00B050"/>
            <w:vAlign w:val="center"/>
          </w:tcPr>
          <w:p w:rsidR="004A3DF6" w:rsidRDefault="00011070">
            <w:pPr>
              <w:jc w:val="center"/>
            </w:pPr>
            <w:r>
              <w:rPr>
                <w:color w:val="000000"/>
              </w:rPr>
              <w:t>222,1</w:t>
            </w:r>
          </w:p>
        </w:tc>
      </w:tr>
      <w:tr w:rsidR="004A3DF6">
        <w:trPr>
          <w:trHeight w:val="300"/>
        </w:trPr>
        <w:tc>
          <w:tcPr>
            <w:tcW w:w="2254" w:type="dxa"/>
            <w:tcBorders>
              <w:top w:val="single" w:sz="4" w:space="0" w:color="000000"/>
              <w:left w:val="single" w:sz="8" w:space="0" w:color="000000"/>
              <w:bottom w:val="single" w:sz="4" w:space="0" w:color="000000"/>
              <w:right w:val="single" w:sz="4" w:space="0" w:color="000000"/>
            </w:tcBorders>
            <w:vAlign w:val="bottom"/>
          </w:tcPr>
          <w:p w:rsidR="004A3DF6" w:rsidRDefault="00011070">
            <w:pPr>
              <w:jc w:val="center"/>
            </w:pPr>
            <w:r>
              <w:rPr>
                <w:color w:val="000000"/>
              </w:rPr>
              <w:t>Trabzon</w:t>
            </w:r>
          </w:p>
        </w:tc>
        <w:tc>
          <w:tcPr>
            <w:tcW w:w="2254" w:type="dxa"/>
            <w:tcBorders>
              <w:top w:val="single" w:sz="4"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3096</w:t>
            </w:r>
          </w:p>
        </w:tc>
        <w:tc>
          <w:tcPr>
            <w:tcW w:w="2254" w:type="dxa"/>
            <w:tcBorders>
              <w:top w:val="single" w:sz="4"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9167</w:t>
            </w:r>
          </w:p>
        </w:tc>
        <w:tc>
          <w:tcPr>
            <w:tcW w:w="2254" w:type="dxa"/>
            <w:tcBorders>
              <w:top w:val="single" w:sz="4" w:space="0" w:color="000000"/>
              <w:left w:val="single" w:sz="4" w:space="0" w:color="000000"/>
              <w:bottom w:val="single" w:sz="4" w:space="0" w:color="000000"/>
              <w:right w:val="single" w:sz="8" w:space="0" w:color="000000"/>
            </w:tcBorders>
            <w:shd w:val="clear" w:color="auto" w:fill="00B050"/>
            <w:vAlign w:val="center"/>
          </w:tcPr>
          <w:p w:rsidR="004A3DF6" w:rsidRDefault="00011070">
            <w:pPr>
              <w:jc w:val="center"/>
            </w:pPr>
            <w:r>
              <w:rPr>
                <w:color w:val="000000"/>
              </w:rPr>
              <w:t>196,1</w:t>
            </w:r>
          </w:p>
        </w:tc>
      </w:tr>
      <w:tr w:rsidR="004A3DF6">
        <w:trPr>
          <w:trHeight w:val="300"/>
        </w:trPr>
        <w:tc>
          <w:tcPr>
            <w:tcW w:w="2254" w:type="dxa"/>
            <w:tcBorders>
              <w:top w:val="single" w:sz="4" w:space="0" w:color="000000"/>
              <w:left w:val="single" w:sz="8" w:space="0" w:color="000000"/>
              <w:bottom w:val="single" w:sz="4" w:space="0" w:color="000000"/>
              <w:right w:val="single" w:sz="4" w:space="0" w:color="000000"/>
            </w:tcBorders>
            <w:vAlign w:val="bottom"/>
          </w:tcPr>
          <w:p w:rsidR="004A3DF6" w:rsidRDefault="00011070">
            <w:pPr>
              <w:jc w:val="center"/>
            </w:pPr>
            <w:r>
              <w:rPr>
                <w:color w:val="000000"/>
              </w:rPr>
              <w:t>Eskişehir</w:t>
            </w:r>
          </w:p>
        </w:tc>
        <w:tc>
          <w:tcPr>
            <w:tcW w:w="2254" w:type="dxa"/>
            <w:tcBorders>
              <w:top w:val="single" w:sz="4"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3462</w:t>
            </w:r>
          </w:p>
        </w:tc>
        <w:tc>
          <w:tcPr>
            <w:tcW w:w="2254" w:type="dxa"/>
            <w:tcBorders>
              <w:top w:val="single" w:sz="4"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8967</w:t>
            </w:r>
          </w:p>
        </w:tc>
        <w:tc>
          <w:tcPr>
            <w:tcW w:w="2254"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4A3DF6" w:rsidRDefault="00011070">
            <w:pPr>
              <w:jc w:val="center"/>
            </w:pPr>
            <w:r>
              <w:rPr>
                <w:color w:val="000000"/>
              </w:rPr>
              <w:t>159,1</w:t>
            </w:r>
          </w:p>
        </w:tc>
      </w:tr>
      <w:tr w:rsidR="004A3DF6">
        <w:trPr>
          <w:trHeight w:val="300"/>
        </w:trPr>
        <w:tc>
          <w:tcPr>
            <w:tcW w:w="2254" w:type="dxa"/>
            <w:tcBorders>
              <w:top w:val="single" w:sz="4" w:space="0" w:color="000000"/>
              <w:left w:val="single" w:sz="8" w:space="0" w:color="000000"/>
              <w:bottom w:val="single" w:sz="4" w:space="0" w:color="000000"/>
              <w:right w:val="single" w:sz="4" w:space="0" w:color="000000"/>
            </w:tcBorders>
            <w:vAlign w:val="bottom"/>
          </w:tcPr>
          <w:p w:rsidR="004A3DF6" w:rsidRDefault="00011070">
            <w:pPr>
              <w:jc w:val="center"/>
            </w:pPr>
            <w:r>
              <w:rPr>
                <w:color w:val="000000"/>
              </w:rPr>
              <w:t>Manisa</w:t>
            </w:r>
          </w:p>
        </w:tc>
        <w:tc>
          <w:tcPr>
            <w:tcW w:w="2254" w:type="dxa"/>
            <w:tcBorders>
              <w:top w:val="single" w:sz="4"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3333</w:t>
            </w:r>
          </w:p>
        </w:tc>
        <w:tc>
          <w:tcPr>
            <w:tcW w:w="2254" w:type="dxa"/>
            <w:tcBorders>
              <w:top w:val="single" w:sz="4"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8556</w:t>
            </w:r>
          </w:p>
        </w:tc>
        <w:tc>
          <w:tcPr>
            <w:tcW w:w="2254"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4A3DF6" w:rsidRDefault="00011070">
            <w:pPr>
              <w:jc w:val="center"/>
            </w:pPr>
            <w:r>
              <w:rPr>
                <w:color w:val="000000"/>
              </w:rPr>
              <w:t>156,7</w:t>
            </w:r>
          </w:p>
        </w:tc>
      </w:tr>
      <w:tr w:rsidR="004A3DF6">
        <w:trPr>
          <w:trHeight w:val="300"/>
        </w:trPr>
        <w:tc>
          <w:tcPr>
            <w:tcW w:w="2254" w:type="dxa"/>
            <w:tcBorders>
              <w:top w:val="single" w:sz="4" w:space="0" w:color="000000"/>
              <w:left w:val="single" w:sz="8" w:space="0" w:color="000000"/>
              <w:bottom w:val="single" w:sz="4" w:space="0" w:color="000000"/>
              <w:right w:val="single" w:sz="4" w:space="0" w:color="000000"/>
            </w:tcBorders>
            <w:vAlign w:val="bottom"/>
          </w:tcPr>
          <w:p w:rsidR="004A3DF6" w:rsidRDefault="00011070">
            <w:pPr>
              <w:jc w:val="center"/>
            </w:pPr>
            <w:r>
              <w:rPr>
                <w:color w:val="000000"/>
              </w:rPr>
              <w:t>Kayseri</w:t>
            </w:r>
          </w:p>
        </w:tc>
        <w:tc>
          <w:tcPr>
            <w:tcW w:w="2254" w:type="dxa"/>
            <w:tcBorders>
              <w:top w:val="single" w:sz="4"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2629</w:t>
            </w:r>
          </w:p>
        </w:tc>
        <w:tc>
          <w:tcPr>
            <w:tcW w:w="2254" w:type="dxa"/>
            <w:tcBorders>
              <w:top w:val="single" w:sz="4"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6680</w:t>
            </w:r>
          </w:p>
        </w:tc>
        <w:tc>
          <w:tcPr>
            <w:tcW w:w="2254"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4A3DF6" w:rsidRDefault="00011070">
            <w:pPr>
              <w:jc w:val="center"/>
            </w:pPr>
            <w:r>
              <w:rPr>
                <w:color w:val="000000"/>
              </w:rPr>
              <w:t>154,1</w:t>
            </w:r>
          </w:p>
        </w:tc>
      </w:tr>
      <w:tr w:rsidR="004A3DF6">
        <w:trPr>
          <w:trHeight w:val="300"/>
        </w:trPr>
        <w:tc>
          <w:tcPr>
            <w:tcW w:w="2254" w:type="dxa"/>
            <w:tcBorders>
              <w:top w:val="single" w:sz="4" w:space="0" w:color="000000"/>
              <w:left w:val="single" w:sz="8" w:space="0" w:color="000000"/>
              <w:bottom w:val="single" w:sz="4" w:space="0" w:color="000000"/>
              <w:right w:val="single" w:sz="4" w:space="0" w:color="000000"/>
            </w:tcBorders>
            <w:vAlign w:val="bottom"/>
          </w:tcPr>
          <w:p w:rsidR="004A3DF6" w:rsidRDefault="00011070">
            <w:pPr>
              <w:jc w:val="center"/>
            </w:pPr>
            <w:r>
              <w:rPr>
                <w:color w:val="000000"/>
              </w:rPr>
              <w:t>Muğla</w:t>
            </w:r>
          </w:p>
        </w:tc>
        <w:tc>
          <w:tcPr>
            <w:tcW w:w="2254" w:type="dxa"/>
            <w:tcBorders>
              <w:top w:val="single" w:sz="4"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11125</w:t>
            </w:r>
          </w:p>
        </w:tc>
        <w:tc>
          <w:tcPr>
            <w:tcW w:w="2254" w:type="dxa"/>
            <w:tcBorders>
              <w:top w:val="single" w:sz="4"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27555</w:t>
            </w:r>
          </w:p>
        </w:tc>
        <w:tc>
          <w:tcPr>
            <w:tcW w:w="2254"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4A3DF6" w:rsidRDefault="00011070">
            <w:pPr>
              <w:jc w:val="center"/>
            </w:pPr>
            <w:r>
              <w:rPr>
                <w:color w:val="000000"/>
              </w:rPr>
              <w:t>147,7</w:t>
            </w:r>
          </w:p>
        </w:tc>
      </w:tr>
      <w:tr w:rsidR="004A3DF6">
        <w:trPr>
          <w:trHeight w:val="315"/>
        </w:trPr>
        <w:tc>
          <w:tcPr>
            <w:tcW w:w="2254" w:type="dxa"/>
            <w:tcBorders>
              <w:top w:val="single" w:sz="4" w:space="0" w:color="000000"/>
              <w:left w:val="single" w:sz="8" w:space="0" w:color="000000"/>
              <w:bottom w:val="single" w:sz="4" w:space="0" w:color="000000"/>
              <w:right w:val="single" w:sz="4" w:space="0" w:color="000000"/>
            </w:tcBorders>
            <w:vAlign w:val="bottom"/>
          </w:tcPr>
          <w:p w:rsidR="004A3DF6" w:rsidRDefault="00011070">
            <w:pPr>
              <w:jc w:val="center"/>
            </w:pPr>
            <w:r>
              <w:rPr>
                <w:color w:val="000000"/>
              </w:rPr>
              <w:t>Erzurum</w:t>
            </w:r>
          </w:p>
        </w:tc>
        <w:tc>
          <w:tcPr>
            <w:tcW w:w="2254" w:type="dxa"/>
            <w:tcBorders>
              <w:top w:val="single" w:sz="4"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2156</w:t>
            </w:r>
          </w:p>
        </w:tc>
        <w:tc>
          <w:tcPr>
            <w:tcW w:w="2254" w:type="dxa"/>
            <w:tcBorders>
              <w:top w:val="single" w:sz="4" w:space="0" w:color="000000"/>
              <w:left w:val="single" w:sz="4" w:space="0" w:color="000000"/>
              <w:bottom w:val="single" w:sz="4" w:space="0" w:color="000000"/>
              <w:right w:val="single" w:sz="4" w:space="0" w:color="000000"/>
            </w:tcBorders>
            <w:vAlign w:val="center"/>
          </w:tcPr>
          <w:p w:rsidR="004A3DF6" w:rsidRDefault="00011070">
            <w:pPr>
              <w:jc w:val="center"/>
            </w:pPr>
            <w:r>
              <w:rPr>
                <w:color w:val="000000"/>
              </w:rPr>
              <w:t>5300</w:t>
            </w:r>
          </w:p>
        </w:tc>
        <w:tc>
          <w:tcPr>
            <w:tcW w:w="2254"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4A3DF6" w:rsidRDefault="00011070">
            <w:pPr>
              <w:jc w:val="center"/>
            </w:pPr>
            <w:r>
              <w:rPr>
                <w:color w:val="000000"/>
              </w:rPr>
              <w:t>145,8</w:t>
            </w:r>
          </w:p>
        </w:tc>
      </w:tr>
    </w:tbl>
    <w:p w:rsidR="004A3DF6" w:rsidRDefault="004A3DF6"/>
    <w:p w:rsidR="004A3DF6" w:rsidRDefault="00011070">
      <w:pPr>
        <w:spacing w:after="0"/>
        <w:jc w:val="both"/>
      </w:pPr>
      <w:r>
        <w:rPr>
          <w:b/>
          <w:color w:val="000000"/>
        </w:rPr>
        <w:t>Konut arzında yükseliş</w:t>
      </w:r>
      <w:r>
        <w:rPr>
          <w:b/>
        </w:rPr>
        <w:t xml:space="preserve"> devam ediyor</w:t>
      </w:r>
    </w:p>
    <w:p w:rsidR="004A3DF6" w:rsidRDefault="00011070">
      <w:pPr>
        <w:spacing w:after="0"/>
        <w:jc w:val="both"/>
      </w:pPr>
      <w:r>
        <w:rPr>
          <w:color w:val="000000"/>
        </w:rPr>
        <w:t xml:space="preserve">Satılık konut ilan sayısı hem ülke genelinde hem de üç büyük ilde arttı. Satılık konut arzı geçen aya kıyasla ülke genelinde </w:t>
      </w:r>
      <w:r>
        <w:t>yüzde 2,8 (756.805’ten 778.180’e), İstanbul'da yüzde 3,3 (206.328’den 213.192’ye), Ankara'da yüzde 2,4 (72.816’dan 74.538’e), İzmir'de ise yüzde 7,3 (47.810’dan 51.278’e) oranında yükseldi.</w:t>
      </w:r>
    </w:p>
    <w:p w:rsidR="004A3DF6" w:rsidRDefault="004A3DF6">
      <w:pPr>
        <w:spacing w:after="0"/>
        <w:jc w:val="both"/>
      </w:pPr>
    </w:p>
    <w:p w:rsidR="004A3DF6" w:rsidRDefault="00011070">
      <w:pPr>
        <w:jc w:val="both"/>
      </w:pPr>
      <w:r>
        <w:rPr>
          <w:b/>
          <w:color w:val="000000"/>
        </w:rPr>
        <w:t>Şekil 6: Türkiye ve üç büyük ilde satılık ilan sayısı (adet)</w:t>
      </w:r>
    </w:p>
    <w:p w:rsidR="004A3DF6" w:rsidRDefault="00011070">
      <w:pPr>
        <w:jc w:val="both"/>
      </w:pPr>
      <w:r>
        <w:lastRenderedPageBreak/>
        <w:br/>
      </w:r>
      <w:r>
        <w:rPr>
          <w:noProof/>
        </w:rPr>
        <w:drawing>
          <wp:inline distT="0" distB="0" distL="114300" distR="114300">
            <wp:extent cx="3981450" cy="2305050"/>
            <wp:effectExtent l="0" t="0" r="0" b="0"/>
            <wp:docPr id="20490789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981450" cy="2305050"/>
                    </a:xfrm>
                    <a:prstGeom prst="rect">
                      <a:avLst/>
                    </a:prstGeom>
                    <a:ln/>
                  </pic:spPr>
                </pic:pic>
              </a:graphicData>
            </a:graphic>
          </wp:inline>
        </w:drawing>
      </w:r>
    </w:p>
    <w:p w:rsidR="004A3DF6" w:rsidRDefault="00011070">
      <w:pPr>
        <w:spacing w:after="0"/>
        <w:jc w:val="both"/>
      </w:pPr>
      <w:r>
        <w:rPr>
          <w:b/>
          <w:color w:val="000000"/>
        </w:rPr>
        <w:t>Konut</w:t>
      </w:r>
      <w:r>
        <w:rPr>
          <w:b/>
        </w:rPr>
        <w:t xml:space="preserve"> talebinde düşüş yaşandı</w:t>
      </w:r>
    </w:p>
    <w:p w:rsidR="004A3DF6" w:rsidRDefault="00011070">
      <w:pPr>
        <w:spacing w:after="0"/>
        <w:jc w:val="both"/>
      </w:pPr>
      <w:r>
        <w:t xml:space="preserve">Konut talebi, Haziran ve Temmuz aylarındaki düşüşün ardından Ağustos’ta bir miktar yükselse de Eylül ayında da düşüş kaydetti. Konut talebi endeksi geçen aya kıyasla yüzde 16,7 azalarak 109,6 oldu. </w:t>
      </w:r>
      <w:r w:rsidR="007B55B9">
        <w:t>Bununla birlikte konut talebi</w:t>
      </w:r>
      <w:r>
        <w:t xml:space="preserve"> geçen yılın Eylül ayına kıyasla yüzde 15,7 düştü. Talep göstergesi Mayıs’tan itibaren aşağıya yönelirken, göstergenin Mayıs ayındaki seviyesine kıyasla yüzde 48,3 daha düşük, Şubat 2020’ye kıyasla ise sadece yüzde 9,6 daha yüksek olduğu görüldü. Eylül’de açıklanan sosyal konut projesi ve ofislerin konutlara dönüştürülmesi projesinin konutların reel satış fiyatlarındaki artışı durduracağına dair oluşturduğu beklentinin ardından taleplerde düşüşün yaşandığı tahmin ediliyor.</w:t>
      </w:r>
    </w:p>
    <w:p w:rsidR="004A3DF6" w:rsidRDefault="004A3DF6">
      <w:pPr>
        <w:spacing w:after="0"/>
        <w:jc w:val="both"/>
      </w:pPr>
    </w:p>
    <w:p w:rsidR="004A3DF6" w:rsidRDefault="00011070">
      <w:pPr>
        <w:jc w:val="both"/>
        <w:rPr>
          <w:color w:val="000000"/>
        </w:rPr>
      </w:pPr>
      <w:r>
        <w:rPr>
          <w:color w:val="000000"/>
        </w:rPr>
        <w:t xml:space="preserve"> </w:t>
      </w:r>
      <w:r>
        <w:rPr>
          <w:noProof/>
        </w:rPr>
        <w:drawing>
          <wp:inline distT="0" distB="0" distL="114300" distR="114300">
            <wp:extent cx="4210050" cy="2305050"/>
            <wp:effectExtent l="0" t="0" r="0" b="0"/>
            <wp:docPr id="20490789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210050" cy="2305050"/>
                    </a:xfrm>
                    <a:prstGeom prst="rect">
                      <a:avLst/>
                    </a:prstGeom>
                    <a:ln/>
                  </pic:spPr>
                </pic:pic>
              </a:graphicData>
            </a:graphic>
          </wp:inline>
        </w:drawing>
      </w:r>
    </w:p>
    <w:p w:rsidR="004A3DF6" w:rsidRDefault="00011070">
      <w:pPr>
        <w:spacing w:after="0"/>
        <w:jc w:val="both"/>
      </w:pPr>
      <w:r>
        <w:rPr>
          <w:b/>
          <w:color w:val="000000"/>
        </w:rPr>
        <w:t>Konut arzı artarken satılan konut sayısı düştü</w:t>
      </w:r>
    </w:p>
    <w:p w:rsidR="004A3DF6" w:rsidRDefault="00011070">
      <w:pPr>
        <w:spacing w:after="0"/>
        <w:jc w:val="both"/>
        <w:rPr>
          <w:color w:val="000000"/>
        </w:rPr>
      </w:pPr>
      <w:r>
        <w:rPr>
          <w:color w:val="000000"/>
        </w:rPr>
        <w:t xml:space="preserve">Satılan konut sayısının toplam satılık ilan sayısına oranı Haziran ve Temmuz aylarında görülen belirgin düşüşün ardından Ağustos ayında bir miktar yükseldi. Bu oran Eylül’de </w:t>
      </w:r>
      <w:r>
        <w:t>bir önceki</w:t>
      </w:r>
      <w:r>
        <w:rPr>
          <w:color w:val="000000"/>
        </w:rPr>
        <w:t xml:space="preserve"> aya kıyasla 1 puan azalarak yüzde 5,1 oldu. </w:t>
      </w:r>
      <w:r>
        <w:t>S</w:t>
      </w:r>
      <w:r>
        <w:rPr>
          <w:color w:val="000000"/>
        </w:rPr>
        <w:t>atılık ilan sayısı önceki aya göre yüzde 2,8 (756.805’ten 778.180’e) yüksel</w:t>
      </w:r>
      <w:r>
        <w:t>irke</w:t>
      </w:r>
      <w:r>
        <w:rPr>
          <w:color w:val="000000"/>
        </w:rPr>
        <w:t>n, satılan konut sayısı ise yüzde 14 (46.373’ten 39.856’ya) oranında düştü. Satılan konut sayısı Haziran'da önceki aya göre 13.361, Temmuz'da ise önceki aya göre 32.621 azal</w:t>
      </w:r>
      <w:r>
        <w:t>mıştı</w:t>
      </w:r>
      <w:r>
        <w:rPr>
          <w:color w:val="000000"/>
        </w:rPr>
        <w:t xml:space="preserve">. Satılan konut sayısı Ağustos’ta bir miktar artsa da Eylül’de </w:t>
      </w:r>
      <w:r>
        <w:t>bir önceki</w:t>
      </w:r>
      <w:r>
        <w:rPr>
          <w:color w:val="000000"/>
        </w:rPr>
        <w:t xml:space="preserve"> aya kıyasla 6.507 düştü. Satılan konut sayısı Mayıs ayına kıyasla yaklaşık 47 bin düştü.</w:t>
      </w:r>
    </w:p>
    <w:p w:rsidR="004A3DF6" w:rsidRDefault="004A3DF6">
      <w:pPr>
        <w:spacing w:after="0"/>
        <w:jc w:val="both"/>
      </w:pPr>
    </w:p>
    <w:p w:rsidR="004A3DF6" w:rsidRDefault="00011070">
      <w:pPr>
        <w:jc w:val="both"/>
      </w:pPr>
      <w:r>
        <w:rPr>
          <w:b/>
          <w:color w:val="000000"/>
        </w:rPr>
        <w:lastRenderedPageBreak/>
        <w:t>Şekil 8: Türkiye genelinde satılan konut sayısının satılık konut ilan sayısına oranı (%) (Sol panel), satılan ve satılık konut sayısı (Bin Adet) (Sağ panel)</w:t>
      </w:r>
    </w:p>
    <w:p w:rsidR="004A3DF6" w:rsidRDefault="00011070">
      <w:pPr>
        <w:jc w:val="both"/>
      </w:pPr>
      <w:r>
        <w:rPr>
          <w:noProof/>
        </w:rPr>
        <w:drawing>
          <wp:inline distT="0" distB="0" distL="114300" distR="114300">
            <wp:extent cx="2642520" cy="1944000"/>
            <wp:effectExtent l="0" t="0" r="5715" b="0"/>
            <wp:docPr id="20490789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642520" cy="1944000"/>
                    </a:xfrm>
                    <a:prstGeom prst="rect">
                      <a:avLst/>
                    </a:prstGeom>
                    <a:ln/>
                  </pic:spPr>
                </pic:pic>
              </a:graphicData>
            </a:graphic>
          </wp:inline>
        </w:drawing>
      </w:r>
      <w:r>
        <w:rPr>
          <w:noProof/>
        </w:rPr>
        <w:drawing>
          <wp:inline distT="0" distB="0" distL="114300" distR="114300">
            <wp:extent cx="2686416" cy="1800000"/>
            <wp:effectExtent l="0" t="0" r="0" b="0"/>
            <wp:docPr id="20490789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686416" cy="1800000"/>
                    </a:xfrm>
                    <a:prstGeom prst="rect">
                      <a:avLst/>
                    </a:prstGeom>
                    <a:ln/>
                  </pic:spPr>
                </pic:pic>
              </a:graphicData>
            </a:graphic>
          </wp:inline>
        </w:drawing>
      </w:r>
    </w:p>
    <w:p w:rsidR="007B55B9" w:rsidRDefault="007B55B9">
      <w:pPr>
        <w:spacing w:after="0"/>
        <w:jc w:val="both"/>
        <w:rPr>
          <w:b/>
        </w:rPr>
      </w:pPr>
    </w:p>
    <w:p w:rsidR="004A3DF6" w:rsidRDefault="00011070">
      <w:pPr>
        <w:spacing w:after="0"/>
        <w:jc w:val="both"/>
        <w:rPr>
          <w:b/>
        </w:rPr>
      </w:pPr>
      <w:r>
        <w:rPr>
          <w:b/>
        </w:rPr>
        <w:t>Satılık konutlarda kapatılan ilan yaşı yükseldi</w:t>
      </w:r>
    </w:p>
    <w:p w:rsidR="004A3DF6" w:rsidRDefault="00011070">
      <w:pPr>
        <w:spacing w:after="0"/>
        <w:jc w:val="both"/>
      </w:pPr>
      <w:r>
        <w:rPr>
          <w:color w:val="000000"/>
        </w:rPr>
        <w:t xml:space="preserve">Kapatılan ilan yaşı ülke genelinde ve üç büyük ilde yükseldi. Önceki aya kıyasla kapatılan ilan yaşı Türkiye genelinde 3,8 gün, İstanbul’da 5,2 gün, Ankara’da 3,4 gün, İzmir’de ise 3,1 gün uzadı. </w:t>
      </w:r>
      <w:r>
        <w:t>K</w:t>
      </w:r>
      <w:r>
        <w:rPr>
          <w:color w:val="000000"/>
        </w:rPr>
        <w:t xml:space="preserve">apatılan ilan yaşı ülke genelinde 41,4, İstanbul’da 43,2, Ankara’da 35,3 ve İzmir’de 44,6 gün oldu. </w:t>
      </w:r>
      <w:r>
        <w:t>Kapatılan ilan yaşının en az arttığı iller Ordu (0,6 gün), Kahramanmaraş (0,9 gün), Erzurum (1 gün), Bursa (1,6 gün) ve Hatay olurken, en çok arttığı iller ise Aydın (4,4 gün), Eskişehir (4,6 gün), İstanbul (5,2 gün), Muğla (5,5 gün), ve Balıkesir oldu.</w:t>
      </w:r>
    </w:p>
    <w:p w:rsidR="004A3DF6" w:rsidRDefault="00011070">
      <w:pPr>
        <w:jc w:val="both"/>
      </w:pPr>
      <w:r>
        <w:rPr>
          <w:color w:val="000000"/>
        </w:rPr>
        <w:t xml:space="preserve"> </w:t>
      </w:r>
      <w:r>
        <w:br/>
      </w:r>
      <w:r>
        <w:rPr>
          <w:b/>
          <w:color w:val="000000"/>
        </w:rPr>
        <w:t>Tablo 3: Bir önceki aya göre satılık konut kapatılan ilan yaşının en az ve en çok arttığı iller – Eylül 2022</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4"/>
        <w:gridCol w:w="2254"/>
        <w:gridCol w:w="2254"/>
        <w:gridCol w:w="2254"/>
      </w:tblGrid>
      <w:tr w:rsidR="004A3DF6">
        <w:trPr>
          <w:trHeight w:val="900"/>
        </w:trPr>
        <w:tc>
          <w:tcPr>
            <w:tcW w:w="2254" w:type="dxa"/>
            <w:tcBorders>
              <w:top w:val="single" w:sz="8" w:space="0" w:color="000000"/>
              <w:left w:val="single" w:sz="8" w:space="0" w:color="000000"/>
              <w:bottom w:val="single" w:sz="8" w:space="0" w:color="000000"/>
              <w:right w:val="single" w:sz="4" w:space="0" w:color="000000"/>
            </w:tcBorders>
            <w:vAlign w:val="center"/>
          </w:tcPr>
          <w:p w:rsidR="004A3DF6" w:rsidRDefault="00011070">
            <w:pPr>
              <w:jc w:val="center"/>
            </w:pPr>
            <w:r>
              <w:rPr>
                <w:b/>
                <w:color w:val="000000"/>
              </w:rPr>
              <w:t>İller</w:t>
            </w:r>
          </w:p>
        </w:tc>
        <w:tc>
          <w:tcPr>
            <w:tcW w:w="2254" w:type="dxa"/>
            <w:tcBorders>
              <w:top w:val="single" w:sz="8" w:space="0" w:color="000000"/>
              <w:left w:val="single" w:sz="4" w:space="0" w:color="000000"/>
              <w:bottom w:val="single" w:sz="8" w:space="0" w:color="000000"/>
              <w:right w:val="single" w:sz="4" w:space="0" w:color="000000"/>
            </w:tcBorders>
            <w:vAlign w:val="center"/>
          </w:tcPr>
          <w:p w:rsidR="004A3DF6" w:rsidRDefault="00011070">
            <w:pPr>
              <w:jc w:val="center"/>
            </w:pPr>
            <w:r>
              <w:rPr>
                <w:b/>
                <w:color w:val="000000"/>
              </w:rPr>
              <w:t>Satılık Konut Kapanan İlan Yaşı, Ağustos 2022</w:t>
            </w:r>
          </w:p>
        </w:tc>
        <w:tc>
          <w:tcPr>
            <w:tcW w:w="2254" w:type="dxa"/>
            <w:tcBorders>
              <w:top w:val="single" w:sz="8" w:space="0" w:color="000000"/>
              <w:left w:val="single" w:sz="4" w:space="0" w:color="000000"/>
              <w:bottom w:val="single" w:sz="8" w:space="0" w:color="000000"/>
              <w:right w:val="single" w:sz="4" w:space="0" w:color="000000"/>
            </w:tcBorders>
            <w:vAlign w:val="center"/>
          </w:tcPr>
          <w:p w:rsidR="004A3DF6" w:rsidRDefault="00011070">
            <w:pPr>
              <w:jc w:val="center"/>
            </w:pPr>
            <w:r>
              <w:rPr>
                <w:b/>
                <w:color w:val="000000"/>
              </w:rPr>
              <w:t>Satılık Konut Kapanan İlan Yaşı, Eylül 2022</w:t>
            </w:r>
          </w:p>
        </w:tc>
        <w:tc>
          <w:tcPr>
            <w:tcW w:w="2254" w:type="dxa"/>
            <w:tcBorders>
              <w:top w:val="single" w:sz="8" w:space="0" w:color="000000"/>
              <w:left w:val="single" w:sz="4" w:space="0" w:color="000000"/>
              <w:bottom w:val="single" w:sz="8" w:space="0" w:color="000000"/>
              <w:right w:val="single" w:sz="8" w:space="0" w:color="000000"/>
            </w:tcBorders>
            <w:vAlign w:val="center"/>
          </w:tcPr>
          <w:p w:rsidR="004A3DF6" w:rsidRDefault="00011070">
            <w:pPr>
              <w:jc w:val="center"/>
            </w:pPr>
            <w:r>
              <w:rPr>
                <w:b/>
                <w:color w:val="000000"/>
              </w:rPr>
              <w:t>Aylık Değişim (Gün)</w:t>
            </w:r>
          </w:p>
        </w:tc>
      </w:tr>
      <w:tr w:rsidR="004A3DF6">
        <w:trPr>
          <w:trHeight w:val="300"/>
        </w:trPr>
        <w:tc>
          <w:tcPr>
            <w:tcW w:w="2254" w:type="dxa"/>
            <w:tcBorders>
              <w:top w:val="single" w:sz="8" w:space="0" w:color="000000"/>
              <w:left w:val="single" w:sz="8" w:space="0" w:color="000000"/>
              <w:bottom w:val="single" w:sz="8" w:space="0" w:color="000000"/>
              <w:right w:val="single" w:sz="4" w:space="0" w:color="000000"/>
            </w:tcBorders>
            <w:vAlign w:val="bottom"/>
          </w:tcPr>
          <w:p w:rsidR="004A3DF6" w:rsidRDefault="00011070">
            <w:pPr>
              <w:jc w:val="center"/>
            </w:pPr>
            <w:r>
              <w:rPr>
                <w:color w:val="FF0000"/>
              </w:rPr>
              <w:t>Türkiye Ortalaması</w:t>
            </w:r>
          </w:p>
        </w:tc>
        <w:tc>
          <w:tcPr>
            <w:tcW w:w="2254" w:type="dxa"/>
            <w:tcBorders>
              <w:top w:val="single" w:sz="8" w:space="0" w:color="000000"/>
              <w:left w:val="single" w:sz="4" w:space="0" w:color="000000"/>
              <w:bottom w:val="single" w:sz="8" w:space="0" w:color="000000"/>
              <w:right w:val="single" w:sz="4" w:space="0" w:color="000000"/>
            </w:tcBorders>
            <w:vAlign w:val="bottom"/>
          </w:tcPr>
          <w:p w:rsidR="004A3DF6" w:rsidRDefault="00011070">
            <w:pPr>
              <w:jc w:val="center"/>
            </w:pPr>
            <w:r>
              <w:rPr>
                <w:color w:val="FF0000"/>
              </w:rPr>
              <w:t>37,6</w:t>
            </w:r>
          </w:p>
        </w:tc>
        <w:tc>
          <w:tcPr>
            <w:tcW w:w="2254" w:type="dxa"/>
            <w:tcBorders>
              <w:top w:val="single" w:sz="8" w:space="0" w:color="000000"/>
              <w:left w:val="single" w:sz="4" w:space="0" w:color="000000"/>
              <w:bottom w:val="single" w:sz="8" w:space="0" w:color="000000"/>
              <w:right w:val="single" w:sz="4" w:space="0" w:color="000000"/>
            </w:tcBorders>
            <w:vAlign w:val="bottom"/>
          </w:tcPr>
          <w:p w:rsidR="004A3DF6" w:rsidRDefault="00011070">
            <w:pPr>
              <w:jc w:val="center"/>
            </w:pPr>
            <w:r>
              <w:rPr>
                <w:color w:val="FF0000"/>
              </w:rPr>
              <w:t>41,4</w:t>
            </w:r>
          </w:p>
        </w:tc>
        <w:tc>
          <w:tcPr>
            <w:tcW w:w="2254" w:type="dxa"/>
            <w:tcBorders>
              <w:top w:val="single" w:sz="8" w:space="0" w:color="000000"/>
              <w:left w:val="single" w:sz="4" w:space="0" w:color="000000"/>
              <w:bottom w:val="single" w:sz="8" w:space="0" w:color="000000"/>
              <w:right w:val="single" w:sz="8" w:space="0" w:color="000000"/>
            </w:tcBorders>
            <w:vAlign w:val="bottom"/>
          </w:tcPr>
          <w:p w:rsidR="004A3DF6" w:rsidRDefault="00011070">
            <w:pPr>
              <w:jc w:val="center"/>
            </w:pPr>
            <w:r>
              <w:rPr>
                <w:color w:val="FF0000"/>
              </w:rPr>
              <w:t>3,8</w:t>
            </w:r>
          </w:p>
        </w:tc>
      </w:tr>
      <w:tr w:rsidR="004A3DF6">
        <w:trPr>
          <w:trHeight w:val="300"/>
        </w:trPr>
        <w:tc>
          <w:tcPr>
            <w:tcW w:w="2254" w:type="dxa"/>
            <w:tcBorders>
              <w:top w:val="single" w:sz="8" w:space="0" w:color="000000"/>
              <w:left w:val="single" w:sz="8" w:space="0" w:color="000000"/>
              <w:bottom w:val="single" w:sz="4" w:space="0" w:color="000000"/>
              <w:right w:val="single" w:sz="4" w:space="0" w:color="000000"/>
            </w:tcBorders>
            <w:vAlign w:val="bottom"/>
          </w:tcPr>
          <w:p w:rsidR="004A3DF6" w:rsidRDefault="00011070">
            <w:pPr>
              <w:jc w:val="center"/>
            </w:pPr>
            <w:r>
              <w:rPr>
                <w:color w:val="000000"/>
              </w:rPr>
              <w:t>Ordu</w:t>
            </w:r>
          </w:p>
        </w:tc>
        <w:tc>
          <w:tcPr>
            <w:tcW w:w="2254" w:type="dxa"/>
            <w:tcBorders>
              <w:top w:val="single" w:sz="8" w:space="0" w:color="000000"/>
              <w:left w:val="single" w:sz="4" w:space="0" w:color="000000"/>
              <w:bottom w:val="single" w:sz="4" w:space="0" w:color="000000"/>
              <w:right w:val="single" w:sz="4" w:space="0" w:color="000000"/>
            </w:tcBorders>
            <w:vAlign w:val="bottom"/>
          </w:tcPr>
          <w:p w:rsidR="004A3DF6" w:rsidRDefault="00011070">
            <w:pPr>
              <w:jc w:val="center"/>
            </w:pPr>
            <w:r>
              <w:rPr>
                <w:color w:val="000000"/>
              </w:rPr>
              <w:t>46,1</w:t>
            </w:r>
          </w:p>
        </w:tc>
        <w:tc>
          <w:tcPr>
            <w:tcW w:w="2254" w:type="dxa"/>
            <w:tcBorders>
              <w:top w:val="single" w:sz="8" w:space="0" w:color="000000"/>
              <w:left w:val="single" w:sz="4" w:space="0" w:color="000000"/>
              <w:bottom w:val="single" w:sz="4" w:space="0" w:color="000000"/>
              <w:right w:val="single" w:sz="4" w:space="0" w:color="000000"/>
            </w:tcBorders>
            <w:vAlign w:val="bottom"/>
          </w:tcPr>
          <w:p w:rsidR="004A3DF6" w:rsidRDefault="00011070">
            <w:pPr>
              <w:jc w:val="center"/>
            </w:pPr>
            <w:r>
              <w:rPr>
                <w:color w:val="000000"/>
              </w:rPr>
              <w:t>46,7</w:t>
            </w:r>
          </w:p>
        </w:tc>
        <w:tc>
          <w:tcPr>
            <w:tcW w:w="2254" w:type="dxa"/>
            <w:tcBorders>
              <w:top w:val="single" w:sz="8" w:space="0" w:color="000000"/>
              <w:left w:val="single" w:sz="4" w:space="0" w:color="000000"/>
              <w:bottom w:val="single" w:sz="4" w:space="0" w:color="000000"/>
              <w:right w:val="single" w:sz="8" w:space="0" w:color="000000"/>
            </w:tcBorders>
            <w:shd w:val="clear" w:color="auto" w:fill="63BE7B"/>
            <w:vAlign w:val="bottom"/>
          </w:tcPr>
          <w:p w:rsidR="004A3DF6" w:rsidRDefault="00011070">
            <w:pPr>
              <w:jc w:val="center"/>
            </w:pPr>
            <w:r>
              <w:rPr>
                <w:color w:val="000000"/>
              </w:rPr>
              <w:t>0,6</w:t>
            </w:r>
          </w:p>
        </w:tc>
      </w:tr>
      <w:tr w:rsidR="004A3DF6">
        <w:trPr>
          <w:trHeight w:val="300"/>
        </w:trPr>
        <w:tc>
          <w:tcPr>
            <w:tcW w:w="2254" w:type="dxa"/>
            <w:tcBorders>
              <w:top w:val="single" w:sz="4" w:space="0" w:color="000000"/>
              <w:left w:val="single" w:sz="8" w:space="0" w:color="000000"/>
              <w:bottom w:val="single" w:sz="4" w:space="0" w:color="000000"/>
              <w:right w:val="single" w:sz="4" w:space="0" w:color="000000"/>
            </w:tcBorders>
            <w:vAlign w:val="bottom"/>
          </w:tcPr>
          <w:p w:rsidR="004A3DF6" w:rsidRDefault="00011070">
            <w:pPr>
              <w:jc w:val="center"/>
            </w:pPr>
            <w:r>
              <w:rPr>
                <w:color w:val="000000"/>
              </w:rPr>
              <w:t>Kahramanmaraş</w:t>
            </w:r>
          </w:p>
        </w:tc>
        <w:tc>
          <w:tcPr>
            <w:tcW w:w="2254" w:type="dxa"/>
            <w:tcBorders>
              <w:top w:val="single" w:sz="4" w:space="0" w:color="000000"/>
              <w:left w:val="single" w:sz="4" w:space="0" w:color="000000"/>
              <w:bottom w:val="single" w:sz="4" w:space="0" w:color="000000"/>
              <w:right w:val="single" w:sz="4" w:space="0" w:color="000000"/>
            </w:tcBorders>
            <w:vAlign w:val="bottom"/>
          </w:tcPr>
          <w:p w:rsidR="004A3DF6" w:rsidRDefault="00011070">
            <w:pPr>
              <w:jc w:val="center"/>
            </w:pPr>
            <w:r>
              <w:rPr>
                <w:color w:val="000000"/>
              </w:rPr>
              <w:t>34,6</w:t>
            </w:r>
          </w:p>
        </w:tc>
        <w:tc>
          <w:tcPr>
            <w:tcW w:w="2254" w:type="dxa"/>
            <w:tcBorders>
              <w:top w:val="single" w:sz="4" w:space="0" w:color="000000"/>
              <w:left w:val="single" w:sz="4" w:space="0" w:color="000000"/>
              <w:bottom w:val="single" w:sz="4" w:space="0" w:color="000000"/>
              <w:right w:val="single" w:sz="4" w:space="0" w:color="000000"/>
            </w:tcBorders>
            <w:vAlign w:val="bottom"/>
          </w:tcPr>
          <w:p w:rsidR="004A3DF6" w:rsidRDefault="00011070">
            <w:pPr>
              <w:jc w:val="center"/>
            </w:pPr>
            <w:r>
              <w:rPr>
                <w:color w:val="000000"/>
              </w:rPr>
              <w:t>35,5</w:t>
            </w:r>
          </w:p>
        </w:tc>
        <w:tc>
          <w:tcPr>
            <w:tcW w:w="2254" w:type="dxa"/>
            <w:tcBorders>
              <w:top w:val="single" w:sz="4" w:space="0" w:color="000000"/>
              <w:left w:val="single" w:sz="4" w:space="0" w:color="000000"/>
              <w:bottom w:val="single" w:sz="4" w:space="0" w:color="000000"/>
              <w:right w:val="single" w:sz="8" w:space="0" w:color="000000"/>
            </w:tcBorders>
            <w:shd w:val="clear" w:color="auto" w:fill="90D0A2"/>
            <w:vAlign w:val="bottom"/>
          </w:tcPr>
          <w:p w:rsidR="004A3DF6" w:rsidRDefault="00011070">
            <w:pPr>
              <w:jc w:val="center"/>
            </w:pPr>
            <w:r>
              <w:rPr>
                <w:color w:val="000000"/>
              </w:rPr>
              <w:t>0,9</w:t>
            </w:r>
          </w:p>
        </w:tc>
      </w:tr>
      <w:tr w:rsidR="004A3DF6">
        <w:trPr>
          <w:trHeight w:val="300"/>
        </w:trPr>
        <w:tc>
          <w:tcPr>
            <w:tcW w:w="2254" w:type="dxa"/>
            <w:tcBorders>
              <w:top w:val="single" w:sz="4" w:space="0" w:color="000000"/>
              <w:left w:val="single" w:sz="8" w:space="0" w:color="000000"/>
              <w:bottom w:val="single" w:sz="4" w:space="0" w:color="000000"/>
              <w:right w:val="single" w:sz="4" w:space="0" w:color="000000"/>
            </w:tcBorders>
            <w:vAlign w:val="bottom"/>
          </w:tcPr>
          <w:p w:rsidR="004A3DF6" w:rsidRDefault="00011070">
            <w:pPr>
              <w:jc w:val="center"/>
            </w:pPr>
            <w:r>
              <w:rPr>
                <w:color w:val="000000"/>
              </w:rPr>
              <w:t>Erzurum</w:t>
            </w:r>
          </w:p>
        </w:tc>
        <w:tc>
          <w:tcPr>
            <w:tcW w:w="2254" w:type="dxa"/>
            <w:tcBorders>
              <w:top w:val="single" w:sz="4" w:space="0" w:color="000000"/>
              <w:left w:val="single" w:sz="4" w:space="0" w:color="000000"/>
              <w:bottom w:val="single" w:sz="4" w:space="0" w:color="000000"/>
              <w:right w:val="single" w:sz="4" w:space="0" w:color="000000"/>
            </w:tcBorders>
            <w:vAlign w:val="bottom"/>
          </w:tcPr>
          <w:p w:rsidR="004A3DF6" w:rsidRDefault="00011070">
            <w:pPr>
              <w:jc w:val="center"/>
            </w:pPr>
            <w:r>
              <w:rPr>
                <w:color w:val="000000"/>
              </w:rPr>
              <w:t>32,6</w:t>
            </w:r>
          </w:p>
        </w:tc>
        <w:tc>
          <w:tcPr>
            <w:tcW w:w="2254" w:type="dxa"/>
            <w:tcBorders>
              <w:top w:val="single" w:sz="4" w:space="0" w:color="000000"/>
              <w:left w:val="single" w:sz="4" w:space="0" w:color="000000"/>
              <w:bottom w:val="single" w:sz="4" w:space="0" w:color="000000"/>
              <w:right w:val="single" w:sz="4" w:space="0" w:color="000000"/>
            </w:tcBorders>
            <w:vAlign w:val="bottom"/>
          </w:tcPr>
          <w:p w:rsidR="004A3DF6" w:rsidRDefault="00011070">
            <w:pPr>
              <w:jc w:val="center"/>
            </w:pPr>
            <w:r>
              <w:rPr>
                <w:color w:val="000000"/>
              </w:rPr>
              <w:t>33,6</w:t>
            </w:r>
          </w:p>
        </w:tc>
        <w:tc>
          <w:tcPr>
            <w:tcW w:w="2254" w:type="dxa"/>
            <w:tcBorders>
              <w:top w:val="single" w:sz="4" w:space="0" w:color="000000"/>
              <w:left w:val="single" w:sz="4" w:space="0" w:color="000000"/>
              <w:bottom w:val="single" w:sz="4" w:space="0" w:color="000000"/>
              <w:right w:val="single" w:sz="8" w:space="0" w:color="000000"/>
            </w:tcBorders>
            <w:shd w:val="clear" w:color="auto" w:fill="A7D9B6"/>
            <w:vAlign w:val="bottom"/>
          </w:tcPr>
          <w:p w:rsidR="004A3DF6" w:rsidRDefault="00011070">
            <w:pPr>
              <w:jc w:val="center"/>
            </w:pPr>
            <w:r>
              <w:rPr>
                <w:color w:val="000000"/>
              </w:rPr>
              <w:t>1,0</w:t>
            </w:r>
          </w:p>
        </w:tc>
      </w:tr>
      <w:tr w:rsidR="004A3DF6">
        <w:trPr>
          <w:trHeight w:val="300"/>
        </w:trPr>
        <w:tc>
          <w:tcPr>
            <w:tcW w:w="2254" w:type="dxa"/>
            <w:tcBorders>
              <w:top w:val="single" w:sz="4" w:space="0" w:color="000000"/>
              <w:left w:val="single" w:sz="8" w:space="0" w:color="000000"/>
              <w:bottom w:val="single" w:sz="4" w:space="0" w:color="000000"/>
              <w:right w:val="single" w:sz="4" w:space="0" w:color="000000"/>
            </w:tcBorders>
            <w:vAlign w:val="bottom"/>
          </w:tcPr>
          <w:p w:rsidR="004A3DF6" w:rsidRDefault="00011070">
            <w:pPr>
              <w:jc w:val="center"/>
            </w:pPr>
            <w:r>
              <w:rPr>
                <w:color w:val="000000"/>
              </w:rPr>
              <w:t>Bursa</w:t>
            </w:r>
          </w:p>
        </w:tc>
        <w:tc>
          <w:tcPr>
            <w:tcW w:w="2254" w:type="dxa"/>
            <w:tcBorders>
              <w:top w:val="single" w:sz="4" w:space="0" w:color="000000"/>
              <w:left w:val="single" w:sz="4" w:space="0" w:color="000000"/>
              <w:bottom w:val="single" w:sz="4" w:space="0" w:color="000000"/>
              <w:right w:val="single" w:sz="4" w:space="0" w:color="000000"/>
            </w:tcBorders>
            <w:vAlign w:val="bottom"/>
          </w:tcPr>
          <w:p w:rsidR="004A3DF6" w:rsidRDefault="00011070">
            <w:pPr>
              <w:jc w:val="center"/>
            </w:pPr>
            <w:r>
              <w:rPr>
                <w:color w:val="000000"/>
              </w:rPr>
              <w:t>40,0</w:t>
            </w:r>
          </w:p>
        </w:tc>
        <w:tc>
          <w:tcPr>
            <w:tcW w:w="2254" w:type="dxa"/>
            <w:tcBorders>
              <w:top w:val="single" w:sz="4" w:space="0" w:color="000000"/>
              <w:left w:val="single" w:sz="4" w:space="0" w:color="000000"/>
              <w:bottom w:val="single" w:sz="4" w:space="0" w:color="000000"/>
              <w:right w:val="single" w:sz="4" w:space="0" w:color="000000"/>
            </w:tcBorders>
            <w:vAlign w:val="bottom"/>
          </w:tcPr>
          <w:p w:rsidR="004A3DF6" w:rsidRDefault="00011070">
            <w:pPr>
              <w:jc w:val="center"/>
            </w:pPr>
            <w:r>
              <w:rPr>
                <w:color w:val="000000"/>
              </w:rPr>
              <w:t>41,6</w:t>
            </w:r>
          </w:p>
        </w:tc>
        <w:tc>
          <w:tcPr>
            <w:tcW w:w="2254" w:type="dxa"/>
            <w:tcBorders>
              <w:top w:val="single" w:sz="4" w:space="0" w:color="000000"/>
              <w:left w:val="single" w:sz="4" w:space="0" w:color="000000"/>
              <w:bottom w:val="single" w:sz="4" w:space="0" w:color="000000"/>
              <w:right w:val="single" w:sz="8" w:space="0" w:color="000000"/>
            </w:tcBorders>
            <w:shd w:val="clear" w:color="auto" w:fill="B0DDBD"/>
            <w:vAlign w:val="bottom"/>
          </w:tcPr>
          <w:p w:rsidR="004A3DF6" w:rsidRDefault="00011070">
            <w:pPr>
              <w:jc w:val="center"/>
            </w:pPr>
            <w:r>
              <w:rPr>
                <w:color w:val="000000"/>
              </w:rPr>
              <w:t>1,6</w:t>
            </w:r>
          </w:p>
        </w:tc>
      </w:tr>
      <w:tr w:rsidR="004A3DF6">
        <w:trPr>
          <w:trHeight w:val="300"/>
        </w:trPr>
        <w:tc>
          <w:tcPr>
            <w:tcW w:w="2254" w:type="dxa"/>
            <w:tcBorders>
              <w:top w:val="single" w:sz="4" w:space="0" w:color="000000"/>
              <w:left w:val="single" w:sz="8" w:space="0" w:color="000000"/>
              <w:bottom w:val="single" w:sz="4" w:space="0" w:color="000000"/>
              <w:right w:val="single" w:sz="4" w:space="0" w:color="000000"/>
            </w:tcBorders>
            <w:vAlign w:val="bottom"/>
          </w:tcPr>
          <w:p w:rsidR="004A3DF6" w:rsidRDefault="00011070">
            <w:pPr>
              <w:jc w:val="center"/>
            </w:pPr>
            <w:r>
              <w:rPr>
                <w:color w:val="000000"/>
              </w:rPr>
              <w:t>Hatay</w:t>
            </w:r>
          </w:p>
        </w:tc>
        <w:tc>
          <w:tcPr>
            <w:tcW w:w="2254" w:type="dxa"/>
            <w:tcBorders>
              <w:top w:val="single" w:sz="4" w:space="0" w:color="000000"/>
              <w:left w:val="single" w:sz="4" w:space="0" w:color="000000"/>
              <w:bottom w:val="single" w:sz="4" w:space="0" w:color="000000"/>
              <w:right w:val="single" w:sz="4" w:space="0" w:color="000000"/>
            </w:tcBorders>
            <w:vAlign w:val="bottom"/>
          </w:tcPr>
          <w:p w:rsidR="004A3DF6" w:rsidRDefault="00011070">
            <w:pPr>
              <w:jc w:val="center"/>
            </w:pPr>
            <w:r>
              <w:rPr>
                <w:color w:val="000000"/>
              </w:rPr>
              <w:t>34,5</w:t>
            </w:r>
          </w:p>
        </w:tc>
        <w:tc>
          <w:tcPr>
            <w:tcW w:w="2254" w:type="dxa"/>
            <w:tcBorders>
              <w:top w:val="single" w:sz="4" w:space="0" w:color="000000"/>
              <w:left w:val="single" w:sz="4" w:space="0" w:color="000000"/>
              <w:bottom w:val="single" w:sz="4" w:space="0" w:color="000000"/>
              <w:right w:val="single" w:sz="4" w:space="0" w:color="000000"/>
            </w:tcBorders>
            <w:vAlign w:val="bottom"/>
          </w:tcPr>
          <w:p w:rsidR="004A3DF6" w:rsidRDefault="00011070">
            <w:pPr>
              <w:jc w:val="center"/>
            </w:pPr>
            <w:r>
              <w:rPr>
                <w:color w:val="000000"/>
              </w:rPr>
              <w:t>36,9</w:t>
            </w:r>
          </w:p>
        </w:tc>
        <w:tc>
          <w:tcPr>
            <w:tcW w:w="2254" w:type="dxa"/>
            <w:tcBorders>
              <w:top w:val="single" w:sz="4" w:space="0" w:color="000000"/>
              <w:left w:val="single" w:sz="4" w:space="0" w:color="000000"/>
              <w:bottom w:val="single" w:sz="4" w:space="0" w:color="000000"/>
              <w:right w:val="single" w:sz="8" w:space="0" w:color="000000"/>
            </w:tcBorders>
            <w:shd w:val="clear" w:color="auto" w:fill="BAE1C6"/>
            <w:vAlign w:val="bottom"/>
          </w:tcPr>
          <w:p w:rsidR="004A3DF6" w:rsidRDefault="00011070">
            <w:pPr>
              <w:jc w:val="center"/>
            </w:pPr>
            <w:r>
              <w:rPr>
                <w:color w:val="000000"/>
              </w:rPr>
              <w:t>2,4</w:t>
            </w:r>
          </w:p>
        </w:tc>
      </w:tr>
      <w:tr w:rsidR="004A3DF6">
        <w:trPr>
          <w:trHeight w:val="300"/>
        </w:trPr>
        <w:tc>
          <w:tcPr>
            <w:tcW w:w="2254" w:type="dxa"/>
            <w:tcBorders>
              <w:top w:val="single" w:sz="4" w:space="0" w:color="000000"/>
              <w:left w:val="single" w:sz="8" w:space="0" w:color="000000"/>
              <w:bottom w:val="single" w:sz="4" w:space="0" w:color="000000"/>
              <w:right w:val="single" w:sz="4" w:space="0" w:color="000000"/>
            </w:tcBorders>
            <w:vAlign w:val="bottom"/>
          </w:tcPr>
          <w:p w:rsidR="004A3DF6" w:rsidRDefault="00011070">
            <w:pPr>
              <w:jc w:val="center"/>
            </w:pPr>
            <w:r>
              <w:rPr>
                <w:color w:val="000000"/>
              </w:rPr>
              <w:t>Aydın</w:t>
            </w:r>
          </w:p>
        </w:tc>
        <w:tc>
          <w:tcPr>
            <w:tcW w:w="2254" w:type="dxa"/>
            <w:tcBorders>
              <w:top w:val="single" w:sz="4" w:space="0" w:color="000000"/>
              <w:left w:val="single" w:sz="4" w:space="0" w:color="000000"/>
              <w:bottom w:val="single" w:sz="4" w:space="0" w:color="000000"/>
              <w:right w:val="single" w:sz="4" w:space="0" w:color="000000"/>
            </w:tcBorders>
            <w:vAlign w:val="bottom"/>
          </w:tcPr>
          <w:p w:rsidR="004A3DF6" w:rsidRDefault="00011070">
            <w:pPr>
              <w:jc w:val="center"/>
            </w:pPr>
            <w:r>
              <w:rPr>
                <w:color w:val="000000"/>
              </w:rPr>
              <w:t>40,5</w:t>
            </w:r>
          </w:p>
        </w:tc>
        <w:tc>
          <w:tcPr>
            <w:tcW w:w="2254" w:type="dxa"/>
            <w:tcBorders>
              <w:top w:val="single" w:sz="4" w:space="0" w:color="000000"/>
              <w:left w:val="single" w:sz="4" w:space="0" w:color="000000"/>
              <w:bottom w:val="single" w:sz="4" w:space="0" w:color="000000"/>
              <w:right w:val="single" w:sz="4" w:space="0" w:color="000000"/>
            </w:tcBorders>
            <w:vAlign w:val="bottom"/>
          </w:tcPr>
          <w:p w:rsidR="004A3DF6" w:rsidRDefault="00011070">
            <w:pPr>
              <w:jc w:val="center"/>
            </w:pPr>
            <w:r>
              <w:rPr>
                <w:color w:val="000000"/>
              </w:rPr>
              <w:t>44,9</w:t>
            </w:r>
          </w:p>
        </w:tc>
        <w:tc>
          <w:tcPr>
            <w:tcW w:w="2254" w:type="dxa"/>
            <w:tcBorders>
              <w:top w:val="single" w:sz="4" w:space="0" w:color="000000"/>
              <w:left w:val="single" w:sz="4" w:space="0" w:color="000000"/>
              <w:bottom w:val="single" w:sz="4" w:space="0" w:color="000000"/>
              <w:right w:val="single" w:sz="8" w:space="0" w:color="000000"/>
            </w:tcBorders>
            <w:shd w:val="clear" w:color="auto" w:fill="FBD3D6"/>
            <w:vAlign w:val="bottom"/>
          </w:tcPr>
          <w:p w:rsidR="004A3DF6" w:rsidRDefault="00011070">
            <w:pPr>
              <w:jc w:val="center"/>
            </w:pPr>
            <w:r>
              <w:rPr>
                <w:color w:val="000000"/>
              </w:rPr>
              <w:t>4,4</w:t>
            </w:r>
          </w:p>
        </w:tc>
      </w:tr>
      <w:tr w:rsidR="004A3DF6">
        <w:trPr>
          <w:trHeight w:val="300"/>
        </w:trPr>
        <w:tc>
          <w:tcPr>
            <w:tcW w:w="2254" w:type="dxa"/>
            <w:tcBorders>
              <w:top w:val="single" w:sz="4" w:space="0" w:color="000000"/>
              <w:left w:val="single" w:sz="8" w:space="0" w:color="000000"/>
              <w:bottom w:val="single" w:sz="4" w:space="0" w:color="000000"/>
              <w:right w:val="single" w:sz="4" w:space="0" w:color="000000"/>
            </w:tcBorders>
            <w:vAlign w:val="bottom"/>
          </w:tcPr>
          <w:p w:rsidR="004A3DF6" w:rsidRDefault="00011070">
            <w:pPr>
              <w:jc w:val="center"/>
            </w:pPr>
            <w:r>
              <w:rPr>
                <w:color w:val="000000"/>
              </w:rPr>
              <w:t>Eskişehir</w:t>
            </w:r>
          </w:p>
        </w:tc>
        <w:tc>
          <w:tcPr>
            <w:tcW w:w="2254" w:type="dxa"/>
            <w:tcBorders>
              <w:top w:val="single" w:sz="4" w:space="0" w:color="000000"/>
              <w:left w:val="single" w:sz="4" w:space="0" w:color="000000"/>
              <w:bottom w:val="single" w:sz="4" w:space="0" w:color="000000"/>
              <w:right w:val="single" w:sz="4" w:space="0" w:color="000000"/>
            </w:tcBorders>
            <w:vAlign w:val="bottom"/>
          </w:tcPr>
          <w:p w:rsidR="004A3DF6" w:rsidRDefault="00011070">
            <w:pPr>
              <w:jc w:val="center"/>
            </w:pPr>
            <w:r>
              <w:rPr>
                <w:color w:val="000000"/>
              </w:rPr>
              <w:t>38,1</w:t>
            </w:r>
          </w:p>
        </w:tc>
        <w:tc>
          <w:tcPr>
            <w:tcW w:w="2254" w:type="dxa"/>
            <w:tcBorders>
              <w:top w:val="single" w:sz="4" w:space="0" w:color="000000"/>
              <w:left w:val="single" w:sz="4" w:space="0" w:color="000000"/>
              <w:bottom w:val="single" w:sz="4" w:space="0" w:color="000000"/>
              <w:right w:val="single" w:sz="4" w:space="0" w:color="000000"/>
            </w:tcBorders>
            <w:vAlign w:val="bottom"/>
          </w:tcPr>
          <w:p w:rsidR="004A3DF6" w:rsidRDefault="00011070">
            <w:pPr>
              <w:jc w:val="center"/>
            </w:pPr>
            <w:r>
              <w:rPr>
                <w:color w:val="000000"/>
              </w:rPr>
              <w:t>42,7</w:t>
            </w:r>
          </w:p>
        </w:tc>
        <w:tc>
          <w:tcPr>
            <w:tcW w:w="2254" w:type="dxa"/>
            <w:tcBorders>
              <w:top w:val="single" w:sz="4" w:space="0" w:color="000000"/>
              <w:left w:val="single" w:sz="4" w:space="0" w:color="000000"/>
              <w:bottom w:val="single" w:sz="4" w:space="0" w:color="000000"/>
              <w:right w:val="single" w:sz="8" w:space="0" w:color="000000"/>
            </w:tcBorders>
            <w:shd w:val="clear" w:color="auto" w:fill="FBCCCE"/>
            <w:vAlign w:val="bottom"/>
          </w:tcPr>
          <w:p w:rsidR="004A3DF6" w:rsidRDefault="00011070">
            <w:pPr>
              <w:jc w:val="center"/>
            </w:pPr>
            <w:r>
              <w:rPr>
                <w:color w:val="000000"/>
              </w:rPr>
              <w:t>4,6</w:t>
            </w:r>
          </w:p>
        </w:tc>
      </w:tr>
      <w:tr w:rsidR="004A3DF6">
        <w:trPr>
          <w:trHeight w:val="300"/>
        </w:trPr>
        <w:tc>
          <w:tcPr>
            <w:tcW w:w="2254" w:type="dxa"/>
            <w:tcBorders>
              <w:top w:val="single" w:sz="4" w:space="0" w:color="000000"/>
              <w:left w:val="single" w:sz="8" w:space="0" w:color="000000"/>
              <w:bottom w:val="single" w:sz="4" w:space="0" w:color="000000"/>
              <w:right w:val="single" w:sz="4" w:space="0" w:color="000000"/>
            </w:tcBorders>
            <w:vAlign w:val="bottom"/>
          </w:tcPr>
          <w:p w:rsidR="004A3DF6" w:rsidRDefault="00011070">
            <w:pPr>
              <w:jc w:val="center"/>
            </w:pPr>
            <w:r>
              <w:rPr>
                <w:color w:val="000000"/>
              </w:rPr>
              <w:t>İstanbul</w:t>
            </w:r>
          </w:p>
        </w:tc>
        <w:tc>
          <w:tcPr>
            <w:tcW w:w="2254" w:type="dxa"/>
            <w:tcBorders>
              <w:top w:val="single" w:sz="4" w:space="0" w:color="000000"/>
              <w:left w:val="single" w:sz="4" w:space="0" w:color="000000"/>
              <w:bottom w:val="single" w:sz="4" w:space="0" w:color="000000"/>
              <w:right w:val="single" w:sz="4" w:space="0" w:color="000000"/>
            </w:tcBorders>
            <w:vAlign w:val="bottom"/>
          </w:tcPr>
          <w:p w:rsidR="004A3DF6" w:rsidRDefault="00011070">
            <w:pPr>
              <w:jc w:val="center"/>
            </w:pPr>
            <w:r>
              <w:rPr>
                <w:color w:val="000000"/>
              </w:rPr>
              <w:t>38,1</w:t>
            </w:r>
          </w:p>
        </w:tc>
        <w:tc>
          <w:tcPr>
            <w:tcW w:w="2254" w:type="dxa"/>
            <w:tcBorders>
              <w:top w:val="single" w:sz="4" w:space="0" w:color="000000"/>
              <w:left w:val="single" w:sz="4" w:space="0" w:color="000000"/>
              <w:bottom w:val="single" w:sz="4" w:space="0" w:color="000000"/>
              <w:right w:val="single" w:sz="4" w:space="0" w:color="000000"/>
            </w:tcBorders>
            <w:vAlign w:val="bottom"/>
          </w:tcPr>
          <w:p w:rsidR="004A3DF6" w:rsidRDefault="00011070">
            <w:pPr>
              <w:jc w:val="center"/>
            </w:pPr>
            <w:r>
              <w:rPr>
                <w:color w:val="000000"/>
              </w:rPr>
              <w:t>43,2</w:t>
            </w:r>
          </w:p>
        </w:tc>
        <w:tc>
          <w:tcPr>
            <w:tcW w:w="2254" w:type="dxa"/>
            <w:tcBorders>
              <w:top w:val="single" w:sz="4" w:space="0" w:color="000000"/>
              <w:left w:val="single" w:sz="4" w:space="0" w:color="000000"/>
              <w:bottom w:val="single" w:sz="4" w:space="0" w:color="000000"/>
              <w:right w:val="single" w:sz="8" w:space="0" w:color="000000"/>
            </w:tcBorders>
            <w:shd w:val="clear" w:color="auto" w:fill="FBCBCE"/>
            <w:vAlign w:val="bottom"/>
          </w:tcPr>
          <w:p w:rsidR="004A3DF6" w:rsidRDefault="00011070">
            <w:pPr>
              <w:jc w:val="center"/>
            </w:pPr>
            <w:r>
              <w:rPr>
                <w:color w:val="000000"/>
              </w:rPr>
              <w:t>5,2</w:t>
            </w:r>
          </w:p>
        </w:tc>
      </w:tr>
      <w:tr w:rsidR="004A3DF6">
        <w:trPr>
          <w:trHeight w:val="300"/>
        </w:trPr>
        <w:tc>
          <w:tcPr>
            <w:tcW w:w="2254" w:type="dxa"/>
            <w:tcBorders>
              <w:top w:val="single" w:sz="4" w:space="0" w:color="000000"/>
              <w:left w:val="single" w:sz="8" w:space="0" w:color="000000"/>
              <w:bottom w:val="single" w:sz="4" w:space="0" w:color="000000"/>
              <w:right w:val="single" w:sz="4" w:space="0" w:color="000000"/>
            </w:tcBorders>
            <w:vAlign w:val="bottom"/>
          </w:tcPr>
          <w:p w:rsidR="004A3DF6" w:rsidRDefault="00011070">
            <w:pPr>
              <w:jc w:val="center"/>
            </w:pPr>
            <w:r>
              <w:rPr>
                <w:color w:val="000000"/>
              </w:rPr>
              <w:t>Muğla</w:t>
            </w:r>
          </w:p>
        </w:tc>
        <w:tc>
          <w:tcPr>
            <w:tcW w:w="2254" w:type="dxa"/>
            <w:tcBorders>
              <w:top w:val="single" w:sz="4" w:space="0" w:color="000000"/>
              <w:left w:val="single" w:sz="4" w:space="0" w:color="000000"/>
              <w:bottom w:val="single" w:sz="4" w:space="0" w:color="000000"/>
              <w:right w:val="single" w:sz="4" w:space="0" w:color="000000"/>
            </w:tcBorders>
            <w:vAlign w:val="bottom"/>
          </w:tcPr>
          <w:p w:rsidR="004A3DF6" w:rsidRDefault="00011070">
            <w:pPr>
              <w:jc w:val="center"/>
            </w:pPr>
            <w:r>
              <w:rPr>
                <w:color w:val="000000"/>
              </w:rPr>
              <w:t>58,7</w:t>
            </w:r>
          </w:p>
        </w:tc>
        <w:tc>
          <w:tcPr>
            <w:tcW w:w="2254" w:type="dxa"/>
            <w:tcBorders>
              <w:top w:val="single" w:sz="4" w:space="0" w:color="000000"/>
              <w:left w:val="single" w:sz="4" w:space="0" w:color="000000"/>
              <w:bottom w:val="single" w:sz="4" w:space="0" w:color="000000"/>
              <w:right w:val="single" w:sz="4" w:space="0" w:color="000000"/>
            </w:tcBorders>
            <w:vAlign w:val="bottom"/>
          </w:tcPr>
          <w:p w:rsidR="004A3DF6" w:rsidRDefault="00011070">
            <w:pPr>
              <w:jc w:val="center"/>
            </w:pPr>
            <w:r>
              <w:rPr>
                <w:color w:val="000000"/>
              </w:rPr>
              <w:t>64,2</w:t>
            </w:r>
          </w:p>
        </w:tc>
        <w:tc>
          <w:tcPr>
            <w:tcW w:w="2254" w:type="dxa"/>
            <w:tcBorders>
              <w:top w:val="single" w:sz="4" w:space="0" w:color="000000"/>
              <w:left w:val="single" w:sz="4" w:space="0" w:color="000000"/>
              <w:bottom w:val="single" w:sz="4" w:space="0" w:color="000000"/>
              <w:right w:val="single" w:sz="8" w:space="0" w:color="000000"/>
            </w:tcBorders>
            <w:shd w:val="clear" w:color="auto" w:fill="FBBABC"/>
            <w:vAlign w:val="bottom"/>
          </w:tcPr>
          <w:p w:rsidR="004A3DF6" w:rsidRDefault="00011070">
            <w:pPr>
              <w:jc w:val="center"/>
            </w:pPr>
            <w:r>
              <w:rPr>
                <w:color w:val="000000"/>
              </w:rPr>
              <w:t>5,5</w:t>
            </w:r>
          </w:p>
        </w:tc>
      </w:tr>
      <w:tr w:rsidR="004A3DF6">
        <w:trPr>
          <w:trHeight w:val="315"/>
        </w:trPr>
        <w:tc>
          <w:tcPr>
            <w:tcW w:w="2254" w:type="dxa"/>
            <w:tcBorders>
              <w:top w:val="single" w:sz="4" w:space="0" w:color="000000"/>
              <w:left w:val="single" w:sz="8" w:space="0" w:color="000000"/>
              <w:bottom w:val="single" w:sz="8" w:space="0" w:color="000000"/>
              <w:right w:val="single" w:sz="4" w:space="0" w:color="000000"/>
            </w:tcBorders>
            <w:vAlign w:val="bottom"/>
          </w:tcPr>
          <w:p w:rsidR="004A3DF6" w:rsidRDefault="00011070">
            <w:pPr>
              <w:jc w:val="center"/>
            </w:pPr>
            <w:r>
              <w:rPr>
                <w:color w:val="000000"/>
              </w:rPr>
              <w:t>Balıkesir</w:t>
            </w:r>
          </w:p>
        </w:tc>
        <w:tc>
          <w:tcPr>
            <w:tcW w:w="2254" w:type="dxa"/>
            <w:tcBorders>
              <w:top w:val="single" w:sz="4" w:space="0" w:color="000000"/>
              <w:left w:val="single" w:sz="4" w:space="0" w:color="000000"/>
              <w:bottom w:val="single" w:sz="8" w:space="0" w:color="000000"/>
              <w:right w:val="single" w:sz="4" w:space="0" w:color="000000"/>
            </w:tcBorders>
            <w:vAlign w:val="bottom"/>
          </w:tcPr>
          <w:p w:rsidR="004A3DF6" w:rsidRDefault="00011070">
            <w:pPr>
              <w:jc w:val="center"/>
            </w:pPr>
            <w:r>
              <w:rPr>
                <w:color w:val="000000"/>
              </w:rPr>
              <w:t>43,6</w:t>
            </w:r>
          </w:p>
        </w:tc>
        <w:tc>
          <w:tcPr>
            <w:tcW w:w="2254" w:type="dxa"/>
            <w:tcBorders>
              <w:top w:val="single" w:sz="4" w:space="0" w:color="000000"/>
              <w:left w:val="single" w:sz="4" w:space="0" w:color="000000"/>
              <w:bottom w:val="single" w:sz="8" w:space="0" w:color="000000"/>
              <w:right w:val="single" w:sz="4" w:space="0" w:color="000000"/>
            </w:tcBorders>
            <w:vAlign w:val="bottom"/>
          </w:tcPr>
          <w:p w:rsidR="004A3DF6" w:rsidRDefault="00011070">
            <w:pPr>
              <w:jc w:val="center"/>
            </w:pPr>
            <w:r>
              <w:rPr>
                <w:color w:val="000000"/>
              </w:rPr>
              <w:t>49,2</w:t>
            </w:r>
          </w:p>
        </w:tc>
        <w:tc>
          <w:tcPr>
            <w:tcW w:w="2254" w:type="dxa"/>
            <w:tcBorders>
              <w:top w:val="single" w:sz="4" w:space="0" w:color="000000"/>
              <w:left w:val="single" w:sz="4" w:space="0" w:color="000000"/>
              <w:bottom w:val="single" w:sz="8" w:space="0" w:color="000000"/>
              <w:right w:val="single" w:sz="8" w:space="0" w:color="000000"/>
            </w:tcBorders>
            <w:shd w:val="clear" w:color="auto" w:fill="F8696B"/>
            <w:vAlign w:val="bottom"/>
          </w:tcPr>
          <w:p w:rsidR="004A3DF6" w:rsidRDefault="00011070">
            <w:pPr>
              <w:jc w:val="center"/>
            </w:pPr>
            <w:r>
              <w:rPr>
                <w:color w:val="000000"/>
              </w:rPr>
              <w:t>5,6</w:t>
            </w:r>
          </w:p>
        </w:tc>
      </w:tr>
    </w:tbl>
    <w:p w:rsidR="004A3DF6" w:rsidRDefault="004A3DF6"/>
    <w:p w:rsidR="004A3DF6" w:rsidRDefault="004A3DF6"/>
    <w:p w:rsidR="004A3DF6" w:rsidRDefault="00011070">
      <w:pPr>
        <w:spacing w:after="0"/>
        <w:rPr>
          <w:sz w:val="20"/>
          <w:szCs w:val="20"/>
        </w:rPr>
      </w:pPr>
      <w:r>
        <w:rPr>
          <w:b/>
          <w:sz w:val="20"/>
          <w:szCs w:val="20"/>
        </w:rPr>
        <w:t>sahibinden.com hakkında</w:t>
      </w:r>
    </w:p>
    <w:p w:rsidR="004A3DF6" w:rsidRDefault="00011070">
      <w:pPr>
        <w:spacing w:after="0"/>
        <w:rPr>
          <w:sz w:val="20"/>
          <w:szCs w:val="20"/>
        </w:rPr>
      </w:pPr>
      <w:r>
        <w:rPr>
          <w:sz w:val="20"/>
          <w:szCs w:val="20"/>
        </w:rPr>
        <w:t xml:space="preserve">Aksoy Group bünyesinde 2000 yılında kurulan sahibinden.com, AR-GE merkezinde geliştirdiği yenilikçi ürün ve hizmetlerle Türkiye’nin lider teknoloji şirketlerinden biri olmaya devam ediyor. Aralık 2021’de ayda 58,1 milyon kullanıcının 463,4 milyon kez ziyaret ederek, 12,7 milyar sayfa görüntülediği sahibinden.com; 900’den fazla </w:t>
      </w:r>
      <w:r>
        <w:rPr>
          <w:sz w:val="20"/>
          <w:szCs w:val="20"/>
        </w:rPr>
        <w:lastRenderedPageBreak/>
        <w:t>çalışanı, 5 milyondan fazla aktif ilan ve yüz binlerce ürün çeşidiyle Türkiye’nin en büyük elektronik ticaret ve ilan platformlarından birisi olma özelliğini taşıyor.</w:t>
      </w:r>
    </w:p>
    <w:p w:rsidR="004A3DF6" w:rsidRDefault="004A3DF6">
      <w:pPr>
        <w:spacing w:after="0"/>
        <w:rPr>
          <w:sz w:val="20"/>
          <w:szCs w:val="20"/>
        </w:rPr>
      </w:pPr>
    </w:p>
    <w:p w:rsidR="004A3DF6" w:rsidRDefault="00011070">
      <w:pPr>
        <w:rPr>
          <w:sz w:val="20"/>
          <w:szCs w:val="20"/>
        </w:rPr>
      </w:pPr>
      <w:r>
        <w:rPr>
          <w:sz w:val="20"/>
          <w:szCs w:val="20"/>
        </w:rPr>
        <w:t>sahibinden.com güçlü teknolojik altyapısı ve çağın şartlarına uygun olarak geliştirdiği iş modeli sayesinde ikinci el ürünlerin satış yoluyla tekrar kullanıma kazandırılmasına aracılık ederek çevresel sürdürülebilirliğe katkı sağlıyor. sahibinden.com, 2021 yılında açıkladığı İkinci Elin Sürdürülebilirliğe Katkısı raporunda kullanıcıların ikinci el ürünleri tercih ederek 1 yılda 1,9 milyon ton karbondioksit üretiminden tasarruf ettiğini ortaya koydu. Yeşil Ofis Sertifikası almaya hak kazanan ilk e-ticaret şirketi olan sahibinden.com; uzun yıllardır enerji tasarrufu, yenilenebilir kaynaklar ve doğal kaynakların bilinçli kullanımı konusunda kurum içi çalışmalar gerçekleştiriyor. Teknoloji endüstrisini karbon-nötr hale getirmeyi hedefleyen LFCA (Leaders for Climate Action) üyeliği bulunan şirketin çalışanları da birer sürdürülebilirlik elçisi olarak çalışmalarına aralıksız devam ediyor.</w:t>
      </w:r>
    </w:p>
    <w:p w:rsidR="004A3DF6" w:rsidRDefault="004A3DF6"/>
    <w:sectPr w:rsidR="004A3DF6">
      <w:headerReference w:type="default" r:id="rId13"/>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F2B" w:rsidRDefault="00001F2B">
      <w:pPr>
        <w:spacing w:after="0" w:line="240" w:lineRule="auto"/>
      </w:pPr>
      <w:r>
        <w:separator/>
      </w:r>
    </w:p>
  </w:endnote>
  <w:endnote w:type="continuationSeparator" w:id="0">
    <w:p w:rsidR="00001F2B" w:rsidRDefault="0000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F2B" w:rsidRDefault="00001F2B">
      <w:pPr>
        <w:spacing w:after="0" w:line="240" w:lineRule="auto"/>
      </w:pPr>
      <w:r>
        <w:separator/>
      </w:r>
    </w:p>
  </w:footnote>
  <w:footnote w:type="continuationSeparator" w:id="0">
    <w:p w:rsidR="00001F2B" w:rsidRDefault="00001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F6" w:rsidRDefault="007B55B9">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76b34c9abf4ab46b1ebb9e7e" descr="{&quot;HashCode&quot;:6823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B55B9" w:rsidRPr="007B55B9" w:rsidRDefault="007B55B9" w:rsidP="007B55B9">
                          <w:pPr>
                            <w:spacing w:after="0"/>
                            <w:rPr>
                              <w:color w:val="0000FF"/>
                              <w:sz w:val="16"/>
                            </w:rPr>
                          </w:pPr>
                          <w:r w:rsidRPr="007B55B9">
                            <w:rPr>
                              <w:color w:val="0000FF"/>
                              <w:sz w:val="16"/>
                            </w:rPr>
                            <w:t>Kurum İçi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6b34c9abf4ab46b1ebb9e7e" o:spid="_x0000_s1026" type="#_x0000_t202" alt="{&quot;HashCode&quot;:68237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" o:allowincell="f" filled="f" stroked="f" strokeweight=".5pt">
              <v:fill o:detectmouseclick="t"/>
              <v:textbox inset="20pt,0,,0">
                <w:txbxContent>
                  <w:p w:rsidR="007B55B9" w:rsidRPr="007B55B9" w:rsidRDefault="007B55B9" w:rsidP="007B55B9">
                    <w:pPr>
                      <w:spacing w:after="0"/>
                      <w:rPr>
                        <w:color w:val="0000FF"/>
                        <w:sz w:val="16"/>
                      </w:rPr>
                    </w:pPr>
                    <w:r w:rsidRPr="007B55B9">
                      <w:rPr>
                        <w:color w:val="0000FF"/>
                        <w:sz w:val="16"/>
                      </w:rPr>
                      <w:t>Kurum İçi - Internal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F6"/>
    <w:rsid w:val="00001F2B"/>
    <w:rsid w:val="00011070"/>
    <w:rsid w:val="004A3DF6"/>
    <w:rsid w:val="007B55B9"/>
    <w:rsid w:val="00F81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8A21D"/>
  <w15:docId w15:val="{2A2A58A2-E6EC-4227-B0D1-A6D3CF96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pPr>
      <w:spacing w:after="0" w:line="240" w:lineRule="auto"/>
    </w:pPr>
    <w:tblPr>
      <w:tblStyleRowBandSize w:val="1"/>
      <w:tblStyleColBandSize w:val="1"/>
    </w:tblPr>
  </w:style>
  <w:style w:type="table" w:customStyle="1" w:styleId="a0">
    <w:basedOn w:val="NormalTablo"/>
    <w:pPr>
      <w:spacing w:after="0" w:line="240" w:lineRule="auto"/>
    </w:pPr>
    <w:tblPr>
      <w:tblStyleRowBandSize w:val="1"/>
      <w:tblStyleColBandSize w:val="1"/>
    </w:tblPr>
  </w:style>
  <w:style w:type="paragraph" w:styleId="BalonMetni">
    <w:name w:val="Balloon Text"/>
    <w:basedOn w:val="Normal"/>
    <w:link w:val="BalonMetniChar"/>
    <w:uiPriority w:val="99"/>
    <w:semiHidden/>
    <w:unhideWhenUsed/>
    <w:rsid w:val="007B55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55B9"/>
    <w:rPr>
      <w:rFonts w:ascii="Segoe UI" w:hAnsi="Segoe UI" w:cs="Segoe UI"/>
      <w:sz w:val="18"/>
      <w:szCs w:val="18"/>
    </w:rPr>
  </w:style>
  <w:style w:type="paragraph" w:styleId="stBilgi">
    <w:name w:val="header"/>
    <w:basedOn w:val="Normal"/>
    <w:link w:val="stBilgiChar"/>
    <w:uiPriority w:val="99"/>
    <w:unhideWhenUsed/>
    <w:rsid w:val="007B55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55B9"/>
  </w:style>
  <w:style w:type="paragraph" w:styleId="AltBilgi">
    <w:name w:val="footer"/>
    <w:basedOn w:val="Normal"/>
    <w:link w:val="AltBilgiChar"/>
    <w:uiPriority w:val="99"/>
    <w:unhideWhenUsed/>
    <w:rsid w:val="007B55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oKPEYV1ziZ670fYx9+AFthbZog==">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1181</Words>
  <Characters>6734</Characters>
  <Application>Microsoft Office Word</Application>
  <DocSecurity>0</DocSecurity>
  <Lines>56</Lines>
  <Paragraphs>15</Paragraphs>
  <ScaleCrop>false</ScaleCrop>
  <Company>Sahibinden Bilgi Teknolojileri</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ZELAL MİŞA NUR MEMİŞ</dc:creator>
  <cp:lastModifiedBy>Deniz Sabuncu</cp:lastModifiedBy>
  <cp:revision>3</cp:revision>
  <dcterms:created xsi:type="dcterms:W3CDTF">2022-10-12T10:26:00Z</dcterms:created>
  <dcterms:modified xsi:type="dcterms:W3CDTF">2022-10-18T08:24:00Z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07961e-2daf-4113-b5f3-ac7b4f936265_Enabled">
    <vt:lpwstr>true</vt:lpwstr>
  </property>
  <property fmtid="{D5CDD505-2E9C-101B-9397-08002B2CF9AE}" pid="3" name="MSIP_Label_4d07961e-2daf-4113-b5f3-ac7b4f936265_SetDate">
    <vt:lpwstr>2022-10-18T08:24:06Z</vt:lpwstr>
  </property>
  <property fmtid="{D5CDD505-2E9C-101B-9397-08002B2CF9AE}" pid="4" name="MSIP_Label_4d07961e-2daf-4113-b5f3-ac7b4f936265_Method">
    <vt:lpwstr>Standard</vt:lpwstr>
  </property>
  <property fmtid="{D5CDD505-2E9C-101B-9397-08002B2CF9AE}" pid="5" name="MSIP_Label_4d07961e-2daf-4113-b5f3-ac7b4f936265_Name">
    <vt:lpwstr>Internal - Kurum Ici</vt:lpwstr>
  </property>
  <property fmtid="{D5CDD505-2E9C-101B-9397-08002B2CF9AE}" pid="6" name="MSIP_Label_4d07961e-2daf-4113-b5f3-ac7b4f936265_SiteId">
    <vt:lpwstr>e168fe3a-8a8d-4dd1-9f09-bcd9f127297e</vt:lpwstr>
  </property>
  <property fmtid="{D5CDD505-2E9C-101B-9397-08002B2CF9AE}" pid="7" name="MSIP_Label_4d07961e-2daf-4113-b5f3-ac7b4f936265_ActionId">
    <vt:lpwstr>2de6fe2a-6c09-4661-884f-448f81369906</vt:lpwstr>
  </property>
  <property fmtid="{D5CDD505-2E9C-101B-9397-08002B2CF9AE}" pid="8" name="MSIP_Label_4d07961e-2daf-4113-b5f3-ac7b4f936265_ContentBits">
    <vt:lpwstr>1</vt:lpwstr>
  </property>
</Properties>
</file>