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FF33" w14:textId="4DF347EF" w:rsidR="00330550" w:rsidRPr="006A31E0" w:rsidRDefault="00FD289B" w:rsidP="00E02F52">
      <w:pPr>
        <w:jc w:val="both"/>
        <w:rPr>
          <w:b/>
          <w:bCs/>
          <w:lang w:val="tr-TR"/>
        </w:rPr>
      </w:pPr>
      <w:r w:rsidRPr="006A31E0">
        <w:rPr>
          <w:rFonts w:ascii="Times New Roman" w:hAnsi="Times New Roman" w:cs="Times New Roman"/>
          <w:noProof/>
          <w:lang w:val="tr-TR" w:eastAsia="tr-TR"/>
        </w:rPr>
        <mc:AlternateContent>
          <mc:Choice Requires="wps">
            <w:drawing>
              <wp:anchor distT="0" distB="0" distL="114300" distR="114300" simplePos="0" relativeHeight="251662336" behindDoc="0" locked="0" layoutInCell="1" allowOverlap="1" wp14:anchorId="0F9434FC" wp14:editId="49EFDFCA">
                <wp:simplePos x="0" y="0"/>
                <wp:positionH relativeFrom="margin">
                  <wp:posOffset>4857750</wp:posOffset>
                </wp:positionH>
                <wp:positionV relativeFrom="paragraph">
                  <wp:posOffset>223520</wp:posOffset>
                </wp:positionV>
                <wp:extent cx="1195705" cy="324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95705" cy="324485"/>
                        </a:xfrm>
                        <a:prstGeom prst="rect">
                          <a:avLst/>
                        </a:prstGeom>
                        <a:solidFill>
                          <a:srgbClr val="FFFFFF">
                            <a:alpha val="0"/>
                          </a:srgbClr>
                        </a:solidFill>
                        <a:ln>
                          <a:noFill/>
                        </a:ln>
                      </wps:spPr>
                      <wps:txbx>
                        <w:txbxContent>
                          <w:p w14:paraId="43C165AA" w14:textId="1FD3D836" w:rsidR="0005151D" w:rsidRDefault="006A31E0" w:rsidP="0005151D">
                            <w:pPr>
                              <w:jc w:val="center"/>
                              <w:rPr>
                                <w:b/>
                                <w:bCs/>
                                <w:color w:val="FFFFFF" w:themeColor="background1"/>
                              </w:rPr>
                            </w:pPr>
                            <w:r>
                              <w:rPr>
                                <w:b/>
                                <w:bCs/>
                                <w:color w:val="FFFFFF" w:themeColor="background1"/>
                              </w:rPr>
                              <w:t>2</w:t>
                            </w:r>
                            <w:r w:rsidR="008E5DF7">
                              <w:rPr>
                                <w:b/>
                                <w:bCs/>
                                <w:color w:val="FFFFFF" w:themeColor="background1"/>
                              </w:rPr>
                              <w:t>8</w:t>
                            </w:r>
                            <w:r w:rsidR="0005151D">
                              <w:rPr>
                                <w:b/>
                                <w:bCs/>
                                <w:color w:val="FFFFFF" w:themeColor="background1"/>
                              </w:rPr>
                              <w:t xml:space="preserve"> </w:t>
                            </w:r>
                            <w:proofErr w:type="spellStart"/>
                            <w:r w:rsidR="0005151D">
                              <w:rPr>
                                <w:b/>
                                <w:bCs/>
                                <w:color w:val="FFFFFF" w:themeColor="background1"/>
                              </w:rPr>
                              <w:t>Ekim</w:t>
                            </w:r>
                            <w:proofErr w:type="spellEnd"/>
                            <w:r w:rsidR="0005151D">
                              <w:rPr>
                                <w:b/>
                                <w:bCs/>
                                <w:color w:val="FFFFFF" w:themeColor="background1"/>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434FC" id="_x0000_t202" coordsize="21600,21600" o:spt="202" path="m,l,21600r21600,l21600,xe">
                <v:stroke joinstyle="miter"/>
                <v:path gradientshapeok="t" o:connecttype="rect"/>
              </v:shapetype>
              <v:shape id="Text Box 2" o:spid="_x0000_s1026" type="#_x0000_t202" style="position:absolute;left:0;text-align:left;margin-left:382.5pt;margin-top:17.6pt;width:94.15pt;height:25.5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" stroked="f">
                <v:fill opacity="0"/>
                <v:textbox inset="0,0,0,0">
                  <w:txbxContent>
                    <w:p w14:paraId="43C165AA" w14:textId="1FD3D836" w:rsidR="0005151D" w:rsidRDefault="006A31E0" w:rsidP="0005151D">
                      <w:pPr>
                        <w:jc w:val="center"/>
                        <w:rPr>
                          <w:b/>
                          <w:bCs/>
                          <w:color w:val="FFFFFF" w:themeColor="background1"/>
                        </w:rPr>
                      </w:pPr>
                      <w:r>
                        <w:rPr>
                          <w:b/>
                          <w:bCs/>
                          <w:color w:val="FFFFFF" w:themeColor="background1"/>
                        </w:rPr>
                        <w:t>2</w:t>
                      </w:r>
                      <w:r w:rsidR="008E5DF7">
                        <w:rPr>
                          <w:b/>
                          <w:bCs/>
                          <w:color w:val="FFFFFF" w:themeColor="background1"/>
                        </w:rPr>
                        <w:t>8</w:t>
                      </w:r>
                      <w:r w:rsidR="0005151D">
                        <w:rPr>
                          <w:b/>
                          <w:bCs/>
                          <w:color w:val="FFFFFF" w:themeColor="background1"/>
                        </w:rPr>
                        <w:t xml:space="preserve"> </w:t>
                      </w:r>
                      <w:proofErr w:type="spellStart"/>
                      <w:r w:rsidR="0005151D">
                        <w:rPr>
                          <w:b/>
                          <w:bCs/>
                          <w:color w:val="FFFFFF" w:themeColor="background1"/>
                        </w:rPr>
                        <w:t>Ekim</w:t>
                      </w:r>
                      <w:proofErr w:type="spellEnd"/>
                      <w:r w:rsidR="0005151D">
                        <w:rPr>
                          <w:b/>
                          <w:bCs/>
                          <w:color w:val="FFFFFF" w:themeColor="background1"/>
                        </w:rPr>
                        <w:t xml:space="preserve"> 2022</w:t>
                      </w:r>
                    </w:p>
                  </w:txbxContent>
                </v:textbox>
                <w10:wrap anchorx="margin"/>
              </v:shape>
            </w:pict>
          </mc:Fallback>
        </mc:AlternateContent>
      </w:r>
      <w:r w:rsidR="00330550" w:rsidRPr="006A31E0">
        <w:rPr>
          <w:noProof/>
          <w:lang w:val="tr-TR" w:eastAsia="tr-TR"/>
        </w:rPr>
        <w:drawing>
          <wp:anchor distT="0" distB="0" distL="114300" distR="114300" simplePos="0" relativeHeight="251658240" behindDoc="0" locked="0" layoutInCell="1" allowOverlap="1" wp14:anchorId="786F846A" wp14:editId="4A0AAF12">
            <wp:simplePos x="0" y="0"/>
            <wp:positionH relativeFrom="margin">
              <wp:posOffset>-447040</wp:posOffset>
            </wp:positionH>
            <wp:positionV relativeFrom="margin">
              <wp:posOffset>-793750</wp:posOffset>
            </wp:positionV>
            <wp:extent cx="6586220" cy="1282700"/>
            <wp:effectExtent l="0" t="0" r="5080" b="0"/>
            <wp:wrapSquare wrapText="bothSides"/>
            <wp:docPr id="1" name="Picture 1" descr=":banner(TUR).jpg"/>
            <wp:cNvGraphicFramePr/>
            <a:graphic xmlns:a="http://schemas.openxmlformats.org/drawingml/2006/main">
              <a:graphicData uri="http://schemas.openxmlformats.org/drawingml/2006/picture">
                <pic:pic xmlns:pic="http://schemas.openxmlformats.org/drawingml/2006/picture">
                  <pic:nvPicPr>
                    <pic:cNvPr id="6" name="Picture 1" descr=":banner(T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6220" cy="1282700"/>
                    </a:xfrm>
                    <a:prstGeom prst="rect">
                      <a:avLst/>
                    </a:prstGeom>
                    <a:ln>
                      <a:noFill/>
                    </a:ln>
                    <a:effectLst/>
                  </pic:spPr>
                </pic:pic>
              </a:graphicData>
            </a:graphic>
          </wp:anchor>
        </w:drawing>
      </w:r>
      <w:r w:rsidR="00330550" w:rsidRPr="006A31E0">
        <w:rPr>
          <w:rFonts w:ascii="Times New Roman" w:hAnsi="Times New Roman" w:cs="Times New Roman"/>
          <w:noProof/>
          <w:lang w:val="tr-TR" w:eastAsia="tr-TR"/>
        </w:rPr>
        <mc:AlternateContent>
          <mc:Choice Requires="wps">
            <w:drawing>
              <wp:anchor distT="0" distB="0" distL="114300" distR="114300" simplePos="0" relativeHeight="251660288" behindDoc="0" locked="0" layoutInCell="1" allowOverlap="1" wp14:anchorId="6CB67FFE" wp14:editId="6B4E93D0">
                <wp:simplePos x="0" y="0"/>
                <wp:positionH relativeFrom="column">
                  <wp:posOffset>1652905</wp:posOffset>
                </wp:positionH>
                <wp:positionV relativeFrom="paragraph">
                  <wp:posOffset>-467995</wp:posOffset>
                </wp:positionV>
                <wp:extent cx="3458845" cy="466090"/>
                <wp:effectExtent l="0" t="0" r="0" b="0"/>
                <wp:wrapNone/>
                <wp:docPr id="8" name="Text Box 8"/>
                <wp:cNvGraphicFramePr/>
                <a:graphic xmlns:a="http://schemas.openxmlformats.org/drawingml/2006/main">
                  <a:graphicData uri="http://schemas.microsoft.com/office/word/2010/wordprocessingShape">
                    <wps:wsp>
                      <wps:cNvSpPr txBox="1"/>
                      <wps:spPr>
                        <a:xfrm>
                          <a:off x="0" y="0"/>
                          <a:ext cx="3458845" cy="466090"/>
                        </a:xfrm>
                        <a:prstGeom prst="rect">
                          <a:avLst/>
                        </a:prstGeom>
                        <a:noFill/>
                        <a:ln w="6350">
                          <a:noFill/>
                        </a:ln>
                      </wps:spPr>
                      <wps:txbx>
                        <w:txbxContent>
                          <w:p w14:paraId="30591C19" w14:textId="196DE4FE" w:rsidR="00330550" w:rsidRDefault="00330550" w:rsidP="00330550">
                            <w:pPr>
                              <w:rPr>
                                <w:rFonts w:ascii="Times New Roman" w:hAnsi="Times New Roman" w:cs="Times New Roman"/>
                                <w:b/>
                                <w:bCs/>
                                <w:sz w:val="52"/>
                                <w:szCs w:val="52"/>
                              </w:rPr>
                            </w:pPr>
                            <w:proofErr w:type="spellStart"/>
                            <w:r>
                              <w:rPr>
                                <w:rFonts w:ascii="Times New Roman" w:hAnsi="Times New Roman" w:cs="Times New Roman"/>
                                <w:b/>
                                <w:bCs/>
                                <w:sz w:val="52"/>
                                <w:szCs w:val="52"/>
                              </w:rPr>
                              <w:t>Araştırma</w:t>
                            </w:r>
                            <w:proofErr w:type="spellEnd"/>
                            <w:r>
                              <w:rPr>
                                <w:rFonts w:ascii="Times New Roman" w:hAnsi="Times New Roman" w:cs="Times New Roman"/>
                                <w:b/>
                                <w:bCs/>
                                <w:sz w:val="52"/>
                                <w:szCs w:val="52"/>
                              </w:rPr>
                              <w:t xml:space="preserve"> </w:t>
                            </w:r>
                            <w:proofErr w:type="spellStart"/>
                            <w:r>
                              <w:rPr>
                                <w:rFonts w:ascii="Times New Roman" w:hAnsi="Times New Roman" w:cs="Times New Roman"/>
                                <w:b/>
                                <w:bCs/>
                                <w:sz w:val="52"/>
                                <w:szCs w:val="52"/>
                              </w:rPr>
                              <w:t>Notu</w:t>
                            </w:r>
                            <w:proofErr w:type="spellEnd"/>
                            <w:r>
                              <w:rPr>
                                <w:rFonts w:ascii="Times New Roman" w:hAnsi="Times New Roman" w:cs="Times New Roman"/>
                                <w:b/>
                                <w:bCs/>
                                <w:sz w:val="52"/>
                                <w:szCs w:val="52"/>
                              </w:rPr>
                              <w:t xml:space="preserve"> 22/26</w:t>
                            </w:r>
                            <w:r w:rsidR="006A31E0">
                              <w:rPr>
                                <w:rFonts w:ascii="Times New Roman" w:hAnsi="Times New Roman" w:cs="Times New Roman"/>
                                <w:b/>
                                <w:bCs/>
                                <w:sz w:val="52"/>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B67FFE" id="Text Box 8" o:spid="_x0000_s1027" type="#_x0000_t202" style="position:absolute;left:0;text-align:left;margin-left:130.15pt;margin-top:-36.85pt;width:272.3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tGGwIAADM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" filled="f" stroked="f" strokeweight=".5pt">
                <v:textbox>
                  <w:txbxContent>
                    <w:p w14:paraId="30591C19" w14:textId="196DE4FE" w:rsidR="00330550" w:rsidRDefault="00330550" w:rsidP="00330550">
                      <w:pPr>
                        <w:rPr>
                          <w:rFonts w:ascii="Times New Roman" w:hAnsi="Times New Roman" w:cs="Times New Roman"/>
                          <w:b/>
                          <w:bCs/>
                          <w:sz w:val="52"/>
                          <w:szCs w:val="52"/>
                        </w:rPr>
                      </w:pPr>
                      <w:proofErr w:type="spellStart"/>
                      <w:r>
                        <w:rPr>
                          <w:rFonts w:ascii="Times New Roman" w:hAnsi="Times New Roman" w:cs="Times New Roman"/>
                          <w:b/>
                          <w:bCs/>
                          <w:sz w:val="52"/>
                          <w:szCs w:val="52"/>
                        </w:rPr>
                        <w:t>Araştırma</w:t>
                      </w:r>
                      <w:proofErr w:type="spellEnd"/>
                      <w:r>
                        <w:rPr>
                          <w:rFonts w:ascii="Times New Roman" w:hAnsi="Times New Roman" w:cs="Times New Roman"/>
                          <w:b/>
                          <w:bCs/>
                          <w:sz w:val="52"/>
                          <w:szCs w:val="52"/>
                        </w:rPr>
                        <w:t xml:space="preserve"> </w:t>
                      </w:r>
                      <w:proofErr w:type="spellStart"/>
                      <w:r>
                        <w:rPr>
                          <w:rFonts w:ascii="Times New Roman" w:hAnsi="Times New Roman" w:cs="Times New Roman"/>
                          <w:b/>
                          <w:bCs/>
                          <w:sz w:val="52"/>
                          <w:szCs w:val="52"/>
                        </w:rPr>
                        <w:t>Notu</w:t>
                      </w:r>
                      <w:proofErr w:type="spellEnd"/>
                      <w:r>
                        <w:rPr>
                          <w:rFonts w:ascii="Times New Roman" w:hAnsi="Times New Roman" w:cs="Times New Roman"/>
                          <w:b/>
                          <w:bCs/>
                          <w:sz w:val="52"/>
                          <w:szCs w:val="52"/>
                        </w:rPr>
                        <w:t xml:space="preserve"> 22/26</w:t>
                      </w:r>
                      <w:r w:rsidR="006A31E0">
                        <w:rPr>
                          <w:rFonts w:ascii="Times New Roman" w:hAnsi="Times New Roman" w:cs="Times New Roman"/>
                          <w:b/>
                          <w:bCs/>
                          <w:sz w:val="52"/>
                          <w:szCs w:val="52"/>
                        </w:rPr>
                        <w:t>4</w:t>
                      </w:r>
                    </w:p>
                  </w:txbxContent>
                </v:textbox>
              </v:shape>
            </w:pict>
          </mc:Fallback>
        </mc:AlternateContent>
      </w:r>
    </w:p>
    <w:p w14:paraId="40B72A94" w14:textId="77777777" w:rsidR="006A31E0" w:rsidRPr="006A31E0" w:rsidRDefault="006A31E0" w:rsidP="006A31E0">
      <w:pPr>
        <w:jc w:val="center"/>
        <w:rPr>
          <w:b/>
          <w:bCs/>
          <w:lang w:val="tr-TR"/>
        </w:rPr>
      </w:pPr>
      <w:r w:rsidRPr="006A31E0">
        <w:rPr>
          <w:b/>
          <w:bCs/>
          <w:lang w:val="tr-TR"/>
        </w:rPr>
        <w:t>SEKTÖR İSTİHDAMLARINDA ÇARPICI GELİŞMELER VE YENİ GÜNDEM</w:t>
      </w:r>
    </w:p>
    <w:p w14:paraId="079A496D" w14:textId="11E71AB5" w:rsidR="006A31E0" w:rsidRPr="006A31E0" w:rsidRDefault="006A31E0" w:rsidP="006A31E0">
      <w:pPr>
        <w:jc w:val="center"/>
        <w:rPr>
          <w:b/>
          <w:bCs/>
          <w:lang w:val="tr-TR"/>
        </w:rPr>
      </w:pPr>
      <w:r w:rsidRPr="006A31E0">
        <w:rPr>
          <w:b/>
          <w:bCs/>
          <w:lang w:val="tr-TR"/>
        </w:rPr>
        <w:t>(2005-2022)</w:t>
      </w:r>
    </w:p>
    <w:p w14:paraId="44FF993D" w14:textId="77777777" w:rsidR="006A31E0" w:rsidRPr="006A31E0" w:rsidRDefault="006A31E0" w:rsidP="006A31E0">
      <w:pPr>
        <w:jc w:val="center"/>
        <w:rPr>
          <w:b/>
          <w:bCs/>
          <w:lang w:val="tr-TR"/>
        </w:rPr>
      </w:pPr>
      <w:r w:rsidRPr="006A31E0">
        <w:rPr>
          <w:b/>
          <w:bCs/>
          <w:lang w:val="tr-TR"/>
        </w:rPr>
        <w:t>Haluk Tükel</w:t>
      </w:r>
      <w:r w:rsidRPr="006A31E0">
        <w:rPr>
          <w:b/>
          <w:bCs/>
          <w:vertAlign w:val="superscript"/>
          <w:lang w:val="tr-TR"/>
        </w:rPr>
        <w:footnoteReference w:id="1"/>
      </w:r>
    </w:p>
    <w:p w14:paraId="4122DA22" w14:textId="77777777" w:rsidR="00963344" w:rsidRDefault="00963344" w:rsidP="006A31E0">
      <w:pPr>
        <w:jc w:val="center"/>
        <w:rPr>
          <w:b/>
          <w:bCs/>
          <w:lang w:val="tr-TR"/>
        </w:rPr>
      </w:pPr>
    </w:p>
    <w:p w14:paraId="5C07C5FA" w14:textId="626B1573" w:rsidR="006A31E0" w:rsidRPr="006A31E0" w:rsidRDefault="0047026B" w:rsidP="006A31E0">
      <w:pPr>
        <w:jc w:val="center"/>
        <w:rPr>
          <w:b/>
          <w:bCs/>
          <w:lang w:val="tr-TR"/>
        </w:rPr>
      </w:pPr>
      <w:r w:rsidRPr="006A31E0">
        <w:rPr>
          <w:b/>
          <w:bCs/>
          <w:lang w:val="tr-TR"/>
        </w:rPr>
        <w:t>Yönetici Özeti</w:t>
      </w:r>
    </w:p>
    <w:p w14:paraId="6F89EE89" w14:textId="3AC5EAEC" w:rsidR="006A31E0" w:rsidRPr="006A31E0" w:rsidRDefault="006A31E0" w:rsidP="00963344">
      <w:pPr>
        <w:jc w:val="both"/>
        <w:rPr>
          <w:lang w:val="tr-TR"/>
        </w:rPr>
      </w:pPr>
      <w:r w:rsidRPr="006A31E0">
        <w:rPr>
          <w:lang w:val="tr-TR"/>
        </w:rPr>
        <w:t xml:space="preserve">Son yıllarda ekonomik büyümede yaşanan nicel ve nitel çalkantılara ve kaynak tahsisindeki tercihlere bağlı olarak toplam istihdam düzeyinde, özellikle de sektör istihdamları düzeyinde büyük dalgalanmalar ve dikkat çekici farklılaşmalar ortaya çıkmıştır. 2014-2018 döneminde dengeli bir seyir izleyen istihdam artışlarını uzun dönem trendi olarak kabul edersek küresel kriz öncesinde yüksek verimlilik artışlarının önemli katkıda bulunduğu yüksek büyüme istihdam artışlarını toplamda düşük bir tempoda tuttuğundan istihdam seviyesi uzun dönem trendinden uzaklaşmıştır. Ancak sektörler düzeyinde verimlilik artışları farklı olduğundan sektörel istihdam trendleri de farklılaşmıştır. Küresel kriz sonrasında büyümenin istihdam yaratma kapasitesinde ortaya çıkan artış sonucu istihdam artışı da ivmelenmiştir. Bu dönemde yüksek verimlilik sayesinde sanayide istihdamın daha düşük, inşaat ve hizmetlerde daha yüksek bir tempoda arttığı görülmektedir. Bu dönemin en çarpıcı gelişmesi kuşkusuz inşaat istihdamının toplam içindeki ağırlığında gerçekleşen yüksek artıştır.  </w:t>
      </w:r>
    </w:p>
    <w:p w14:paraId="7DB69C76" w14:textId="4E9A7F33" w:rsidR="00963344" w:rsidRPr="006A31E0" w:rsidRDefault="006A31E0" w:rsidP="00963344">
      <w:pPr>
        <w:jc w:val="both"/>
        <w:rPr>
          <w:lang w:val="tr-TR"/>
        </w:rPr>
      </w:pPr>
      <w:r w:rsidRPr="006A31E0">
        <w:rPr>
          <w:lang w:val="tr-TR"/>
        </w:rPr>
        <w:t xml:space="preserve">2018 yılında patlak veren inşaat krizi bu sektörde büyük istihdam kayıplarına neden olurken yüksek büyüme dönemi de son ermiş, sanayi ve hizmet istihdamda artış duraklamış ardından   2020 yılında COVID-19 pandemisinin etkisiyle hizmetlerde ciddi istihdam kayıpları gerçekleşmiştir. 2021’den itibaren bir yandan pandemi sırasında ötelenmiş olan talebin devreye girmesi diğer yandan Türk lirasının büyük değer kaybının desteklediği ihracat sayesinde gerçekleşen yüksek büyüme istihdamda yeni bir döneme girildiğine dair sinyaller vermektedir. Toplam istihdam uzun dönem trendine yönelmiş olsa da sektörler düzeyinde istihdam trendlerinde büyük bir farklılaşma mevcuttur. Hizmet istihdamı kayıpların telafisiyle uzun dönem trendini yakınsamaya başlamıştır. Buna karşılık inşaat bu yakınsamanın çok uzağında kalmıştır. İnşaat istihdamının toplam içindeki payı da küresel kriz öncesi seviyesine geri dönmüştür. Ama asıl çarpıcı gelişme sanayi istihdamında görülmektedir. Toplam istihdam içindeki payı azalma eğiliminde olan ve bu nedenle “erken sanayisizleşme” tartışmalarını gündeme taşıyan sanayide son iki yılda bariz bir trend değişikliği ortaya çıkmıştır. Sanayi istihdamı uzun dönem trendinin çok üzerinde bir hızla artmaktadır. Bu yeni ve çarpıcı olgunun nedenleri ve kalıcı olup olmadığı yeni bir gündem konusu oluşturmaya adaydır.  </w:t>
      </w:r>
    </w:p>
    <w:p w14:paraId="2A6B77FC" w14:textId="6E33734D" w:rsidR="006A31E0" w:rsidRPr="006A31E0" w:rsidRDefault="006A31E0" w:rsidP="006A31E0">
      <w:pPr>
        <w:pStyle w:val="ListParagraph"/>
        <w:numPr>
          <w:ilvl w:val="0"/>
          <w:numId w:val="1"/>
        </w:numPr>
        <w:jc w:val="both"/>
        <w:rPr>
          <w:b/>
          <w:bCs/>
          <w:i/>
          <w:iCs/>
        </w:rPr>
      </w:pPr>
      <w:r w:rsidRPr="006A31E0">
        <w:rPr>
          <w:b/>
          <w:bCs/>
          <w:i/>
          <w:iCs/>
        </w:rPr>
        <w:t>Giriş</w:t>
      </w:r>
    </w:p>
    <w:p w14:paraId="6AFD22AF" w14:textId="46DB50A6" w:rsidR="006A31E0" w:rsidRPr="005B7FAF" w:rsidRDefault="006A31E0" w:rsidP="00963344">
      <w:pPr>
        <w:jc w:val="both"/>
        <w:rPr>
          <w:lang w:val="tr-TR"/>
        </w:rPr>
      </w:pPr>
      <w:r w:rsidRPr="005B7FAF">
        <w:rPr>
          <w:lang w:val="tr-TR"/>
        </w:rPr>
        <w:t xml:space="preserve">2005’ten itibaren ekonomik büyümenin seviyesine ve büyümenin istihdam yaratma kapasitesine bağlı olarak istihdam genelde dalgalı bir seyir izlemiştir. Bununla birlikte gerek toplam gerekse sanayi, inşaat ve hizmetlerde istihdam artış uzun dönem trendleri saptamak mümkündür. Türkiye ekonomisinin düşük büyüme patikasına girdiği 2018’den itibaren istihdamda uzun dönem trendlerinden sapmalar orta çıkmıştır. 2020 yılında pandemi şokunun etkisiyle bu sapmalar belirginleşmiş ve derinleşmiştir. 2021 ve 2022’nin ilk yarısında gerçekleşen yüksek ekonomik büyümenin yarattığı güçlü istihdam </w:t>
      </w:r>
      <w:r w:rsidRPr="005B7FAF">
        <w:rPr>
          <w:lang w:val="tr-TR"/>
        </w:rPr>
        <w:lastRenderedPageBreak/>
        <w:t>artışları toplamda uzun dönem trendine yakınsamayı başlatmış olsa da bu süreç henüz tamamlanmış değildir. Toplam istihdamının ötesinde istihdam dinamikleri ana sektörler itibariyle ele alındığında ciddi ayrışmalar gözlemlenmektedir. Sanayi, inşaat ve hizmet sektörlerinde uzun dönem trendlerinin diğer ifadeyle ortalama artış hızlarının farklı olması doğaldır. Ancak trenden sapmaların zamanlaması ve şiddeti farklılaştığı gibi trende dönüşte de esaslı bir farklılaşma görülmektedir. O kadar ki, inşaat yakınsamada başarısız olurken sanayide istihdamın seyri uzun dönem trendinin çok üzerine çıkmıştır. Bu görünüm Türkiye ekonomisinin sektörler itibariyle yapısal bir dönüşüm sürecine girdiği izlenimini vermekte ve yeni bir gündem konusu oluşturmaya adaydır.</w:t>
      </w:r>
    </w:p>
    <w:p w14:paraId="068FC689" w14:textId="66B1DDEC" w:rsidR="006A31E0" w:rsidRPr="00D55F26" w:rsidRDefault="006A31E0" w:rsidP="00963344">
      <w:pPr>
        <w:jc w:val="both"/>
        <w:rPr>
          <w:lang w:val="tr-TR"/>
        </w:rPr>
      </w:pPr>
      <w:r w:rsidRPr="005B7FAF">
        <w:rPr>
          <w:lang w:val="tr-TR"/>
        </w:rPr>
        <w:t>Bu araştırma notunda, 2005-2022 döneminde uzun dönem istihdam trendleri, bu trendlerde 2018’den itibaren ortaya çıkan sapmalar ve 2021’den itibaren gündeme gelen uzun dönem trendine dönüş çabaları önce toplam düzeyde ardından sanayi, inşaat ve hizmet sektörlerinde incelenmekte ve farklılıkların muhtemel nedenleri tartışılmaktadır.</w:t>
      </w:r>
      <w:r w:rsidRPr="006A31E0">
        <w:rPr>
          <w:rStyle w:val="FootnoteReference"/>
        </w:rPr>
        <w:footnoteReference w:id="2"/>
      </w:r>
      <w:r w:rsidRPr="005B7FAF">
        <w:rPr>
          <w:lang w:val="tr-TR"/>
        </w:rPr>
        <w:t xml:space="preserve"> </w:t>
      </w:r>
      <w:r w:rsidRPr="00D55F26">
        <w:rPr>
          <w:lang w:val="tr-TR"/>
        </w:rPr>
        <w:t>Son olarak İncelenen dönemde istihdamda belirgin bir trend arz etmeyen tarıma da kısaca değinilecektir. Belirtmek isteriz ki istihdam dinamikleri ekonomik büyümenin seviyesi kadar verimlilik artışları ile de yakından ilgilidir. Rakamlar son birkaç yılda emek verimliliğinde de sektörler itibariyle önemli gelişmeler yaşandığını göstermektedir. Bu konu Kasım ayında yayınlayacağımız ikinci bir araştırma notunda ele alınacaktır.</w:t>
      </w:r>
    </w:p>
    <w:p w14:paraId="6896E31A" w14:textId="79D7EB2D" w:rsidR="006A31E0" w:rsidRDefault="006A31E0" w:rsidP="00963344">
      <w:pPr>
        <w:pStyle w:val="ListParagraph"/>
        <w:numPr>
          <w:ilvl w:val="0"/>
          <w:numId w:val="1"/>
        </w:numPr>
        <w:rPr>
          <w:b/>
          <w:bCs/>
          <w:i/>
          <w:iCs/>
        </w:rPr>
      </w:pPr>
      <w:r w:rsidRPr="006A31E0">
        <w:rPr>
          <w:b/>
          <w:bCs/>
          <w:i/>
          <w:iCs/>
        </w:rPr>
        <w:t>Genel Görünüm: Toplam istihdamda uzun dönem trend, sapma ve yakınsama</w:t>
      </w:r>
    </w:p>
    <w:p w14:paraId="6B662843" w14:textId="77777777" w:rsidR="006A31E0" w:rsidRPr="006A31E0" w:rsidRDefault="006A31E0" w:rsidP="006A31E0">
      <w:pPr>
        <w:pStyle w:val="ListParagraph"/>
        <w:ind w:left="1080"/>
        <w:jc w:val="both"/>
        <w:rPr>
          <w:b/>
          <w:bCs/>
          <w:i/>
          <w:iCs/>
        </w:rPr>
      </w:pPr>
    </w:p>
    <w:p w14:paraId="7F9357A0" w14:textId="77777777" w:rsidR="006A31E0" w:rsidRPr="005B7FAF" w:rsidRDefault="006A31E0" w:rsidP="00963344">
      <w:pPr>
        <w:jc w:val="both"/>
        <w:rPr>
          <w:lang w:val="tr-TR"/>
        </w:rPr>
      </w:pPr>
      <w:r w:rsidRPr="005B7FAF">
        <w:rPr>
          <w:lang w:val="tr-TR"/>
        </w:rPr>
        <w:t xml:space="preserve">2002-2007 dönemi büyüme açısından yüksek oranlı bir büyüme dönemi olmakla birlikte istihdam açısından 20 milyon toplam istihdam düzeyinde bir durgunluk dönemi olmuştur. Bunun nedeni bu dönemde ekonomik büyümeye toplam faktör verimliliğinin dolayısıyla emek verimliğinin yüksek katkı yapmasıdır. Diğer ifadeyle büyümenin istihdam yaratma kapasitesinin, tekin deyimle istihdam-büyüme esnekliğinin düşük kalmasıdır. Buna karşılık, 2008 resesyonundan çıkışla birlikte 2014 yılına kadar toplam istihdamda patlama olmuş ve 6 milyonluk bir artışla 26 milyona gelinmiştir. 2014 yılından itibaren 2018 Haziran resesyonuna kadar istihdam artışı yüzde 3,0’lük uzun dönem eğilimi üzerinde kalmıştır (Şekil 1). Ekonomik büyümeye kıyasla istihdamda görülen yüksek artışın nedeni ise bu kez büyümenin istihdam yaratma kapasitesinde ortaya çıkan artıştır. İstihdam-büyüme esnekliği, kısmen hizmet istihdamındaki yüksek artışlar soncu, bu dönemde büyük ölçüde yükselmiş, verimliliğin büyüme katkısı ise düşük kalmıştır. </w:t>
      </w:r>
    </w:p>
    <w:p w14:paraId="3C4B9D21" w14:textId="4923898D" w:rsidR="006A31E0" w:rsidRPr="005B7FAF" w:rsidRDefault="006A31E0" w:rsidP="00963344">
      <w:pPr>
        <w:jc w:val="both"/>
        <w:rPr>
          <w:lang w:val="tr-TR"/>
        </w:rPr>
      </w:pPr>
      <w:r w:rsidRPr="005B7FAF">
        <w:rPr>
          <w:lang w:val="tr-TR"/>
        </w:rPr>
        <w:t>Türk ekonomisinin ulaştığı en yüksek istihdam seviyelerini yakınsayan Ocak 2014-Haziran 2018 dönemi eğilimini</w:t>
      </w:r>
      <w:r w:rsidRPr="006A31E0">
        <w:rPr>
          <w:rStyle w:val="FootnoteReference"/>
        </w:rPr>
        <w:footnoteReference w:id="3"/>
      </w:r>
      <w:r w:rsidRPr="005B7FAF">
        <w:rPr>
          <w:lang w:val="tr-TR"/>
        </w:rPr>
        <w:t xml:space="preserve">- </w:t>
      </w:r>
      <w:r w:rsidRPr="005B7FAF">
        <w:rPr>
          <w:i/>
          <w:iCs/>
          <w:lang w:val="tr-TR"/>
        </w:rPr>
        <w:t>“Teamül” (</w:t>
      </w:r>
      <w:proofErr w:type="spellStart"/>
      <w:r w:rsidRPr="005B7FAF">
        <w:rPr>
          <w:i/>
          <w:iCs/>
          <w:lang w:val="tr-TR"/>
        </w:rPr>
        <w:t>Convention</w:t>
      </w:r>
      <w:proofErr w:type="spellEnd"/>
      <w:r w:rsidRPr="005B7FAF">
        <w:rPr>
          <w:i/>
          <w:iCs/>
          <w:lang w:val="tr-TR"/>
        </w:rPr>
        <w:t>)</w:t>
      </w:r>
      <w:r w:rsidRPr="005B7FAF">
        <w:rPr>
          <w:lang w:val="tr-TR"/>
        </w:rPr>
        <w:t xml:space="preserve"> olarak dikkate alırsak, yakınsadığımız yüzde 3,0’lük eğilim değerlerini potansiyel referans değerler olarak kabul edebiliriz. Nitekim, bu istihdam artış oranı 2005-2022 dönemini kapsayan eğilimden çok farklı olmamakla birlikte, istihdam serisindeki zirve değerlerini -örneğin 2018 Mayıs ayındaki 29 milyonluk istihdam zirvesini yakınsamaktadır.</w:t>
      </w:r>
    </w:p>
    <w:p w14:paraId="03C76B08" w14:textId="77777777" w:rsidR="00963344" w:rsidRPr="005B7FAF" w:rsidRDefault="00963344" w:rsidP="00963344">
      <w:pPr>
        <w:jc w:val="both"/>
        <w:rPr>
          <w:b/>
          <w:bCs/>
          <w:i/>
          <w:iCs/>
          <w:lang w:val="tr-TR"/>
        </w:rPr>
      </w:pPr>
    </w:p>
    <w:p w14:paraId="06B2C8B5" w14:textId="77777777" w:rsidR="00963344" w:rsidRPr="005B7FAF" w:rsidRDefault="00963344" w:rsidP="00963344">
      <w:pPr>
        <w:jc w:val="both"/>
        <w:rPr>
          <w:b/>
          <w:bCs/>
          <w:i/>
          <w:iCs/>
          <w:lang w:val="tr-TR"/>
        </w:rPr>
      </w:pPr>
    </w:p>
    <w:p w14:paraId="5A1FD585" w14:textId="77777777" w:rsidR="00963344" w:rsidRPr="005B7FAF" w:rsidRDefault="00963344" w:rsidP="00963344">
      <w:pPr>
        <w:jc w:val="both"/>
        <w:rPr>
          <w:b/>
          <w:bCs/>
          <w:i/>
          <w:iCs/>
          <w:lang w:val="tr-TR"/>
        </w:rPr>
      </w:pPr>
    </w:p>
    <w:p w14:paraId="00FEFFD0" w14:textId="77777777" w:rsidR="00963344" w:rsidRPr="005B7FAF" w:rsidRDefault="00963344" w:rsidP="00963344">
      <w:pPr>
        <w:jc w:val="both"/>
        <w:rPr>
          <w:b/>
          <w:bCs/>
          <w:i/>
          <w:iCs/>
          <w:lang w:val="tr-TR"/>
        </w:rPr>
      </w:pPr>
    </w:p>
    <w:p w14:paraId="602F7027" w14:textId="124F2304" w:rsidR="006A31E0" w:rsidRPr="00D55F26" w:rsidRDefault="006A31E0" w:rsidP="00963344">
      <w:pPr>
        <w:jc w:val="both"/>
        <w:rPr>
          <w:b/>
          <w:bCs/>
          <w:i/>
          <w:iCs/>
          <w:lang w:val="tr-TR"/>
        </w:rPr>
      </w:pPr>
      <w:r w:rsidRPr="00D55F26">
        <w:rPr>
          <w:b/>
          <w:bCs/>
          <w:i/>
          <w:iCs/>
          <w:lang w:val="tr-TR"/>
        </w:rPr>
        <w:lastRenderedPageBreak/>
        <w:t xml:space="preserve">Şekil 1: Toplam istihdamda uzun dönem eğilim ve sapmalar </w:t>
      </w:r>
      <w:bookmarkStart w:id="0" w:name="_Hlk117516272"/>
    </w:p>
    <w:bookmarkEnd w:id="0"/>
    <w:p w14:paraId="16EE817B" w14:textId="77777777" w:rsidR="006A31E0" w:rsidRPr="006A31E0" w:rsidRDefault="006A31E0" w:rsidP="00963344">
      <w:r w:rsidRPr="006A31E0">
        <w:rPr>
          <w:noProof/>
          <w:lang w:val="en-GB" w:eastAsia="en-GB"/>
        </w:rPr>
        <w:drawing>
          <wp:inline distT="0" distB="0" distL="0" distR="0" wp14:anchorId="3F596E08" wp14:editId="5C69DED4">
            <wp:extent cx="5705605" cy="30841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605" cy="3084195"/>
                    </a:xfrm>
                    <a:prstGeom prst="rect">
                      <a:avLst/>
                    </a:prstGeom>
                    <a:noFill/>
                  </pic:spPr>
                </pic:pic>
              </a:graphicData>
            </a:graphic>
          </wp:inline>
        </w:drawing>
      </w:r>
    </w:p>
    <w:p w14:paraId="56EA0215" w14:textId="77777777" w:rsidR="006A31E0" w:rsidRPr="006A31E0" w:rsidRDefault="006A31E0" w:rsidP="006A31E0">
      <w:pPr>
        <w:ind w:left="708"/>
        <w:jc w:val="both"/>
      </w:pPr>
    </w:p>
    <w:p w14:paraId="6A5EB485" w14:textId="77777777" w:rsidR="006A31E0" w:rsidRPr="006A31E0" w:rsidRDefault="006A31E0" w:rsidP="00963344">
      <w:pPr>
        <w:jc w:val="both"/>
      </w:pPr>
      <w:r w:rsidRPr="006A31E0">
        <w:t xml:space="preserve">Bu </w:t>
      </w:r>
      <w:proofErr w:type="spellStart"/>
      <w:r w:rsidRPr="006A31E0">
        <w:t>potansiyel</w:t>
      </w:r>
      <w:proofErr w:type="spellEnd"/>
      <w:r w:rsidRPr="006A31E0">
        <w:t xml:space="preserve"> </w:t>
      </w:r>
      <w:proofErr w:type="spellStart"/>
      <w:r w:rsidRPr="006A31E0">
        <w:t>toplam</w:t>
      </w:r>
      <w:proofErr w:type="spellEnd"/>
      <w:r w:rsidRPr="006A31E0">
        <w:t xml:space="preserve"> </w:t>
      </w:r>
      <w:proofErr w:type="spellStart"/>
      <w:r w:rsidRPr="006A31E0">
        <w:t>istihdam</w:t>
      </w:r>
      <w:proofErr w:type="spellEnd"/>
      <w:r w:rsidRPr="006A31E0">
        <w:t xml:space="preserve"> </w:t>
      </w:r>
      <w:proofErr w:type="spellStart"/>
      <w:r w:rsidRPr="006A31E0">
        <w:t>eğiliminden</w:t>
      </w:r>
      <w:proofErr w:type="spellEnd"/>
      <w:r w:rsidRPr="006A31E0">
        <w:t xml:space="preserve"> </w:t>
      </w:r>
      <w:proofErr w:type="spellStart"/>
      <w:r w:rsidRPr="006A31E0">
        <w:t>aşağıya</w:t>
      </w:r>
      <w:proofErr w:type="spellEnd"/>
      <w:r w:rsidRPr="006A31E0">
        <w:t xml:space="preserve"> </w:t>
      </w:r>
      <w:proofErr w:type="spellStart"/>
      <w:r w:rsidRPr="006A31E0">
        <w:t>doğru</w:t>
      </w:r>
      <w:proofErr w:type="spellEnd"/>
      <w:r w:rsidRPr="006A31E0">
        <w:t xml:space="preserve"> </w:t>
      </w:r>
      <w:proofErr w:type="spellStart"/>
      <w:r w:rsidRPr="006A31E0">
        <w:t>sapma</w:t>
      </w:r>
      <w:proofErr w:type="spellEnd"/>
      <w:r w:rsidRPr="006A31E0">
        <w:t xml:space="preserve"> 2018 </w:t>
      </w:r>
      <w:proofErr w:type="spellStart"/>
      <w:r w:rsidRPr="006A31E0">
        <w:t>resesyonu</w:t>
      </w:r>
      <w:proofErr w:type="spellEnd"/>
      <w:r w:rsidRPr="006A31E0">
        <w:t xml:space="preserve"> </w:t>
      </w:r>
      <w:proofErr w:type="spellStart"/>
      <w:r w:rsidRPr="006A31E0">
        <w:t>akabinde</w:t>
      </w:r>
      <w:proofErr w:type="spellEnd"/>
      <w:r w:rsidRPr="006A31E0">
        <w:t xml:space="preserve"> 2019 </w:t>
      </w:r>
      <w:proofErr w:type="spellStart"/>
      <w:r w:rsidRPr="006A31E0">
        <w:t>yılında</w:t>
      </w:r>
      <w:proofErr w:type="spellEnd"/>
      <w:r w:rsidRPr="006A31E0">
        <w:t xml:space="preserve"> </w:t>
      </w:r>
      <w:proofErr w:type="spellStart"/>
      <w:r w:rsidRPr="006A31E0">
        <w:t>yüzde</w:t>
      </w:r>
      <w:proofErr w:type="spellEnd"/>
      <w:r w:rsidRPr="006A31E0">
        <w:t xml:space="preserve"> -7/-8, COVİD </w:t>
      </w:r>
      <w:proofErr w:type="spellStart"/>
      <w:r w:rsidRPr="006A31E0">
        <w:t>resesyonu</w:t>
      </w:r>
      <w:proofErr w:type="spellEnd"/>
      <w:r w:rsidRPr="006A31E0">
        <w:t xml:space="preserve"> </w:t>
      </w:r>
      <w:proofErr w:type="spellStart"/>
      <w:r w:rsidRPr="006A31E0">
        <w:t>nedeniyle</w:t>
      </w:r>
      <w:proofErr w:type="spellEnd"/>
      <w:r w:rsidRPr="006A31E0">
        <w:t xml:space="preserve"> 2020’de </w:t>
      </w:r>
      <w:proofErr w:type="spellStart"/>
      <w:r w:rsidRPr="006A31E0">
        <w:t>yüzde</w:t>
      </w:r>
      <w:proofErr w:type="spellEnd"/>
      <w:r w:rsidRPr="006A31E0">
        <w:t xml:space="preserve"> -14/-15, dip </w:t>
      </w:r>
      <w:proofErr w:type="spellStart"/>
      <w:r w:rsidRPr="006A31E0">
        <w:t>noktada</w:t>
      </w:r>
      <w:proofErr w:type="spellEnd"/>
      <w:r w:rsidRPr="006A31E0">
        <w:t xml:space="preserve"> </w:t>
      </w:r>
      <w:proofErr w:type="spellStart"/>
      <w:r w:rsidRPr="006A31E0">
        <w:t>ise</w:t>
      </w:r>
      <w:proofErr w:type="spellEnd"/>
      <w:r w:rsidRPr="006A31E0">
        <w:t xml:space="preserve"> </w:t>
      </w:r>
      <w:proofErr w:type="spellStart"/>
      <w:r w:rsidRPr="006A31E0">
        <w:t>yüzde</w:t>
      </w:r>
      <w:proofErr w:type="spellEnd"/>
      <w:r w:rsidRPr="006A31E0">
        <w:t xml:space="preserve"> 20 </w:t>
      </w:r>
      <w:proofErr w:type="spellStart"/>
      <w:r w:rsidRPr="006A31E0">
        <w:t>dolaylarında</w:t>
      </w:r>
      <w:proofErr w:type="spellEnd"/>
      <w:r w:rsidRPr="006A31E0">
        <w:t xml:space="preserve"> </w:t>
      </w:r>
      <w:proofErr w:type="spellStart"/>
      <w:r w:rsidRPr="006A31E0">
        <w:t>gerçekleşti</w:t>
      </w:r>
      <w:proofErr w:type="spellEnd"/>
      <w:r w:rsidRPr="006A31E0">
        <w:t xml:space="preserve">. 2021 Ocak-2022 </w:t>
      </w:r>
      <w:proofErr w:type="spellStart"/>
      <w:r w:rsidRPr="006A31E0">
        <w:t>Ağustos</w:t>
      </w:r>
      <w:proofErr w:type="spellEnd"/>
      <w:r w:rsidRPr="006A31E0">
        <w:t xml:space="preserve"> </w:t>
      </w:r>
      <w:proofErr w:type="spellStart"/>
      <w:r w:rsidRPr="006A31E0">
        <w:t>döneminde</w:t>
      </w:r>
      <w:proofErr w:type="spellEnd"/>
      <w:r w:rsidRPr="006A31E0">
        <w:t xml:space="preserve"> </w:t>
      </w:r>
      <w:proofErr w:type="spellStart"/>
      <w:r w:rsidRPr="006A31E0">
        <w:t>üretimdeki</w:t>
      </w:r>
      <w:proofErr w:type="spellEnd"/>
      <w:r w:rsidRPr="006A31E0">
        <w:t xml:space="preserve"> </w:t>
      </w:r>
      <w:proofErr w:type="spellStart"/>
      <w:r w:rsidRPr="006A31E0">
        <w:t>toparlanmayla</w:t>
      </w:r>
      <w:proofErr w:type="spellEnd"/>
      <w:r w:rsidRPr="006A31E0">
        <w:t xml:space="preserve"> </w:t>
      </w:r>
      <w:proofErr w:type="spellStart"/>
      <w:r w:rsidRPr="006A31E0">
        <w:t>birlikte</w:t>
      </w:r>
      <w:proofErr w:type="spellEnd"/>
      <w:r w:rsidRPr="006A31E0">
        <w:t xml:space="preserve"> </w:t>
      </w:r>
      <w:proofErr w:type="spellStart"/>
      <w:r w:rsidRPr="006A31E0">
        <w:t>istihdamdaki</w:t>
      </w:r>
      <w:proofErr w:type="spellEnd"/>
      <w:r w:rsidRPr="006A31E0">
        <w:t xml:space="preserve"> </w:t>
      </w:r>
      <w:proofErr w:type="spellStart"/>
      <w:r w:rsidRPr="006A31E0">
        <w:t>potansiyelden</w:t>
      </w:r>
      <w:proofErr w:type="spellEnd"/>
      <w:r w:rsidRPr="006A31E0">
        <w:t xml:space="preserve"> </w:t>
      </w:r>
      <w:proofErr w:type="spellStart"/>
      <w:r w:rsidRPr="006A31E0">
        <w:t>sapmanın</w:t>
      </w:r>
      <w:proofErr w:type="spellEnd"/>
      <w:r w:rsidRPr="006A31E0">
        <w:t xml:space="preserve"> </w:t>
      </w:r>
      <w:proofErr w:type="spellStart"/>
      <w:r w:rsidRPr="006A31E0">
        <w:t>yüzde</w:t>
      </w:r>
      <w:proofErr w:type="spellEnd"/>
      <w:r w:rsidRPr="006A31E0">
        <w:t xml:space="preserve"> -5 </w:t>
      </w:r>
      <w:proofErr w:type="spellStart"/>
      <w:r w:rsidRPr="006A31E0">
        <w:t>civarına</w:t>
      </w:r>
      <w:proofErr w:type="spellEnd"/>
      <w:r w:rsidRPr="006A31E0">
        <w:t xml:space="preserve"> </w:t>
      </w:r>
      <w:proofErr w:type="spellStart"/>
      <w:r w:rsidRPr="006A31E0">
        <w:t>kadar</w:t>
      </w:r>
      <w:proofErr w:type="spellEnd"/>
      <w:r w:rsidRPr="006A31E0">
        <w:t xml:space="preserve"> </w:t>
      </w:r>
      <w:proofErr w:type="spellStart"/>
      <w:r w:rsidRPr="006A31E0">
        <w:t>yükseldiği</w:t>
      </w:r>
      <w:proofErr w:type="spellEnd"/>
      <w:r w:rsidRPr="006A31E0">
        <w:t xml:space="preserve"> </w:t>
      </w:r>
      <w:proofErr w:type="spellStart"/>
      <w:r w:rsidRPr="006A31E0">
        <w:t>görülmektedir</w:t>
      </w:r>
      <w:proofErr w:type="spellEnd"/>
      <w:r w:rsidRPr="006A31E0">
        <w:t xml:space="preserve"> (</w:t>
      </w:r>
      <w:proofErr w:type="spellStart"/>
      <w:r w:rsidRPr="006A31E0">
        <w:t>Şekil</w:t>
      </w:r>
      <w:proofErr w:type="spellEnd"/>
      <w:r w:rsidRPr="006A31E0">
        <w:t xml:space="preserve"> 2). Ama </w:t>
      </w:r>
      <w:proofErr w:type="spellStart"/>
      <w:r w:rsidRPr="006A31E0">
        <w:t>henüz</w:t>
      </w:r>
      <w:proofErr w:type="spellEnd"/>
      <w:r w:rsidRPr="006A31E0">
        <w:t xml:space="preserve"> </w:t>
      </w:r>
      <w:proofErr w:type="spellStart"/>
      <w:r w:rsidRPr="006A31E0">
        <w:t>uzun</w:t>
      </w:r>
      <w:proofErr w:type="spellEnd"/>
      <w:r w:rsidRPr="006A31E0">
        <w:t xml:space="preserve"> </w:t>
      </w:r>
      <w:proofErr w:type="spellStart"/>
      <w:r w:rsidRPr="006A31E0">
        <w:t>dönem</w:t>
      </w:r>
      <w:proofErr w:type="spellEnd"/>
      <w:r w:rsidRPr="006A31E0">
        <w:t xml:space="preserve"> </w:t>
      </w:r>
      <w:proofErr w:type="spellStart"/>
      <w:r w:rsidRPr="006A31E0">
        <w:t>eğilim</w:t>
      </w:r>
      <w:proofErr w:type="spellEnd"/>
      <w:r w:rsidRPr="006A31E0">
        <w:t xml:space="preserve"> </w:t>
      </w:r>
      <w:proofErr w:type="spellStart"/>
      <w:r w:rsidRPr="006A31E0">
        <w:t>değerlerini</w:t>
      </w:r>
      <w:proofErr w:type="spellEnd"/>
      <w:r w:rsidRPr="006A31E0">
        <w:t xml:space="preserve"> </w:t>
      </w:r>
      <w:proofErr w:type="spellStart"/>
      <w:r w:rsidRPr="006A31E0">
        <w:t>yakalamış</w:t>
      </w:r>
      <w:proofErr w:type="spellEnd"/>
      <w:r w:rsidRPr="006A31E0">
        <w:t xml:space="preserve"> </w:t>
      </w:r>
      <w:proofErr w:type="spellStart"/>
      <w:r w:rsidRPr="006A31E0">
        <w:t>değiliz</w:t>
      </w:r>
      <w:proofErr w:type="spellEnd"/>
      <w:r w:rsidRPr="006A31E0">
        <w:t xml:space="preserve">. 2023-2025 OVP </w:t>
      </w:r>
      <w:proofErr w:type="spellStart"/>
      <w:r w:rsidRPr="006A31E0">
        <w:t>tahminleri</w:t>
      </w:r>
      <w:proofErr w:type="spellEnd"/>
      <w:r w:rsidRPr="006A31E0">
        <w:t xml:space="preserve"> de </w:t>
      </w:r>
      <w:proofErr w:type="spellStart"/>
      <w:r w:rsidRPr="006A31E0">
        <w:t>potansiyel</w:t>
      </w:r>
      <w:proofErr w:type="spellEnd"/>
      <w:r w:rsidRPr="006A31E0">
        <w:t xml:space="preserve"> </w:t>
      </w:r>
      <w:proofErr w:type="spellStart"/>
      <w:r w:rsidRPr="006A31E0">
        <w:t>üretim</w:t>
      </w:r>
      <w:proofErr w:type="spellEnd"/>
      <w:r w:rsidRPr="006A31E0">
        <w:t xml:space="preserve"> </w:t>
      </w:r>
      <w:proofErr w:type="spellStart"/>
      <w:r w:rsidRPr="006A31E0">
        <w:t>ve</w:t>
      </w:r>
      <w:proofErr w:type="spellEnd"/>
      <w:r w:rsidRPr="006A31E0">
        <w:t xml:space="preserve"> </w:t>
      </w:r>
      <w:proofErr w:type="spellStart"/>
      <w:r w:rsidRPr="006A31E0">
        <w:t>potansiyel</w:t>
      </w:r>
      <w:proofErr w:type="spellEnd"/>
      <w:r w:rsidRPr="006A31E0">
        <w:t xml:space="preserve"> </w:t>
      </w:r>
      <w:proofErr w:type="spellStart"/>
      <w:r w:rsidRPr="006A31E0">
        <w:t>istihdamdaki</w:t>
      </w:r>
      <w:proofErr w:type="spellEnd"/>
      <w:r w:rsidRPr="006A31E0">
        <w:t xml:space="preserve"> </w:t>
      </w:r>
      <w:proofErr w:type="spellStart"/>
      <w:r w:rsidRPr="006A31E0">
        <w:t>negatif</w:t>
      </w:r>
      <w:proofErr w:type="spellEnd"/>
      <w:r w:rsidRPr="006A31E0">
        <w:t xml:space="preserve"> </w:t>
      </w:r>
      <w:proofErr w:type="spellStart"/>
      <w:r w:rsidRPr="006A31E0">
        <w:t>sapmanın</w:t>
      </w:r>
      <w:proofErr w:type="spellEnd"/>
      <w:r w:rsidRPr="006A31E0">
        <w:t xml:space="preserve"> </w:t>
      </w:r>
      <w:proofErr w:type="spellStart"/>
      <w:r w:rsidRPr="006A31E0">
        <w:t>yüzde</w:t>
      </w:r>
      <w:proofErr w:type="spellEnd"/>
      <w:r w:rsidRPr="006A31E0">
        <w:t xml:space="preserve"> -5 </w:t>
      </w:r>
      <w:proofErr w:type="spellStart"/>
      <w:r w:rsidRPr="006A31E0">
        <w:t>civarında</w:t>
      </w:r>
      <w:proofErr w:type="spellEnd"/>
      <w:r w:rsidRPr="006A31E0">
        <w:t xml:space="preserve"> </w:t>
      </w:r>
      <w:proofErr w:type="spellStart"/>
      <w:r w:rsidRPr="006A31E0">
        <w:t>süreceğine</w:t>
      </w:r>
      <w:proofErr w:type="spellEnd"/>
      <w:r w:rsidRPr="006A31E0">
        <w:t xml:space="preserve"> </w:t>
      </w:r>
      <w:proofErr w:type="spellStart"/>
      <w:r w:rsidRPr="006A31E0">
        <w:t>işaret</w:t>
      </w:r>
      <w:proofErr w:type="spellEnd"/>
      <w:r w:rsidRPr="006A31E0">
        <w:t xml:space="preserve"> </w:t>
      </w:r>
      <w:proofErr w:type="spellStart"/>
      <w:r w:rsidRPr="006A31E0">
        <w:t>etmektedir</w:t>
      </w:r>
      <w:proofErr w:type="spellEnd"/>
      <w:r w:rsidRPr="006A31E0">
        <w:t xml:space="preserve">. </w:t>
      </w:r>
      <w:proofErr w:type="spellStart"/>
      <w:r w:rsidRPr="006A31E0">
        <w:t>Potansiyel</w:t>
      </w:r>
      <w:proofErr w:type="spellEnd"/>
      <w:r w:rsidRPr="006A31E0">
        <w:t xml:space="preserve"> </w:t>
      </w:r>
      <w:proofErr w:type="spellStart"/>
      <w:r w:rsidRPr="006A31E0">
        <w:t>istihdamın</w:t>
      </w:r>
      <w:proofErr w:type="spellEnd"/>
      <w:r w:rsidRPr="006A31E0">
        <w:t xml:space="preserve"> </w:t>
      </w:r>
      <w:proofErr w:type="spellStart"/>
      <w:r w:rsidRPr="006A31E0">
        <w:t>yüzde</w:t>
      </w:r>
      <w:proofErr w:type="spellEnd"/>
      <w:r w:rsidRPr="006A31E0">
        <w:t xml:space="preserve"> 3,0 </w:t>
      </w:r>
      <w:proofErr w:type="spellStart"/>
      <w:r w:rsidRPr="006A31E0">
        <w:t>artması</w:t>
      </w:r>
      <w:proofErr w:type="spellEnd"/>
      <w:r w:rsidRPr="006A31E0">
        <w:t xml:space="preserve"> </w:t>
      </w:r>
      <w:proofErr w:type="spellStart"/>
      <w:r w:rsidRPr="006A31E0">
        <w:t>karşısında</w:t>
      </w:r>
      <w:proofErr w:type="spellEnd"/>
      <w:r w:rsidRPr="006A31E0">
        <w:t xml:space="preserve"> 15+ </w:t>
      </w:r>
      <w:proofErr w:type="spellStart"/>
      <w:r w:rsidRPr="006A31E0">
        <w:t>potansiyel</w:t>
      </w:r>
      <w:proofErr w:type="spellEnd"/>
      <w:r w:rsidRPr="006A31E0">
        <w:t xml:space="preserve"> </w:t>
      </w:r>
      <w:proofErr w:type="spellStart"/>
      <w:r w:rsidRPr="006A31E0">
        <w:t>işgücündeki</w:t>
      </w:r>
      <w:proofErr w:type="spellEnd"/>
      <w:r w:rsidRPr="006A31E0">
        <w:t xml:space="preserve"> %3,3 </w:t>
      </w:r>
      <w:proofErr w:type="spellStart"/>
      <w:r w:rsidRPr="006A31E0">
        <w:t>oranındaki</w:t>
      </w:r>
      <w:proofErr w:type="spellEnd"/>
      <w:r w:rsidRPr="006A31E0">
        <w:t xml:space="preserve"> </w:t>
      </w:r>
      <w:proofErr w:type="spellStart"/>
      <w:r w:rsidRPr="006A31E0">
        <w:t>artış</w:t>
      </w:r>
      <w:proofErr w:type="spellEnd"/>
      <w:r w:rsidRPr="006A31E0">
        <w:t xml:space="preserve"> “</w:t>
      </w:r>
      <w:proofErr w:type="spellStart"/>
      <w:r w:rsidRPr="006A31E0">
        <w:t>Atıl</w:t>
      </w:r>
      <w:proofErr w:type="spellEnd"/>
      <w:r w:rsidRPr="006A31E0">
        <w:t xml:space="preserve"> </w:t>
      </w:r>
      <w:proofErr w:type="spellStart"/>
      <w:r w:rsidRPr="006A31E0">
        <w:t>İşgücü</w:t>
      </w:r>
      <w:proofErr w:type="spellEnd"/>
      <w:r w:rsidRPr="006A31E0">
        <w:t xml:space="preserve">” </w:t>
      </w:r>
      <w:proofErr w:type="spellStart"/>
      <w:r w:rsidRPr="006A31E0">
        <w:t>nün</w:t>
      </w:r>
      <w:proofErr w:type="spellEnd"/>
      <w:r w:rsidRPr="006A31E0">
        <w:t xml:space="preserve"> de zaman </w:t>
      </w:r>
      <w:proofErr w:type="spellStart"/>
      <w:r w:rsidRPr="006A31E0">
        <w:t>içerisinde</w:t>
      </w:r>
      <w:proofErr w:type="spellEnd"/>
      <w:r w:rsidRPr="006A31E0">
        <w:t xml:space="preserve"> </w:t>
      </w:r>
      <w:proofErr w:type="spellStart"/>
      <w:r w:rsidRPr="006A31E0">
        <w:t>yükselmesine</w:t>
      </w:r>
      <w:proofErr w:type="spellEnd"/>
      <w:r w:rsidRPr="006A31E0">
        <w:t xml:space="preserve"> </w:t>
      </w:r>
      <w:proofErr w:type="spellStart"/>
      <w:r w:rsidRPr="006A31E0">
        <w:t>neden</w:t>
      </w:r>
      <w:proofErr w:type="spellEnd"/>
      <w:r w:rsidRPr="006A31E0">
        <w:t xml:space="preserve"> </w:t>
      </w:r>
      <w:proofErr w:type="spellStart"/>
      <w:r w:rsidRPr="006A31E0">
        <w:t>olacak</w:t>
      </w:r>
      <w:proofErr w:type="spellEnd"/>
      <w:r w:rsidRPr="006A31E0">
        <w:t xml:space="preserve"> </w:t>
      </w:r>
      <w:proofErr w:type="spellStart"/>
      <w:r w:rsidRPr="006A31E0">
        <w:t>ve</w:t>
      </w:r>
      <w:proofErr w:type="spellEnd"/>
      <w:r w:rsidRPr="006A31E0">
        <w:t xml:space="preserve"> </w:t>
      </w:r>
      <w:proofErr w:type="spellStart"/>
      <w:r w:rsidRPr="006A31E0">
        <w:t>işgücü</w:t>
      </w:r>
      <w:proofErr w:type="spellEnd"/>
      <w:r w:rsidRPr="006A31E0">
        <w:t xml:space="preserve"> </w:t>
      </w:r>
      <w:proofErr w:type="spellStart"/>
      <w:r w:rsidRPr="006A31E0">
        <w:t>piyasasındaki</w:t>
      </w:r>
      <w:proofErr w:type="spellEnd"/>
      <w:r w:rsidRPr="006A31E0">
        <w:t xml:space="preserve"> </w:t>
      </w:r>
      <w:proofErr w:type="spellStart"/>
      <w:r w:rsidRPr="006A31E0">
        <w:t>dengesizlikleri</w:t>
      </w:r>
      <w:proofErr w:type="spellEnd"/>
      <w:r w:rsidRPr="006A31E0">
        <w:t xml:space="preserve"> </w:t>
      </w:r>
      <w:proofErr w:type="spellStart"/>
      <w:r w:rsidRPr="006A31E0">
        <w:t>artıracaktır</w:t>
      </w:r>
      <w:proofErr w:type="spellEnd"/>
      <w:r w:rsidRPr="006A31E0">
        <w:t>. (</w:t>
      </w:r>
      <w:proofErr w:type="spellStart"/>
      <w:r w:rsidRPr="006A31E0">
        <w:t>Şekil</w:t>
      </w:r>
      <w:proofErr w:type="spellEnd"/>
      <w:r w:rsidRPr="006A31E0">
        <w:t xml:space="preserve"> 2)</w:t>
      </w:r>
    </w:p>
    <w:p w14:paraId="44748946" w14:textId="3D4F0939" w:rsidR="006A31E0" w:rsidRPr="006A31E0" w:rsidRDefault="006A31E0" w:rsidP="00963344">
      <w:pPr>
        <w:jc w:val="both"/>
        <w:rPr>
          <w:b/>
          <w:bCs/>
          <w:i/>
          <w:iCs/>
        </w:rPr>
      </w:pPr>
      <w:proofErr w:type="spellStart"/>
      <w:r w:rsidRPr="006A31E0">
        <w:rPr>
          <w:b/>
          <w:bCs/>
          <w:i/>
          <w:iCs/>
        </w:rPr>
        <w:t>Şekil</w:t>
      </w:r>
      <w:proofErr w:type="spellEnd"/>
      <w:r w:rsidRPr="006A31E0">
        <w:rPr>
          <w:b/>
          <w:bCs/>
          <w:i/>
          <w:iCs/>
        </w:rPr>
        <w:t xml:space="preserve"> 2: GSYH (</w:t>
      </w:r>
      <w:proofErr w:type="spellStart"/>
      <w:r w:rsidRPr="006A31E0">
        <w:rPr>
          <w:b/>
          <w:bCs/>
          <w:i/>
          <w:iCs/>
        </w:rPr>
        <w:t>Haziran</w:t>
      </w:r>
      <w:proofErr w:type="spellEnd"/>
      <w:r w:rsidRPr="006A31E0">
        <w:rPr>
          <w:b/>
          <w:bCs/>
          <w:i/>
          <w:iCs/>
        </w:rPr>
        <w:t xml:space="preserve"> 2022) </w:t>
      </w:r>
      <w:proofErr w:type="spellStart"/>
      <w:r w:rsidRPr="006A31E0">
        <w:rPr>
          <w:b/>
          <w:bCs/>
          <w:i/>
          <w:iCs/>
        </w:rPr>
        <w:t>ve</w:t>
      </w:r>
      <w:proofErr w:type="spellEnd"/>
      <w:r w:rsidRPr="006A31E0">
        <w:rPr>
          <w:b/>
          <w:bCs/>
          <w:i/>
          <w:iCs/>
        </w:rPr>
        <w:t xml:space="preserve"> </w:t>
      </w:r>
      <w:proofErr w:type="spellStart"/>
      <w:r w:rsidRPr="006A31E0">
        <w:rPr>
          <w:b/>
          <w:bCs/>
          <w:i/>
          <w:iCs/>
        </w:rPr>
        <w:t>İstihdam</w:t>
      </w:r>
      <w:proofErr w:type="spellEnd"/>
      <w:r w:rsidRPr="006A31E0">
        <w:rPr>
          <w:b/>
          <w:bCs/>
          <w:i/>
          <w:iCs/>
        </w:rPr>
        <w:t xml:space="preserve"> (</w:t>
      </w:r>
      <w:proofErr w:type="spellStart"/>
      <w:r w:rsidRPr="006A31E0">
        <w:rPr>
          <w:b/>
          <w:bCs/>
          <w:i/>
          <w:iCs/>
        </w:rPr>
        <w:t>Ağustos</w:t>
      </w:r>
      <w:proofErr w:type="spellEnd"/>
      <w:r w:rsidRPr="006A31E0">
        <w:rPr>
          <w:b/>
          <w:bCs/>
          <w:i/>
          <w:iCs/>
        </w:rPr>
        <w:t xml:space="preserve"> 2022) - </w:t>
      </w:r>
      <w:proofErr w:type="spellStart"/>
      <w:r w:rsidRPr="006A31E0">
        <w:rPr>
          <w:b/>
          <w:bCs/>
          <w:i/>
          <w:iCs/>
        </w:rPr>
        <w:t>Ocak</w:t>
      </w:r>
      <w:proofErr w:type="spellEnd"/>
      <w:r w:rsidRPr="006A31E0">
        <w:rPr>
          <w:b/>
          <w:bCs/>
          <w:i/>
          <w:iCs/>
        </w:rPr>
        <w:t xml:space="preserve"> 2014-Haziran 2018 </w:t>
      </w:r>
      <w:proofErr w:type="spellStart"/>
      <w:r w:rsidRPr="006A31E0">
        <w:rPr>
          <w:b/>
          <w:bCs/>
          <w:i/>
          <w:iCs/>
        </w:rPr>
        <w:t>Potansiyel</w:t>
      </w:r>
      <w:proofErr w:type="spellEnd"/>
      <w:r w:rsidRPr="006A31E0">
        <w:rPr>
          <w:b/>
          <w:bCs/>
          <w:i/>
          <w:iCs/>
        </w:rPr>
        <w:t xml:space="preserve"> </w:t>
      </w:r>
      <w:proofErr w:type="spellStart"/>
      <w:r w:rsidRPr="006A31E0">
        <w:rPr>
          <w:b/>
          <w:bCs/>
          <w:i/>
          <w:iCs/>
        </w:rPr>
        <w:t>Eğilimden</w:t>
      </w:r>
      <w:proofErr w:type="spellEnd"/>
      <w:r w:rsidRPr="006A31E0">
        <w:rPr>
          <w:b/>
          <w:bCs/>
          <w:i/>
          <w:iCs/>
        </w:rPr>
        <w:t xml:space="preserve"> % </w:t>
      </w:r>
      <w:proofErr w:type="spellStart"/>
      <w:r w:rsidRPr="006A31E0">
        <w:rPr>
          <w:b/>
          <w:bCs/>
          <w:i/>
          <w:iCs/>
        </w:rPr>
        <w:t>Sapmalar</w:t>
      </w:r>
      <w:proofErr w:type="spellEnd"/>
      <w:r w:rsidRPr="006A31E0">
        <w:rPr>
          <w:b/>
          <w:bCs/>
          <w:i/>
          <w:iCs/>
        </w:rPr>
        <w:t xml:space="preserve"> </w:t>
      </w:r>
    </w:p>
    <w:p w14:paraId="68E6D753" w14:textId="6CA4CE25" w:rsidR="006A31E0" w:rsidRPr="006A31E0" w:rsidRDefault="006A31E0" w:rsidP="006A31E0">
      <w:pPr>
        <w:jc w:val="both"/>
      </w:pPr>
      <w:r w:rsidRPr="006A31E0">
        <w:rPr>
          <w:noProof/>
          <w:lang w:val="en-GB" w:eastAsia="en-GB"/>
        </w:rPr>
        <w:drawing>
          <wp:inline distT="0" distB="0" distL="0" distR="0" wp14:anchorId="59B893B9" wp14:editId="3E054E97">
            <wp:extent cx="5667361" cy="276825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5" cy="2800829"/>
                    </a:xfrm>
                    <a:prstGeom prst="rect">
                      <a:avLst/>
                    </a:prstGeom>
                    <a:noFill/>
                  </pic:spPr>
                </pic:pic>
              </a:graphicData>
            </a:graphic>
          </wp:inline>
        </w:drawing>
      </w:r>
    </w:p>
    <w:p w14:paraId="67FB6CE4" w14:textId="4B2413A0" w:rsidR="006A31E0" w:rsidRPr="00577D85" w:rsidRDefault="006A31E0" w:rsidP="00577D85">
      <w:pPr>
        <w:pStyle w:val="ListParagraph"/>
        <w:numPr>
          <w:ilvl w:val="0"/>
          <w:numId w:val="1"/>
        </w:numPr>
        <w:jc w:val="both"/>
        <w:rPr>
          <w:b/>
          <w:bCs/>
          <w:i/>
          <w:iCs/>
        </w:rPr>
      </w:pPr>
      <w:r w:rsidRPr="006A31E0">
        <w:rPr>
          <w:b/>
          <w:bCs/>
          <w:i/>
          <w:iCs/>
        </w:rPr>
        <w:lastRenderedPageBreak/>
        <w:t>Sanayide uzun dönem eğiliminin çok üzerinde istihdam artışı</w:t>
      </w:r>
    </w:p>
    <w:p w14:paraId="4FA892C1" w14:textId="59C5C46E" w:rsidR="006A31E0" w:rsidRPr="005B7FAF" w:rsidRDefault="006A31E0" w:rsidP="00963344">
      <w:pPr>
        <w:jc w:val="both"/>
        <w:rPr>
          <w:lang w:val="tr-TR"/>
        </w:rPr>
      </w:pPr>
      <w:r w:rsidRPr="00577D85">
        <w:rPr>
          <w:lang w:val="tr-TR"/>
        </w:rPr>
        <w:t>Sanayi verimlilik artışlarının diğer sektörlere kıyasla daha yüksek seyrettiği bir sektördür (</w:t>
      </w:r>
      <w:proofErr w:type="spellStart"/>
      <w:r w:rsidRPr="00577D85">
        <w:rPr>
          <w:lang w:val="tr-TR"/>
        </w:rPr>
        <w:t>Bkz</w:t>
      </w:r>
      <w:proofErr w:type="spellEnd"/>
      <w:r w:rsidRPr="00577D85">
        <w:rPr>
          <w:lang w:val="tr-TR"/>
        </w:rPr>
        <w:t xml:space="preserve"> Ek Şekil 1). </w:t>
      </w:r>
      <w:r w:rsidRPr="005B7FAF">
        <w:rPr>
          <w:lang w:val="tr-TR"/>
        </w:rPr>
        <w:t>Dolayısıyla istihdam-büyüme esnekliği oldukça düşüktür. Bu özelliğin sonucu olarak sanayide uzun dönem (2005-2022) yıllık ortalama artış yüzde 1,1 ile sınırlıdır. 2005-2020 döneminde, yüksek verimlilik artışlarının gerçekleştiği 2005-2007 yıllarında ortaya çıkan düşük istihdam artışı yılları ve küresel krizde ani daralma hariç, 2018 yılına kadar sanayi istihdamı bu uzun dönem eğilim patikası etrafında hareket etmiştir. Türkiye ekonomisinin düşük büyüme patikasına girmesiyle birlikte 2019’da trenden uzaklaşma başlamış ancak yılın ortalarından itibaren çok farklı yeni bir eğilimin ortaya çıkmıştır (Şekil 3).</w:t>
      </w:r>
    </w:p>
    <w:p w14:paraId="203DA16A" w14:textId="5AC3C259" w:rsidR="00963344" w:rsidRPr="005B7FAF" w:rsidRDefault="006A31E0" w:rsidP="00963344">
      <w:pPr>
        <w:jc w:val="both"/>
        <w:rPr>
          <w:lang w:val="tr-TR"/>
        </w:rPr>
      </w:pPr>
      <w:r w:rsidRPr="005B7FAF">
        <w:rPr>
          <w:lang w:val="tr-TR"/>
        </w:rPr>
        <w:t>Bu yeni eğilimde yıllık ortalama artış oranının yüzde 1,1’den yüzde 12,3 yükseldiği görülmektedir. Sanayi istihdamı uzun dönem artış eğiliminde devam etseydi 2022’in ilk yarısında 5,7 milyon olacaktı. Oysa yüzde 20 üzerine çıkarak 7,0 milyona ulaşmıştır. Elbette bunun bir bedeli var: Sanayide çalışan başına katma değer açısından “Görünür Emek Verimliği” trendin yüzde 17 kadar altına düşen bir fiili durum söz konusudur. Diğer ifadeyle sanayide istihdam-büyüme esnekliğinde artış vardır. Bu konuya gelecek ay yayınlayacağımız araştırma notunda ele alacağız. Ama şimdiden şu yorumları yapmak mümkün olabilir. Sanayinin bu boyutta istihdam yaratabilmesi için pazar imkânları ve özellikle ihracat pazarlarıyla ilgili olumlu bir perspektif görünümü içerisinde olması gerekir. Burada aklımıza gelen önemli husus, 2016 yılında reel ücretlerde yaşanan sıçrama sonrasında enflasyonla birlikte reel ücret seviyesinde yaşanan istikrar ve kurda kar marjlarını artıran tedrici reel değer kaybıdır (</w:t>
      </w:r>
      <w:proofErr w:type="spellStart"/>
      <w:r w:rsidRPr="005B7FAF">
        <w:rPr>
          <w:lang w:val="tr-TR"/>
        </w:rPr>
        <w:t>Bkz</w:t>
      </w:r>
      <w:proofErr w:type="spellEnd"/>
      <w:r w:rsidRPr="005B7FAF">
        <w:rPr>
          <w:lang w:val="tr-TR"/>
        </w:rPr>
        <w:t xml:space="preserve"> Ek Şekil. 2). </w:t>
      </w:r>
    </w:p>
    <w:p w14:paraId="39746E04" w14:textId="101C1426" w:rsidR="006A31E0" w:rsidRPr="005B7FAF" w:rsidRDefault="006A31E0" w:rsidP="00963344">
      <w:pPr>
        <w:jc w:val="both"/>
        <w:rPr>
          <w:b/>
          <w:bCs/>
          <w:i/>
          <w:iCs/>
          <w:lang w:val="tr-TR"/>
        </w:rPr>
      </w:pPr>
      <w:r w:rsidRPr="005B7FAF">
        <w:rPr>
          <w:b/>
          <w:bCs/>
          <w:i/>
          <w:iCs/>
          <w:lang w:val="tr-TR"/>
        </w:rPr>
        <w:t xml:space="preserve">Şekil 3: Sanayi istihdamında uzun dönem eğilim ve sapmalar (Bin kişi) </w:t>
      </w:r>
    </w:p>
    <w:p w14:paraId="0FFB2773" w14:textId="4FA348F6" w:rsidR="006A31E0" w:rsidRPr="006A31E0" w:rsidRDefault="006A31E0" w:rsidP="00963344">
      <w:pPr>
        <w:jc w:val="both"/>
      </w:pPr>
      <w:r w:rsidRPr="006A31E0">
        <w:rPr>
          <w:noProof/>
          <w:lang w:val="en-GB" w:eastAsia="en-GB"/>
        </w:rPr>
        <w:drawing>
          <wp:inline distT="0" distB="0" distL="0" distR="0" wp14:anchorId="632183BE" wp14:editId="312CFB02">
            <wp:extent cx="5717540" cy="27768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7035" cy="2805750"/>
                    </a:xfrm>
                    <a:prstGeom prst="rect">
                      <a:avLst/>
                    </a:prstGeom>
                    <a:noFill/>
                  </pic:spPr>
                </pic:pic>
              </a:graphicData>
            </a:graphic>
          </wp:inline>
        </w:drawing>
      </w:r>
    </w:p>
    <w:p w14:paraId="504692C1" w14:textId="77777777" w:rsidR="00577D85" w:rsidRDefault="00577D85" w:rsidP="00577D85">
      <w:pPr>
        <w:pStyle w:val="ListParagraph"/>
        <w:ind w:left="1080"/>
        <w:jc w:val="both"/>
        <w:rPr>
          <w:b/>
          <w:bCs/>
          <w:i/>
          <w:iCs/>
        </w:rPr>
      </w:pPr>
    </w:p>
    <w:p w14:paraId="78A09372" w14:textId="35030794" w:rsidR="006A31E0" w:rsidRPr="00577D85" w:rsidRDefault="006A31E0" w:rsidP="00577D85">
      <w:pPr>
        <w:pStyle w:val="ListParagraph"/>
        <w:numPr>
          <w:ilvl w:val="0"/>
          <w:numId w:val="1"/>
        </w:numPr>
        <w:jc w:val="both"/>
        <w:rPr>
          <w:b/>
          <w:bCs/>
          <w:i/>
          <w:iCs/>
        </w:rPr>
      </w:pPr>
      <w:r w:rsidRPr="00577D85">
        <w:rPr>
          <w:b/>
          <w:bCs/>
          <w:i/>
          <w:iCs/>
        </w:rPr>
        <w:t>İnşaatta yükseliş, düşüş ve yetersiz toparlanma</w:t>
      </w:r>
    </w:p>
    <w:p w14:paraId="58E20C91" w14:textId="4632F5AF" w:rsidR="006A31E0" w:rsidRPr="005B7FAF" w:rsidRDefault="006A31E0" w:rsidP="00963344">
      <w:pPr>
        <w:jc w:val="both"/>
        <w:rPr>
          <w:lang w:val="tr-TR"/>
        </w:rPr>
      </w:pPr>
      <w:r w:rsidRPr="005B7FAF">
        <w:rPr>
          <w:lang w:val="tr-TR"/>
        </w:rPr>
        <w:t xml:space="preserve">İnşaat sektöründe istihdamın uzun dönem artış eğilimi yüzde 1,9 olup sanayinin yüzde 1,1’lik uzun dönem eğiliminin üzerindedir (Ek Şekil 1). Odaklandığımız 2005-2022 döneminin ilk yıllarında inşaat istihdamı bu trendin altında seyrettikten sonra küresel krizin ardından bollaşan uluslararası likiditenin imkân tanıdığı dış kerde patlaması ve hükümetin verdiği destekle tempo artırmış ve toplam istihdam içinde payını aşağıda ele alınacağı gibi önemli ölçüde artırmıştır; bu yıllar inşaatın yükseliş yıllarıdır. </w:t>
      </w:r>
    </w:p>
    <w:p w14:paraId="60BDB378" w14:textId="77777777" w:rsidR="005B7FAF" w:rsidRDefault="005B7FAF" w:rsidP="00963344">
      <w:pPr>
        <w:jc w:val="both"/>
        <w:rPr>
          <w:b/>
          <w:bCs/>
          <w:i/>
          <w:iCs/>
          <w:lang w:val="tr-TR"/>
        </w:rPr>
      </w:pPr>
    </w:p>
    <w:p w14:paraId="1D348461" w14:textId="77777777" w:rsidR="005B7FAF" w:rsidRDefault="005B7FAF" w:rsidP="00963344">
      <w:pPr>
        <w:jc w:val="both"/>
        <w:rPr>
          <w:b/>
          <w:bCs/>
          <w:i/>
          <w:iCs/>
          <w:lang w:val="tr-TR"/>
        </w:rPr>
      </w:pPr>
    </w:p>
    <w:p w14:paraId="3153AF3F" w14:textId="77777777" w:rsidR="005B7FAF" w:rsidRDefault="005B7FAF" w:rsidP="00963344">
      <w:pPr>
        <w:jc w:val="both"/>
        <w:rPr>
          <w:b/>
          <w:bCs/>
          <w:i/>
          <w:iCs/>
          <w:lang w:val="tr-TR"/>
        </w:rPr>
      </w:pPr>
    </w:p>
    <w:p w14:paraId="37E8F62C" w14:textId="02C742A0" w:rsidR="006A31E0" w:rsidRPr="005B7FAF" w:rsidRDefault="006A31E0" w:rsidP="00963344">
      <w:pPr>
        <w:jc w:val="both"/>
        <w:rPr>
          <w:b/>
          <w:bCs/>
          <w:i/>
          <w:iCs/>
          <w:lang w:val="tr-TR"/>
        </w:rPr>
      </w:pPr>
      <w:r w:rsidRPr="005B7FAF">
        <w:rPr>
          <w:b/>
          <w:bCs/>
          <w:i/>
          <w:iCs/>
          <w:lang w:val="tr-TR"/>
        </w:rPr>
        <w:lastRenderedPageBreak/>
        <w:t>Şekil 4: İnşaat istihdamında uzun dönem eğilimi ve krizle gelen büyük sapma</w:t>
      </w:r>
    </w:p>
    <w:p w14:paraId="7F38B931" w14:textId="77777777" w:rsidR="006A31E0" w:rsidRPr="006A31E0" w:rsidRDefault="006A31E0" w:rsidP="00963344">
      <w:pPr>
        <w:jc w:val="both"/>
      </w:pPr>
      <w:r w:rsidRPr="006A31E0">
        <w:rPr>
          <w:noProof/>
          <w:lang w:val="en-GB" w:eastAsia="en-GB"/>
        </w:rPr>
        <w:drawing>
          <wp:inline distT="0" distB="0" distL="0" distR="0" wp14:anchorId="6FE44118" wp14:editId="65C0B750">
            <wp:extent cx="5718131" cy="261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5404" cy="2646979"/>
                    </a:xfrm>
                    <a:prstGeom prst="rect">
                      <a:avLst/>
                    </a:prstGeom>
                    <a:noFill/>
                  </pic:spPr>
                </pic:pic>
              </a:graphicData>
            </a:graphic>
          </wp:inline>
        </w:drawing>
      </w:r>
    </w:p>
    <w:p w14:paraId="3E258A62" w14:textId="77777777" w:rsidR="006A31E0" w:rsidRPr="006A31E0" w:rsidRDefault="006A31E0" w:rsidP="006A31E0">
      <w:pPr>
        <w:jc w:val="both"/>
      </w:pPr>
    </w:p>
    <w:p w14:paraId="7F88857B" w14:textId="3E514390" w:rsidR="006A31E0" w:rsidRPr="006A31E0" w:rsidRDefault="006A31E0" w:rsidP="00963344">
      <w:pPr>
        <w:jc w:val="both"/>
      </w:pPr>
      <w:r w:rsidRPr="006A31E0">
        <w:t xml:space="preserve">2018 </w:t>
      </w:r>
      <w:proofErr w:type="spellStart"/>
      <w:r w:rsidRPr="006A31E0">
        <w:t>yılının</w:t>
      </w:r>
      <w:proofErr w:type="spellEnd"/>
      <w:r w:rsidRPr="006A31E0">
        <w:t xml:space="preserve"> </w:t>
      </w:r>
      <w:proofErr w:type="spellStart"/>
      <w:r w:rsidRPr="006A31E0">
        <w:t>başında</w:t>
      </w:r>
      <w:proofErr w:type="spellEnd"/>
      <w:r w:rsidRPr="006A31E0">
        <w:t xml:space="preserve"> </w:t>
      </w:r>
      <w:proofErr w:type="spellStart"/>
      <w:r w:rsidRPr="006A31E0">
        <w:t>biriken</w:t>
      </w:r>
      <w:proofErr w:type="spellEnd"/>
      <w:r w:rsidRPr="006A31E0">
        <w:t xml:space="preserve"> </w:t>
      </w:r>
      <w:proofErr w:type="spellStart"/>
      <w:r w:rsidRPr="006A31E0">
        <w:t>konut</w:t>
      </w:r>
      <w:proofErr w:type="spellEnd"/>
      <w:r w:rsidRPr="006A31E0">
        <w:t xml:space="preserve"> </w:t>
      </w:r>
      <w:proofErr w:type="spellStart"/>
      <w:r w:rsidRPr="006A31E0">
        <w:t>stokları</w:t>
      </w:r>
      <w:proofErr w:type="spellEnd"/>
      <w:r w:rsidRPr="006A31E0">
        <w:t xml:space="preserve"> </w:t>
      </w:r>
      <w:proofErr w:type="spellStart"/>
      <w:r w:rsidRPr="006A31E0">
        <w:t>büyük</w:t>
      </w:r>
      <w:proofErr w:type="spellEnd"/>
      <w:r w:rsidRPr="006A31E0">
        <w:t xml:space="preserve"> </w:t>
      </w:r>
      <w:proofErr w:type="spellStart"/>
      <w:r w:rsidRPr="006A31E0">
        <w:t>bir</w:t>
      </w:r>
      <w:proofErr w:type="spellEnd"/>
      <w:r w:rsidRPr="006A31E0">
        <w:t xml:space="preserve"> </w:t>
      </w:r>
      <w:proofErr w:type="spellStart"/>
      <w:r w:rsidRPr="006A31E0">
        <w:t>sarsıntıya</w:t>
      </w:r>
      <w:proofErr w:type="spellEnd"/>
      <w:r w:rsidRPr="006A31E0">
        <w:t xml:space="preserve"> </w:t>
      </w:r>
      <w:proofErr w:type="spellStart"/>
      <w:r w:rsidRPr="006A31E0">
        <w:t>neden</w:t>
      </w:r>
      <w:proofErr w:type="spellEnd"/>
      <w:r w:rsidRPr="006A31E0">
        <w:t xml:space="preserve"> </w:t>
      </w:r>
      <w:proofErr w:type="spellStart"/>
      <w:r w:rsidRPr="006A31E0">
        <w:t>olmuş</w:t>
      </w:r>
      <w:proofErr w:type="spellEnd"/>
      <w:r w:rsidRPr="006A31E0">
        <w:t xml:space="preserve"> </w:t>
      </w:r>
      <w:proofErr w:type="spellStart"/>
      <w:r w:rsidRPr="006A31E0">
        <w:t>ve</w:t>
      </w:r>
      <w:proofErr w:type="spellEnd"/>
      <w:r w:rsidRPr="006A31E0">
        <w:t xml:space="preserve"> </w:t>
      </w:r>
      <w:proofErr w:type="spellStart"/>
      <w:r w:rsidRPr="006A31E0">
        <w:t>inşaat</w:t>
      </w:r>
      <w:proofErr w:type="spellEnd"/>
      <w:r w:rsidRPr="006A31E0">
        <w:t xml:space="preserve"> </w:t>
      </w:r>
      <w:proofErr w:type="spellStart"/>
      <w:r w:rsidRPr="006A31E0">
        <w:t>düşüşe</w:t>
      </w:r>
      <w:proofErr w:type="spellEnd"/>
      <w:r w:rsidRPr="006A31E0">
        <w:t xml:space="preserve"> </w:t>
      </w:r>
      <w:proofErr w:type="spellStart"/>
      <w:r w:rsidRPr="006A31E0">
        <w:t>geçmiştir</w:t>
      </w:r>
      <w:proofErr w:type="spellEnd"/>
      <w:r w:rsidRPr="006A31E0">
        <w:t xml:space="preserve">. </w:t>
      </w:r>
      <w:proofErr w:type="spellStart"/>
      <w:r w:rsidRPr="006A31E0">
        <w:t>İki</w:t>
      </w:r>
      <w:proofErr w:type="spellEnd"/>
      <w:r w:rsidRPr="006A31E0">
        <w:t xml:space="preserve"> </w:t>
      </w:r>
      <w:proofErr w:type="spellStart"/>
      <w:r w:rsidRPr="006A31E0">
        <w:t>yılı</w:t>
      </w:r>
      <w:proofErr w:type="spellEnd"/>
      <w:r w:rsidRPr="006A31E0">
        <w:t xml:space="preserve"> </w:t>
      </w:r>
      <w:proofErr w:type="spellStart"/>
      <w:r w:rsidRPr="006A31E0">
        <w:t>gibi</w:t>
      </w:r>
      <w:proofErr w:type="spellEnd"/>
      <w:r w:rsidRPr="006A31E0">
        <w:t xml:space="preserve"> </w:t>
      </w:r>
      <w:proofErr w:type="spellStart"/>
      <w:r w:rsidRPr="006A31E0">
        <w:t>nispeten</w:t>
      </w:r>
      <w:proofErr w:type="spellEnd"/>
      <w:r w:rsidRPr="006A31E0">
        <w:t xml:space="preserve"> </w:t>
      </w:r>
      <w:proofErr w:type="spellStart"/>
      <w:r w:rsidRPr="006A31E0">
        <w:t>kısa</w:t>
      </w:r>
      <w:proofErr w:type="spellEnd"/>
      <w:r w:rsidRPr="006A31E0">
        <w:t xml:space="preserve"> </w:t>
      </w:r>
      <w:proofErr w:type="spellStart"/>
      <w:r w:rsidRPr="006A31E0">
        <w:t>bir</w:t>
      </w:r>
      <w:proofErr w:type="spellEnd"/>
      <w:r w:rsidRPr="006A31E0">
        <w:t xml:space="preserve"> </w:t>
      </w:r>
      <w:proofErr w:type="spellStart"/>
      <w:r w:rsidRPr="006A31E0">
        <w:t>sürede</w:t>
      </w:r>
      <w:proofErr w:type="spellEnd"/>
      <w:r w:rsidRPr="006A31E0">
        <w:t xml:space="preserve"> </w:t>
      </w:r>
      <w:proofErr w:type="spellStart"/>
      <w:r w:rsidRPr="006A31E0">
        <w:t>sektör</w:t>
      </w:r>
      <w:proofErr w:type="spellEnd"/>
      <w:r w:rsidRPr="006A31E0">
        <w:t xml:space="preserve"> </w:t>
      </w:r>
      <w:proofErr w:type="spellStart"/>
      <w:r w:rsidRPr="006A31E0">
        <w:t>çalışanlarının</w:t>
      </w:r>
      <w:proofErr w:type="spellEnd"/>
      <w:r w:rsidRPr="006A31E0">
        <w:t xml:space="preserve"> </w:t>
      </w:r>
      <w:proofErr w:type="spellStart"/>
      <w:r w:rsidRPr="006A31E0">
        <w:t>yaklaşık</w:t>
      </w:r>
      <w:proofErr w:type="spellEnd"/>
      <w:r w:rsidRPr="006A31E0">
        <w:t xml:space="preserve"> </w:t>
      </w:r>
      <w:proofErr w:type="spellStart"/>
      <w:r w:rsidRPr="006A31E0">
        <w:t>üçte</w:t>
      </w:r>
      <w:proofErr w:type="spellEnd"/>
      <w:r w:rsidRPr="006A31E0">
        <w:t xml:space="preserve"> </w:t>
      </w:r>
      <w:proofErr w:type="spellStart"/>
      <w:r w:rsidRPr="006A31E0">
        <w:t>birini</w:t>
      </w:r>
      <w:proofErr w:type="spellEnd"/>
      <w:r w:rsidRPr="006A31E0">
        <w:t xml:space="preserve"> </w:t>
      </w:r>
      <w:proofErr w:type="spellStart"/>
      <w:r w:rsidRPr="006A31E0">
        <w:t>kaybetmiştir</w:t>
      </w:r>
      <w:proofErr w:type="spellEnd"/>
      <w:r w:rsidRPr="006A31E0">
        <w:t xml:space="preserve">. </w:t>
      </w:r>
      <w:proofErr w:type="spellStart"/>
      <w:r w:rsidRPr="006A31E0">
        <w:t>İstihdamda</w:t>
      </w:r>
      <w:proofErr w:type="spellEnd"/>
      <w:r w:rsidRPr="006A31E0">
        <w:t xml:space="preserve"> </w:t>
      </w:r>
      <w:proofErr w:type="spellStart"/>
      <w:r w:rsidRPr="006A31E0">
        <w:t>gelinen</w:t>
      </w:r>
      <w:proofErr w:type="spellEnd"/>
      <w:r w:rsidRPr="006A31E0">
        <w:t xml:space="preserve"> dip </w:t>
      </w:r>
      <w:proofErr w:type="spellStart"/>
      <w:r w:rsidRPr="006A31E0">
        <w:t>noktası</w:t>
      </w:r>
      <w:proofErr w:type="spellEnd"/>
      <w:r w:rsidRPr="006A31E0">
        <w:t xml:space="preserve"> </w:t>
      </w:r>
      <w:proofErr w:type="spellStart"/>
      <w:r w:rsidRPr="006A31E0">
        <w:t>uzun</w:t>
      </w:r>
      <w:proofErr w:type="spellEnd"/>
      <w:r w:rsidRPr="006A31E0">
        <w:t xml:space="preserve"> </w:t>
      </w:r>
      <w:proofErr w:type="spellStart"/>
      <w:r w:rsidRPr="006A31E0">
        <w:t>dönem</w:t>
      </w:r>
      <w:proofErr w:type="spellEnd"/>
      <w:r w:rsidRPr="006A31E0">
        <w:t xml:space="preserve"> </w:t>
      </w:r>
      <w:proofErr w:type="spellStart"/>
      <w:r w:rsidRPr="006A31E0">
        <w:t>eğilimin</w:t>
      </w:r>
      <w:proofErr w:type="spellEnd"/>
      <w:r w:rsidRPr="006A31E0">
        <w:t xml:space="preserve"> </w:t>
      </w:r>
      <w:proofErr w:type="spellStart"/>
      <w:r w:rsidRPr="006A31E0">
        <w:t>yüzde</w:t>
      </w:r>
      <w:proofErr w:type="spellEnd"/>
      <w:r w:rsidRPr="006A31E0">
        <w:t xml:space="preserve"> 40 </w:t>
      </w:r>
      <w:proofErr w:type="spellStart"/>
      <w:r w:rsidRPr="006A31E0">
        <w:t>altındadır</w:t>
      </w:r>
      <w:proofErr w:type="spellEnd"/>
      <w:r w:rsidRPr="006A31E0">
        <w:t xml:space="preserve">. 2017 </w:t>
      </w:r>
      <w:proofErr w:type="spellStart"/>
      <w:r w:rsidRPr="006A31E0">
        <w:t>sonunda</w:t>
      </w:r>
      <w:proofErr w:type="spellEnd"/>
      <w:r w:rsidRPr="006A31E0">
        <w:t xml:space="preserve"> 2 </w:t>
      </w:r>
      <w:proofErr w:type="spellStart"/>
      <w:r w:rsidRPr="006A31E0">
        <w:t>milyonu</w:t>
      </w:r>
      <w:proofErr w:type="spellEnd"/>
      <w:r w:rsidRPr="006A31E0">
        <w:t xml:space="preserve"> </w:t>
      </w:r>
      <w:proofErr w:type="spellStart"/>
      <w:r w:rsidRPr="006A31E0">
        <w:t>aşan</w:t>
      </w:r>
      <w:proofErr w:type="spellEnd"/>
      <w:r w:rsidRPr="006A31E0">
        <w:t xml:space="preserve"> </w:t>
      </w:r>
      <w:proofErr w:type="spellStart"/>
      <w:r w:rsidRPr="006A31E0">
        <w:t>inşaat</w:t>
      </w:r>
      <w:proofErr w:type="spellEnd"/>
      <w:r w:rsidRPr="006A31E0">
        <w:t xml:space="preserve"> </w:t>
      </w:r>
      <w:proofErr w:type="spellStart"/>
      <w:r w:rsidRPr="006A31E0">
        <w:t>istihdamı</w:t>
      </w:r>
      <w:proofErr w:type="spellEnd"/>
      <w:r w:rsidRPr="006A31E0">
        <w:t xml:space="preserve"> 1,5 </w:t>
      </w:r>
      <w:proofErr w:type="spellStart"/>
      <w:r w:rsidRPr="006A31E0">
        <w:t>milyona</w:t>
      </w:r>
      <w:proofErr w:type="spellEnd"/>
      <w:r w:rsidRPr="006A31E0">
        <w:t xml:space="preserve"> </w:t>
      </w:r>
      <w:proofErr w:type="spellStart"/>
      <w:r w:rsidRPr="006A31E0">
        <w:t>gerilemiştir</w:t>
      </w:r>
      <w:proofErr w:type="spellEnd"/>
      <w:r w:rsidRPr="006A31E0">
        <w:t xml:space="preserve"> (</w:t>
      </w:r>
      <w:proofErr w:type="spellStart"/>
      <w:r w:rsidRPr="006A31E0">
        <w:t>Şekil</w:t>
      </w:r>
      <w:proofErr w:type="spellEnd"/>
      <w:r w:rsidRPr="006A31E0">
        <w:t xml:space="preserve"> 4). COVİD-19 </w:t>
      </w:r>
      <w:proofErr w:type="spellStart"/>
      <w:r w:rsidRPr="006A31E0">
        <w:t>resesyonu</w:t>
      </w:r>
      <w:proofErr w:type="spellEnd"/>
      <w:r w:rsidRPr="006A31E0">
        <w:t xml:space="preserve"> </w:t>
      </w:r>
      <w:proofErr w:type="spellStart"/>
      <w:r w:rsidRPr="006A31E0">
        <w:t>sırasında</w:t>
      </w:r>
      <w:proofErr w:type="spellEnd"/>
      <w:r w:rsidRPr="006A31E0">
        <w:t xml:space="preserve"> </w:t>
      </w:r>
      <w:proofErr w:type="spellStart"/>
      <w:r w:rsidRPr="006A31E0">
        <w:t>Mayıs</w:t>
      </w:r>
      <w:proofErr w:type="spellEnd"/>
      <w:r w:rsidRPr="006A31E0">
        <w:t xml:space="preserve"> 2020’de </w:t>
      </w:r>
      <w:proofErr w:type="spellStart"/>
      <w:r w:rsidRPr="006A31E0">
        <w:t>hükümetin</w:t>
      </w:r>
      <w:proofErr w:type="spellEnd"/>
      <w:r w:rsidRPr="006A31E0">
        <w:t xml:space="preserve"> </w:t>
      </w:r>
      <w:proofErr w:type="spellStart"/>
      <w:r w:rsidRPr="006A31E0">
        <w:t>düşük</w:t>
      </w:r>
      <w:proofErr w:type="spellEnd"/>
      <w:r w:rsidRPr="006A31E0">
        <w:t xml:space="preserve"> </w:t>
      </w:r>
      <w:proofErr w:type="spellStart"/>
      <w:r w:rsidRPr="006A31E0">
        <w:t>faizli</w:t>
      </w:r>
      <w:proofErr w:type="spellEnd"/>
      <w:r w:rsidRPr="006A31E0">
        <w:t xml:space="preserve"> </w:t>
      </w:r>
      <w:proofErr w:type="spellStart"/>
      <w:r w:rsidRPr="006A31E0">
        <w:t>konut</w:t>
      </w:r>
      <w:proofErr w:type="spellEnd"/>
      <w:r w:rsidRPr="006A31E0">
        <w:t xml:space="preserve"> </w:t>
      </w:r>
      <w:proofErr w:type="spellStart"/>
      <w:r w:rsidRPr="006A31E0">
        <w:t>kredi</w:t>
      </w:r>
      <w:proofErr w:type="spellEnd"/>
      <w:r w:rsidRPr="006A31E0">
        <w:t xml:space="preserve"> </w:t>
      </w:r>
      <w:proofErr w:type="spellStart"/>
      <w:r w:rsidRPr="006A31E0">
        <w:t>uygulaması</w:t>
      </w:r>
      <w:proofErr w:type="spellEnd"/>
      <w:r w:rsidRPr="006A31E0">
        <w:t xml:space="preserve"> </w:t>
      </w:r>
      <w:proofErr w:type="spellStart"/>
      <w:r w:rsidRPr="006A31E0">
        <w:t>sayesinde</w:t>
      </w:r>
      <w:proofErr w:type="spellEnd"/>
      <w:r w:rsidRPr="006A31E0">
        <w:t xml:space="preserve"> </w:t>
      </w:r>
      <w:proofErr w:type="spellStart"/>
      <w:r w:rsidRPr="006A31E0">
        <w:t>ortaya</w:t>
      </w:r>
      <w:proofErr w:type="spellEnd"/>
      <w:r w:rsidRPr="006A31E0">
        <w:t xml:space="preserve"> </w:t>
      </w:r>
      <w:proofErr w:type="spellStart"/>
      <w:r w:rsidRPr="006A31E0">
        <w:t>çıkan</w:t>
      </w:r>
      <w:proofErr w:type="spellEnd"/>
      <w:r w:rsidRPr="006A31E0">
        <w:t xml:space="preserve"> </w:t>
      </w:r>
      <w:proofErr w:type="spellStart"/>
      <w:r w:rsidRPr="006A31E0">
        <w:t>toparlanmaya</w:t>
      </w:r>
      <w:proofErr w:type="spellEnd"/>
      <w:r w:rsidRPr="006A31E0">
        <w:t xml:space="preserve"> </w:t>
      </w:r>
      <w:proofErr w:type="spellStart"/>
      <w:r w:rsidRPr="006A31E0">
        <w:t>rağmen</w:t>
      </w:r>
      <w:proofErr w:type="spellEnd"/>
      <w:r w:rsidRPr="006A31E0">
        <w:t xml:space="preserve"> </w:t>
      </w:r>
      <w:proofErr w:type="spellStart"/>
      <w:r w:rsidRPr="006A31E0">
        <w:t>hala</w:t>
      </w:r>
      <w:proofErr w:type="spellEnd"/>
      <w:r w:rsidRPr="006A31E0">
        <w:t xml:space="preserve"> </w:t>
      </w:r>
      <w:proofErr w:type="spellStart"/>
      <w:r w:rsidRPr="006A31E0">
        <w:t>uzun</w:t>
      </w:r>
      <w:proofErr w:type="spellEnd"/>
      <w:r w:rsidRPr="006A31E0">
        <w:t xml:space="preserve"> </w:t>
      </w:r>
      <w:proofErr w:type="spellStart"/>
      <w:r w:rsidRPr="006A31E0">
        <w:t>dönem</w:t>
      </w:r>
      <w:proofErr w:type="spellEnd"/>
      <w:r w:rsidRPr="006A31E0">
        <w:t xml:space="preserve"> </w:t>
      </w:r>
      <w:proofErr w:type="spellStart"/>
      <w:r w:rsidRPr="006A31E0">
        <w:t>eğiliminin</w:t>
      </w:r>
      <w:proofErr w:type="spellEnd"/>
      <w:r w:rsidRPr="006A31E0">
        <w:t xml:space="preserve"> </w:t>
      </w:r>
      <w:proofErr w:type="spellStart"/>
      <w:r w:rsidRPr="006A31E0">
        <w:t>yüzde</w:t>
      </w:r>
      <w:proofErr w:type="spellEnd"/>
      <w:r w:rsidRPr="006A31E0">
        <w:t xml:space="preserve"> 28 </w:t>
      </w:r>
      <w:proofErr w:type="spellStart"/>
      <w:r w:rsidRPr="006A31E0">
        <w:t>altında</w:t>
      </w:r>
      <w:proofErr w:type="spellEnd"/>
      <w:r w:rsidRPr="006A31E0">
        <w:t xml:space="preserve"> </w:t>
      </w:r>
      <w:proofErr w:type="spellStart"/>
      <w:r w:rsidRPr="006A31E0">
        <w:t>seyretmeye</w:t>
      </w:r>
      <w:proofErr w:type="spellEnd"/>
      <w:r w:rsidRPr="006A31E0">
        <w:t xml:space="preserve"> </w:t>
      </w:r>
      <w:proofErr w:type="spellStart"/>
      <w:r w:rsidRPr="006A31E0">
        <w:t>devam</w:t>
      </w:r>
      <w:proofErr w:type="spellEnd"/>
      <w:r w:rsidRPr="006A31E0">
        <w:t xml:space="preserve"> </w:t>
      </w:r>
      <w:proofErr w:type="spellStart"/>
      <w:r w:rsidRPr="006A31E0">
        <w:t>etmektedir</w:t>
      </w:r>
      <w:proofErr w:type="spellEnd"/>
      <w:r w:rsidRPr="006A31E0">
        <w:t xml:space="preserve">. </w:t>
      </w:r>
      <w:proofErr w:type="spellStart"/>
      <w:r w:rsidRPr="006A31E0">
        <w:t>İnşaat</w:t>
      </w:r>
      <w:proofErr w:type="spellEnd"/>
      <w:r w:rsidRPr="006A31E0">
        <w:t xml:space="preserve"> </w:t>
      </w:r>
      <w:proofErr w:type="spellStart"/>
      <w:r w:rsidRPr="006A31E0">
        <w:t>istihdamı</w:t>
      </w:r>
      <w:proofErr w:type="spellEnd"/>
      <w:r w:rsidRPr="006A31E0">
        <w:t xml:space="preserve"> </w:t>
      </w:r>
      <w:proofErr w:type="spellStart"/>
      <w:r w:rsidRPr="006A31E0">
        <w:t>günümüzde</w:t>
      </w:r>
      <w:proofErr w:type="spellEnd"/>
      <w:r w:rsidRPr="006A31E0">
        <w:t xml:space="preserve"> 2017 </w:t>
      </w:r>
      <w:proofErr w:type="spellStart"/>
      <w:r w:rsidRPr="006A31E0">
        <w:t>yılının</w:t>
      </w:r>
      <w:proofErr w:type="spellEnd"/>
      <w:r w:rsidRPr="006A31E0">
        <w:t xml:space="preserve"> 700 bin </w:t>
      </w:r>
      <w:proofErr w:type="spellStart"/>
      <w:r w:rsidRPr="006A31E0">
        <w:t>altındadır</w:t>
      </w:r>
      <w:proofErr w:type="spellEnd"/>
      <w:r w:rsidRPr="006A31E0">
        <w:t xml:space="preserve">. </w:t>
      </w:r>
    </w:p>
    <w:p w14:paraId="3375CD86" w14:textId="77777777" w:rsidR="006A31E0" w:rsidRPr="006A31E0" w:rsidRDefault="006A31E0" w:rsidP="006A31E0">
      <w:pPr>
        <w:pStyle w:val="ListParagraph"/>
        <w:numPr>
          <w:ilvl w:val="0"/>
          <w:numId w:val="1"/>
        </w:numPr>
        <w:jc w:val="both"/>
        <w:rPr>
          <w:b/>
          <w:bCs/>
          <w:i/>
          <w:iCs/>
        </w:rPr>
      </w:pPr>
      <w:r w:rsidRPr="006A31E0">
        <w:rPr>
          <w:b/>
          <w:bCs/>
          <w:i/>
          <w:iCs/>
        </w:rPr>
        <w:t>İstihdam fabrikası “Hizmet” sektöründe uzun dönem eğilim, sapma ve yakınsama</w:t>
      </w:r>
    </w:p>
    <w:p w14:paraId="495A61AD" w14:textId="77777777" w:rsidR="006A31E0" w:rsidRPr="006A31E0" w:rsidRDefault="006A31E0" w:rsidP="006A31E0">
      <w:pPr>
        <w:pStyle w:val="ListParagraph"/>
        <w:ind w:left="1428"/>
        <w:jc w:val="both"/>
      </w:pPr>
    </w:p>
    <w:p w14:paraId="6803C1D3" w14:textId="551268F4" w:rsidR="006A31E0" w:rsidRPr="006A31E0" w:rsidRDefault="006A31E0" w:rsidP="00963344">
      <w:pPr>
        <w:jc w:val="both"/>
        <w:rPr>
          <w:lang w:val="tr-TR"/>
        </w:rPr>
      </w:pPr>
      <w:r w:rsidRPr="006A31E0">
        <w:rPr>
          <w:lang w:val="tr-TR"/>
        </w:rPr>
        <w:t xml:space="preserve">Hizmet sektörü, oldukça heterojen </w:t>
      </w:r>
      <w:proofErr w:type="spellStart"/>
      <w:r w:rsidRPr="006A31E0">
        <w:rPr>
          <w:lang w:val="tr-TR"/>
        </w:rPr>
        <w:t>sosyo</w:t>
      </w:r>
      <w:proofErr w:type="spellEnd"/>
      <w:r w:rsidRPr="006A31E0">
        <w:rPr>
          <w:lang w:val="tr-TR"/>
        </w:rPr>
        <w:t xml:space="preserve">-profesyonel kategorilerden oluşan bir sektör olması sıfatıyla işgücündeki artışın önemli bir kısmını emen bir sektör niteliğini koruyor. Hizmetler 50 yıllık bir kalkınma sürecinde özellikle tarım sektöründen boşalan işgücünü ağırlayan temel sektör konumunda olmuştur. Verimlilik artışları alt faaliyet kolları düzeyinde önemli farklılıklar gösterse de genelde düşüktür (Ek Şekil 1). Dolayısıyla hizmetlerde ekonomik büyüme yüksek istihdam yaratma kapasitesine sahiptir. Nitekim hizmet istihdamında uzun dönem ortalama artışı hızı yüzde 4,4’tür. 2018 yılına kadar bu hizmet istihdamı fazla dalgalanmalara maruz kalmadan bu eğiliminin civarında hareket etmiştir (Şekil 5). </w:t>
      </w:r>
    </w:p>
    <w:p w14:paraId="08E7B680" w14:textId="4D912A59" w:rsidR="006A31E0" w:rsidRPr="006A31E0" w:rsidRDefault="006A31E0" w:rsidP="00963344">
      <w:pPr>
        <w:jc w:val="both"/>
        <w:rPr>
          <w:lang w:val="tr-TR"/>
        </w:rPr>
      </w:pPr>
      <w:r w:rsidRPr="006A31E0">
        <w:rPr>
          <w:lang w:val="tr-TR"/>
        </w:rPr>
        <w:t>2018’de Türkiye ekonomisinin düşük büyüme patikasına girmesiyle birlikte istihdam artışları son bulmuş, COVID-19 pandemisinin neden olduğu faaliyet kısıtlamaları sonucu önemli istihdam kayıpları yaşanmıştır. Faaliyet kısıtlamalarına son verildikten sonra istihdam kayıplarının hızla telafi edildiği bir süreç yaşanmaktadır. Nitekim istihdam ortalama artış yüzde 9,8 olup yüzde 4,5’lik uzun dönem artış eğiliminin üzerindedir. Diğer ifadeyle belirgin bir yakınsama mevcuttur.</w:t>
      </w:r>
      <w:r>
        <w:rPr>
          <w:lang w:val="tr-TR"/>
        </w:rPr>
        <w:t xml:space="preserve"> </w:t>
      </w:r>
      <w:r w:rsidRPr="006A31E0">
        <w:rPr>
          <w:lang w:val="tr-TR"/>
        </w:rPr>
        <w:t xml:space="preserve">Hizmetlerde 2017 yılından bu yana 2,2 milyon kişilik ilave istihdam yaratılmış olmasına rağmen istihdam seviyesi halen uzun dönem trendinin yüzde 6,5 kadar altındadır. </w:t>
      </w:r>
    </w:p>
    <w:p w14:paraId="51341EA3" w14:textId="77777777" w:rsidR="005B7FAF" w:rsidRDefault="005B7FAF" w:rsidP="00086930">
      <w:pPr>
        <w:jc w:val="both"/>
        <w:rPr>
          <w:b/>
          <w:bCs/>
          <w:i/>
          <w:iCs/>
          <w:lang w:val="tr-TR"/>
        </w:rPr>
      </w:pPr>
    </w:p>
    <w:p w14:paraId="20DBA53D" w14:textId="77777777" w:rsidR="005B7FAF" w:rsidRDefault="005B7FAF" w:rsidP="00086930">
      <w:pPr>
        <w:jc w:val="both"/>
        <w:rPr>
          <w:b/>
          <w:bCs/>
          <w:i/>
          <w:iCs/>
          <w:lang w:val="tr-TR"/>
        </w:rPr>
      </w:pPr>
    </w:p>
    <w:p w14:paraId="43ECFCBA" w14:textId="77777777" w:rsidR="005B7FAF" w:rsidRDefault="005B7FAF" w:rsidP="00086930">
      <w:pPr>
        <w:jc w:val="both"/>
        <w:rPr>
          <w:b/>
          <w:bCs/>
          <w:i/>
          <w:iCs/>
          <w:lang w:val="tr-TR"/>
        </w:rPr>
      </w:pPr>
    </w:p>
    <w:p w14:paraId="534DA0E2" w14:textId="77777777" w:rsidR="005B7FAF" w:rsidRDefault="005B7FAF" w:rsidP="00086930">
      <w:pPr>
        <w:jc w:val="both"/>
        <w:rPr>
          <w:b/>
          <w:bCs/>
          <w:i/>
          <w:iCs/>
          <w:lang w:val="tr-TR"/>
        </w:rPr>
      </w:pPr>
    </w:p>
    <w:p w14:paraId="0D8C880F" w14:textId="75A84435" w:rsidR="006A31E0" w:rsidRPr="00086930" w:rsidRDefault="006A31E0" w:rsidP="00086930">
      <w:pPr>
        <w:jc w:val="both"/>
        <w:rPr>
          <w:b/>
          <w:bCs/>
          <w:i/>
          <w:iCs/>
          <w:lang w:val="tr-TR"/>
        </w:rPr>
      </w:pPr>
      <w:r w:rsidRPr="006A31E0">
        <w:rPr>
          <w:b/>
          <w:bCs/>
          <w:i/>
          <w:iCs/>
          <w:lang w:val="tr-TR"/>
        </w:rPr>
        <w:lastRenderedPageBreak/>
        <w:t>Şekil 5: Hizmet sektöründe uzun dönem istihdam eğilimi, COVID-19 şoku ve toparlanma</w:t>
      </w:r>
    </w:p>
    <w:p w14:paraId="79D962E7" w14:textId="6DE33274" w:rsidR="006A31E0" w:rsidRPr="006A31E0" w:rsidRDefault="006A31E0" w:rsidP="005B7FAF">
      <w:pPr>
        <w:jc w:val="both"/>
      </w:pPr>
      <w:r w:rsidRPr="006A31E0">
        <w:rPr>
          <w:noProof/>
          <w:lang w:val="en-GB" w:eastAsia="en-GB"/>
        </w:rPr>
        <w:drawing>
          <wp:inline distT="0" distB="0" distL="0" distR="0" wp14:anchorId="437A1660" wp14:editId="744E5A8D">
            <wp:extent cx="5780762" cy="246126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9752" cy="2473603"/>
                    </a:xfrm>
                    <a:prstGeom prst="rect">
                      <a:avLst/>
                    </a:prstGeom>
                    <a:noFill/>
                  </pic:spPr>
                </pic:pic>
              </a:graphicData>
            </a:graphic>
          </wp:inline>
        </w:drawing>
      </w:r>
    </w:p>
    <w:p w14:paraId="23B423D1" w14:textId="77777777" w:rsidR="006A31E0" w:rsidRPr="006A31E0" w:rsidRDefault="006A31E0" w:rsidP="006A31E0">
      <w:pPr>
        <w:pStyle w:val="ListParagraph"/>
        <w:numPr>
          <w:ilvl w:val="0"/>
          <w:numId w:val="1"/>
        </w:numPr>
        <w:jc w:val="both"/>
        <w:rPr>
          <w:b/>
          <w:bCs/>
          <w:i/>
          <w:iCs/>
        </w:rPr>
      </w:pPr>
      <w:r w:rsidRPr="006A31E0">
        <w:rPr>
          <w:b/>
          <w:bCs/>
          <w:i/>
          <w:iCs/>
        </w:rPr>
        <w:t>Tarımda aykırı eğilimler</w:t>
      </w:r>
    </w:p>
    <w:p w14:paraId="50CED1FB" w14:textId="77777777" w:rsidR="006A31E0" w:rsidRPr="006A31E0" w:rsidRDefault="006A31E0" w:rsidP="006A31E0">
      <w:pPr>
        <w:pStyle w:val="ListParagraph"/>
        <w:ind w:left="1428"/>
        <w:jc w:val="both"/>
      </w:pPr>
    </w:p>
    <w:p w14:paraId="295A67D8" w14:textId="77777777" w:rsidR="006A31E0" w:rsidRPr="006A31E0" w:rsidRDefault="006A31E0" w:rsidP="00086930">
      <w:pPr>
        <w:jc w:val="both"/>
        <w:rPr>
          <w:lang w:val="tr-TR"/>
        </w:rPr>
      </w:pPr>
      <w:r w:rsidRPr="006A31E0">
        <w:rPr>
          <w:lang w:val="tr-TR"/>
        </w:rPr>
        <w:t xml:space="preserve">2005-2022 döneminde kullandığımız uzun dönem istihdam eğilimi metodolojisi tarımda istihdam artışının yıllık ortalama artış hızını yüzde 0,8 olarak vermektedir. Ancak Şekil 6’ya yakından bakıldığında azalmakta olan tarım istihdamının 2007’den itibaren artışa, 2018’den itibaren de yeniden düşüşe geçtiği görülmektedir. Uzun dönem yüzde 0,8 artış eğilimi aslında aldatıcıdır. Daha doğrusu tarım istihdamında belirgin bir eğilim mevcut değildir. </w:t>
      </w:r>
    </w:p>
    <w:p w14:paraId="243BDA0F" w14:textId="3CABEB5B" w:rsidR="006A31E0" w:rsidRPr="00577D85" w:rsidRDefault="006A31E0" w:rsidP="00086930">
      <w:pPr>
        <w:jc w:val="both"/>
        <w:rPr>
          <w:lang w:val="tr-TR"/>
        </w:rPr>
      </w:pPr>
      <w:r w:rsidRPr="006A31E0">
        <w:rPr>
          <w:lang w:val="tr-TR"/>
        </w:rPr>
        <w:t>Sanayileşmiş ülkelerde ekonomik kalkınma sürecinde tarımda çalışan sayısı verimlilik sıçramalarına (mekanizasyon ve diğer ileri teknolojiler) paralel olarak mutlak olarak azaldığından toplam içindeki payı da yüzde 3-5 gibi çok düşük düzeylere inmiştir. Oysa Türkiye’de bu pay halen yüzde 16 civarındadır (Tablo 1) ve gelişmişlik düzeyi itibariyle göreli olarak yüksektir; nedeni emek verimliğinin yüksek bir tempoda artamaması ve nüfus artışının yüksek seyretmesidir. Tarım dışı istihdam artışının durakladığı kriz dönemlerinde tarımda çalışan sayısının artmasıyla tarım istihdam payında artış olağandır. Nitekim bu pay 2005-2007 döneminde yüzde 24’1’den yüzde 21,2’ye geriledikten sonra küresel krizin neden olduğu duraklama ile yükselişe geçerek 2010’da yüzde 21’</w:t>
      </w:r>
      <w:proofErr w:type="gramStart"/>
      <w:r w:rsidRPr="006A31E0">
        <w:rPr>
          <w:lang w:val="tr-TR"/>
        </w:rPr>
        <w:t>9 a</w:t>
      </w:r>
      <w:proofErr w:type="gramEnd"/>
      <w:r w:rsidRPr="006A31E0">
        <w:rPr>
          <w:lang w:val="tr-TR"/>
        </w:rPr>
        <w:t xml:space="preserve"> yükselmiştir. </w:t>
      </w:r>
      <w:proofErr w:type="gramStart"/>
      <w:r w:rsidRPr="006A31E0">
        <w:rPr>
          <w:lang w:val="tr-TR"/>
        </w:rPr>
        <w:t>bu</w:t>
      </w:r>
      <w:proofErr w:type="gramEnd"/>
      <w:r w:rsidRPr="006A31E0">
        <w:rPr>
          <w:lang w:val="tr-TR"/>
        </w:rPr>
        <w:t xml:space="preserve"> tarihten itibaren düzenli olarak azalmaktadır (Tablo 1).</w:t>
      </w:r>
    </w:p>
    <w:p w14:paraId="75F24AC9" w14:textId="2A70D109" w:rsidR="006A31E0" w:rsidRPr="00577D85" w:rsidRDefault="006A31E0" w:rsidP="00086930">
      <w:pPr>
        <w:jc w:val="both"/>
        <w:rPr>
          <w:b/>
          <w:bCs/>
          <w:i/>
          <w:iCs/>
          <w:lang w:val="tr-TR"/>
        </w:rPr>
      </w:pPr>
      <w:r w:rsidRPr="00577D85">
        <w:rPr>
          <w:b/>
          <w:bCs/>
          <w:i/>
          <w:iCs/>
          <w:lang w:val="tr-TR"/>
        </w:rPr>
        <w:t>Şekil 6: Tarım Sektöründe İstihdamın evrimi</w:t>
      </w:r>
    </w:p>
    <w:p w14:paraId="6B2BF4B5" w14:textId="77777777" w:rsidR="006A31E0" w:rsidRPr="006A31E0" w:rsidRDefault="006A31E0" w:rsidP="00086930">
      <w:pPr>
        <w:jc w:val="both"/>
      </w:pPr>
      <w:r w:rsidRPr="006A31E0">
        <w:rPr>
          <w:noProof/>
          <w:lang w:val="en-GB" w:eastAsia="en-GB"/>
        </w:rPr>
        <w:drawing>
          <wp:inline distT="0" distB="0" distL="0" distR="0" wp14:anchorId="071F63DF" wp14:editId="7C6C9D80">
            <wp:extent cx="5673725" cy="258060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3725" cy="2580605"/>
                    </a:xfrm>
                    <a:prstGeom prst="rect">
                      <a:avLst/>
                    </a:prstGeom>
                    <a:noFill/>
                  </pic:spPr>
                </pic:pic>
              </a:graphicData>
            </a:graphic>
          </wp:inline>
        </w:drawing>
      </w:r>
    </w:p>
    <w:p w14:paraId="1057AEFB" w14:textId="77777777" w:rsidR="006A31E0" w:rsidRPr="006A31E0" w:rsidRDefault="006A31E0" w:rsidP="006A31E0">
      <w:pPr>
        <w:ind w:left="708"/>
        <w:jc w:val="both"/>
      </w:pPr>
    </w:p>
    <w:p w14:paraId="563357B9" w14:textId="45100AFB" w:rsidR="006A31E0" w:rsidRPr="006A31E0" w:rsidRDefault="006A31E0" w:rsidP="00086930">
      <w:pPr>
        <w:jc w:val="both"/>
      </w:pPr>
      <w:proofErr w:type="spellStart"/>
      <w:r w:rsidRPr="006A31E0">
        <w:t>Tarım</w:t>
      </w:r>
      <w:proofErr w:type="spellEnd"/>
      <w:r w:rsidRPr="006A31E0">
        <w:t xml:space="preserve"> </w:t>
      </w:r>
      <w:proofErr w:type="spellStart"/>
      <w:r w:rsidRPr="006A31E0">
        <w:t>sektöründe</w:t>
      </w:r>
      <w:proofErr w:type="spellEnd"/>
      <w:r w:rsidRPr="006A31E0">
        <w:t xml:space="preserve"> -</w:t>
      </w:r>
      <w:proofErr w:type="spellStart"/>
      <w:r w:rsidRPr="006A31E0">
        <w:t>çalışan</w:t>
      </w:r>
      <w:proofErr w:type="spellEnd"/>
      <w:r w:rsidRPr="006A31E0">
        <w:t xml:space="preserve"> </w:t>
      </w:r>
      <w:proofErr w:type="spellStart"/>
      <w:r w:rsidRPr="006A31E0">
        <w:t>başına</w:t>
      </w:r>
      <w:proofErr w:type="spellEnd"/>
      <w:r w:rsidRPr="006A31E0">
        <w:t xml:space="preserve"> </w:t>
      </w:r>
      <w:proofErr w:type="spellStart"/>
      <w:r w:rsidRPr="006A31E0">
        <w:t>katma</w:t>
      </w:r>
      <w:proofErr w:type="spellEnd"/>
      <w:r w:rsidRPr="006A31E0">
        <w:t xml:space="preserve"> </w:t>
      </w:r>
      <w:proofErr w:type="spellStart"/>
      <w:r w:rsidRPr="006A31E0">
        <w:t>değer</w:t>
      </w:r>
      <w:proofErr w:type="spellEnd"/>
      <w:r w:rsidRPr="006A31E0">
        <w:t xml:space="preserve"> </w:t>
      </w:r>
      <w:proofErr w:type="spellStart"/>
      <w:r w:rsidRPr="006A31E0">
        <w:t>hesabıyla</w:t>
      </w:r>
      <w:proofErr w:type="spellEnd"/>
      <w:r w:rsidRPr="006A31E0">
        <w:t xml:space="preserve"> </w:t>
      </w:r>
      <w:proofErr w:type="spellStart"/>
      <w:r w:rsidRPr="006A31E0">
        <w:t>çok</w:t>
      </w:r>
      <w:proofErr w:type="spellEnd"/>
      <w:r w:rsidRPr="006A31E0">
        <w:t xml:space="preserve"> </w:t>
      </w:r>
      <w:proofErr w:type="spellStart"/>
      <w:r w:rsidRPr="006A31E0">
        <w:t>düşük</w:t>
      </w:r>
      <w:proofErr w:type="spellEnd"/>
      <w:r w:rsidRPr="006A31E0">
        <w:t xml:space="preserve"> </w:t>
      </w:r>
      <w:proofErr w:type="spellStart"/>
      <w:r w:rsidRPr="006A31E0">
        <w:t>verimlilik</w:t>
      </w:r>
      <w:proofErr w:type="spellEnd"/>
      <w:r w:rsidRPr="006A31E0">
        <w:t xml:space="preserve"> </w:t>
      </w:r>
      <w:proofErr w:type="spellStart"/>
      <w:r w:rsidRPr="006A31E0">
        <w:t>seviyesinde</w:t>
      </w:r>
      <w:proofErr w:type="spellEnd"/>
      <w:r w:rsidRPr="006A31E0">
        <w:t xml:space="preserve">- </w:t>
      </w:r>
      <w:proofErr w:type="spellStart"/>
      <w:r w:rsidRPr="006A31E0">
        <w:t>istihdamın</w:t>
      </w:r>
      <w:proofErr w:type="spellEnd"/>
      <w:r w:rsidRPr="006A31E0">
        <w:t xml:space="preserve"> </w:t>
      </w:r>
      <w:proofErr w:type="spellStart"/>
      <w:r w:rsidRPr="006A31E0">
        <w:t>yüzde</w:t>
      </w:r>
      <w:proofErr w:type="spellEnd"/>
      <w:r w:rsidRPr="006A31E0">
        <w:t xml:space="preserve"> 16’sı </w:t>
      </w:r>
      <w:proofErr w:type="spellStart"/>
      <w:r w:rsidRPr="006A31E0">
        <w:t>oranında</w:t>
      </w:r>
      <w:proofErr w:type="spellEnd"/>
      <w:r w:rsidRPr="006A31E0">
        <w:t xml:space="preserve"> 4,5 </w:t>
      </w:r>
      <w:proofErr w:type="spellStart"/>
      <w:r w:rsidRPr="006A31E0">
        <w:t>milyon</w:t>
      </w:r>
      <w:proofErr w:type="spellEnd"/>
      <w:r w:rsidRPr="006A31E0">
        <w:t xml:space="preserve"> </w:t>
      </w:r>
      <w:proofErr w:type="spellStart"/>
      <w:r w:rsidRPr="006A31E0">
        <w:t>işgücü</w:t>
      </w:r>
      <w:proofErr w:type="spellEnd"/>
      <w:r w:rsidRPr="006A31E0">
        <w:t xml:space="preserve"> </w:t>
      </w:r>
      <w:proofErr w:type="spellStart"/>
      <w:r w:rsidRPr="006A31E0">
        <w:t>barınması</w:t>
      </w:r>
      <w:proofErr w:type="spellEnd"/>
      <w:r w:rsidRPr="006A31E0">
        <w:t xml:space="preserve">, </w:t>
      </w:r>
      <w:proofErr w:type="spellStart"/>
      <w:r w:rsidRPr="006A31E0">
        <w:t>Türk</w:t>
      </w:r>
      <w:proofErr w:type="spellEnd"/>
      <w:r w:rsidRPr="006A31E0">
        <w:t xml:space="preserve"> </w:t>
      </w:r>
      <w:proofErr w:type="spellStart"/>
      <w:r w:rsidRPr="006A31E0">
        <w:t>ekonomisinin</w:t>
      </w:r>
      <w:proofErr w:type="spellEnd"/>
      <w:r w:rsidRPr="006A31E0">
        <w:t xml:space="preserve"> “</w:t>
      </w:r>
      <w:proofErr w:type="spellStart"/>
      <w:r w:rsidRPr="006A31E0">
        <w:t>Gelişmekte</w:t>
      </w:r>
      <w:proofErr w:type="spellEnd"/>
      <w:r w:rsidRPr="006A31E0">
        <w:t xml:space="preserve"> </w:t>
      </w:r>
      <w:proofErr w:type="spellStart"/>
      <w:r w:rsidRPr="006A31E0">
        <w:t>olan</w:t>
      </w:r>
      <w:proofErr w:type="spellEnd"/>
      <w:r w:rsidRPr="006A31E0">
        <w:t xml:space="preserve"> Ekonomi” </w:t>
      </w:r>
      <w:proofErr w:type="spellStart"/>
      <w:r w:rsidRPr="006A31E0">
        <w:t>ve</w:t>
      </w:r>
      <w:proofErr w:type="spellEnd"/>
      <w:r w:rsidRPr="006A31E0">
        <w:t xml:space="preserve"> “</w:t>
      </w:r>
      <w:proofErr w:type="spellStart"/>
      <w:r w:rsidRPr="006A31E0">
        <w:t>Orta</w:t>
      </w:r>
      <w:proofErr w:type="spellEnd"/>
      <w:r w:rsidRPr="006A31E0">
        <w:t xml:space="preserve"> </w:t>
      </w:r>
      <w:proofErr w:type="spellStart"/>
      <w:r w:rsidRPr="006A31E0">
        <w:t>Gelir</w:t>
      </w:r>
      <w:proofErr w:type="spellEnd"/>
      <w:r w:rsidRPr="006A31E0">
        <w:t xml:space="preserve"> </w:t>
      </w:r>
      <w:proofErr w:type="spellStart"/>
      <w:r w:rsidRPr="006A31E0">
        <w:t>Tuzağına</w:t>
      </w:r>
      <w:proofErr w:type="spellEnd"/>
      <w:r w:rsidRPr="006A31E0">
        <w:t xml:space="preserve"> </w:t>
      </w:r>
      <w:proofErr w:type="spellStart"/>
      <w:r w:rsidRPr="006A31E0">
        <w:t>Takılmış</w:t>
      </w:r>
      <w:proofErr w:type="spellEnd"/>
      <w:r w:rsidRPr="006A31E0">
        <w:t xml:space="preserve">” </w:t>
      </w:r>
      <w:proofErr w:type="spellStart"/>
      <w:r w:rsidRPr="006A31E0">
        <w:t>olarak</w:t>
      </w:r>
      <w:proofErr w:type="spellEnd"/>
      <w:r w:rsidRPr="006A31E0">
        <w:t xml:space="preserve"> </w:t>
      </w:r>
      <w:proofErr w:type="spellStart"/>
      <w:r w:rsidRPr="006A31E0">
        <w:t>tanımlanmasına</w:t>
      </w:r>
      <w:proofErr w:type="spellEnd"/>
      <w:r w:rsidRPr="006A31E0">
        <w:t xml:space="preserve"> </w:t>
      </w:r>
      <w:proofErr w:type="spellStart"/>
      <w:r w:rsidRPr="006A31E0">
        <w:t>neden</w:t>
      </w:r>
      <w:proofErr w:type="spellEnd"/>
      <w:r w:rsidRPr="006A31E0">
        <w:t xml:space="preserve"> </w:t>
      </w:r>
      <w:proofErr w:type="spellStart"/>
      <w:r w:rsidRPr="006A31E0">
        <w:t>teşkil</w:t>
      </w:r>
      <w:proofErr w:type="spellEnd"/>
      <w:r w:rsidRPr="006A31E0">
        <w:t xml:space="preserve"> </w:t>
      </w:r>
      <w:proofErr w:type="spellStart"/>
      <w:r w:rsidRPr="006A31E0">
        <w:t>etmektedir</w:t>
      </w:r>
      <w:proofErr w:type="spellEnd"/>
      <w:r w:rsidRPr="006A31E0">
        <w:t xml:space="preserve">. Bu </w:t>
      </w:r>
      <w:proofErr w:type="spellStart"/>
      <w:r w:rsidRPr="006A31E0">
        <w:t>nedenle</w:t>
      </w:r>
      <w:proofErr w:type="spellEnd"/>
      <w:r w:rsidRPr="006A31E0">
        <w:t xml:space="preserve"> </w:t>
      </w:r>
      <w:proofErr w:type="spellStart"/>
      <w:r w:rsidRPr="006A31E0">
        <w:t>düşük</w:t>
      </w:r>
      <w:proofErr w:type="spellEnd"/>
      <w:r w:rsidRPr="006A31E0">
        <w:t xml:space="preserve"> </w:t>
      </w:r>
      <w:proofErr w:type="spellStart"/>
      <w:r w:rsidRPr="006A31E0">
        <w:t>verimlilikteki</w:t>
      </w:r>
      <w:proofErr w:type="spellEnd"/>
      <w:r w:rsidRPr="006A31E0">
        <w:t xml:space="preserve"> </w:t>
      </w:r>
      <w:proofErr w:type="spellStart"/>
      <w:r w:rsidRPr="006A31E0">
        <w:t>tarım</w:t>
      </w:r>
      <w:proofErr w:type="spellEnd"/>
      <w:r w:rsidRPr="006A31E0">
        <w:t xml:space="preserve"> </w:t>
      </w:r>
      <w:proofErr w:type="spellStart"/>
      <w:r w:rsidRPr="006A31E0">
        <w:t>kesiminden</w:t>
      </w:r>
      <w:proofErr w:type="spellEnd"/>
      <w:r w:rsidRPr="006A31E0">
        <w:t xml:space="preserve"> </w:t>
      </w:r>
      <w:proofErr w:type="spellStart"/>
      <w:r w:rsidRPr="006A31E0">
        <w:t>yüksek</w:t>
      </w:r>
      <w:proofErr w:type="spellEnd"/>
      <w:r w:rsidRPr="006A31E0">
        <w:t xml:space="preserve"> </w:t>
      </w:r>
      <w:proofErr w:type="spellStart"/>
      <w:r w:rsidRPr="006A31E0">
        <w:t>verimlilikteki</w:t>
      </w:r>
      <w:proofErr w:type="spellEnd"/>
      <w:r w:rsidRPr="006A31E0">
        <w:t xml:space="preserve"> </w:t>
      </w:r>
      <w:proofErr w:type="spellStart"/>
      <w:r w:rsidRPr="006A31E0">
        <w:t>sanayi</w:t>
      </w:r>
      <w:proofErr w:type="spellEnd"/>
      <w:r w:rsidRPr="006A31E0">
        <w:t xml:space="preserve"> </w:t>
      </w:r>
      <w:proofErr w:type="spellStart"/>
      <w:r w:rsidRPr="006A31E0">
        <w:t>ve</w:t>
      </w:r>
      <w:proofErr w:type="spellEnd"/>
      <w:r w:rsidRPr="006A31E0">
        <w:t xml:space="preserve"> </w:t>
      </w:r>
      <w:proofErr w:type="spellStart"/>
      <w:r w:rsidRPr="006A31E0">
        <w:t>hizmet</w:t>
      </w:r>
      <w:proofErr w:type="spellEnd"/>
      <w:r w:rsidRPr="006A31E0">
        <w:t xml:space="preserve"> </w:t>
      </w:r>
      <w:proofErr w:type="spellStart"/>
      <w:r w:rsidRPr="006A31E0">
        <w:t>kesimine</w:t>
      </w:r>
      <w:proofErr w:type="spellEnd"/>
      <w:r w:rsidRPr="006A31E0">
        <w:t xml:space="preserve"> </w:t>
      </w:r>
      <w:proofErr w:type="spellStart"/>
      <w:r w:rsidRPr="006A31E0">
        <w:t>işgücü</w:t>
      </w:r>
      <w:proofErr w:type="spellEnd"/>
      <w:r w:rsidRPr="006A31E0">
        <w:t xml:space="preserve"> </w:t>
      </w:r>
      <w:proofErr w:type="spellStart"/>
      <w:r w:rsidRPr="006A31E0">
        <w:t>transferinin</w:t>
      </w:r>
      <w:proofErr w:type="spellEnd"/>
      <w:r w:rsidRPr="006A31E0">
        <w:t xml:space="preserve"> </w:t>
      </w:r>
      <w:proofErr w:type="spellStart"/>
      <w:r w:rsidRPr="006A31E0">
        <w:t>konjonktürel</w:t>
      </w:r>
      <w:proofErr w:type="spellEnd"/>
      <w:r w:rsidRPr="006A31E0">
        <w:t xml:space="preserve"> </w:t>
      </w:r>
      <w:proofErr w:type="spellStart"/>
      <w:r w:rsidRPr="006A31E0">
        <w:t>nitelikte</w:t>
      </w:r>
      <w:proofErr w:type="spellEnd"/>
      <w:r w:rsidRPr="006A31E0">
        <w:t xml:space="preserve"> mi </w:t>
      </w:r>
      <w:proofErr w:type="spellStart"/>
      <w:r w:rsidRPr="006A31E0">
        <w:t>olduğu</w:t>
      </w:r>
      <w:proofErr w:type="spellEnd"/>
      <w:r w:rsidRPr="006A31E0">
        <w:t xml:space="preserve">, </w:t>
      </w:r>
      <w:proofErr w:type="spellStart"/>
      <w:r w:rsidRPr="006A31E0">
        <w:t>yoksa</w:t>
      </w:r>
      <w:proofErr w:type="spellEnd"/>
      <w:r w:rsidRPr="006A31E0">
        <w:t xml:space="preserve"> </w:t>
      </w:r>
      <w:proofErr w:type="spellStart"/>
      <w:r w:rsidRPr="006A31E0">
        <w:t>yapısal</w:t>
      </w:r>
      <w:proofErr w:type="spellEnd"/>
      <w:r w:rsidRPr="006A31E0">
        <w:t xml:space="preserve"> </w:t>
      </w:r>
      <w:proofErr w:type="spellStart"/>
      <w:r w:rsidRPr="006A31E0">
        <w:t>bir</w:t>
      </w:r>
      <w:proofErr w:type="spellEnd"/>
      <w:r w:rsidRPr="006A31E0">
        <w:t xml:space="preserve"> </w:t>
      </w:r>
      <w:proofErr w:type="spellStart"/>
      <w:r w:rsidRPr="006A31E0">
        <w:t>boyut</w:t>
      </w:r>
      <w:proofErr w:type="spellEnd"/>
      <w:r w:rsidRPr="006A31E0">
        <w:t xml:space="preserve"> mu </w:t>
      </w:r>
      <w:proofErr w:type="spellStart"/>
      <w:r w:rsidRPr="006A31E0">
        <w:t>içerdiği</w:t>
      </w:r>
      <w:proofErr w:type="spellEnd"/>
      <w:r w:rsidRPr="006A31E0">
        <w:t xml:space="preserve"> </w:t>
      </w:r>
      <w:proofErr w:type="spellStart"/>
      <w:r w:rsidRPr="006A31E0">
        <w:t>önemli</w:t>
      </w:r>
      <w:proofErr w:type="spellEnd"/>
      <w:r w:rsidRPr="006A31E0">
        <w:t xml:space="preserve"> </w:t>
      </w:r>
      <w:proofErr w:type="spellStart"/>
      <w:r w:rsidRPr="006A31E0">
        <w:t>bir</w:t>
      </w:r>
      <w:proofErr w:type="spellEnd"/>
      <w:r w:rsidRPr="006A31E0">
        <w:t xml:space="preserve"> </w:t>
      </w:r>
      <w:proofErr w:type="spellStart"/>
      <w:r w:rsidRPr="006A31E0">
        <w:t>sorudur</w:t>
      </w:r>
      <w:proofErr w:type="spellEnd"/>
      <w:r w:rsidRPr="006A31E0">
        <w:t>.</w:t>
      </w:r>
    </w:p>
    <w:p w14:paraId="2ED1F463" w14:textId="13820851" w:rsidR="006A31E0" w:rsidRPr="006A31E0" w:rsidRDefault="006A31E0" w:rsidP="00086930">
      <w:pPr>
        <w:jc w:val="both"/>
      </w:pPr>
      <w:proofErr w:type="spellStart"/>
      <w:r w:rsidRPr="006A31E0">
        <w:t>Sanayileşmesini</w:t>
      </w:r>
      <w:proofErr w:type="spellEnd"/>
      <w:r w:rsidRPr="006A31E0">
        <w:t xml:space="preserve"> </w:t>
      </w:r>
      <w:proofErr w:type="spellStart"/>
      <w:r w:rsidRPr="006A31E0">
        <w:t>henüz</w:t>
      </w:r>
      <w:proofErr w:type="spellEnd"/>
      <w:r w:rsidRPr="006A31E0">
        <w:t xml:space="preserve"> </w:t>
      </w:r>
      <w:proofErr w:type="spellStart"/>
      <w:r w:rsidRPr="006A31E0">
        <w:t>tamamlamamış</w:t>
      </w:r>
      <w:proofErr w:type="spellEnd"/>
      <w:r w:rsidRPr="006A31E0">
        <w:t xml:space="preserve"> </w:t>
      </w:r>
      <w:proofErr w:type="spellStart"/>
      <w:r w:rsidRPr="006A31E0">
        <w:t>olan</w:t>
      </w:r>
      <w:proofErr w:type="spellEnd"/>
      <w:r w:rsidRPr="006A31E0">
        <w:t xml:space="preserve"> </w:t>
      </w:r>
      <w:proofErr w:type="spellStart"/>
      <w:r w:rsidRPr="006A31E0">
        <w:t>Türkiye’de</w:t>
      </w:r>
      <w:proofErr w:type="spellEnd"/>
      <w:r w:rsidRPr="006A31E0">
        <w:t xml:space="preserve"> </w:t>
      </w:r>
      <w:proofErr w:type="spellStart"/>
      <w:r w:rsidRPr="006A31E0">
        <w:t>tarımda</w:t>
      </w:r>
      <w:proofErr w:type="spellEnd"/>
      <w:r w:rsidRPr="006A31E0">
        <w:t xml:space="preserve"> </w:t>
      </w:r>
      <w:proofErr w:type="spellStart"/>
      <w:r w:rsidRPr="006A31E0">
        <w:t>verimliliğin</w:t>
      </w:r>
      <w:proofErr w:type="spellEnd"/>
      <w:r w:rsidRPr="006A31E0">
        <w:t xml:space="preserve"> </w:t>
      </w:r>
      <w:proofErr w:type="spellStart"/>
      <w:r w:rsidRPr="006A31E0">
        <w:t>artması</w:t>
      </w:r>
      <w:proofErr w:type="spellEnd"/>
      <w:r w:rsidRPr="006A31E0">
        <w:t xml:space="preserve"> </w:t>
      </w:r>
      <w:proofErr w:type="spellStart"/>
      <w:r w:rsidRPr="006A31E0">
        <w:t>beklenir</w:t>
      </w:r>
      <w:proofErr w:type="spellEnd"/>
      <w:r w:rsidRPr="006A31E0">
        <w:t xml:space="preserve">. Bu </w:t>
      </w:r>
      <w:proofErr w:type="spellStart"/>
      <w:r w:rsidRPr="006A31E0">
        <w:t>beklenti</w:t>
      </w:r>
      <w:proofErr w:type="spellEnd"/>
      <w:r w:rsidRPr="006A31E0">
        <w:t xml:space="preserve"> </w:t>
      </w:r>
      <w:proofErr w:type="spellStart"/>
      <w:r w:rsidRPr="006A31E0">
        <w:t>aynı</w:t>
      </w:r>
      <w:proofErr w:type="spellEnd"/>
      <w:r w:rsidRPr="006A31E0">
        <w:t xml:space="preserve"> </w:t>
      </w:r>
      <w:proofErr w:type="spellStart"/>
      <w:r w:rsidRPr="006A31E0">
        <w:t>zamanda</w:t>
      </w:r>
      <w:proofErr w:type="spellEnd"/>
      <w:r w:rsidRPr="006A31E0">
        <w:t xml:space="preserve"> </w:t>
      </w:r>
      <w:proofErr w:type="spellStart"/>
      <w:r w:rsidRPr="006A31E0">
        <w:t>kişi</w:t>
      </w:r>
      <w:proofErr w:type="spellEnd"/>
      <w:r w:rsidRPr="006A31E0">
        <w:t xml:space="preserve"> </w:t>
      </w:r>
      <w:proofErr w:type="spellStart"/>
      <w:r w:rsidRPr="006A31E0">
        <w:t>başı</w:t>
      </w:r>
      <w:proofErr w:type="spellEnd"/>
      <w:r w:rsidRPr="006A31E0">
        <w:t xml:space="preserve"> </w:t>
      </w:r>
      <w:proofErr w:type="spellStart"/>
      <w:r w:rsidRPr="006A31E0">
        <w:t>gelir</w:t>
      </w:r>
      <w:proofErr w:type="spellEnd"/>
      <w:r w:rsidRPr="006A31E0">
        <w:t xml:space="preserve"> </w:t>
      </w:r>
      <w:proofErr w:type="spellStart"/>
      <w:r w:rsidRPr="006A31E0">
        <w:t>artışının</w:t>
      </w:r>
      <w:proofErr w:type="spellEnd"/>
      <w:r w:rsidRPr="006A31E0">
        <w:t xml:space="preserve"> </w:t>
      </w:r>
      <w:proofErr w:type="spellStart"/>
      <w:r w:rsidRPr="006A31E0">
        <w:t>diğer</w:t>
      </w:r>
      <w:proofErr w:type="spellEnd"/>
      <w:r w:rsidRPr="006A31E0">
        <w:t xml:space="preserve"> </w:t>
      </w:r>
      <w:proofErr w:type="spellStart"/>
      <w:r w:rsidRPr="006A31E0">
        <w:t>ifadeyle</w:t>
      </w:r>
      <w:proofErr w:type="spellEnd"/>
      <w:r w:rsidRPr="006A31E0">
        <w:t xml:space="preserve"> </w:t>
      </w:r>
      <w:proofErr w:type="spellStart"/>
      <w:r w:rsidRPr="006A31E0">
        <w:t>kalkınmanın</w:t>
      </w:r>
      <w:proofErr w:type="spellEnd"/>
      <w:r w:rsidRPr="006A31E0">
        <w:t xml:space="preserve"> </w:t>
      </w:r>
      <w:proofErr w:type="spellStart"/>
      <w:r w:rsidRPr="006A31E0">
        <w:t>olmazsa</w:t>
      </w:r>
      <w:proofErr w:type="spellEnd"/>
      <w:r w:rsidRPr="006A31E0">
        <w:t xml:space="preserve"> </w:t>
      </w:r>
      <w:proofErr w:type="spellStart"/>
      <w:r w:rsidRPr="006A31E0">
        <w:t>olmaz</w:t>
      </w:r>
      <w:proofErr w:type="spellEnd"/>
      <w:r w:rsidRPr="006A31E0">
        <w:t xml:space="preserve"> </w:t>
      </w:r>
      <w:proofErr w:type="spellStart"/>
      <w:r w:rsidRPr="006A31E0">
        <w:t>koşuludur</w:t>
      </w:r>
      <w:proofErr w:type="spellEnd"/>
      <w:r w:rsidRPr="006A31E0">
        <w:t xml:space="preserve">. </w:t>
      </w:r>
      <w:proofErr w:type="spellStart"/>
      <w:r w:rsidRPr="006A31E0">
        <w:t>Kısacası</w:t>
      </w:r>
      <w:proofErr w:type="spellEnd"/>
      <w:r w:rsidRPr="006A31E0">
        <w:t xml:space="preserve">, </w:t>
      </w:r>
      <w:proofErr w:type="spellStart"/>
      <w:r w:rsidRPr="006A31E0">
        <w:t>tarım</w:t>
      </w:r>
      <w:proofErr w:type="spellEnd"/>
      <w:r w:rsidRPr="006A31E0">
        <w:t xml:space="preserve"> </w:t>
      </w:r>
      <w:proofErr w:type="spellStart"/>
      <w:r w:rsidRPr="006A31E0">
        <w:t>istihdamında</w:t>
      </w:r>
      <w:proofErr w:type="spellEnd"/>
      <w:r w:rsidRPr="006A31E0">
        <w:t xml:space="preserve"> </w:t>
      </w:r>
      <w:proofErr w:type="spellStart"/>
      <w:r w:rsidRPr="006A31E0">
        <w:t>uzun</w:t>
      </w:r>
      <w:proofErr w:type="spellEnd"/>
      <w:r w:rsidRPr="006A31E0">
        <w:t xml:space="preserve"> </w:t>
      </w:r>
      <w:proofErr w:type="spellStart"/>
      <w:r w:rsidRPr="006A31E0">
        <w:t>dönem</w:t>
      </w:r>
      <w:proofErr w:type="spellEnd"/>
      <w:r w:rsidRPr="006A31E0">
        <w:t xml:space="preserve"> </w:t>
      </w:r>
      <w:proofErr w:type="spellStart"/>
      <w:r w:rsidRPr="006A31E0">
        <w:t>eğilimi</w:t>
      </w:r>
      <w:proofErr w:type="spellEnd"/>
      <w:r w:rsidRPr="006A31E0">
        <w:t xml:space="preserve"> </w:t>
      </w:r>
      <w:proofErr w:type="spellStart"/>
      <w:r w:rsidRPr="006A31E0">
        <w:t>aşağı</w:t>
      </w:r>
      <w:proofErr w:type="spellEnd"/>
      <w:r w:rsidRPr="006A31E0">
        <w:t xml:space="preserve"> </w:t>
      </w:r>
      <w:proofErr w:type="spellStart"/>
      <w:r w:rsidRPr="006A31E0">
        <w:t>yönlü</w:t>
      </w:r>
      <w:proofErr w:type="spellEnd"/>
      <w:r w:rsidRPr="006A31E0">
        <w:t xml:space="preserve"> </w:t>
      </w:r>
      <w:proofErr w:type="spellStart"/>
      <w:r w:rsidRPr="006A31E0">
        <w:t>olmak</w:t>
      </w:r>
      <w:proofErr w:type="spellEnd"/>
      <w:r w:rsidRPr="006A31E0">
        <w:t xml:space="preserve"> </w:t>
      </w:r>
      <w:proofErr w:type="spellStart"/>
      <w:r w:rsidRPr="006A31E0">
        <w:t>durumdadır</w:t>
      </w:r>
      <w:proofErr w:type="spellEnd"/>
      <w:r w:rsidRPr="006A31E0">
        <w:t xml:space="preserve">. </w:t>
      </w:r>
    </w:p>
    <w:p w14:paraId="600E590F" w14:textId="7E85C9B0" w:rsidR="006A31E0" w:rsidRPr="00577D85" w:rsidRDefault="006A31E0" w:rsidP="00086930">
      <w:pPr>
        <w:jc w:val="both"/>
        <w:rPr>
          <w:b/>
          <w:bCs/>
          <w:i/>
          <w:iCs/>
        </w:rPr>
      </w:pPr>
      <w:r w:rsidRPr="006A31E0">
        <w:rPr>
          <w:b/>
          <w:bCs/>
          <w:i/>
          <w:iCs/>
        </w:rPr>
        <w:t xml:space="preserve">7. </w:t>
      </w:r>
      <w:proofErr w:type="spellStart"/>
      <w:r w:rsidRPr="006A31E0">
        <w:rPr>
          <w:b/>
          <w:bCs/>
          <w:i/>
          <w:iCs/>
        </w:rPr>
        <w:t>İstihdamın</w:t>
      </w:r>
      <w:proofErr w:type="spellEnd"/>
      <w:r w:rsidRPr="006A31E0">
        <w:rPr>
          <w:b/>
          <w:bCs/>
          <w:i/>
          <w:iCs/>
        </w:rPr>
        <w:t xml:space="preserve"> </w:t>
      </w:r>
      <w:proofErr w:type="spellStart"/>
      <w:r w:rsidRPr="006A31E0">
        <w:rPr>
          <w:b/>
          <w:bCs/>
          <w:i/>
          <w:iCs/>
        </w:rPr>
        <w:t>sektör</w:t>
      </w:r>
      <w:proofErr w:type="spellEnd"/>
      <w:r w:rsidRPr="006A31E0">
        <w:rPr>
          <w:b/>
          <w:bCs/>
          <w:i/>
          <w:iCs/>
        </w:rPr>
        <w:t xml:space="preserve"> </w:t>
      </w:r>
      <w:proofErr w:type="spellStart"/>
      <w:r w:rsidRPr="006A31E0">
        <w:rPr>
          <w:b/>
          <w:bCs/>
          <w:i/>
          <w:iCs/>
        </w:rPr>
        <w:t>bileşiminde</w:t>
      </w:r>
      <w:proofErr w:type="spellEnd"/>
      <w:r w:rsidRPr="006A31E0">
        <w:rPr>
          <w:b/>
          <w:bCs/>
          <w:i/>
          <w:iCs/>
        </w:rPr>
        <w:t xml:space="preserve"> </w:t>
      </w:r>
      <w:proofErr w:type="spellStart"/>
      <w:r w:rsidRPr="006A31E0">
        <w:rPr>
          <w:b/>
          <w:bCs/>
          <w:i/>
          <w:iCs/>
        </w:rPr>
        <w:t>olağan</w:t>
      </w:r>
      <w:proofErr w:type="spellEnd"/>
      <w:r w:rsidRPr="006A31E0">
        <w:rPr>
          <w:b/>
          <w:bCs/>
          <w:i/>
          <w:iCs/>
        </w:rPr>
        <w:t xml:space="preserve"> </w:t>
      </w:r>
      <w:proofErr w:type="spellStart"/>
      <w:r w:rsidRPr="006A31E0">
        <w:rPr>
          <w:b/>
          <w:bCs/>
          <w:i/>
          <w:iCs/>
        </w:rPr>
        <w:t>ve</w:t>
      </w:r>
      <w:proofErr w:type="spellEnd"/>
      <w:r w:rsidRPr="006A31E0">
        <w:rPr>
          <w:b/>
          <w:bCs/>
          <w:i/>
          <w:iCs/>
        </w:rPr>
        <w:t xml:space="preserve"> </w:t>
      </w:r>
      <w:proofErr w:type="spellStart"/>
      <w:r w:rsidRPr="006A31E0">
        <w:rPr>
          <w:b/>
          <w:bCs/>
          <w:i/>
          <w:iCs/>
        </w:rPr>
        <w:t>olağan</w:t>
      </w:r>
      <w:proofErr w:type="spellEnd"/>
      <w:r w:rsidRPr="006A31E0">
        <w:rPr>
          <w:b/>
          <w:bCs/>
          <w:i/>
          <w:iCs/>
        </w:rPr>
        <w:t xml:space="preserve"> </w:t>
      </w:r>
      <w:proofErr w:type="spellStart"/>
      <w:r w:rsidRPr="006A31E0">
        <w:rPr>
          <w:b/>
          <w:bCs/>
          <w:i/>
          <w:iCs/>
        </w:rPr>
        <w:t>dışı</w:t>
      </w:r>
      <w:proofErr w:type="spellEnd"/>
      <w:r w:rsidRPr="006A31E0">
        <w:rPr>
          <w:b/>
          <w:bCs/>
          <w:i/>
          <w:iCs/>
        </w:rPr>
        <w:t xml:space="preserve"> </w:t>
      </w:r>
      <w:proofErr w:type="spellStart"/>
      <w:r w:rsidRPr="006A31E0">
        <w:rPr>
          <w:b/>
          <w:bCs/>
          <w:i/>
          <w:iCs/>
        </w:rPr>
        <w:t>gelişmeler</w:t>
      </w:r>
      <w:proofErr w:type="spellEnd"/>
    </w:p>
    <w:p w14:paraId="53464B20" w14:textId="77777777" w:rsidR="00577D85" w:rsidRDefault="006A31E0" w:rsidP="00086930">
      <w:pPr>
        <w:jc w:val="both"/>
      </w:pPr>
      <w:proofErr w:type="spellStart"/>
      <w:r w:rsidRPr="006A31E0">
        <w:t>Buraya</w:t>
      </w:r>
      <w:proofErr w:type="spellEnd"/>
      <w:r w:rsidRPr="006A31E0">
        <w:t xml:space="preserve"> </w:t>
      </w:r>
      <w:proofErr w:type="spellStart"/>
      <w:r w:rsidRPr="006A31E0">
        <w:t>kadar</w:t>
      </w:r>
      <w:proofErr w:type="spellEnd"/>
      <w:r w:rsidRPr="006A31E0">
        <w:t xml:space="preserve"> 2005-2022 </w:t>
      </w:r>
      <w:proofErr w:type="spellStart"/>
      <w:r w:rsidRPr="006A31E0">
        <w:t>döneminde</w:t>
      </w:r>
      <w:proofErr w:type="spellEnd"/>
      <w:r w:rsidRPr="006A31E0">
        <w:t xml:space="preserve"> </w:t>
      </w:r>
      <w:proofErr w:type="spellStart"/>
      <w:r w:rsidRPr="006A31E0">
        <w:t>istihdamın</w:t>
      </w:r>
      <w:proofErr w:type="spellEnd"/>
      <w:r w:rsidRPr="006A31E0">
        <w:t xml:space="preserve"> </w:t>
      </w:r>
      <w:proofErr w:type="spellStart"/>
      <w:r w:rsidRPr="006A31E0">
        <w:t>uzun</w:t>
      </w:r>
      <w:proofErr w:type="spellEnd"/>
      <w:r w:rsidRPr="006A31E0">
        <w:t xml:space="preserve"> </w:t>
      </w:r>
      <w:proofErr w:type="spellStart"/>
      <w:r w:rsidRPr="006A31E0">
        <w:t>dönem</w:t>
      </w:r>
      <w:proofErr w:type="spellEnd"/>
      <w:r w:rsidRPr="006A31E0">
        <w:t xml:space="preserve"> </w:t>
      </w:r>
      <w:proofErr w:type="spellStart"/>
      <w:r w:rsidRPr="006A31E0">
        <w:t>eğilimlerinin</w:t>
      </w:r>
      <w:proofErr w:type="spellEnd"/>
      <w:r w:rsidRPr="006A31E0">
        <w:t xml:space="preserve"> ana </w:t>
      </w:r>
      <w:proofErr w:type="spellStart"/>
      <w:r w:rsidRPr="006A31E0">
        <w:t>sektörlerde</w:t>
      </w:r>
      <w:proofErr w:type="spellEnd"/>
      <w:r w:rsidRPr="006A31E0">
        <w:t xml:space="preserve"> ne </w:t>
      </w:r>
      <w:proofErr w:type="spellStart"/>
      <w:r w:rsidRPr="006A31E0">
        <w:t>ölçüde</w:t>
      </w:r>
      <w:proofErr w:type="spellEnd"/>
      <w:r w:rsidRPr="006A31E0">
        <w:t xml:space="preserve"> </w:t>
      </w:r>
      <w:proofErr w:type="spellStart"/>
      <w:r w:rsidRPr="006A31E0">
        <w:t>farklılaştığını</w:t>
      </w:r>
      <w:proofErr w:type="spellEnd"/>
      <w:r w:rsidRPr="006A31E0">
        <w:t xml:space="preserve"> </w:t>
      </w:r>
      <w:proofErr w:type="spellStart"/>
      <w:r w:rsidRPr="006A31E0">
        <w:t>ve</w:t>
      </w:r>
      <w:proofErr w:type="spellEnd"/>
      <w:r w:rsidRPr="006A31E0">
        <w:t xml:space="preserve"> </w:t>
      </w:r>
      <w:proofErr w:type="spellStart"/>
      <w:r w:rsidRPr="006A31E0">
        <w:t>meydana</w:t>
      </w:r>
      <w:proofErr w:type="spellEnd"/>
      <w:r w:rsidRPr="006A31E0">
        <w:t xml:space="preserve"> </w:t>
      </w:r>
      <w:proofErr w:type="spellStart"/>
      <w:r w:rsidRPr="006A31E0">
        <w:t>gelen</w:t>
      </w:r>
      <w:proofErr w:type="spellEnd"/>
      <w:r w:rsidRPr="006A31E0">
        <w:t xml:space="preserve"> </w:t>
      </w:r>
      <w:proofErr w:type="spellStart"/>
      <w:r w:rsidRPr="006A31E0">
        <w:t>şokların</w:t>
      </w:r>
      <w:proofErr w:type="spellEnd"/>
      <w:r w:rsidRPr="006A31E0">
        <w:t xml:space="preserve"> </w:t>
      </w:r>
      <w:proofErr w:type="spellStart"/>
      <w:r w:rsidRPr="006A31E0">
        <w:t>bu</w:t>
      </w:r>
      <w:proofErr w:type="spellEnd"/>
      <w:r w:rsidRPr="006A31E0">
        <w:t xml:space="preserve"> </w:t>
      </w:r>
      <w:proofErr w:type="spellStart"/>
      <w:r w:rsidRPr="006A31E0">
        <w:t>eğilimlerde</w:t>
      </w:r>
      <w:proofErr w:type="spellEnd"/>
      <w:r w:rsidRPr="006A31E0">
        <w:t xml:space="preserve"> </w:t>
      </w:r>
      <w:proofErr w:type="spellStart"/>
      <w:r w:rsidRPr="006A31E0">
        <w:t>yarattığı</w:t>
      </w:r>
      <w:proofErr w:type="spellEnd"/>
      <w:r w:rsidRPr="006A31E0">
        <w:t xml:space="preserve"> </w:t>
      </w:r>
      <w:proofErr w:type="spellStart"/>
      <w:r w:rsidRPr="006A31E0">
        <w:t>sapmaların</w:t>
      </w:r>
      <w:proofErr w:type="spellEnd"/>
      <w:r w:rsidRPr="006A31E0">
        <w:t xml:space="preserve"> </w:t>
      </w:r>
      <w:proofErr w:type="spellStart"/>
      <w:r w:rsidRPr="006A31E0">
        <w:t>boyutlarını</w:t>
      </w:r>
      <w:proofErr w:type="spellEnd"/>
      <w:r w:rsidRPr="006A31E0">
        <w:t xml:space="preserve"> </w:t>
      </w:r>
      <w:proofErr w:type="spellStart"/>
      <w:r w:rsidRPr="006A31E0">
        <w:t>inceledik</w:t>
      </w:r>
      <w:proofErr w:type="spellEnd"/>
      <w:r w:rsidRPr="006A31E0">
        <w:t xml:space="preserve">. </w:t>
      </w:r>
      <w:proofErr w:type="spellStart"/>
      <w:r w:rsidRPr="006A31E0">
        <w:t>Eğilim</w:t>
      </w:r>
      <w:proofErr w:type="spellEnd"/>
      <w:r w:rsidRPr="006A31E0">
        <w:t xml:space="preserve"> </w:t>
      </w:r>
      <w:proofErr w:type="spellStart"/>
      <w:r w:rsidRPr="006A31E0">
        <w:t>farklılıkları</w:t>
      </w:r>
      <w:proofErr w:type="spellEnd"/>
      <w:r w:rsidRPr="006A31E0">
        <w:t xml:space="preserve"> </w:t>
      </w:r>
      <w:proofErr w:type="spellStart"/>
      <w:r w:rsidRPr="006A31E0">
        <w:t>ve</w:t>
      </w:r>
      <w:proofErr w:type="spellEnd"/>
      <w:r w:rsidRPr="006A31E0">
        <w:t xml:space="preserve"> </w:t>
      </w:r>
      <w:proofErr w:type="spellStart"/>
      <w:r w:rsidRPr="006A31E0">
        <w:t>şokların</w:t>
      </w:r>
      <w:proofErr w:type="spellEnd"/>
      <w:r w:rsidRPr="006A31E0">
        <w:t xml:space="preserve"> </w:t>
      </w:r>
      <w:proofErr w:type="spellStart"/>
      <w:r w:rsidRPr="006A31E0">
        <w:t>yaratığı</w:t>
      </w:r>
      <w:proofErr w:type="spellEnd"/>
      <w:r w:rsidRPr="006A31E0">
        <w:t xml:space="preserve"> </w:t>
      </w:r>
      <w:proofErr w:type="spellStart"/>
      <w:r w:rsidRPr="006A31E0">
        <w:t>sapmalar</w:t>
      </w:r>
      <w:proofErr w:type="spellEnd"/>
      <w:r w:rsidRPr="006A31E0">
        <w:t xml:space="preserve"> </w:t>
      </w:r>
      <w:proofErr w:type="spellStart"/>
      <w:r w:rsidRPr="006A31E0">
        <w:t>doğal</w:t>
      </w:r>
      <w:proofErr w:type="spellEnd"/>
      <w:r w:rsidRPr="006A31E0">
        <w:t xml:space="preserve"> </w:t>
      </w:r>
      <w:proofErr w:type="spellStart"/>
      <w:r w:rsidRPr="006A31E0">
        <w:t>olarak</w:t>
      </w:r>
      <w:proofErr w:type="spellEnd"/>
      <w:r w:rsidRPr="006A31E0">
        <w:t xml:space="preserve"> </w:t>
      </w:r>
      <w:proofErr w:type="spellStart"/>
      <w:r w:rsidRPr="006A31E0">
        <w:t>sektörlerin</w:t>
      </w:r>
      <w:proofErr w:type="spellEnd"/>
      <w:r w:rsidRPr="006A31E0">
        <w:t xml:space="preserve"> </w:t>
      </w:r>
      <w:proofErr w:type="spellStart"/>
      <w:r w:rsidRPr="006A31E0">
        <w:t>istihdam</w:t>
      </w:r>
      <w:proofErr w:type="spellEnd"/>
      <w:r w:rsidRPr="006A31E0">
        <w:t xml:space="preserve"> </w:t>
      </w:r>
      <w:proofErr w:type="spellStart"/>
      <w:r w:rsidRPr="006A31E0">
        <w:t>paylarında</w:t>
      </w:r>
      <w:proofErr w:type="spellEnd"/>
      <w:r w:rsidRPr="006A31E0">
        <w:t xml:space="preserve"> </w:t>
      </w:r>
      <w:proofErr w:type="spellStart"/>
      <w:r w:rsidRPr="006A31E0">
        <w:t>diğer</w:t>
      </w:r>
      <w:proofErr w:type="spellEnd"/>
      <w:r w:rsidRPr="006A31E0">
        <w:t xml:space="preserve"> </w:t>
      </w:r>
      <w:proofErr w:type="spellStart"/>
      <w:r w:rsidRPr="006A31E0">
        <w:t>ifade</w:t>
      </w:r>
      <w:proofErr w:type="spellEnd"/>
      <w:r w:rsidRPr="006A31E0">
        <w:t xml:space="preserve"> </w:t>
      </w:r>
      <w:proofErr w:type="spellStart"/>
      <w:r w:rsidRPr="006A31E0">
        <w:t>ile</w:t>
      </w:r>
      <w:proofErr w:type="spellEnd"/>
      <w:r w:rsidRPr="006A31E0">
        <w:t xml:space="preserve"> </w:t>
      </w:r>
      <w:proofErr w:type="spellStart"/>
      <w:r w:rsidRPr="006A31E0">
        <w:t>toplam</w:t>
      </w:r>
      <w:proofErr w:type="spellEnd"/>
      <w:r w:rsidRPr="006A31E0">
        <w:t xml:space="preserve"> </w:t>
      </w:r>
      <w:proofErr w:type="spellStart"/>
      <w:r w:rsidRPr="006A31E0">
        <w:t>istihdamın</w:t>
      </w:r>
      <w:proofErr w:type="spellEnd"/>
      <w:r w:rsidRPr="006A31E0">
        <w:t xml:space="preserve"> </w:t>
      </w:r>
      <w:proofErr w:type="spellStart"/>
      <w:r w:rsidRPr="006A31E0">
        <w:t>sektörel</w:t>
      </w:r>
      <w:proofErr w:type="spellEnd"/>
      <w:r w:rsidRPr="006A31E0">
        <w:t xml:space="preserve"> </w:t>
      </w:r>
      <w:proofErr w:type="spellStart"/>
      <w:r w:rsidRPr="006A31E0">
        <w:t>bileşiminde</w:t>
      </w:r>
      <w:proofErr w:type="spellEnd"/>
      <w:r w:rsidRPr="006A31E0">
        <w:t xml:space="preserve"> </w:t>
      </w:r>
      <w:proofErr w:type="spellStart"/>
      <w:r w:rsidRPr="006A31E0">
        <w:t>önemli</w:t>
      </w:r>
      <w:proofErr w:type="spellEnd"/>
      <w:r w:rsidRPr="006A31E0">
        <w:t xml:space="preserve"> </w:t>
      </w:r>
      <w:proofErr w:type="spellStart"/>
      <w:r w:rsidRPr="006A31E0">
        <w:t>değişimlere</w:t>
      </w:r>
      <w:proofErr w:type="spellEnd"/>
      <w:r w:rsidRPr="006A31E0">
        <w:t xml:space="preserve"> </w:t>
      </w:r>
      <w:proofErr w:type="spellStart"/>
      <w:r w:rsidRPr="006A31E0">
        <w:t>yol</w:t>
      </w:r>
      <w:proofErr w:type="spellEnd"/>
      <w:r w:rsidRPr="006A31E0">
        <w:t xml:space="preserve"> </w:t>
      </w:r>
      <w:proofErr w:type="spellStart"/>
      <w:r w:rsidRPr="006A31E0">
        <w:t>açmıştır</w:t>
      </w:r>
      <w:proofErr w:type="spellEnd"/>
      <w:r w:rsidRPr="006A31E0">
        <w:t xml:space="preserve">. Bu </w:t>
      </w:r>
      <w:proofErr w:type="spellStart"/>
      <w:r w:rsidRPr="006A31E0">
        <w:t>değişimlerin</w:t>
      </w:r>
      <w:proofErr w:type="spellEnd"/>
      <w:r w:rsidRPr="006A31E0">
        <w:t xml:space="preserve"> </w:t>
      </w:r>
      <w:proofErr w:type="spellStart"/>
      <w:r w:rsidRPr="006A31E0">
        <w:t>bir</w:t>
      </w:r>
      <w:proofErr w:type="spellEnd"/>
      <w:r w:rsidRPr="006A31E0">
        <w:t xml:space="preserve"> </w:t>
      </w:r>
      <w:proofErr w:type="spellStart"/>
      <w:r w:rsidRPr="006A31E0">
        <w:t>kısmı</w:t>
      </w:r>
      <w:proofErr w:type="spellEnd"/>
      <w:r w:rsidRPr="006A31E0">
        <w:t xml:space="preserve"> </w:t>
      </w:r>
      <w:proofErr w:type="spellStart"/>
      <w:r w:rsidRPr="006A31E0">
        <w:t>ekonomik</w:t>
      </w:r>
      <w:proofErr w:type="spellEnd"/>
      <w:r w:rsidRPr="006A31E0">
        <w:t xml:space="preserve"> </w:t>
      </w:r>
      <w:proofErr w:type="spellStart"/>
      <w:r w:rsidRPr="006A31E0">
        <w:t>kalkınma</w:t>
      </w:r>
      <w:proofErr w:type="spellEnd"/>
      <w:r w:rsidRPr="006A31E0">
        <w:t xml:space="preserve"> </w:t>
      </w:r>
      <w:proofErr w:type="spellStart"/>
      <w:r w:rsidRPr="006A31E0">
        <w:t>sürecinin</w:t>
      </w:r>
      <w:proofErr w:type="spellEnd"/>
      <w:r w:rsidRPr="006A31E0">
        <w:t xml:space="preserve"> </w:t>
      </w:r>
      <w:proofErr w:type="spellStart"/>
      <w:r w:rsidRPr="006A31E0">
        <w:t>olağan</w:t>
      </w:r>
      <w:proofErr w:type="spellEnd"/>
      <w:r w:rsidRPr="006A31E0">
        <w:t xml:space="preserve"> </w:t>
      </w:r>
      <w:proofErr w:type="spellStart"/>
      <w:r w:rsidRPr="006A31E0">
        <w:t>gelişmeleri</w:t>
      </w:r>
      <w:proofErr w:type="spellEnd"/>
      <w:r w:rsidRPr="006A31E0">
        <w:t xml:space="preserve"> </w:t>
      </w:r>
      <w:proofErr w:type="spellStart"/>
      <w:r w:rsidRPr="006A31E0">
        <w:t>ile</w:t>
      </w:r>
      <w:proofErr w:type="spellEnd"/>
      <w:r w:rsidRPr="006A31E0">
        <w:t xml:space="preserve"> </w:t>
      </w:r>
      <w:proofErr w:type="spellStart"/>
      <w:r w:rsidRPr="006A31E0">
        <w:t>uyumlu</w:t>
      </w:r>
      <w:proofErr w:type="spellEnd"/>
      <w:r w:rsidRPr="006A31E0">
        <w:t xml:space="preserve"> </w:t>
      </w:r>
      <w:proofErr w:type="spellStart"/>
      <w:r w:rsidRPr="006A31E0">
        <w:t>olurken</w:t>
      </w:r>
      <w:proofErr w:type="spellEnd"/>
      <w:r w:rsidRPr="006A31E0">
        <w:t xml:space="preserve"> </w:t>
      </w:r>
      <w:proofErr w:type="spellStart"/>
      <w:r w:rsidRPr="006A31E0">
        <w:t>bir</w:t>
      </w:r>
      <w:proofErr w:type="spellEnd"/>
      <w:r w:rsidRPr="006A31E0">
        <w:t xml:space="preserve"> </w:t>
      </w:r>
      <w:proofErr w:type="spellStart"/>
      <w:r w:rsidRPr="006A31E0">
        <w:t>kısmı</w:t>
      </w:r>
      <w:proofErr w:type="spellEnd"/>
      <w:r w:rsidRPr="006A31E0">
        <w:t xml:space="preserve"> </w:t>
      </w:r>
      <w:proofErr w:type="spellStart"/>
      <w:r w:rsidRPr="006A31E0">
        <w:t>Türkiye</w:t>
      </w:r>
      <w:proofErr w:type="spellEnd"/>
      <w:r w:rsidRPr="006A31E0">
        <w:t xml:space="preserve"> </w:t>
      </w:r>
      <w:proofErr w:type="spellStart"/>
      <w:r w:rsidRPr="006A31E0">
        <w:t>ekonomisine</w:t>
      </w:r>
      <w:proofErr w:type="spellEnd"/>
      <w:r w:rsidRPr="006A31E0">
        <w:t xml:space="preserve"> </w:t>
      </w:r>
      <w:proofErr w:type="spellStart"/>
      <w:r w:rsidRPr="006A31E0">
        <w:t>özgü</w:t>
      </w:r>
      <w:proofErr w:type="spellEnd"/>
      <w:r w:rsidRPr="006A31E0">
        <w:t xml:space="preserve"> </w:t>
      </w:r>
      <w:proofErr w:type="spellStart"/>
      <w:r w:rsidRPr="006A31E0">
        <w:t>olağan</w:t>
      </w:r>
      <w:proofErr w:type="spellEnd"/>
      <w:r w:rsidRPr="006A31E0">
        <w:t xml:space="preserve"> </w:t>
      </w:r>
      <w:proofErr w:type="spellStart"/>
      <w:r w:rsidRPr="006A31E0">
        <w:t>dışı</w:t>
      </w:r>
      <w:proofErr w:type="spellEnd"/>
      <w:r w:rsidRPr="006A31E0">
        <w:t xml:space="preserve"> </w:t>
      </w:r>
      <w:proofErr w:type="spellStart"/>
      <w:r w:rsidRPr="006A31E0">
        <w:t>gelişmeler</w:t>
      </w:r>
      <w:proofErr w:type="spellEnd"/>
      <w:r w:rsidRPr="006A31E0">
        <w:t xml:space="preserve"> </w:t>
      </w:r>
      <w:proofErr w:type="spellStart"/>
      <w:r w:rsidRPr="006A31E0">
        <w:t>olarak</w:t>
      </w:r>
      <w:proofErr w:type="spellEnd"/>
      <w:r w:rsidRPr="006A31E0">
        <w:t xml:space="preserve"> </w:t>
      </w:r>
      <w:proofErr w:type="spellStart"/>
      <w:r w:rsidRPr="006A31E0">
        <w:t>nitelenebilir</w:t>
      </w:r>
      <w:proofErr w:type="spellEnd"/>
      <w:r w:rsidRPr="006A31E0">
        <w:t>.</w:t>
      </w:r>
    </w:p>
    <w:p w14:paraId="1F12AFD7" w14:textId="4ABCF313" w:rsidR="006A31E0" w:rsidRPr="00577D85" w:rsidRDefault="006A31E0" w:rsidP="00086930">
      <w:pPr>
        <w:jc w:val="both"/>
      </w:pPr>
      <w:proofErr w:type="spellStart"/>
      <w:r w:rsidRPr="006A31E0">
        <w:t>Olağan</w:t>
      </w:r>
      <w:proofErr w:type="spellEnd"/>
      <w:r w:rsidRPr="006A31E0">
        <w:t xml:space="preserve"> </w:t>
      </w:r>
      <w:proofErr w:type="spellStart"/>
      <w:r w:rsidRPr="006A31E0">
        <w:t>gelişme</w:t>
      </w:r>
      <w:proofErr w:type="spellEnd"/>
      <w:r w:rsidRPr="006A31E0">
        <w:t xml:space="preserve"> </w:t>
      </w:r>
      <w:proofErr w:type="spellStart"/>
      <w:r w:rsidRPr="006A31E0">
        <w:t>tarımın</w:t>
      </w:r>
      <w:proofErr w:type="spellEnd"/>
      <w:r w:rsidRPr="006A31E0">
        <w:t xml:space="preserve"> </w:t>
      </w:r>
      <w:proofErr w:type="spellStart"/>
      <w:r w:rsidRPr="006A31E0">
        <w:t>istihdam</w:t>
      </w:r>
      <w:proofErr w:type="spellEnd"/>
      <w:r w:rsidRPr="006A31E0">
        <w:t xml:space="preserve"> </w:t>
      </w:r>
      <w:proofErr w:type="spellStart"/>
      <w:r w:rsidRPr="006A31E0">
        <w:t>payı</w:t>
      </w:r>
      <w:proofErr w:type="spellEnd"/>
      <w:r w:rsidRPr="006A31E0">
        <w:t xml:space="preserve"> </w:t>
      </w:r>
      <w:proofErr w:type="spellStart"/>
      <w:r w:rsidRPr="006A31E0">
        <w:t>azalırken</w:t>
      </w:r>
      <w:proofErr w:type="spellEnd"/>
      <w:r w:rsidRPr="006A31E0">
        <w:t xml:space="preserve"> </w:t>
      </w:r>
      <w:proofErr w:type="spellStart"/>
      <w:r w:rsidRPr="006A31E0">
        <w:t>hizmetlerin</w:t>
      </w:r>
      <w:proofErr w:type="spellEnd"/>
      <w:r w:rsidRPr="006A31E0">
        <w:t xml:space="preserve"> </w:t>
      </w:r>
      <w:proofErr w:type="spellStart"/>
      <w:r w:rsidRPr="006A31E0">
        <w:t>payının</w:t>
      </w:r>
      <w:proofErr w:type="spellEnd"/>
      <w:r w:rsidRPr="006A31E0">
        <w:t xml:space="preserve"> </w:t>
      </w:r>
      <w:proofErr w:type="spellStart"/>
      <w:r w:rsidRPr="006A31E0">
        <w:t>artmasıdır</w:t>
      </w:r>
      <w:proofErr w:type="spellEnd"/>
      <w:r w:rsidRPr="006A31E0">
        <w:t xml:space="preserve">. </w:t>
      </w:r>
      <w:proofErr w:type="spellStart"/>
      <w:r w:rsidRPr="006A31E0">
        <w:t>Tarımın</w:t>
      </w:r>
      <w:proofErr w:type="spellEnd"/>
      <w:r w:rsidRPr="006A31E0">
        <w:t xml:space="preserve"> </w:t>
      </w:r>
      <w:proofErr w:type="spellStart"/>
      <w:r w:rsidRPr="006A31E0">
        <w:t>payı</w:t>
      </w:r>
      <w:proofErr w:type="spellEnd"/>
      <w:r w:rsidRPr="006A31E0">
        <w:t xml:space="preserve">, </w:t>
      </w:r>
      <w:proofErr w:type="spellStart"/>
      <w:r w:rsidRPr="006A31E0">
        <w:t>yukarıda</w:t>
      </w:r>
      <w:proofErr w:type="spellEnd"/>
      <w:r w:rsidRPr="006A31E0">
        <w:t xml:space="preserve"> </w:t>
      </w:r>
      <w:proofErr w:type="spellStart"/>
      <w:r w:rsidRPr="006A31E0">
        <w:t>değinilen</w:t>
      </w:r>
      <w:proofErr w:type="spellEnd"/>
      <w:r w:rsidRPr="006A31E0">
        <w:t xml:space="preserve"> </w:t>
      </w:r>
      <w:proofErr w:type="spellStart"/>
      <w:r w:rsidRPr="006A31E0">
        <w:t>istisnai</w:t>
      </w:r>
      <w:proofErr w:type="spellEnd"/>
      <w:r w:rsidRPr="006A31E0">
        <w:t xml:space="preserve"> </w:t>
      </w:r>
      <w:proofErr w:type="spellStart"/>
      <w:r w:rsidRPr="006A31E0">
        <w:t>küresel</w:t>
      </w:r>
      <w:proofErr w:type="spellEnd"/>
      <w:r w:rsidRPr="006A31E0">
        <w:t xml:space="preserve"> </w:t>
      </w:r>
      <w:proofErr w:type="spellStart"/>
      <w:r w:rsidRPr="006A31E0">
        <w:t>kriz</w:t>
      </w:r>
      <w:proofErr w:type="spellEnd"/>
      <w:r w:rsidRPr="006A31E0">
        <w:t xml:space="preserve"> </w:t>
      </w:r>
      <w:proofErr w:type="spellStart"/>
      <w:r w:rsidRPr="006A31E0">
        <w:t>dönemi</w:t>
      </w:r>
      <w:proofErr w:type="spellEnd"/>
      <w:r w:rsidRPr="006A31E0">
        <w:t xml:space="preserve"> </w:t>
      </w:r>
      <w:proofErr w:type="spellStart"/>
      <w:r w:rsidRPr="006A31E0">
        <w:t>hariç</w:t>
      </w:r>
      <w:proofErr w:type="spellEnd"/>
      <w:r w:rsidRPr="006A31E0">
        <w:t xml:space="preserve">, </w:t>
      </w:r>
      <w:proofErr w:type="spellStart"/>
      <w:r w:rsidRPr="006A31E0">
        <w:t>hızlı</w:t>
      </w:r>
      <w:proofErr w:type="spellEnd"/>
      <w:r w:rsidRPr="006A31E0">
        <w:t xml:space="preserve"> </w:t>
      </w:r>
      <w:proofErr w:type="spellStart"/>
      <w:r w:rsidRPr="006A31E0">
        <w:t>bir</w:t>
      </w:r>
      <w:proofErr w:type="spellEnd"/>
      <w:r w:rsidRPr="006A31E0">
        <w:t xml:space="preserve"> </w:t>
      </w:r>
      <w:proofErr w:type="spellStart"/>
      <w:r w:rsidRPr="006A31E0">
        <w:t>şekilde</w:t>
      </w:r>
      <w:proofErr w:type="spellEnd"/>
      <w:r w:rsidRPr="006A31E0">
        <w:t xml:space="preserve"> </w:t>
      </w:r>
      <w:proofErr w:type="spellStart"/>
      <w:r w:rsidRPr="006A31E0">
        <w:t>azalmaktadır</w:t>
      </w:r>
      <w:proofErr w:type="spellEnd"/>
      <w:r w:rsidRPr="006A31E0">
        <w:t xml:space="preserve">. 2004’te </w:t>
      </w:r>
      <w:proofErr w:type="spellStart"/>
      <w:r w:rsidRPr="006A31E0">
        <w:t>yüzde</w:t>
      </w:r>
      <w:proofErr w:type="spellEnd"/>
      <w:r w:rsidRPr="006A31E0">
        <w:t xml:space="preserve"> 25,5 </w:t>
      </w:r>
      <w:proofErr w:type="spellStart"/>
      <w:r w:rsidRPr="006A31E0">
        <w:t>olan</w:t>
      </w:r>
      <w:proofErr w:type="spellEnd"/>
      <w:r w:rsidRPr="006A31E0">
        <w:t xml:space="preserve"> </w:t>
      </w:r>
      <w:proofErr w:type="spellStart"/>
      <w:r w:rsidRPr="006A31E0">
        <w:t>bu</w:t>
      </w:r>
      <w:proofErr w:type="spellEnd"/>
      <w:r w:rsidRPr="006A31E0">
        <w:t xml:space="preserve"> pay </w:t>
      </w:r>
      <w:proofErr w:type="spellStart"/>
      <w:r w:rsidRPr="006A31E0">
        <w:t>günümüzde</w:t>
      </w:r>
      <w:proofErr w:type="spellEnd"/>
      <w:r w:rsidRPr="006A31E0">
        <w:t xml:space="preserve"> </w:t>
      </w:r>
      <w:proofErr w:type="spellStart"/>
      <w:r w:rsidRPr="006A31E0">
        <w:t>yüzde</w:t>
      </w:r>
      <w:proofErr w:type="spellEnd"/>
      <w:r w:rsidRPr="006A31E0">
        <w:t xml:space="preserve"> 16’ya </w:t>
      </w:r>
      <w:proofErr w:type="spellStart"/>
      <w:r w:rsidRPr="006A31E0">
        <w:t>gerilemiştir</w:t>
      </w:r>
      <w:proofErr w:type="spellEnd"/>
      <w:r w:rsidRPr="006A31E0">
        <w:t xml:space="preserve">. </w:t>
      </w:r>
      <w:proofErr w:type="spellStart"/>
      <w:r w:rsidRPr="006A31E0">
        <w:t>Gelecekte</w:t>
      </w:r>
      <w:proofErr w:type="spellEnd"/>
      <w:r w:rsidRPr="006A31E0">
        <w:t xml:space="preserve"> de </w:t>
      </w:r>
      <w:proofErr w:type="spellStart"/>
      <w:r w:rsidRPr="006A31E0">
        <w:t>azalış</w:t>
      </w:r>
      <w:proofErr w:type="spellEnd"/>
      <w:r w:rsidRPr="006A31E0">
        <w:t xml:space="preserve"> </w:t>
      </w:r>
      <w:proofErr w:type="spellStart"/>
      <w:r w:rsidRPr="006A31E0">
        <w:t>devam</w:t>
      </w:r>
      <w:proofErr w:type="spellEnd"/>
      <w:r w:rsidRPr="006A31E0">
        <w:t xml:space="preserve"> </w:t>
      </w:r>
      <w:proofErr w:type="spellStart"/>
      <w:r w:rsidRPr="006A31E0">
        <w:t>edecektir</w:t>
      </w:r>
      <w:proofErr w:type="spellEnd"/>
      <w:r w:rsidRPr="006A31E0">
        <w:t xml:space="preserve">. </w:t>
      </w:r>
      <w:proofErr w:type="spellStart"/>
      <w:r w:rsidRPr="006A31E0">
        <w:t>Hizmet</w:t>
      </w:r>
      <w:proofErr w:type="spellEnd"/>
      <w:r w:rsidRPr="006A31E0">
        <w:t xml:space="preserve"> </w:t>
      </w:r>
      <w:proofErr w:type="spellStart"/>
      <w:r w:rsidRPr="006A31E0">
        <w:t>istihdamının</w:t>
      </w:r>
      <w:proofErr w:type="spellEnd"/>
      <w:r w:rsidRPr="006A31E0">
        <w:t xml:space="preserve"> </w:t>
      </w:r>
      <w:proofErr w:type="spellStart"/>
      <w:r w:rsidRPr="006A31E0">
        <w:t>payı</w:t>
      </w:r>
      <w:proofErr w:type="spellEnd"/>
      <w:r w:rsidRPr="006A31E0">
        <w:t xml:space="preserve"> </w:t>
      </w:r>
      <w:proofErr w:type="spellStart"/>
      <w:r w:rsidRPr="006A31E0">
        <w:t>ise</w:t>
      </w:r>
      <w:proofErr w:type="spellEnd"/>
      <w:r w:rsidRPr="006A31E0">
        <w:t xml:space="preserve"> </w:t>
      </w:r>
      <w:proofErr w:type="spellStart"/>
      <w:r w:rsidRPr="006A31E0">
        <w:t>bu</w:t>
      </w:r>
      <w:proofErr w:type="spellEnd"/>
      <w:r w:rsidRPr="006A31E0">
        <w:t xml:space="preserve"> </w:t>
      </w:r>
      <w:proofErr w:type="spellStart"/>
      <w:r w:rsidRPr="006A31E0">
        <w:t>süre</w:t>
      </w:r>
      <w:proofErr w:type="spellEnd"/>
      <w:r w:rsidRPr="006A31E0">
        <w:t xml:space="preserve"> </w:t>
      </w:r>
      <w:proofErr w:type="spellStart"/>
      <w:r w:rsidRPr="006A31E0">
        <w:t>zarfında</w:t>
      </w:r>
      <w:proofErr w:type="spellEnd"/>
      <w:r w:rsidRPr="006A31E0">
        <w:t xml:space="preserve"> </w:t>
      </w:r>
      <w:proofErr w:type="spellStart"/>
      <w:r w:rsidRPr="006A31E0">
        <w:t>yüzde</w:t>
      </w:r>
      <w:proofErr w:type="spellEnd"/>
      <w:r w:rsidRPr="006A31E0">
        <w:t xml:space="preserve"> 48’den </w:t>
      </w:r>
      <w:proofErr w:type="spellStart"/>
      <w:r w:rsidRPr="006A31E0">
        <w:t>yüzde</w:t>
      </w:r>
      <w:proofErr w:type="spellEnd"/>
      <w:r w:rsidRPr="006A31E0">
        <w:t xml:space="preserve"> 56’ya </w:t>
      </w:r>
      <w:proofErr w:type="spellStart"/>
      <w:r w:rsidRPr="006A31E0">
        <w:t>yükselmiştir</w:t>
      </w:r>
      <w:proofErr w:type="spellEnd"/>
      <w:r w:rsidRPr="006A31E0">
        <w:t xml:space="preserve"> (Tablo 1). </w:t>
      </w:r>
      <w:proofErr w:type="spellStart"/>
      <w:r w:rsidRPr="006A31E0">
        <w:t>Tarım</w:t>
      </w:r>
      <w:proofErr w:type="spellEnd"/>
      <w:r w:rsidRPr="006A31E0">
        <w:t xml:space="preserve"> 18 </w:t>
      </w:r>
      <w:proofErr w:type="spellStart"/>
      <w:r w:rsidRPr="006A31E0">
        <w:t>yılda</w:t>
      </w:r>
      <w:proofErr w:type="spellEnd"/>
      <w:r w:rsidRPr="006A31E0">
        <w:t xml:space="preserve"> </w:t>
      </w:r>
      <w:proofErr w:type="spellStart"/>
      <w:r w:rsidRPr="006A31E0">
        <w:t>kabaca</w:t>
      </w:r>
      <w:proofErr w:type="spellEnd"/>
      <w:r w:rsidRPr="006A31E0">
        <w:t xml:space="preserve"> 500 bin </w:t>
      </w:r>
      <w:proofErr w:type="spellStart"/>
      <w:r w:rsidRPr="006A31E0">
        <w:t>istihdam</w:t>
      </w:r>
      <w:proofErr w:type="spellEnd"/>
      <w:r w:rsidRPr="006A31E0">
        <w:t xml:space="preserve"> </w:t>
      </w:r>
      <w:proofErr w:type="spellStart"/>
      <w:r w:rsidRPr="006A31E0">
        <w:t>kaybederken</w:t>
      </w:r>
      <w:proofErr w:type="spellEnd"/>
      <w:r w:rsidRPr="006A31E0">
        <w:t xml:space="preserve"> </w:t>
      </w:r>
      <w:proofErr w:type="spellStart"/>
      <w:r w:rsidRPr="006A31E0">
        <w:t>hizmetlerde</w:t>
      </w:r>
      <w:proofErr w:type="spellEnd"/>
      <w:r w:rsidRPr="006A31E0">
        <w:t xml:space="preserve"> </w:t>
      </w:r>
      <w:proofErr w:type="spellStart"/>
      <w:r w:rsidRPr="006A31E0">
        <w:t>çalışan</w:t>
      </w:r>
      <w:proofErr w:type="spellEnd"/>
      <w:r w:rsidRPr="006A31E0">
        <w:t xml:space="preserve"> </w:t>
      </w:r>
      <w:proofErr w:type="spellStart"/>
      <w:r w:rsidRPr="006A31E0">
        <w:t>sayısı</w:t>
      </w:r>
      <w:proofErr w:type="spellEnd"/>
      <w:r w:rsidRPr="006A31E0">
        <w:t xml:space="preserve"> </w:t>
      </w:r>
      <w:proofErr w:type="spellStart"/>
      <w:r w:rsidRPr="006A31E0">
        <w:t>yaklaşık</w:t>
      </w:r>
      <w:proofErr w:type="spellEnd"/>
      <w:r w:rsidRPr="006A31E0">
        <w:t xml:space="preserve"> 9 </w:t>
      </w:r>
      <w:proofErr w:type="spellStart"/>
      <w:r w:rsidRPr="006A31E0">
        <w:t>milyondan</w:t>
      </w:r>
      <w:proofErr w:type="spellEnd"/>
      <w:r w:rsidRPr="006A31E0">
        <w:t xml:space="preserve"> 18 </w:t>
      </w:r>
      <w:proofErr w:type="spellStart"/>
      <w:r w:rsidRPr="006A31E0">
        <w:t>milyona</w:t>
      </w:r>
      <w:proofErr w:type="spellEnd"/>
      <w:r w:rsidRPr="006A31E0">
        <w:t xml:space="preserve"> </w:t>
      </w:r>
      <w:proofErr w:type="spellStart"/>
      <w:r w:rsidRPr="006A31E0">
        <w:t>yükselmiştir</w:t>
      </w:r>
      <w:proofErr w:type="spellEnd"/>
      <w:r w:rsidRPr="006A31E0">
        <w:t xml:space="preserve"> (</w:t>
      </w:r>
      <w:proofErr w:type="spellStart"/>
      <w:r w:rsidRPr="006A31E0">
        <w:t>Şekil</w:t>
      </w:r>
      <w:proofErr w:type="spellEnd"/>
      <w:r w:rsidRPr="006A31E0">
        <w:t xml:space="preserve"> 6 </w:t>
      </w:r>
      <w:proofErr w:type="spellStart"/>
      <w:r w:rsidRPr="006A31E0">
        <w:t>ve</w:t>
      </w:r>
      <w:proofErr w:type="spellEnd"/>
      <w:r w:rsidRPr="006A31E0">
        <w:t xml:space="preserve"> 7). </w:t>
      </w:r>
      <w:proofErr w:type="spellStart"/>
      <w:r w:rsidRPr="006A31E0">
        <w:t>Gelişmiş</w:t>
      </w:r>
      <w:proofErr w:type="spellEnd"/>
      <w:r w:rsidRPr="006A31E0">
        <w:t xml:space="preserve"> </w:t>
      </w:r>
      <w:proofErr w:type="spellStart"/>
      <w:r w:rsidRPr="006A31E0">
        <w:t>ülkelerde</w:t>
      </w:r>
      <w:proofErr w:type="spellEnd"/>
      <w:r w:rsidRPr="006A31E0">
        <w:t xml:space="preserve"> </w:t>
      </w:r>
      <w:proofErr w:type="spellStart"/>
      <w:r w:rsidRPr="006A31E0">
        <w:t>hizmetlerin</w:t>
      </w:r>
      <w:proofErr w:type="spellEnd"/>
      <w:r w:rsidRPr="006A31E0">
        <w:t xml:space="preserve"> </w:t>
      </w:r>
      <w:proofErr w:type="spellStart"/>
      <w:r w:rsidRPr="006A31E0">
        <w:t>payının</w:t>
      </w:r>
      <w:proofErr w:type="spellEnd"/>
      <w:r w:rsidRPr="006A31E0">
        <w:t xml:space="preserve"> </w:t>
      </w:r>
      <w:proofErr w:type="spellStart"/>
      <w:r w:rsidRPr="006A31E0">
        <w:t>yüzde</w:t>
      </w:r>
      <w:proofErr w:type="spellEnd"/>
      <w:r w:rsidRPr="006A31E0">
        <w:t xml:space="preserve"> 70’lere </w:t>
      </w:r>
      <w:proofErr w:type="spellStart"/>
      <w:r w:rsidRPr="006A31E0">
        <w:t>yaklaştığı</w:t>
      </w:r>
      <w:proofErr w:type="spellEnd"/>
      <w:r w:rsidRPr="006A31E0">
        <w:t xml:space="preserve"> </w:t>
      </w:r>
      <w:proofErr w:type="spellStart"/>
      <w:r w:rsidRPr="006A31E0">
        <w:t>dikkate</w:t>
      </w:r>
      <w:proofErr w:type="spellEnd"/>
      <w:r w:rsidRPr="006A31E0">
        <w:t xml:space="preserve"> </w:t>
      </w:r>
      <w:proofErr w:type="spellStart"/>
      <w:r w:rsidRPr="006A31E0">
        <w:t>alınırsa</w:t>
      </w:r>
      <w:proofErr w:type="spellEnd"/>
      <w:r w:rsidRPr="006A31E0">
        <w:t xml:space="preserve"> </w:t>
      </w:r>
      <w:proofErr w:type="spellStart"/>
      <w:r w:rsidRPr="006A31E0">
        <w:t>hizmetlerin</w:t>
      </w:r>
      <w:proofErr w:type="spellEnd"/>
      <w:r w:rsidRPr="006A31E0">
        <w:t xml:space="preserve"> </w:t>
      </w:r>
      <w:proofErr w:type="spellStart"/>
      <w:r w:rsidRPr="006A31E0">
        <w:t>payı</w:t>
      </w:r>
      <w:proofErr w:type="spellEnd"/>
      <w:r w:rsidRPr="006A31E0">
        <w:t xml:space="preserve"> </w:t>
      </w:r>
      <w:proofErr w:type="spellStart"/>
      <w:r w:rsidRPr="006A31E0">
        <w:t>önümüzdeki</w:t>
      </w:r>
      <w:proofErr w:type="spellEnd"/>
      <w:r w:rsidRPr="006A31E0">
        <w:t xml:space="preserve"> </w:t>
      </w:r>
      <w:proofErr w:type="spellStart"/>
      <w:r w:rsidRPr="006A31E0">
        <w:t>yıllarda</w:t>
      </w:r>
      <w:proofErr w:type="spellEnd"/>
      <w:r w:rsidRPr="006A31E0">
        <w:t xml:space="preserve">, </w:t>
      </w:r>
      <w:proofErr w:type="spellStart"/>
      <w:r w:rsidRPr="006A31E0">
        <w:t>yavaşlayarak</w:t>
      </w:r>
      <w:proofErr w:type="spellEnd"/>
      <w:r w:rsidRPr="006A31E0">
        <w:t xml:space="preserve"> da </w:t>
      </w:r>
      <w:proofErr w:type="spellStart"/>
      <w:r w:rsidRPr="006A31E0">
        <w:t>olsa</w:t>
      </w:r>
      <w:proofErr w:type="spellEnd"/>
      <w:r w:rsidRPr="006A31E0">
        <w:t xml:space="preserve">, </w:t>
      </w:r>
      <w:proofErr w:type="spellStart"/>
      <w:r w:rsidRPr="006A31E0">
        <w:t>artmaya</w:t>
      </w:r>
      <w:proofErr w:type="spellEnd"/>
      <w:r w:rsidRPr="006A31E0">
        <w:t xml:space="preserve"> </w:t>
      </w:r>
      <w:proofErr w:type="spellStart"/>
      <w:r w:rsidRPr="006A31E0">
        <w:t>devam</w:t>
      </w:r>
      <w:proofErr w:type="spellEnd"/>
      <w:r w:rsidRPr="006A31E0">
        <w:t xml:space="preserve"> </w:t>
      </w:r>
      <w:proofErr w:type="spellStart"/>
      <w:r w:rsidRPr="006A31E0">
        <w:t>edecektir</w:t>
      </w:r>
      <w:proofErr w:type="spellEnd"/>
      <w:r w:rsidRPr="006A31E0">
        <w:t>.</w:t>
      </w:r>
    </w:p>
    <w:p w14:paraId="6AA4843A" w14:textId="4DC601AF" w:rsidR="006A31E0" w:rsidRPr="00577D85" w:rsidRDefault="006A31E0" w:rsidP="00086930">
      <w:pPr>
        <w:jc w:val="both"/>
        <w:rPr>
          <w:b/>
          <w:bCs/>
        </w:rPr>
      </w:pPr>
      <w:r w:rsidRPr="006A31E0">
        <w:rPr>
          <w:b/>
          <w:bCs/>
        </w:rPr>
        <w:t xml:space="preserve">Tablo 1: </w:t>
      </w:r>
      <w:bookmarkStart w:id="1" w:name="_Hlk117624230"/>
      <w:proofErr w:type="spellStart"/>
      <w:r w:rsidRPr="006A31E0">
        <w:rPr>
          <w:b/>
          <w:bCs/>
        </w:rPr>
        <w:t>İstihdamın</w:t>
      </w:r>
      <w:proofErr w:type="spellEnd"/>
      <w:r w:rsidRPr="006A31E0">
        <w:rPr>
          <w:b/>
          <w:bCs/>
        </w:rPr>
        <w:t xml:space="preserve"> ana </w:t>
      </w:r>
      <w:proofErr w:type="spellStart"/>
      <w:r w:rsidRPr="006A31E0">
        <w:rPr>
          <w:b/>
          <w:bCs/>
        </w:rPr>
        <w:t>sektörler</w:t>
      </w:r>
      <w:proofErr w:type="spellEnd"/>
      <w:r w:rsidRPr="006A31E0">
        <w:rPr>
          <w:b/>
          <w:bCs/>
        </w:rPr>
        <w:t xml:space="preserve"> </w:t>
      </w:r>
      <w:proofErr w:type="spellStart"/>
      <w:r w:rsidRPr="006A31E0">
        <w:rPr>
          <w:b/>
          <w:bCs/>
        </w:rPr>
        <w:t>itibariyle</w:t>
      </w:r>
      <w:proofErr w:type="spellEnd"/>
      <w:r w:rsidRPr="006A31E0">
        <w:rPr>
          <w:b/>
          <w:bCs/>
        </w:rPr>
        <w:t xml:space="preserve"> </w:t>
      </w:r>
      <w:proofErr w:type="spellStart"/>
      <w:r w:rsidRPr="006A31E0">
        <w:rPr>
          <w:b/>
          <w:bCs/>
        </w:rPr>
        <w:t>bileşimi</w:t>
      </w:r>
      <w:proofErr w:type="spellEnd"/>
      <w:r w:rsidRPr="006A31E0">
        <w:rPr>
          <w:b/>
          <w:bCs/>
        </w:rPr>
        <w:t xml:space="preserve"> (2004-2022) </w:t>
      </w:r>
      <w:bookmarkEnd w:id="1"/>
      <w:r w:rsidRPr="006A31E0">
        <w:rPr>
          <w:b/>
          <w:bCs/>
        </w:rPr>
        <w:t>(%)</w:t>
      </w:r>
    </w:p>
    <w:p w14:paraId="51CAFA8E" w14:textId="403B71FD" w:rsidR="006A31E0" w:rsidRPr="00577D85" w:rsidRDefault="006A31E0" w:rsidP="00086930">
      <w:pPr>
        <w:jc w:val="both"/>
      </w:pPr>
      <w:r w:rsidRPr="006A31E0">
        <w:rPr>
          <w:noProof/>
          <w:lang w:val="en-GB" w:eastAsia="en-GB"/>
        </w:rPr>
        <w:drawing>
          <wp:inline distT="0" distB="0" distL="0" distR="0" wp14:anchorId="72D11C6F" wp14:editId="52B08C11">
            <wp:extent cx="5749447" cy="1087755"/>
            <wp:effectExtent l="0" t="0" r="381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2166" cy="1088269"/>
                    </a:xfrm>
                    <a:prstGeom prst="rect">
                      <a:avLst/>
                    </a:prstGeom>
                    <a:noFill/>
                    <a:ln>
                      <a:noFill/>
                    </a:ln>
                  </pic:spPr>
                </pic:pic>
              </a:graphicData>
            </a:graphic>
          </wp:inline>
        </w:drawing>
      </w:r>
    </w:p>
    <w:p w14:paraId="23788A52" w14:textId="4349C9F4" w:rsidR="006A31E0" w:rsidRPr="006A31E0" w:rsidRDefault="006A31E0" w:rsidP="00086930">
      <w:pPr>
        <w:jc w:val="both"/>
      </w:pPr>
      <w:r w:rsidRPr="006A31E0">
        <w:t xml:space="preserve">Bu </w:t>
      </w:r>
      <w:proofErr w:type="spellStart"/>
      <w:r w:rsidRPr="006A31E0">
        <w:t>dönemde</w:t>
      </w:r>
      <w:proofErr w:type="spellEnd"/>
      <w:r w:rsidRPr="006A31E0">
        <w:t xml:space="preserve"> </w:t>
      </w:r>
      <w:proofErr w:type="spellStart"/>
      <w:r w:rsidRPr="006A31E0">
        <w:t>sektörel</w:t>
      </w:r>
      <w:proofErr w:type="spellEnd"/>
      <w:r w:rsidRPr="006A31E0">
        <w:t xml:space="preserve"> </w:t>
      </w:r>
      <w:proofErr w:type="spellStart"/>
      <w:r w:rsidRPr="006A31E0">
        <w:t>istihdam</w:t>
      </w:r>
      <w:proofErr w:type="spellEnd"/>
      <w:r w:rsidRPr="006A31E0">
        <w:t xml:space="preserve"> </w:t>
      </w:r>
      <w:proofErr w:type="spellStart"/>
      <w:r w:rsidRPr="006A31E0">
        <w:t>paylarında</w:t>
      </w:r>
      <w:proofErr w:type="spellEnd"/>
      <w:r w:rsidRPr="006A31E0">
        <w:t xml:space="preserve"> </w:t>
      </w:r>
      <w:proofErr w:type="spellStart"/>
      <w:r w:rsidRPr="006A31E0">
        <w:t>gözlemlenen</w:t>
      </w:r>
      <w:proofErr w:type="spellEnd"/>
      <w:r w:rsidRPr="006A31E0">
        <w:t xml:space="preserve"> </w:t>
      </w:r>
      <w:proofErr w:type="spellStart"/>
      <w:r w:rsidRPr="006A31E0">
        <w:t>iki</w:t>
      </w:r>
      <w:proofErr w:type="spellEnd"/>
      <w:r w:rsidRPr="006A31E0">
        <w:t xml:space="preserve"> </w:t>
      </w:r>
      <w:proofErr w:type="spellStart"/>
      <w:r w:rsidRPr="006A31E0">
        <w:t>olgu</w:t>
      </w:r>
      <w:proofErr w:type="spellEnd"/>
      <w:r w:rsidRPr="006A31E0">
        <w:t xml:space="preserve"> </w:t>
      </w:r>
      <w:proofErr w:type="spellStart"/>
      <w:r w:rsidRPr="006A31E0">
        <w:t>Türkiye’ye</w:t>
      </w:r>
      <w:proofErr w:type="spellEnd"/>
      <w:r w:rsidRPr="006A31E0">
        <w:t xml:space="preserve"> </w:t>
      </w:r>
      <w:proofErr w:type="spellStart"/>
      <w:r w:rsidRPr="006A31E0">
        <w:t>özgü</w:t>
      </w:r>
      <w:proofErr w:type="spellEnd"/>
      <w:r w:rsidRPr="006A31E0">
        <w:t xml:space="preserve"> </w:t>
      </w:r>
      <w:proofErr w:type="spellStart"/>
      <w:r w:rsidRPr="006A31E0">
        <w:t>olağan</w:t>
      </w:r>
      <w:proofErr w:type="spellEnd"/>
      <w:r w:rsidRPr="006A31E0">
        <w:t xml:space="preserve"> </w:t>
      </w:r>
      <w:proofErr w:type="spellStart"/>
      <w:r w:rsidRPr="006A31E0">
        <w:t>dışı</w:t>
      </w:r>
      <w:proofErr w:type="spellEnd"/>
      <w:r w:rsidRPr="006A31E0">
        <w:t xml:space="preserve"> </w:t>
      </w:r>
      <w:proofErr w:type="spellStart"/>
      <w:r w:rsidRPr="006A31E0">
        <w:t>gelişme</w:t>
      </w:r>
      <w:proofErr w:type="spellEnd"/>
      <w:r w:rsidRPr="006A31E0">
        <w:t xml:space="preserve"> </w:t>
      </w:r>
      <w:proofErr w:type="spellStart"/>
      <w:r w:rsidRPr="006A31E0">
        <w:t>olarak</w:t>
      </w:r>
      <w:proofErr w:type="spellEnd"/>
      <w:r w:rsidRPr="006A31E0">
        <w:t xml:space="preserve"> </w:t>
      </w:r>
      <w:proofErr w:type="spellStart"/>
      <w:r w:rsidRPr="006A31E0">
        <w:t>addedilebilir</w:t>
      </w:r>
      <w:proofErr w:type="spellEnd"/>
      <w:r w:rsidRPr="006A31E0">
        <w:t xml:space="preserve">. </w:t>
      </w:r>
      <w:proofErr w:type="spellStart"/>
      <w:r w:rsidRPr="006A31E0">
        <w:t>İlki</w:t>
      </w:r>
      <w:proofErr w:type="spellEnd"/>
      <w:r w:rsidRPr="006A31E0">
        <w:t xml:space="preserve"> </w:t>
      </w:r>
      <w:proofErr w:type="spellStart"/>
      <w:r w:rsidRPr="006A31E0">
        <w:t>inşaatın</w:t>
      </w:r>
      <w:proofErr w:type="spellEnd"/>
      <w:r w:rsidRPr="006A31E0">
        <w:t xml:space="preserve"> </w:t>
      </w:r>
      <w:proofErr w:type="spellStart"/>
      <w:r w:rsidRPr="006A31E0">
        <w:t>payındaki</w:t>
      </w:r>
      <w:proofErr w:type="spellEnd"/>
      <w:r w:rsidRPr="006A31E0">
        <w:t xml:space="preserve"> </w:t>
      </w:r>
      <w:proofErr w:type="spellStart"/>
      <w:r w:rsidRPr="006A31E0">
        <w:t>büyük</w:t>
      </w:r>
      <w:proofErr w:type="spellEnd"/>
      <w:r w:rsidRPr="006A31E0">
        <w:t xml:space="preserve"> </w:t>
      </w:r>
      <w:proofErr w:type="spellStart"/>
      <w:r w:rsidRPr="006A31E0">
        <w:t>dalgalanmadır</w:t>
      </w:r>
      <w:proofErr w:type="spellEnd"/>
      <w:r w:rsidRPr="006A31E0">
        <w:t xml:space="preserve">. </w:t>
      </w:r>
      <w:proofErr w:type="spellStart"/>
      <w:r w:rsidRPr="006A31E0">
        <w:t>İnşaatın</w:t>
      </w:r>
      <w:proofErr w:type="spellEnd"/>
      <w:r w:rsidRPr="006A31E0">
        <w:t xml:space="preserve"> </w:t>
      </w:r>
      <w:proofErr w:type="spellStart"/>
      <w:r w:rsidRPr="006A31E0">
        <w:t>istihdam</w:t>
      </w:r>
      <w:proofErr w:type="spellEnd"/>
      <w:r w:rsidRPr="006A31E0">
        <w:t xml:space="preserve"> </w:t>
      </w:r>
      <w:proofErr w:type="spellStart"/>
      <w:r w:rsidRPr="006A31E0">
        <w:t>payında</w:t>
      </w:r>
      <w:proofErr w:type="spellEnd"/>
      <w:r w:rsidRPr="006A31E0">
        <w:t xml:space="preserve"> 2005’ten 2010’a </w:t>
      </w:r>
      <w:proofErr w:type="spellStart"/>
      <w:r w:rsidRPr="006A31E0">
        <w:t>yüzde</w:t>
      </w:r>
      <w:proofErr w:type="spellEnd"/>
      <w:r w:rsidRPr="006A31E0">
        <w:t xml:space="preserve"> 4,9’dan </w:t>
      </w:r>
      <w:proofErr w:type="spellStart"/>
      <w:r w:rsidRPr="006A31E0">
        <w:t>yüzde</w:t>
      </w:r>
      <w:proofErr w:type="spellEnd"/>
      <w:r w:rsidRPr="006A31E0">
        <w:t xml:space="preserve"> 6,9’e </w:t>
      </w:r>
      <w:proofErr w:type="spellStart"/>
      <w:r w:rsidRPr="006A31E0">
        <w:t>ölçülü</w:t>
      </w:r>
      <w:proofErr w:type="spellEnd"/>
      <w:r w:rsidRPr="006A31E0">
        <w:t xml:space="preserve"> </w:t>
      </w:r>
      <w:proofErr w:type="spellStart"/>
      <w:r w:rsidRPr="006A31E0">
        <w:t>bir</w:t>
      </w:r>
      <w:proofErr w:type="spellEnd"/>
      <w:r w:rsidRPr="006A31E0">
        <w:t xml:space="preserve"> </w:t>
      </w:r>
      <w:proofErr w:type="spellStart"/>
      <w:r w:rsidRPr="006A31E0">
        <w:t>artış</w:t>
      </w:r>
      <w:proofErr w:type="spellEnd"/>
      <w:r w:rsidRPr="006A31E0">
        <w:t xml:space="preserve"> </w:t>
      </w:r>
      <w:proofErr w:type="spellStart"/>
      <w:r w:rsidRPr="006A31E0">
        <w:t>vardır</w:t>
      </w:r>
      <w:proofErr w:type="spellEnd"/>
      <w:r w:rsidRPr="006A31E0">
        <w:t xml:space="preserve">. </w:t>
      </w:r>
      <w:proofErr w:type="spellStart"/>
      <w:r w:rsidRPr="006A31E0">
        <w:t>Hane</w:t>
      </w:r>
      <w:proofErr w:type="spellEnd"/>
      <w:r w:rsidRPr="006A31E0">
        <w:t xml:space="preserve"> </w:t>
      </w:r>
      <w:proofErr w:type="spellStart"/>
      <w:r w:rsidRPr="006A31E0">
        <w:t>sayısının</w:t>
      </w:r>
      <w:proofErr w:type="spellEnd"/>
      <w:r w:rsidRPr="006A31E0">
        <w:t xml:space="preserve"> </w:t>
      </w:r>
      <w:proofErr w:type="spellStart"/>
      <w:r w:rsidRPr="006A31E0">
        <w:t>nüfus</w:t>
      </w:r>
      <w:proofErr w:type="spellEnd"/>
      <w:r w:rsidRPr="006A31E0">
        <w:t xml:space="preserve"> </w:t>
      </w:r>
      <w:proofErr w:type="spellStart"/>
      <w:r w:rsidRPr="006A31E0">
        <w:t>artışına</w:t>
      </w:r>
      <w:proofErr w:type="spellEnd"/>
      <w:r w:rsidRPr="006A31E0">
        <w:t xml:space="preserve"> </w:t>
      </w:r>
      <w:proofErr w:type="spellStart"/>
      <w:r w:rsidRPr="006A31E0">
        <w:t>ve</w:t>
      </w:r>
      <w:proofErr w:type="spellEnd"/>
      <w:r w:rsidRPr="006A31E0">
        <w:t xml:space="preserve"> </w:t>
      </w:r>
      <w:proofErr w:type="spellStart"/>
      <w:r w:rsidRPr="006A31E0">
        <w:t>ortalama</w:t>
      </w:r>
      <w:proofErr w:type="spellEnd"/>
      <w:r w:rsidRPr="006A31E0">
        <w:t xml:space="preserve"> </w:t>
      </w:r>
      <w:proofErr w:type="spellStart"/>
      <w:r w:rsidRPr="006A31E0">
        <w:t>hane</w:t>
      </w:r>
      <w:proofErr w:type="spellEnd"/>
      <w:r w:rsidRPr="006A31E0">
        <w:t xml:space="preserve"> </w:t>
      </w:r>
      <w:proofErr w:type="spellStart"/>
      <w:r w:rsidRPr="006A31E0">
        <w:t>büyüklüğündeki</w:t>
      </w:r>
      <w:proofErr w:type="spellEnd"/>
      <w:r w:rsidRPr="006A31E0">
        <w:t xml:space="preserve"> </w:t>
      </w:r>
      <w:proofErr w:type="spellStart"/>
      <w:r w:rsidRPr="006A31E0">
        <w:t>azalmaya</w:t>
      </w:r>
      <w:proofErr w:type="spellEnd"/>
      <w:r w:rsidRPr="006A31E0">
        <w:t xml:space="preserve"> </w:t>
      </w:r>
      <w:proofErr w:type="spellStart"/>
      <w:r w:rsidRPr="006A31E0">
        <w:t>paralel</w:t>
      </w:r>
      <w:proofErr w:type="spellEnd"/>
      <w:r w:rsidRPr="006A31E0">
        <w:t xml:space="preserve"> </w:t>
      </w:r>
      <w:proofErr w:type="spellStart"/>
      <w:r w:rsidRPr="006A31E0">
        <w:t>olarak</w:t>
      </w:r>
      <w:proofErr w:type="spellEnd"/>
      <w:r w:rsidRPr="006A31E0">
        <w:t xml:space="preserve"> </w:t>
      </w:r>
      <w:proofErr w:type="spellStart"/>
      <w:r w:rsidRPr="006A31E0">
        <w:t>artmakta</w:t>
      </w:r>
      <w:proofErr w:type="spellEnd"/>
      <w:r w:rsidRPr="006A31E0">
        <w:t xml:space="preserve"> </w:t>
      </w:r>
      <w:proofErr w:type="spellStart"/>
      <w:r w:rsidRPr="006A31E0">
        <w:t>olduğu</w:t>
      </w:r>
      <w:proofErr w:type="spellEnd"/>
      <w:r w:rsidRPr="006A31E0">
        <w:t xml:space="preserve">, </w:t>
      </w:r>
      <w:proofErr w:type="spellStart"/>
      <w:r w:rsidRPr="006A31E0">
        <w:t>aynı</w:t>
      </w:r>
      <w:proofErr w:type="spellEnd"/>
      <w:r w:rsidRPr="006A31E0">
        <w:t xml:space="preserve"> </w:t>
      </w:r>
      <w:proofErr w:type="spellStart"/>
      <w:r w:rsidRPr="006A31E0">
        <w:t>zamanda</w:t>
      </w:r>
      <w:proofErr w:type="spellEnd"/>
      <w:r w:rsidRPr="006A31E0">
        <w:t xml:space="preserve"> da </w:t>
      </w:r>
      <w:proofErr w:type="spellStart"/>
      <w:r w:rsidRPr="006A31E0">
        <w:t>hane</w:t>
      </w:r>
      <w:proofErr w:type="spellEnd"/>
      <w:r w:rsidRPr="006A31E0">
        <w:t xml:space="preserve"> </w:t>
      </w:r>
      <w:proofErr w:type="spellStart"/>
      <w:r w:rsidRPr="006A31E0">
        <w:t>başına</w:t>
      </w:r>
      <w:proofErr w:type="spellEnd"/>
      <w:r w:rsidRPr="006A31E0">
        <w:t xml:space="preserve"> </w:t>
      </w:r>
      <w:proofErr w:type="spellStart"/>
      <w:r w:rsidRPr="006A31E0">
        <w:t>ortalama</w:t>
      </w:r>
      <w:proofErr w:type="spellEnd"/>
      <w:r w:rsidRPr="006A31E0">
        <w:t xml:space="preserve"> </w:t>
      </w:r>
      <w:proofErr w:type="spellStart"/>
      <w:r w:rsidRPr="006A31E0">
        <w:t>gelirin</w:t>
      </w:r>
      <w:proofErr w:type="spellEnd"/>
      <w:r w:rsidRPr="006A31E0">
        <w:t xml:space="preserve"> </w:t>
      </w:r>
      <w:proofErr w:type="spellStart"/>
      <w:r w:rsidRPr="006A31E0">
        <w:t>hızla</w:t>
      </w:r>
      <w:proofErr w:type="spellEnd"/>
      <w:r w:rsidRPr="006A31E0">
        <w:t xml:space="preserve"> </w:t>
      </w:r>
      <w:proofErr w:type="spellStart"/>
      <w:r w:rsidRPr="006A31E0">
        <w:t>yükseldiği</w:t>
      </w:r>
      <w:proofErr w:type="spellEnd"/>
      <w:r w:rsidRPr="006A31E0">
        <w:t xml:space="preserve"> </w:t>
      </w:r>
      <w:proofErr w:type="spellStart"/>
      <w:r w:rsidRPr="006A31E0">
        <w:t>koşullarda</w:t>
      </w:r>
      <w:proofErr w:type="spellEnd"/>
      <w:r w:rsidRPr="006A31E0">
        <w:t xml:space="preserve"> </w:t>
      </w:r>
      <w:proofErr w:type="spellStart"/>
      <w:r w:rsidRPr="006A31E0">
        <w:t>bu</w:t>
      </w:r>
      <w:proofErr w:type="spellEnd"/>
      <w:r w:rsidRPr="006A31E0">
        <w:t xml:space="preserve"> </w:t>
      </w:r>
      <w:proofErr w:type="spellStart"/>
      <w:r w:rsidRPr="006A31E0">
        <w:t>beklenen</w:t>
      </w:r>
      <w:proofErr w:type="spellEnd"/>
      <w:r w:rsidRPr="006A31E0">
        <w:t xml:space="preserve"> </w:t>
      </w:r>
      <w:proofErr w:type="spellStart"/>
      <w:r w:rsidRPr="006A31E0">
        <w:t>bir</w:t>
      </w:r>
      <w:proofErr w:type="spellEnd"/>
      <w:r w:rsidRPr="006A31E0">
        <w:t xml:space="preserve"> </w:t>
      </w:r>
      <w:proofErr w:type="spellStart"/>
      <w:r w:rsidRPr="006A31E0">
        <w:t>gelişmedir</w:t>
      </w:r>
      <w:proofErr w:type="spellEnd"/>
      <w:r w:rsidRPr="006A31E0">
        <w:t xml:space="preserve">. </w:t>
      </w:r>
      <w:proofErr w:type="spellStart"/>
      <w:r w:rsidRPr="006A31E0">
        <w:t>Ancak</w:t>
      </w:r>
      <w:proofErr w:type="spellEnd"/>
      <w:r w:rsidRPr="006A31E0">
        <w:t xml:space="preserve"> 2011’de </w:t>
      </w:r>
      <w:proofErr w:type="spellStart"/>
      <w:r w:rsidRPr="006A31E0">
        <w:t>bu</w:t>
      </w:r>
      <w:proofErr w:type="spellEnd"/>
      <w:r w:rsidRPr="006A31E0">
        <w:t xml:space="preserve"> pay </w:t>
      </w:r>
      <w:proofErr w:type="spellStart"/>
      <w:r w:rsidRPr="006A31E0">
        <w:t>yüzde</w:t>
      </w:r>
      <w:proofErr w:type="spellEnd"/>
      <w:r w:rsidRPr="006A31E0">
        <w:t xml:space="preserve"> 7,5’e </w:t>
      </w:r>
      <w:proofErr w:type="spellStart"/>
      <w:r w:rsidRPr="006A31E0">
        <w:t>sıçramış</w:t>
      </w:r>
      <w:proofErr w:type="spellEnd"/>
      <w:r w:rsidRPr="006A31E0">
        <w:t xml:space="preserve"> </w:t>
      </w:r>
      <w:proofErr w:type="spellStart"/>
      <w:r w:rsidRPr="006A31E0">
        <w:t>ve</w:t>
      </w:r>
      <w:proofErr w:type="spellEnd"/>
      <w:r w:rsidRPr="006A31E0">
        <w:t xml:space="preserve"> 2017 </w:t>
      </w:r>
      <w:proofErr w:type="spellStart"/>
      <w:r w:rsidRPr="006A31E0">
        <w:t>yılına</w:t>
      </w:r>
      <w:proofErr w:type="spellEnd"/>
      <w:r w:rsidRPr="006A31E0">
        <w:t xml:space="preserve"> </w:t>
      </w:r>
      <w:proofErr w:type="spellStart"/>
      <w:r w:rsidRPr="006A31E0">
        <w:t>kadar</w:t>
      </w:r>
      <w:proofErr w:type="spellEnd"/>
      <w:r w:rsidRPr="006A31E0">
        <w:t xml:space="preserve"> </w:t>
      </w:r>
      <w:proofErr w:type="spellStart"/>
      <w:r w:rsidRPr="006A31E0">
        <w:t>bu</w:t>
      </w:r>
      <w:proofErr w:type="spellEnd"/>
      <w:r w:rsidRPr="006A31E0">
        <w:t xml:space="preserve"> </w:t>
      </w:r>
      <w:proofErr w:type="spellStart"/>
      <w:r w:rsidRPr="006A31E0">
        <w:t>seviyede</w:t>
      </w:r>
      <w:proofErr w:type="spellEnd"/>
      <w:r w:rsidRPr="006A31E0">
        <w:t xml:space="preserve"> </w:t>
      </w:r>
      <w:proofErr w:type="spellStart"/>
      <w:r w:rsidRPr="006A31E0">
        <w:t>kalmıştır</w:t>
      </w:r>
      <w:proofErr w:type="spellEnd"/>
      <w:r w:rsidRPr="006A31E0">
        <w:t xml:space="preserve">. Bu </w:t>
      </w:r>
      <w:proofErr w:type="spellStart"/>
      <w:r w:rsidRPr="006A31E0">
        <w:t>olağan</w:t>
      </w:r>
      <w:proofErr w:type="spellEnd"/>
      <w:r w:rsidRPr="006A31E0">
        <w:t xml:space="preserve"> </w:t>
      </w:r>
      <w:proofErr w:type="spellStart"/>
      <w:r w:rsidRPr="006A31E0">
        <w:t>bir</w:t>
      </w:r>
      <w:proofErr w:type="spellEnd"/>
      <w:r w:rsidRPr="006A31E0">
        <w:t xml:space="preserve"> </w:t>
      </w:r>
      <w:proofErr w:type="spellStart"/>
      <w:r w:rsidRPr="006A31E0">
        <w:t>gelişme</w:t>
      </w:r>
      <w:proofErr w:type="spellEnd"/>
      <w:r w:rsidRPr="006A31E0">
        <w:t xml:space="preserve"> </w:t>
      </w:r>
      <w:proofErr w:type="spellStart"/>
      <w:r w:rsidRPr="006A31E0">
        <w:t>değildir</w:t>
      </w:r>
      <w:proofErr w:type="spellEnd"/>
      <w:r w:rsidRPr="006A31E0">
        <w:t xml:space="preserve">.  </w:t>
      </w:r>
      <w:proofErr w:type="spellStart"/>
      <w:r w:rsidRPr="006A31E0">
        <w:t>Nitekim</w:t>
      </w:r>
      <w:proofErr w:type="spellEnd"/>
      <w:r w:rsidRPr="006A31E0">
        <w:t xml:space="preserve"> </w:t>
      </w:r>
      <w:proofErr w:type="spellStart"/>
      <w:r w:rsidRPr="006A31E0">
        <w:t>inşaat</w:t>
      </w:r>
      <w:proofErr w:type="spellEnd"/>
      <w:r w:rsidRPr="006A31E0">
        <w:t xml:space="preserve"> </w:t>
      </w:r>
      <w:proofErr w:type="spellStart"/>
      <w:r w:rsidRPr="006A31E0">
        <w:t>sektörü</w:t>
      </w:r>
      <w:proofErr w:type="spellEnd"/>
      <w:r w:rsidRPr="006A31E0">
        <w:t xml:space="preserve"> </w:t>
      </w:r>
      <w:proofErr w:type="spellStart"/>
      <w:r w:rsidRPr="006A31E0">
        <w:t>aşırı</w:t>
      </w:r>
      <w:proofErr w:type="spellEnd"/>
      <w:r w:rsidRPr="006A31E0">
        <w:t xml:space="preserve"> </w:t>
      </w:r>
      <w:proofErr w:type="spellStart"/>
      <w:r w:rsidRPr="006A31E0">
        <w:t>konut</w:t>
      </w:r>
      <w:proofErr w:type="spellEnd"/>
      <w:r w:rsidRPr="006A31E0">
        <w:t xml:space="preserve"> </w:t>
      </w:r>
      <w:proofErr w:type="spellStart"/>
      <w:r w:rsidRPr="006A31E0">
        <w:t>stoku</w:t>
      </w:r>
      <w:proofErr w:type="spellEnd"/>
      <w:r w:rsidRPr="006A31E0">
        <w:t xml:space="preserve"> </w:t>
      </w:r>
      <w:proofErr w:type="spellStart"/>
      <w:r w:rsidRPr="006A31E0">
        <w:t>birikimi</w:t>
      </w:r>
      <w:proofErr w:type="spellEnd"/>
      <w:r w:rsidRPr="006A31E0">
        <w:t xml:space="preserve"> </w:t>
      </w:r>
      <w:proofErr w:type="spellStart"/>
      <w:r w:rsidRPr="006A31E0">
        <w:t>sonucu</w:t>
      </w:r>
      <w:proofErr w:type="spellEnd"/>
      <w:r w:rsidRPr="006A31E0">
        <w:t xml:space="preserve"> 2018’de </w:t>
      </w:r>
      <w:proofErr w:type="spellStart"/>
      <w:r w:rsidRPr="006A31E0">
        <w:t>krize</w:t>
      </w:r>
      <w:proofErr w:type="spellEnd"/>
      <w:r w:rsidRPr="006A31E0">
        <w:t xml:space="preserve"> </w:t>
      </w:r>
      <w:proofErr w:type="spellStart"/>
      <w:r w:rsidRPr="006A31E0">
        <w:t>girmiş</w:t>
      </w:r>
      <w:proofErr w:type="spellEnd"/>
      <w:r w:rsidRPr="006A31E0">
        <w:t xml:space="preserve"> </w:t>
      </w:r>
      <w:proofErr w:type="spellStart"/>
      <w:r w:rsidRPr="006A31E0">
        <w:t>ve</w:t>
      </w:r>
      <w:proofErr w:type="spellEnd"/>
      <w:r w:rsidRPr="006A31E0">
        <w:t xml:space="preserve"> </w:t>
      </w:r>
      <w:proofErr w:type="spellStart"/>
      <w:r w:rsidRPr="006A31E0">
        <w:t>istihdam</w:t>
      </w:r>
      <w:proofErr w:type="spellEnd"/>
      <w:r w:rsidRPr="006A31E0">
        <w:t xml:space="preserve"> </w:t>
      </w:r>
      <w:proofErr w:type="spellStart"/>
      <w:r w:rsidRPr="006A31E0">
        <w:t>payı</w:t>
      </w:r>
      <w:proofErr w:type="spellEnd"/>
      <w:r w:rsidRPr="006A31E0">
        <w:t xml:space="preserve"> 2019’da </w:t>
      </w:r>
      <w:proofErr w:type="spellStart"/>
      <w:r w:rsidRPr="006A31E0">
        <w:t>yüzde</w:t>
      </w:r>
      <w:proofErr w:type="spellEnd"/>
      <w:r w:rsidRPr="006A31E0">
        <w:t xml:space="preserve"> 5,6’ya </w:t>
      </w:r>
      <w:proofErr w:type="spellStart"/>
      <w:r w:rsidRPr="006A31E0">
        <w:t>gerilemiştir</w:t>
      </w:r>
      <w:proofErr w:type="spellEnd"/>
      <w:r w:rsidRPr="006A31E0">
        <w:t xml:space="preserve"> (Tablo 1). Halen </w:t>
      </w:r>
      <w:proofErr w:type="spellStart"/>
      <w:r w:rsidRPr="006A31E0">
        <w:t>yüzde</w:t>
      </w:r>
      <w:proofErr w:type="spellEnd"/>
      <w:r w:rsidRPr="006A31E0">
        <w:t xml:space="preserve"> 5,9 </w:t>
      </w:r>
      <w:proofErr w:type="spellStart"/>
      <w:r w:rsidRPr="006A31E0">
        <w:t>ile</w:t>
      </w:r>
      <w:proofErr w:type="spellEnd"/>
      <w:r w:rsidRPr="006A31E0">
        <w:t xml:space="preserve"> 2005 </w:t>
      </w:r>
      <w:proofErr w:type="spellStart"/>
      <w:r w:rsidRPr="006A31E0">
        <w:t>seviyesindedir</w:t>
      </w:r>
      <w:proofErr w:type="spellEnd"/>
      <w:r w:rsidRPr="006A31E0">
        <w:t xml:space="preserve">. </w:t>
      </w:r>
    </w:p>
    <w:p w14:paraId="76F73D18" w14:textId="235AC1CE" w:rsidR="006A31E0" w:rsidRPr="006A31E0" w:rsidRDefault="006A31E0" w:rsidP="00086930">
      <w:pPr>
        <w:jc w:val="both"/>
      </w:pPr>
      <w:bookmarkStart w:id="2" w:name="_Hlk117356480"/>
      <w:proofErr w:type="spellStart"/>
      <w:r w:rsidRPr="006A31E0">
        <w:t>Diğer</w:t>
      </w:r>
      <w:proofErr w:type="spellEnd"/>
      <w:r w:rsidRPr="006A31E0">
        <w:t xml:space="preserve"> </w:t>
      </w:r>
      <w:proofErr w:type="spellStart"/>
      <w:r w:rsidRPr="006A31E0">
        <w:t>olağan</w:t>
      </w:r>
      <w:proofErr w:type="spellEnd"/>
      <w:r w:rsidRPr="006A31E0">
        <w:t xml:space="preserve"> </w:t>
      </w:r>
      <w:proofErr w:type="spellStart"/>
      <w:r w:rsidRPr="006A31E0">
        <w:t>dışı</w:t>
      </w:r>
      <w:proofErr w:type="spellEnd"/>
      <w:r w:rsidRPr="006A31E0">
        <w:t xml:space="preserve"> </w:t>
      </w:r>
      <w:proofErr w:type="spellStart"/>
      <w:r w:rsidRPr="006A31E0">
        <w:t>aynı</w:t>
      </w:r>
      <w:proofErr w:type="spellEnd"/>
      <w:r w:rsidRPr="006A31E0">
        <w:t xml:space="preserve"> </w:t>
      </w:r>
      <w:proofErr w:type="spellStart"/>
      <w:r w:rsidRPr="006A31E0">
        <w:t>zamanda</w:t>
      </w:r>
      <w:proofErr w:type="spellEnd"/>
      <w:r w:rsidRPr="006A31E0">
        <w:t xml:space="preserve"> </w:t>
      </w:r>
      <w:proofErr w:type="spellStart"/>
      <w:r w:rsidRPr="006A31E0">
        <w:t>tartışmaya</w:t>
      </w:r>
      <w:proofErr w:type="spellEnd"/>
      <w:r w:rsidRPr="006A31E0">
        <w:t xml:space="preserve"> </w:t>
      </w:r>
      <w:proofErr w:type="spellStart"/>
      <w:r w:rsidRPr="006A31E0">
        <w:t>açık</w:t>
      </w:r>
      <w:proofErr w:type="spellEnd"/>
      <w:r w:rsidRPr="006A31E0">
        <w:t xml:space="preserve"> </w:t>
      </w:r>
      <w:proofErr w:type="spellStart"/>
      <w:r w:rsidRPr="006A31E0">
        <w:t>gelişme</w:t>
      </w:r>
      <w:proofErr w:type="spellEnd"/>
      <w:r w:rsidRPr="006A31E0">
        <w:t xml:space="preserve"> </w:t>
      </w:r>
      <w:proofErr w:type="spellStart"/>
      <w:r w:rsidRPr="006A31E0">
        <w:t>sanayi</w:t>
      </w:r>
      <w:proofErr w:type="spellEnd"/>
      <w:r w:rsidRPr="006A31E0">
        <w:t xml:space="preserve"> </w:t>
      </w:r>
      <w:proofErr w:type="spellStart"/>
      <w:r w:rsidRPr="006A31E0">
        <w:t>istihdamında</w:t>
      </w:r>
      <w:proofErr w:type="spellEnd"/>
      <w:r w:rsidRPr="006A31E0">
        <w:t xml:space="preserve"> </w:t>
      </w:r>
      <w:proofErr w:type="spellStart"/>
      <w:r w:rsidRPr="006A31E0">
        <w:t>uzun</w:t>
      </w:r>
      <w:proofErr w:type="spellEnd"/>
      <w:r w:rsidRPr="006A31E0">
        <w:t xml:space="preserve"> </w:t>
      </w:r>
      <w:proofErr w:type="spellStart"/>
      <w:r w:rsidRPr="006A31E0">
        <w:t>dönem</w:t>
      </w:r>
      <w:proofErr w:type="spellEnd"/>
      <w:r w:rsidRPr="006A31E0">
        <w:t xml:space="preserve"> </w:t>
      </w:r>
      <w:proofErr w:type="spellStart"/>
      <w:r w:rsidRPr="006A31E0">
        <w:t>eğiliminde</w:t>
      </w:r>
      <w:proofErr w:type="spellEnd"/>
      <w:r w:rsidRPr="006A31E0">
        <w:t xml:space="preserve"> 2019’un </w:t>
      </w:r>
      <w:proofErr w:type="spellStart"/>
      <w:r w:rsidRPr="006A31E0">
        <w:t>ortalarında</w:t>
      </w:r>
      <w:proofErr w:type="spellEnd"/>
      <w:r w:rsidRPr="006A31E0">
        <w:t xml:space="preserve"> </w:t>
      </w:r>
      <w:proofErr w:type="spellStart"/>
      <w:r w:rsidRPr="006A31E0">
        <w:t>ortaya</w:t>
      </w:r>
      <w:proofErr w:type="spellEnd"/>
      <w:r w:rsidRPr="006A31E0">
        <w:t xml:space="preserve"> </w:t>
      </w:r>
      <w:proofErr w:type="spellStart"/>
      <w:r w:rsidRPr="006A31E0">
        <w:t>çıkan</w:t>
      </w:r>
      <w:proofErr w:type="spellEnd"/>
      <w:r w:rsidRPr="006A31E0">
        <w:t xml:space="preserve"> ani </w:t>
      </w:r>
      <w:proofErr w:type="spellStart"/>
      <w:r w:rsidRPr="006A31E0">
        <w:t>yön</w:t>
      </w:r>
      <w:proofErr w:type="spellEnd"/>
      <w:r w:rsidRPr="006A31E0">
        <w:t xml:space="preserve"> </w:t>
      </w:r>
      <w:proofErr w:type="spellStart"/>
      <w:r w:rsidRPr="006A31E0">
        <w:t>değişimidir</w:t>
      </w:r>
      <w:proofErr w:type="spellEnd"/>
      <w:r w:rsidRPr="006A31E0">
        <w:t xml:space="preserve"> (</w:t>
      </w:r>
      <w:proofErr w:type="spellStart"/>
      <w:r w:rsidRPr="006A31E0">
        <w:t>Şekil</w:t>
      </w:r>
      <w:proofErr w:type="spellEnd"/>
      <w:r w:rsidRPr="006A31E0">
        <w:t xml:space="preserve"> 2).  1920’lerde son </w:t>
      </w:r>
      <w:proofErr w:type="spellStart"/>
      <w:r w:rsidRPr="006A31E0">
        <w:t>derece</w:t>
      </w:r>
      <w:proofErr w:type="spellEnd"/>
      <w:r w:rsidRPr="006A31E0">
        <w:t xml:space="preserve"> </w:t>
      </w:r>
      <w:proofErr w:type="spellStart"/>
      <w:r w:rsidRPr="006A31E0">
        <w:t>küçük</w:t>
      </w:r>
      <w:proofErr w:type="spellEnd"/>
      <w:r w:rsidRPr="006A31E0">
        <w:t xml:space="preserve"> </w:t>
      </w:r>
      <w:proofErr w:type="spellStart"/>
      <w:r w:rsidRPr="006A31E0">
        <w:t>bir</w:t>
      </w:r>
      <w:proofErr w:type="spellEnd"/>
      <w:r w:rsidRPr="006A31E0">
        <w:t xml:space="preserve"> </w:t>
      </w:r>
      <w:proofErr w:type="spellStart"/>
      <w:r w:rsidRPr="006A31E0">
        <w:t>sektör</w:t>
      </w:r>
      <w:proofErr w:type="spellEnd"/>
      <w:r w:rsidRPr="006A31E0">
        <w:t xml:space="preserve"> </w:t>
      </w:r>
      <w:proofErr w:type="spellStart"/>
      <w:r w:rsidRPr="006A31E0">
        <w:t>olan</w:t>
      </w:r>
      <w:proofErr w:type="spellEnd"/>
      <w:r w:rsidRPr="006A31E0">
        <w:t xml:space="preserve"> </w:t>
      </w:r>
      <w:proofErr w:type="spellStart"/>
      <w:r w:rsidRPr="006A31E0">
        <w:t>sanayi</w:t>
      </w:r>
      <w:proofErr w:type="spellEnd"/>
      <w:r w:rsidRPr="006A31E0">
        <w:t xml:space="preserve"> zaman </w:t>
      </w:r>
      <w:proofErr w:type="spellStart"/>
      <w:r w:rsidRPr="006A31E0">
        <w:t>içinde</w:t>
      </w:r>
      <w:proofErr w:type="spellEnd"/>
      <w:r w:rsidRPr="006A31E0">
        <w:t xml:space="preserve"> </w:t>
      </w:r>
      <w:proofErr w:type="spellStart"/>
      <w:r w:rsidRPr="006A31E0">
        <w:t>gelişmiş</w:t>
      </w:r>
      <w:proofErr w:type="spellEnd"/>
      <w:r w:rsidRPr="006A31E0">
        <w:t xml:space="preserve"> </w:t>
      </w:r>
      <w:proofErr w:type="spellStart"/>
      <w:r w:rsidRPr="006A31E0">
        <w:t>istihdamdaki</w:t>
      </w:r>
      <w:proofErr w:type="spellEnd"/>
      <w:r w:rsidRPr="006A31E0">
        <w:t xml:space="preserve"> </w:t>
      </w:r>
      <w:proofErr w:type="spellStart"/>
      <w:r w:rsidRPr="006A31E0">
        <w:t>payı</w:t>
      </w:r>
      <w:proofErr w:type="spellEnd"/>
      <w:r w:rsidRPr="006A31E0">
        <w:t xml:space="preserve"> da </w:t>
      </w:r>
      <w:proofErr w:type="spellStart"/>
      <w:r w:rsidRPr="006A31E0">
        <w:t>hızla</w:t>
      </w:r>
      <w:proofErr w:type="spellEnd"/>
      <w:r w:rsidRPr="006A31E0">
        <w:t xml:space="preserve"> </w:t>
      </w:r>
      <w:proofErr w:type="spellStart"/>
      <w:r w:rsidRPr="006A31E0">
        <w:t>yükselmeye</w:t>
      </w:r>
      <w:proofErr w:type="spellEnd"/>
      <w:r w:rsidRPr="006A31E0">
        <w:t xml:space="preserve"> </w:t>
      </w:r>
      <w:proofErr w:type="spellStart"/>
      <w:r w:rsidRPr="006A31E0">
        <w:t>başlamıştır</w:t>
      </w:r>
      <w:proofErr w:type="spellEnd"/>
      <w:r w:rsidRPr="006A31E0">
        <w:t xml:space="preserve">. 1988’de </w:t>
      </w:r>
      <w:proofErr w:type="spellStart"/>
      <w:r w:rsidRPr="006A31E0">
        <w:t>yüzde</w:t>
      </w:r>
      <w:proofErr w:type="spellEnd"/>
      <w:r w:rsidRPr="006A31E0">
        <w:t xml:space="preserve"> 12,7 </w:t>
      </w:r>
      <w:proofErr w:type="spellStart"/>
      <w:r w:rsidRPr="006A31E0">
        <w:t>olan</w:t>
      </w:r>
      <w:proofErr w:type="spellEnd"/>
      <w:r w:rsidRPr="006A31E0">
        <w:t xml:space="preserve"> pay 2008’de </w:t>
      </w:r>
      <w:proofErr w:type="spellStart"/>
      <w:r w:rsidRPr="006A31E0">
        <w:t>yüzde</w:t>
      </w:r>
      <w:proofErr w:type="spellEnd"/>
      <w:r w:rsidRPr="006A31E0">
        <w:t xml:space="preserve"> 22,9 </w:t>
      </w:r>
      <w:proofErr w:type="spellStart"/>
      <w:r w:rsidRPr="006A31E0">
        <w:t>ile</w:t>
      </w:r>
      <w:proofErr w:type="spellEnd"/>
      <w:r w:rsidRPr="006A31E0">
        <w:t xml:space="preserve"> </w:t>
      </w:r>
      <w:proofErr w:type="spellStart"/>
      <w:r w:rsidRPr="006A31E0">
        <w:t>zirve</w:t>
      </w:r>
      <w:proofErr w:type="spellEnd"/>
      <w:r w:rsidRPr="006A31E0">
        <w:t xml:space="preserve"> </w:t>
      </w:r>
      <w:proofErr w:type="spellStart"/>
      <w:r w:rsidRPr="006A31E0">
        <w:t>yapmış</w:t>
      </w:r>
      <w:proofErr w:type="spellEnd"/>
      <w:r w:rsidRPr="006A31E0">
        <w:t xml:space="preserve"> </w:t>
      </w:r>
      <w:proofErr w:type="spellStart"/>
      <w:r w:rsidRPr="006A31E0">
        <w:t>ardından</w:t>
      </w:r>
      <w:proofErr w:type="spellEnd"/>
      <w:r w:rsidRPr="006A31E0">
        <w:t xml:space="preserve"> </w:t>
      </w:r>
      <w:proofErr w:type="spellStart"/>
      <w:r w:rsidRPr="006A31E0">
        <w:t>inişe</w:t>
      </w:r>
      <w:proofErr w:type="spellEnd"/>
      <w:r w:rsidRPr="006A31E0">
        <w:t xml:space="preserve"> </w:t>
      </w:r>
      <w:proofErr w:type="spellStart"/>
      <w:r w:rsidRPr="006A31E0">
        <w:t>geçmiş</w:t>
      </w:r>
      <w:proofErr w:type="spellEnd"/>
      <w:r w:rsidRPr="006A31E0">
        <w:t xml:space="preserve"> </w:t>
      </w:r>
      <w:proofErr w:type="spellStart"/>
      <w:r w:rsidRPr="006A31E0">
        <w:t>ve</w:t>
      </w:r>
      <w:proofErr w:type="spellEnd"/>
      <w:r w:rsidRPr="006A31E0">
        <w:t xml:space="preserve"> 2017’de </w:t>
      </w:r>
      <w:proofErr w:type="spellStart"/>
      <w:r w:rsidRPr="006A31E0">
        <w:t>yüksek</w:t>
      </w:r>
      <w:proofErr w:type="spellEnd"/>
      <w:r w:rsidRPr="006A31E0">
        <w:t xml:space="preserve"> </w:t>
      </w:r>
      <w:proofErr w:type="spellStart"/>
      <w:r w:rsidRPr="006A31E0">
        <w:t>büyümeye</w:t>
      </w:r>
      <w:proofErr w:type="spellEnd"/>
      <w:r w:rsidRPr="006A31E0">
        <w:t xml:space="preserve"> </w:t>
      </w:r>
      <w:proofErr w:type="spellStart"/>
      <w:r w:rsidRPr="006A31E0">
        <w:t>rağmen</w:t>
      </w:r>
      <w:proofErr w:type="spellEnd"/>
      <w:r w:rsidRPr="006A31E0">
        <w:t xml:space="preserve"> </w:t>
      </w:r>
      <w:proofErr w:type="spellStart"/>
      <w:r w:rsidRPr="006A31E0">
        <w:t>yüzde</w:t>
      </w:r>
      <w:proofErr w:type="spellEnd"/>
      <w:r w:rsidRPr="006A31E0">
        <w:t xml:space="preserve"> 19,2’ye </w:t>
      </w:r>
      <w:proofErr w:type="spellStart"/>
      <w:r w:rsidRPr="006A31E0">
        <w:t>gerilemiştir</w:t>
      </w:r>
      <w:proofErr w:type="spellEnd"/>
      <w:r w:rsidRPr="006A31E0">
        <w:t xml:space="preserve">.  (Tablo 1). </w:t>
      </w:r>
      <w:proofErr w:type="spellStart"/>
      <w:r w:rsidRPr="006A31E0">
        <w:t>Oysa</w:t>
      </w:r>
      <w:proofErr w:type="spellEnd"/>
      <w:r w:rsidRPr="006A31E0">
        <w:t xml:space="preserve"> </w:t>
      </w:r>
      <w:proofErr w:type="spellStart"/>
      <w:r w:rsidRPr="006A31E0">
        <w:t>gelişmiş</w:t>
      </w:r>
      <w:proofErr w:type="spellEnd"/>
      <w:r w:rsidRPr="006A31E0">
        <w:t xml:space="preserve"> </w:t>
      </w:r>
      <w:proofErr w:type="spellStart"/>
      <w:r w:rsidRPr="006A31E0">
        <w:t>ülkelerde</w:t>
      </w:r>
      <w:proofErr w:type="spellEnd"/>
      <w:r w:rsidRPr="006A31E0">
        <w:t xml:space="preserve"> </w:t>
      </w:r>
      <w:proofErr w:type="spellStart"/>
      <w:r w:rsidRPr="006A31E0">
        <w:t>bu</w:t>
      </w:r>
      <w:proofErr w:type="spellEnd"/>
      <w:r w:rsidRPr="006A31E0">
        <w:t xml:space="preserve"> pay </w:t>
      </w:r>
      <w:proofErr w:type="spellStart"/>
      <w:r w:rsidRPr="006A31E0">
        <w:t>sanayileşme</w:t>
      </w:r>
      <w:proofErr w:type="spellEnd"/>
      <w:r w:rsidRPr="006A31E0">
        <w:t xml:space="preserve"> </w:t>
      </w:r>
      <w:proofErr w:type="spellStart"/>
      <w:r w:rsidRPr="006A31E0">
        <w:t>sürecinde</w:t>
      </w:r>
      <w:proofErr w:type="spellEnd"/>
      <w:r w:rsidRPr="006A31E0">
        <w:t xml:space="preserve"> </w:t>
      </w:r>
      <w:proofErr w:type="spellStart"/>
      <w:r w:rsidRPr="006A31E0">
        <w:lastRenderedPageBreak/>
        <w:t>yüzde</w:t>
      </w:r>
      <w:proofErr w:type="spellEnd"/>
      <w:r w:rsidRPr="006A31E0">
        <w:t xml:space="preserve"> 30 </w:t>
      </w:r>
      <w:proofErr w:type="spellStart"/>
      <w:r w:rsidRPr="006A31E0">
        <w:t>civarına</w:t>
      </w:r>
      <w:proofErr w:type="spellEnd"/>
      <w:r w:rsidRPr="006A31E0">
        <w:t xml:space="preserve"> </w:t>
      </w:r>
      <w:proofErr w:type="spellStart"/>
      <w:r w:rsidRPr="006A31E0">
        <w:t>kadar</w:t>
      </w:r>
      <w:proofErr w:type="spellEnd"/>
      <w:r w:rsidRPr="006A31E0">
        <w:t xml:space="preserve"> </w:t>
      </w:r>
      <w:proofErr w:type="spellStart"/>
      <w:r w:rsidRPr="006A31E0">
        <w:t>yükselmiş</w:t>
      </w:r>
      <w:proofErr w:type="spellEnd"/>
      <w:r w:rsidRPr="006A31E0">
        <w:t xml:space="preserve">, </w:t>
      </w:r>
      <w:proofErr w:type="spellStart"/>
      <w:r w:rsidRPr="006A31E0">
        <w:t>ancak</w:t>
      </w:r>
      <w:proofErr w:type="spellEnd"/>
      <w:r w:rsidRPr="006A31E0">
        <w:t xml:space="preserve"> </w:t>
      </w:r>
      <w:proofErr w:type="spellStart"/>
      <w:r w:rsidRPr="006A31E0">
        <w:t>hizmet</w:t>
      </w:r>
      <w:proofErr w:type="spellEnd"/>
      <w:r w:rsidRPr="006A31E0">
        <w:t xml:space="preserve"> </w:t>
      </w:r>
      <w:proofErr w:type="spellStart"/>
      <w:r w:rsidRPr="006A31E0">
        <w:t>istihdamında</w:t>
      </w:r>
      <w:proofErr w:type="spellEnd"/>
      <w:r w:rsidRPr="006A31E0">
        <w:t xml:space="preserve"> </w:t>
      </w:r>
      <w:proofErr w:type="spellStart"/>
      <w:r w:rsidRPr="006A31E0">
        <w:t>yaşanan</w:t>
      </w:r>
      <w:proofErr w:type="spellEnd"/>
      <w:r w:rsidRPr="006A31E0">
        <w:t xml:space="preserve"> </w:t>
      </w:r>
      <w:proofErr w:type="spellStart"/>
      <w:r w:rsidRPr="006A31E0">
        <w:t>hızlı</w:t>
      </w:r>
      <w:proofErr w:type="spellEnd"/>
      <w:r w:rsidRPr="006A31E0">
        <w:t xml:space="preserve"> </w:t>
      </w:r>
      <w:proofErr w:type="spellStart"/>
      <w:r w:rsidRPr="006A31E0">
        <w:t>artışlar</w:t>
      </w:r>
      <w:proofErr w:type="spellEnd"/>
      <w:r w:rsidRPr="006A31E0">
        <w:t xml:space="preserve"> </w:t>
      </w:r>
      <w:proofErr w:type="spellStart"/>
      <w:r w:rsidRPr="006A31E0">
        <w:t>sonucu</w:t>
      </w:r>
      <w:proofErr w:type="spellEnd"/>
      <w:r w:rsidRPr="006A31E0">
        <w:t xml:space="preserve"> </w:t>
      </w:r>
      <w:proofErr w:type="spellStart"/>
      <w:r w:rsidRPr="006A31E0">
        <w:t>azalma</w:t>
      </w:r>
      <w:proofErr w:type="spellEnd"/>
      <w:r w:rsidRPr="006A31E0">
        <w:t xml:space="preserve"> </w:t>
      </w:r>
      <w:proofErr w:type="spellStart"/>
      <w:r w:rsidRPr="006A31E0">
        <w:t>eğilimine</w:t>
      </w:r>
      <w:proofErr w:type="spellEnd"/>
      <w:r w:rsidRPr="006A31E0">
        <w:t xml:space="preserve"> </w:t>
      </w:r>
      <w:proofErr w:type="spellStart"/>
      <w:r w:rsidRPr="006A31E0">
        <w:t>girmiştir</w:t>
      </w:r>
      <w:proofErr w:type="spellEnd"/>
      <w:r w:rsidRPr="006A31E0">
        <w:t xml:space="preserve">. </w:t>
      </w:r>
    </w:p>
    <w:p w14:paraId="5A9604FB" w14:textId="6BC9D1ED" w:rsidR="006A31E0" w:rsidRPr="006A31E0" w:rsidRDefault="006A31E0" w:rsidP="00086930">
      <w:pPr>
        <w:jc w:val="both"/>
      </w:pPr>
      <w:proofErr w:type="spellStart"/>
      <w:r w:rsidRPr="006A31E0">
        <w:t>Kalkınma</w:t>
      </w:r>
      <w:proofErr w:type="spellEnd"/>
      <w:r w:rsidRPr="006A31E0">
        <w:t xml:space="preserve"> </w:t>
      </w:r>
      <w:proofErr w:type="spellStart"/>
      <w:r w:rsidRPr="006A31E0">
        <w:t>ekonomisi</w:t>
      </w:r>
      <w:proofErr w:type="spellEnd"/>
      <w:r w:rsidRPr="006A31E0">
        <w:t xml:space="preserve"> </w:t>
      </w:r>
      <w:proofErr w:type="spellStart"/>
      <w:r w:rsidRPr="006A31E0">
        <w:t>literatüründe</w:t>
      </w:r>
      <w:proofErr w:type="spellEnd"/>
      <w:r w:rsidRPr="006A31E0">
        <w:t xml:space="preserve"> </w:t>
      </w:r>
      <w:proofErr w:type="spellStart"/>
      <w:r w:rsidRPr="006A31E0">
        <w:t>Türkiye’de</w:t>
      </w:r>
      <w:proofErr w:type="spellEnd"/>
      <w:r w:rsidRPr="006A31E0">
        <w:t xml:space="preserve"> </w:t>
      </w:r>
      <w:proofErr w:type="spellStart"/>
      <w:r w:rsidRPr="006A31E0">
        <w:t>ve</w:t>
      </w:r>
      <w:proofErr w:type="spellEnd"/>
      <w:r w:rsidRPr="006A31E0">
        <w:t xml:space="preserve"> </w:t>
      </w:r>
      <w:proofErr w:type="spellStart"/>
      <w:r w:rsidRPr="006A31E0">
        <w:t>benzeri</w:t>
      </w:r>
      <w:proofErr w:type="spellEnd"/>
      <w:r w:rsidRPr="006A31E0">
        <w:t xml:space="preserve"> </w:t>
      </w:r>
      <w:proofErr w:type="spellStart"/>
      <w:r w:rsidRPr="006A31E0">
        <w:t>ülkelerde</w:t>
      </w:r>
      <w:proofErr w:type="spellEnd"/>
      <w:r w:rsidRPr="006A31E0">
        <w:t xml:space="preserve"> </w:t>
      </w:r>
      <w:proofErr w:type="spellStart"/>
      <w:r w:rsidRPr="006A31E0">
        <w:t>gözlemlenen</w:t>
      </w:r>
      <w:proofErr w:type="spellEnd"/>
      <w:r w:rsidRPr="006A31E0">
        <w:t xml:space="preserve"> </w:t>
      </w:r>
      <w:proofErr w:type="spellStart"/>
      <w:r w:rsidRPr="006A31E0">
        <w:t>bu</w:t>
      </w:r>
      <w:proofErr w:type="spellEnd"/>
      <w:r w:rsidRPr="006A31E0">
        <w:t xml:space="preserve"> </w:t>
      </w:r>
      <w:proofErr w:type="spellStart"/>
      <w:r w:rsidRPr="006A31E0">
        <w:t>olguya</w:t>
      </w:r>
      <w:proofErr w:type="spellEnd"/>
      <w:r w:rsidRPr="006A31E0">
        <w:t xml:space="preserve"> “Erken </w:t>
      </w:r>
      <w:proofErr w:type="spellStart"/>
      <w:r w:rsidRPr="006A31E0">
        <w:t>Sanayisizleşme</w:t>
      </w:r>
      <w:proofErr w:type="spellEnd"/>
      <w:r w:rsidRPr="006A31E0">
        <w:t xml:space="preserve">” </w:t>
      </w:r>
      <w:proofErr w:type="spellStart"/>
      <w:r w:rsidRPr="006A31E0">
        <w:t>adı</w:t>
      </w:r>
      <w:proofErr w:type="spellEnd"/>
      <w:r w:rsidRPr="006A31E0">
        <w:t xml:space="preserve"> </w:t>
      </w:r>
      <w:proofErr w:type="spellStart"/>
      <w:r w:rsidRPr="006A31E0">
        <w:t>verilmektedir</w:t>
      </w:r>
      <w:proofErr w:type="spellEnd"/>
      <w:r w:rsidRPr="006A31E0">
        <w:t xml:space="preserve">. </w:t>
      </w:r>
      <w:proofErr w:type="spellStart"/>
      <w:r w:rsidRPr="006A31E0">
        <w:t>Çarpıcı</w:t>
      </w:r>
      <w:proofErr w:type="spellEnd"/>
      <w:r w:rsidRPr="006A31E0">
        <w:t xml:space="preserve"> </w:t>
      </w:r>
      <w:proofErr w:type="spellStart"/>
      <w:r w:rsidRPr="006A31E0">
        <w:t>olan</w:t>
      </w:r>
      <w:proofErr w:type="spellEnd"/>
      <w:r w:rsidRPr="006A31E0">
        <w:t xml:space="preserve"> </w:t>
      </w:r>
      <w:proofErr w:type="spellStart"/>
      <w:r w:rsidRPr="006A31E0">
        <w:t>sanayinin</w:t>
      </w:r>
      <w:proofErr w:type="spellEnd"/>
      <w:r w:rsidRPr="006A31E0">
        <w:t xml:space="preserve"> </w:t>
      </w:r>
      <w:proofErr w:type="spellStart"/>
      <w:r w:rsidRPr="006A31E0">
        <w:t>payının</w:t>
      </w:r>
      <w:proofErr w:type="spellEnd"/>
      <w:r w:rsidRPr="006A31E0">
        <w:t xml:space="preserve"> 2019’da </w:t>
      </w:r>
      <w:proofErr w:type="spellStart"/>
      <w:r w:rsidRPr="006A31E0">
        <w:t>yüzde</w:t>
      </w:r>
      <w:proofErr w:type="spellEnd"/>
      <w:r w:rsidRPr="006A31E0">
        <w:t xml:space="preserve"> 19,9’a </w:t>
      </w:r>
      <w:proofErr w:type="spellStart"/>
      <w:r w:rsidRPr="006A31E0">
        <w:t>yükselmesidir</w:t>
      </w:r>
      <w:proofErr w:type="spellEnd"/>
      <w:r w:rsidRPr="006A31E0">
        <w:t xml:space="preserve">. </w:t>
      </w:r>
      <w:proofErr w:type="spellStart"/>
      <w:r w:rsidRPr="006A31E0">
        <w:t>Ancak</w:t>
      </w:r>
      <w:proofErr w:type="spellEnd"/>
      <w:r w:rsidRPr="006A31E0">
        <w:t xml:space="preserve"> </w:t>
      </w:r>
      <w:proofErr w:type="spellStart"/>
      <w:r w:rsidRPr="006A31E0">
        <w:t>sanayinin</w:t>
      </w:r>
      <w:proofErr w:type="spellEnd"/>
      <w:r w:rsidRPr="006A31E0">
        <w:t xml:space="preserve"> </w:t>
      </w:r>
      <w:proofErr w:type="spellStart"/>
      <w:r w:rsidRPr="006A31E0">
        <w:t>istihdam</w:t>
      </w:r>
      <w:proofErr w:type="spellEnd"/>
      <w:r w:rsidRPr="006A31E0">
        <w:t xml:space="preserve"> </w:t>
      </w:r>
      <w:proofErr w:type="spellStart"/>
      <w:r w:rsidRPr="006A31E0">
        <w:t>payında</w:t>
      </w:r>
      <w:proofErr w:type="spellEnd"/>
      <w:r w:rsidRPr="006A31E0">
        <w:t xml:space="preserve"> </w:t>
      </w:r>
      <w:proofErr w:type="spellStart"/>
      <w:r w:rsidRPr="006A31E0">
        <w:t>görülen</w:t>
      </w:r>
      <w:proofErr w:type="spellEnd"/>
      <w:r w:rsidRPr="006A31E0">
        <w:t xml:space="preserve"> </w:t>
      </w:r>
      <w:proofErr w:type="spellStart"/>
      <w:r w:rsidRPr="006A31E0">
        <w:t>bu</w:t>
      </w:r>
      <w:proofErr w:type="spellEnd"/>
      <w:r w:rsidRPr="006A31E0">
        <w:t xml:space="preserve"> </w:t>
      </w:r>
      <w:proofErr w:type="spellStart"/>
      <w:r w:rsidRPr="006A31E0">
        <w:t>artış</w:t>
      </w:r>
      <w:proofErr w:type="spellEnd"/>
      <w:r w:rsidRPr="006A31E0">
        <w:t xml:space="preserve"> </w:t>
      </w:r>
      <w:proofErr w:type="spellStart"/>
      <w:r w:rsidRPr="006A31E0">
        <w:t>büyük</w:t>
      </w:r>
      <w:proofErr w:type="spellEnd"/>
      <w:r w:rsidRPr="006A31E0">
        <w:t xml:space="preserve"> </w:t>
      </w:r>
      <w:proofErr w:type="spellStart"/>
      <w:r w:rsidRPr="006A31E0">
        <w:t>ölçüde</w:t>
      </w:r>
      <w:proofErr w:type="spellEnd"/>
      <w:r w:rsidRPr="006A31E0">
        <w:t xml:space="preserve"> </w:t>
      </w:r>
      <w:proofErr w:type="spellStart"/>
      <w:r w:rsidRPr="006A31E0">
        <w:t>inşaatın</w:t>
      </w:r>
      <w:proofErr w:type="spellEnd"/>
      <w:r w:rsidRPr="006A31E0">
        <w:t xml:space="preserve"> </w:t>
      </w:r>
      <w:proofErr w:type="spellStart"/>
      <w:r w:rsidRPr="006A31E0">
        <w:t>payındaki</w:t>
      </w:r>
      <w:proofErr w:type="spellEnd"/>
      <w:r w:rsidRPr="006A31E0">
        <w:t xml:space="preserve"> </w:t>
      </w:r>
      <w:proofErr w:type="spellStart"/>
      <w:r w:rsidRPr="006A31E0">
        <w:t>sert</w:t>
      </w:r>
      <w:proofErr w:type="spellEnd"/>
      <w:r w:rsidRPr="006A31E0">
        <w:t xml:space="preserve"> </w:t>
      </w:r>
      <w:proofErr w:type="spellStart"/>
      <w:r w:rsidRPr="006A31E0">
        <w:t>azalmanın</w:t>
      </w:r>
      <w:proofErr w:type="spellEnd"/>
      <w:r w:rsidRPr="006A31E0">
        <w:t xml:space="preserve"> </w:t>
      </w:r>
      <w:proofErr w:type="spellStart"/>
      <w:r w:rsidRPr="006A31E0">
        <w:t>cebirsel</w:t>
      </w:r>
      <w:proofErr w:type="spellEnd"/>
      <w:r w:rsidRPr="006A31E0">
        <w:t xml:space="preserve"> </w:t>
      </w:r>
      <w:proofErr w:type="spellStart"/>
      <w:r w:rsidRPr="006A31E0">
        <w:t>bir</w:t>
      </w:r>
      <w:proofErr w:type="spellEnd"/>
      <w:r w:rsidRPr="006A31E0">
        <w:t xml:space="preserve"> </w:t>
      </w:r>
      <w:proofErr w:type="spellStart"/>
      <w:r w:rsidRPr="006A31E0">
        <w:t>sonucudur</w:t>
      </w:r>
      <w:proofErr w:type="spellEnd"/>
      <w:r w:rsidRPr="006A31E0">
        <w:t xml:space="preserve">. </w:t>
      </w:r>
      <w:proofErr w:type="spellStart"/>
      <w:r w:rsidRPr="006A31E0">
        <w:t>Kalıcı</w:t>
      </w:r>
      <w:proofErr w:type="spellEnd"/>
      <w:r w:rsidRPr="006A31E0">
        <w:t xml:space="preserve"> </w:t>
      </w:r>
      <w:proofErr w:type="spellStart"/>
      <w:r w:rsidRPr="006A31E0">
        <w:t>olmayabilirdi</w:t>
      </w:r>
      <w:proofErr w:type="spellEnd"/>
      <w:r w:rsidRPr="006A31E0">
        <w:t xml:space="preserve">. Ama </w:t>
      </w:r>
      <w:proofErr w:type="spellStart"/>
      <w:r w:rsidRPr="006A31E0">
        <w:t>görüldüğü</w:t>
      </w:r>
      <w:proofErr w:type="spellEnd"/>
      <w:r w:rsidRPr="006A31E0">
        <w:t xml:space="preserve"> </w:t>
      </w:r>
      <w:proofErr w:type="spellStart"/>
      <w:r w:rsidRPr="006A31E0">
        <w:t>gibi</w:t>
      </w:r>
      <w:proofErr w:type="spellEnd"/>
      <w:r w:rsidRPr="006A31E0">
        <w:t xml:space="preserve"> </w:t>
      </w:r>
      <w:proofErr w:type="spellStart"/>
      <w:r w:rsidRPr="006A31E0">
        <w:t>sanayi</w:t>
      </w:r>
      <w:proofErr w:type="spellEnd"/>
      <w:r w:rsidRPr="006A31E0">
        <w:t xml:space="preserve"> </w:t>
      </w:r>
      <w:proofErr w:type="spellStart"/>
      <w:r w:rsidRPr="006A31E0">
        <w:t>çalışan</w:t>
      </w:r>
      <w:proofErr w:type="spellEnd"/>
      <w:r w:rsidRPr="006A31E0">
        <w:t xml:space="preserve"> </w:t>
      </w:r>
      <w:proofErr w:type="spellStart"/>
      <w:r w:rsidRPr="006A31E0">
        <w:t>sayısındaki</w:t>
      </w:r>
      <w:proofErr w:type="spellEnd"/>
      <w:r w:rsidRPr="006A31E0">
        <w:t xml:space="preserve"> </w:t>
      </w:r>
      <w:proofErr w:type="spellStart"/>
      <w:r w:rsidRPr="006A31E0">
        <w:t>güçlü</w:t>
      </w:r>
      <w:proofErr w:type="spellEnd"/>
      <w:r w:rsidRPr="006A31E0">
        <w:t xml:space="preserve"> </w:t>
      </w:r>
      <w:proofErr w:type="spellStart"/>
      <w:r w:rsidRPr="006A31E0">
        <w:t>artış</w:t>
      </w:r>
      <w:proofErr w:type="spellEnd"/>
      <w:r w:rsidRPr="006A31E0">
        <w:t xml:space="preserve"> </w:t>
      </w:r>
      <w:proofErr w:type="spellStart"/>
      <w:r w:rsidRPr="006A31E0">
        <w:t>ile</w:t>
      </w:r>
      <w:proofErr w:type="spellEnd"/>
      <w:r w:rsidRPr="006A31E0">
        <w:t xml:space="preserve"> </w:t>
      </w:r>
      <w:proofErr w:type="spellStart"/>
      <w:r w:rsidRPr="006A31E0">
        <w:t>hızlanan</w:t>
      </w:r>
      <w:proofErr w:type="spellEnd"/>
      <w:r w:rsidRPr="006A31E0">
        <w:t xml:space="preserve"> </w:t>
      </w:r>
      <w:proofErr w:type="spellStart"/>
      <w:r w:rsidRPr="006A31E0">
        <w:t>bir</w:t>
      </w:r>
      <w:proofErr w:type="spellEnd"/>
      <w:r w:rsidRPr="006A31E0">
        <w:t xml:space="preserve"> </w:t>
      </w:r>
      <w:proofErr w:type="spellStart"/>
      <w:r w:rsidRPr="006A31E0">
        <w:t>tempoda</w:t>
      </w:r>
      <w:proofErr w:type="spellEnd"/>
      <w:r w:rsidRPr="006A31E0">
        <w:t xml:space="preserve"> </w:t>
      </w:r>
      <w:proofErr w:type="spellStart"/>
      <w:r w:rsidRPr="006A31E0">
        <w:t>yükselmeye</w:t>
      </w:r>
      <w:proofErr w:type="spellEnd"/>
      <w:r w:rsidRPr="006A31E0">
        <w:t xml:space="preserve"> </w:t>
      </w:r>
      <w:proofErr w:type="spellStart"/>
      <w:r w:rsidRPr="006A31E0">
        <w:t>devam</w:t>
      </w:r>
      <w:proofErr w:type="spellEnd"/>
      <w:r w:rsidRPr="006A31E0">
        <w:t xml:space="preserve"> </w:t>
      </w:r>
      <w:proofErr w:type="spellStart"/>
      <w:r w:rsidRPr="006A31E0">
        <w:t>ederek</w:t>
      </w:r>
      <w:proofErr w:type="spellEnd"/>
      <w:r w:rsidRPr="006A31E0">
        <w:t xml:space="preserve"> 2022 </w:t>
      </w:r>
      <w:proofErr w:type="spellStart"/>
      <w:r w:rsidRPr="006A31E0">
        <w:t>ikinci</w:t>
      </w:r>
      <w:proofErr w:type="spellEnd"/>
      <w:r w:rsidRPr="006A31E0">
        <w:t xml:space="preserve"> </w:t>
      </w:r>
      <w:proofErr w:type="spellStart"/>
      <w:r w:rsidRPr="006A31E0">
        <w:t>çeyrekte</w:t>
      </w:r>
      <w:proofErr w:type="spellEnd"/>
      <w:r w:rsidRPr="006A31E0">
        <w:t xml:space="preserve"> </w:t>
      </w:r>
      <w:proofErr w:type="spellStart"/>
      <w:r w:rsidRPr="006A31E0">
        <w:t>yüzde</w:t>
      </w:r>
      <w:proofErr w:type="spellEnd"/>
      <w:r w:rsidRPr="006A31E0">
        <w:t xml:space="preserve"> 22’ye </w:t>
      </w:r>
      <w:proofErr w:type="spellStart"/>
      <w:r w:rsidRPr="006A31E0">
        <w:t>ulaşmıştır</w:t>
      </w:r>
      <w:proofErr w:type="spellEnd"/>
      <w:r w:rsidRPr="006A31E0">
        <w:t xml:space="preserve">. </w:t>
      </w:r>
    </w:p>
    <w:p w14:paraId="5670FADC" w14:textId="388765FD" w:rsidR="006A31E0" w:rsidRPr="006A31E0" w:rsidRDefault="006A31E0" w:rsidP="00086930">
      <w:pPr>
        <w:jc w:val="both"/>
      </w:pPr>
      <w:r w:rsidRPr="006A31E0">
        <w:t xml:space="preserve">Bu </w:t>
      </w:r>
      <w:proofErr w:type="spellStart"/>
      <w:r w:rsidRPr="006A31E0">
        <w:t>noktada</w:t>
      </w:r>
      <w:proofErr w:type="spellEnd"/>
      <w:r w:rsidRPr="006A31E0">
        <w:t xml:space="preserve"> </w:t>
      </w:r>
      <w:proofErr w:type="spellStart"/>
      <w:r w:rsidRPr="006A31E0">
        <w:t>tartışılması</w:t>
      </w:r>
      <w:proofErr w:type="spellEnd"/>
      <w:r w:rsidRPr="006A31E0">
        <w:t xml:space="preserve"> </w:t>
      </w:r>
      <w:proofErr w:type="spellStart"/>
      <w:r w:rsidRPr="006A31E0">
        <w:t>gereken</w:t>
      </w:r>
      <w:proofErr w:type="spellEnd"/>
      <w:r w:rsidRPr="006A31E0">
        <w:t xml:space="preserve"> </w:t>
      </w:r>
      <w:proofErr w:type="spellStart"/>
      <w:r w:rsidRPr="006A31E0">
        <w:t>soru</w:t>
      </w:r>
      <w:proofErr w:type="spellEnd"/>
      <w:r w:rsidRPr="006A31E0">
        <w:t xml:space="preserve"> </w:t>
      </w:r>
      <w:proofErr w:type="spellStart"/>
      <w:r w:rsidRPr="006A31E0">
        <w:t>şudur</w:t>
      </w:r>
      <w:proofErr w:type="spellEnd"/>
      <w:r w:rsidRPr="006A31E0">
        <w:t xml:space="preserve">: </w:t>
      </w:r>
      <w:proofErr w:type="spellStart"/>
      <w:r w:rsidRPr="006A31E0">
        <w:t>Türkiye’de</w:t>
      </w:r>
      <w:proofErr w:type="spellEnd"/>
      <w:r w:rsidRPr="006A31E0">
        <w:t xml:space="preserve"> “Erken </w:t>
      </w:r>
      <w:proofErr w:type="spellStart"/>
      <w:r w:rsidRPr="006A31E0">
        <w:t>Sanayisizleşme</w:t>
      </w:r>
      <w:proofErr w:type="spellEnd"/>
      <w:r w:rsidRPr="006A31E0">
        <w:t xml:space="preserve">” </w:t>
      </w:r>
      <w:proofErr w:type="spellStart"/>
      <w:r w:rsidRPr="006A31E0">
        <w:t>olgusu</w:t>
      </w:r>
      <w:proofErr w:type="spellEnd"/>
      <w:r w:rsidRPr="006A31E0">
        <w:t xml:space="preserve"> son </w:t>
      </w:r>
      <w:proofErr w:type="spellStart"/>
      <w:r w:rsidRPr="006A31E0">
        <w:t>bulup</w:t>
      </w:r>
      <w:proofErr w:type="spellEnd"/>
      <w:r w:rsidRPr="006A31E0">
        <w:t xml:space="preserve"> </w:t>
      </w:r>
      <w:proofErr w:type="spellStart"/>
      <w:r w:rsidRPr="006A31E0">
        <w:t>klasik</w:t>
      </w:r>
      <w:proofErr w:type="spellEnd"/>
      <w:r w:rsidRPr="006A31E0">
        <w:t xml:space="preserve"> </w:t>
      </w:r>
      <w:proofErr w:type="spellStart"/>
      <w:r w:rsidRPr="006A31E0">
        <w:t>sanayileşme</w:t>
      </w:r>
      <w:proofErr w:type="spellEnd"/>
      <w:r w:rsidRPr="006A31E0">
        <w:t xml:space="preserve"> </w:t>
      </w:r>
      <w:proofErr w:type="spellStart"/>
      <w:r w:rsidRPr="006A31E0">
        <w:t>sürecine</w:t>
      </w:r>
      <w:proofErr w:type="spellEnd"/>
      <w:r w:rsidRPr="006A31E0">
        <w:t xml:space="preserve"> </w:t>
      </w:r>
      <w:proofErr w:type="spellStart"/>
      <w:r w:rsidRPr="006A31E0">
        <w:t>dönülmüş</w:t>
      </w:r>
      <w:proofErr w:type="spellEnd"/>
      <w:r w:rsidRPr="006A31E0">
        <w:t xml:space="preserve"> </w:t>
      </w:r>
      <w:proofErr w:type="spellStart"/>
      <w:r w:rsidRPr="006A31E0">
        <w:t>olabilir</w:t>
      </w:r>
      <w:proofErr w:type="spellEnd"/>
      <w:r w:rsidRPr="006A31E0">
        <w:t xml:space="preserve"> mi? </w:t>
      </w:r>
      <w:proofErr w:type="spellStart"/>
      <w:r w:rsidRPr="006A31E0">
        <w:t>Öyle</w:t>
      </w:r>
      <w:proofErr w:type="spellEnd"/>
      <w:r w:rsidRPr="006A31E0">
        <w:t xml:space="preserve"> </w:t>
      </w:r>
      <w:proofErr w:type="spellStart"/>
      <w:r w:rsidRPr="006A31E0">
        <w:t>olsa</w:t>
      </w:r>
      <w:proofErr w:type="spellEnd"/>
      <w:r w:rsidRPr="006A31E0">
        <w:t xml:space="preserve"> da </w:t>
      </w:r>
      <w:proofErr w:type="spellStart"/>
      <w:r w:rsidRPr="006A31E0">
        <w:t>bu</w:t>
      </w:r>
      <w:proofErr w:type="spellEnd"/>
      <w:r w:rsidRPr="006A31E0">
        <w:t xml:space="preserve"> </w:t>
      </w:r>
      <w:proofErr w:type="spellStart"/>
      <w:r w:rsidRPr="006A31E0">
        <w:t>kalıcı</w:t>
      </w:r>
      <w:proofErr w:type="spellEnd"/>
      <w:r w:rsidRPr="006A31E0">
        <w:t xml:space="preserve"> </w:t>
      </w:r>
      <w:proofErr w:type="spellStart"/>
      <w:r w:rsidRPr="006A31E0">
        <w:t>yoksa</w:t>
      </w:r>
      <w:proofErr w:type="spellEnd"/>
      <w:r w:rsidRPr="006A31E0">
        <w:t xml:space="preserve"> </w:t>
      </w:r>
      <w:proofErr w:type="spellStart"/>
      <w:r w:rsidRPr="006A31E0">
        <w:t>geçici</w:t>
      </w:r>
      <w:proofErr w:type="spellEnd"/>
      <w:r w:rsidRPr="006A31E0">
        <w:t xml:space="preserve"> </w:t>
      </w:r>
      <w:proofErr w:type="spellStart"/>
      <w:r w:rsidRPr="006A31E0">
        <w:t>bir</w:t>
      </w:r>
      <w:proofErr w:type="spellEnd"/>
      <w:r w:rsidRPr="006A31E0">
        <w:t xml:space="preserve"> </w:t>
      </w:r>
      <w:proofErr w:type="spellStart"/>
      <w:r w:rsidRPr="006A31E0">
        <w:t>yön</w:t>
      </w:r>
      <w:proofErr w:type="spellEnd"/>
      <w:r w:rsidRPr="006A31E0">
        <w:t xml:space="preserve"> </w:t>
      </w:r>
      <w:proofErr w:type="spellStart"/>
      <w:r w:rsidRPr="006A31E0">
        <w:t>değiştirme</w:t>
      </w:r>
      <w:proofErr w:type="spellEnd"/>
      <w:r w:rsidRPr="006A31E0">
        <w:t xml:space="preserve"> </w:t>
      </w:r>
      <w:proofErr w:type="spellStart"/>
      <w:r w:rsidRPr="006A31E0">
        <w:t>midir</w:t>
      </w:r>
      <w:proofErr w:type="spellEnd"/>
      <w:r w:rsidRPr="006A31E0">
        <w:t xml:space="preserve">? Bu </w:t>
      </w:r>
      <w:proofErr w:type="spellStart"/>
      <w:r w:rsidRPr="006A31E0">
        <w:t>sorulara</w:t>
      </w:r>
      <w:proofErr w:type="spellEnd"/>
      <w:r w:rsidRPr="006A31E0">
        <w:t xml:space="preserve"> </w:t>
      </w:r>
      <w:proofErr w:type="spellStart"/>
      <w:r w:rsidRPr="006A31E0">
        <w:t>yanıt</w:t>
      </w:r>
      <w:proofErr w:type="spellEnd"/>
      <w:r w:rsidRPr="006A31E0">
        <w:t xml:space="preserve"> </w:t>
      </w:r>
      <w:proofErr w:type="spellStart"/>
      <w:r w:rsidRPr="006A31E0">
        <w:t>verebilmek</w:t>
      </w:r>
      <w:proofErr w:type="spellEnd"/>
      <w:r w:rsidRPr="006A31E0">
        <w:t xml:space="preserve"> </w:t>
      </w:r>
      <w:proofErr w:type="spellStart"/>
      <w:r w:rsidRPr="006A31E0">
        <w:t>için</w:t>
      </w:r>
      <w:proofErr w:type="spellEnd"/>
      <w:r w:rsidRPr="006A31E0">
        <w:t xml:space="preserve"> </w:t>
      </w:r>
      <w:proofErr w:type="spellStart"/>
      <w:r w:rsidRPr="006A31E0">
        <w:t>elbette</w:t>
      </w:r>
      <w:proofErr w:type="spellEnd"/>
      <w:r w:rsidRPr="006A31E0">
        <w:t xml:space="preserve"> </w:t>
      </w:r>
      <w:proofErr w:type="spellStart"/>
      <w:r w:rsidRPr="006A31E0">
        <w:t>sanayi</w:t>
      </w:r>
      <w:proofErr w:type="spellEnd"/>
      <w:r w:rsidRPr="006A31E0">
        <w:t xml:space="preserve"> </w:t>
      </w:r>
      <w:proofErr w:type="spellStart"/>
      <w:r w:rsidRPr="006A31E0">
        <w:t>sektörünün</w:t>
      </w:r>
      <w:proofErr w:type="spellEnd"/>
      <w:r w:rsidRPr="006A31E0">
        <w:t xml:space="preserve"> son </w:t>
      </w:r>
      <w:proofErr w:type="spellStart"/>
      <w:r w:rsidRPr="006A31E0">
        <w:t>yıllarını</w:t>
      </w:r>
      <w:proofErr w:type="spellEnd"/>
      <w:r w:rsidRPr="006A31E0">
        <w:t xml:space="preserve"> </w:t>
      </w:r>
      <w:proofErr w:type="spellStart"/>
      <w:r w:rsidRPr="006A31E0">
        <w:t>mercek</w:t>
      </w:r>
      <w:proofErr w:type="spellEnd"/>
      <w:r w:rsidRPr="006A31E0">
        <w:t xml:space="preserve"> </w:t>
      </w:r>
      <w:proofErr w:type="spellStart"/>
      <w:r w:rsidRPr="006A31E0">
        <w:t>altına</w:t>
      </w:r>
      <w:proofErr w:type="spellEnd"/>
      <w:r w:rsidRPr="006A31E0">
        <w:t xml:space="preserve"> </w:t>
      </w:r>
      <w:proofErr w:type="spellStart"/>
      <w:r w:rsidRPr="006A31E0">
        <w:t>alarak</w:t>
      </w:r>
      <w:proofErr w:type="spellEnd"/>
      <w:r w:rsidRPr="006A31E0">
        <w:t xml:space="preserve"> </w:t>
      </w:r>
      <w:proofErr w:type="spellStart"/>
      <w:r w:rsidRPr="006A31E0">
        <w:t>büyüme</w:t>
      </w:r>
      <w:proofErr w:type="spellEnd"/>
      <w:r w:rsidRPr="006A31E0">
        <w:t xml:space="preserve"> </w:t>
      </w:r>
      <w:proofErr w:type="spellStart"/>
      <w:r w:rsidRPr="006A31E0">
        <w:t>ve</w:t>
      </w:r>
      <w:proofErr w:type="spellEnd"/>
      <w:r w:rsidRPr="006A31E0">
        <w:t xml:space="preserve"> </w:t>
      </w:r>
      <w:proofErr w:type="spellStart"/>
      <w:r w:rsidRPr="006A31E0">
        <w:t>istihdam</w:t>
      </w:r>
      <w:proofErr w:type="spellEnd"/>
      <w:r w:rsidRPr="006A31E0">
        <w:t xml:space="preserve"> </w:t>
      </w:r>
      <w:proofErr w:type="spellStart"/>
      <w:r w:rsidRPr="006A31E0">
        <w:t>artışına</w:t>
      </w:r>
      <w:proofErr w:type="spellEnd"/>
      <w:r w:rsidRPr="006A31E0">
        <w:t xml:space="preserve"> </w:t>
      </w:r>
      <w:proofErr w:type="spellStart"/>
      <w:r w:rsidRPr="006A31E0">
        <w:t>yol</w:t>
      </w:r>
      <w:proofErr w:type="spellEnd"/>
      <w:r w:rsidRPr="006A31E0">
        <w:t xml:space="preserve"> </w:t>
      </w:r>
      <w:proofErr w:type="spellStart"/>
      <w:r w:rsidRPr="006A31E0">
        <w:t>açan</w:t>
      </w:r>
      <w:proofErr w:type="spellEnd"/>
      <w:r w:rsidRPr="006A31E0">
        <w:t xml:space="preserve"> </w:t>
      </w:r>
      <w:proofErr w:type="spellStart"/>
      <w:r w:rsidRPr="006A31E0">
        <w:t>etkenleri</w:t>
      </w:r>
      <w:proofErr w:type="spellEnd"/>
      <w:r w:rsidRPr="006A31E0">
        <w:t xml:space="preserve"> </w:t>
      </w:r>
      <w:proofErr w:type="spellStart"/>
      <w:r w:rsidRPr="006A31E0">
        <w:t>araştırmak</w:t>
      </w:r>
      <w:proofErr w:type="spellEnd"/>
      <w:r w:rsidRPr="006A31E0">
        <w:t xml:space="preserve"> </w:t>
      </w:r>
      <w:proofErr w:type="spellStart"/>
      <w:r w:rsidRPr="006A31E0">
        <w:t>gerekiyor</w:t>
      </w:r>
      <w:proofErr w:type="spellEnd"/>
      <w:r w:rsidRPr="006A31E0">
        <w:t xml:space="preserve">.  </w:t>
      </w:r>
      <w:proofErr w:type="spellStart"/>
      <w:r w:rsidRPr="006A31E0">
        <w:t>Şimdilik</w:t>
      </w:r>
      <w:proofErr w:type="spellEnd"/>
      <w:r w:rsidRPr="006A31E0">
        <w:t xml:space="preserve"> </w:t>
      </w:r>
      <w:proofErr w:type="spellStart"/>
      <w:r w:rsidRPr="006A31E0">
        <w:t>görünen</w:t>
      </w:r>
      <w:proofErr w:type="spellEnd"/>
      <w:r w:rsidRPr="006A31E0">
        <w:t xml:space="preserve">, </w:t>
      </w:r>
      <w:proofErr w:type="spellStart"/>
      <w:r w:rsidRPr="006A31E0">
        <w:t>önce</w:t>
      </w:r>
      <w:proofErr w:type="spellEnd"/>
      <w:r w:rsidRPr="006A31E0">
        <w:t xml:space="preserve"> 2018-2020 </w:t>
      </w:r>
      <w:proofErr w:type="spellStart"/>
      <w:r w:rsidRPr="006A31E0">
        <w:t>düşük</w:t>
      </w:r>
      <w:proofErr w:type="spellEnd"/>
      <w:r w:rsidRPr="006A31E0">
        <w:t xml:space="preserve"> </w:t>
      </w:r>
      <w:proofErr w:type="spellStart"/>
      <w:r w:rsidRPr="006A31E0">
        <w:t>büyüme</w:t>
      </w:r>
      <w:proofErr w:type="spellEnd"/>
      <w:r w:rsidRPr="006A31E0">
        <w:t xml:space="preserve"> </w:t>
      </w:r>
      <w:proofErr w:type="spellStart"/>
      <w:r w:rsidRPr="006A31E0">
        <w:t>döneminde</w:t>
      </w:r>
      <w:proofErr w:type="spellEnd"/>
      <w:r w:rsidRPr="006A31E0">
        <w:t xml:space="preserve"> </w:t>
      </w:r>
      <w:proofErr w:type="spellStart"/>
      <w:r w:rsidRPr="006A31E0">
        <w:t>yetersiz</w:t>
      </w:r>
      <w:proofErr w:type="spellEnd"/>
      <w:r w:rsidRPr="006A31E0">
        <w:t xml:space="preserve"> </w:t>
      </w:r>
      <w:proofErr w:type="spellStart"/>
      <w:r w:rsidRPr="006A31E0">
        <w:t>iç</w:t>
      </w:r>
      <w:proofErr w:type="spellEnd"/>
      <w:r w:rsidRPr="006A31E0">
        <w:t xml:space="preserve"> </w:t>
      </w:r>
      <w:proofErr w:type="spellStart"/>
      <w:r w:rsidRPr="006A31E0">
        <w:t>talebin</w:t>
      </w:r>
      <w:proofErr w:type="spellEnd"/>
      <w:r w:rsidRPr="006A31E0">
        <w:t xml:space="preserve"> </w:t>
      </w:r>
      <w:proofErr w:type="spellStart"/>
      <w:r w:rsidRPr="006A31E0">
        <w:t>sanayi</w:t>
      </w:r>
      <w:proofErr w:type="spellEnd"/>
      <w:r w:rsidRPr="006A31E0">
        <w:t xml:space="preserve"> </w:t>
      </w:r>
      <w:proofErr w:type="spellStart"/>
      <w:r w:rsidRPr="006A31E0">
        <w:t>ihracatını</w:t>
      </w:r>
      <w:proofErr w:type="spellEnd"/>
      <w:r w:rsidRPr="006A31E0">
        <w:t xml:space="preserve"> </w:t>
      </w:r>
      <w:proofErr w:type="spellStart"/>
      <w:r w:rsidRPr="006A31E0">
        <w:t>kamçılamış</w:t>
      </w:r>
      <w:proofErr w:type="spellEnd"/>
      <w:r w:rsidRPr="006A31E0">
        <w:t xml:space="preserve"> </w:t>
      </w:r>
      <w:proofErr w:type="spellStart"/>
      <w:r w:rsidRPr="006A31E0">
        <w:t>olması</w:t>
      </w:r>
      <w:proofErr w:type="spellEnd"/>
      <w:r w:rsidRPr="006A31E0">
        <w:t xml:space="preserve"> </w:t>
      </w:r>
      <w:proofErr w:type="spellStart"/>
      <w:r w:rsidRPr="006A31E0">
        <w:t>sonra</w:t>
      </w:r>
      <w:proofErr w:type="spellEnd"/>
      <w:r w:rsidRPr="006A31E0">
        <w:t xml:space="preserve"> da 2021’de </w:t>
      </w:r>
      <w:proofErr w:type="spellStart"/>
      <w:r w:rsidRPr="006A31E0">
        <w:t>TL’nin</w:t>
      </w:r>
      <w:proofErr w:type="spellEnd"/>
      <w:r w:rsidRPr="006A31E0">
        <w:t xml:space="preserve"> </w:t>
      </w:r>
      <w:proofErr w:type="spellStart"/>
      <w:r w:rsidRPr="006A31E0">
        <w:t>büyük</w:t>
      </w:r>
      <w:proofErr w:type="spellEnd"/>
      <w:r w:rsidRPr="006A31E0">
        <w:t xml:space="preserve"> </w:t>
      </w:r>
      <w:proofErr w:type="spellStart"/>
      <w:r w:rsidRPr="006A31E0">
        <w:t>çapta</w:t>
      </w:r>
      <w:proofErr w:type="spellEnd"/>
      <w:r w:rsidRPr="006A31E0">
        <w:t xml:space="preserve"> </w:t>
      </w:r>
      <w:proofErr w:type="spellStart"/>
      <w:r w:rsidRPr="006A31E0">
        <w:t>değer</w:t>
      </w:r>
      <w:proofErr w:type="spellEnd"/>
      <w:r w:rsidRPr="006A31E0">
        <w:t xml:space="preserve"> </w:t>
      </w:r>
      <w:proofErr w:type="spellStart"/>
      <w:r w:rsidRPr="006A31E0">
        <w:t>kaybetmesi</w:t>
      </w:r>
      <w:proofErr w:type="spellEnd"/>
      <w:r w:rsidRPr="006A31E0">
        <w:t xml:space="preserve"> </w:t>
      </w:r>
      <w:proofErr w:type="spellStart"/>
      <w:r w:rsidRPr="006A31E0">
        <w:t>sonucu</w:t>
      </w:r>
      <w:proofErr w:type="spellEnd"/>
      <w:r w:rsidRPr="006A31E0">
        <w:t xml:space="preserve"> </w:t>
      </w:r>
      <w:proofErr w:type="spellStart"/>
      <w:r w:rsidRPr="006A31E0">
        <w:t>elde</w:t>
      </w:r>
      <w:proofErr w:type="spellEnd"/>
      <w:r w:rsidRPr="006A31E0">
        <w:t xml:space="preserve"> </w:t>
      </w:r>
      <w:proofErr w:type="spellStart"/>
      <w:r w:rsidRPr="006A31E0">
        <w:t>edilen</w:t>
      </w:r>
      <w:proofErr w:type="spellEnd"/>
      <w:r w:rsidRPr="006A31E0">
        <w:t xml:space="preserve"> </w:t>
      </w:r>
      <w:proofErr w:type="spellStart"/>
      <w:r w:rsidRPr="006A31E0">
        <w:t>rekabet</w:t>
      </w:r>
      <w:proofErr w:type="spellEnd"/>
      <w:r w:rsidRPr="006A31E0">
        <w:t xml:space="preserve"> </w:t>
      </w:r>
      <w:proofErr w:type="spellStart"/>
      <w:r w:rsidRPr="006A31E0">
        <w:t>gücüyle</w:t>
      </w:r>
      <w:proofErr w:type="spellEnd"/>
      <w:r w:rsidRPr="006A31E0">
        <w:t xml:space="preserve"> </w:t>
      </w:r>
      <w:proofErr w:type="spellStart"/>
      <w:r w:rsidRPr="006A31E0">
        <w:t>ihracatın</w:t>
      </w:r>
      <w:proofErr w:type="spellEnd"/>
      <w:r w:rsidRPr="006A31E0">
        <w:t xml:space="preserve"> </w:t>
      </w:r>
      <w:proofErr w:type="spellStart"/>
      <w:r w:rsidRPr="006A31E0">
        <w:t>ikinci</w:t>
      </w:r>
      <w:proofErr w:type="spellEnd"/>
      <w:r w:rsidRPr="006A31E0">
        <w:t xml:space="preserve"> </w:t>
      </w:r>
      <w:proofErr w:type="spellStart"/>
      <w:r w:rsidRPr="006A31E0">
        <w:t>kez</w:t>
      </w:r>
      <w:proofErr w:type="spellEnd"/>
      <w:r w:rsidRPr="006A31E0">
        <w:t xml:space="preserve"> </w:t>
      </w:r>
      <w:proofErr w:type="spellStart"/>
      <w:r w:rsidRPr="006A31E0">
        <w:t>kamçılanmış</w:t>
      </w:r>
      <w:proofErr w:type="spellEnd"/>
      <w:r w:rsidRPr="006A31E0">
        <w:t xml:space="preserve"> </w:t>
      </w:r>
      <w:proofErr w:type="spellStart"/>
      <w:r w:rsidRPr="006A31E0">
        <w:t>olmasıdır</w:t>
      </w:r>
      <w:proofErr w:type="spellEnd"/>
      <w:r w:rsidRPr="006A31E0">
        <w:t xml:space="preserve">. Bu </w:t>
      </w:r>
      <w:proofErr w:type="spellStart"/>
      <w:r w:rsidRPr="006A31E0">
        <w:t>etkenler</w:t>
      </w:r>
      <w:proofErr w:type="spellEnd"/>
      <w:r w:rsidRPr="006A31E0">
        <w:t xml:space="preserve"> “Erken </w:t>
      </w:r>
      <w:proofErr w:type="spellStart"/>
      <w:r w:rsidRPr="006A31E0">
        <w:t>Sanayisizleşme</w:t>
      </w:r>
      <w:proofErr w:type="spellEnd"/>
      <w:r w:rsidRPr="006A31E0">
        <w:t xml:space="preserve">” </w:t>
      </w:r>
      <w:proofErr w:type="spellStart"/>
      <w:r w:rsidRPr="006A31E0">
        <w:t>olgusunun</w:t>
      </w:r>
      <w:proofErr w:type="spellEnd"/>
      <w:r w:rsidRPr="006A31E0">
        <w:t xml:space="preserve"> </w:t>
      </w:r>
      <w:proofErr w:type="spellStart"/>
      <w:r w:rsidRPr="006A31E0">
        <w:t>sona</w:t>
      </w:r>
      <w:proofErr w:type="spellEnd"/>
      <w:r w:rsidRPr="006A31E0">
        <w:t xml:space="preserve"> </w:t>
      </w:r>
      <w:proofErr w:type="spellStart"/>
      <w:r w:rsidRPr="006A31E0">
        <w:t>erdiğini</w:t>
      </w:r>
      <w:proofErr w:type="spellEnd"/>
      <w:r w:rsidRPr="006A31E0">
        <w:t xml:space="preserve"> </w:t>
      </w:r>
      <w:proofErr w:type="spellStart"/>
      <w:r w:rsidRPr="006A31E0">
        <w:t>iddia</w:t>
      </w:r>
      <w:proofErr w:type="spellEnd"/>
      <w:r w:rsidRPr="006A31E0">
        <w:t xml:space="preserve"> </w:t>
      </w:r>
      <w:proofErr w:type="spellStart"/>
      <w:r w:rsidRPr="006A31E0">
        <w:t>etmek</w:t>
      </w:r>
      <w:proofErr w:type="spellEnd"/>
      <w:r w:rsidRPr="006A31E0">
        <w:t xml:space="preserve"> </w:t>
      </w:r>
      <w:proofErr w:type="spellStart"/>
      <w:r w:rsidRPr="006A31E0">
        <w:t>için</w:t>
      </w:r>
      <w:proofErr w:type="spellEnd"/>
      <w:r w:rsidRPr="006A31E0">
        <w:t xml:space="preserve"> </w:t>
      </w:r>
      <w:proofErr w:type="spellStart"/>
      <w:r w:rsidRPr="006A31E0">
        <w:t>yeterli</w:t>
      </w:r>
      <w:proofErr w:type="spellEnd"/>
      <w:r w:rsidRPr="006A31E0">
        <w:t xml:space="preserve"> </w:t>
      </w:r>
      <w:proofErr w:type="spellStart"/>
      <w:r w:rsidRPr="006A31E0">
        <w:t>değildirler</w:t>
      </w:r>
      <w:proofErr w:type="spellEnd"/>
      <w:r w:rsidRPr="006A31E0">
        <w:t xml:space="preserve">.  </w:t>
      </w:r>
      <w:proofErr w:type="spellStart"/>
      <w:r w:rsidRPr="006A31E0">
        <w:t>Görünen</w:t>
      </w:r>
      <w:proofErr w:type="spellEnd"/>
      <w:r w:rsidRPr="006A31E0">
        <w:t xml:space="preserve"> </w:t>
      </w:r>
      <w:proofErr w:type="spellStart"/>
      <w:r w:rsidRPr="006A31E0">
        <w:t>bir</w:t>
      </w:r>
      <w:proofErr w:type="spellEnd"/>
      <w:r w:rsidRPr="006A31E0">
        <w:t xml:space="preserve"> </w:t>
      </w:r>
      <w:proofErr w:type="spellStart"/>
      <w:r w:rsidRPr="006A31E0">
        <w:t>diğer</w:t>
      </w:r>
      <w:proofErr w:type="spellEnd"/>
      <w:r w:rsidRPr="006A31E0">
        <w:t xml:space="preserve"> </w:t>
      </w:r>
      <w:proofErr w:type="spellStart"/>
      <w:r w:rsidRPr="006A31E0">
        <w:t>olgu</w:t>
      </w:r>
      <w:proofErr w:type="spellEnd"/>
      <w:r w:rsidRPr="006A31E0">
        <w:t xml:space="preserve"> da </w:t>
      </w:r>
      <w:proofErr w:type="spellStart"/>
      <w:r w:rsidRPr="006A31E0">
        <w:t>yukarıda</w:t>
      </w:r>
      <w:proofErr w:type="spellEnd"/>
      <w:r w:rsidRPr="006A31E0">
        <w:t xml:space="preserve"> </w:t>
      </w:r>
      <w:proofErr w:type="spellStart"/>
      <w:r w:rsidRPr="006A31E0">
        <w:t>gösterildiği</w:t>
      </w:r>
      <w:proofErr w:type="spellEnd"/>
      <w:r w:rsidRPr="006A31E0">
        <w:t xml:space="preserve"> </w:t>
      </w:r>
      <w:proofErr w:type="spellStart"/>
      <w:r w:rsidRPr="006A31E0">
        <w:t>gibi</w:t>
      </w:r>
      <w:proofErr w:type="spellEnd"/>
      <w:r w:rsidRPr="006A31E0">
        <w:t xml:space="preserve"> </w:t>
      </w:r>
      <w:proofErr w:type="spellStart"/>
      <w:r w:rsidRPr="006A31E0">
        <w:t>sanayide</w:t>
      </w:r>
      <w:proofErr w:type="spellEnd"/>
      <w:r w:rsidRPr="006A31E0">
        <w:t xml:space="preserve"> </w:t>
      </w:r>
      <w:proofErr w:type="spellStart"/>
      <w:r w:rsidRPr="006A31E0">
        <w:t>büyümenin</w:t>
      </w:r>
      <w:proofErr w:type="spellEnd"/>
      <w:r w:rsidRPr="006A31E0">
        <w:t xml:space="preserve"> </w:t>
      </w:r>
      <w:proofErr w:type="spellStart"/>
      <w:r w:rsidRPr="006A31E0">
        <w:t>istihdam</w:t>
      </w:r>
      <w:proofErr w:type="spellEnd"/>
      <w:r w:rsidRPr="006A31E0">
        <w:t xml:space="preserve"> </w:t>
      </w:r>
      <w:proofErr w:type="spellStart"/>
      <w:r w:rsidRPr="006A31E0">
        <w:t>yaratma</w:t>
      </w:r>
      <w:proofErr w:type="spellEnd"/>
      <w:r w:rsidRPr="006A31E0">
        <w:t xml:space="preserve"> </w:t>
      </w:r>
      <w:proofErr w:type="spellStart"/>
      <w:r w:rsidRPr="006A31E0">
        <w:t>kapasitesinin</w:t>
      </w:r>
      <w:proofErr w:type="spellEnd"/>
      <w:r w:rsidRPr="006A31E0">
        <w:t xml:space="preserve"> </w:t>
      </w:r>
      <w:proofErr w:type="spellStart"/>
      <w:r w:rsidRPr="006A31E0">
        <w:t>düşen</w:t>
      </w:r>
      <w:proofErr w:type="spellEnd"/>
      <w:r w:rsidRPr="006A31E0">
        <w:t xml:space="preserve"> </w:t>
      </w:r>
      <w:proofErr w:type="spellStart"/>
      <w:r w:rsidRPr="006A31E0">
        <w:t>verimlilik</w:t>
      </w:r>
      <w:proofErr w:type="spellEnd"/>
      <w:r w:rsidRPr="006A31E0">
        <w:t xml:space="preserve"> </w:t>
      </w:r>
      <w:proofErr w:type="spellStart"/>
      <w:r w:rsidRPr="006A31E0">
        <w:t>temposu</w:t>
      </w:r>
      <w:proofErr w:type="spellEnd"/>
      <w:r w:rsidRPr="006A31E0">
        <w:t xml:space="preserve"> </w:t>
      </w:r>
      <w:proofErr w:type="spellStart"/>
      <w:r w:rsidRPr="006A31E0">
        <w:t>sonucu</w:t>
      </w:r>
      <w:proofErr w:type="spellEnd"/>
      <w:r w:rsidRPr="006A31E0">
        <w:t xml:space="preserve"> </w:t>
      </w:r>
      <w:proofErr w:type="spellStart"/>
      <w:r w:rsidRPr="006A31E0">
        <w:t>yükselmiş</w:t>
      </w:r>
      <w:proofErr w:type="spellEnd"/>
      <w:r w:rsidRPr="006A31E0">
        <w:t xml:space="preserve"> </w:t>
      </w:r>
      <w:proofErr w:type="spellStart"/>
      <w:r w:rsidRPr="006A31E0">
        <w:t>olmasıdır</w:t>
      </w:r>
      <w:proofErr w:type="spellEnd"/>
      <w:r w:rsidRPr="006A31E0">
        <w:t xml:space="preserve">. Bu </w:t>
      </w:r>
      <w:proofErr w:type="spellStart"/>
      <w:r w:rsidRPr="006A31E0">
        <w:t>etken</w:t>
      </w:r>
      <w:proofErr w:type="spellEnd"/>
      <w:r w:rsidRPr="006A31E0">
        <w:t xml:space="preserve"> de </w:t>
      </w:r>
      <w:proofErr w:type="spellStart"/>
      <w:r w:rsidRPr="006A31E0">
        <w:t>kuşkusuz</w:t>
      </w:r>
      <w:proofErr w:type="spellEnd"/>
      <w:r w:rsidRPr="006A31E0">
        <w:t xml:space="preserve"> </w:t>
      </w:r>
      <w:proofErr w:type="spellStart"/>
      <w:r w:rsidRPr="006A31E0">
        <w:t>hızlı</w:t>
      </w:r>
      <w:proofErr w:type="spellEnd"/>
      <w:r w:rsidRPr="006A31E0">
        <w:t xml:space="preserve"> </w:t>
      </w:r>
      <w:proofErr w:type="spellStart"/>
      <w:r w:rsidRPr="006A31E0">
        <w:t>sanayileşmeyi</w:t>
      </w:r>
      <w:proofErr w:type="spellEnd"/>
      <w:r w:rsidRPr="006A31E0">
        <w:t xml:space="preserve"> </w:t>
      </w:r>
      <w:proofErr w:type="spellStart"/>
      <w:r w:rsidRPr="006A31E0">
        <w:t>uzun</w:t>
      </w:r>
      <w:proofErr w:type="spellEnd"/>
      <w:r w:rsidRPr="006A31E0">
        <w:t xml:space="preserve"> </w:t>
      </w:r>
      <w:proofErr w:type="spellStart"/>
      <w:r w:rsidRPr="006A31E0">
        <w:t>soluklu</w:t>
      </w:r>
      <w:proofErr w:type="spellEnd"/>
      <w:r w:rsidRPr="006A31E0">
        <w:t xml:space="preserve"> </w:t>
      </w:r>
      <w:proofErr w:type="spellStart"/>
      <w:r w:rsidRPr="006A31E0">
        <w:t>kılacak</w:t>
      </w:r>
      <w:proofErr w:type="spellEnd"/>
      <w:r w:rsidRPr="006A31E0">
        <w:t xml:space="preserve"> </w:t>
      </w:r>
      <w:proofErr w:type="spellStart"/>
      <w:r w:rsidRPr="006A31E0">
        <w:t>nitelikte</w:t>
      </w:r>
      <w:proofErr w:type="spellEnd"/>
      <w:r w:rsidRPr="006A31E0">
        <w:t xml:space="preserve"> </w:t>
      </w:r>
      <w:proofErr w:type="spellStart"/>
      <w:r w:rsidRPr="006A31E0">
        <w:t>değildir</w:t>
      </w:r>
      <w:proofErr w:type="spellEnd"/>
      <w:r w:rsidRPr="006A31E0">
        <w:t>.</w:t>
      </w:r>
    </w:p>
    <w:p w14:paraId="04F8EE6C" w14:textId="77777777" w:rsidR="00577D85" w:rsidRDefault="00577D85" w:rsidP="00577D85">
      <w:pPr>
        <w:ind w:left="708"/>
        <w:jc w:val="both"/>
        <w:rPr>
          <w:b/>
          <w:bCs/>
        </w:rPr>
      </w:pPr>
      <w:bookmarkStart w:id="3" w:name="_Hlk117519969"/>
      <w:bookmarkEnd w:id="2"/>
    </w:p>
    <w:p w14:paraId="7E443C55" w14:textId="77777777" w:rsidR="00577D85" w:rsidRDefault="00577D85" w:rsidP="00577D85">
      <w:pPr>
        <w:ind w:left="708"/>
        <w:jc w:val="both"/>
        <w:rPr>
          <w:b/>
          <w:bCs/>
        </w:rPr>
      </w:pPr>
    </w:p>
    <w:p w14:paraId="09EFC37D" w14:textId="40138F31" w:rsidR="00577D85" w:rsidRDefault="00577D85" w:rsidP="00577D85">
      <w:pPr>
        <w:ind w:left="708"/>
        <w:jc w:val="both"/>
        <w:rPr>
          <w:b/>
          <w:bCs/>
        </w:rPr>
      </w:pPr>
    </w:p>
    <w:p w14:paraId="496918CD" w14:textId="5FE94DAF" w:rsidR="005B7FAF" w:rsidRDefault="005B7FAF" w:rsidP="00577D85">
      <w:pPr>
        <w:ind w:left="708"/>
        <w:jc w:val="both"/>
        <w:rPr>
          <w:b/>
          <w:bCs/>
        </w:rPr>
      </w:pPr>
    </w:p>
    <w:p w14:paraId="14560AEB" w14:textId="43ED92C4" w:rsidR="005B7FAF" w:rsidRDefault="005B7FAF" w:rsidP="00577D85">
      <w:pPr>
        <w:ind w:left="708"/>
        <w:jc w:val="both"/>
        <w:rPr>
          <w:b/>
          <w:bCs/>
        </w:rPr>
      </w:pPr>
    </w:p>
    <w:p w14:paraId="0C24484A" w14:textId="66F6059D" w:rsidR="005B7FAF" w:rsidRDefault="005B7FAF" w:rsidP="00577D85">
      <w:pPr>
        <w:ind w:left="708"/>
        <w:jc w:val="both"/>
        <w:rPr>
          <w:b/>
          <w:bCs/>
        </w:rPr>
      </w:pPr>
    </w:p>
    <w:p w14:paraId="074243DC" w14:textId="14321103" w:rsidR="005B7FAF" w:rsidRDefault="005B7FAF" w:rsidP="00577D85">
      <w:pPr>
        <w:ind w:left="708"/>
        <w:jc w:val="both"/>
        <w:rPr>
          <w:b/>
          <w:bCs/>
        </w:rPr>
      </w:pPr>
    </w:p>
    <w:p w14:paraId="5FC35B82" w14:textId="649A65A3" w:rsidR="005B7FAF" w:rsidRDefault="005B7FAF" w:rsidP="00577D85">
      <w:pPr>
        <w:ind w:left="708"/>
        <w:jc w:val="both"/>
        <w:rPr>
          <w:b/>
          <w:bCs/>
        </w:rPr>
      </w:pPr>
    </w:p>
    <w:p w14:paraId="123A0F23" w14:textId="58635AED" w:rsidR="005B7FAF" w:rsidRDefault="005B7FAF" w:rsidP="00577D85">
      <w:pPr>
        <w:ind w:left="708"/>
        <w:jc w:val="both"/>
        <w:rPr>
          <w:b/>
          <w:bCs/>
        </w:rPr>
      </w:pPr>
    </w:p>
    <w:p w14:paraId="76A40C30" w14:textId="0E748254" w:rsidR="005B7FAF" w:rsidRDefault="005B7FAF" w:rsidP="00577D85">
      <w:pPr>
        <w:ind w:left="708"/>
        <w:jc w:val="both"/>
        <w:rPr>
          <w:b/>
          <w:bCs/>
        </w:rPr>
      </w:pPr>
    </w:p>
    <w:p w14:paraId="26B891C8" w14:textId="11BD6127" w:rsidR="005B7FAF" w:rsidRDefault="005B7FAF" w:rsidP="00577D85">
      <w:pPr>
        <w:ind w:left="708"/>
        <w:jc w:val="both"/>
        <w:rPr>
          <w:b/>
          <w:bCs/>
        </w:rPr>
      </w:pPr>
    </w:p>
    <w:p w14:paraId="2944D130" w14:textId="5019E4DF" w:rsidR="005B7FAF" w:rsidRDefault="005B7FAF" w:rsidP="00577D85">
      <w:pPr>
        <w:ind w:left="708"/>
        <w:jc w:val="both"/>
        <w:rPr>
          <w:b/>
          <w:bCs/>
        </w:rPr>
      </w:pPr>
    </w:p>
    <w:p w14:paraId="0C6E0EF7" w14:textId="7540C5EF" w:rsidR="005B7FAF" w:rsidRDefault="005B7FAF" w:rsidP="00577D85">
      <w:pPr>
        <w:ind w:left="708"/>
        <w:jc w:val="both"/>
        <w:rPr>
          <w:b/>
          <w:bCs/>
        </w:rPr>
      </w:pPr>
    </w:p>
    <w:p w14:paraId="50F66878" w14:textId="1812AD2C" w:rsidR="005B7FAF" w:rsidRDefault="005B7FAF" w:rsidP="00577D85">
      <w:pPr>
        <w:ind w:left="708"/>
        <w:jc w:val="both"/>
        <w:rPr>
          <w:b/>
          <w:bCs/>
        </w:rPr>
      </w:pPr>
    </w:p>
    <w:p w14:paraId="1F8A21D7" w14:textId="1140F912" w:rsidR="005B7FAF" w:rsidRDefault="005B7FAF" w:rsidP="00577D85">
      <w:pPr>
        <w:ind w:left="708"/>
        <w:jc w:val="both"/>
        <w:rPr>
          <w:b/>
          <w:bCs/>
        </w:rPr>
      </w:pPr>
    </w:p>
    <w:p w14:paraId="049FD15A" w14:textId="77777777" w:rsidR="005B7FAF" w:rsidRDefault="005B7FAF" w:rsidP="00577D85">
      <w:pPr>
        <w:ind w:left="708"/>
        <w:jc w:val="both"/>
        <w:rPr>
          <w:b/>
          <w:bCs/>
        </w:rPr>
      </w:pPr>
    </w:p>
    <w:p w14:paraId="703B6392" w14:textId="77777777" w:rsidR="00577D85" w:rsidRDefault="00577D85" w:rsidP="00577D85">
      <w:pPr>
        <w:ind w:left="708"/>
        <w:jc w:val="both"/>
        <w:rPr>
          <w:b/>
          <w:bCs/>
        </w:rPr>
      </w:pPr>
    </w:p>
    <w:p w14:paraId="74B218CB" w14:textId="77777777" w:rsidR="00577D85" w:rsidRDefault="00577D85" w:rsidP="00577D85">
      <w:pPr>
        <w:ind w:left="708"/>
        <w:jc w:val="both"/>
        <w:rPr>
          <w:b/>
          <w:bCs/>
        </w:rPr>
      </w:pPr>
    </w:p>
    <w:p w14:paraId="15A3F494" w14:textId="1E7E854B" w:rsidR="006A31E0" w:rsidRPr="00621837" w:rsidRDefault="006A31E0" w:rsidP="00621837">
      <w:pPr>
        <w:jc w:val="both"/>
        <w:rPr>
          <w:b/>
          <w:bCs/>
        </w:rPr>
      </w:pPr>
      <w:r w:rsidRPr="006A31E0">
        <w:rPr>
          <w:b/>
          <w:bCs/>
        </w:rPr>
        <w:lastRenderedPageBreak/>
        <w:t xml:space="preserve">Ek </w:t>
      </w:r>
      <w:proofErr w:type="spellStart"/>
      <w:r w:rsidRPr="006A31E0">
        <w:rPr>
          <w:b/>
          <w:bCs/>
        </w:rPr>
        <w:t>Şekil</w:t>
      </w:r>
      <w:proofErr w:type="spellEnd"/>
      <w:r w:rsidRPr="006A31E0">
        <w:rPr>
          <w:b/>
          <w:bCs/>
        </w:rPr>
        <w:t xml:space="preserve"> 1:</w:t>
      </w:r>
      <w:bookmarkEnd w:id="3"/>
      <w:r w:rsidRPr="006A31E0">
        <w:rPr>
          <w:b/>
          <w:bCs/>
        </w:rPr>
        <w:t xml:space="preserve"> </w:t>
      </w:r>
      <w:proofErr w:type="spellStart"/>
      <w:r w:rsidRPr="006A31E0">
        <w:rPr>
          <w:b/>
          <w:bCs/>
        </w:rPr>
        <w:t>Sektörlerde</w:t>
      </w:r>
      <w:proofErr w:type="spellEnd"/>
      <w:r w:rsidRPr="006A31E0">
        <w:rPr>
          <w:b/>
          <w:bCs/>
        </w:rPr>
        <w:t xml:space="preserve"> </w:t>
      </w:r>
      <w:proofErr w:type="spellStart"/>
      <w:r w:rsidRPr="006A31E0">
        <w:rPr>
          <w:b/>
          <w:bCs/>
        </w:rPr>
        <w:t>katma</w:t>
      </w:r>
      <w:proofErr w:type="spellEnd"/>
      <w:r w:rsidRPr="006A31E0">
        <w:rPr>
          <w:b/>
          <w:bCs/>
        </w:rPr>
        <w:t xml:space="preserve"> </w:t>
      </w:r>
      <w:proofErr w:type="spellStart"/>
      <w:r w:rsidRPr="006A31E0">
        <w:rPr>
          <w:b/>
          <w:bCs/>
        </w:rPr>
        <w:t>değer</w:t>
      </w:r>
      <w:proofErr w:type="spellEnd"/>
      <w:r w:rsidRPr="006A31E0">
        <w:rPr>
          <w:b/>
          <w:bCs/>
        </w:rPr>
        <w:t xml:space="preserve">, </w:t>
      </w:r>
      <w:proofErr w:type="spellStart"/>
      <w:r w:rsidRPr="006A31E0">
        <w:rPr>
          <w:b/>
          <w:bCs/>
        </w:rPr>
        <w:t>istihdam</w:t>
      </w:r>
      <w:proofErr w:type="spellEnd"/>
      <w:r w:rsidRPr="006A31E0">
        <w:rPr>
          <w:b/>
          <w:bCs/>
        </w:rPr>
        <w:t xml:space="preserve"> </w:t>
      </w:r>
      <w:proofErr w:type="spellStart"/>
      <w:r w:rsidRPr="006A31E0">
        <w:rPr>
          <w:b/>
          <w:bCs/>
        </w:rPr>
        <w:t>ve</w:t>
      </w:r>
      <w:proofErr w:type="spellEnd"/>
      <w:r w:rsidRPr="006A31E0">
        <w:rPr>
          <w:b/>
          <w:bCs/>
        </w:rPr>
        <w:t xml:space="preserve"> </w:t>
      </w:r>
      <w:proofErr w:type="spellStart"/>
      <w:r w:rsidRPr="006A31E0">
        <w:rPr>
          <w:b/>
          <w:bCs/>
        </w:rPr>
        <w:t>emek</w:t>
      </w:r>
      <w:proofErr w:type="spellEnd"/>
      <w:r w:rsidRPr="006A31E0">
        <w:rPr>
          <w:b/>
          <w:bCs/>
        </w:rPr>
        <w:t xml:space="preserve"> </w:t>
      </w:r>
      <w:proofErr w:type="spellStart"/>
      <w:r w:rsidRPr="006A31E0">
        <w:rPr>
          <w:b/>
          <w:bCs/>
        </w:rPr>
        <w:t>verimlilik</w:t>
      </w:r>
      <w:proofErr w:type="spellEnd"/>
      <w:r w:rsidRPr="006A31E0">
        <w:rPr>
          <w:b/>
          <w:bCs/>
        </w:rPr>
        <w:t xml:space="preserve"> </w:t>
      </w:r>
      <w:proofErr w:type="spellStart"/>
      <w:r w:rsidRPr="006A31E0">
        <w:rPr>
          <w:b/>
          <w:bCs/>
        </w:rPr>
        <w:t>ortalama</w:t>
      </w:r>
      <w:proofErr w:type="spellEnd"/>
      <w:r w:rsidRPr="006A31E0">
        <w:rPr>
          <w:b/>
          <w:bCs/>
        </w:rPr>
        <w:t xml:space="preserve"> </w:t>
      </w:r>
      <w:proofErr w:type="spellStart"/>
      <w:r w:rsidRPr="006A31E0">
        <w:rPr>
          <w:b/>
          <w:bCs/>
        </w:rPr>
        <w:t>artış</w:t>
      </w:r>
      <w:proofErr w:type="spellEnd"/>
      <w:r w:rsidRPr="006A31E0">
        <w:rPr>
          <w:b/>
          <w:bCs/>
        </w:rPr>
        <w:t xml:space="preserve"> </w:t>
      </w:r>
      <w:proofErr w:type="spellStart"/>
      <w:r w:rsidRPr="006A31E0">
        <w:rPr>
          <w:b/>
          <w:bCs/>
        </w:rPr>
        <w:t>oranları</w:t>
      </w:r>
      <w:proofErr w:type="spellEnd"/>
      <w:r w:rsidRPr="006A31E0">
        <w:rPr>
          <w:b/>
          <w:bCs/>
        </w:rPr>
        <w:t xml:space="preserve"> (</w:t>
      </w:r>
      <w:proofErr w:type="spellStart"/>
      <w:r w:rsidRPr="006A31E0">
        <w:rPr>
          <w:b/>
          <w:bCs/>
        </w:rPr>
        <w:t>Ocak</w:t>
      </w:r>
      <w:proofErr w:type="spellEnd"/>
      <w:r w:rsidRPr="006A31E0">
        <w:rPr>
          <w:b/>
          <w:bCs/>
        </w:rPr>
        <w:t xml:space="preserve"> 2014-Haziran 2018) (%)</w:t>
      </w:r>
    </w:p>
    <w:p w14:paraId="4DEA8F95" w14:textId="77777777" w:rsidR="006A31E0" w:rsidRPr="006A31E0" w:rsidRDefault="006A31E0" w:rsidP="00621837">
      <w:pPr>
        <w:jc w:val="both"/>
      </w:pPr>
      <w:r w:rsidRPr="006A31E0">
        <w:rPr>
          <w:noProof/>
          <w:lang w:val="en-GB" w:eastAsia="en-GB"/>
        </w:rPr>
        <w:drawing>
          <wp:inline distT="0" distB="0" distL="0" distR="0" wp14:anchorId="464A88AF" wp14:editId="346A8288">
            <wp:extent cx="5974358" cy="2545307"/>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7310" cy="2555085"/>
                    </a:xfrm>
                    <a:prstGeom prst="rect">
                      <a:avLst/>
                    </a:prstGeom>
                    <a:noFill/>
                  </pic:spPr>
                </pic:pic>
              </a:graphicData>
            </a:graphic>
          </wp:inline>
        </w:drawing>
      </w:r>
    </w:p>
    <w:p w14:paraId="3A931B59" w14:textId="77777777" w:rsidR="006A31E0" w:rsidRPr="006A31E0" w:rsidRDefault="006A31E0" w:rsidP="006A31E0">
      <w:pPr>
        <w:tabs>
          <w:tab w:val="left" w:pos="4212"/>
        </w:tabs>
        <w:jc w:val="both"/>
        <w:rPr>
          <w:highlight w:val="yellow"/>
        </w:rPr>
      </w:pPr>
    </w:p>
    <w:p w14:paraId="388D0577" w14:textId="77777777" w:rsidR="006A31E0" w:rsidRPr="006A31E0" w:rsidRDefault="006A31E0" w:rsidP="00621837">
      <w:pPr>
        <w:tabs>
          <w:tab w:val="left" w:pos="4212"/>
        </w:tabs>
        <w:jc w:val="both"/>
        <w:rPr>
          <w:b/>
          <w:bCs/>
        </w:rPr>
      </w:pPr>
      <w:r w:rsidRPr="006A31E0">
        <w:rPr>
          <w:b/>
          <w:bCs/>
        </w:rPr>
        <w:t xml:space="preserve">Ek </w:t>
      </w:r>
      <w:proofErr w:type="spellStart"/>
      <w:r w:rsidRPr="006A31E0">
        <w:rPr>
          <w:b/>
          <w:bCs/>
        </w:rPr>
        <w:t>Şekil</w:t>
      </w:r>
      <w:proofErr w:type="spellEnd"/>
      <w:r w:rsidRPr="006A31E0">
        <w:rPr>
          <w:b/>
          <w:bCs/>
        </w:rPr>
        <w:t xml:space="preserve"> 2: Reel </w:t>
      </w:r>
      <w:proofErr w:type="spellStart"/>
      <w:r w:rsidRPr="006A31E0">
        <w:rPr>
          <w:b/>
          <w:bCs/>
        </w:rPr>
        <w:t>Döviz</w:t>
      </w:r>
      <w:proofErr w:type="spellEnd"/>
      <w:r w:rsidRPr="006A31E0">
        <w:rPr>
          <w:b/>
          <w:bCs/>
        </w:rPr>
        <w:t xml:space="preserve"> Kur </w:t>
      </w:r>
      <w:proofErr w:type="spellStart"/>
      <w:r w:rsidRPr="006A31E0">
        <w:rPr>
          <w:b/>
          <w:bCs/>
        </w:rPr>
        <w:t>ve</w:t>
      </w:r>
      <w:proofErr w:type="spellEnd"/>
      <w:r w:rsidRPr="006A31E0">
        <w:rPr>
          <w:b/>
          <w:bCs/>
        </w:rPr>
        <w:t xml:space="preserve"> Reel </w:t>
      </w:r>
      <w:proofErr w:type="spellStart"/>
      <w:r w:rsidRPr="006A31E0">
        <w:rPr>
          <w:b/>
          <w:bCs/>
        </w:rPr>
        <w:t>Ücret</w:t>
      </w:r>
      <w:proofErr w:type="spellEnd"/>
      <w:r w:rsidRPr="006A31E0">
        <w:rPr>
          <w:b/>
          <w:bCs/>
        </w:rPr>
        <w:t xml:space="preserve"> </w:t>
      </w:r>
      <w:proofErr w:type="spellStart"/>
      <w:r w:rsidRPr="006A31E0">
        <w:rPr>
          <w:b/>
          <w:bCs/>
        </w:rPr>
        <w:t>Düzeyleri</w:t>
      </w:r>
      <w:proofErr w:type="spellEnd"/>
    </w:p>
    <w:p w14:paraId="151781CC" w14:textId="77777777" w:rsidR="006A31E0" w:rsidRPr="006A31E0" w:rsidRDefault="006A31E0" w:rsidP="006A31E0">
      <w:pPr>
        <w:ind w:left="708"/>
        <w:jc w:val="both"/>
      </w:pPr>
    </w:p>
    <w:p w14:paraId="41DB213D" w14:textId="77777777" w:rsidR="006A31E0" w:rsidRPr="006A31E0" w:rsidRDefault="006A31E0" w:rsidP="002E4EB2">
      <w:pPr>
        <w:tabs>
          <w:tab w:val="left" w:pos="4212"/>
        </w:tabs>
        <w:jc w:val="both"/>
      </w:pPr>
      <w:r w:rsidRPr="006A31E0">
        <w:rPr>
          <w:noProof/>
          <w:lang w:val="en-GB" w:eastAsia="en-GB"/>
        </w:rPr>
        <w:drawing>
          <wp:inline distT="0" distB="0" distL="0" distR="0" wp14:anchorId="751E76E4" wp14:editId="2CC400B7">
            <wp:extent cx="5982335" cy="3261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0094" cy="3276493"/>
                    </a:xfrm>
                    <a:prstGeom prst="rect">
                      <a:avLst/>
                    </a:prstGeom>
                    <a:noFill/>
                  </pic:spPr>
                </pic:pic>
              </a:graphicData>
            </a:graphic>
          </wp:inline>
        </w:drawing>
      </w:r>
    </w:p>
    <w:p w14:paraId="43646D8E" w14:textId="0E35C1A0" w:rsidR="006A31E0" w:rsidRDefault="006A31E0" w:rsidP="006A31E0">
      <w:pPr>
        <w:tabs>
          <w:tab w:val="left" w:pos="4212"/>
        </w:tabs>
        <w:jc w:val="both"/>
      </w:pPr>
    </w:p>
    <w:p w14:paraId="3F51DBD6" w14:textId="248C8F3F" w:rsidR="00577D85" w:rsidRDefault="00577D85" w:rsidP="006A31E0">
      <w:pPr>
        <w:tabs>
          <w:tab w:val="left" w:pos="4212"/>
        </w:tabs>
        <w:jc w:val="both"/>
      </w:pPr>
    </w:p>
    <w:p w14:paraId="3F602B4B" w14:textId="77777777" w:rsidR="00577D85" w:rsidRPr="006A31E0" w:rsidRDefault="00577D85" w:rsidP="006A31E0">
      <w:pPr>
        <w:tabs>
          <w:tab w:val="left" w:pos="4212"/>
        </w:tabs>
        <w:jc w:val="both"/>
      </w:pPr>
    </w:p>
    <w:p w14:paraId="7ECBC61C" w14:textId="5069A9E4" w:rsidR="006A31E0" w:rsidRDefault="006A31E0" w:rsidP="006A31E0">
      <w:pPr>
        <w:tabs>
          <w:tab w:val="left" w:pos="4212"/>
        </w:tabs>
        <w:ind w:left="708"/>
        <w:jc w:val="both"/>
      </w:pPr>
    </w:p>
    <w:p w14:paraId="6C1C7071" w14:textId="77777777" w:rsidR="002E4EB2" w:rsidRDefault="002E4EB2" w:rsidP="006A31E0">
      <w:pPr>
        <w:tabs>
          <w:tab w:val="left" w:pos="4212"/>
        </w:tabs>
        <w:ind w:left="708"/>
        <w:jc w:val="both"/>
      </w:pPr>
    </w:p>
    <w:p w14:paraId="6A7C2518" w14:textId="34E91020" w:rsidR="006A31E0" w:rsidRPr="006A31E0" w:rsidRDefault="006A31E0" w:rsidP="006A31E0">
      <w:pPr>
        <w:tabs>
          <w:tab w:val="left" w:pos="4212"/>
        </w:tabs>
        <w:ind w:left="708"/>
        <w:jc w:val="both"/>
      </w:pPr>
      <w:r w:rsidRPr="006A31E0">
        <w:rPr>
          <w:noProof/>
          <w:color w:val="FF0000"/>
          <w:lang w:val="en-GB" w:eastAsia="en-GB"/>
        </w:rPr>
        <w:lastRenderedPageBreak/>
        <mc:AlternateContent>
          <mc:Choice Requires="wps">
            <w:drawing>
              <wp:anchor distT="0" distB="0" distL="114300" distR="114300" simplePos="0" relativeHeight="251664384" behindDoc="0" locked="0" layoutInCell="1" allowOverlap="1" wp14:anchorId="765C37EE" wp14:editId="0B673B78">
                <wp:simplePos x="0" y="0"/>
                <wp:positionH relativeFrom="margin">
                  <wp:posOffset>151765</wp:posOffset>
                </wp:positionH>
                <wp:positionV relativeFrom="paragraph">
                  <wp:posOffset>6985</wp:posOffset>
                </wp:positionV>
                <wp:extent cx="5836920" cy="7903845"/>
                <wp:effectExtent l="0" t="0" r="11430" b="20955"/>
                <wp:wrapNone/>
                <wp:docPr id="4" name="Text Box 2"/>
                <wp:cNvGraphicFramePr/>
                <a:graphic xmlns:a="http://schemas.openxmlformats.org/drawingml/2006/main">
                  <a:graphicData uri="http://schemas.microsoft.com/office/word/2010/wordprocessingShape">
                    <wps:wsp>
                      <wps:cNvSpPr txBox="1"/>
                      <wps:spPr>
                        <a:xfrm>
                          <a:off x="0" y="0"/>
                          <a:ext cx="5836920" cy="7903845"/>
                        </a:xfrm>
                        <a:prstGeom prst="rect">
                          <a:avLst/>
                        </a:prstGeom>
                        <a:solidFill>
                          <a:sysClr val="window" lastClr="FFFFFF"/>
                        </a:solidFill>
                        <a:ln w="6350">
                          <a:solidFill>
                            <a:prstClr val="black"/>
                          </a:solidFill>
                        </a:ln>
                      </wps:spPr>
                      <wps:txbx>
                        <w:txbxContent>
                          <w:p w14:paraId="6E7378AA" w14:textId="77777777" w:rsidR="006A31E0" w:rsidRDefault="006A31E0" w:rsidP="006A31E0">
                            <w:pPr>
                              <w:jc w:val="both"/>
                            </w:pPr>
                          </w:p>
                          <w:p w14:paraId="2C9F907F" w14:textId="55D94F5C" w:rsidR="006A31E0" w:rsidRPr="003976F0" w:rsidRDefault="006A31E0" w:rsidP="006A31E0">
                            <w:pPr>
                              <w:rPr>
                                <w:b/>
                                <w:bCs/>
                                <w:i/>
                                <w:iCs/>
                                <w:lang w:val="tr-TR"/>
                              </w:rPr>
                            </w:pPr>
                            <w:r w:rsidRPr="003976F0">
                              <w:rPr>
                                <w:b/>
                                <w:bCs/>
                                <w:i/>
                                <w:iCs/>
                                <w:lang w:val="tr-TR"/>
                              </w:rPr>
                              <w:t>KUTU: İşgücü, İstihdam ve Atıl İşgücü</w:t>
                            </w:r>
                          </w:p>
                          <w:p w14:paraId="73446959" w14:textId="3162C79D" w:rsidR="006A31E0" w:rsidRPr="003976F0" w:rsidRDefault="006A31E0" w:rsidP="006A31E0">
                            <w:pPr>
                              <w:jc w:val="both"/>
                              <w:rPr>
                                <w:lang w:val="tr-TR"/>
                              </w:rPr>
                            </w:pPr>
                            <w:r w:rsidRPr="003976F0">
                              <w:rPr>
                                <w:lang w:val="tr-TR"/>
                              </w:rPr>
                              <w:t>TUİK rakamlarına göre 2009 resesyonunda 7,5 milyon kişi civarında olan “Atıl İşgücü”, 2020 COVİD resesyonu sırasında 9,3 milyona kadar çıktı. COVİD resesyonunda çıkışla birlikte 2022 yılı ortalarında bu rakam 7</w:t>
                            </w:r>
                            <w:r w:rsidR="003976F0">
                              <w:rPr>
                                <w:lang w:val="tr-TR"/>
                              </w:rPr>
                              <w:t>,0</w:t>
                            </w:r>
                            <w:r w:rsidRPr="003976F0">
                              <w:rPr>
                                <w:lang w:val="tr-TR"/>
                              </w:rPr>
                              <w:t xml:space="preserve"> milyon civarında seyrediyor. “Atıl İşgücü” rakamları, Türkiye’nin istihdam yaratma sürecinin siyasi, ekonomik ve sosyal istikrar açısından ne kadar merkezi bir konumda olduğuna işaret ediyor. </w:t>
                            </w:r>
                          </w:p>
                          <w:p w14:paraId="3610EFB7" w14:textId="725C5164" w:rsidR="006A31E0" w:rsidRPr="003976F0" w:rsidRDefault="006A31E0" w:rsidP="006A31E0">
                            <w:pPr>
                              <w:jc w:val="both"/>
                              <w:rPr>
                                <w:lang w:val="tr-TR"/>
                              </w:rPr>
                            </w:pPr>
                            <w:r w:rsidRPr="003976F0">
                              <w:rPr>
                                <w:lang w:val="tr-TR"/>
                              </w:rPr>
                              <w:t>Bu hesaba göre Ağustos 2022 itibariyle “mevsimsellikten arınmış” istihdam 30.967 bin, potansiyel istihdam ise 32.732 bin ve işgücü 34.224 bin kişi, potansiyel işgücü 37.106 bin olunca, istihdam kaybı 2.035 bin kişi (%5,69), efektif işgücü kaybı 3.257 bin kişi (%10,5) ve potansiyel işgücü kaybı ise 6.139 bin kişi (%16</w:t>
                            </w:r>
                            <w:r w:rsidR="003976F0">
                              <w:rPr>
                                <w:lang w:val="tr-TR"/>
                              </w:rPr>
                              <w:t>,</w:t>
                            </w:r>
                            <w:r w:rsidRPr="003976F0">
                              <w:rPr>
                                <w:lang w:val="tr-TR"/>
                              </w:rPr>
                              <w:t>54) olmaktadır. (Şekil 1)</w:t>
                            </w:r>
                          </w:p>
                          <w:p w14:paraId="3481B721" w14:textId="16E4424F" w:rsidR="006A31E0" w:rsidRPr="003976F0" w:rsidRDefault="006A31E0" w:rsidP="00023358">
                            <w:pPr>
                              <w:jc w:val="both"/>
                              <w:rPr>
                                <w:lang w:val="tr-TR"/>
                              </w:rPr>
                            </w:pPr>
                            <w:r w:rsidRPr="003976F0">
                              <w:rPr>
                                <w:lang w:val="tr-TR"/>
                              </w:rPr>
                              <w:t>2018 ve COVİD Resesyonundan istihdamdaki toparlanmadaki gecikmeler ve işgücü artış eğiliminin İstihdamın artış eğiliminin üstünde olması nedeniyle “Atıl İşgücü” nün yüksek düzeyde seyretmesi OVP tarafından da öngörülmektedir.</w:t>
                            </w:r>
                          </w:p>
                          <w:p w14:paraId="1C571D94" w14:textId="4DD0890B" w:rsidR="006A31E0" w:rsidRPr="003976F0" w:rsidRDefault="006A31E0" w:rsidP="006A31E0">
                            <w:pPr>
                              <w:jc w:val="both"/>
                              <w:rPr>
                                <w:b/>
                                <w:bCs/>
                                <w:i/>
                                <w:iCs/>
                                <w:lang w:val="tr-TR"/>
                              </w:rPr>
                            </w:pPr>
                            <w:r w:rsidRPr="003976F0">
                              <w:rPr>
                                <w:b/>
                                <w:bCs/>
                                <w:i/>
                                <w:iCs/>
                                <w:lang w:val="tr-TR"/>
                              </w:rPr>
                              <w:t>Şekil 1: İşsiz ve Atıl İşsiz Sayıları-OVP Tahminleri</w:t>
                            </w:r>
                          </w:p>
                          <w:p w14:paraId="586F58C3" w14:textId="24FF32D8" w:rsidR="006A31E0" w:rsidRDefault="00D55F26" w:rsidP="006A31E0">
                            <w:r w:rsidRPr="00D55F26">
                              <w:rPr>
                                <w:noProof/>
                              </w:rPr>
                              <w:drawing>
                                <wp:inline distT="0" distB="0" distL="0" distR="0" wp14:anchorId="15DA0728" wp14:editId="74670038">
                                  <wp:extent cx="5703570" cy="437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9538" cy="43784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C37EE" id="_x0000_s1028" type="#_x0000_t202" style="position:absolute;left:0;text-align:left;margin-left:11.95pt;margin-top:.55pt;width:459.6pt;height:622.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" fillcolor="window" strokeweight=".5pt">
                <v:textbox>
                  <w:txbxContent>
                    <w:p w14:paraId="6E7378AA" w14:textId="77777777" w:rsidR="006A31E0" w:rsidRDefault="006A31E0" w:rsidP="006A31E0">
                      <w:pPr>
                        <w:jc w:val="both"/>
                      </w:pPr>
                    </w:p>
                    <w:p w14:paraId="2C9F907F" w14:textId="55D94F5C" w:rsidR="006A31E0" w:rsidRPr="003976F0" w:rsidRDefault="006A31E0" w:rsidP="006A31E0">
                      <w:pPr>
                        <w:rPr>
                          <w:b/>
                          <w:bCs/>
                          <w:i/>
                          <w:iCs/>
                          <w:lang w:val="tr-TR"/>
                        </w:rPr>
                      </w:pPr>
                      <w:r w:rsidRPr="003976F0">
                        <w:rPr>
                          <w:b/>
                          <w:bCs/>
                          <w:i/>
                          <w:iCs/>
                          <w:lang w:val="tr-TR"/>
                        </w:rPr>
                        <w:t>KUTU: İşgücü, İstihdam ve Atıl İşgücü</w:t>
                      </w:r>
                    </w:p>
                    <w:p w14:paraId="73446959" w14:textId="3162C79D" w:rsidR="006A31E0" w:rsidRPr="003976F0" w:rsidRDefault="006A31E0" w:rsidP="006A31E0">
                      <w:pPr>
                        <w:jc w:val="both"/>
                        <w:rPr>
                          <w:lang w:val="tr-TR"/>
                        </w:rPr>
                      </w:pPr>
                      <w:r w:rsidRPr="003976F0">
                        <w:rPr>
                          <w:lang w:val="tr-TR"/>
                        </w:rPr>
                        <w:t>TUİK rakamlarına göre 2009 resesyonunda 7,5 milyon kişi civarında olan “Atıl İşgücü”, 2020 COVİD resesyonu sırasında 9,3 milyona kadar çıktı. COVİD resesyonunda çıkışla birlikte 2022 yılı ortalarında bu rakam 7</w:t>
                      </w:r>
                      <w:r w:rsidR="003976F0">
                        <w:rPr>
                          <w:lang w:val="tr-TR"/>
                        </w:rPr>
                        <w:t>,0</w:t>
                      </w:r>
                      <w:r w:rsidRPr="003976F0">
                        <w:rPr>
                          <w:lang w:val="tr-TR"/>
                        </w:rPr>
                        <w:t xml:space="preserve"> milyon civarında seyrediyor. “Atıl İşgücü” rakamları, Türkiye’nin istihdam yaratma sürecinin siyasi, ekonomik ve sosyal istikrar açısından ne kadar merkezi bir konumda olduğuna işaret ediyor. </w:t>
                      </w:r>
                    </w:p>
                    <w:p w14:paraId="3610EFB7" w14:textId="725C5164" w:rsidR="006A31E0" w:rsidRPr="003976F0" w:rsidRDefault="006A31E0" w:rsidP="006A31E0">
                      <w:pPr>
                        <w:jc w:val="both"/>
                        <w:rPr>
                          <w:lang w:val="tr-TR"/>
                        </w:rPr>
                      </w:pPr>
                      <w:r w:rsidRPr="003976F0">
                        <w:rPr>
                          <w:lang w:val="tr-TR"/>
                        </w:rPr>
                        <w:t>Bu hesaba göre Ağustos 2022 itibariyle “mevsimsellikten arınmış” istihdam 30.967 bin, potansiyel istihdam ise 32.732 bin ve işgücü 34.224 bin kişi, potansiyel işgücü 37.106 bin olunca, istihdam kaybı 2.035 bin kişi (%5,69), efektif işgücü kaybı 3.257 bin kişi (%10,5) ve potansiyel işgücü kaybı ise 6.139 bin kişi (%16</w:t>
                      </w:r>
                      <w:r w:rsidR="003976F0">
                        <w:rPr>
                          <w:lang w:val="tr-TR"/>
                        </w:rPr>
                        <w:t>,</w:t>
                      </w:r>
                      <w:r w:rsidRPr="003976F0">
                        <w:rPr>
                          <w:lang w:val="tr-TR"/>
                        </w:rPr>
                        <w:t>54) olmaktadır. (Şekil 1)</w:t>
                      </w:r>
                    </w:p>
                    <w:p w14:paraId="3481B721" w14:textId="16E4424F" w:rsidR="006A31E0" w:rsidRPr="003976F0" w:rsidRDefault="006A31E0" w:rsidP="00023358">
                      <w:pPr>
                        <w:jc w:val="both"/>
                        <w:rPr>
                          <w:lang w:val="tr-TR"/>
                        </w:rPr>
                      </w:pPr>
                      <w:r w:rsidRPr="003976F0">
                        <w:rPr>
                          <w:lang w:val="tr-TR"/>
                        </w:rPr>
                        <w:t>2018 ve COVİD Resesyonundan istihdamdaki toparlanmadaki gecikmeler ve işgücü artış eğiliminin İstihdamın artış eğiliminin üstünde olması nedeniyle “Atıl İşgücü” nün yüksek düzeyde seyretmesi OVP tarafından da öngörülmektedir.</w:t>
                      </w:r>
                    </w:p>
                    <w:p w14:paraId="1C571D94" w14:textId="4DD0890B" w:rsidR="006A31E0" w:rsidRPr="003976F0" w:rsidRDefault="006A31E0" w:rsidP="006A31E0">
                      <w:pPr>
                        <w:jc w:val="both"/>
                        <w:rPr>
                          <w:b/>
                          <w:bCs/>
                          <w:i/>
                          <w:iCs/>
                          <w:lang w:val="tr-TR"/>
                        </w:rPr>
                      </w:pPr>
                      <w:r w:rsidRPr="003976F0">
                        <w:rPr>
                          <w:b/>
                          <w:bCs/>
                          <w:i/>
                          <w:iCs/>
                          <w:lang w:val="tr-TR"/>
                        </w:rPr>
                        <w:t>Şekil 1: İşsiz ve Atıl İşsiz Sayıları-OVP Tahminleri</w:t>
                      </w:r>
                    </w:p>
                    <w:p w14:paraId="586F58C3" w14:textId="24FF32D8" w:rsidR="006A31E0" w:rsidRDefault="00D55F26" w:rsidP="006A31E0">
                      <w:r w:rsidRPr="00D55F26">
                        <w:rPr>
                          <w:noProof/>
                        </w:rPr>
                        <w:drawing>
                          <wp:inline distT="0" distB="0" distL="0" distR="0" wp14:anchorId="15DA0728" wp14:editId="74670038">
                            <wp:extent cx="5703570" cy="437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9538" cy="4378457"/>
                                    </a:xfrm>
                                    <a:prstGeom prst="rect">
                                      <a:avLst/>
                                    </a:prstGeom>
                                    <a:noFill/>
                                    <a:ln>
                                      <a:noFill/>
                                    </a:ln>
                                  </pic:spPr>
                                </pic:pic>
                              </a:graphicData>
                            </a:graphic>
                          </wp:inline>
                        </w:drawing>
                      </w:r>
                    </w:p>
                  </w:txbxContent>
                </v:textbox>
                <w10:wrap anchorx="margin"/>
              </v:shape>
            </w:pict>
          </mc:Fallback>
        </mc:AlternateContent>
      </w:r>
    </w:p>
    <w:p w14:paraId="37A7EC8D" w14:textId="77777777" w:rsidR="006A31E0" w:rsidRPr="006A31E0" w:rsidRDefault="006A31E0" w:rsidP="006A31E0">
      <w:pPr>
        <w:tabs>
          <w:tab w:val="left" w:pos="4212"/>
        </w:tabs>
        <w:ind w:left="708"/>
        <w:jc w:val="both"/>
      </w:pPr>
    </w:p>
    <w:p w14:paraId="402AA71A" w14:textId="77777777" w:rsidR="006A31E0" w:rsidRPr="006A31E0" w:rsidRDefault="006A31E0" w:rsidP="006A31E0">
      <w:pPr>
        <w:tabs>
          <w:tab w:val="left" w:pos="4212"/>
        </w:tabs>
        <w:ind w:left="708"/>
        <w:jc w:val="both"/>
      </w:pPr>
    </w:p>
    <w:p w14:paraId="6B0F7103" w14:textId="77777777" w:rsidR="006A31E0" w:rsidRPr="006A31E0" w:rsidRDefault="006A31E0" w:rsidP="0047026B">
      <w:pPr>
        <w:jc w:val="center"/>
        <w:rPr>
          <w:b/>
          <w:bCs/>
          <w:lang w:val="tr-TR"/>
        </w:rPr>
      </w:pPr>
    </w:p>
    <w:p w14:paraId="74B602F7" w14:textId="77777777" w:rsidR="001F2983" w:rsidRPr="006A31E0" w:rsidRDefault="001F2983" w:rsidP="00330550">
      <w:pPr>
        <w:jc w:val="center"/>
        <w:rPr>
          <w:b/>
          <w:bCs/>
          <w:lang w:val="tr-TR"/>
        </w:rPr>
      </w:pPr>
    </w:p>
    <w:sectPr w:rsidR="001F2983" w:rsidRPr="006A31E0" w:rsidSect="002806A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9781" w14:textId="77777777" w:rsidR="00A62CB1" w:rsidRDefault="00A62CB1" w:rsidP="00CE20AA">
      <w:pPr>
        <w:spacing w:after="0" w:line="240" w:lineRule="auto"/>
      </w:pPr>
      <w:r>
        <w:separator/>
      </w:r>
    </w:p>
  </w:endnote>
  <w:endnote w:type="continuationSeparator" w:id="0">
    <w:p w14:paraId="64E54B08" w14:textId="77777777" w:rsidR="00A62CB1" w:rsidRDefault="00A62CB1" w:rsidP="00CE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148D" w14:textId="77777777" w:rsidR="00230C1A" w:rsidRDefault="0023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5A4C" w14:textId="77777777" w:rsidR="00A62CB1" w:rsidRDefault="00A62CB1" w:rsidP="00CE20AA">
      <w:pPr>
        <w:spacing w:after="0" w:line="240" w:lineRule="auto"/>
      </w:pPr>
      <w:r>
        <w:separator/>
      </w:r>
    </w:p>
  </w:footnote>
  <w:footnote w:type="continuationSeparator" w:id="0">
    <w:p w14:paraId="2C0C909E" w14:textId="77777777" w:rsidR="00A62CB1" w:rsidRDefault="00A62CB1" w:rsidP="00CE20AA">
      <w:pPr>
        <w:spacing w:after="0" w:line="240" w:lineRule="auto"/>
      </w:pPr>
      <w:r>
        <w:continuationSeparator/>
      </w:r>
    </w:p>
  </w:footnote>
  <w:footnote w:id="1">
    <w:p w14:paraId="1CA68D4F" w14:textId="64427A39" w:rsidR="006A31E0" w:rsidRPr="00E414F3" w:rsidRDefault="006A31E0" w:rsidP="006A31E0">
      <w:pPr>
        <w:pStyle w:val="FootnoteText"/>
        <w:jc w:val="both"/>
        <w:rPr>
          <w:sz w:val="18"/>
          <w:szCs w:val="18"/>
        </w:rPr>
      </w:pPr>
      <w:r>
        <w:rPr>
          <w:rStyle w:val="FootnoteReference"/>
        </w:rPr>
        <w:footnoteRef/>
      </w:r>
      <w:r>
        <w:t xml:space="preserve"> </w:t>
      </w:r>
      <w:r w:rsidRPr="00E414F3">
        <w:rPr>
          <w:sz w:val="18"/>
          <w:szCs w:val="18"/>
        </w:rPr>
        <w:t xml:space="preserve">Tükel Araştırma ve Proje Danışmanlığı, Betam </w:t>
      </w:r>
      <w:r w:rsidR="005D322C">
        <w:rPr>
          <w:sz w:val="18"/>
          <w:szCs w:val="18"/>
        </w:rPr>
        <w:t>O</w:t>
      </w:r>
      <w:r w:rsidRPr="00E414F3">
        <w:rPr>
          <w:sz w:val="18"/>
          <w:szCs w:val="18"/>
        </w:rPr>
        <w:t xml:space="preserve">rtak </w:t>
      </w:r>
      <w:r w:rsidR="005D322C">
        <w:rPr>
          <w:sz w:val="18"/>
          <w:szCs w:val="18"/>
        </w:rPr>
        <w:t>A</w:t>
      </w:r>
      <w:r w:rsidRPr="00E414F3">
        <w:rPr>
          <w:sz w:val="18"/>
          <w:szCs w:val="18"/>
        </w:rPr>
        <w:t>raştırmacısı</w:t>
      </w:r>
    </w:p>
    <w:p w14:paraId="3C87C280" w14:textId="77777777" w:rsidR="006A31E0" w:rsidRPr="00B473F1" w:rsidRDefault="006A31E0" w:rsidP="006A31E0">
      <w:pPr>
        <w:pStyle w:val="FootnoteText"/>
        <w:jc w:val="both"/>
      </w:pPr>
    </w:p>
  </w:footnote>
  <w:footnote w:id="2">
    <w:p w14:paraId="69200293" w14:textId="77777777" w:rsidR="006A31E0" w:rsidRPr="00A1686A" w:rsidRDefault="006A31E0" w:rsidP="006A31E0">
      <w:pPr>
        <w:pStyle w:val="FootnoteText"/>
        <w:jc w:val="both"/>
      </w:pPr>
      <w:r>
        <w:rPr>
          <w:rStyle w:val="FootnoteReference"/>
        </w:rPr>
        <w:footnoteRef/>
      </w:r>
      <w:r>
        <w:t xml:space="preserve"> </w:t>
      </w:r>
      <w:r w:rsidRPr="00E414F3">
        <w:rPr>
          <w:sz w:val="18"/>
          <w:szCs w:val="18"/>
        </w:rPr>
        <w:t>Tüm veriler TUİK verileri olup mevsimsellikten X11 programıyla arındırılmıştır. Arındırma sonuç değişkenleri, NSA (Non Seasonnally Adjusted) mevsimsellikten arınmamış, SA (Seasonnally Adjusted) mevsimsellikten arınmış, TC (Trend Cycle) eğilim-devre olarak adlandırılmaktadır.</w:t>
      </w:r>
    </w:p>
  </w:footnote>
  <w:footnote w:id="3">
    <w:p w14:paraId="0C0FB94B" w14:textId="77777777" w:rsidR="006A31E0" w:rsidRPr="00BE63A3" w:rsidRDefault="006A31E0" w:rsidP="006A31E0">
      <w:pPr>
        <w:pStyle w:val="FootnoteText"/>
        <w:jc w:val="both"/>
      </w:pPr>
      <w:r>
        <w:rPr>
          <w:rStyle w:val="FootnoteReference"/>
        </w:rPr>
        <w:footnoteRef/>
      </w:r>
      <w:r>
        <w:t xml:space="preserve"> </w:t>
      </w:r>
      <w:r w:rsidRPr="00E414F3">
        <w:rPr>
          <w:sz w:val="18"/>
          <w:szCs w:val="18"/>
        </w:rPr>
        <w:t>Yüksek konjonktür ve resesyon öncesi dönemi yansıtan Ocak 2014-Haziran 2018 “Exponential” eğilim temel alınarak, değerlendirmeler bu eğilime göre yapılmıştır.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5EE2"/>
    <w:multiLevelType w:val="hybridMultilevel"/>
    <w:tmpl w:val="933009CC"/>
    <w:lvl w:ilvl="0" w:tplc="607842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38012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52"/>
    <w:rsid w:val="00002A98"/>
    <w:rsid w:val="00003E2C"/>
    <w:rsid w:val="00023358"/>
    <w:rsid w:val="00024BEC"/>
    <w:rsid w:val="0003329B"/>
    <w:rsid w:val="0005151D"/>
    <w:rsid w:val="000653E2"/>
    <w:rsid w:val="00066144"/>
    <w:rsid w:val="00071835"/>
    <w:rsid w:val="0007546C"/>
    <w:rsid w:val="000758CD"/>
    <w:rsid w:val="000827C9"/>
    <w:rsid w:val="000843C3"/>
    <w:rsid w:val="00086930"/>
    <w:rsid w:val="000B12F5"/>
    <w:rsid w:val="000B3E91"/>
    <w:rsid w:val="000C20ED"/>
    <w:rsid w:val="000D24F9"/>
    <w:rsid w:val="000E30EF"/>
    <w:rsid w:val="000F1463"/>
    <w:rsid w:val="000F3215"/>
    <w:rsid w:val="001010B1"/>
    <w:rsid w:val="00105135"/>
    <w:rsid w:val="00115795"/>
    <w:rsid w:val="001357F9"/>
    <w:rsid w:val="00157487"/>
    <w:rsid w:val="00161FB4"/>
    <w:rsid w:val="0016445C"/>
    <w:rsid w:val="001646A1"/>
    <w:rsid w:val="00167FAA"/>
    <w:rsid w:val="00186BB4"/>
    <w:rsid w:val="001A0757"/>
    <w:rsid w:val="001B3456"/>
    <w:rsid w:val="001C29D7"/>
    <w:rsid w:val="001D2C0C"/>
    <w:rsid w:val="001F2983"/>
    <w:rsid w:val="001F69E1"/>
    <w:rsid w:val="00230C1A"/>
    <w:rsid w:val="00245B57"/>
    <w:rsid w:val="00247064"/>
    <w:rsid w:val="0025070F"/>
    <w:rsid w:val="00256828"/>
    <w:rsid w:val="002779F2"/>
    <w:rsid w:val="002806AE"/>
    <w:rsid w:val="00280755"/>
    <w:rsid w:val="002812EF"/>
    <w:rsid w:val="00285FCD"/>
    <w:rsid w:val="002868BF"/>
    <w:rsid w:val="002A3E83"/>
    <w:rsid w:val="002C6DE3"/>
    <w:rsid w:val="002C7917"/>
    <w:rsid w:val="002D4758"/>
    <w:rsid w:val="002E4EB2"/>
    <w:rsid w:val="002E6554"/>
    <w:rsid w:val="002F57E4"/>
    <w:rsid w:val="0030085B"/>
    <w:rsid w:val="00330550"/>
    <w:rsid w:val="00335D89"/>
    <w:rsid w:val="003367C4"/>
    <w:rsid w:val="003369DF"/>
    <w:rsid w:val="003425E9"/>
    <w:rsid w:val="00352D81"/>
    <w:rsid w:val="003531A7"/>
    <w:rsid w:val="0038080F"/>
    <w:rsid w:val="003866FB"/>
    <w:rsid w:val="003976F0"/>
    <w:rsid w:val="00397E1F"/>
    <w:rsid w:val="003A77FA"/>
    <w:rsid w:val="003A783F"/>
    <w:rsid w:val="003B72E8"/>
    <w:rsid w:val="003C1796"/>
    <w:rsid w:val="003D07C0"/>
    <w:rsid w:val="003E417F"/>
    <w:rsid w:val="003F5B7A"/>
    <w:rsid w:val="004003D8"/>
    <w:rsid w:val="004037C2"/>
    <w:rsid w:val="0040738D"/>
    <w:rsid w:val="00413693"/>
    <w:rsid w:val="004167C1"/>
    <w:rsid w:val="0042659B"/>
    <w:rsid w:val="004265C6"/>
    <w:rsid w:val="00435D90"/>
    <w:rsid w:val="00456323"/>
    <w:rsid w:val="00456515"/>
    <w:rsid w:val="00464D84"/>
    <w:rsid w:val="00466EA1"/>
    <w:rsid w:val="0047026B"/>
    <w:rsid w:val="00471FE8"/>
    <w:rsid w:val="004739B3"/>
    <w:rsid w:val="00487AA5"/>
    <w:rsid w:val="00496131"/>
    <w:rsid w:val="004968CF"/>
    <w:rsid w:val="004B077C"/>
    <w:rsid w:val="004B59BA"/>
    <w:rsid w:val="004C0B2E"/>
    <w:rsid w:val="004C62F1"/>
    <w:rsid w:val="004D6605"/>
    <w:rsid w:val="004E63EE"/>
    <w:rsid w:val="004F1F04"/>
    <w:rsid w:val="004F7196"/>
    <w:rsid w:val="00507FD5"/>
    <w:rsid w:val="005171C4"/>
    <w:rsid w:val="005207D0"/>
    <w:rsid w:val="00524108"/>
    <w:rsid w:val="00525DCC"/>
    <w:rsid w:val="00550B71"/>
    <w:rsid w:val="00553313"/>
    <w:rsid w:val="00557E41"/>
    <w:rsid w:val="0056213D"/>
    <w:rsid w:val="00563470"/>
    <w:rsid w:val="0057307B"/>
    <w:rsid w:val="00573145"/>
    <w:rsid w:val="00577D85"/>
    <w:rsid w:val="005907EB"/>
    <w:rsid w:val="00593FF0"/>
    <w:rsid w:val="005B7FAF"/>
    <w:rsid w:val="005C1304"/>
    <w:rsid w:val="005C31A8"/>
    <w:rsid w:val="005C7146"/>
    <w:rsid w:val="005D0E0E"/>
    <w:rsid w:val="005D322C"/>
    <w:rsid w:val="005D4B91"/>
    <w:rsid w:val="005D71C6"/>
    <w:rsid w:val="005F3FD0"/>
    <w:rsid w:val="00611FD8"/>
    <w:rsid w:val="00612BBA"/>
    <w:rsid w:val="00621837"/>
    <w:rsid w:val="00622FF0"/>
    <w:rsid w:val="006302FE"/>
    <w:rsid w:val="00642481"/>
    <w:rsid w:val="006440E7"/>
    <w:rsid w:val="006440FA"/>
    <w:rsid w:val="00645F68"/>
    <w:rsid w:val="0065138E"/>
    <w:rsid w:val="0065279D"/>
    <w:rsid w:val="006538F4"/>
    <w:rsid w:val="00661D3D"/>
    <w:rsid w:val="00675316"/>
    <w:rsid w:val="006946AF"/>
    <w:rsid w:val="00695EEA"/>
    <w:rsid w:val="006A31E0"/>
    <w:rsid w:val="006A5C7B"/>
    <w:rsid w:val="006A6EB1"/>
    <w:rsid w:val="006B082B"/>
    <w:rsid w:val="006D363D"/>
    <w:rsid w:val="006D37BC"/>
    <w:rsid w:val="006D53A2"/>
    <w:rsid w:val="006E4A24"/>
    <w:rsid w:val="006E7401"/>
    <w:rsid w:val="006F7AB8"/>
    <w:rsid w:val="00706317"/>
    <w:rsid w:val="00706AD7"/>
    <w:rsid w:val="007203F4"/>
    <w:rsid w:val="007305D8"/>
    <w:rsid w:val="00736F8A"/>
    <w:rsid w:val="007437AD"/>
    <w:rsid w:val="0075063F"/>
    <w:rsid w:val="00753278"/>
    <w:rsid w:val="00757D58"/>
    <w:rsid w:val="00757D5A"/>
    <w:rsid w:val="007663FB"/>
    <w:rsid w:val="0078313E"/>
    <w:rsid w:val="00787B2A"/>
    <w:rsid w:val="00793523"/>
    <w:rsid w:val="007977D3"/>
    <w:rsid w:val="007A45B4"/>
    <w:rsid w:val="007A7C57"/>
    <w:rsid w:val="007B2310"/>
    <w:rsid w:val="007C2892"/>
    <w:rsid w:val="007D286E"/>
    <w:rsid w:val="007E0F38"/>
    <w:rsid w:val="007E7323"/>
    <w:rsid w:val="007F3EAA"/>
    <w:rsid w:val="007F5AB4"/>
    <w:rsid w:val="0080574C"/>
    <w:rsid w:val="008124BE"/>
    <w:rsid w:val="00825CA6"/>
    <w:rsid w:val="00826293"/>
    <w:rsid w:val="0083104F"/>
    <w:rsid w:val="0083448E"/>
    <w:rsid w:val="00840751"/>
    <w:rsid w:val="0085266A"/>
    <w:rsid w:val="00855DE0"/>
    <w:rsid w:val="00890C8F"/>
    <w:rsid w:val="00894C82"/>
    <w:rsid w:val="008A0BA8"/>
    <w:rsid w:val="008C792C"/>
    <w:rsid w:val="008D26AA"/>
    <w:rsid w:val="008D420C"/>
    <w:rsid w:val="008E2E96"/>
    <w:rsid w:val="008E4BE8"/>
    <w:rsid w:val="008E5DF7"/>
    <w:rsid w:val="00903DA5"/>
    <w:rsid w:val="00906434"/>
    <w:rsid w:val="00906F86"/>
    <w:rsid w:val="00914BCC"/>
    <w:rsid w:val="00914E80"/>
    <w:rsid w:val="009362B2"/>
    <w:rsid w:val="00947F79"/>
    <w:rsid w:val="009519D3"/>
    <w:rsid w:val="009520DE"/>
    <w:rsid w:val="00963344"/>
    <w:rsid w:val="00967AE8"/>
    <w:rsid w:val="00984A48"/>
    <w:rsid w:val="00993273"/>
    <w:rsid w:val="009B47D6"/>
    <w:rsid w:val="009D55C1"/>
    <w:rsid w:val="009E0886"/>
    <w:rsid w:val="009E23D1"/>
    <w:rsid w:val="00A01740"/>
    <w:rsid w:val="00A20A2E"/>
    <w:rsid w:val="00A21231"/>
    <w:rsid w:val="00A22C32"/>
    <w:rsid w:val="00A33134"/>
    <w:rsid w:val="00A426FA"/>
    <w:rsid w:val="00A52AD2"/>
    <w:rsid w:val="00A623E7"/>
    <w:rsid w:val="00A62CB1"/>
    <w:rsid w:val="00A6743E"/>
    <w:rsid w:val="00A67475"/>
    <w:rsid w:val="00A707BA"/>
    <w:rsid w:val="00A97557"/>
    <w:rsid w:val="00A977F7"/>
    <w:rsid w:val="00AA019E"/>
    <w:rsid w:val="00AA3843"/>
    <w:rsid w:val="00AA5AFB"/>
    <w:rsid w:val="00AA64D0"/>
    <w:rsid w:val="00AB578A"/>
    <w:rsid w:val="00AB7F90"/>
    <w:rsid w:val="00AE4A6B"/>
    <w:rsid w:val="00B01F7D"/>
    <w:rsid w:val="00B0402E"/>
    <w:rsid w:val="00B12463"/>
    <w:rsid w:val="00B13E59"/>
    <w:rsid w:val="00B16400"/>
    <w:rsid w:val="00B17773"/>
    <w:rsid w:val="00B21E08"/>
    <w:rsid w:val="00B33145"/>
    <w:rsid w:val="00B63DC8"/>
    <w:rsid w:val="00B726BA"/>
    <w:rsid w:val="00B74495"/>
    <w:rsid w:val="00B8515F"/>
    <w:rsid w:val="00B87BB9"/>
    <w:rsid w:val="00B94E15"/>
    <w:rsid w:val="00BA01E2"/>
    <w:rsid w:val="00BB2797"/>
    <w:rsid w:val="00BB7DB5"/>
    <w:rsid w:val="00BC5A75"/>
    <w:rsid w:val="00BE2B4C"/>
    <w:rsid w:val="00BE31B4"/>
    <w:rsid w:val="00C00B11"/>
    <w:rsid w:val="00C24D5D"/>
    <w:rsid w:val="00C25415"/>
    <w:rsid w:val="00C30F95"/>
    <w:rsid w:val="00C353AE"/>
    <w:rsid w:val="00C57D1B"/>
    <w:rsid w:val="00C76F12"/>
    <w:rsid w:val="00C77ADE"/>
    <w:rsid w:val="00C77C25"/>
    <w:rsid w:val="00C808AF"/>
    <w:rsid w:val="00C85252"/>
    <w:rsid w:val="00C92EF8"/>
    <w:rsid w:val="00C97720"/>
    <w:rsid w:val="00CA52E9"/>
    <w:rsid w:val="00CB44C4"/>
    <w:rsid w:val="00CC1E37"/>
    <w:rsid w:val="00CC32A8"/>
    <w:rsid w:val="00CE20AA"/>
    <w:rsid w:val="00CE4DE4"/>
    <w:rsid w:val="00CE5199"/>
    <w:rsid w:val="00CE53EA"/>
    <w:rsid w:val="00CF2E70"/>
    <w:rsid w:val="00D02C98"/>
    <w:rsid w:val="00D02F5C"/>
    <w:rsid w:val="00D06713"/>
    <w:rsid w:val="00D07101"/>
    <w:rsid w:val="00D11E07"/>
    <w:rsid w:val="00D17021"/>
    <w:rsid w:val="00D25316"/>
    <w:rsid w:val="00D365B7"/>
    <w:rsid w:val="00D45696"/>
    <w:rsid w:val="00D4607F"/>
    <w:rsid w:val="00D53D9B"/>
    <w:rsid w:val="00D55F26"/>
    <w:rsid w:val="00D63F39"/>
    <w:rsid w:val="00D657B1"/>
    <w:rsid w:val="00D701DF"/>
    <w:rsid w:val="00DA5AFA"/>
    <w:rsid w:val="00DB1CC4"/>
    <w:rsid w:val="00DB7EB6"/>
    <w:rsid w:val="00E0147A"/>
    <w:rsid w:val="00E02F52"/>
    <w:rsid w:val="00E057F4"/>
    <w:rsid w:val="00E23B17"/>
    <w:rsid w:val="00E32172"/>
    <w:rsid w:val="00E36386"/>
    <w:rsid w:val="00E36DE4"/>
    <w:rsid w:val="00E371D8"/>
    <w:rsid w:val="00E414F3"/>
    <w:rsid w:val="00E43163"/>
    <w:rsid w:val="00E5705D"/>
    <w:rsid w:val="00E607C4"/>
    <w:rsid w:val="00E62E0F"/>
    <w:rsid w:val="00E65EDB"/>
    <w:rsid w:val="00EA511E"/>
    <w:rsid w:val="00EA6282"/>
    <w:rsid w:val="00EB31C3"/>
    <w:rsid w:val="00EB42E3"/>
    <w:rsid w:val="00EC1730"/>
    <w:rsid w:val="00EC540F"/>
    <w:rsid w:val="00ED34FF"/>
    <w:rsid w:val="00EE4012"/>
    <w:rsid w:val="00EF26E2"/>
    <w:rsid w:val="00EF696C"/>
    <w:rsid w:val="00F06FA7"/>
    <w:rsid w:val="00F138F9"/>
    <w:rsid w:val="00F13958"/>
    <w:rsid w:val="00F244DF"/>
    <w:rsid w:val="00F31F6B"/>
    <w:rsid w:val="00F32C54"/>
    <w:rsid w:val="00F35CF4"/>
    <w:rsid w:val="00F667C8"/>
    <w:rsid w:val="00F75CEA"/>
    <w:rsid w:val="00F83016"/>
    <w:rsid w:val="00F85079"/>
    <w:rsid w:val="00F851B9"/>
    <w:rsid w:val="00F95D84"/>
    <w:rsid w:val="00FB01EA"/>
    <w:rsid w:val="00FB629D"/>
    <w:rsid w:val="00FD289B"/>
    <w:rsid w:val="00FE3273"/>
    <w:rsid w:val="00FF37B6"/>
    <w:rsid w:val="00FF55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BE22"/>
  <w15:chartTrackingRefBased/>
  <w15:docId w15:val="{A7FCD36F-713F-49E4-B790-E48698CB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E20AA"/>
    <w:pPr>
      <w:spacing w:after="0" w:line="240" w:lineRule="auto"/>
    </w:pPr>
    <w:rPr>
      <w:sz w:val="20"/>
      <w:szCs w:val="20"/>
    </w:rPr>
  </w:style>
  <w:style w:type="character" w:customStyle="1" w:styleId="FootnoteTextChar">
    <w:name w:val="Footnote Text Char"/>
    <w:basedOn w:val="DefaultParagraphFont"/>
    <w:link w:val="FootnoteText"/>
    <w:uiPriority w:val="99"/>
    <w:rsid w:val="00CE20AA"/>
    <w:rPr>
      <w:sz w:val="20"/>
      <w:szCs w:val="20"/>
    </w:rPr>
  </w:style>
  <w:style w:type="character" w:styleId="FootnoteReference">
    <w:name w:val="footnote reference"/>
    <w:basedOn w:val="DefaultParagraphFont"/>
    <w:uiPriority w:val="99"/>
    <w:unhideWhenUsed/>
    <w:rsid w:val="00CE20AA"/>
    <w:rPr>
      <w:vertAlign w:val="superscript"/>
    </w:rPr>
  </w:style>
  <w:style w:type="paragraph" w:styleId="Caption">
    <w:name w:val="caption"/>
    <w:basedOn w:val="Normal"/>
    <w:next w:val="Normal"/>
    <w:uiPriority w:val="35"/>
    <w:unhideWhenUsed/>
    <w:qFormat/>
    <w:rsid w:val="00AB7F90"/>
    <w:pPr>
      <w:spacing w:after="200" w:line="240" w:lineRule="auto"/>
    </w:pPr>
    <w:rPr>
      <w:i/>
      <w:iCs/>
      <w:color w:val="44546A" w:themeColor="text2"/>
      <w:sz w:val="18"/>
      <w:szCs w:val="18"/>
    </w:rPr>
  </w:style>
  <w:style w:type="character" w:styleId="Hyperlink">
    <w:name w:val="Hyperlink"/>
    <w:basedOn w:val="DefaultParagraphFont"/>
    <w:uiPriority w:val="99"/>
    <w:unhideWhenUsed/>
    <w:rsid w:val="00456515"/>
    <w:rPr>
      <w:color w:val="0563C1" w:themeColor="hyperlink"/>
      <w:u w:val="single"/>
    </w:rPr>
  </w:style>
  <w:style w:type="character" w:customStyle="1" w:styleId="UnresolvedMention1">
    <w:name w:val="Unresolved Mention1"/>
    <w:basedOn w:val="DefaultParagraphFont"/>
    <w:uiPriority w:val="99"/>
    <w:semiHidden/>
    <w:unhideWhenUsed/>
    <w:rsid w:val="00456515"/>
    <w:rPr>
      <w:color w:val="605E5C"/>
      <w:shd w:val="clear" w:color="auto" w:fill="E1DFDD"/>
    </w:rPr>
  </w:style>
  <w:style w:type="paragraph" w:styleId="Header">
    <w:name w:val="header"/>
    <w:basedOn w:val="Normal"/>
    <w:link w:val="HeaderChar"/>
    <w:uiPriority w:val="99"/>
    <w:unhideWhenUsed/>
    <w:rsid w:val="00230C1A"/>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0C1A"/>
  </w:style>
  <w:style w:type="paragraph" w:styleId="Footer">
    <w:name w:val="footer"/>
    <w:basedOn w:val="Normal"/>
    <w:link w:val="FooterChar"/>
    <w:uiPriority w:val="99"/>
    <w:unhideWhenUsed/>
    <w:rsid w:val="00230C1A"/>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0C1A"/>
  </w:style>
  <w:style w:type="paragraph" w:styleId="BodyText">
    <w:name w:val="Body Text"/>
    <w:basedOn w:val="Normal"/>
    <w:link w:val="BodyTextChar"/>
    <w:qFormat/>
    <w:rsid w:val="00186BB4"/>
    <w:pPr>
      <w:spacing w:before="180" w:after="180" w:line="360" w:lineRule="auto"/>
      <w:jc w:val="both"/>
    </w:pPr>
    <w:rPr>
      <w:rFonts w:asciiTheme="majorHAnsi" w:hAnsiTheme="majorHAnsi"/>
      <w:szCs w:val="24"/>
    </w:rPr>
  </w:style>
  <w:style w:type="character" w:customStyle="1" w:styleId="BodyTextChar">
    <w:name w:val="Body Text Char"/>
    <w:basedOn w:val="DefaultParagraphFont"/>
    <w:link w:val="BodyText"/>
    <w:rsid w:val="00186BB4"/>
    <w:rPr>
      <w:rFonts w:asciiTheme="majorHAnsi" w:hAnsiTheme="majorHAnsi"/>
      <w:szCs w:val="24"/>
    </w:rPr>
  </w:style>
  <w:style w:type="table" w:customStyle="1" w:styleId="Table">
    <w:name w:val="Table"/>
    <w:semiHidden/>
    <w:unhideWhenUsed/>
    <w:qFormat/>
    <w:rsid w:val="00186BB4"/>
    <w:pPr>
      <w:spacing w:after="0" w:line="240" w:lineRule="auto"/>
    </w:pPr>
    <w:rPr>
      <w:sz w:val="24"/>
      <w:szCs w:val="24"/>
      <w:lang w:val="tr-TR" w:eastAsia="tr-TR"/>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styleId="TableGrid">
    <w:name w:val="Table Grid"/>
    <w:basedOn w:val="TableNormal"/>
    <w:uiPriority w:val="39"/>
    <w:rsid w:val="0018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6DE4"/>
    <w:rPr>
      <w:sz w:val="16"/>
      <w:szCs w:val="16"/>
    </w:rPr>
  </w:style>
  <w:style w:type="paragraph" w:styleId="CommentText">
    <w:name w:val="annotation text"/>
    <w:basedOn w:val="Normal"/>
    <w:link w:val="CommentTextChar"/>
    <w:uiPriority w:val="99"/>
    <w:semiHidden/>
    <w:unhideWhenUsed/>
    <w:rsid w:val="00E36DE4"/>
    <w:pPr>
      <w:spacing w:line="240" w:lineRule="auto"/>
    </w:pPr>
    <w:rPr>
      <w:sz w:val="20"/>
      <w:szCs w:val="20"/>
    </w:rPr>
  </w:style>
  <w:style w:type="character" w:customStyle="1" w:styleId="CommentTextChar">
    <w:name w:val="Comment Text Char"/>
    <w:basedOn w:val="DefaultParagraphFont"/>
    <w:link w:val="CommentText"/>
    <w:uiPriority w:val="99"/>
    <w:semiHidden/>
    <w:rsid w:val="00E36DE4"/>
    <w:rPr>
      <w:sz w:val="20"/>
      <w:szCs w:val="20"/>
    </w:rPr>
  </w:style>
  <w:style w:type="paragraph" w:styleId="CommentSubject">
    <w:name w:val="annotation subject"/>
    <w:basedOn w:val="CommentText"/>
    <w:next w:val="CommentText"/>
    <w:link w:val="CommentSubjectChar"/>
    <w:uiPriority w:val="99"/>
    <w:semiHidden/>
    <w:unhideWhenUsed/>
    <w:rsid w:val="00E36DE4"/>
    <w:rPr>
      <w:b/>
      <w:bCs/>
    </w:rPr>
  </w:style>
  <w:style w:type="character" w:customStyle="1" w:styleId="CommentSubjectChar">
    <w:name w:val="Comment Subject Char"/>
    <w:basedOn w:val="CommentTextChar"/>
    <w:link w:val="CommentSubject"/>
    <w:uiPriority w:val="99"/>
    <w:semiHidden/>
    <w:rsid w:val="00E36DE4"/>
    <w:rPr>
      <w:b/>
      <w:bCs/>
      <w:sz w:val="20"/>
      <w:szCs w:val="20"/>
    </w:rPr>
  </w:style>
  <w:style w:type="paragraph" w:styleId="ListParagraph">
    <w:name w:val="List Paragraph"/>
    <w:basedOn w:val="Normal"/>
    <w:uiPriority w:val="34"/>
    <w:qFormat/>
    <w:rsid w:val="006A31E0"/>
    <w:pPr>
      <w:spacing w:after="0" w:line="240" w:lineRule="auto"/>
      <w:ind w:left="720"/>
      <w:contextualSpacing/>
    </w:pPr>
    <w:rPr>
      <w:rFonts w:ascii="Calibri" w:hAnsi="Calibri" w:cs="Calibr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22707">
      <w:bodyDiv w:val="1"/>
      <w:marLeft w:val="0"/>
      <w:marRight w:val="0"/>
      <w:marTop w:val="0"/>
      <w:marBottom w:val="0"/>
      <w:divBdr>
        <w:top w:val="none" w:sz="0" w:space="0" w:color="auto"/>
        <w:left w:val="none" w:sz="0" w:space="0" w:color="auto"/>
        <w:bottom w:val="none" w:sz="0" w:space="0" w:color="auto"/>
        <w:right w:val="none" w:sz="0" w:space="0" w:color="auto"/>
      </w:divBdr>
    </w:div>
    <w:div w:id="21135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B958-79F0-41B2-94FF-E09355C8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2735</Words>
  <Characters>15590</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Sahin GUNES</dc:creator>
  <cp:keywords/>
  <dc:description/>
  <cp:lastModifiedBy>Haluk Tükel</cp:lastModifiedBy>
  <cp:revision>6</cp:revision>
  <cp:lastPrinted>2022-10-12T07:29:00Z</cp:lastPrinted>
  <dcterms:created xsi:type="dcterms:W3CDTF">2022-10-28T18:50:00Z</dcterms:created>
  <dcterms:modified xsi:type="dcterms:W3CDTF">2022-10-29T03:58:00Z</dcterms:modified>
</cp:coreProperties>
</file>