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DD1B7D" w14:textId="236BDB19" w:rsidR="00917330" w:rsidRPr="006679E6" w:rsidRDefault="00917330">
      <w:pPr>
        <w:rPr>
          <w:rFonts w:ascii="Palatino Linotype" w:hAnsi="Palatino Linotype" w:cstheme="minorHAnsi"/>
          <w:lang w:val="en-US"/>
        </w:rPr>
      </w:pPr>
    </w:p>
    <w:p w14:paraId="4E745BEF" w14:textId="6DA5E1DA" w:rsidR="00D07713" w:rsidRPr="006679E6" w:rsidRDefault="00062A8A">
      <w:pPr>
        <w:rPr>
          <w:rFonts w:ascii="Palatino Linotype" w:hAnsi="Palatino Linotype" w:cstheme="minorHAnsi"/>
          <w:lang w:val="en-US"/>
        </w:rPr>
      </w:pPr>
      <w:r w:rsidRPr="006679E6">
        <w:rPr>
          <w:rFonts w:ascii="Palatino Linotype" w:hAnsi="Palatino Linotype" w:cstheme="minorHAnsi"/>
          <w:noProof/>
          <w:lang w:val="en-GB" w:eastAsia="en-GB"/>
        </w:rPr>
        <mc:AlternateContent>
          <mc:Choice Requires="wps">
            <w:drawing>
              <wp:anchor distT="0" distB="0" distL="114935" distR="114935" simplePos="0" relativeHeight="251659264" behindDoc="0" locked="0" layoutInCell="1" allowOverlap="1" wp14:anchorId="3C0B86FB" wp14:editId="5F6FCC95">
                <wp:simplePos x="0" y="0"/>
                <wp:positionH relativeFrom="column">
                  <wp:posOffset>5086335</wp:posOffset>
                </wp:positionH>
                <wp:positionV relativeFrom="paragraph">
                  <wp:posOffset>53414</wp:posOffset>
                </wp:positionV>
                <wp:extent cx="1525713" cy="4191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5713" cy="4191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0CFDC6" w14:textId="72594FC2" w:rsidR="00D07713" w:rsidRPr="006679E6" w:rsidRDefault="00BE013E" w:rsidP="00D07713">
                            <w:pPr>
                              <w:pStyle w:val="Heading3"/>
                              <w:keepLines w:val="0"/>
                              <w:tabs>
                                <w:tab w:val="num" w:pos="720"/>
                              </w:tabs>
                              <w:suppressAutoHyphens/>
                              <w:spacing w:before="240" w:after="60"/>
                              <w:ind w:left="720" w:hanging="720"/>
                              <w:rPr>
                                <w:rFonts w:ascii="Arial" w:eastAsia="Times New Roman" w:hAnsi="Arial" w:cs="Arial"/>
                                <w:b/>
                                <w:bCs/>
                                <w:color w:val="FFFFFF"/>
                                <w:sz w:val="22"/>
                                <w:szCs w:val="22"/>
                                <w:lang w:val="en-US" w:eastAsia="ar-SA"/>
                              </w:rPr>
                            </w:pPr>
                            <w:r>
                              <w:rPr>
                                <w:rFonts w:ascii="Arial" w:eastAsia="Times New Roman" w:hAnsi="Arial" w:cs="Arial"/>
                                <w:b/>
                                <w:bCs/>
                                <w:color w:val="FFFFFF"/>
                                <w:sz w:val="22"/>
                                <w:szCs w:val="22"/>
                                <w:lang w:val="en-US" w:eastAsia="ar-SA"/>
                              </w:rPr>
                              <w:t>2</w:t>
                            </w:r>
                            <w:r w:rsidR="00905810">
                              <w:rPr>
                                <w:rFonts w:ascii="Arial" w:eastAsia="Times New Roman" w:hAnsi="Arial" w:cs="Arial"/>
                                <w:b/>
                                <w:bCs/>
                                <w:color w:val="FFFFFF"/>
                                <w:sz w:val="22"/>
                                <w:szCs w:val="22"/>
                                <w:lang w:val="en-US" w:eastAsia="ar-SA"/>
                              </w:rPr>
                              <w:t>6</w:t>
                            </w:r>
                            <w:r w:rsidR="006F0FC6" w:rsidRPr="006679E6">
                              <w:rPr>
                                <w:rFonts w:ascii="Arial" w:eastAsia="Times New Roman" w:hAnsi="Arial" w:cs="Arial"/>
                                <w:b/>
                                <w:bCs/>
                                <w:color w:val="FFFFFF"/>
                                <w:sz w:val="22"/>
                                <w:szCs w:val="22"/>
                                <w:lang w:val="en-US" w:eastAsia="ar-SA"/>
                              </w:rPr>
                              <w:t xml:space="preserve"> </w:t>
                            </w:r>
                            <w:r>
                              <w:rPr>
                                <w:rFonts w:ascii="Arial" w:eastAsia="Times New Roman" w:hAnsi="Arial" w:cs="Arial"/>
                                <w:b/>
                                <w:bCs/>
                                <w:color w:val="FFFFFF"/>
                                <w:sz w:val="22"/>
                                <w:szCs w:val="22"/>
                                <w:lang w:val="en-US" w:eastAsia="ar-SA"/>
                              </w:rPr>
                              <w:t>09</w:t>
                            </w:r>
                            <w:r w:rsidR="00E37C95" w:rsidRPr="006679E6">
                              <w:rPr>
                                <w:rFonts w:ascii="Arial" w:eastAsia="Times New Roman" w:hAnsi="Arial" w:cs="Arial"/>
                                <w:b/>
                                <w:bCs/>
                                <w:color w:val="FFFFFF"/>
                                <w:sz w:val="22"/>
                                <w:szCs w:val="22"/>
                                <w:lang w:val="en-US" w:eastAsia="ar-SA"/>
                              </w:rPr>
                              <w:t xml:space="preserve"> 202</w:t>
                            </w:r>
                            <w:r>
                              <w:rPr>
                                <w:rFonts w:ascii="Arial" w:eastAsia="Times New Roman" w:hAnsi="Arial" w:cs="Arial"/>
                                <w:b/>
                                <w:bCs/>
                                <w:color w:val="FFFFFF"/>
                                <w:sz w:val="22"/>
                                <w:szCs w:val="22"/>
                                <w:lang w:val="en-US" w:eastAsia="ar-SA"/>
                              </w:rPr>
                              <w:t>2</w:t>
                            </w:r>
                          </w:p>
                          <w:p w14:paraId="1C706E2C" w14:textId="77777777" w:rsidR="00D07713" w:rsidRPr="00187FA0" w:rsidRDefault="00D07713" w:rsidP="00D0771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0B86FB" id="_x0000_t202" coordsize="21600,21600" o:spt="202" path="m,l,21600r21600,l21600,xe">
                <v:stroke joinstyle="miter"/>
                <v:path gradientshapeok="t" o:connecttype="rect"/>
              </v:shapetype>
              <v:shape id="Text Box 3" o:spid="_x0000_s1026" type="#_x0000_t202" style="position:absolute;margin-left:400.5pt;margin-top:4.2pt;width:120.15pt;height:33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" stroked="f">
                <v:fill opacity="0"/>
                <v:textbox inset="0,0,0,0">
                  <w:txbxContent>
                    <w:p w14:paraId="5B0CFDC6" w14:textId="72594FC2" w:rsidR="00D07713" w:rsidRPr="006679E6" w:rsidRDefault="00BE013E" w:rsidP="00D07713">
                      <w:pPr>
                        <w:pStyle w:val="Heading3"/>
                        <w:keepLines w:val="0"/>
                        <w:tabs>
                          <w:tab w:val="num" w:pos="720"/>
                        </w:tabs>
                        <w:suppressAutoHyphens/>
                        <w:spacing w:before="240" w:after="60"/>
                        <w:ind w:left="720" w:hanging="720"/>
                        <w:rPr>
                          <w:rFonts w:ascii="Arial" w:eastAsia="Times New Roman" w:hAnsi="Arial" w:cs="Arial"/>
                          <w:b/>
                          <w:bCs/>
                          <w:color w:val="FFFFFF"/>
                          <w:sz w:val="22"/>
                          <w:szCs w:val="22"/>
                          <w:lang w:val="en-US" w:eastAsia="ar-SA"/>
                        </w:rPr>
                      </w:pPr>
                      <w:r>
                        <w:rPr>
                          <w:rFonts w:ascii="Arial" w:eastAsia="Times New Roman" w:hAnsi="Arial" w:cs="Arial"/>
                          <w:b/>
                          <w:bCs/>
                          <w:color w:val="FFFFFF"/>
                          <w:sz w:val="22"/>
                          <w:szCs w:val="22"/>
                          <w:lang w:val="en-US" w:eastAsia="ar-SA"/>
                        </w:rPr>
                        <w:t>2</w:t>
                      </w:r>
                      <w:r w:rsidR="00905810">
                        <w:rPr>
                          <w:rFonts w:ascii="Arial" w:eastAsia="Times New Roman" w:hAnsi="Arial" w:cs="Arial"/>
                          <w:b/>
                          <w:bCs/>
                          <w:color w:val="FFFFFF"/>
                          <w:sz w:val="22"/>
                          <w:szCs w:val="22"/>
                          <w:lang w:val="en-US" w:eastAsia="ar-SA"/>
                        </w:rPr>
                        <w:t>6</w:t>
                      </w:r>
                      <w:r w:rsidR="006F0FC6" w:rsidRPr="006679E6">
                        <w:rPr>
                          <w:rFonts w:ascii="Arial" w:eastAsia="Times New Roman" w:hAnsi="Arial" w:cs="Arial"/>
                          <w:b/>
                          <w:bCs/>
                          <w:color w:val="FFFFFF"/>
                          <w:sz w:val="22"/>
                          <w:szCs w:val="22"/>
                          <w:lang w:val="en-US" w:eastAsia="ar-SA"/>
                        </w:rPr>
                        <w:t xml:space="preserve"> </w:t>
                      </w:r>
                      <w:r>
                        <w:rPr>
                          <w:rFonts w:ascii="Arial" w:eastAsia="Times New Roman" w:hAnsi="Arial" w:cs="Arial"/>
                          <w:b/>
                          <w:bCs/>
                          <w:color w:val="FFFFFF"/>
                          <w:sz w:val="22"/>
                          <w:szCs w:val="22"/>
                          <w:lang w:val="en-US" w:eastAsia="ar-SA"/>
                        </w:rPr>
                        <w:t>09</w:t>
                      </w:r>
                      <w:r w:rsidR="00E37C95" w:rsidRPr="006679E6">
                        <w:rPr>
                          <w:rFonts w:ascii="Arial" w:eastAsia="Times New Roman" w:hAnsi="Arial" w:cs="Arial"/>
                          <w:b/>
                          <w:bCs/>
                          <w:color w:val="FFFFFF"/>
                          <w:sz w:val="22"/>
                          <w:szCs w:val="22"/>
                          <w:lang w:val="en-US" w:eastAsia="ar-SA"/>
                        </w:rPr>
                        <w:t xml:space="preserve"> 202</w:t>
                      </w:r>
                      <w:r>
                        <w:rPr>
                          <w:rFonts w:ascii="Arial" w:eastAsia="Times New Roman" w:hAnsi="Arial" w:cs="Arial"/>
                          <w:b/>
                          <w:bCs/>
                          <w:color w:val="FFFFFF"/>
                          <w:sz w:val="22"/>
                          <w:szCs w:val="22"/>
                          <w:lang w:val="en-US" w:eastAsia="ar-SA"/>
                        </w:rPr>
                        <w:t>2</w:t>
                      </w:r>
                    </w:p>
                    <w:p w14:paraId="1C706E2C" w14:textId="77777777" w:rsidR="00D07713" w:rsidRPr="00187FA0" w:rsidRDefault="00D07713" w:rsidP="00D07713"/>
                  </w:txbxContent>
                </v:textbox>
              </v:shape>
            </w:pict>
          </mc:Fallback>
        </mc:AlternateContent>
      </w:r>
      <w:r w:rsidR="007F39BB" w:rsidRPr="006679E6">
        <w:rPr>
          <w:rFonts w:ascii="Palatino Linotype" w:hAnsi="Palatino Linotype" w:cstheme="minorHAnsi"/>
          <w:noProof/>
          <w:lang w:val="en-GB" w:eastAsia="en-GB"/>
        </w:rPr>
        <mc:AlternateContent>
          <mc:Choice Requires="wps">
            <w:drawing>
              <wp:anchor distT="0" distB="0" distL="114935" distR="114935" simplePos="0" relativeHeight="251657216" behindDoc="0" locked="0" layoutInCell="1" allowOverlap="1" wp14:anchorId="1A71AF94" wp14:editId="16698A46">
                <wp:simplePos x="0" y="0"/>
                <wp:positionH relativeFrom="column">
                  <wp:posOffset>1367155</wp:posOffset>
                </wp:positionH>
                <wp:positionV relativeFrom="paragraph">
                  <wp:posOffset>-709295</wp:posOffset>
                </wp:positionV>
                <wp:extent cx="3819525" cy="64770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647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AAA76D" w14:textId="2C77852A" w:rsidR="00D07713" w:rsidRPr="006679E6" w:rsidRDefault="006679E6" w:rsidP="00D07713">
                            <w:pPr>
                              <w:pStyle w:val="Heading1"/>
                              <w:rPr>
                                <w:rFonts w:ascii="Times New Roman" w:hAnsi="Times New Roman" w:cs="Times New Roman"/>
                                <w:sz w:val="40"/>
                                <w:szCs w:val="40"/>
                                <w:lang w:val="en-US"/>
                              </w:rPr>
                            </w:pPr>
                            <w:r w:rsidRPr="006679E6">
                              <w:rPr>
                                <w:rFonts w:ascii="Times New Roman" w:hAnsi="Times New Roman" w:cs="Times New Roman"/>
                                <w:sz w:val="40"/>
                                <w:szCs w:val="40"/>
                                <w:lang w:val="en-US"/>
                              </w:rPr>
                              <w:t>Growth Evaluation</w:t>
                            </w:r>
                            <w:r w:rsidR="00125770" w:rsidRPr="006679E6">
                              <w:rPr>
                                <w:rFonts w:ascii="Times New Roman" w:hAnsi="Times New Roman" w:cs="Times New Roman"/>
                                <w:sz w:val="40"/>
                                <w:szCs w:val="40"/>
                                <w:lang w:val="en-US"/>
                              </w:rPr>
                              <w:t>:</w:t>
                            </w:r>
                          </w:p>
                          <w:p w14:paraId="28E5CBD4" w14:textId="13FCA0BB" w:rsidR="00D07713" w:rsidRPr="006679E6" w:rsidRDefault="001537D8" w:rsidP="00D07713">
                            <w:pPr>
                              <w:pStyle w:val="Heading1"/>
                              <w:rPr>
                                <w:b w:val="0"/>
                                <w:bCs w:val="0"/>
                                <w:i/>
                                <w:iCs/>
                                <w:lang w:val="en-US"/>
                              </w:rPr>
                            </w:pPr>
                            <w:r w:rsidRPr="006679E6">
                              <w:rPr>
                                <w:rFonts w:ascii="Times New Roman" w:hAnsi="Times New Roman" w:cs="Times New Roman"/>
                                <w:sz w:val="40"/>
                                <w:szCs w:val="40"/>
                                <w:lang w:val="en-US"/>
                              </w:rPr>
                              <w:t>20</w:t>
                            </w:r>
                            <w:r w:rsidR="00BB0912" w:rsidRPr="006679E6">
                              <w:rPr>
                                <w:rFonts w:ascii="Times New Roman" w:hAnsi="Times New Roman" w:cs="Times New Roman"/>
                                <w:sz w:val="40"/>
                                <w:szCs w:val="40"/>
                                <w:lang w:val="en-US"/>
                              </w:rPr>
                              <w:t>2</w:t>
                            </w:r>
                            <w:r w:rsidR="001D7863">
                              <w:rPr>
                                <w:rFonts w:ascii="Times New Roman" w:hAnsi="Times New Roman" w:cs="Times New Roman"/>
                                <w:sz w:val="40"/>
                                <w:szCs w:val="40"/>
                                <w:lang w:val="en-US"/>
                              </w:rPr>
                              <w:t>2</w:t>
                            </w:r>
                            <w:r w:rsidRPr="006679E6">
                              <w:rPr>
                                <w:rFonts w:ascii="Times New Roman" w:hAnsi="Times New Roman" w:cs="Times New Roman"/>
                                <w:sz w:val="40"/>
                                <w:szCs w:val="40"/>
                                <w:lang w:val="en-US"/>
                              </w:rPr>
                              <w:t xml:space="preserve"> </w:t>
                            </w:r>
                            <w:r w:rsidR="00BE013E">
                              <w:rPr>
                                <w:rFonts w:ascii="Times New Roman" w:hAnsi="Times New Roman" w:cs="Times New Roman"/>
                                <w:sz w:val="40"/>
                                <w:szCs w:val="40"/>
                                <w:lang w:val="en-US"/>
                              </w:rPr>
                              <w:t>2</w:t>
                            </w:r>
                            <w:r w:rsidR="00BE013E">
                              <w:rPr>
                                <w:rFonts w:ascii="Times New Roman" w:hAnsi="Times New Roman" w:cs="Times New Roman"/>
                                <w:sz w:val="40"/>
                                <w:szCs w:val="40"/>
                                <w:vertAlign w:val="superscript"/>
                                <w:lang w:val="en-US"/>
                              </w:rPr>
                              <w:t>nd</w:t>
                            </w:r>
                            <w:r w:rsidR="006679E6">
                              <w:rPr>
                                <w:rFonts w:ascii="Times New Roman" w:hAnsi="Times New Roman" w:cs="Times New Roman"/>
                                <w:sz w:val="40"/>
                                <w:szCs w:val="40"/>
                                <w:lang w:val="en-US"/>
                              </w:rPr>
                              <w:t xml:space="preserve"> Quarter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71AF94" id="Text Box 2" o:spid="_x0000_s1027" type="#_x0000_t202" style="position:absolute;margin-left:107.65pt;margin-top:-55.85pt;width:300.75pt;height:51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" stroked="f">
                <v:fill opacity="0"/>
                <v:textbox inset="0,0,0,0">
                  <w:txbxContent>
                    <w:p w14:paraId="37AAA76D" w14:textId="2C77852A" w:rsidR="00D07713" w:rsidRPr="006679E6" w:rsidRDefault="006679E6" w:rsidP="00D07713">
                      <w:pPr>
                        <w:pStyle w:val="Heading1"/>
                        <w:rPr>
                          <w:rFonts w:ascii="Times New Roman" w:hAnsi="Times New Roman" w:cs="Times New Roman"/>
                          <w:sz w:val="40"/>
                          <w:szCs w:val="40"/>
                          <w:lang w:val="en-US"/>
                        </w:rPr>
                      </w:pPr>
                      <w:r w:rsidRPr="006679E6">
                        <w:rPr>
                          <w:rFonts w:ascii="Times New Roman" w:hAnsi="Times New Roman" w:cs="Times New Roman"/>
                          <w:sz w:val="40"/>
                          <w:szCs w:val="40"/>
                          <w:lang w:val="en-US"/>
                        </w:rPr>
                        <w:t>Growth Evaluation</w:t>
                      </w:r>
                      <w:r w:rsidR="00125770" w:rsidRPr="006679E6">
                        <w:rPr>
                          <w:rFonts w:ascii="Times New Roman" w:hAnsi="Times New Roman" w:cs="Times New Roman"/>
                          <w:sz w:val="40"/>
                          <w:szCs w:val="40"/>
                          <w:lang w:val="en-US"/>
                        </w:rPr>
                        <w:t>:</w:t>
                      </w:r>
                    </w:p>
                    <w:p w14:paraId="28E5CBD4" w14:textId="13FCA0BB" w:rsidR="00D07713" w:rsidRPr="006679E6" w:rsidRDefault="001537D8" w:rsidP="00D07713">
                      <w:pPr>
                        <w:pStyle w:val="Heading1"/>
                        <w:rPr>
                          <w:b w:val="0"/>
                          <w:bCs w:val="0"/>
                          <w:i/>
                          <w:iCs/>
                          <w:lang w:val="en-US"/>
                        </w:rPr>
                      </w:pPr>
                      <w:r w:rsidRPr="006679E6">
                        <w:rPr>
                          <w:rFonts w:ascii="Times New Roman" w:hAnsi="Times New Roman" w:cs="Times New Roman"/>
                          <w:sz w:val="40"/>
                          <w:szCs w:val="40"/>
                          <w:lang w:val="en-US"/>
                        </w:rPr>
                        <w:t>20</w:t>
                      </w:r>
                      <w:r w:rsidR="00BB0912" w:rsidRPr="006679E6">
                        <w:rPr>
                          <w:rFonts w:ascii="Times New Roman" w:hAnsi="Times New Roman" w:cs="Times New Roman"/>
                          <w:sz w:val="40"/>
                          <w:szCs w:val="40"/>
                          <w:lang w:val="en-US"/>
                        </w:rPr>
                        <w:t>2</w:t>
                      </w:r>
                      <w:r w:rsidR="001D7863">
                        <w:rPr>
                          <w:rFonts w:ascii="Times New Roman" w:hAnsi="Times New Roman" w:cs="Times New Roman"/>
                          <w:sz w:val="40"/>
                          <w:szCs w:val="40"/>
                          <w:lang w:val="en-US"/>
                        </w:rPr>
                        <w:t>2</w:t>
                      </w:r>
                      <w:r w:rsidRPr="006679E6">
                        <w:rPr>
                          <w:rFonts w:ascii="Times New Roman" w:hAnsi="Times New Roman" w:cs="Times New Roman"/>
                          <w:sz w:val="40"/>
                          <w:szCs w:val="40"/>
                          <w:lang w:val="en-US"/>
                        </w:rPr>
                        <w:t xml:space="preserve"> </w:t>
                      </w:r>
                      <w:r w:rsidR="00BE013E">
                        <w:rPr>
                          <w:rFonts w:ascii="Times New Roman" w:hAnsi="Times New Roman" w:cs="Times New Roman"/>
                          <w:sz w:val="40"/>
                          <w:szCs w:val="40"/>
                          <w:lang w:val="en-US"/>
                        </w:rPr>
                        <w:t>2</w:t>
                      </w:r>
                      <w:r w:rsidR="00BE013E">
                        <w:rPr>
                          <w:rFonts w:ascii="Times New Roman" w:hAnsi="Times New Roman" w:cs="Times New Roman"/>
                          <w:sz w:val="40"/>
                          <w:szCs w:val="40"/>
                          <w:vertAlign w:val="superscript"/>
                          <w:lang w:val="en-US"/>
                        </w:rPr>
                        <w:t>nd</w:t>
                      </w:r>
                      <w:r w:rsidR="006679E6">
                        <w:rPr>
                          <w:rFonts w:ascii="Times New Roman" w:hAnsi="Times New Roman" w:cs="Times New Roman"/>
                          <w:sz w:val="40"/>
                          <w:szCs w:val="40"/>
                          <w:lang w:val="en-US"/>
                        </w:rPr>
                        <w:t xml:space="preserve"> Quarter</w:t>
                      </w:r>
                    </w:p>
                  </w:txbxContent>
                </v:textbox>
              </v:shape>
            </w:pict>
          </mc:Fallback>
        </mc:AlternateContent>
      </w:r>
      <w:r w:rsidR="00D07713" w:rsidRPr="006679E6">
        <w:rPr>
          <w:rFonts w:ascii="Palatino Linotype" w:hAnsi="Palatino Linotype" w:cstheme="minorHAnsi"/>
          <w:noProof/>
          <w:lang w:val="en-GB" w:eastAsia="en-GB"/>
        </w:rPr>
        <w:drawing>
          <wp:anchor distT="0" distB="0" distL="114300" distR="114300" simplePos="0" relativeHeight="251656192" behindDoc="1" locked="0" layoutInCell="1" allowOverlap="1" wp14:anchorId="69EA5A2C" wp14:editId="5E923368">
            <wp:simplePos x="0" y="0"/>
            <wp:positionH relativeFrom="margin">
              <wp:align>center</wp:align>
            </wp:positionH>
            <wp:positionV relativeFrom="paragraph">
              <wp:posOffset>-855345</wp:posOffset>
            </wp:positionV>
            <wp:extent cx="7315200" cy="1330325"/>
            <wp:effectExtent l="0" t="0" r="0" b="3175"/>
            <wp:wrapNone/>
            <wp:docPr id="1"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8"/>
                    <a:srcRect/>
                    <a:stretch>
                      <a:fillRect/>
                    </a:stretch>
                  </pic:blipFill>
                  <pic:spPr bwMode="auto">
                    <a:xfrm>
                      <a:off x="0" y="0"/>
                      <a:ext cx="7315200" cy="1330325"/>
                    </a:xfrm>
                    <a:prstGeom prst="rect">
                      <a:avLst/>
                    </a:prstGeom>
                    <a:noFill/>
                  </pic:spPr>
                </pic:pic>
              </a:graphicData>
            </a:graphic>
          </wp:anchor>
        </w:drawing>
      </w:r>
    </w:p>
    <w:p w14:paraId="60F7B6BD" w14:textId="4D5A0563" w:rsidR="00D07713" w:rsidRPr="006679E6" w:rsidRDefault="00D07713">
      <w:pPr>
        <w:rPr>
          <w:rFonts w:ascii="Palatino Linotype" w:hAnsi="Palatino Linotype" w:cstheme="minorHAnsi"/>
          <w:lang w:val="en-US"/>
        </w:rPr>
      </w:pPr>
    </w:p>
    <w:p w14:paraId="6783B39D" w14:textId="4DAA211A" w:rsidR="00D34702" w:rsidRPr="006679E6" w:rsidRDefault="001272BD" w:rsidP="00D34702">
      <w:pPr>
        <w:spacing w:line="288" w:lineRule="auto"/>
        <w:ind w:right="-319"/>
        <w:jc w:val="center"/>
        <w:outlineLvl w:val="0"/>
        <w:rPr>
          <w:rFonts w:ascii="Palatino Linotype" w:hAnsi="Palatino Linotype" w:cstheme="minorHAnsi"/>
          <w:b/>
          <w:bCs/>
          <w:sz w:val="28"/>
          <w:szCs w:val="28"/>
          <w:lang w:val="en-US"/>
        </w:rPr>
      </w:pPr>
      <w:r>
        <w:rPr>
          <w:rFonts w:ascii="Palatino Linotype" w:hAnsi="Palatino Linotype" w:cstheme="minorHAnsi"/>
          <w:b/>
          <w:bCs/>
          <w:sz w:val="28"/>
          <w:szCs w:val="28"/>
          <w:highlight w:val="yellow"/>
          <w:lang w:val="en-US"/>
        </w:rPr>
        <w:br/>
      </w:r>
      <w:r w:rsidR="001B79D6">
        <w:rPr>
          <w:rFonts w:ascii="Palatino Linotype" w:hAnsi="Palatino Linotype" w:cstheme="minorHAnsi"/>
          <w:b/>
          <w:bCs/>
          <w:sz w:val="28"/>
          <w:szCs w:val="28"/>
          <w:lang w:val="en-US"/>
        </w:rPr>
        <w:t>HOUSEHOLDS’ CONSUMPTION</w:t>
      </w:r>
      <w:r w:rsidR="005F60F3" w:rsidRPr="005F60F3">
        <w:rPr>
          <w:rFonts w:ascii="Palatino Linotype" w:hAnsi="Palatino Linotype" w:cstheme="minorHAnsi"/>
          <w:b/>
          <w:bCs/>
          <w:sz w:val="28"/>
          <w:szCs w:val="28"/>
          <w:lang w:val="en-US"/>
        </w:rPr>
        <w:t xml:space="preserve"> </w:t>
      </w:r>
      <w:r w:rsidR="00D200DB">
        <w:rPr>
          <w:rFonts w:ascii="Palatino Linotype" w:hAnsi="Palatino Linotype" w:cstheme="minorHAnsi"/>
          <w:b/>
          <w:bCs/>
          <w:sz w:val="28"/>
          <w:szCs w:val="28"/>
          <w:lang w:val="en-US"/>
        </w:rPr>
        <w:t xml:space="preserve">AND EXPORT </w:t>
      </w:r>
      <w:r w:rsidR="00BE013E">
        <w:rPr>
          <w:rFonts w:ascii="Palatino Linotype" w:hAnsi="Palatino Linotype" w:cstheme="minorHAnsi"/>
          <w:b/>
          <w:bCs/>
          <w:sz w:val="28"/>
          <w:szCs w:val="28"/>
          <w:lang w:val="en-US"/>
        </w:rPr>
        <w:t>PROMOTED</w:t>
      </w:r>
      <w:r w:rsidR="005F60F3" w:rsidRPr="005F60F3">
        <w:rPr>
          <w:rFonts w:ascii="Palatino Linotype" w:hAnsi="Palatino Linotype" w:cstheme="minorHAnsi"/>
          <w:b/>
          <w:bCs/>
          <w:sz w:val="28"/>
          <w:szCs w:val="28"/>
          <w:lang w:val="en-US"/>
        </w:rPr>
        <w:t xml:space="preserve"> </w:t>
      </w:r>
      <w:r w:rsidR="00BE013E">
        <w:rPr>
          <w:rFonts w:ascii="Palatino Linotype" w:hAnsi="Palatino Linotype" w:cstheme="minorHAnsi"/>
          <w:b/>
          <w:bCs/>
          <w:sz w:val="28"/>
          <w:szCs w:val="28"/>
          <w:lang w:val="en-US"/>
        </w:rPr>
        <w:t xml:space="preserve">THE </w:t>
      </w:r>
      <w:r w:rsidR="005F60F3" w:rsidRPr="005F60F3">
        <w:rPr>
          <w:rFonts w:ascii="Palatino Linotype" w:hAnsi="Palatino Linotype" w:cstheme="minorHAnsi"/>
          <w:b/>
          <w:bCs/>
          <w:sz w:val="28"/>
          <w:szCs w:val="28"/>
          <w:lang w:val="en-US"/>
        </w:rPr>
        <w:t>GROWTH</w:t>
      </w:r>
    </w:p>
    <w:p w14:paraId="428E7403" w14:textId="174C4C7D" w:rsidR="00D07713" w:rsidRPr="006679E6" w:rsidRDefault="00D07713" w:rsidP="004623F2">
      <w:pPr>
        <w:spacing w:line="288" w:lineRule="auto"/>
        <w:ind w:right="-319"/>
        <w:jc w:val="center"/>
        <w:outlineLvl w:val="0"/>
        <w:rPr>
          <w:rFonts w:ascii="Palatino Linotype" w:hAnsi="Palatino Linotype" w:cstheme="minorHAnsi"/>
          <w:lang w:val="en-US"/>
        </w:rPr>
      </w:pPr>
      <w:r w:rsidRPr="006679E6">
        <w:rPr>
          <w:rFonts w:ascii="Palatino Linotype" w:hAnsi="Palatino Linotype" w:cstheme="minorHAnsi"/>
          <w:b/>
          <w:bCs/>
          <w:sz w:val="22"/>
          <w:szCs w:val="22"/>
          <w:lang w:val="en-US"/>
        </w:rPr>
        <w:t xml:space="preserve">Ozan </w:t>
      </w:r>
      <w:proofErr w:type="spellStart"/>
      <w:r w:rsidRPr="006679E6">
        <w:rPr>
          <w:rFonts w:ascii="Palatino Linotype" w:hAnsi="Palatino Linotype" w:cstheme="minorHAnsi"/>
          <w:b/>
          <w:bCs/>
          <w:sz w:val="22"/>
          <w:szCs w:val="22"/>
          <w:lang w:val="en-US"/>
        </w:rPr>
        <w:t>Bakış</w:t>
      </w:r>
      <w:proofErr w:type="spellEnd"/>
      <w:r w:rsidR="00C32789" w:rsidRPr="006679E6">
        <w:rPr>
          <w:rStyle w:val="FootnoteReference"/>
          <w:rFonts w:ascii="Palatino Linotype" w:hAnsi="Palatino Linotype" w:cstheme="minorHAnsi"/>
          <w:b/>
          <w:bCs/>
          <w:sz w:val="22"/>
          <w:szCs w:val="22"/>
          <w:lang w:val="en-US"/>
        </w:rPr>
        <w:footnoteReference w:id="1"/>
      </w:r>
      <w:r w:rsidR="001537D8" w:rsidRPr="006679E6">
        <w:rPr>
          <w:rFonts w:ascii="Palatino Linotype" w:hAnsi="Palatino Linotype" w:cstheme="minorHAnsi"/>
          <w:b/>
          <w:bCs/>
          <w:sz w:val="22"/>
          <w:szCs w:val="22"/>
          <w:lang w:val="en-US"/>
        </w:rPr>
        <w:t xml:space="preserve"> </w:t>
      </w:r>
      <w:proofErr w:type="spellStart"/>
      <w:r w:rsidR="001537D8" w:rsidRPr="006679E6">
        <w:rPr>
          <w:rFonts w:ascii="Palatino Linotype" w:hAnsi="Palatino Linotype" w:cstheme="minorHAnsi"/>
          <w:b/>
          <w:bCs/>
          <w:sz w:val="22"/>
          <w:szCs w:val="22"/>
          <w:lang w:val="en-US"/>
        </w:rPr>
        <w:t>ve</w:t>
      </w:r>
      <w:proofErr w:type="spellEnd"/>
      <w:r w:rsidR="001537D8" w:rsidRPr="006679E6">
        <w:rPr>
          <w:rFonts w:ascii="Palatino Linotype" w:hAnsi="Palatino Linotype" w:cstheme="minorHAnsi"/>
          <w:b/>
          <w:bCs/>
          <w:sz w:val="22"/>
          <w:szCs w:val="22"/>
          <w:lang w:val="en-US"/>
        </w:rPr>
        <w:t xml:space="preserve"> </w:t>
      </w:r>
      <w:proofErr w:type="spellStart"/>
      <w:r w:rsidR="00A170FB">
        <w:rPr>
          <w:rFonts w:ascii="Palatino Linotype" w:hAnsi="Palatino Linotype" w:cstheme="minorHAnsi"/>
          <w:b/>
          <w:bCs/>
          <w:sz w:val="22"/>
          <w:szCs w:val="22"/>
          <w:lang w:val="en-US"/>
        </w:rPr>
        <w:t>Uğurcan</w:t>
      </w:r>
      <w:proofErr w:type="spellEnd"/>
      <w:r w:rsidR="00A170FB">
        <w:rPr>
          <w:rFonts w:ascii="Palatino Linotype" w:hAnsi="Palatino Linotype" w:cstheme="minorHAnsi"/>
          <w:b/>
          <w:bCs/>
          <w:sz w:val="22"/>
          <w:szCs w:val="22"/>
          <w:lang w:val="en-US"/>
        </w:rPr>
        <w:t xml:space="preserve"> Acar</w:t>
      </w:r>
      <w:r w:rsidR="001537D8" w:rsidRPr="006679E6">
        <w:rPr>
          <w:rStyle w:val="FootnoteReference"/>
          <w:rFonts w:ascii="Palatino Linotype" w:hAnsi="Palatino Linotype" w:cstheme="minorHAnsi"/>
          <w:b/>
          <w:bCs/>
          <w:sz w:val="22"/>
          <w:szCs w:val="22"/>
          <w:lang w:val="en-US"/>
        </w:rPr>
        <w:footnoteReference w:id="2"/>
      </w:r>
    </w:p>
    <w:p w14:paraId="6E057918" w14:textId="604B3AAF" w:rsidR="00405BD8" w:rsidRPr="006679E6" w:rsidRDefault="00405BD8" w:rsidP="00751F72">
      <w:pPr>
        <w:jc w:val="center"/>
        <w:rPr>
          <w:rFonts w:ascii="Palatino Linotype" w:hAnsi="Palatino Linotype" w:cstheme="minorHAnsi"/>
          <w:b/>
          <w:sz w:val="22"/>
          <w:szCs w:val="22"/>
          <w:lang w:val="en-US"/>
        </w:rPr>
      </w:pPr>
    </w:p>
    <w:p w14:paraId="180703E7" w14:textId="3ACAE343" w:rsidR="00111CED" w:rsidRPr="006679E6" w:rsidRDefault="006679E6" w:rsidP="00405BD8">
      <w:pPr>
        <w:spacing w:line="360" w:lineRule="auto"/>
        <w:jc w:val="center"/>
        <w:rPr>
          <w:rFonts w:ascii="Palatino Linotype" w:hAnsi="Palatino Linotype" w:cstheme="minorHAnsi"/>
          <w:b/>
          <w:sz w:val="22"/>
          <w:szCs w:val="22"/>
          <w:lang w:val="en-US"/>
        </w:rPr>
      </w:pPr>
      <w:r>
        <w:rPr>
          <w:rFonts w:ascii="Palatino Linotype" w:hAnsi="Palatino Linotype" w:cstheme="minorHAnsi"/>
          <w:b/>
          <w:sz w:val="22"/>
          <w:szCs w:val="22"/>
          <w:lang w:val="en-US"/>
        </w:rPr>
        <w:t>Executive Summary</w:t>
      </w:r>
    </w:p>
    <w:p w14:paraId="66D287BC" w14:textId="3A9E9C5E" w:rsidR="000A770F" w:rsidRPr="001272BD" w:rsidRDefault="009C2C5D" w:rsidP="000A770F">
      <w:pPr>
        <w:spacing w:line="271" w:lineRule="auto"/>
        <w:ind w:left="567" w:right="567"/>
        <w:jc w:val="both"/>
        <w:rPr>
          <w:rFonts w:ascii="Palatino Linotype" w:hAnsi="Palatino Linotype" w:cstheme="minorHAnsi"/>
          <w:sz w:val="22"/>
          <w:szCs w:val="22"/>
          <w:lang w:val="en-US"/>
        </w:rPr>
      </w:pPr>
      <w:bookmarkStart w:id="0" w:name="OLE_LINK5"/>
      <w:bookmarkStart w:id="1" w:name="OLE_LINK6"/>
      <w:r>
        <w:rPr>
          <w:noProof/>
          <w:lang w:val="en-GB" w:eastAsia="en-GB"/>
        </w:rPr>
        <w:drawing>
          <wp:anchor distT="0" distB="0" distL="114300" distR="114300" simplePos="0" relativeHeight="251661312" behindDoc="1" locked="0" layoutInCell="1" allowOverlap="1" wp14:anchorId="572295A2" wp14:editId="584A517D">
            <wp:simplePos x="0" y="0"/>
            <wp:positionH relativeFrom="page">
              <wp:posOffset>3689792</wp:posOffset>
            </wp:positionH>
            <wp:positionV relativeFrom="paragraph">
              <wp:posOffset>1812594</wp:posOffset>
            </wp:positionV>
            <wp:extent cx="3744595" cy="2241550"/>
            <wp:effectExtent l="0" t="0" r="8255" b="6350"/>
            <wp:wrapTight wrapText="bothSides">
              <wp:wrapPolygon edited="0">
                <wp:start x="0" y="0"/>
                <wp:lineTo x="0" y="21478"/>
                <wp:lineTo x="21538" y="21478"/>
                <wp:lineTo x="21538" y="0"/>
                <wp:lineTo x="0" y="0"/>
              </wp:wrapPolygon>
            </wp:wrapTight>
            <wp:docPr id="6" name="Chart 6">
              <a:extLst xmlns:a="http://schemas.openxmlformats.org/drawingml/2006/main">
                <a:ext uri="{FF2B5EF4-FFF2-40B4-BE49-F238E27FC236}">
                  <a16:creationId xmlns:a16="http://schemas.microsoft.com/office/drawing/2014/main" id="{6F8618D2-A88A-4D75-A29D-A064FD80E5B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60288" behindDoc="1" locked="0" layoutInCell="1" allowOverlap="1" wp14:anchorId="2E2085A0" wp14:editId="0FD7B9FF">
            <wp:simplePos x="0" y="0"/>
            <wp:positionH relativeFrom="margin">
              <wp:posOffset>-788284</wp:posOffset>
            </wp:positionH>
            <wp:positionV relativeFrom="paragraph">
              <wp:posOffset>1819578</wp:posOffset>
            </wp:positionV>
            <wp:extent cx="3545840" cy="2249805"/>
            <wp:effectExtent l="0" t="0" r="16510" b="17145"/>
            <wp:wrapTight wrapText="bothSides">
              <wp:wrapPolygon edited="0">
                <wp:start x="0" y="0"/>
                <wp:lineTo x="0" y="21582"/>
                <wp:lineTo x="21585" y="21582"/>
                <wp:lineTo x="21585" y="0"/>
                <wp:lineTo x="0" y="0"/>
              </wp:wrapPolygon>
            </wp:wrapTight>
            <wp:docPr id="5" name="Chart 5">
              <a:extLst xmlns:a="http://schemas.openxmlformats.org/drawingml/2006/main">
                <a:ext uri="{FF2B5EF4-FFF2-40B4-BE49-F238E27FC236}">
                  <a16:creationId xmlns:a16="http://schemas.microsoft.com/office/drawing/2014/main" id="{520958B9-CE9D-4B75-88A6-D26814C8175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r w:rsidR="002A69AD" w:rsidRPr="001272BD">
        <w:rPr>
          <w:rFonts w:ascii="Palatino Linotype" w:hAnsi="Palatino Linotype" w:cstheme="minorHAnsi"/>
          <w:sz w:val="22"/>
          <w:szCs w:val="22"/>
          <w:lang w:val="en-US"/>
        </w:rPr>
        <w:t xml:space="preserve">The Turkish economy has grown </w:t>
      </w:r>
      <w:r w:rsidR="00D200DB">
        <w:rPr>
          <w:rFonts w:ascii="Palatino Linotype" w:hAnsi="Palatino Linotype" w:cstheme="minorHAnsi"/>
          <w:sz w:val="22"/>
          <w:szCs w:val="22"/>
          <w:lang w:val="en-US"/>
        </w:rPr>
        <w:t>7</w:t>
      </w:r>
      <w:r w:rsidR="002A69AD" w:rsidRPr="001272BD">
        <w:rPr>
          <w:rFonts w:ascii="Palatino Linotype" w:hAnsi="Palatino Linotype" w:cstheme="minorHAnsi"/>
          <w:sz w:val="22"/>
          <w:szCs w:val="22"/>
          <w:lang w:val="en-US"/>
        </w:rPr>
        <w:t>.</w:t>
      </w:r>
      <w:r w:rsidR="00BE013E">
        <w:rPr>
          <w:rFonts w:ascii="Palatino Linotype" w:hAnsi="Palatino Linotype" w:cstheme="minorHAnsi"/>
          <w:sz w:val="22"/>
          <w:szCs w:val="22"/>
          <w:lang w:val="en-US"/>
        </w:rPr>
        <w:t>6</w:t>
      </w:r>
      <w:r w:rsidR="002A69AD" w:rsidRPr="001272BD">
        <w:rPr>
          <w:rFonts w:ascii="Palatino Linotype" w:hAnsi="Palatino Linotype" w:cstheme="minorHAnsi"/>
          <w:sz w:val="22"/>
          <w:szCs w:val="22"/>
          <w:lang w:val="en-US"/>
        </w:rPr>
        <w:t xml:space="preserve"> percent i</w:t>
      </w:r>
      <w:r w:rsidR="006679E6" w:rsidRPr="001272BD">
        <w:rPr>
          <w:rFonts w:ascii="Palatino Linotype" w:hAnsi="Palatino Linotype" w:cstheme="minorHAnsi"/>
          <w:sz w:val="22"/>
          <w:szCs w:val="22"/>
          <w:lang w:val="en-US"/>
        </w:rPr>
        <w:t xml:space="preserve">n the </w:t>
      </w:r>
      <w:r w:rsidR="00BE013E">
        <w:rPr>
          <w:rFonts w:ascii="Palatino Linotype" w:hAnsi="Palatino Linotype" w:cstheme="minorHAnsi"/>
          <w:sz w:val="22"/>
          <w:szCs w:val="22"/>
          <w:lang w:val="en-US"/>
        </w:rPr>
        <w:t>second</w:t>
      </w:r>
      <w:r w:rsidR="006679E6" w:rsidRPr="001272BD">
        <w:rPr>
          <w:rFonts w:ascii="Palatino Linotype" w:hAnsi="Palatino Linotype" w:cstheme="minorHAnsi"/>
          <w:sz w:val="22"/>
          <w:szCs w:val="22"/>
          <w:lang w:val="en-US"/>
        </w:rPr>
        <w:t xml:space="preserve"> quarter of 202</w:t>
      </w:r>
      <w:r w:rsidR="00D200DB">
        <w:rPr>
          <w:rFonts w:ascii="Palatino Linotype" w:hAnsi="Palatino Linotype" w:cstheme="minorHAnsi"/>
          <w:sz w:val="22"/>
          <w:szCs w:val="22"/>
          <w:lang w:val="en-US"/>
        </w:rPr>
        <w:t>2</w:t>
      </w:r>
      <w:r w:rsidR="002A69AD" w:rsidRPr="001272BD">
        <w:rPr>
          <w:rFonts w:ascii="Palatino Linotype" w:hAnsi="Palatino Linotype" w:cstheme="minorHAnsi"/>
          <w:sz w:val="22"/>
          <w:szCs w:val="22"/>
          <w:lang w:val="en-US"/>
        </w:rPr>
        <w:t xml:space="preserve">. </w:t>
      </w:r>
      <w:r w:rsidR="00D314F9" w:rsidRPr="001272BD">
        <w:rPr>
          <w:rFonts w:ascii="Palatino Linotype" w:hAnsi="Palatino Linotype" w:cstheme="minorHAnsi"/>
          <w:sz w:val="22"/>
          <w:szCs w:val="22"/>
          <w:lang w:val="en-US"/>
        </w:rPr>
        <w:t xml:space="preserve">The biggest contribution to the growth has come from </w:t>
      </w:r>
      <w:r w:rsidR="0086789C">
        <w:rPr>
          <w:rFonts w:ascii="Palatino Linotype" w:hAnsi="Palatino Linotype" w:cstheme="minorHAnsi"/>
          <w:sz w:val="22"/>
          <w:szCs w:val="22"/>
          <w:lang w:val="en-US"/>
        </w:rPr>
        <w:t>private</w:t>
      </w:r>
      <w:r w:rsidR="001B79D6">
        <w:rPr>
          <w:rFonts w:ascii="Palatino Linotype" w:hAnsi="Palatino Linotype" w:cstheme="minorHAnsi"/>
          <w:sz w:val="22"/>
          <w:szCs w:val="22"/>
          <w:lang w:val="en-US"/>
        </w:rPr>
        <w:t xml:space="preserve"> consumption</w:t>
      </w:r>
      <w:r w:rsidR="00905810">
        <w:rPr>
          <w:rFonts w:ascii="Palatino Linotype" w:hAnsi="Palatino Linotype" w:cstheme="minorHAnsi"/>
          <w:sz w:val="22"/>
          <w:szCs w:val="22"/>
          <w:lang w:val="en-US"/>
        </w:rPr>
        <w:t>,</w:t>
      </w:r>
      <w:r w:rsidR="00D200DB">
        <w:rPr>
          <w:rFonts w:ascii="Palatino Linotype" w:hAnsi="Palatino Linotype" w:cstheme="minorHAnsi"/>
          <w:sz w:val="22"/>
          <w:szCs w:val="22"/>
          <w:lang w:val="en-US"/>
        </w:rPr>
        <w:t xml:space="preserve"> with 1</w:t>
      </w:r>
      <w:r w:rsidR="00BE013E">
        <w:rPr>
          <w:rFonts w:ascii="Palatino Linotype" w:hAnsi="Palatino Linotype" w:cstheme="minorHAnsi"/>
          <w:sz w:val="22"/>
          <w:szCs w:val="22"/>
          <w:lang w:val="en-US"/>
        </w:rPr>
        <w:t>2</w:t>
      </w:r>
      <w:r w:rsidR="00D200DB">
        <w:rPr>
          <w:rFonts w:ascii="Palatino Linotype" w:hAnsi="Palatino Linotype" w:cstheme="minorHAnsi"/>
          <w:sz w:val="22"/>
          <w:szCs w:val="22"/>
          <w:lang w:val="en-US"/>
        </w:rPr>
        <w:t>.</w:t>
      </w:r>
      <w:r w:rsidR="00BE013E">
        <w:rPr>
          <w:rFonts w:ascii="Palatino Linotype" w:hAnsi="Palatino Linotype" w:cstheme="minorHAnsi"/>
          <w:sz w:val="22"/>
          <w:szCs w:val="22"/>
          <w:lang w:val="en-US"/>
        </w:rPr>
        <w:t>3</w:t>
      </w:r>
      <w:r w:rsidR="00D200DB">
        <w:rPr>
          <w:rFonts w:ascii="Palatino Linotype" w:hAnsi="Palatino Linotype" w:cstheme="minorHAnsi"/>
          <w:sz w:val="22"/>
          <w:szCs w:val="22"/>
          <w:lang w:val="en-US"/>
        </w:rPr>
        <w:t xml:space="preserve"> percentage points</w:t>
      </w:r>
      <w:r w:rsidR="00D314F9" w:rsidRPr="001272BD">
        <w:rPr>
          <w:rFonts w:ascii="Palatino Linotype" w:hAnsi="Palatino Linotype" w:cstheme="minorHAnsi"/>
          <w:sz w:val="22"/>
          <w:szCs w:val="22"/>
          <w:lang w:val="en-US"/>
        </w:rPr>
        <w:t xml:space="preserve">. </w:t>
      </w:r>
      <w:r w:rsidR="00D200DB">
        <w:rPr>
          <w:rFonts w:ascii="Palatino Linotype" w:hAnsi="Palatino Linotype" w:cstheme="minorHAnsi"/>
          <w:sz w:val="22"/>
          <w:szCs w:val="22"/>
          <w:lang w:val="en-US"/>
        </w:rPr>
        <w:t xml:space="preserve">The net foreign trade has contributed to the growth by </w:t>
      </w:r>
      <w:r w:rsidR="00BE013E">
        <w:rPr>
          <w:rFonts w:ascii="Palatino Linotype" w:hAnsi="Palatino Linotype" w:cstheme="minorHAnsi"/>
          <w:sz w:val="22"/>
          <w:szCs w:val="22"/>
          <w:lang w:val="en-US"/>
        </w:rPr>
        <w:t>3</w:t>
      </w:r>
      <w:r w:rsidR="00D200DB">
        <w:rPr>
          <w:rFonts w:ascii="Palatino Linotype" w:hAnsi="Palatino Linotype" w:cstheme="minorHAnsi"/>
          <w:sz w:val="22"/>
          <w:szCs w:val="22"/>
          <w:lang w:val="en-US"/>
        </w:rPr>
        <w:t>.9 percentage points.</w:t>
      </w:r>
      <w:r w:rsidR="00E35120">
        <w:rPr>
          <w:rFonts w:ascii="Palatino Linotype" w:hAnsi="Palatino Linotype" w:cstheme="minorHAnsi"/>
          <w:sz w:val="22"/>
          <w:szCs w:val="22"/>
          <w:lang w:val="en-US"/>
        </w:rPr>
        <w:t xml:space="preserve"> </w:t>
      </w:r>
      <w:bookmarkStart w:id="2" w:name="OLE_LINK1"/>
      <w:bookmarkStart w:id="3" w:name="OLE_LINK2"/>
      <w:r w:rsidR="00D200DB" w:rsidRPr="00D200DB">
        <w:rPr>
          <w:rFonts w:ascii="Palatino Linotype" w:hAnsi="Palatino Linotype" w:cstheme="minorHAnsi"/>
          <w:sz w:val="22"/>
          <w:szCs w:val="22"/>
          <w:lang w:val="en-US"/>
        </w:rPr>
        <w:t xml:space="preserve">According to the seasonally and </w:t>
      </w:r>
      <w:r w:rsidR="00BE013E">
        <w:rPr>
          <w:rFonts w:ascii="Palatino Linotype" w:hAnsi="Palatino Linotype" w:cstheme="minorHAnsi"/>
          <w:sz w:val="22"/>
          <w:szCs w:val="22"/>
          <w:lang w:val="en-US"/>
        </w:rPr>
        <w:t>calendar-adjusted</w:t>
      </w:r>
      <w:bookmarkEnd w:id="2"/>
      <w:bookmarkEnd w:id="3"/>
      <w:r w:rsidR="00D200DB" w:rsidRPr="00D200DB">
        <w:rPr>
          <w:rFonts w:ascii="Palatino Linotype" w:hAnsi="Palatino Linotype" w:cstheme="minorHAnsi"/>
          <w:sz w:val="22"/>
          <w:szCs w:val="22"/>
          <w:lang w:val="en-US"/>
        </w:rPr>
        <w:t xml:space="preserve"> series, the GDP </w:t>
      </w:r>
      <w:r w:rsidR="00D200DB">
        <w:rPr>
          <w:rFonts w:ascii="Palatino Linotype" w:hAnsi="Palatino Linotype" w:cstheme="minorHAnsi"/>
          <w:sz w:val="22"/>
          <w:szCs w:val="22"/>
          <w:lang w:val="en-US"/>
        </w:rPr>
        <w:t xml:space="preserve">has </w:t>
      </w:r>
      <w:r w:rsidR="00D200DB" w:rsidRPr="00D200DB">
        <w:rPr>
          <w:rFonts w:ascii="Palatino Linotype" w:hAnsi="Palatino Linotype" w:cstheme="minorHAnsi"/>
          <w:sz w:val="22"/>
          <w:szCs w:val="22"/>
          <w:lang w:val="en-US"/>
        </w:rPr>
        <w:t>gr</w:t>
      </w:r>
      <w:r w:rsidR="00D200DB">
        <w:rPr>
          <w:rFonts w:ascii="Palatino Linotype" w:hAnsi="Palatino Linotype" w:cstheme="minorHAnsi"/>
          <w:sz w:val="22"/>
          <w:szCs w:val="22"/>
          <w:lang w:val="en-US"/>
        </w:rPr>
        <w:t>o</w:t>
      </w:r>
      <w:r w:rsidR="00D200DB" w:rsidRPr="00D200DB">
        <w:rPr>
          <w:rFonts w:ascii="Palatino Linotype" w:hAnsi="Palatino Linotype" w:cstheme="minorHAnsi"/>
          <w:sz w:val="22"/>
          <w:szCs w:val="22"/>
          <w:lang w:val="en-US"/>
        </w:rPr>
        <w:t>w</w:t>
      </w:r>
      <w:r w:rsidR="00D200DB">
        <w:rPr>
          <w:rFonts w:ascii="Palatino Linotype" w:hAnsi="Palatino Linotype" w:cstheme="minorHAnsi"/>
          <w:sz w:val="22"/>
          <w:szCs w:val="22"/>
          <w:lang w:val="en-US"/>
        </w:rPr>
        <w:t>n</w:t>
      </w:r>
      <w:r w:rsidR="00D200DB" w:rsidRPr="00D200DB">
        <w:rPr>
          <w:rFonts w:ascii="Palatino Linotype" w:hAnsi="Palatino Linotype" w:cstheme="minorHAnsi"/>
          <w:sz w:val="22"/>
          <w:szCs w:val="22"/>
          <w:lang w:val="en-US"/>
        </w:rPr>
        <w:t xml:space="preserve"> by </w:t>
      </w:r>
      <w:r w:rsidR="00BE013E">
        <w:rPr>
          <w:rFonts w:ascii="Palatino Linotype" w:hAnsi="Palatino Linotype" w:cstheme="minorHAnsi"/>
          <w:sz w:val="22"/>
          <w:szCs w:val="22"/>
          <w:lang w:val="en-US"/>
        </w:rPr>
        <w:t>2</w:t>
      </w:r>
      <w:r w:rsidR="00D200DB" w:rsidRPr="00D200DB">
        <w:rPr>
          <w:rFonts w:ascii="Palatino Linotype" w:hAnsi="Palatino Linotype" w:cstheme="minorHAnsi"/>
          <w:sz w:val="22"/>
          <w:szCs w:val="22"/>
          <w:lang w:val="en-US"/>
        </w:rPr>
        <w:t>.</w:t>
      </w:r>
      <w:r w:rsidR="00BE013E">
        <w:rPr>
          <w:rFonts w:ascii="Palatino Linotype" w:hAnsi="Palatino Linotype" w:cstheme="minorHAnsi"/>
          <w:sz w:val="22"/>
          <w:szCs w:val="22"/>
          <w:lang w:val="en-US"/>
        </w:rPr>
        <w:t>1</w:t>
      </w:r>
      <w:r w:rsidR="00D200DB" w:rsidRPr="00D200DB">
        <w:rPr>
          <w:rFonts w:ascii="Palatino Linotype" w:hAnsi="Palatino Linotype" w:cstheme="minorHAnsi"/>
          <w:sz w:val="22"/>
          <w:szCs w:val="22"/>
          <w:lang w:val="en-US"/>
        </w:rPr>
        <w:t xml:space="preserve"> percent compared to the previous quarter</w:t>
      </w:r>
      <w:r w:rsidR="00905810">
        <w:rPr>
          <w:rFonts w:ascii="Palatino Linotype" w:hAnsi="Palatino Linotype" w:cstheme="minorHAnsi"/>
          <w:sz w:val="22"/>
          <w:szCs w:val="22"/>
          <w:lang w:val="en-US"/>
        </w:rPr>
        <w:t>,</w:t>
      </w:r>
      <w:r w:rsidR="00D200DB" w:rsidRPr="00D200DB">
        <w:rPr>
          <w:rFonts w:ascii="Palatino Linotype" w:hAnsi="Palatino Linotype" w:cstheme="minorHAnsi"/>
          <w:sz w:val="22"/>
          <w:szCs w:val="22"/>
          <w:lang w:val="en-US"/>
        </w:rPr>
        <w:t xml:space="preserve"> with </w:t>
      </w:r>
      <w:r w:rsidR="00BE013E">
        <w:rPr>
          <w:rFonts w:ascii="Palatino Linotype" w:hAnsi="Palatino Linotype" w:cstheme="minorHAnsi"/>
          <w:sz w:val="22"/>
          <w:szCs w:val="22"/>
          <w:lang w:val="en-US"/>
        </w:rPr>
        <w:t>a</w:t>
      </w:r>
      <w:r w:rsidR="00D200DB" w:rsidRPr="00D200DB">
        <w:rPr>
          <w:rFonts w:ascii="Palatino Linotype" w:hAnsi="Palatino Linotype" w:cstheme="minorHAnsi"/>
          <w:sz w:val="22"/>
          <w:szCs w:val="22"/>
          <w:lang w:val="en-US"/>
        </w:rPr>
        <w:t xml:space="preserve"> contribution of </w:t>
      </w:r>
      <w:r w:rsidR="00BE013E">
        <w:rPr>
          <w:rFonts w:ascii="Palatino Linotype" w:hAnsi="Palatino Linotype" w:cstheme="minorHAnsi"/>
          <w:sz w:val="22"/>
          <w:szCs w:val="22"/>
          <w:lang w:val="en-US"/>
        </w:rPr>
        <w:t xml:space="preserve">2.3 percentage points of </w:t>
      </w:r>
      <w:r w:rsidR="00D200DB" w:rsidRPr="00D200DB">
        <w:rPr>
          <w:rFonts w:ascii="Palatino Linotype" w:hAnsi="Palatino Linotype" w:cstheme="minorHAnsi"/>
          <w:sz w:val="22"/>
          <w:szCs w:val="22"/>
          <w:lang w:val="en-US"/>
        </w:rPr>
        <w:t xml:space="preserve">stock changes and </w:t>
      </w:r>
      <w:r w:rsidR="00BE013E">
        <w:rPr>
          <w:rFonts w:ascii="Palatino Linotype" w:hAnsi="Palatino Linotype" w:cstheme="minorHAnsi"/>
          <w:sz w:val="22"/>
          <w:szCs w:val="22"/>
          <w:lang w:val="en-US"/>
        </w:rPr>
        <w:t>1.7 percentage points of foreign trade.</w:t>
      </w:r>
      <w:r w:rsidR="00D200DB">
        <w:rPr>
          <w:rFonts w:ascii="Palatino Linotype" w:hAnsi="Palatino Linotype" w:cstheme="minorHAnsi"/>
          <w:sz w:val="22"/>
          <w:szCs w:val="22"/>
          <w:lang w:val="en-US"/>
        </w:rPr>
        <w:t xml:space="preserve"> </w:t>
      </w:r>
      <w:r w:rsidR="00905810" w:rsidRPr="00905810">
        <w:rPr>
          <w:rFonts w:ascii="Palatino Linotype" w:hAnsi="Palatino Linotype" w:cstheme="minorHAnsi"/>
          <w:sz w:val="22"/>
          <w:szCs w:val="22"/>
          <w:lang w:val="en-US"/>
        </w:rPr>
        <w:t xml:space="preserve">On the other hand, stock change and investments </w:t>
      </w:r>
      <w:r w:rsidR="00BE013E" w:rsidRPr="00BE013E">
        <w:rPr>
          <w:rFonts w:ascii="Palatino Linotype" w:hAnsi="Palatino Linotype" w:cstheme="minorHAnsi"/>
          <w:sz w:val="22"/>
          <w:szCs w:val="22"/>
          <w:lang w:val="en-US"/>
        </w:rPr>
        <w:t>drove quarterly growth down by 1.3 and 0.4 percentage points, respectively.</w:t>
      </w:r>
    </w:p>
    <w:p w14:paraId="0EFEC20B" w14:textId="48B11C80" w:rsidR="000A770F" w:rsidRDefault="000A770F" w:rsidP="001272BD">
      <w:pPr>
        <w:ind w:left="567" w:right="567"/>
        <w:jc w:val="both"/>
        <w:rPr>
          <w:rFonts w:ascii="Palatino Linotype" w:hAnsi="Palatino Linotype" w:cstheme="minorHAnsi"/>
          <w:b/>
          <w:bCs/>
          <w:sz w:val="22"/>
          <w:szCs w:val="22"/>
          <w:lang w:val="en-US"/>
        </w:rPr>
      </w:pPr>
    </w:p>
    <w:p w14:paraId="368B86F2" w14:textId="400D3229" w:rsidR="001272BD" w:rsidRDefault="004D583E" w:rsidP="001272BD">
      <w:pPr>
        <w:ind w:left="567" w:right="567"/>
        <w:jc w:val="both"/>
        <w:rPr>
          <w:rFonts w:ascii="Palatino Linotype" w:hAnsi="Palatino Linotype" w:cstheme="minorHAnsi"/>
          <w:b/>
          <w:bCs/>
          <w:sz w:val="22"/>
          <w:szCs w:val="22"/>
          <w:lang w:val="en-US"/>
        </w:rPr>
      </w:pPr>
      <w:r w:rsidRPr="00155A64">
        <w:rPr>
          <w:rFonts w:ascii="Palatino Linotype" w:hAnsi="Palatino Linotype" w:cstheme="minorHAnsi"/>
          <w:b/>
          <w:bCs/>
          <w:sz w:val="22"/>
          <w:szCs w:val="22"/>
          <w:lang w:val="en-US"/>
        </w:rPr>
        <w:t>Figure 1: Contributions to growth (left) and year-on-year growth rates (right) of GDP components in 202</w:t>
      </w:r>
      <w:r w:rsidR="00AF78D0">
        <w:rPr>
          <w:rFonts w:ascii="Palatino Linotype" w:hAnsi="Palatino Linotype" w:cstheme="minorHAnsi"/>
          <w:b/>
          <w:bCs/>
          <w:sz w:val="22"/>
          <w:szCs w:val="22"/>
          <w:lang w:val="en-US"/>
        </w:rPr>
        <w:t>2</w:t>
      </w:r>
      <w:r w:rsidRPr="00155A64">
        <w:rPr>
          <w:rFonts w:ascii="Palatino Linotype" w:hAnsi="Palatino Linotype" w:cstheme="minorHAnsi"/>
          <w:b/>
          <w:bCs/>
          <w:sz w:val="22"/>
          <w:szCs w:val="22"/>
          <w:lang w:val="en-US"/>
        </w:rPr>
        <w:t xml:space="preserve"> Q</w:t>
      </w:r>
      <w:bookmarkEnd w:id="0"/>
      <w:bookmarkEnd w:id="1"/>
      <w:r w:rsidR="00313311">
        <w:rPr>
          <w:rFonts w:ascii="Palatino Linotype" w:hAnsi="Palatino Linotype" w:cstheme="minorHAnsi"/>
          <w:b/>
          <w:bCs/>
          <w:sz w:val="22"/>
          <w:szCs w:val="22"/>
          <w:lang w:val="en-US"/>
        </w:rPr>
        <w:t>2</w:t>
      </w:r>
    </w:p>
    <w:p w14:paraId="07FB53CB" w14:textId="343826CB" w:rsidR="006679E6" w:rsidRPr="001272BD" w:rsidRDefault="00E35120" w:rsidP="00E35120">
      <w:pPr>
        <w:ind w:right="567"/>
        <w:jc w:val="both"/>
        <w:rPr>
          <w:rFonts w:ascii="Palatino Linotype" w:hAnsi="Palatino Linotype" w:cstheme="minorHAnsi"/>
          <w:b/>
          <w:bCs/>
          <w:sz w:val="22"/>
          <w:szCs w:val="22"/>
          <w:lang w:val="en-US"/>
        </w:rPr>
      </w:pPr>
      <w:r>
        <w:rPr>
          <w:rFonts w:ascii="Palatino Linotype" w:hAnsi="Palatino Linotype" w:cstheme="minorHAnsi"/>
          <w:b/>
          <w:bCs/>
          <w:sz w:val="22"/>
          <w:szCs w:val="22"/>
          <w:lang w:val="en-US"/>
        </w:rPr>
        <w:t xml:space="preserve">          </w:t>
      </w:r>
      <w:r w:rsidR="006679E6" w:rsidRPr="00155A64">
        <w:rPr>
          <w:rFonts w:ascii="Palatino Linotype" w:hAnsi="Palatino Linotype" w:cstheme="minorHAnsi"/>
          <w:sz w:val="18"/>
          <w:szCs w:val="18"/>
          <w:lang w:val="en-US"/>
        </w:rPr>
        <w:t xml:space="preserve">Source: </w:t>
      </w:r>
      <w:proofErr w:type="spellStart"/>
      <w:r w:rsidR="006679E6" w:rsidRPr="00155A64">
        <w:rPr>
          <w:rFonts w:ascii="Palatino Linotype" w:hAnsi="Palatino Linotype" w:cstheme="minorHAnsi"/>
          <w:sz w:val="18"/>
          <w:szCs w:val="18"/>
          <w:lang w:val="en-US"/>
        </w:rPr>
        <w:t>TurkStat</w:t>
      </w:r>
      <w:proofErr w:type="spellEnd"/>
      <w:r w:rsidR="006679E6" w:rsidRPr="00155A64">
        <w:rPr>
          <w:rFonts w:ascii="Palatino Linotype" w:hAnsi="Palatino Linotype" w:cstheme="minorHAnsi"/>
          <w:sz w:val="18"/>
          <w:szCs w:val="18"/>
          <w:lang w:val="en-US"/>
        </w:rPr>
        <w:t xml:space="preserve">, </w:t>
      </w:r>
      <w:proofErr w:type="spellStart"/>
      <w:r w:rsidR="006679E6" w:rsidRPr="00155A64">
        <w:rPr>
          <w:rFonts w:ascii="Palatino Linotype" w:hAnsi="Palatino Linotype" w:cstheme="minorHAnsi"/>
          <w:sz w:val="18"/>
          <w:szCs w:val="18"/>
          <w:lang w:val="en-US"/>
        </w:rPr>
        <w:t>Betam</w:t>
      </w:r>
      <w:proofErr w:type="spellEnd"/>
      <w:r w:rsidR="006679E6" w:rsidRPr="00155A64">
        <w:rPr>
          <w:rFonts w:ascii="Palatino Linotype" w:hAnsi="Palatino Linotype" w:cstheme="minorHAnsi"/>
          <w:sz w:val="16"/>
          <w:szCs w:val="16"/>
          <w:lang w:val="en-US"/>
        </w:rPr>
        <w:t xml:space="preserve"> </w:t>
      </w:r>
    </w:p>
    <w:p w14:paraId="3DFCA132" w14:textId="3EA43FEB" w:rsidR="00E35120" w:rsidRDefault="00E35120" w:rsidP="00006890">
      <w:pPr>
        <w:pStyle w:val="NormalWeb"/>
        <w:spacing w:before="0" w:beforeAutospacing="0" w:after="0" w:afterAutospacing="0" w:line="360" w:lineRule="auto"/>
        <w:ind w:right="77"/>
        <w:rPr>
          <w:rFonts w:ascii="Palatino Linotype" w:hAnsi="Palatino Linotype" w:cstheme="minorHAnsi"/>
          <w:b/>
          <w:bCs/>
          <w:sz w:val="22"/>
          <w:szCs w:val="22"/>
          <w:lang w:val="en-US"/>
        </w:rPr>
      </w:pPr>
    </w:p>
    <w:p w14:paraId="4199117A" w14:textId="2EDBD620" w:rsidR="00E35120" w:rsidRDefault="00E35120" w:rsidP="00006890">
      <w:pPr>
        <w:pStyle w:val="NormalWeb"/>
        <w:spacing w:before="0" w:beforeAutospacing="0" w:after="0" w:afterAutospacing="0" w:line="360" w:lineRule="auto"/>
        <w:ind w:right="77"/>
        <w:rPr>
          <w:rFonts w:ascii="Palatino Linotype" w:hAnsi="Palatino Linotype" w:cstheme="minorHAnsi"/>
          <w:b/>
          <w:bCs/>
          <w:sz w:val="22"/>
          <w:szCs w:val="22"/>
          <w:lang w:val="en-US"/>
        </w:rPr>
      </w:pPr>
    </w:p>
    <w:p w14:paraId="47D5F64C" w14:textId="16F91E7C" w:rsidR="00E35120" w:rsidRDefault="00E35120" w:rsidP="00006890">
      <w:pPr>
        <w:pStyle w:val="NormalWeb"/>
        <w:spacing w:before="0" w:beforeAutospacing="0" w:after="0" w:afterAutospacing="0" w:line="360" w:lineRule="auto"/>
        <w:ind w:right="77"/>
        <w:rPr>
          <w:rFonts w:ascii="Palatino Linotype" w:hAnsi="Palatino Linotype" w:cstheme="minorHAnsi"/>
          <w:b/>
          <w:bCs/>
          <w:sz w:val="22"/>
          <w:szCs w:val="22"/>
          <w:lang w:val="en-US"/>
        </w:rPr>
      </w:pPr>
    </w:p>
    <w:p w14:paraId="6E1327DA" w14:textId="77777777" w:rsidR="00C14FC9" w:rsidRDefault="00C14FC9" w:rsidP="00006890">
      <w:pPr>
        <w:pStyle w:val="NormalWeb"/>
        <w:spacing w:before="0" w:beforeAutospacing="0" w:after="0" w:afterAutospacing="0" w:line="360" w:lineRule="auto"/>
        <w:ind w:right="77"/>
        <w:rPr>
          <w:rFonts w:ascii="Palatino Linotype" w:hAnsi="Palatino Linotype" w:cstheme="minorHAnsi"/>
          <w:b/>
          <w:bCs/>
          <w:sz w:val="22"/>
          <w:szCs w:val="22"/>
          <w:lang w:val="en-US"/>
        </w:rPr>
      </w:pPr>
    </w:p>
    <w:p w14:paraId="737C7D9C" w14:textId="77777777" w:rsidR="00E35120" w:rsidRDefault="00E35120" w:rsidP="00006890">
      <w:pPr>
        <w:pStyle w:val="NormalWeb"/>
        <w:spacing w:before="0" w:beforeAutospacing="0" w:after="0" w:afterAutospacing="0" w:line="360" w:lineRule="auto"/>
        <w:ind w:right="77"/>
        <w:rPr>
          <w:rFonts w:ascii="Palatino Linotype" w:hAnsi="Palatino Linotype" w:cstheme="minorHAnsi"/>
          <w:b/>
          <w:bCs/>
          <w:sz w:val="22"/>
          <w:szCs w:val="22"/>
          <w:lang w:val="en-US"/>
        </w:rPr>
      </w:pPr>
    </w:p>
    <w:p w14:paraId="526998E8" w14:textId="6115BAD1" w:rsidR="00006890" w:rsidRPr="00155A64" w:rsidRDefault="003A4849" w:rsidP="00006890">
      <w:pPr>
        <w:pStyle w:val="NormalWeb"/>
        <w:spacing w:before="0" w:beforeAutospacing="0" w:after="0" w:afterAutospacing="0" w:line="360" w:lineRule="auto"/>
        <w:ind w:right="77"/>
        <w:rPr>
          <w:rFonts w:ascii="Palatino Linotype" w:hAnsi="Palatino Linotype" w:cstheme="minorHAnsi"/>
          <w:b/>
          <w:bCs/>
          <w:color w:val="FF0000"/>
          <w:sz w:val="22"/>
          <w:szCs w:val="22"/>
          <w:lang w:val="en-US"/>
        </w:rPr>
      </w:pPr>
      <w:r>
        <w:rPr>
          <w:rFonts w:ascii="Palatino Linotype" w:hAnsi="Palatino Linotype" w:cstheme="minorHAnsi"/>
          <w:b/>
          <w:bCs/>
          <w:sz w:val="22"/>
          <w:szCs w:val="22"/>
          <w:lang w:val="en-US"/>
        </w:rPr>
        <w:t>The increase</w:t>
      </w:r>
      <w:r w:rsidR="00006890">
        <w:rPr>
          <w:rFonts w:ascii="Palatino Linotype" w:hAnsi="Palatino Linotype" w:cstheme="minorHAnsi"/>
          <w:b/>
          <w:bCs/>
          <w:sz w:val="22"/>
          <w:szCs w:val="22"/>
          <w:lang w:val="en-US"/>
        </w:rPr>
        <w:t xml:space="preserve"> in </w:t>
      </w:r>
      <w:r w:rsidR="00006890" w:rsidRPr="00ED431D">
        <w:rPr>
          <w:rFonts w:ascii="Palatino Linotype" w:hAnsi="Palatino Linotype" w:cstheme="minorHAnsi"/>
          <w:b/>
          <w:bCs/>
          <w:sz w:val="22"/>
          <w:szCs w:val="22"/>
          <w:lang w:val="en-US"/>
        </w:rPr>
        <w:t>private consumption</w:t>
      </w:r>
      <w:r>
        <w:rPr>
          <w:rFonts w:ascii="Palatino Linotype" w:hAnsi="Palatino Linotype" w:cstheme="minorHAnsi"/>
          <w:b/>
          <w:bCs/>
          <w:sz w:val="22"/>
          <w:szCs w:val="22"/>
          <w:lang w:val="en-US"/>
        </w:rPr>
        <w:t xml:space="preserve"> continues</w:t>
      </w:r>
    </w:p>
    <w:p w14:paraId="376793DA" w14:textId="1C0B9D4F" w:rsidR="0000013E" w:rsidRDefault="00EB2B22" w:rsidP="00916C78">
      <w:pPr>
        <w:pStyle w:val="NormalWeb"/>
        <w:spacing w:before="0" w:beforeAutospacing="0" w:after="0" w:afterAutospacing="0" w:line="360" w:lineRule="auto"/>
        <w:ind w:right="77"/>
        <w:jc w:val="both"/>
        <w:rPr>
          <w:rFonts w:ascii="Palatino Linotype" w:hAnsi="Palatino Linotype" w:cstheme="minorHAnsi"/>
          <w:sz w:val="22"/>
          <w:szCs w:val="22"/>
          <w:lang w:val="en-US"/>
        </w:rPr>
      </w:pPr>
      <w:r w:rsidRPr="00EB2B22">
        <w:rPr>
          <w:rFonts w:ascii="Palatino Linotype" w:hAnsi="Palatino Linotype" w:cstheme="minorHAnsi"/>
          <w:sz w:val="22"/>
          <w:szCs w:val="22"/>
          <w:lang w:val="en-US"/>
        </w:rPr>
        <w:t xml:space="preserve">In the </w:t>
      </w:r>
      <w:r w:rsidR="003A4849">
        <w:rPr>
          <w:rFonts w:ascii="Palatino Linotype" w:hAnsi="Palatino Linotype" w:cstheme="minorHAnsi"/>
          <w:sz w:val="22"/>
          <w:szCs w:val="22"/>
          <w:lang w:val="en-US"/>
        </w:rPr>
        <w:t>second</w:t>
      </w:r>
      <w:r w:rsidRPr="00EB2B22">
        <w:rPr>
          <w:rFonts w:ascii="Palatino Linotype" w:hAnsi="Palatino Linotype" w:cstheme="minorHAnsi"/>
          <w:sz w:val="22"/>
          <w:szCs w:val="22"/>
          <w:lang w:val="en-US"/>
        </w:rPr>
        <w:t xml:space="preserve"> quarter of 202</w:t>
      </w:r>
      <w:r w:rsidR="00AF78D0">
        <w:rPr>
          <w:rFonts w:ascii="Palatino Linotype" w:hAnsi="Palatino Linotype" w:cstheme="minorHAnsi"/>
          <w:sz w:val="22"/>
          <w:szCs w:val="22"/>
          <w:lang w:val="en-US"/>
        </w:rPr>
        <w:t>2</w:t>
      </w:r>
      <w:r w:rsidRPr="00EB2B22">
        <w:rPr>
          <w:rFonts w:ascii="Palatino Linotype" w:hAnsi="Palatino Linotype" w:cstheme="minorHAnsi"/>
          <w:sz w:val="22"/>
          <w:szCs w:val="22"/>
          <w:lang w:val="en-US"/>
        </w:rPr>
        <w:t xml:space="preserve">, private consumption increased by </w:t>
      </w:r>
      <w:r w:rsidR="003A4849">
        <w:rPr>
          <w:rFonts w:ascii="Palatino Linotype" w:hAnsi="Palatino Linotype" w:cstheme="minorHAnsi"/>
          <w:sz w:val="22"/>
          <w:szCs w:val="22"/>
          <w:lang w:val="en-US"/>
        </w:rPr>
        <w:t>22</w:t>
      </w:r>
      <w:r w:rsidRPr="00EB2B22">
        <w:rPr>
          <w:rFonts w:ascii="Palatino Linotype" w:hAnsi="Palatino Linotype" w:cstheme="minorHAnsi"/>
          <w:sz w:val="22"/>
          <w:szCs w:val="22"/>
          <w:lang w:val="en-US"/>
        </w:rPr>
        <w:t>.</w:t>
      </w:r>
      <w:r w:rsidR="00AF78D0">
        <w:rPr>
          <w:rFonts w:ascii="Palatino Linotype" w:hAnsi="Palatino Linotype" w:cstheme="minorHAnsi"/>
          <w:sz w:val="22"/>
          <w:szCs w:val="22"/>
          <w:lang w:val="en-US"/>
        </w:rPr>
        <w:t>5</w:t>
      </w:r>
      <w:r w:rsidRPr="00EB2B22">
        <w:rPr>
          <w:rFonts w:ascii="Palatino Linotype" w:hAnsi="Palatino Linotype" w:cstheme="minorHAnsi"/>
          <w:sz w:val="22"/>
          <w:szCs w:val="22"/>
          <w:lang w:val="en-US"/>
        </w:rPr>
        <w:t xml:space="preserve"> percent </w:t>
      </w:r>
      <w:r w:rsidR="00905810">
        <w:rPr>
          <w:rFonts w:ascii="Palatino Linotype" w:hAnsi="Palatino Linotype" w:cstheme="minorHAnsi"/>
          <w:sz w:val="22"/>
          <w:szCs w:val="22"/>
          <w:lang w:val="en-US"/>
        </w:rPr>
        <w:t>yearly</w:t>
      </w:r>
      <w:r w:rsidRPr="00EB2B22">
        <w:rPr>
          <w:rFonts w:ascii="Palatino Linotype" w:hAnsi="Palatino Linotype" w:cstheme="minorHAnsi"/>
          <w:sz w:val="22"/>
          <w:szCs w:val="22"/>
          <w:lang w:val="en-US"/>
        </w:rPr>
        <w:t>, contributing 1</w:t>
      </w:r>
      <w:r w:rsidR="003A4849">
        <w:rPr>
          <w:rFonts w:ascii="Palatino Linotype" w:hAnsi="Palatino Linotype" w:cstheme="minorHAnsi"/>
          <w:sz w:val="22"/>
          <w:szCs w:val="22"/>
          <w:lang w:val="en-US"/>
        </w:rPr>
        <w:t>2</w:t>
      </w:r>
      <w:r w:rsidRPr="00EB2B22">
        <w:rPr>
          <w:rFonts w:ascii="Palatino Linotype" w:hAnsi="Palatino Linotype" w:cstheme="minorHAnsi"/>
          <w:sz w:val="22"/>
          <w:szCs w:val="22"/>
          <w:lang w:val="en-US"/>
        </w:rPr>
        <w:t>.</w:t>
      </w:r>
      <w:r w:rsidR="003A4849">
        <w:rPr>
          <w:rFonts w:ascii="Palatino Linotype" w:hAnsi="Palatino Linotype" w:cstheme="minorHAnsi"/>
          <w:sz w:val="22"/>
          <w:szCs w:val="22"/>
          <w:lang w:val="en-US"/>
        </w:rPr>
        <w:t>3</w:t>
      </w:r>
      <w:r w:rsidRPr="00EB2B22">
        <w:rPr>
          <w:rFonts w:ascii="Palatino Linotype" w:hAnsi="Palatino Linotype" w:cstheme="minorHAnsi"/>
          <w:sz w:val="22"/>
          <w:szCs w:val="22"/>
          <w:lang w:val="en-US"/>
        </w:rPr>
        <w:t xml:space="preserve"> percentage points to growth (Table 1). </w:t>
      </w:r>
      <w:r w:rsidR="003A4849" w:rsidRPr="003A4849">
        <w:rPr>
          <w:rFonts w:ascii="Palatino Linotype" w:hAnsi="Palatino Linotype" w:cstheme="minorHAnsi"/>
          <w:sz w:val="22"/>
          <w:szCs w:val="22"/>
          <w:lang w:val="en-US"/>
        </w:rPr>
        <w:t>According to the seasonally and calendar-adjusted</w:t>
      </w:r>
      <w:r w:rsidR="003A4849">
        <w:rPr>
          <w:rFonts w:ascii="Palatino Linotype" w:hAnsi="Palatino Linotype" w:cstheme="minorHAnsi"/>
          <w:sz w:val="22"/>
          <w:szCs w:val="22"/>
          <w:lang w:val="en-US"/>
        </w:rPr>
        <w:t xml:space="preserve"> figures, private consumption increased by 3.9 percent compared to the previous quarter, contributing 2.3 percentage points to quarterly growth </w:t>
      </w:r>
      <w:r w:rsidRPr="00EB2B22">
        <w:rPr>
          <w:rFonts w:ascii="Palatino Linotype" w:hAnsi="Palatino Linotype" w:cstheme="minorHAnsi"/>
          <w:sz w:val="22"/>
          <w:szCs w:val="22"/>
          <w:lang w:val="en-US"/>
        </w:rPr>
        <w:t>(Table 2).</w:t>
      </w:r>
    </w:p>
    <w:p w14:paraId="248A4A91" w14:textId="77777777" w:rsidR="00EB2B22" w:rsidRPr="006679E6" w:rsidRDefault="00EB2B22" w:rsidP="00916C78">
      <w:pPr>
        <w:pStyle w:val="NormalWeb"/>
        <w:spacing w:before="0" w:beforeAutospacing="0" w:after="0" w:afterAutospacing="0" w:line="360" w:lineRule="auto"/>
        <w:ind w:right="77"/>
        <w:jc w:val="both"/>
        <w:rPr>
          <w:rFonts w:ascii="Palatino Linotype" w:hAnsi="Palatino Linotype" w:cstheme="minorHAnsi"/>
          <w:sz w:val="22"/>
          <w:szCs w:val="22"/>
          <w:lang w:val="en-US"/>
        </w:rPr>
      </w:pPr>
    </w:p>
    <w:p w14:paraId="47596A1C" w14:textId="0F3FC856" w:rsidR="00006890" w:rsidRDefault="00006890" w:rsidP="00006890">
      <w:pPr>
        <w:keepNext/>
        <w:ind w:right="79"/>
        <w:jc w:val="both"/>
        <w:rPr>
          <w:rFonts w:ascii="Palatino Linotype" w:hAnsi="Palatino Linotype" w:cstheme="minorHAnsi"/>
          <w:b/>
          <w:bCs/>
          <w:sz w:val="22"/>
          <w:szCs w:val="22"/>
          <w:lang w:val="en-US"/>
        </w:rPr>
      </w:pPr>
      <w:r w:rsidRPr="00155A64">
        <w:rPr>
          <w:rFonts w:ascii="Palatino Linotype" w:hAnsi="Palatino Linotype" w:cstheme="minorHAnsi"/>
          <w:b/>
          <w:bCs/>
          <w:sz w:val="22"/>
          <w:szCs w:val="22"/>
          <w:lang w:val="en-US"/>
        </w:rPr>
        <w:t xml:space="preserve">Table 1: Growth rates and contributions to the </w:t>
      </w:r>
      <w:r w:rsidR="00325894">
        <w:rPr>
          <w:rFonts w:ascii="Palatino Linotype" w:hAnsi="Palatino Linotype" w:cstheme="minorHAnsi"/>
          <w:b/>
          <w:bCs/>
          <w:sz w:val="22"/>
          <w:szCs w:val="22"/>
          <w:lang w:val="en-US"/>
        </w:rPr>
        <w:t>growth of GDP components in 202</w:t>
      </w:r>
      <w:r w:rsidR="003F6C2B">
        <w:rPr>
          <w:rFonts w:ascii="Palatino Linotype" w:hAnsi="Palatino Linotype" w:cstheme="minorHAnsi"/>
          <w:b/>
          <w:bCs/>
          <w:sz w:val="22"/>
          <w:szCs w:val="22"/>
          <w:lang w:val="en-US"/>
        </w:rPr>
        <w:t>2</w:t>
      </w:r>
      <w:r w:rsidRPr="00155A64">
        <w:rPr>
          <w:rFonts w:ascii="Palatino Linotype" w:hAnsi="Palatino Linotype" w:cstheme="minorHAnsi"/>
          <w:b/>
          <w:bCs/>
          <w:sz w:val="22"/>
          <w:szCs w:val="22"/>
          <w:lang w:val="en-US"/>
        </w:rPr>
        <w:t xml:space="preserve"> Q</w:t>
      </w:r>
      <w:r w:rsidR="003F6C2B">
        <w:rPr>
          <w:rFonts w:ascii="Palatino Linotype" w:hAnsi="Palatino Linotype" w:cstheme="minorHAnsi"/>
          <w:b/>
          <w:bCs/>
          <w:sz w:val="22"/>
          <w:szCs w:val="22"/>
          <w:lang w:val="en-US"/>
        </w:rPr>
        <w:t>1</w:t>
      </w:r>
      <w:r w:rsidRPr="00155A64">
        <w:rPr>
          <w:rFonts w:ascii="Palatino Linotype" w:hAnsi="Palatino Linotype" w:cstheme="minorHAnsi"/>
          <w:b/>
          <w:bCs/>
          <w:sz w:val="22"/>
          <w:szCs w:val="22"/>
          <w:lang w:val="en-US"/>
        </w:rPr>
        <w:t xml:space="preserve"> and 202</w:t>
      </w:r>
      <w:r w:rsidR="00AF78D0">
        <w:rPr>
          <w:rFonts w:ascii="Palatino Linotype" w:hAnsi="Palatino Linotype" w:cstheme="minorHAnsi"/>
          <w:b/>
          <w:bCs/>
          <w:sz w:val="22"/>
          <w:szCs w:val="22"/>
          <w:lang w:val="en-US"/>
        </w:rPr>
        <w:t>2</w:t>
      </w:r>
      <w:r w:rsidRPr="00155A64">
        <w:rPr>
          <w:rFonts w:ascii="Palatino Linotype" w:hAnsi="Palatino Linotype" w:cstheme="minorHAnsi"/>
          <w:b/>
          <w:bCs/>
          <w:sz w:val="22"/>
          <w:szCs w:val="22"/>
          <w:lang w:val="en-US"/>
        </w:rPr>
        <w:t xml:space="preserve"> Q</w:t>
      </w:r>
      <w:r w:rsidR="003F6C2B">
        <w:rPr>
          <w:rFonts w:ascii="Palatino Linotype" w:hAnsi="Palatino Linotype" w:cstheme="minorHAnsi"/>
          <w:b/>
          <w:bCs/>
          <w:sz w:val="22"/>
          <w:szCs w:val="22"/>
          <w:lang w:val="en-US"/>
        </w:rPr>
        <w:t>2</w:t>
      </w:r>
      <w:r w:rsidRPr="00155A64">
        <w:rPr>
          <w:rFonts w:ascii="Palatino Linotype" w:hAnsi="Palatino Linotype" w:cstheme="minorHAnsi"/>
          <w:b/>
          <w:bCs/>
          <w:sz w:val="22"/>
          <w:szCs w:val="22"/>
          <w:lang w:val="en-US"/>
        </w:rPr>
        <w:t xml:space="preserve"> compared to the same quarter of the previous year</w:t>
      </w:r>
    </w:p>
    <w:tbl>
      <w:tblPr>
        <w:tblW w:w="0" w:type="auto"/>
        <w:tblInd w:w="-30" w:type="dxa"/>
        <w:tblLayout w:type="fixed"/>
        <w:tblLook w:val="0000" w:firstRow="0" w:lastRow="0" w:firstColumn="0" w:lastColumn="0" w:noHBand="0" w:noVBand="0"/>
      </w:tblPr>
      <w:tblGrid>
        <w:gridCol w:w="2126"/>
        <w:gridCol w:w="1709"/>
        <w:gridCol w:w="1596"/>
        <w:gridCol w:w="1709"/>
        <w:gridCol w:w="1562"/>
      </w:tblGrid>
      <w:tr w:rsidR="002E555E" w14:paraId="55E00A26" w14:textId="77777777" w:rsidTr="008A3F63">
        <w:tblPrEx>
          <w:tblCellMar>
            <w:top w:w="0" w:type="dxa"/>
            <w:bottom w:w="0" w:type="dxa"/>
          </w:tblCellMar>
        </w:tblPrEx>
        <w:trPr>
          <w:trHeight w:val="271"/>
        </w:trPr>
        <w:tc>
          <w:tcPr>
            <w:tcW w:w="2126" w:type="dxa"/>
            <w:tcBorders>
              <w:top w:val="nil"/>
              <w:left w:val="nil"/>
              <w:bottom w:val="nil"/>
              <w:right w:val="nil"/>
            </w:tcBorders>
            <w:shd w:val="solid" w:color="FFFFFF" w:fill="auto"/>
          </w:tcPr>
          <w:p w14:paraId="2FF89885" w14:textId="77777777" w:rsidR="002E555E" w:rsidRDefault="002E555E">
            <w:pPr>
              <w:autoSpaceDE w:val="0"/>
              <w:autoSpaceDN w:val="0"/>
              <w:adjustRightInd w:val="0"/>
              <w:jc w:val="right"/>
              <w:rPr>
                <w:rFonts w:ascii="Calibri" w:hAnsi="Calibri" w:cs="Calibri"/>
                <w:b/>
                <w:bCs/>
                <w:color w:val="000000"/>
                <w:sz w:val="20"/>
                <w:szCs w:val="20"/>
                <w:lang w:val="en-GB" w:eastAsia="en-US"/>
              </w:rPr>
            </w:pPr>
          </w:p>
        </w:tc>
        <w:tc>
          <w:tcPr>
            <w:tcW w:w="3305" w:type="dxa"/>
            <w:gridSpan w:val="2"/>
            <w:tcBorders>
              <w:top w:val="single" w:sz="6" w:space="0" w:color="auto"/>
              <w:left w:val="single" w:sz="6" w:space="0" w:color="auto"/>
              <w:bottom w:val="single" w:sz="6" w:space="0" w:color="auto"/>
              <w:right w:val="single" w:sz="6" w:space="0" w:color="auto"/>
            </w:tcBorders>
            <w:shd w:val="solid" w:color="FFFFFF" w:fill="auto"/>
          </w:tcPr>
          <w:p w14:paraId="6DCDD34E" w14:textId="2D6B88AE" w:rsidR="002E555E" w:rsidRDefault="002E555E" w:rsidP="002E555E">
            <w:pPr>
              <w:autoSpaceDE w:val="0"/>
              <w:autoSpaceDN w:val="0"/>
              <w:adjustRightInd w:val="0"/>
              <w:jc w:val="center"/>
              <w:rPr>
                <w:rFonts w:ascii="Calibri" w:hAnsi="Calibri" w:cs="Calibri"/>
                <w:b/>
                <w:bCs/>
                <w:color w:val="000000"/>
                <w:sz w:val="20"/>
                <w:szCs w:val="20"/>
                <w:lang w:val="en-GB" w:eastAsia="en-US"/>
              </w:rPr>
            </w:pPr>
            <w:r>
              <w:rPr>
                <w:rFonts w:ascii="Calibri" w:hAnsi="Calibri" w:cs="Calibri"/>
                <w:b/>
                <w:bCs/>
                <w:color w:val="000000"/>
                <w:sz w:val="20"/>
                <w:szCs w:val="20"/>
                <w:lang w:val="en-GB" w:eastAsia="en-US"/>
              </w:rPr>
              <w:t>2022Q1</w:t>
            </w:r>
          </w:p>
        </w:tc>
        <w:tc>
          <w:tcPr>
            <w:tcW w:w="3271" w:type="dxa"/>
            <w:gridSpan w:val="2"/>
            <w:tcBorders>
              <w:top w:val="single" w:sz="6" w:space="0" w:color="auto"/>
              <w:left w:val="single" w:sz="6" w:space="0" w:color="auto"/>
              <w:bottom w:val="single" w:sz="6" w:space="0" w:color="auto"/>
              <w:right w:val="single" w:sz="6" w:space="0" w:color="auto"/>
            </w:tcBorders>
            <w:shd w:val="solid" w:color="FFFFFF" w:fill="auto"/>
          </w:tcPr>
          <w:p w14:paraId="3322B755" w14:textId="0DD26E98" w:rsidR="002E555E" w:rsidRDefault="002E555E" w:rsidP="002E555E">
            <w:pPr>
              <w:autoSpaceDE w:val="0"/>
              <w:autoSpaceDN w:val="0"/>
              <w:adjustRightInd w:val="0"/>
              <w:jc w:val="center"/>
              <w:rPr>
                <w:rFonts w:ascii="Calibri" w:hAnsi="Calibri" w:cs="Calibri"/>
                <w:b/>
                <w:bCs/>
                <w:color w:val="000000"/>
                <w:sz w:val="20"/>
                <w:szCs w:val="20"/>
                <w:lang w:val="en-GB" w:eastAsia="en-US"/>
              </w:rPr>
            </w:pPr>
            <w:r>
              <w:rPr>
                <w:rFonts w:ascii="Calibri" w:hAnsi="Calibri" w:cs="Calibri"/>
                <w:b/>
                <w:bCs/>
                <w:color w:val="000000"/>
                <w:sz w:val="20"/>
                <w:szCs w:val="20"/>
                <w:lang w:val="en-GB" w:eastAsia="en-US"/>
              </w:rPr>
              <w:t>2022Q2</w:t>
            </w:r>
          </w:p>
        </w:tc>
      </w:tr>
      <w:tr w:rsidR="002E555E" w14:paraId="50CBBD60" w14:textId="77777777" w:rsidTr="002E555E">
        <w:tblPrEx>
          <w:tblCellMar>
            <w:top w:w="0" w:type="dxa"/>
            <w:bottom w:w="0" w:type="dxa"/>
          </w:tblCellMar>
        </w:tblPrEx>
        <w:trPr>
          <w:trHeight w:val="271"/>
        </w:trPr>
        <w:tc>
          <w:tcPr>
            <w:tcW w:w="2126" w:type="dxa"/>
            <w:tcBorders>
              <w:top w:val="nil"/>
              <w:left w:val="nil"/>
              <w:bottom w:val="nil"/>
              <w:right w:val="nil"/>
            </w:tcBorders>
            <w:shd w:val="solid" w:color="FFFFFF" w:fill="auto"/>
          </w:tcPr>
          <w:p w14:paraId="0EF23E95" w14:textId="77777777" w:rsidR="002E555E" w:rsidRDefault="002E555E">
            <w:pPr>
              <w:autoSpaceDE w:val="0"/>
              <w:autoSpaceDN w:val="0"/>
              <w:adjustRightInd w:val="0"/>
              <w:jc w:val="right"/>
              <w:rPr>
                <w:rFonts w:ascii="Calibri" w:hAnsi="Calibri" w:cs="Calibri"/>
                <w:b/>
                <w:bCs/>
                <w:color w:val="000000"/>
                <w:sz w:val="20"/>
                <w:szCs w:val="20"/>
                <w:lang w:val="en-GB" w:eastAsia="en-US"/>
              </w:rPr>
            </w:pPr>
          </w:p>
        </w:tc>
        <w:tc>
          <w:tcPr>
            <w:tcW w:w="1709" w:type="dxa"/>
            <w:tcBorders>
              <w:top w:val="single" w:sz="6" w:space="0" w:color="auto"/>
              <w:left w:val="single" w:sz="6" w:space="0" w:color="auto"/>
              <w:bottom w:val="single" w:sz="6" w:space="0" w:color="auto"/>
              <w:right w:val="nil"/>
            </w:tcBorders>
            <w:shd w:val="solid" w:color="FFFFFF" w:fill="auto"/>
          </w:tcPr>
          <w:p w14:paraId="7E578762" w14:textId="77777777" w:rsidR="002E555E" w:rsidRDefault="002E555E">
            <w:pPr>
              <w:autoSpaceDE w:val="0"/>
              <w:autoSpaceDN w:val="0"/>
              <w:adjustRightInd w:val="0"/>
              <w:jc w:val="center"/>
              <w:rPr>
                <w:rFonts w:ascii="Calibri" w:hAnsi="Calibri" w:cs="Calibri"/>
                <w:b/>
                <w:bCs/>
                <w:color w:val="000000"/>
                <w:sz w:val="20"/>
                <w:szCs w:val="20"/>
                <w:lang w:val="en-GB" w:eastAsia="en-US"/>
              </w:rPr>
            </w:pPr>
            <w:r>
              <w:rPr>
                <w:rFonts w:ascii="Calibri" w:hAnsi="Calibri" w:cs="Calibri"/>
                <w:b/>
                <w:bCs/>
                <w:color w:val="000000"/>
                <w:sz w:val="20"/>
                <w:szCs w:val="20"/>
                <w:lang w:val="en-GB" w:eastAsia="en-US"/>
              </w:rPr>
              <w:t>Change (%)</w:t>
            </w:r>
          </w:p>
        </w:tc>
        <w:tc>
          <w:tcPr>
            <w:tcW w:w="1596" w:type="dxa"/>
            <w:tcBorders>
              <w:top w:val="single" w:sz="6" w:space="0" w:color="auto"/>
              <w:left w:val="nil"/>
              <w:bottom w:val="nil"/>
              <w:right w:val="single" w:sz="6" w:space="0" w:color="auto"/>
            </w:tcBorders>
            <w:shd w:val="solid" w:color="FFFFFF" w:fill="auto"/>
          </w:tcPr>
          <w:p w14:paraId="7EF1AFB6" w14:textId="77777777" w:rsidR="002E555E" w:rsidRDefault="002E555E">
            <w:pPr>
              <w:autoSpaceDE w:val="0"/>
              <w:autoSpaceDN w:val="0"/>
              <w:adjustRightInd w:val="0"/>
              <w:jc w:val="center"/>
              <w:rPr>
                <w:rFonts w:ascii="Calibri" w:hAnsi="Calibri" w:cs="Calibri"/>
                <w:b/>
                <w:bCs/>
                <w:color w:val="000000"/>
                <w:sz w:val="20"/>
                <w:szCs w:val="20"/>
                <w:lang w:val="en-GB" w:eastAsia="en-US"/>
              </w:rPr>
            </w:pPr>
            <w:r>
              <w:rPr>
                <w:rFonts w:ascii="Calibri" w:hAnsi="Calibri" w:cs="Calibri"/>
                <w:b/>
                <w:bCs/>
                <w:color w:val="000000"/>
                <w:sz w:val="20"/>
                <w:szCs w:val="20"/>
                <w:lang w:val="en-GB" w:eastAsia="en-US"/>
              </w:rPr>
              <w:t>Contribution (%)</w:t>
            </w:r>
          </w:p>
        </w:tc>
        <w:tc>
          <w:tcPr>
            <w:tcW w:w="1709" w:type="dxa"/>
            <w:tcBorders>
              <w:top w:val="single" w:sz="6" w:space="0" w:color="auto"/>
              <w:left w:val="single" w:sz="6" w:space="0" w:color="auto"/>
              <w:bottom w:val="nil"/>
              <w:right w:val="nil"/>
            </w:tcBorders>
            <w:shd w:val="solid" w:color="FFFFFF" w:fill="auto"/>
          </w:tcPr>
          <w:p w14:paraId="18EED5BA" w14:textId="77777777" w:rsidR="002E555E" w:rsidRDefault="002E555E">
            <w:pPr>
              <w:autoSpaceDE w:val="0"/>
              <w:autoSpaceDN w:val="0"/>
              <w:adjustRightInd w:val="0"/>
              <w:jc w:val="center"/>
              <w:rPr>
                <w:rFonts w:ascii="Calibri" w:hAnsi="Calibri" w:cs="Calibri"/>
                <w:b/>
                <w:bCs/>
                <w:color w:val="000000"/>
                <w:sz w:val="20"/>
                <w:szCs w:val="20"/>
                <w:lang w:val="en-GB" w:eastAsia="en-US"/>
              </w:rPr>
            </w:pPr>
            <w:r>
              <w:rPr>
                <w:rFonts w:ascii="Calibri" w:hAnsi="Calibri" w:cs="Calibri"/>
                <w:b/>
                <w:bCs/>
                <w:color w:val="000000"/>
                <w:sz w:val="20"/>
                <w:szCs w:val="20"/>
                <w:lang w:val="en-GB" w:eastAsia="en-US"/>
              </w:rPr>
              <w:t>Change (%)</w:t>
            </w:r>
          </w:p>
        </w:tc>
        <w:tc>
          <w:tcPr>
            <w:tcW w:w="1562" w:type="dxa"/>
            <w:tcBorders>
              <w:top w:val="single" w:sz="6" w:space="0" w:color="auto"/>
              <w:left w:val="nil"/>
              <w:bottom w:val="nil"/>
              <w:right w:val="single" w:sz="6" w:space="0" w:color="auto"/>
            </w:tcBorders>
            <w:shd w:val="solid" w:color="FFFFFF" w:fill="auto"/>
          </w:tcPr>
          <w:p w14:paraId="1D89F6BF" w14:textId="77777777" w:rsidR="002E555E" w:rsidRDefault="002E555E">
            <w:pPr>
              <w:autoSpaceDE w:val="0"/>
              <w:autoSpaceDN w:val="0"/>
              <w:adjustRightInd w:val="0"/>
              <w:jc w:val="center"/>
              <w:rPr>
                <w:rFonts w:ascii="Calibri" w:hAnsi="Calibri" w:cs="Calibri"/>
                <w:b/>
                <w:bCs/>
                <w:color w:val="000000"/>
                <w:sz w:val="20"/>
                <w:szCs w:val="20"/>
                <w:lang w:val="en-GB" w:eastAsia="en-US"/>
              </w:rPr>
            </w:pPr>
            <w:r>
              <w:rPr>
                <w:rFonts w:ascii="Calibri" w:hAnsi="Calibri" w:cs="Calibri"/>
                <w:b/>
                <w:bCs/>
                <w:color w:val="000000"/>
                <w:sz w:val="20"/>
                <w:szCs w:val="20"/>
                <w:lang w:val="en-GB" w:eastAsia="en-US"/>
              </w:rPr>
              <w:t>Contribution (%)</w:t>
            </w:r>
          </w:p>
        </w:tc>
      </w:tr>
      <w:tr w:rsidR="002E555E" w14:paraId="58C5379F" w14:textId="77777777" w:rsidTr="002E555E">
        <w:tblPrEx>
          <w:tblCellMar>
            <w:top w:w="0" w:type="dxa"/>
            <w:bottom w:w="0" w:type="dxa"/>
          </w:tblCellMar>
        </w:tblPrEx>
        <w:trPr>
          <w:trHeight w:val="271"/>
        </w:trPr>
        <w:tc>
          <w:tcPr>
            <w:tcW w:w="2126" w:type="dxa"/>
            <w:tcBorders>
              <w:top w:val="single" w:sz="6" w:space="0" w:color="auto"/>
              <w:left w:val="nil"/>
              <w:bottom w:val="nil"/>
              <w:right w:val="nil"/>
            </w:tcBorders>
            <w:shd w:val="solid" w:color="FFFFFF" w:fill="auto"/>
          </w:tcPr>
          <w:p w14:paraId="332CEA5C" w14:textId="77777777" w:rsidR="002E555E" w:rsidRDefault="002E555E">
            <w:pPr>
              <w:autoSpaceDE w:val="0"/>
              <w:autoSpaceDN w:val="0"/>
              <w:adjustRightInd w:val="0"/>
              <w:rPr>
                <w:rFonts w:ascii="Calibri" w:hAnsi="Calibri" w:cs="Calibri"/>
                <w:b/>
                <w:bCs/>
                <w:color w:val="000000"/>
                <w:sz w:val="20"/>
                <w:szCs w:val="20"/>
                <w:lang w:val="en-GB" w:eastAsia="en-US"/>
              </w:rPr>
            </w:pPr>
            <w:r>
              <w:rPr>
                <w:rFonts w:ascii="Calibri" w:hAnsi="Calibri" w:cs="Calibri"/>
                <w:b/>
                <w:bCs/>
                <w:color w:val="000000"/>
                <w:sz w:val="20"/>
                <w:szCs w:val="20"/>
                <w:lang w:val="en-GB" w:eastAsia="en-US"/>
              </w:rPr>
              <w:t>Consumption</w:t>
            </w:r>
          </w:p>
        </w:tc>
        <w:tc>
          <w:tcPr>
            <w:tcW w:w="1709" w:type="dxa"/>
            <w:tcBorders>
              <w:top w:val="single" w:sz="6" w:space="0" w:color="auto"/>
              <w:left w:val="single" w:sz="6" w:space="0" w:color="auto"/>
              <w:bottom w:val="nil"/>
              <w:right w:val="nil"/>
            </w:tcBorders>
            <w:shd w:val="solid" w:color="FFFFFF" w:fill="auto"/>
          </w:tcPr>
          <w:p w14:paraId="5D27A722" w14:textId="77777777" w:rsidR="002E555E" w:rsidRDefault="002E555E">
            <w:pPr>
              <w:autoSpaceDE w:val="0"/>
              <w:autoSpaceDN w:val="0"/>
              <w:adjustRightInd w:val="0"/>
              <w:jc w:val="center"/>
              <w:rPr>
                <w:rFonts w:ascii="Calibri" w:hAnsi="Calibri" w:cs="Calibri"/>
                <w:color w:val="000000"/>
                <w:sz w:val="20"/>
                <w:szCs w:val="20"/>
                <w:lang w:val="en-GB" w:eastAsia="en-US"/>
              </w:rPr>
            </w:pPr>
            <w:r>
              <w:rPr>
                <w:rFonts w:ascii="Calibri" w:hAnsi="Calibri" w:cs="Calibri"/>
                <w:color w:val="000000"/>
                <w:sz w:val="20"/>
                <w:szCs w:val="20"/>
                <w:lang w:val="en-GB" w:eastAsia="en-US"/>
              </w:rPr>
              <w:t>21.5</w:t>
            </w:r>
          </w:p>
        </w:tc>
        <w:tc>
          <w:tcPr>
            <w:tcW w:w="1596" w:type="dxa"/>
            <w:tcBorders>
              <w:top w:val="single" w:sz="6" w:space="0" w:color="auto"/>
              <w:left w:val="nil"/>
              <w:bottom w:val="nil"/>
              <w:right w:val="single" w:sz="6" w:space="0" w:color="auto"/>
            </w:tcBorders>
            <w:shd w:val="solid" w:color="FFFFFF" w:fill="auto"/>
          </w:tcPr>
          <w:p w14:paraId="5543A9C7" w14:textId="77777777" w:rsidR="002E555E" w:rsidRDefault="002E555E">
            <w:pPr>
              <w:autoSpaceDE w:val="0"/>
              <w:autoSpaceDN w:val="0"/>
              <w:adjustRightInd w:val="0"/>
              <w:jc w:val="center"/>
              <w:rPr>
                <w:rFonts w:ascii="Calibri" w:hAnsi="Calibri" w:cs="Calibri"/>
                <w:color w:val="000000"/>
                <w:sz w:val="20"/>
                <w:szCs w:val="20"/>
                <w:lang w:val="en-GB" w:eastAsia="en-US"/>
              </w:rPr>
            </w:pPr>
            <w:r>
              <w:rPr>
                <w:rFonts w:ascii="Calibri" w:hAnsi="Calibri" w:cs="Calibri"/>
                <w:color w:val="000000"/>
                <w:sz w:val="20"/>
                <w:szCs w:val="20"/>
                <w:lang w:val="en-GB" w:eastAsia="en-US"/>
              </w:rPr>
              <w:t>11.6</w:t>
            </w:r>
          </w:p>
        </w:tc>
        <w:tc>
          <w:tcPr>
            <w:tcW w:w="1709" w:type="dxa"/>
            <w:tcBorders>
              <w:top w:val="single" w:sz="6" w:space="0" w:color="auto"/>
              <w:left w:val="single" w:sz="6" w:space="0" w:color="auto"/>
              <w:bottom w:val="nil"/>
              <w:right w:val="nil"/>
            </w:tcBorders>
            <w:shd w:val="solid" w:color="FFFFFF" w:fill="auto"/>
          </w:tcPr>
          <w:p w14:paraId="1FD51CC0" w14:textId="77777777" w:rsidR="002E555E" w:rsidRDefault="002E555E">
            <w:pPr>
              <w:autoSpaceDE w:val="0"/>
              <w:autoSpaceDN w:val="0"/>
              <w:adjustRightInd w:val="0"/>
              <w:jc w:val="center"/>
              <w:rPr>
                <w:rFonts w:ascii="Calibri" w:hAnsi="Calibri" w:cs="Calibri"/>
                <w:color w:val="000000"/>
                <w:sz w:val="20"/>
                <w:szCs w:val="20"/>
                <w:lang w:val="en-GB" w:eastAsia="en-US"/>
              </w:rPr>
            </w:pPr>
            <w:r>
              <w:rPr>
                <w:rFonts w:ascii="Calibri" w:hAnsi="Calibri" w:cs="Calibri"/>
                <w:color w:val="000000"/>
                <w:sz w:val="20"/>
                <w:szCs w:val="20"/>
                <w:lang w:val="en-GB" w:eastAsia="en-US"/>
              </w:rPr>
              <w:t>22.5</w:t>
            </w:r>
          </w:p>
        </w:tc>
        <w:tc>
          <w:tcPr>
            <w:tcW w:w="1562" w:type="dxa"/>
            <w:tcBorders>
              <w:top w:val="single" w:sz="6" w:space="0" w:color="auto"/>
              <w:left w:val="nil"/>
              <w:bottom w:val="nil"/>
              <w:right w:val="single" w:sz="6" w:space="0" w:color="auto"/>
            </w:tcBorders>
            <w:shd w:val="solid" w:color="FFFFFF" w:fill="auto"/>
          </w:tcPr>
          <w:p w14:paraId="4DBCA2FA" w14:textId="77777777" w:rsidR="002E555E" w:rsidRDefault="002E555E">
            <w:pPr>
              <w:autoSpaceDE w:val="0"/>
              <w:autoSpaceDN w:val="0"/>
              <w:adjustRightInd w:val="0"/>
              <w:jc w:val="center"/>
              <w:rPr>
                <w:rFonts w:ascii="Calibri" w:hAnsi="Calibri" w:cs="Calibri"/>
                <w:color w:val="000000"/>
                <w:sz w:val="20"/>
                <w:szCs w:val="20"/>
                <w:lang w:val="en-GB" w:eastAsia="en-US"/>
              </w:rPr>
            </w:pPr>
            <w:r>
              <w:rPr>
                <w:rFonts w:ascii="Calibri" w:hAnsi="Calibri" w:cs="Calibri"/>
                <w:color w:val="000000"/>
                <w:sz w:val="20"/>
                <w:szCs w:val="20"/>
                <w:lang w:val="en-GB" w:eastAsia="en-US"/>
              </w:rPr>
              <w:t>12.3</w:t>
            </w:r>
          </w:p>
        </w:tc>
      </w:tr>
      <w:tr w:rsidR="002E555E" w14:paraId="0C905D79" w14:textId="77777777" w:rsidTr="002E555E">
        <w:tblPrEx>
          <w:tblCellMar>
            <w:top w:w="0" w:type="dxa"/>
            <w:bottom w:w="0" w:type="dxa"/>
          </w:tblCellMar>
        </w:tblPrEx>
        <w:trPr>
          <w:trHeight w:val="271"/>
        </w:trPr>
        <w:tc>
          <w:tcPr>
            <w:tcW w:w="2126" w:type="dxa"/>
            <w:tcBorders>
              <w:top w:val="nil"/>
              <w:left w:val="nil"/>
              <w:bottom w:val="nil"/>
              <w:right w:val="nil"/>
            </w:tcBorders>
            <w:shd w:val="solid" w:color="FFFFFF" w:fill="auto"/>
          </w:tcPr>
          <w:p w14:paraId="20F3B0B2" w14:textId="77777777" w:rsidR="002E555E" w:rsidRDefault="002E555E">
            <w:pPr>
              <w:autoSpaceDE w:val="0"/>
              <w:autoSpaceDN w:val="0"/>
              <w:adjustRightInd w:val="0"/>
              <w:rPr>
                <w:rFonts w:ascii="Calibri" w:hAnsi="Calibri" w:cs="Calibri"/>
                <w:b/>
                <w:bCs/>
                <w:color w:val="000000"/>
                <w:sz w:val="20"/>
                <w:szCs w:val="20"/>
                <w:lang w:val="en-GB" w:eastAsia="en-US"/>
              </w:rPr>
            </w:pPr>
            <w:r>
              <w:rPr>
                <w:rFonts w:ascii="Calibri" w:hAnsi="Calibri" w:cs="Calibri"/>
                <w:b/>
                <w:bCs/>
                <w:color w:val="000000"/>
                <w:sz w:val="20"/>
                <w:szCs w:val="20"/>
                <w:lang w:val="en-GB" w:eastAsia="en-US"/>
              </w:rPr>
              <w:t>Government Spending</w:t>
            </w:r>
          </w:p>
        </w:tc>
        <w:tc>
          <w:tcPr>
            <w:tcW w:w="1709" w:type="dxa"/>
            <w:tcBorders>
              <w:top w:val="nil"/>
              <w:left w:val="single" w:sz="6" w:space="0" w:color="auto"/>
              <w:bottom w:val="nil"/>
              <w:right w:val="nil"/>
            </w:tcBorders>
            <w:shd w:val="solid" w:color="FFFFFF" w:fill="auto"/>
          </w:tcPr>
          <w:p w14:paraId="3FCE5FA6" w14:textId="77777777" w:rsidR="002E555E" w:rsidRDefault="002E555E">
            <w:pPr>
              <w:autoSpaceDE w:val="0"/>
              <w:autoSpaceDN w:val="0"/>
              <w:adjustRightInd w:val="0"/>
              <w:jc w:val="center"/>
              <w:rPr>
                <w:rFonts w:ascii="Calibri" w:hAnsi="Calibri" w:cs="Calibri"/>
                <w:color w:val="000000"/>
                <w:sz w:val="20"/>
                <w:szCs w:val="20"/>
                <w:lang w:val="en-GB" w:eastAsia="en-US"/>
              </w:rPr>
            </w:pPr>
            <w:r>
              <w:rPr>
                <w:rFonts w:ascii="Calibri" w:hAnsi="Calibri" w:cs="Calibri"/>
                <w:color w:val="000000"/>
                <w:sz w:val="20"/>
                <w:szCs w:val="20"/>
                <w:lang w:val="en-GB" w:eastAsia="en-US"/>
              </w:rPr>
              <w:t>3.1</w:t>
            </w:r>
          </w:p>
        </w:tc>
        <w:tc>
          <w:tcPr>
            <w:tcW w:w="1596" w:type="dxa"/>
            <w:tcBorders>
              <w:top w:val="nil"/>
              <w:left w:val="nil"/>
              <w:bottom w:val="nil"/>
              <w:right w:val="single" w:sz="6" w:space="0" w:color="auto"/>
            </w:tcBorders>
            <w:shd w:val="solid" w:color="FFFFFF" w:fill="auto"/>
          </w:tcPr>
          <w:p w14:paraId="6B384BFA" w14:textId="77777777" w:rsidR="002E555E" w:rsidRDefault="002E555E">
            <w:pPr>
              <w:autoSpaceDE w:val="0"/>
              <w:autoSpaceDN w:val="0"/>
              <w:adjustRightInd w:val="0"/>
              <w:jc w:val="center"/>
              <w:rPr>
                <w:rFonts w:ascii="Calibri" w:hAnsi="Calibri" w:cs="Calibri"/>
                <w:color w:val="000000"/>
                <w:sz w:val="20"/>
                <w:szCs w:val="20"/>
                <w:lang w:val="en-GB" w:eastAsia="en-US"/>
              </w:rPr>
            </w:pPr>
            <w:r>
              <w:rPr>
                <w:rFonts w:ascii="Calibri" w:hAnsi="Calibri" w:cs="Calibri"/>
                <w:color w:val="000000"/>
                <w:sz w:val="20"/>
                <w:szCs w:val="20"/>
                <w:lang w:val="en-GB" w:eastAsia="en-US"/>
              </w:rPr>
              <w:t>0.4</w:t>
            </w:r>
          </w:p>
        </w:tc>
        <w:tc>
          <w:tcPr>
            <w:tcW w:w="1709" w:type="dxa"/>
            <w:tcBorders>
              <w:top w:val="nil"/>
              <w:left w:val="single" w:sz="6" w:space="0" w:color="auto"/>
              <w:bottom w:val="nil"/>
              <w:right w:val="nil"/>
            </w:tcBorders>
            <w:shd w:val="solid" w:color="FFFFFF" w:fill="auto"/>
          </w:tcPr>
          <w:p w14:paraId="69C7AC81" w14:textId="77777777" w:rsidR="002E555E" w:rsidRDefault="002E555E">
            <w:pPr>
              <w:autoSpaceDE w:val="0"/>
              <w:autoSpaceDN w:val="0"/>
              <w:adjustRightInd w:val="0"/>
              <w:jc w:val="center"/>
              <w:rPr>
                <w:rFonts w:ascii="Calibri" w:hAnsi="Calibri" w:cs="Calibri"/>
                <w:color w:val="000000"/>
                <w:sz w:val="20"/>
                <w:szCs w:val="20"/>
                <w:lang w:val="en-GB" w:eastAsia="en-US"/>
              </w:rPr>
            </w:pPr>
            <w:r>
              <w:rPr>
                <w:rFonts w:ascii="Calibri" w:hAnsi="Calibri" w:cs="Calibri"/>
                <w:color w:val="000000"/>
                <w:sz w:val="20"/>
                <w:szCs w:val="20"/>
                <w:lang w:val="en-GB" w:eastAsia="en-US"/>
              </w:rPr>
              <w:t>2.3</w:t>
            </w:r>
          </w:p>
        </w:tc>
        <w:tc>
          <w:tcPr>
            <w:tcW w:w="1562" w:type="dxa"/>
            <w:tcBorders>
              <w:top w:val="nil"/>
              <w:left w:val="nil"/>
              <w:bottom w:val="nil"/>
              <w:right w:val="single" w:sz="6" w:space="0" w:color="auto"/>
            </w:tcBorders>
            <w:shd w:val="solid" w:color="FFFFFF" w:fill="auto"/>
          </w:tcPr>
          <w:p w14:paraId="2C31C647" w14:textId="77777777" w:rsidR="002E555E" w:rsidRDefault="002E555E">
            <w:pPr>
              <w:autoSpaceDE w:val="0"/>
              <w:autoSpaceDN w:val="0"/>
              <w:adjustRightInd w:val="0"/>
              <w:jc w:val="center"/>
              <w:rPr>
                <w:rFonts w:ascii="Calibri" w:hAnsi="Calibri" w:cs="Calibri"/>
                <w:color w:val="000000"/>
                <w:sz w:val="20"/>
                <w:szCs w:val="20"/>
                <w:lang w:val="en-GB" w:eastAsia="en-US"/>
              </w:rPr>
            </w:pPr>
            <w:r>
              <w:rPr>
                <w:rFonts w:ascii="Calibri" w:hAnsi="Calibri" w:cs="Calibri"/>
                <w:color w:val="000000"/>
                <w:sz w:val="20"/>
                <w:szCs w:val="20"/>
                <w:lang w:val="en-GB" w:eastAsia="en-US"/>
              </w:rPr>
              <w:t>0.3</w:t>
            </w:r>
          </w:p>
        </w:tc>
      </w:tr>
      <w:tr w:rsidR="002E555E" w14:paraId="62394DDF" w14:textId="77777777" w:rsidTr="002E555E">
        <w:tblPrEx>
          <w:tblCellMar>
            <w:top w:w="0" w:type="dxa"/>
            <w:bottom w:w="0" w:type="dxa"/>
          </w:tblCellMar>
        </w:tblPrEx>
        <w:trPr>
          <w:trHeight w:val="271"/>
        </w:trPr>
        <w:tc>
          <w:tcPr>
            <w:tcW w:w="2126" w:type="dxa"/>
            <w:tcBorders>
              <w:top w:val="nil"/>
              <w:left w:val="nil"/>
              <w:bottom w:val="nil"/>
              <w:right w:val="nil"/>
            </w:tcBorders>
            <w:shd w:val="solid" w:color="FFFFFF" w:fill="auto"/>
          </w:tcPr>
          <w:p w14:paraId="195EAFF8" w14:textId="77777777" w:rsidR="002E555E" w:rsidRDefault="002E555E">
            <w:pPr>
              <w:autoSpaceDE w:val="0"/>
              <w:autoSpaceDN w:val="0"/>
              <w:adjustRightInd w:val="0"/>
              <w:rPr>
                <w:rFonts w:ascii="Calibri" w:hAnsi="Calibri" w:cs="Calibri"/>
                <w:b/>
                <w:bCs/>
                <w:color w:val="000000"/>
                <w:sz w:val="20"/>
                <w:szCs w:val="20"/>
                <w:lang w:val="en-GB" w:eastAsia="en-US"/>
              </w:rPr>
            </w:pPr>
            <w:r>
              <w:rPr>
                <w:rFonts w:ascii="Calibri" w:hAnsi="Calibri" w:cs="Calibri"/>
                <w:b/>
                <w:bCs/>
                <w:color w:val="000000"/>
                <w:sz w:val="20"/>
                <w:szCs w:val="20"/>
                <w:lang w:val="en-GB" w:eastAsia="en-US"/>
              </w:rPr>
              <w:t>Investment</w:t>
            </w:r>
          </w:p>
        </w:tc>
        <w:tc>
          <w:tcPr>
            <w:tcW w:w="1709" w:type="dxa"/>
            <w:tcBorders>
              <w:top w:val="nil"/>
              <w:left w:val="single" w:sz="6" w:space="0" w:color="auto"/>
              <w:bottom w:val="nil"/>
              <w:right w:val="nil"/>
            </w:tcBorders>
            <w:shd w:val="solid" w:color="FFFFFF" w:fill="auto"/>
          </w:tcPr>
          <w:p w14:paraId="60917BBB" w14:textId="77777777" w:rsidR="002E555E" w:rsidRDefault="002E555E">
            <w:pPr>
              <w:autoSpaceDE w:val="0"/>
              <w:autoSpaceDN w:val="0"/>
              <w:adjustRightInd w:val="0"/>
              <w:jc w:val="center"/>
              <w:rPr>
                <w:rFonts w:ascii="Calibri" w:hAnsi="Calibri" w:cs="Calibri"/>
                <w:color w:val="000000"/>
                <w:sz w:val="20"/>
                <w:szCs w:val="20"/>
                <w:lang w:val="en-GB" w:eastAsia="en-US"/>
              </w:rPr>
            </w:pPr>
            <w:r>
              <w:rPr>
                <w:rFonts w:ascii="Calibri" w:hAnsi="Calibri" w:cs="Calibri"/>
                <w:color w:val="000000"/>
                <w:sz w:val="20"/>
                <w:szCs w:val="20"/>
                <w:lang w:val="en-GB" w:eastAsia="en-US"/>
              </w:rPr>
              <w:t>4.2</w:t>
            </w:r>
          </w:p>
        </w:tc>
        <w:tc>
          <w:tcPr>
            <w:tcW w:w="1596" w:type="dxa"/>
            <w:tcBorders>
              <w:top w:val="nil"/>
              <w:left w:val="nil"/>
              <w:bottom w:val="nil"/>
              <w:right w:val="single" w:sz="6" w:space="0" w:color="auto"/>
            </w:tcBorders>
            <w:shd w:val="solid" w:color="FFFFFF" w:fill="auto"/>
          </w:tcPr>
          <w:p w14:paraId="4844AF71" w14:textId="77777777" w:rsidR="002E555E" w:rsidRDefault="002E555E">
            <w:pPr>
              <w:autoSpaceDE w:val="0"/>
              <w:autoSpaceDN w:val="0"/>
              <w:adjustRightInd w:val="0"/>
              <w:jc w:val="center"/>
              <w:rPr>
                <w:rFonts w:ascii="Calibri" w:hAnsi="Calibri" w:cs="Calibri"/>
                <w:color w:val="000000"/>
                <w:sz w:val="20"/>
                <w:szCs w:val="20"/>
                <w:lang w:val="en-GB" w:eastAsia="en-US"/>
              </w:rPr>
            </w:pPr>
            <w:r>
              <w:rPr>
                <w:rFonts w:ascii="Calibri" w:hAnsi="Calibri" w:cs="Calibri"/>
                <w:color w:val="000000"/>
                <w:sz w:val="20"/>
                <w:szCs w:val="20"/>
                <w:lang w:val="en-GB" w:eastAsia="en-US"/>
              </w:rPr>
              <w:t>1.3</w:t>
            </w:r>
          </w:p>
        </w:tc>
        <w:tc>
          <w:tcPr>
            <w:tcW w:w="1709" w:type="dxa"/>
            <w:tcBorders>
              <w:top w:val="nil"/>
              <w:left w:val="single" w:sz="6" w:space="0" w:color="auto"/>
              <w:bottom w:val="nil"/>
              <w:right w:val="nil"/>
            </w:tcBorders>
            <w:shd w:val="solid" w:color="FFFFFF" w:fill="auto"/>
          </w:tcPr>
          <w:p w14:paraId="0E0B5B38" w14:textId="77777777" w:rsidR="002E555E" w:rsidRDefault="002E555E">
            <w:pPr>
              <w:autoSpaceDE w:val="0"/>
              <w:autoSpaceDN w:val="0"/>
              <w:adjustRightInd w:val="0"/>
              <w:jc w:val="center"/>
              <w:rPr>
                <w:rFonts w:ascii="Calibri" w:hAnsi="Calibri" w:cs="Calibri"/>
                <w:color w:val="000000"/>
                <w:sz w:val="20"/>
                <w:szCs w:val="20"/>
                <w:lang w:val="en-GB" w:eastAsia="en-US"/>
              </w:rPr>
            </w:pPr>
            <w:r>
              <w:rPr>
                <w:rFonts w:ascii="Calibri" w:hAnsi="Calibri" w:cs="Calibri"/>
                <w:color w:val="000000"/>
                <w:sz w:val="20"/>
                <w:szCs w:val="20"/>
                <w:lang w:val="en-GB" w:eastAsia="en-US"/>
              </w:rPr>
              <w:t>4.7</w:t>
            </w:r>
          </w:p>
        </w:tc>
        <w:tc>
          <w:tcPr>
            <w:tcW w:w="1562" w:type="dxa"/>
            <w:tcBorders>
              <w:top w:val="nil"/>
              <w:left w:val="nil"/>
              <w:bottom w:val="nil"/>
              <w:right w:val="single" w:sz="6" w:space="0" w:color="auto"/>
            </w:tcBorders>
            <w:shd w:val="solid" w:color="FFFFFF" w:fill="auto"/>
          </w:tcPr>
          <w:p w14:paraId="64B72CA9" w14:textId="77777777" w:rsidR="002E555E" w:rsidRDefault="002E555E">
            <w:pPr>
              <w:autoSpaceDE w:val="0"/>
              <w:autoSpaceDN w:val="0"/>
              <w:adjustRightInd w:val="0"/>
              <w:jc w:val="center"/>
              <w:rPr>
                <w:rFonts w:ascii="Calibri" w:hAnsi="Calibri" w:cs="Calibri"/>
                <w:color w:val="000000"/>
                <w:sz w:val="20"/>
                <w:szCs w:val="20"/>
                <w:lang w:val="en-GB" w:eastAsia="en-US"/>
              </w:rPr>
            </w:pPr>
            <w:r>
              <w:rPr>
                <w:rFonts w:ascii="Calibri" w:hAnsi="Calibri" w:cs="Calibri"/>
                <w:color w:val="000000"/>
                <w:sz w:val="20"/>
                <w:szCs w:val="20"/>
                <w:lang w:val="en-GB" w:eastAsia="en-US"/>
              </w:rPr>
              <w:t>1.4</w:t>
            </w:r>
          </w:p>
        </w:tc>
      </w:tr>
      <w:tr w:rsidR="002E555E" w14:paraId="0BB7F1A4" w14:textId="77777777" w:rsidTr="002E555E">
        <w:tblPrEx>
          <w:tblCellMar>
            <w:top w:w="0" w:type="dxa"/>
            <w:bottom w:w="0" w:type="dxa"/>
          </w:tblCellMar>
        </w:tblPrEx>
        <w:trPr>
          <w:trHeight w:val="271"/>
        </w:trPr>
        <w:tc>
          <w:tcPr>
            <w:tcW w:w="2126" w:type="dxa"/>
            <w:tcBorders>
              <w:top w:val="nil"/>
              <w:left w:val="nil"/>
              <w:bottom w:val="nil"/>
              <w:right w:val="nil"/>
            </w:tcBorders>
            <w:shd w:val="solid" w:color="FFFFFF" w:fill="auto"/>
          </w:tcPr>
          <w:p w14:paraId="4B6D553A" w14:textId="77777777" w:rsidR="002E555E" w:rsidRDefault="002E555E">
            <w:pPr>
              <w:autoSpaceDE w:val="0"/>
              <w:autoSpaceDN w:val="0"/>
              <w:adjustRightInd w:val="0"/>
              <w:rPr>
                <w:rFonts w:ascii="Calibri" w:hAnsi="Calibri" w:cs="Calibri"/>
                <w:b/>
                <w:bCs/>
                <w:color w:val="000000"/>
                <w:sz w:val="20"/>
                <w:szCs w:val="20"/>
                <w:lang w:val="en-GB" w:eastAsia="en-US"/>
              </w:rPr>
            </w:pPr>
            <w:r>
              <w:rPr>
                <w:rFonts w:ascii="Calibri" w:hAnsi="Calibri" w:cs="Calibri"/>
                <w:b/>
                <w:bCs/>
                <w:color w:val="000000"/>
                <w:sz w:val="20"/>
                <w:szCs w:val="20"/>
                <w:lang w:val="en-GB" w:eastAsia="en-US"/>
              </w:rPr>
              <w:t>Change in Inventories</w:t>
            </w:r>
          </w:p>
        </w:tc>
        <w:tc>
          <w:tcPr>
            <w:tcW w:w="1709" w:type="dxa"/>
            <w:tcBorders>
              <w:top w:val="nil"/>
              <w:left w:val="single" w:sz="6" w:space="0" w:color="auto"/>
              <w:bottom w:val="nil"/>
              <w:right w:val="nil"/>
            </w:tcBorders>
            <w:shd w:val="solid" w:color="FFFFFF" w:fill="auto"/>
          </w:tcPr>
          <w:p w14:paraId="3C6B7D85" w14:textId="77777777" w:rsidR="002E555E" w:rsidRDefault="002E555E">
            <w:pPr>
              <w:autoSpaceDE w:val="0"/>
              <w:autoSpaceDN w:val="0"/>
              <w:adjustRightInd w:val="0"/>
              <w:jc w:val="center"/>
              <w:rPr>
                <w:rFonts w:ascii="Calibri" w:hAnsi="Calibri" w:cs="Calibri"/>
                <w:color w:val="000000"/>
                <w:sz w:val="20"/>
                <w:szCs w:val="20"/>
                <w:lang w:val="en-GB" w:eastAsia="en-US"/>
              </w:rPr>
            </w:pPr>
          </w:p>
        </w:tc>
        <w:tc>
          <w:tcPr>
            <w:tcW w:w="1596" w:type="dxa"/>
            <w:tcBorders>
              <w:top w:val="nil"/>
              <w:left w:val="nil"/>
              <w:bottom w:val="nil"/>
              <w:right w:val="single" w:sz="6" w:space="0" w:color="auto"/>
            </w:tcBorders>
            <w:shd w:val="solid" w:color="FFFFFF" w:fill="auto"/>
          </w:tcPr>
          <w:p w14:paraId="02BB1CEE" w14:textId="77777777" w:rsidR="002E555E" w:rsidRDefault="002E555E">
            <w:pPr>
              <w:autoSpaceDE w:val="0"/>
              <w:autoSpaceDN w:val="0"/>
              <w:adjustRightInd w:val="0"/>
              <w:jc w:val="center"/>
              <w:rPr>
                <w:rFonts w:ascii="Calibri" w:hAnsi="Calibri" w:cs="Calibri"/>
                <w:color w:val="000000"/>
                <w:sz w:val="20"/>
                <w:szCs w:val="20"/>
                <w:lang w:val="en-GB" w:eastAsia="en-US"/>
              </w:rPr>
            </w:pPr>
            <w:r>
              <w:rPr>
                <w:rFonts w:ascii="Calibri" w:hAnsi="Calibri" w:cs="Calibri"/>
                <w:color w:val="000000"/>
                <w:sz w:val="20"/>
                <w:szCs w:val="20"/>
                <w:lang w:val="en-GB" w:eastAsia="en-US"/>
              </w:rPr>
              <w:t>-10.1</w:t>
            </w:r>
          </w:p>
        </w:tc>
        <w:tc>
          <w:tcPr>
            <w:tcW w:w="1709" w:type="dxa"/>
            <w:tcBorders>
              <w:top w:val="nil"/>
              <w:left w:val="single" w:sz="6" w:space="0" w:color="auto"/>
              <w:bottom w:val="nil"/>
              <w:right w:val="nil"/>
            </w:tcBorders>
            <w:shd w:val="solid" w:color="FFFFFF" w:fill="auto"/>
          </w:tcPr>
          <w:p w14:paraId="5F51801F" w14:textId="77777777" w:rsidR="002E555E" w:rsidRDefault="002E555E">
            <w:pPr>
              <w:autoSpaceDE w:val="0"/>
              <w:autoSpaceDN w:val="0"/>
              <w:adjustRightInd w:val="0"/>
              <w:jc w:val="center"/>
              <w:rPr>
                <w:rFonts w:ascii="Calibri" w:hAnsi="Calibri" w:cs="Calibri"/>
                <w:color w:val="000000"/>
                <w:sz w:val="20"/>
                <w:szCs w:val="20"/>
                <w:lang w:val="en-GB" w:eastAsia="en-US"/>
              </w:rPr>
            </w:pPr>
          </w:p>
        </w:tc>
        <w:tc>
          <w:tcPr>
            <w:tcW w:w="1562" w:type="dxa"/>
            <w:tcBorders>
              <w:top w:val="nil"/>
              <w:left w:val="nil"/>
              <w:bottom w:val="nil"/>
              <w:right w:val="single" w:sz="6" w:space="0" w:color="auto"/>
            </w:tcBorders>
            <w:shd w:val="solid" w:color="FFFFFF" w:fill="auto"/>
          </w:tcPr>
          <w:p w14:paraId="54ACFECD" w14:textId="77777777" w:rsidR="002E555E" w:rsidRDefault="002E555E">
            <w:pPr>
              <w:autoSpaceDE w:val="0"/>
              <w:autoSpaceDN w:val="0"/>
              <w:adjustRightInd w:val="0"/>
              <w:jc w:val="center"/>
              <w:rPr>
                <w:rFonts w:ascii="Calibri" w:hAnsi="Calibri" w:cs="Calibri"/>
                <w:color w:val="000000"/>
                <w:sz w:val="20"/>
                <w:szCs w:val="20"/>
                <w:lang w:val="en-GB" w:eastAsia="en-US"/>
              </w:rPr>
            </w:pPr>
            <w:r>
              <w:rPr>
                <w:rFonts w:ascii="Calibri" w:hAnsi="Calibri" w:cs="Calibri"/>
                <w:color w:val="000000"/>
                <w:sz w:val="20"/>
                <w:szCs w:val="20"/>
                <w:lang w:val="en-GB" w:eastAsia="en-US"/>
              </w:rPr>
              <w:t>-10.3</w:t>
            </w:r>
          </w:p>
        </w:tc>
      </w:tr>
      <w:tr w:rsidR="002E555E" w14:paraId="537DDC44" w14:textId="77777777" w:rsidTr="002E555E">
        <w:tblPrEx>
          <w:tblCellMar>
            <w:top w:w="0" w:type="dxa"/>
            <w:bottom w:w="0" w:type="dxa"/>
          </w:tblCellMar>
        </w:tblPrEx>
        <w:trPr>
          <w:trHeight w:val="271"/>
        </w:trPr>
        <w:tc>
          <w:tcPr>
            <w:tcW w:w="2126" w:type="dxa"/>
            <w:tcBorders>
              <w:top w:val="nil"/>
              <w:left w:val="nil"/>
              <w:bottom w:val="nil"/>
              <w:right w:val="nil"/>
            </w:tcBorders>
            <w:shd w:val="solid" w:color="FFFFFF" w:fill="auto"/>
          </w:tcPr>
          <w:p w14:paraId="2ABDDB06" w14:textId="77777777" w:rsidR="002E555E" w:rsidRDefault="002E555E">
            <w:pPr>
              <w:autoSpaceDE w:val="0"/>
              <w:autoSpaceDN w:val="0"/>
              <w:adjustRightInd w:val="0"/>
              <w:rPr>
                <w:rFonts w:ascii="Calibri" w:hAnsi="Calibri" w:cs="Calibri"/>
                <w:b/>
                <w:bCs/>
                <w:color w:val="000000"/>
                <w:sz w:val="20"/>
                <w:szCs w:val="20"/>
                <w:lang w:val="en-GB" w:eastAsia="en-US"/>
              </w:rPr>
            </w:pPr>
            <w:r>
              <w:rPr>
                <w:rFonts w:ascii="Calibri" w:hAnsi="Calibri" w:cs="Calibri"/>
                <w:b/>
                <w:bCs/>
                <w:color w:val="000000"/>
                <w:sz w:val="20"/>
                <w:szCs w:val="20"/>
                <w:lang w:val="en-GB" w:eastAsia="en-US"/>
              </w:rPr>
              <w:t>Export</w:t>
            </w:r>
          </w:p>
        </w:tc>
        <w:tc>
          <w:tcPr>
            <w:tcW w:w="1709" w:type="dxa"/>
            <w:tcBorders>
              <w:top w:val="nil"/>
              <w:left w:val="single" w:sz="6" w:space="0" w:color="auto"/>
              <w:bottom w:val="nil"/>
              <w:right w:val="nil"/>
            </w:tcBorders>
            <w:shd w:val="solid" w:color="FFFFFF" w:fill="auto"/>
          </w:tcPr>
          <w:p w14:paraId="508842BB" w14:textId="77777777" w:rsidR="002E555E" w:rsidRDefault="002E555E">
            <w:pPr>
              <w:autoSpaceDE w:val="0"/>
              <w:autoSpaceDN w:val="0"/>
              <w:adjustRightInd w:val="0"/>
              <w:jc w:val="center"/>
              <w:rPr>
                <w:rFonts w:ascii="Calibri" w:hAnsi="Calibri" w:cs="Calibri"/>
                <w:color w:val="000000"/>
                <w:sz w:val="20"/>
                <w:szCs w:val="20"/>
                <w:lang w:val="en-GB" w:eastAsia="en-US"/>
              </w:rPr>
            </w:pPr>
            <w:r>
              <w:rPr>
                <w:rFonts w:ascii="Calibri" w:hAnsi="Calibri" w:cs="Calibri"/>
                <w:color w:val="000000"/>
                <w:sz w:val="20"/>
                <w:szCs w:val="20"/>
                <w:lang w:val="en-GB" w:eastAsia="en-US"/>
              </w:rPr>
              <w:t>14.8</w:t>
            </w:r>
          </w:p>
        </w:tc>
        <w:tc>
          <w:tcPr>
            <w:tcW w:w="1596" w:type="dxa"/>
            <w:tcBorders>
              <w:top w:val="nil"/>
              <w:left w:val="nil"/>
              <w:bottom w:val="nil"/>
              <w:right w:val="single" w:sz="6" w:space="0" w:color="auto"/>
            </w:tcBorders>
            <w:shd w:val="solid" w:color="FFFFFF" w:fill="auto"/>
          </w:tcPr>
          <w:p w14:paraId="1674D9B3" w14:textId="77777777" w:rsidR="002E555E" w:rsidRDefault="002E555E">
            <w:pPr>
              <w:autoSpaceDE w:val="0"/>
              <w:autoSpaceDN w:val="0"/>
              <w:adjustRightInd w:val="0"/>
              <w:jc w:val="center"/>
              <w:rPr>
                <w:rFonts w:ascii="Calibri" w:hAnsi="Calibri" w:cs="Calibri"/>
                <w:color w:val="000000"/>
                <w:sz w:val="20"/>
                <w:szCs w:val="20"/>
                <w:lang w:val="en-GB" w:eastAsia="en-US"/>
              </w:rPr>
            </w:pPr>
            <w:r>
              <w:rPr>
                <w:rFonts w:ascii="Calibri" w:hAnsi="Calibri" w:cs="Calibri"/>
                <w:color w:val="000000"/>
                <w:sz w:val="20"/>
                <w:szCs w:val="20"/>
                <w:lang w:val="en-GB" w:eastAsia="en-US"/>
              </w:rPr>
              <w:t>5.0</w:t>
            </w:r>
          </w:p>
        </w:tc>
        <w:tc>
          <w:tcPr>
            <w:tcW w:w="1709" w:type="dxa"/>
            <w:tcBorders>
              <w:top w:val="nil"/>
              <w:left w:val="single" w:sz="6" w:space="0" w:color="auto"/>
              <w:bottom w:val="nil"/>
              <w:right w:val="nil"/>
            </w:tcBorders>
            <w:shd w:val="solid" w:color="FFFFFF" w:fill="auto"/>
          </w:tcPr>
          <w:p w14:paraId="1BD072BC" w14:textId="77777777" w:rsidR="002E555E" w:rsidRDefault="002E555E">
            <w:pPr>
              <w:autoSpaceDE w:val="0"/>
              <w:autoSpaceDN w:val="0"/>
              <w:adjustRightInd w:val="0"/>
              <w:jc w:val="center"/>
              <w:rPr>
                <w:rFonts w:ascii="Calibri" w:hAnsi="Calibri" w:cs="Calibri"/>
                <w:color w:val="000000"/>
                <w:sz w:val="20"/>
                <w:szCs w:val="20"/>
                <w:lang w:val="en-GB" w:eastAsia="en-US"/>
              </w:rPr>
            </w:pPr>
            <w:r>
              <w:rPr>
                <w:rFonts w:ascii="Calibri" w:hAnsi="Calibri" w:cs="Calibri"/>
                <w:color w:val="000000"/>
                <w:sz w:val="20"/>
                <w:szCs w:val="20"/>
                <w:lang w:val="en-GB" w:eastAsia="en-US"/>
              </w:rPr>
              <w:t>16.4</w:t>
            </w:r>
          </w:p>
        </w:tc>
        <w:tc>
          <w:tcPr>
            <w:tcW w:w="1562" w:type="dxa"/>
            <w:tcBorders>
              <w:top w:val="nil"/>
              <w:left w:val="nil"/>
              <w:bottom w:val="nil"/>
              <w:right w:val="single" w:sz="6" w:space="0" w:color="auto"/>
            </w:tcBorders>
            <w:shd w:val="solid" w:color="FFFFFF" w:fill="auto"/>
          </w:tcPr>
          <w:p w14:paraId="26CE4D72" w14:textId="77777777" w:rsidR="002E555E" w:rsidRDefault="002E555E">
            <w:pPr>
              <w:autoSpaceDE w:val="0"/>
              <w:autoSpaceDN w:val="0"/>
              <w:adjustRightInd w:val="0"/>
              <w:jc w:val="center"/>
              <w:rPr>
                <w:rFonts w:ascii="Calibri" w:hAnsi="Calibri" w:cs="Calibri"/>
                <w:color w:val="000000"/>
                <w:sz w:val="20"/>
                <w:szCs w:val="20"/>
                <w:lang w:val="en-GB" w:eastAsia="en-US"/>
              </w:rPr>
            </w:pPr>
            <w:r>
              <w:rPr>
                <w:rFonts w:ascii="Calibri" w:hAnsi="Calibri" w:cs="Calibri"/>
                <w:color w:val="000000"/>
                <w:sz w:val="20"/>
                <w:szCs w:val="20"/>
                <w:lang w:val="en-GB" w:eastAsia="en-US"/>
              </w:rPr>
              <w:t>5.7</w:t>
            </w:r>
          </w:p>
        </w:tc>
      </w:tr>
      <w:tr w:rsidR="002E555E" w14:paraId="28A06DE2" w14:textId="77777777" w:rsidTr="002E555E">
        <w:tblPrEx>
          <w:tblCellMar>
            <w:top w:w="0" w:type="dxa"/>
            <w:bottom w:w="0" w:type="dxa"/>
          </w:tblCellMar>
        </w:tblPrEx>
        <w:trPr>
          <w:trHeight w:val="271"/>
        </w:trPr>
        <w:tc>
          <w:tcPr>
            <w:tcW w:w="2126" w:type="dxa"/>
            <w:tcBorders>
              <w:top w:val="nil"/>
              <w:left w:val="nil"/>
              <w:bottom w:val="nil"/>
              <w:right w:val="nil"/>
            </w:tcBorders>
            <w:shd w:val="solid" w:color="FFFFFF" w:fill="auto"/>
          </w:tcPr>
          <w:p w14:paraId="1E77EBFB" w14:textId="77777777" w:rsidR="002E555E" w:rsidRDefault="002E555E">
            <w:pPr>
              <w:autoSpaceDE w:val="0"/>
              <w:autoSpaceDN w:val="0"/>
              <w:adjustRightInd w:val="0"/>
              <w:rPr>
                <w:rFonts w:ascii="Calibri" w:hAnsi="Calibri" w:cs="Calibri"/>
                <w:b/>
                <w:bCs/>
                <w:color w:val="000000"/>
                <w:sz w:val="20"/>
                <w:szCs w:val="20"/>
                <w:lang w:val="en-GB" w:eastAsia="en-US"/>
              </w:rPr>
            </w:pPr>
            <w:r>
              <w:rPr>
                <w:rFonts w:ascii="Calibri" w:hAnsi="Calibri" w:cs="Calibri"/>
                <w:b/>
                <w:bCs/>
                <w:color w:val="000000"/>
                <w:sz w:val="20"/>
                <w:szCs w:val="20"/>
                <w:lang w:val="en-GB" w:eastAsia="en-US"/>
              </w:rPr>
              <w:t>Import</w:t>
            </w:r>
          </w:p>
        </w:tc>
        <w:tc>
          <w:tcPr>
            <w:tcW w:w="1709" w:type="dxa"/>
            <w:tcBorders>
              <w:top w:val="nil"/>
              <w:left w:val="single" w:sz="6" w:space="0" w:color="auto"/>
              <w:bottom w:val="nil"/>
              <w:right w:val="nil"/>
            </w:tcBorders>
            <w:shd w:val="solid" w:color="FFFFFF" w:fill="auto"/>
          </w:tcPr>
          <w:p w14:paraId="79A4B666" w14:textId="77777777" w:rsidR="002E555E" w:rsidRDefault="002E555E">
            <w:pPr>
              <w:autoSpaceDE w:val="0"/>
              <w:autoSpaceDN w:val="0"/>
              <w:adjustRightInd w:val="0"/>
              <w:jc w:val="center"/>
              <w:rPr>
                <w:rFonts w:ascii="Calibri" w:hAnsi="Calibri" w:cs="Calibri"/>
                <w:color w:val="000000"/>
                <w:sz w:val="20"/>
                <w:szCs w:val="20"/>
                <w:lang w:val="en-GB" w:eastAsia="en-US"/>
              </w:rPr>
            </w:pPr>
            <w:r>
              <w:rPr>
                <w:rFonts w:ascii="Calibri" w:hAnsi="Calibri" w:cs="Calibri"/>
                <w:color w:val="000000"/>
                <w:sz w:val="20"/>
                <w:szCs w:val="20"/>
                <w:lang w:val="en-GB" w:eastAsia="en-US"/>
              </w:rPr>
              <w:t>2.2</w:t>
            </w:r>
          </w:p>
        </w:tc>
        <w:tc>
          <w:tcPr>
            <w:tcW w:w="1596" w:type="dxa"/>
            <w:tcBorders>
              <w:top w:val="nil"/>
              <w:left w:val="nil"/>
              <w:bottom w:val="nil"/>
              <w:right w:val="single" w:sz="6" w:space="0" w:color="auto"/>
            </w:tcBorders>
            <w:shd w:val="solid" w:color="FFFFFF" w:fill="auto"/>
          </w:tcPr>
          <w:p w14:paraId="3EF66C6D" w14:textId="77777777" w:rsidR="002E555E" w:rsidRDefault="002E555E">
            <w:pPr>
              <w:autoSpaceDE w:val="0"/>
              <w:autoSpaceDN w:val="0"/>
              <w:adjustRightInd w:val="0"/>
              <w:jc w:val="center"/>
              <w:rPr>
                <w:rFonts w:ascii="Calibri" w:hAnsi="Calibri" w:cs="Calibri"/>
                <w:color w:val="000000"/>
                <w:sz w:val="20"/>
                <w:szCs w:val="20"/>
                <w:lang w:val="en-GB" w:eastAsia="en-US"/>
              </w:rPr>
            </w:pPr>
            <w:r>
              <w:rPr>
                <w:rFonts w:ascii="Calibri" w:hAnsi="Calibri" w:cs="Calibri"/>
                <w:color w:val="000000"/>
                <w:sz w:val="20"/>
                <w:szCs w:val="20"/>
                <w:lang w:val="en-GB" w:eastAsia="en-US"/>
              </w:rPr>
              <w:t>-0.7</w:t>
            </w:r>
          </w:p>
        </w:tc>
        <w:tc>
          <w:tcPr>
            <w:tcW w:w="1709" w:type="dxa"/>
            <w:tcBorders>
              <w:top w:val="nil"/>
              <w:left w:val="single" w:sz="6" w:space="0" w:color="auto"/>
              <w:bottom w:val="nil"/>
              <w:right w:val="nil"/>
            </w:tcBorders>
            <w:shd w:val="solid" w:color="FFFFFF" w:fill="auto"/>
          </w:tcPr>
          <w:p w14:paraId="0EAA77BA" w14:textId="77777777" w:rsidR="002E555E" w:rsidRDefault="002E555E">
            <w:pPr>
              <w:autoSpaceDE w:val="0"/>
              <w:autoSpaceDN w:val="0"/>
              <w:adjustRightInd w:val="0"/>
              <w:jc w:val="center"/>
              <w:rPr>
                <w:rFonts w:ascii="Calibri" w:hAnsi="Calibri" w:cs="Calibri"/>
                <w:color w:val="000000"/>
                <w:sz w:val="20"/>
                <w:szCs w:val="20"/>
                <w:lang w:val="en-GB" w:eastAsia="en-US"/>
              </w:rPr>
            </w:pPr>
            <w:r>
              <w:rPr>
                <w:rFonts w:ascii="Calibri" w:hAnsi="Calibri" w:cs="Calibri"/>
                <w:color w:val="000000"/>
                <w:sz w:val="20"/>
                <w:szCs w:val="20"/>
                <w:lang w:val="en-GB" w:eastAsia="en-US"/>
              </w:rPr>
              <w:t>5.8</w:t>
            </w:r>
          </w:p>
        </w:tc>
        <w:tc>
          <w:tcPr>
            <w:tcW w:w="1562" w:type="dxa"/>
            <w:tcBorders>
              <w:top w:val="nil"/>
              <w:left w:val="nil"/>
              <w:bottom w:val="nil"/>
              <w:right w:val="single" w:sz="6" w:space="0" w:color="auto"/>
            </w:tcBorders>
            <w:shd w:val="solid" w:color="FFFFFF" w:fill="auto"/>
          </w:tcPr>
          <w:p w14:paraId="3CBFE427" w14:textId="77777777" w:rsidR="002E555E" w:rsidRDefault="002E555E">
            <w:pPr>
              <w:autoSpaceDE w:val="0"/>
              <w:autoSpaceDN w:val="0"/>
              <w:adjustRightInd w:val="0"/>
              <w:jc w:val="center"/>
              <w:rPr>
                <w:rFonts w:ascii="Calibri" w:hAnsi="Calibri" w:cs="Calibri"/>
                <w:color w:val="000000"/>
                <w:sz w:val="20"/>
                <w:szCs w:val="20"/>
                <w:lang w:val="en-GB" w:eastAsia="en-US"/>
              </w:rPr>
            </w:pPr>
            <w:r>
              <w:rPr>
                <w:rFonts w:ascii="Calibri" w:hAnsi="Calibri" w:cs="Calibri"/>
                <w:color w:val="000000"/>
                <w:sz w:val="20"/>
                <w:szCs w:val="20"/>
                <w:lang w:val="en-GB" w:eastAsia="en-US"/>
              </w:rPr>
              <w:t>-1.8</w:t>
            </w:r>
          </w:p>
        </w:tc>
      </w:tr>
      <w:tr w:rsidR="002E555E" w14:paraId="7754ECA6" w14:textId="77777777" w:rsidTr="002E555E">
        <w:tblPrEx>
          <w:tblCellMar>
            <w:top w:w="0" w:type="dxa"/>
            <w:bottom w:w="0" w:type="dxa"/>
          </w:tblCellMar>
        </w:tblPrEx>
        <w:trPr>
          <w:trHeight w:val="305"/>
        </w:trPr>
        <w:tc>
          <w:tcPr>
            <w:tcW w:w="2126" w:type="dxa"/>
            <w:tcBorders>
              <w:top w:val="nil"/>
              <w:left w:val="nil"/>
              <w:bottom w:val="double" w:sz="6" w:space="0" w:color="auto"/>
              <w:right w:val="nil"/>
            </w:tcBorders>
            <w:shd w:val="solid" w:color="FFFFFF" w:fill="auto"/>
          </w:tcPr>
          <w:p w14:paraId="2DA4360B" w14:textId="77777777" w:rsidR="002E555E" w:rsidRDefault="002E555E">
            <w:pPr>
              <w:autoSpaceDE w:val="0"/>
              <w:autoSpaceDN w:val="0"/>
              <w:adjustRightInd w:val="0"/>
              <w:rPr>
                <w:rFonts w:ascii="Calibri" w:hAnsi="Calibri" w:cs="Calibri"/>
                <w:b/>
                <w:bCs/>
                <w:color w:val="000000"/>
                <w:sz w:val="20"/>
                <w:szCs w:val="20"/>
                <w:lang w:val="en-GB" w:eastAsia="en-US"/>
              </w:rPr>
            </w:pPr>
            <w:r>
              <w:rPr>
                <w:rFonts w:ascii="Calibri" w:hAnsi="Calibri" w:cs="Calibri"/>
                <w:b/>
                <w:bCs/>
                <w:color w:val="000000"/>
                <w:sz w:val="20"/>
                <w:szCs w:val="20"/>
                <w:lang w:val="en-GB" w:eastAsia="en-US"/>
              </w:rPr>
              <w:t>GDP</w:t>
            </w:r>
          </w:p>
        </w:tc>
        <w:tc>
          <w:tcPr>
            <w:tcW w:w="1709" w:type="dxa"/>
            <w:tcBorders>
              <w:top w:val="nil"/>
              <w:left w:val="single" w:sz="6" w:space="0" w:color="auto"/>
              <w:bottom w:val="double" w:sz="6" w:space="0" w:color="auto"/>
              <w:right w:val="nil"/>
            </w:tcBorders>
            <w:shd w:val="solid" w:color="FFFFFF" w:fill="auto"/>
          </w:tcPr>
          <w:p w14:paraId="0FBA0DA7" w14:textId="77777777" w:rsidR="002E555E" w:rsidRDefault="002E555E">
            <w:pPr>
              <w:autoSpaceDE w:val="0"/>
              <w:autoSpaceDN w:val="0"/>
              <w:adjustRightInd w:val="0"/>
              <w:jc w:val="center"/>
              <w:rPr>
                <w:rFonts w:ascii="Calibri" w:hAnsi="Calibri" w:cs="Calibri"/>
                <w:color w:val="000000"/>
                <w:sz w:val="20"/>
                <w:szCs w:val="20"/>
                <w:lang w:val="en-GB" w:eastAsia="en-US"/>
              </w:rPr>
            </w:pPr>
            <w:r>
              <w:rPr>
                <w:rFonts w:ascii="Calibri" w:hAnsi="Calibri" w:cs="Calibri"/>
                <w:color w:val="000000"/>
                <w:sz w:val="20"/>
                <w:szCs w:val="20"/>
                <w:lang w:val="en-GB" w:eastAsia="en-US"/>
              </w:rPr>
              <w:t>7.5</w:t>
            </w:r>
          </w:p>
        </w:tc>
        <w:tc>
          <w:tcPr>
            <w:tcW w:w="1596" w:type="dxa"/>
            <w:tcBorders>
              <w:top w:val="nil"/>
              <w:left w:val="nil"/>
              <w:bottom w:val="double" w:sz="6" w:space="0" w:color="auto"/>
              <w:right w:val="single" w:sz="6" w:space="0" w:color="auto"/>
            </w:tcBorders>
            <w:shd w:val="solid" w:color="FFFFFF" w:fill="auto"/>
          </w:tcPr>
          <w:p w14:paraId="6FAA8859" w14:textId="77777777" w:rsidR="002E555E" w:rsidRDefault="002E555E">
            <w:pPr>
              <w:autoSpaceDE w:val="0"/>
              <w:autoSpaceDN w:val="0"/>
              <w:adjustRightInd w:val="0"/>
              <w:jc w:val="center"/>
              <w:rPr>
                <w:rFonts w:ascii="Calibri" w:hAnsi="Calibri" w:cs="Calibri"/>
                <w:color w:val="000000"/>
                <w:sz w:val="20"/>
                <w:szCs w:val="20"/>
                <w:lang w:val="en-GB" w:eastAsia="en-US"/>
              </w:rPr>
            </w:pPr>
          </w:p>
        </w:tc>
        <w:tc>
          <w:tcPr>
            <w:tcW w:w="1709" w:type="dxa"/>
            <w:tcBorders>
              <w:top w:val="nil"/>
              <w:left w:val="single" w:sz="6" w:space="0" w:color="auto"/>
              <w:bottom w:val="double" w:sz="6" w:space="0" w:color="auto"/>
              <w:right w:val="nil"/>
            </w:tcBorders>
            <w:shd w:val="solid" w:color="FFFFFF" w:fill="auto"/>
          </w:tcPr>
          <w:p w14:paraId="7C3D9F83" w14:textId="77777777" w:rsidR="002E555E" w:rsidRDefault="002E555E">
            <w:pPr>
              <w:autoSpaceDE w:val="0"/>
              <w:autoSpaceDN w:val="0"/>
              <w:adjustRightInd w:val="0"/>
              <w:jc w:val="center"/>
              <w:rPr>
                <w:rFonts w:ascii="Calibri" w:hAnsi="Calibri" w:cs="Calibri"/>
                <w:color w:val="000000"/>
                <w:sz w:val="20"/>
                <w:szCs w:val="20"/>
                <w:lang w:val="en-GB" w:eastAsia="en-US"/>
              </w:rPr>
            </w:pPr>
            <w:r>
              <w:rPr>
                <w:rFonts w:ascii="Calibri" w:hAnsi="Calibri" w:cs="Calibri"/>
                <w:color w:val="000000"/>
                <w:sz w:val="20"/>
                <w:szCs w:val="20"/>
                <w:lang w:val="en-GB" w:eastAsia="en-US"/>
              </w:rPr>
              <w:t>7.6</w:t>
            </w:r>
          </w:p>
        </w:tc>
        <w:tc>
          <w:tcPr>
            <w:tcW w:w="1562" w:type="dxa"/>
            <w:tcBorders>
              <w:top w:val="nil"/>
              <w:left w:val="nil"/>
              <w:bottom w:val="double" w:sz="6" w:space="0" w:color="auto"/>
              <w:right w:val="single" w:sz="6" w:space="0" w:color="auto"/>
            </w:tcBorders>
            <w:shd w:val="solid" w:color="FFFFFF" w:fill="auto"/>
          </w:tcPr>
          <w:p w14:paraId="631D550E" w14:textId="77777777" w:rsidR="002E555E" w:rsidRDefault="002E555E">
            <w:pPr>
              <w:autoSpaceDE w:val="0"/>
              <w:autoSpaceDN w:val="0"/>
              <w:adjustRightInd w:val="0"/>
              <w:jc w:val="center"/>
              <w:rPr>
                <w:rFonts w:ascii="Calibri" w:hAnsi="Calibri" w:cs="Calibri"/>
                <w:color w:val="000000"/>
                <w:sz w:val="20"/>
                <w:szCs w:val="20"/>
                <w:lang w:val="en-GB" w:eastAsia="en-US"/>
              </w:rPr>
            </w:pPr>
          </w:p>
        </w:tc>
      </w:tr>
    </w:tbl>
    <w:p w14:paraId="06E46BDB" w14:textId="4D43F558" w:rsidR="00311EFF" w:rsidRDefault="00006890" w:rsidP="00405BD8">
      <w:pPr>
        <w:keepLines/>
        <w:widowControl w:val="0"/>
        <w:rPr>
          <w:rFonts w:ascii="Palatino Linotype" w:hAnsi="Palatino Linotype" w:cstheme="minorHAnsi"/>
          <w:sz w:val="18"/>
          <w:szCs w:val="18"/>
          <w:lang w:val="en-US"/>
        </w:rPr>
      </w:pPr>
      <w:r w:rsidRPr="00155A64">
        <w:rPr>
          <w:rFonts w:ascii="Palatino Linotype" w:hAnsi="Palatino Linotype" w:cstheme="minorHAnsi"/>
          <w:sz w:val="18"/>
          <w:szCs w:val="18"/>
          <w:lang w:val="en-US"/>
        </w:rPr>
        <w:t xml:space="preserve">Source: </w:t>
      </w:r>
      <w:proofErr w:type="spellStart"/>
      <w:r w:rsidRPr="00155A64">
        <w:rPr>
          <w:rFonts w:ascii="Palatino Linotype" w:hAnsi="Palatino Linotype" w:cstheme="minorHAnsi"/>
          <w:sz w:val="18"/>
          <w:szCs w:val="18"/>
          <w:lang w:val="en-US"/>
        </w:rPr>
        <w:t>TurkStat</w:t>
      </w:r>
      <w:proofErr w:type="spellEnd"/>
      <w:r w:rsidRPr="00155A64">
        <w:rPr>
          <w:rFonts w:ascii="Palatino Linotype" w:hAnsi="Palatino Linotype" w:cstheme="minorHAnsi"/>
          <w:sz w:val="18"/>
          <w:szCs w:val="18"/>
          <w:lang w:val="en-US"/>
        </w:rPr>
        <w:t xml:space="preserve">, </w:t>
      </w:r>
      <w:proofErr w:type="spellStart"/>
      <w:r w:rsidRPr="00155A64">
        <w:rPr>
          <w:rFonts w:ascii="Palatino Linotype" w:hAnsi="Palatino Linotype" w:cstheme="minorHAnsi"/>
          <w:sz w:val="18"/>
          <w:szCs w:val="18"/>
          <w:lang w:val="en-US"/>
        </w:rPr>
        <w:t>Betam</w:t>
      </w:r>
      <w:proofErr w:type="spellEnd"/>
    </w:p>
    <w:p w14:paraId="64566559" w14:textId="3DC71D0A" w:rsidR="00EB2543" w:rsidRPr="006679E6" w:rsidRDefault="00EB2543" w:rsidP="00405BD8">
      <w:pPr>
        <w:keepLines/>
        <w:widowControl w:val="0"/>
        <w:rPr>
          <w:rFonts w:ascii="Palatino Linotype" w:hAnsi="Palatino Linotype" w:cstheme="minorHAnsi"/>
          <w:sz w:val="18"/>
          <w:szCs w:val="18"/>
          <w:lang w:val="en-US"/>
        </w:rPr>
      </w:pPr>
    </w:p>
    <w:p w14:paraId="3CBA6B9B" w14:textId="645C5FC9" w:rsidR="00006890" w:rsidRPr="00155A64" w:rsidRDefault="00006890" w:rsidP="00006890">
      <w:pPr>
        <w:ind w:right="77"/>
        <w:jc w:val="both"/>
        <w:rPr>
          <w:rFonts w:ascii="Palatino Linotype" w:hAnsi="Palatino Linotype" w:cstheme="minorHAnsi"/>
          <w:b/>
          <w:bCs/>
          <w:sz w:val="22"/>
          <w:szCs w:val="22"/>
          <w:lang w:val="en-US"/>
        </w:rPr>
      </w:pPr>
      <w:r w:rsidRPr="00155A64">
        <w:rPr>
          <w:rFonts w:ascii="Palatino Linotype" w:hAnsi="Palatino Linotype" w:cstheme="minorHAnsi"/>
          <w:b/>
          <w:bCs/>
          <w:sz w:val="22"/>
          <w:szCs w:val="22"/>
          <w:lang w:val="en-US"/>
        </w:rPr>
        <w:t xml:space="preserve">Table 2: Growth rates and contributions to the </w:t>
      </w:r>
      <w:r w:rsidR="00114BBE">
        <w:rPr>
          <w:rFonts w:ascii="Palatino Linotype" w:hAnsi="Palatino Linotype" w:cstheme="minorHAnsi"/>
          <w:b/>
          <w:bCs/>
          <w:sz w:val="22"/>
          <w:szCs w:val="22"/>
          <w:lang w:val="en-US"/>
        </w:rPr>
        <w:t>growth of GDP components in 202</w:t>
      </w:r>
      <w:r w:rsidR="003F6C2B">
        <w:rPr>
          <w:rFonts w:ascii="Palatino Linotype" w:hAnsi="Palatino Linotype" w:cstheme="minorHAnsi"/>
          <w:b/>
          <w:bCs/>
          <w:sz w:val="22"/>
          <w:szCs w:val="22"/>
          <w:lang w:val="en-US"/>
        </w:rPr>
        <w:t>2</w:t>
      </w:r>
      <w:r w:rsidRPr="00155A64">
        <w:rPr>
          <w:rFonts w:ascii="Palatino Linotype" w:hAnsi="Palatino Linotype" w:cstheme="minorHAnsi"/>
          <w:b/>
          <w:bCs/>
          <w:sz w:val="22"/>
          <w:szCs w:val="22"/>
          <w:lang w:val="en-US"/>
        </w:rPr>
        <w:t xml:space="preserve"> Q</w:t>
      </w:r>
      <w:r w:rsidR="00AF78D0">
        <w:rPr>
          <w:rFonts w:ascii="Palatino Linotype" w:hAnsi="Palatino Linotype" w:cstheme="minorHAnsi"/>
          <w:b/>
          <w:bCs/>
          <w:sz w:val="22"/>
          <w:szCs w:val="22"/>
          <w:lang w:val="en-US"/>
        </w:rPr>
        <w:t>4</w:t>
      </w:r>
      <w:r w:rsidRPr="00155A64">
        <w:rPr>
          <w:rFonts w:ascii="Palatino Linotype" w:hAnsi="Palatino Linotype" w:cstheme="minorHAnsi"/>
          <w:b/>
          <w:bCs/>
          <w:sz w:val="22"/>
          <w:szCs w:val="22"/>
          <w:lang w:val="en-US"/>
        </w:rPr>
        <w:t xml:space="preserve"> and 202</w:t>
      </w:r>
      <w:r w:rsidR="00AF78D0">
        <w:rPr>
          <w:rFonts w:ascii="Palatino Linotype" w:hAnsi="Palatino Linotype" w:cstheme="minorHAnsi"/>
          <w:b/>
          <w:bCs/>
          <w:sz w:val="22"/>
          <w:szCs w:val="22"/>
          <w:lang w:val="en-US"/>
        </w:rPr>
        <w:t>2</w:t>
      </w:r>
      <w:r w:rsidRPr="00155A64">
        <w:rPr>
          <w:rFonts w:ascii="Palatino Linotype" w:hAnsi="Palatino Linotype" w:cstheme="minorHAnsi"/>
          <w:b/>
          <w:bCs/>
          <w:sz w:val="22"/>
          <w:szCs w:val="22"/>
          <w:lang w:val="en-US"/>
        </w:rPr>
        <w:t xml:space="preserve"> Q</w:t>
      </w:r>
      <w:r w:rsidR="003F6C2B">
        <w:rPr>
          <w:rFonts w:ascii="Palatino Linotype" w:hAnsi="Palatino Linotype" w:cstheme="minorHAnsi"/>
          <w:b/>
          <w:bCs/>
          <w:sz w:val="22"/>
          <w:szCs w:val="22"/>
          <w:lang w:val="en-US"/>
        </w:rPr>
        <w:t>2</w:t>
      </w:r>
      <w:r w:rsidRPr="00155A64">
        <w:rPr>
          <w:rFonts w:ascii="Palatino Linotype" w:hAnsi="Palatino Linotype" w:cstheme="minorHAnsi"/>
          <w:b/>
          <w:bCs/>
          <w:sz w:val="22"/>
          <w:szCs w:val="22"/>
          <w:lang w:val="en-US"/>
        </w:rPr>
        <w:t xml:space="preserve"> compared to the previous quarter</w:t>
      </w:r>
    </w:p>
    <w:tbl>
      <w:tblPr>
        <w:tblW w:w="0" w:type="auto"/>
        <w:tblInd w:w="-30" w:type="dxa"/>
        <w:tblLayout w:type="fixed"/>
        <w:tblLook w:val="0000" w:firstRow="0" w:lastRow="0" w:firstColumn="0" w:lastColumn="0" w:noHBand="0" w:noVBand="0"/>
      </w:tblPr>
      <w:tblGrid>
        <w:gridCol w:w="2126"/>
        <w:gridCol w:w="1709"/>
        <w:gridCol w:w="1596"/>
        <w:gridCol w:w="1709"/>
        <w:gridCol w:w="1562"/>
      </w:tblGrid>
      <w:tr w:rsidR="002E555E" w14:paraId="44BF1825" w14:textId="77777777" w:rsidTr="009D239C">
        <w:tblPrEx>
          <w:tblCellMar>
            <w:top w:w="0" w:type="dxa"/>
            <w:bottom w:w="0" w:type="dxa"/>
          </w:tblCellMar>
        </w:tblPrEx>
        <w:trPr>
          <w:trHeight w:val="271"/>
        </w:trPr>
        <w:tc>
          <w:tcPr>
            <w:tcW w:w="2126" w:type="dxa"/>
            <w:tcBorders>
              <w:top w:val="nil"/>
              <w:left w:val="nil"/>
              <w:bottom w:val="nil"/>
              <w:right w:val="nil"/>
            </w:tcBorders>
            <w:shd w:val="solid" w:color="FFFFFF" w:fill="auto"/>
          </w:tcPr>
          <w:p w14:paraId="65A9F3F6" w14:textId="77777777" w:rsidR="002E555E" w:rsidRDefault="002E555E">
            <w:pPr>
              <w:autoSpaceDE w:val="0"/>
              <w:autoSpaceDN w:val="0"/>
              <w:adjustRightInd w:val="0"/>
              <w:jc w:val="right"/>
              <w:rPr>
                <w:rFonts w:ascii="Calibri" w:hAnsi="Calibri" w:cs="Calibri"/>
                <w:b/>
                <w:bCs/>
                <w:color w:val="000000"/>
                <w:sz w:val="20"/>
                <w:szCs w:val="20"/>
                <w:lang w:val="en-GB" w:eastAsia="en-US"/>
              </w:rPr>
            </w:pPr>
          </w:p>
        </w:tc>
        <w:tc>
          <w:tcPr>
            <w:tcW w:w="3305" w:type="dxa"/>
            <w:gridSpan w:val="2"/>
            <w:tcBorders>
              <w:top w:val="single" w:sz="6" w:space="0" w:color="auto"/>
              <w:left w:val="single" w:sz="6" w:space="0" w:color="auto"/>
              <w:bottom w:val="single" w:sz="6" w:space="0" w:color="auto"/>
              <w:right w:val="single" w:sz="6" w:space="0" w:color="auto"/>
            </w:tcBorders>
            <w:shd w:val="solid" w:color="FFFFFF" w:fill="auto"/>
          </w:tcPr>
          <w:p w14:paraId="770AD311" w14:textId="50D51990" w:rsidR="002E555E" w:rsidRDefault="002E555E">
            <w:pPr>
              <w:autoSpaceDE w:val="0"/>
              <w:autoSpaceDN w:val="0"/>
              <w:adjustRightInd w:val="0"/>
              <w:jc w:val="center"/>
              <w:rPr>
                <w:rFonts w:ascii="Calibri" w:hAnsi="Calibri" w:cs="Calibri"/>
                <w:b/>
                <w:bCs/>
                <w:color w:val="000000"/>
                <w:sz w:val="20"/>
                <w:szCs w:val="20"/>
                <w:lang w:val="en-GB" w:eastAsia="en-US"/>
              </w:rPr>
            </w:pPr>
            <w:r>
              <w:rPr>
                <w:rFonts w:ascii="Calibri" w:hAnsi="Calibri" w:cs="Calibri"/>
                <w:b/>
                <w:bCs/>
                <w:color w:val="000000"/>
                <w:sz w:val="20"/>
                <w:szCs w:val="20"/>
                <w:lang w:val="en-GB" w:eastAsia="en-US"/>
              </w:rPr>
              <w:t>2022Q1</w:t>
            </w:r>
          </w:p>
        </w:tc>
        <w:tc>
          <w:tcPr>
            <w:tcW w:w="3271" w:type="dxa"/>
            <w:gridSpan w:val="2"/>
            <w:tcBorders>
              <w:top w:val="single" w:sz="6" w:space="0" w:color="auto"/>
              <w:left w:val="single" w:sz="6" w:space="0" w:color="auto"/>
              <w:bottom w:val="single" w:sz="6" w:space="0" w:color="auto"/>
              <w:right w:val="single" w:sz="6" w:space="0" w:color="auto"/>
            </w:tcBorders>
            <w:shd w:val="solid" w:color="FFFFFF" w:fill="auto"/>
          </w:tcPr>
          <w:p w14:paraId="1FDB8D0E" w14:textId="4D89E827" w:rsidR="002E555E" w:rsidRDefault="002E555E">
            <w:pPr>
              <w:autoSpaceDE w:val="0"/>
              <w:autoSpaceDN w:val="0"/>
              <w:adjustRightInd w:val="0"/>
              <w:jc w:val="center"/>
              <w:rPr>
                <w:rFonts w:ascii="Calibri" w:hAnsi="Calibri" w:cs="Calibri"/>
                <w:b/>
                <w:bCs/>
                <w:color w:val="000000"/>
                <w:sz w:val="20"/>
                <w:szCs w:val="20"/>
                <w:lang w:val="en-GB" w:eastAsia="en-US"/>
              </w:rPr>
            </w:pPr>
            <w:r>
              <w:rPr>
                <w:rFonts w:ascii="Calibri" w:hAnsi="Calibri" w:cs="Calibri"/>
                <w:b/>
                <w:bCs/>
                <w:color w:val="000000"/>
                <w:sz w:val="20"/>
                <w:szCs w:val="20"/>
                <w:lang w:val="en-GB" w:eastAsia="en-US"/>
              </w:rPr>
              <w:t>2022Q2</w:t>
            </w:r>
          </w:p>
        </w:tc>
      </w:tr>
      <w:tr w:rsidR="002E555E" w14:paraId="7A3609D0" w14:textId="77777777" w:rsidTr="002E555E">
        <w:tblPrEx>
          <w:tblCellMar>
            <w:top w:w="0" w:type="dxa"/>
            <w:bottom w:w="0" w:type="dxa"/>
          </w:tblCellMar>
        </w:tblPrEx>
        <w:trPr>
          <w:trHeight w:val="271"/>
        </w:trPr>
        <w:tc>
          <w:tcPr>
            <w:tcW w:w="2126" w:type="dxa"/>
            <w:tcBorders>
              <w:top w:val="nil"/>
              <w:left w:val="nil"/>
              <w:bottom w:val="nil"/>
              <w:right w:val="nil"/>
            </w:tcBorders>
            <w:shd w:val="solid" w:color="FFFFFF" w:fill="auto"/>
          </w:tcPr>
          <w:p w14:paraId="720E16E9" w14:textId="77777777" w:rsidR="002E555E" w:rsidRDefault="002E555E">
            <w:pPr>
              <w:autoSpaceDE w:val="0"/>
              <w:autoSpaceDN w:val="0"/>
              <w:adjustRightInd w:val="0"/>
              <w:jc w:val="right"/>
              <w:rPr>
                <w:rFonts w:ascii="Calibri" w:hAnsi="Calibri" w:cs="Calibri"/>
                <w:b/>
                <w:bCs/>
                <w:color w:val="000000"/>
                <w:sz w:val="20"/>
                <w:szCs w:val="20"/>
                <w:lang w:val="en-GB" w:eastAsia="en-US"/>
              </w:rPr>
            </w:pPr>
          </w:p>
        </w:tc>
        <w:tc>
          <w:tcPr>
            <w:tcW w:w="1709" w:type="dxa"/>
            <w:tcBorders>
              <w:top w:val="single" w:sz="6" w:space="0" w:color="auto"/>
              <w:left w:val="single" w:sz="6" w:space="0" w:color="auto"/>
              <w:bottom w:val="single" w:sz="6" w:space="0" w:color="auto"/>
              <w:right w:val="nil"/>
            </w:tcBorders>
            <w:shd w:val="solid" w:color="FFFFFF" w:fill="auto"/>
          </w:tcPr>
          <w:p w14:paraId="2191CFD3" w14:textId="77777777" w:rsidR="002E555E" w:rsidRDefault="002E555E">
            <w:pPr>
              <w:autoSpaceDE w:val="0"/>
              <w:autoSpaceDN w:val="0"/>
              <w:adjustRightInd w:val="0"/>
              <w:jc w:val="center"/>
              <w:rPr>
                <w:rFonts w:ascii="Calibri" w:hAnsi="Calibri" w:cs="Calibri"/>
                <w:b/>
                <w:bCs/>
                <w:color w:val="000000"/>
                <w:sz w:val="20"/>
                <w:szCs w:val="20"/>
                <w:lang w:val="en-GB" w:eastAsia="en-US"/>
              </w:rPr>
            </w:pPr>
            <w:r>
              <w:rPr>
                <w:rFonts w:ascii="Calibri" w:hAnsi="Calibri" w:cs="Calibri"/>
                <w:b/>
                <w:bCs/>
                <w:color w:val="000000"/>
                <w:sz w:val="20"/>
                <w:szCs w:val="20"/>
                <w:lang w:val="en-GB" w:eastAsia="en-US"/>
              </w:rPr>
              <w:t>Change (%)</w:t>
            </w:r>
          </w:p>
        </w:tc>
        <w:tc>
          <w:tcPr>
            <w:tcW w:w="1596" w:type="dxa"/>
            <w:tcBorders>
              <w:top w:val="single" w:sz="6" w:space="0" w:color="auto"/>
              <w:left w:val="nil"/>
              <w:bottom w:val="nil"/>
              <w:right w:val="single" w:sz="6" w:space="0" w:color="auto"/>
            </w:tcBorders>
            <w:shd w:val="solid" w:color="FFFFFF" w:fill="auto"/>
          </w:tcPr>
          <w:p w14:paraId="71DE89C5" w14:textId="77777777" w:rsidR="002E555E" w:rsidRDefault="002E555E">
            <w:pPr>
              <w:autoSpaceDE w:val="0"/>
              <w:autoSpaceDN w:val="0"/>
              <w:adjustRightInd w:val="0"/>
              <w:jc w:val="center"/>
              <w:rPr>
                <w:rFonts w:ascii="Calibri" w:hAnsi="Calibri" w:cs="Calibri"/>
                <w:b/>
                <w:bCs/>
                <w:color w:val="000000"/>
                <w:sz w:val="20"/>
                <w:szCs w:val="20"/>
                <w:lang w:val="en-GB" w:eastAsia="en-US"/>
              </w:rPr>
            </w:pPr>
            <w:r>
              <w:rPr>
                <w:rFonts w:ascii="Calibri" w:hAnsi="Calibri" w:cs="Calibri"/>
                <w:b/>
                <w:bCs/>
                <w:color w:val="000000"/>
                <w:sz w:val="20"/>
                <w:szCs w:val="20"/>
                <w:lang w:val="en-GB" w:eastAsia="en-US"/>
              </w:rPr>
              <w:t>Contribution (%)</w:t>
            </w:r>
          </w:p>
        </w:tc>
        <w:tc>
          <w:tcPr>
            <w:tcW w:w="1709" w:type="dxa"/>
            <w:tcBorders>
              <w:top w:val="single" w:sz="6" w:space="0" w:color="auto"/>
              <w:left w:val="single" w:sz="6" w:space="0" w:color="auto"/>
              <w:bottom w:val="nil"/>
              <w:right w:val="nil"/>
            </w:tcBorders>
            <w:shd w:val="solid" w:color="FFFFFF" w:fill="auto"/>
          </w:tcPr>
          <w:p w14:paraId="01584CA5" w14:textId="77777777" w:rsidR="002E555E" w:rsidRDefault="002E555E">
            <w:pPr>
              <w:autoSpaceDE w:val="0"/>
              <w:autoSpaceDN w:val="0"/>
              <w:adjustRightInd w:val="0"/>
              <w:jc w:val="center"/>
              <w:rPr>
                <w:rFonts w:ascii="Calibri" w:hAnsi="Calibri" w:cs="Calibri"/>
                <w:b/>
                <w:bCs/>
                <w:color w:val="000000"/>
                <w:sz w:val="20"/>
                <w:szCs w:val="20"/>
                <w:lang w:val="en-GB" w:eastAsia="en-US"/>
              </w:rPr>
            </w:pPr>
            <w:r>
              <w:rPr>
                <w:rFonts w:ascii="Calibri" w:hAnsi="Calibri" w:cs="Calibri"/>
                <w:b/>
                <w:bCs/>
                <w:color w:val="000000"/>
                <w:sz w:val="20"/>
                <w:szCs w:val="20"/>
                <w:lang w:val="en-GB" w:eastAsia="en-US"/>
              </w:rPr>
              <w:t>Change (%)</w:t>
            </w:r>
          </w:p>
        </w:tc>
        <w:tc>
          <w:tcPr>
            <w:tcW w:w="1562" w:type="dxa"/>
            <w:tcBorders>
              <w:top w:val="single" w:sz="6" w:space="0" w:color="auto"/>
              <w:left w:val="nil"/>
              <w:bottom w:val="nil"/>
              <w:right w:val="single" w:sz="6" w:space="0" w:color="auto"/>
            </w:tcBorders>
            <w:shd w:val="solid" w:color="FFFFFF" w:fill="auto"/>
          </w:tcPr>
          <w:p w14:paraId="33811602" w14:textId="77777777" w:rsidR="002E555E" w:rsidRDefault="002E555E">
            <w:pPr>
              <w:autoSpaceDE w:val="0"/>
              <w:autoSpaceDN w:val="0"/>
              <w:adjustRightInd w:val="0"/>
              <w:jc w:val="center"/>
              <w:rPr>
                <w:rFonts w:ascii="Calibri" w:hAnsi="Calibri" w:cs="Calibri"/>
                <w:b/>
                <w:bCs/>
                <w:color w:val="000000"/>
                <w:sz w:val="20"/>
                <w:szCs w:val="20"/>
                <w:lang w:val="en-GB" w:eastAsia="en-US"/>
              </w:rPr>
            </w:pPr>
            <w:r>
              <w:rPr>
                <w:rFonts w:ascii="Calibri" w:hAnsi="Calibri" w:cs="Calibri"/>
                <w:b/>
                <w:bCs/>
                <w:color w:val="000000"/>
                <w:sz w:val="20"/>
                <w:szCs w:val="20"/>
                <w:lang w:val="en-GB" w:eastAsia="en-US"/>
              </w:rPr>
              <w:t>Contribution (%)</w:t>
            </w:r>
          </w:p>
        </w:tc>
      </w:tr>
      <w:tr w:rsidR="002E555E" w14:paraId="737CB453" w14:textId="77777777" w:rsidTr="002E555E">
        <w:tblPrEx>
          <w:tblCellMar>
            <w:top w:w="0" w:type="dxa"/>
            <w:bottom w:w="0" w:type="dxa"/>
          </w:tblCellMar>
        </w:tblPrEx>
        <w:trPr>
          <w:trHeight w:val="271"/>
        </w:trPr>
        <w:tc>
          <w:tcPr>
            <w:tcW w:w="2126" w:type="dxa"/>
            <w:tcBorders>
              <w:top w:val="single" w:sz="6" w:space="0" w:color="auto"/>
              <w:left w:val="nil"/>
              <w:bottom w:val="nil"/>
              <w:right w:val="nil"/>
            </w:tcBorders>
            <w:shd w:val="solid" w:color="FFFFFF" w:fill="auto"/>
          </w:tcPr>
          <w:p w14:paraId="06237A06" w14:textId="77777777" w:rsidR="002E555E" w:rsidRDefault="002E555E">
            <w:pPr>
              <w:autoSpaceDE w:val="0"/>
              <w:autoSpaceDN w:val="0"/>
              <w:adjustRightInd w:val="0"/>
              <w:rPr>
                <w:rFonts w:ascii="Calibri" w:hAnsi="Calibri" w:cs="Calibri"/>
                <w:b/>
                <w:bCs/>
                <w:color w:val="000000"/>
                <w:sz w:val="20"/>
                <w:szCs w:val="20"/>
                <w:lang w:val="en-GB" w:eastAsia="en-US"/>
              </w:rPr>
            </w:pPr>
            <w:r>
              <w:rPr>
                <w:rFonts w:ascii="Calibri" w:hAnsi="Calibri" w:cs="Calibri"/>
                <w:b/>
                <w:bCs/>
                <w:color w:val="000000"/>
                <w:sz w:val="20"/>
                <w:szCs w:val="20"/>
                <w:lang w:val="en-GB" w:eastAsia="en-US"/>
              </w:rPr>
              <w:t>Consumption</w:t>
            </w:r>
          </w:p>
        </w:tc>
        <w:tc>
          <w:tcPr>
            <w:tcW w:w="1709" w:type="dxa"/>
            <w:tcBorders>
              <w:top w:val="single" w:sz="6" w:space="0" w:color="auto"/>
              <w:left w:val="single" w:sz="6" w:space="0" w:color="auto"/>
              <w:bottom w:val="nil"/>
              <w:right w:val="nil"/>
            </w:tcBorders>
            <w:shd w:val="solid" w:color="FFFFFF" w:fill="auto"/>
          </w:tcPr>
          <w:p w14:paraId="1A0CE105" w14:textId="77777777" w:rsidR="002E555E" w:rsidRDefault="002E555E">
            <w:pPr>
              <w:autoSpaceDE w:val="0"/>
              <w:autoSpaceDN w:val="0"/>
              <w:adjustRightInd w:val="0"/>
              <w:jc w:val="center"/>
              <w:rPr>
                <w:rFonts w:ascii="Calibri" w:hAnsi="Calibri" w:cs="Calibri"/>
                <w:color w:val="000000"/>
                <w:sz w:val="20"/>
                <w:szCs w:val="20"/>
                <w:lang w:val="en-GB" w:eastAsia="en-US"/>
              </w:rPr>
            </w:pPr>
            <w:r>
              <w:rPr>
                <w:rFonts w:ascii="Calibri" w:hAnsi="Calibri" w:cs="Calibri"/>
                <w:color w:val="000000"/>
                <w:sz w:val="20"/>
                <w:szCs w:val="20"/>
                <w:lang w:val="en-GB" w:eastAsia="en-US"/>
              </w:rPr>
              <w:t>1.6</w:t>
            </w:r>
          </w:p>
        </w:tc>
        <w:tc>
          <w:tcPr>
            <w:tcW w:w="1596" w:type="dxa"/>
            <w:tcBorders>
              <w:top w:val="single" w:sz="6" w:space="0" w:color="auto"/>
              <w:left w:val="nil"/>
              <w:bottom w:val="nil"/>
              <w:right w:val="single" w:sz="6" w:space="0" w:color="auto"/>
            </w:tcBorders>
            <w:shd w:val="solid" w:color="FFFFFF" w:fill="auto"/>
          </w:tcPr>
          <w:p w14:paraId="7B213010" w14:textId="77777777" w:rsidR="002E555E" w:rsidRDefault="002E555E">
            <w:pPr>
              <w:autoSpaceDE w:val="0"/>
              <w:autoSpaceDN w:val="0"/>
              <w:adjustRightInd w:val="0"/>
              <w:jc w:val="center"/>
              <w:rPr>
                <w:rFonts w:ascii="Calibri" w:hAnsi="Calibri" w:cs="Calibri"/>
                <w:color w:val="000000"/>
                <w:sz w:val="20"/>
                <w:szCs w:val="20"/>
                <w:lang w:val="en-GB" w:eastAsia="en-US"/>
              </w:rPr>
            </w:pPr>
            <w:r>
              <w:rPr>
                <w:rFonts w:ascii="Calibri" w:hAnsi="Calibri" w:cs="Calibri"/>
                <w:color w:val="000000"/>
                <w:sz w:val="20"/>
                <w:szCs w:val="20"/>
                <w:lang w:val="en-GB" w:eastAsia="en-US"/>
              </w:rPr>
              <w:t>0.7</w:t>
            </w:r>
          </w:p>
        </w:tc>
        <w:tc>
          <w:tcPr>
            <w:tcW w:w="1709" w:type="dxa"/>
            <w:tcBorders>
              <w:top w:val="single" w:sz="6" w:space="0" w:color="auto"/>
              <w:left w:val="single" w:sz="6" w:space="0" w:color="auto"/>
              <w:bottom w:val="nil"/>
              <w:right w:val="nil"/>
            </w:tcBorders>
            <w:shd w:val="solid" w:color="FFFFFF" w:fill="auto"/>
          </w:tcPr>
          <w:p w14:paraId="433DDF4E" w14:textId="77777777" w:rsidR="002E555E" w:rsidRDefault="002E555E">
            <w:pPr>
              <w:autoSpaceDE w:val="0"/>
              <w:autoSpaceDN w:val="0"/>
              <w:adjustRightInd w:val="0"/>
              <w:jc w:val="center"/>
              <w:rPr>
                <w:rFonts w:ascii="Calibri" w:hAnsi="Calibri" w:cs="Calibri"/>
                <w:color w:val="000000"/>
                <w:sz w:val="20"/>
                <w:szCs w:val="20"/>
                <w:lang w:val="en-GB" w:eastAsia="en-US"/>
              </w:rPr>
            </w:pPr>
            <w:r>
              <w:rPr>
                <w:rFonts w:ascii="Calibri" w:hAnsi="Calibri" w:cs="Calibri"/>
                <w:color w:val="000000"/>
                <w:sz w:val="20"/>
                <w:szCs w:val="20"/>
                <w:lang w:val="en-GB" w:eastAsia="en-US"/>
              </w:rPr>
              <w:t>3.9</w:t>
            </w:r>
          </w:p>
        </w:tc>
        <w:tc>
          <w:tcPr>
            <w:tcW w:w="1562" w:type="dxa"/>
            <w:tcBorders>
              <w:top w:val="single" w:sz="6" w:space="0" w:color="auto"/>
              <w:left w:val="nil"/>
              <w:bottom w:val="nil"/>
              <w:right w:val="single" w:sz="6" w:space="0" w:color="auto"/>
            </w:tcBorders>
            <w:shd w:val="solid" w:color="FFFFFF" w:fill="auto"/>
          </w:tcPr>
          <w:p w14:paraId="37AC992A" w14:textId="77777777" w:rsidR="002E555E" w:rsidRDefault="002E555E">
            <w:pPr>
              <w:autoSpaceDE w:val="0"/>
              <w:autoSpaceDN w:val="0"/>
              <w:adjustRightInd w:val="0"/>
              <w:jc w:val="center"/>
              <w:rPr>
                <w:rFonts w:ascii="Calibri" w:hAnsi="Calibri" w:cs="Calibri"/>
                <w:color w:val="000000"/>
                <w:sz w:val="20"/>
                <w:szCs w:val="20"/>
                <w:lang w:val="en-GB" w:eastAsia="en-US"/>
              </w:rPr>
            </w:pPr>
            <w:r>
              <w:rPr>
                <w:rFonts w:ascii="Calibri" w:hAnsi="Calibri" w:cs="Calibri"/>
                <w:color w:val="000000"/>
                <w:sz w:val="20"/>
                <w:szCs w:val="20"/>
                <w:lang w:val="en-GB" w:eastAsia="en-US"/>
              </w:rPr>
              <w:t>2.3</w:t>
            </w:r>
          </w:p>
        </w:tc>
      </w:tr>
      <w:tr w:rsidR="002E555E" w14:paraId="66959029" w14:textId="77777777" w:rsidTr="002E555E">
        <w:tblPrEx>
          <w:tblCellMar>
            <w:top w:w="0" w:type="dxa"/>
            <w:bottom w:w="0" w:type="dxa"/>
          </w:tblCellMar>
        </w:tblPrEx>
        <w:trPr>
          <w:trHeight w:val="271"/>
        </w:trPr>
        <w:tc>
          <w:tcPr>
            <w:tcW w:w="2126" w:type="dxa"/>
            <w:tcBorders>
              <w:top w:val="nil"/>
              <w:left w:val="nil"/>
              <w:bottom w:val="nil"/>
              <w:right w:val="nil"/>
            </w:tcBorders>
            <w:shd w:val="solid" w:color="FFFFFF" w:fill="auto"/>
          </w:tcPr>
          <w:p w14:paraId="121ECCB7" w14:textId="77777777" w:rsidR="002E555E" w:rsidRDefault="002E555E">
            <w:pPr>
              <w:autoSpaceDE w:val="0"/>
              <w:autoSpaceDN w:val="0"/>
              <w:adjustRightInd w:val="0"/>
              <w:rPr>
                <w:rFonts w:ascii="Calibri" w:hAnsi="Calibri" w:cs="Calibri"/>
                <w:b/>
                <w:bCs/>
                <w:color w:val="000000"/>
                <w:sz w:val="20"/>
                <w:szCs w:val="20"/>
                <w:lang w:val="en-GB" w:eastAsia="en-US"/>
              </w:rPr>
            </w:pPr>
            <w:r>
              <w:rPr>
                <w:rFonts w:ascii="Calibri" w:hAnsi="Calibri" w:cs="Calibri"/>
                <w:b/>
                <w:bCs/>
                <w:color w:val="000000"/>
                <w:sz w:val="20"/>
                <w:szCs w:val="20"/>
                <w:lang w:val="en-GB" w:eastAsia="en-US"/>
              </w:rPr>
              <w:t>Government Spending</w:t>
            </w:r>
          </w:p>
        </w:tc>
        <w:tc>
          <w:tcPr>
            <w:tcW w:w="1709" w:type="dxa"/>
            <w:tcBorders>
              <w:top w:val="nil"/>
              <w:left w:val="single" w:sz="6" w:space="0" w:color="auto"/>
              <w:bottom w:val="nil"/>
              <w:right w:val="nil"/>
            </w:tcBorders>
            <w:shd w:val="solid" w:color="FFFFFF" w:fill="auto"/>
          </w:tcPr>
          <w:p w14:paraId="42A045FF" w14:textId="77777777" w:rsidR="002E555E" w:rsidRDefault="002E555E">
            <w:pPr>
              <w:autoSpaceDE w:val="0"/>
              <w:autoSpaceDN w:val="0"/>
              <w:adjustRightInd w:val="0"/>
              <w:jc w:val="center"/>
              <w:rPr>
                <w:rFonts w:ascii="Calibri" w:hAnsi="Calibri" w:cs="Calibri"/>
                <w:color w:val="000000"/>
                <w:sz w:val="20"/>
                <w:szCs w:val="20"/>
                <w:lang w:val="en-GB" w:eastAsia="en-US"/>
              </w:rPr>
            </w:pPr>
            <w:r>
              <w:rPr>
                <w:rFonts w:ascii="Calibri" w:hAnsi="Calibri" w:cs="Calibri"/>
                <w:color w:val="000000"/>
                <w:sz w:val="20"/>
                <w:szCs w:val="20"/>
                <w:lang w:val="en-GB" w:eastAsia="en-US"/>
              </w:rPr>
              <w:t>-0.3</w:t>
            </w:r>
          </w:p>
        </w:tc>
        <w:tc>
          <w:tcPr>
            <w:tcW w:w="1596" w:type="dxa"/>
            <w:tcBorders>
              <w:top w:val="nil"/>
              <w:left w:val="nil"/>
              <w:bottom w:val="nil"/>
              <w:right w:val="single" w:sz="6" w:space="0" w:color="auto"/>
            </w:tcBorders>
            <w:shd w:val="solid" w:color="FFFFFF" w:fill="auto"/>
          </w:tcPr>
          <w:p w14:paraId="19AA2659" w14:textId="77777777" w:rsidR="002E555E" w:rsidRDefault="002E555E">
            <w:pPr>
              <w:autoSpaceDE w:val="0"/>
              <w:autoSpaceDN w:val="0"/>
              <w:adjustRightInd w:val="0"/>
              <w:jc w:val="center"/>
              <w:rPr>
                <w:rFonts w:ascii="Calibri" w:hAnsi="Calibri" w:cs="Calibri"/>
                <w:color w:val="000000"/>
                <w:sz w:val="20"/>
                <w:szCs w:val="20"/>
                <w:lang w:val="en-GB" w:eastAsia="en-US"/>
              </w:rPr>
            </w:pPr>
            <w:r>
              <w:rPr>
                <w:rFonts w:ascii="Calibri" w:hAnsi="Calibri" w:cs="Calibri"/>
                <w:color w:val="000000"/>
                <w:sz w:val="20"/>
                <w:szCs w:val="20"/>
                <w:lang w:val="en-GB" w:eastAsia="en-US"/>
              </w:rPr>
              <w:t>0.0</w:t>
            </w:r>
          </w:p>
        </w:tc>
        <w:tc>
          <w:tcPr>
            <w:tcW w:w="1709" w:type="dxa"/>
            <w:tcBorders>
              <w:top w:val="nil"/>
              <w:left w:val="single" w:sz="6" w:space="0" w:color="auto"/>
              <w:bottom w:val="nil"/>
              <w:right w:val="nil"/>
            </w:tcBorders>
            <w:shd w:val="solid" w:color="FFFFFF" w:fill="auto"/>
          </w:tcPr>
          <w:p w14:paraId="2F8DEE96" w14:textId="77777777" w:rsidR="002E555E" w:rsidRDefault="002E555E">
            <w:pPr>
              <w:autoSpaceDE w:val="0"/>
              <w:autoSpaceDN w:val="0"/>
              <w:adjustRightInd w:val="0"/>
              <w:jc w:val="center"/>
              <w:rPr>
                <w:rFonts w:ascii="Calibri" w:hAnsi="Calibri" w:cs="Calibri"/>
                <w:color w:val="000000"/>
                <w:sz w:val="20"/>
                <w:szCs w:val="20"/>
                <w:lang w:val="en-GB" w:eastAsia="en-US"/>
              </w:rPr>
            </w:pPr>
            <w:r>
              <w:rPr>
                <w:rFonts w:ascii="Calibri" w:hAnsi="Calibri" w:cs="Calibri"/>
                <w:color w:val="000000"/>
                <w:sz w:val="20"/>
                <w:szCs w:val="20"/>
                <w:lang w:val="en-GB" w:eastAsia="en-US"/>
              </w:rPr>
              <w:t>1.1</w:t>
            </w:r>
          </w:p>
        </w:tc>
        <w:tc>
          <w:tcPr>
            <w:tcW w:w="1562" w:type="dxa"/>
            <w:tcBorders>
              <w:top w:val="nil"/>
              <w:left w:val="nil"/>
              <w:bottom w:val="nil"/>
              <w:right w:val="single" w:sz="6" w:space="0" w:color="auto"/>
            </w:tcBorders>
            <w:shd w:val="solid" w:color="FFFFFF" w:fill="auto"/>
          </w:tcPr>
          <w:p w14:paraId="7306CA8E" w14:textId="77777777" w:rsidR="002E555E" w:rsidRDefault="002E555E">
            <w:pPr>
              <w:autoSpaceDE w:val="0"/>
              <w:autoSpaceDN w:val="0"/>
              <w:adjustRightInd w:val="0"/>
              <w:jc w:val="center"/>
              <w:rPr>
                <w:rFonts w:ascii="Calibri" w:hAnsi="Calibri" w:cs="Calibri"/>
                <w:color w:val="000000"/>
                <w:sz w:val="20"/>
                <w:szCs w:val="20"/>
                <w:lang w:val="en-GB" w:eastAsia="en-US"/>
              </w:rPr>
            </w:pPr>
            <w:r>
              <w:rPr>
                <w:rFonts w:ascii="Calibri" w:hAnsi="Calibri" w:cs="Calibri"/>
                <w:color w:val="000000"/>
                <w:sz w:val="20"/>
                <w:szCs w:val="20"/>
                <w:lang w:val="en-GB" w:eastAsia="en-US"/>
              </w:rPr>
              <w:t>0.1</w:t>
            </w:r>
          </w:p>
        </w:tc>
      </w:tr>
      <w:tr w:rsidR="002E555E" w14:paraId="53044B0E" w14:textId="77777777" w:rsidTr="002E555E">
        <w:tblPrEx>
          <w:tblCellMar>
            <w:top w:w="0" w:type="dxa"/>
            <w:bottom w:w="0" w:type="dxa"/>
          </w:tblCellMar>
        </w:tblPrEx>
        <w:trPr>
          <w:trHeight w:val="271"/>
        </w:trPr>
        <w:tc>
          <w:tcPr>
            <w:tcW w:w="2126" w:type="dxa"/>
            <w:tcBorders>
              <w:top w:val="nil"/>
              <w:left w:val="nil"/>
              <w:bottom w:val="nil"/>
              <w:right w:val="nil"/>
            </w:tcBorders>
            <w:shd w:val="solid" w:color="FFFFFF" w:fill="auto"/>
          </w:tcPr>
          <w:p w14:paraId="12C8685D" w14:textId="77777777" w:rsidR="002E555E" w:rsidRDefault="002E555E">
            <w:pPr>
              <w:autoSpaceDE w:val="0"/>
              <w:autoSpaceDN w:val="0"/>
              <w:adjustRightInd w:val="0"/>
              <w:rPr>
                <w:rFonts w:ascii="Calibri" w:hAnsi="Calibri" w:cs="Calibri"/>
                <w:b/>
                <w:bCs/>
                <w:color w:val="000000"/>
                <w:sz w:val="20"/>
                <w:szCs w:val="20"/>
                <w:lang w:val="en-GB" w:eastAsia="en-US"/>
              </w:rPr>
            </w:pPr>
            <w:r>
              <w:rPr>
                <w:rFonts w:ascii="Calibri" w:hAnsi="Calibri" w:cs="Calibri"/>
                <w:b/>
                <w:bCs/>
                <w:color w:val="000000"/>
                <w:sz w:val="20"/>
                <w:szCs w:val="20"/>
                <w:lang w:val="en-GB" w:eastAsia="en-US"/>
              </w:rPr>
              <w:t>Investment</w:t>
            </w:r>
          </w:p>
        </w:tc>
        <w:tc>
          <w:tcPr>
            <w:tcW w:w="1709" w:type="dxa"/>
            <w:tcBorders>
              <w:top w:val="nil"/>
              <w:left w:val="single" w:sz="6" w:space="0" w:color="auto"/>
              <w:bottom w:val="nil"/>
              <w:right w:val="nil"/>
            </w:tcBorders>
            <w:shd w:val="solid" w:color="FFFFFF" w:fill="auto"/>
          </w:tcPr>
          <w:p w14:paraId="2D5867BE" w14:textId="77777777" w:rsidR="002E555E" w:rsidRDefault="002E555E">
            <w:pPr>
              <w:autoSpaceDE w:val="0"/>
              <w:autoSpaceDN w:val="0"/>
              <w:adjustRightInd w:val="0"/>
              <w:jc w:val="center"/>
              <w:rPr>
                <w:rFonts w:ascii="Calibri" w:hAnsi="Calibri" w:cs="Calibri"/>
                <w:color w:val="000000"/>
                <w:sz w:val="20"/>
                <w:szCs w:val="20"/>
                <w:lang w:val="en-GB" w:eastAsia="en-US"/>
              </w:rPr>
            </w:pPr>
            <w:r>
              <w:rPr>
                <w:rFonts w:ascii="Calibri" w:hAnsi="Calibri" w:cs="Calibri"/>
                <w:color w:val="000000"/>
                <w:sz w:val="20"/>
                <w:szCs w:val="20"/>
                <w:lang w:val="en-GB" w:eastAsia="en-US"/>
              </w:rPr>
              <w:t>2.2</w:t>
            </w:r>
          </w:p>
        </w:tc>
        <w:tc>
          <w:tcPr>
            <w:tcW w:w="1596" w:type="dxa"/>
            <w:tcBorders>
              <w:top w:val="nil"/>
              <w:left w:val="nil"/>
              <w:bottom w:val="nil"/>
              <w:right w:val="single" w:sz="6" w:space="0" w:color="auto"/>
            </w:tcBorders>
            <w:shd w:val="solid" w:color="FFFFFF" w:fill="auto"/>
          </w:tcPr>
          <w:p w14:paraId="3390A117" w14:textId="77777777" w:rsidR="002E555E" w:rsidRDefault="002E555E">
            <w:pPr>
              <w:autoSpaceDE w:val="0"/>
              <w:autoSpaceDN w:val="0"/>
              <w:adjustRightInd w:val="0"/>
              <w:jc w:val="center"/>
              <w:rPr>
                <w:rFonts w:ascii="Calibri" w:hAnsi="Calibri" w:cs="Calibri"/>
                <w:color w:val="000000"/>
                <w:sz w:val="20"/>
                <w:szCs w:val="20"/>
                <w:lang w:val="en-GB" w:eastAsia="en-US"/>
              </w:rPr>
            </w:pPr>
            <w:r>
              <w:rPr>
                <w:rFonts w:ascii="Calibri" w:hAnsi="Calibri" w:cs="Calibri"/>
                <w:color w:val="000000"/>
                <w:sz w:val="20"/>
                <w:szCs w:val="20"/>
                <w:lang w:val="en-GB" w:eastAsia="en-US"/>
              </w:rPr>
              <w:t>0.6</w:t>
            </w:r>
          </w:p>
        </w:tc>
        <w:tc>
          <w:tcPr>
            <w:tcW w:w="1709" w:type="dxa"/>
            <w:tcBorders>
              <w:top w:val="nil"/>
              <w:left w:val="single" w:sz="6" w:space="0" w:color="auto"/>
              <w:bottom w:val="nil"/>
              <w:right w:val="nil"/>
            </w:tcBorders>
            <w:shd w:val="solid" w:color="FFFFFF" w:fill="auto"/>
          </w:tcPr>
          <w:p w14:paraId="4E80CA9E" w14:textId="77777777" w:rsidR="002E555E" w:rsidRDefault="002E555E">
            <w:pPr>
              <w:autoSpaceDE w:val="0"/>
              <w:autoSpaceDN w:val="0"/>
              <w:adjustRightInd w:val="0"/>
              <w:jc w:val="center"/>
              <w:rPr>
                <w:rFonts w:ascii="Calibri" w:hAnsi="Calibri" w:cs="Calibri"/>
                <w:color w:val="000000"/>
                <w:sz w:val="20"/>
                <w:szCs w:val="20"/>
                <w:lang w:val="en-GB" w:eastAsia="en-US"/>
              </w:rPr>
            </w:pPr>
            <w:r>
              <w:rPr>
                <w:rFonts w:ascii="Calibri" w:hAnsi="Calibri" w:cs="Calibri"/>
                <w:color w:val="000000"/>
                <w:sz w:val="20"/>
                <w:szCs w:val="20"/>
                <w:lang w:val="en-GB" w:eastAsia="en-US"/>
              </w:rPr>
              <w:t>-1.3</w:t>
            </w:r>
          </w:p>
        </w:tc>
        <w:tc>
          <w:tcPr>
            <w:tcW w:w="1562" w:type="dxa"/>
            <w:tcBorders>
              <w:top w:val="nil"/>
              <w:left w:val="nil"/>
              <w:bottom w:val="nil"/>
              <w:right w:val="single" w:sz="6" w:space="0" w:color="auto"/>
            </w:tcBorders>
            <w:shd w:val="solid" w:color="FFFFFF" w:fill="auto"/>
          </w:tcPr>
          <w:p w14:paraId="3DE9F261" w14:textId="77777777" w:rsidR="002E555E" w:rsidRDefault="002E555E">
            <w:pPr>
              <w:autoSpaceDE w:val="0"/>
              <w:autoSpaceDN w:val="0"/>
              <w:adjustRightInd w:val="0"/>
              <w:jc w:val="center"/>
              <w:rPr>
                <w:rFonts w:ascii="Calibri" w:hAnsi="Calibri" w:cs="Calibri"/>
                <w:color w:val="000000"/>
                <w:sz w:val="20"/>
                <w:szCs w:val="20"/>
                <w:lang w:val="en-GB" w:eastAsia="en-US"/>
              </w:rPr>
            </w:pPr>
            <w:r>
              <w:rPr>
                <w:rFonts w:ascii="Calibri" w:hAnsi="Calibri" w:cs="Calibri"/>
                <w:color w:val="000000"/>
                <w:sz w:val="20"/>
                <w:szCs w:val="20"/>
                <w:lang w:val="en-GB" w:eastAsia="en-US"/>
              </w:rPr>
              <w:t>-0.4</w:t>
            </w:r>
          </w:p>
        </w:tc>
      </w:tr>
      <w:tr w:rsidR="002E555E" w14:paraId="345BD4DE" w14:textId="77777777" w:rsidTr="002E555E">
        <w:tblPrEx>
          <w:tblCellMar>
            <w:top w:w="0" w:type="dxa"/>
            <w:bottom w:w="0" w:type="dxa"/>
          </w:tblCellMar>
        </w:tblPrEx>
        <w:trPr>
          <w:trHeight w:val="271"/>
        </w:trPr>
        <w:tc>
          <w:tcPr>
            <w:tcW w:w="2126" w:type="dxa"/>
            <w:tcBorders>
              <w:top w:val="nil"/>
              <w:left w:val="nil"/>
              <w:bottom w:val="nil"/>
              <w:right w:val="nil"/>
            </w:tcBorders>
            <w:shd w:val="solid" w:color="FFFFFF" w:fill="auto"/>
          </w:tcPr>
          <w:p w14:paraId="66C02D6D" w14:textId="77777777" w:rsidR="002E555E" w:rsidRDefault="002E555E">
            <w:pPr>
              <w:autoSpaceDE w:val="0"/>
              <w:autoSpaceDN w:val="0"/>
              <w:adjustRightInd w:val="0"/>
              <w:rPr>
                <w:rFonts w:ascii="Calibri" w:hAnsi="Calibri" w:cs="Calibri"/>
                <w:b/>
                <w:bCs/>
                <w:color w:val="000000"/>
                <w:sz w:val="20"/>
                <w:szCs w:val="20"/>
                <w:lang w:val="en-GB" w:eastAsia="en-US"/>
              </w:rPr>
            </w:pPr>
            <w:r>
              <w:rPr>
                <w:rFonts w:ascii="Calibri" w:hAnsi="Calibri" w:cs="Calibri"/>
                <w:b/>
                <w:bCs/>
                <w:color w:val="000000"/>
                <w:sz w:val="20"/>
                <w:szCs w:val="20"/>
                <w:lang w:val="en-GB" w:eastAsia="en-US"/>
              </w:rPr>
              <w:t>Change in Inventories</w:t>
            </w:r>
          </w:p>
        </w:tc>
        <w:tc>
          <w:tcPr>
            <w:tcW w:w="1709" w:type="dxa"/>
            <w:tcBorders>
              <w:top w:val="nil"/>
              <w:left w:val="single" w:sz="6" w:space="0" w:color="auto"/>
              <w:bottom w:val="nil"/>
              <w:right w:val="nil"/>
            </w:tcBorders>
            <w:shd w:val="solid" w:color="FFFFFF" w:fill="auto"/>
          </w:tcPr>
          <w:p w14:paraId="759BAA87" w14:textId="77777777" w:rsidR="002E555E" w:rsidRDefault="002E555E">
            <w:pPr>
              <w:autoSpaceDE w:val="0"/>
              <w:autoSpaceDN w:val="0"/>
              <w:adjustRightInd w:val="0"/>
              <w:jc w:val="center"/>
              <w:rPr>
                <w:rFonts w:ascii="Calibri" w:hAnsi="Calibri" w:cs="Calibri"/>
                <w:color w:val="000000"/>
                <w:sz w:val="20"/>
                <w:szCs w:val="20"/>
                <w:lang w:val="en-GB" w:eastAsia="en-US"/>
              </w:rPr>
            </w:pPr>
          </w:p>
        </w:tc>
        <w:tc>
          <w:tcPr>
            <w:tcW w:w="1596" w:type="dxa"/>
            <w:tcBorders>
              <w:top w:val="nil"/>
              <w:left w:val="nil"/>
              <w:bottom w:val="nil"/>
              <w:right w:val="single" w:sz="6" w:space="0" w:color="auto"/>
            </w:tcBorders>
            <w:shd w:val="solid" w:color="FFFFFF" w:fill="auto"/>
          </w:tcPr>
          <w:p w14:paraId="6FE9E783" w14:textId="77777777" w:rsidR="002E555E" w:rsidRDefault="002E555E">
            <w:pPr>
              <w:autoSpaceDE w:val="0"/>
              <w:autoSpaceDN w:val="0"/>
              <w:adjustRightInd w:val="0"/>
              <w:jc w:val="center"/>
              <w:rPr>
                <w:rFonts w:ascii="Calibri" w:hAnsi="Calibri" w:cs="Calibri"/>
                <w:color w:val="000000"/>
                <w:sz w:val="20"/>
                <w:szCs w:val="20"/>
                <w:lang w:val="en-GB" w:eastAsia="en-US"/>
              </w:rPr>
            </w:pPr>
            <w:r>
              <w:rPr>
                <w:rFonts w:ascii="Calibri" w:hAnsi="Calibri" w:cs="Calibri"/>
                <w:color w:val="000000"/>
                <w:sz w:val="20"/>
                <w:szCs w:val="20"/>
                <w:lang w:val="en-GB" w:eastAsia="en-US"/>
              </w:rPr>
              <w:t>-1.8</w:t>
            </w:r>
          </w:p>
        </w:tc>
        <w:tc>
          <w:tcPr>
            <w:tcW w:w="1709" w:type="dxa"/>
            <w:tcBorders>
              <w:top w:val="nil"/>
              <w:left w:val="single" w:sz="6" w:space="0" w:color="auto"/>
              <w:bottom w:val="nil"/>
              <w:right w:val="nil"/>
            </w:tcBorders>
            <w:shd w:val="solid" w:color="FFFFFF" w:fill="auto"/>
          </w:tcPr>
          <w:p w14:paraId="7B639122" w14:textId="77777777" w:rsidR="002E555E" w:rsidRDefault="002E555E">
            <w:pPr>
              <w:autoSpaceDE w:val="0"/>
              <w:autoSpaceDN w:val="0"/>
              <w:adjustRightInd w:val="0"/>
              <w:jc w:val="center"/>
              <w:rPr>
                <w:rFonts w:ascii="Calibri" w:hAnsi="Calibri" w:cs="Calibri"/>
                <w:color w:val="000000"/>
                <w:sz w:val="20"/>
                <w:szCs w:val="20"/>
                <w:lang w:val="en-GB" w:eastAsia="en-US"/>
              </w:rPr>
            </w:pPr>
          </w:p>
        </w:tc>
        <w:tc>
          <w:tcPr>
            <w:tcW w:w="1562" w:type="dxa"/>
            <w:tcBorders>
              <w:top w:val="nil"/>
              <w:left w:val="nil"/>
              <w:bottom w:val="nil"/>
              <w:right w:val="single" w:sz="6" w:space="0" w:color="auto"/>
            </w:tcBorders>
            <w:shd w:val="solid" w:color="FFFFFF" w:fill="auto"/>
          </w:tcPr>
          <w:p w14:paraId="35C3D1FE" w14:textId="77777777" w:rsidR="002E555E" w:rsidRDefault="002E555E">
            <w:pPr>
              <w:autoSpaceDE w:val="0"/>
              <w:autoSpaceDN w:val="0"/>
              <w:adjustRightInd w:val="0"/>
              <w:jc w:val="center"/>
              <w:rPr>
                <w:rFonts w:ascii="Calibri" w:hAnsi="Calibri" w:cs="Calibri"/>
                <w:color w:val="000000"/>
                <w:sz w:val="20"/>
                <w:szCs w:val="20"/>
                <w:lang w:val="en-GB" w:eastAsia="en-US"/>
              </w:rPr>
            </w:pPr>
            <w:r>
              <w:rPr>
                <w:rFonts w:ascii="Calibri" w:hAnsi="Calibri" w:cs="Calibri"/>
                <w:color w:val="000000"/>
                <w:sz w:val="20"/>
                <w:szCs w:val="20"/>
                <w:lang w:val="en-GB" w:eastAsia="en-US"/>
              </w:rPr>
              <w:t>-1.3</w:t>
            </w:r>
          </w:p>
        </w:tc>
      </w:tr>
      <w:tr w:rsidR="002E555E" w14:paraId="59351571" w14:textId="77777777" w:rsidTr="002E555E">
        <w:tblPrEx>
          <w:tblCellMar>
            <w:top w:w="0" w:type="dxa"/>
            <w:bottom w:w="0" w:type="dxa"/>
          </w:tblCellMar>
        </w:tblPrEx>
        <w:trPr>
          <w:trHeight w:val="271"/>
        </w:trPr>
        <w:tc>
          <w:tcPr>
            <w:tcW w:w="2126" w:type="dxa"/>
            <w:tcBorders>
              <w:top w:val="nil"/>
              <w:left w:val="nil"/>
              <w:bottom w:val="nil"/>
              <w:right w:val="nil"/>
            </w:tcBorders>
            <w:shd w:val="solid" w:color="FFFFFF" w:fill="auto"/>
          </w:tcPr>
          <w:p w14:paraId="42020916" w14:textId="77777777" w:rsidR="002E555E" w:rsidRDefault="002E555E">
            <w:pPr>
              <w:autoSpaceDE w:val="0"/>
              <w:autoSpaceDN w:val="0"/>
              <w:adjustRightInd w:val="0"/>
              <w:rPr>
                <w:rFonts w:ascii="Calibri" w:hAnsi="Calibri" w:cs="Calibri"/>
                <w:b/>
                <w:bCs/>
                <w:color w:val="000000"/>
                <w:sz w:val="20"/>
                <w:szCs w:val="20"/>
                <w:lang w:val="en-GB" w:eastAsia="en-US"/>
              </w:rPr>
            </w:pPr>
            <w:r>
              <w:rPr>
                <w:rFonts w:ascii="Calibri" w:hAnsi="Calibri" w:cs="Calibri"/>
                <w:b/>
                <w:bCs/>
                <w:color w:val="000000"/>
                <w:sz w:val="20"/>
                <w:szCs w:val="20"/>
                <w:lang w:val="en-GB" w:eastAsia="en-US"/>
              </w:rPr>
              <w:t>Export</w:t>
            </w:r>
          </w:p>
        </w:tc>
        <w:tc>
          <w:tcPr>
            <w:tcW w:w="1709" w:type="dxa"/>
            <w:tcBorders>
              <w:top w:val="nil"/>
              <w:left w:val="single" w:sz="6" w:space="0" w:color="auto"/>
              <w:bottom w:val="nil"/>
              <w:right w:val="nil"/>
            </w:tcBorders>
            <w:shd w:val="solid" w:color="FFFFFF" w:fill="auto"/>
          </w:tcPr>
          <w:p w14:paraId="632372EC" w14:textId="77777777" w:rsidR="002E555E" w:rsidRDefault="002E555E">
            <w:pPr>
              <w:autoSpaceDE w:val="0"/>
              <w:autoSpaceDN w:val="0"/>
              <w:adjustRightInd w:val="0"/>
              <w:jc w:val="center"/>
              <w:rPr>
                <w:rFonts w:ascii="Calibri" w:hAnsi="Calibri" w:cs="Calibri"/>
                <w:color w:val="000000"/>
                <w:sz w:val="20"/>
                <w:szCs w:val="20"/>
                <w:lang w:val="en-GB" w:eastAsia="en-US"/>
              </w:rPr>
            </w:pPr>
            <w:r>
              <w:rPr>
                <w:rFonts w:ascii="Calibri" w:hAnsi="Calibri" w:cs="Calibri"/>
                <w:color w:val="000000"/>
                <w:sz w:val="20"/>
                <w:szCs w:val="20"/>
                <w:lang w:val="en-GB" w:eastAsia="en-US"/>
              </w:rPr>
              <w:t>-1.3</w:t>
            </w:r>
          </w:p>
        </w:tc>
        <w:tc>
          <w:tcPr>
            <w:tcW w:w="1596" w:type="dxa"/>
            <w:tcBorders>
              <w:top w:val="nil"/>
              <w:left w:val="nil"/>
              <w:bottom w:val="nil"/>
              <w:right w:val="single" w:sz="6" w:space="0" w:color="auto"/>
            </w:tcBorders>
            <w:shd w:val="solid" w:color="FFFFFF" w:fill="auto"/>
          </w:tcPr>
          <w:p w14:paraId="61FCB115" w14:textId="77777777" w:rsidR="002E555E" w:rsidRDefault="002E555E">
            <w:pPr>
              <w:autoSpaceDE w:val="0"/>
              <w:autoSpaceDN w:val="0"/>
              <w:adjustRightInd w:val="0"/>
              <w:jc w:val="center"/>
              <w:rPr>
                <w:rFonts w:ascii="Calibri" w:hAnsi="Calibri" w:cs="Calibri"/>
                <w:color w:val="000000"/>
                <w:sz w:val="20"/>
                <w:szCs w:val="20"/>
                <w:lang w:val="en-GB" w:eastAsia="en-US"/>
              </w:rPr>
            </w:pPr>
            <w:r>
              <w:rPr>
                <w:rFonts w:ascii="Calibri" w:hAnsi="Calibri" w:cs="Calibri"/>
                <w:color w:val="000000"/>
                <w:sz w:val="20"/>
                <w:szCs w:val="20"/>
                <w:lang w:val="en-GB" w:eastAsia="en-US"/>
              </w:rPr>
              <w:t>-0.3</w:t>
            </w:r>
          </w:p>
        </w:tc>
        <w:tc>
          <w:tcPr>
            <w:tcW w:w="1709" w:type="dxa"/>
            <w:tcBorders>
              <w:top w:val="nil"/>
              <w:left w:val="single" w:sz="6" w:space="0" w:color="auto"/>
              <w:bottom w:val="nil"/>
              <w:right w:val="nil"/>
            </w:tcBorders>
            <w:shd w:val="solid" w:color="FFFFFF" w:fill="auto"/>
          </w:tcPr>
          <w:p w14:paraId="36225B4E" w14:textId="77777777" w:rsidR="002E555E" w:rsidRDefault="002E555E">
            <w:pPr>
              <w:autoSpaceDE w:val="0"/>
              <w:autoSpaceDN w:val="0"/>
              <w:adjustRightInd w:val="0"/>
              <w:jc w:val="center"/>
              <w:rPr>
                <w:rFonts w:ascii="Calibri" w:hAnsi="Calibri" w:cs="Calibri"/>
                <w:color w:val="000000"/>
                <w:sz w:val="20"/>
                <w:szCs w:val="20"/>
                <w:lang w:val="en-GB" w:eastAsia="en-US"/>
              </w:rPr>
            </w:pPr>
            <w:r>
              <w:rPr>
                <w:rFonts w:ascii="Calibri" w:hAnsi="Calibri" w:cs="Calibri"/>
                <w:color w:val="000000"/>
                <w:sz w:val="20"/>
                <w:szCs w:val="20"/>
                <w:lang w:val="en-GB" w:eastAsia="en-US"/>
              </w:rPr>
              <w:t>4.1</w:t>
            </w:r>
          </w:p>
        </w:tc>
        <w:tc>
          <w:tcPr>
            <w:tcW w:w="1562" w:type="dxa"/>
            <w:tcBorders>
              <w:top w:val="nil"/>
              <w:left w:val="nil"/>
              <w:bottom w:val="nil"/>
              <w:right w:val="single" w:sz="6" w:space="0" w:color="auto"/>
            </w:tcBorders>
            <w:shd w:val="solid" w:color="FFFFFF" w:fill="auto"/>
          </w:tcPr>
          <w:p w14:paraId="5F158FA8" w14:textId="77777777" w:rsidR="002E555E" w:rsidRDefault="002E555E">
            <w:pPr>
              <w:autoSpaceDE w:val="0"/>
              <w:autoSpaceDN w:val="0"/>
              <w:adjustRightInd w:val="0"/>
              <w:jc w:val="center"/>
              <w:rPr>
                <w:rFonts w:ascii="Calibri" w:hAnsi="Calibri" w:cs="Calibri"/>
                <w:color w:val="000000"/>
                <w:sz w:val="20"/>
                <w:szCs w:val="20"/>
                <w:lang w:val="en-GB" w:eastAsia="en-US"/>
              </w:rPr>
            </w:pPr>
            <w:r>
              <w:rPr>
                <w:rFonts w:ascii="Calibri" w:hAnsi="Calibri" w:cs="Calibri"/>
                <w:color w:val="000000"/>
                <w:sz w:val="20"/>
                <w:szCs w:val="20"/>
                <w:lang w:val="en-GB" w:eastAsia="en-US"/>
              </w:rPr>
              <w:t>1.5</w:t>
            </w:r>
          </w:p>
        </w:tc>
      </w:tr>
      <w:tr w:rsidR="002E555E" w14:paraId="5FB3D7DD" w14:textId="77777777" w:rsidTr="002E555E">
        <w:tblPrEx>
          <w:tblCellMar>
            <w:top w:w="0" w:type="dxa"/>
            <w:bottom w:w="0" w:type="dxa"/>
          </w:tblCellMar>
        </w:tblPrEx>
        <w:trPr>
          <w:trHeight w:val="271"/>
        </w:trPr>
        <w:tc>
          <w:tcPr>
            <w:tcW w:w="2126" w:type="dxa"/>
            <w:tcBorders>
              <w:top w:val="nil"/>
              <w:left w:val="nil"/>
              <w:bottom w:val="nil"/>
              <w:right w:val="nil"/>
            </w:tcBorders>
            <w:shd w:val="solid" w:color="FFFFFF" w:fill="auto"/>
          </w:tcPr>
          <w:p w14:paraId="64848217" w14:textId="77777777" w:rsidR="002E555E" w:rsidRDefault="002E555E">
            <w:pPr>
              <w:autoSpaceDE w:val="0"/>
              <w:autoSpaceDN w:val="0"/>
              <w:adjustRightInd w:val="0"/>
              <w:rPr>
                <w:rFonts w:ascii="Calibri" w:hAnsi="Calibri" w:cs="Calibri"/>
                <w:b/>
                <w:bCs/>
                <w:color w:val="000000"/>
                <w:sz w:val="20"/>
                <w:szCs w:val="20"/>
                <w:lang w:val="en-GB" w:eastAsia="en-US"/>
              </w:rPr>
            </w:pPr>
            <w:r>
              <w:rPr>
                <w:rFonts w:ascii="Calibri" w:hAnsi="Calibri" w:cs="Calibri"/>
                <w:b/>
                <w:bCs/>
                <w:color w:val="000000"/>
                <w:sz w:val="20"/>
                <w:szCs w:val="20"/>
                <w:lang w:val="en-GB" w:eastAsia="en-US"/>
              </w:rPr>
              <w:t>Import</w:t>
            </w:r>
          </w:p>
        </w:tc>
        <w:tc>
          <w:tcPr>
            <w:tcW w:w="1709" w:type="dxa"/>
            <w:tcBorders>
              <w:top w:val="nil"/>
              <w:left w:val="single" w:sz="6" w:space="0" w:color="auto"/>
              <w:bottom w:val="nil"/>
              <w:right w:val="nil"/>
            </w:tcBorders>
            <w:shd w:val="solid" w:color="FFFFFF" w:fill="auto"/>
          </w:tcPr>
          <w:p w14:paraId="4A7F97BA" w14:textId="77777777" w:rsidR="002E555E" w:rsidRDefault="002E555E">
            <w:pPr>
              <w:autoSpaceDE w:val="0"/>
              <w:autoSpaceDN w:val="0"/>
              <w:adjustRightInd w:val="0"/>
              <w:jc w:val="center"/>
              <w:rPr>
                <w:rFonts w:ascii="Calibri" w:hAnsi="Calibri" w:cs="Calibri"/>
                <w:color w:val="000000"/>
                <w:sz w:val="20"/>
                <w:szCs w:val="20"/>
                <w:lang w:val="en-GB" w:eastAsia="en-US"/>
              </w:rPr>
            </w:pPr>
            <w:r>
              <w:rPr>
                <w:rFonts w:ascii="Calibri" w:hAnsi="Calibri" w:cs="Calibri"/>
                <w:color w:val="000000"/>
                <w:sz w:val="20"/>
                <w:szCs w:val="20"/>
                <w:lang w:val="en-GB" w:eastAsia="en-US"/>
              </w:rPr>
              <w:t>-4.3</w:t>
            </w:r>
          </w:p>
        </w:tc>
        <w:tc>
          <w:tcPr>
            <w:tcW w:w="1596" w:type="dxa"/>
            <w:tcBorders>
              <w:top w:val="nil"/>
              <w:left w:val="nil"/>
              <w:bottom w:val="nil"/>
              <w:right w:val="single" w:sz="6" w:space="0" w:color="auto"/>
            </w:tcBorders>
            <w:shd w:val="solid" w:color="FFFFFF" w:fill="auto"/>
          </w:tcPr>
          <w:p w14:paraId="1BEC9F94" w14:textId="77777777" w:rsidR="002E555E" w:rsidRDefault="002E555E">
            <w:pPr>
              <w:autoSpaceDE w:val="0"/>
              <w:autoSpaceDN w:val="0"/>
              <w:adjustRightInd w:val="0"/>
              <w:jc w:val="center"/>
              <w:rPr>
                <w:rFonts w:ascii="Calibri" w:hAnsi="Calibri" w:cs="Calibri"/>
                <w:color w:val="000000"/>
                <w:sz w:val="20"/>
                <w:szCs w:val="20"/>
                <w:lang w:val="en-GB" w:eastAsia="en-US"/>
              </w:rPr>
            </w:pPr>
            <w:r>
              <w:rPr>
                <w:rFonts w:ascii="Calibri" w:hAnsi="Calibri" w:cs="Calibri"/>
                <w:color w:val="000000"/>
                <w:sz w:val="20"/>
                <w:szCs w:val="20"/>
                <w:lang w:val="en-GB" w:eastAsia="en-US"/>
              </w:rPr>
              <w:t>1.4</w:t>
            </w:r>
          </w:p>
        </w:tc>
        <w:tc>
          <w:tcPr>
            <w:tcW w:w="1709" w:type="dxa"/>
            <w:tcBorders>
              <w:top w:val="nil"/>
              <w:left w:val="single" w:sz="6" w:space="0" w:color="auto"/>
              <w:bottom w:val="nil"/>
              <w:right w:val="nil"/>
            </w:tcBorders>
            <w:shd w:val="solid" w:color="FFFFFF" w:fill="auto"/>
          </w:tcPr>
          <w:p w14:paraId="5FB29E8C" w14:textId="77777777" w:rsidR="002E555E" w:rsidRDefault="002E555E">
            <w:pPr>
              <w:autoSpaceDE w:val="0"/>
              <w:autoSpaceDN w:val="0"/>
              <w:adjustRightInd w:val="0"/>
              <w:jc w:val="center"/>
              <w:rPr>
                <w:rFonts w:ascii="Calibri" w:hAnsi="Calibri" w:cs="Calibri"/>
                <w:color w:val="000000"/>
                <w:sz w:val="20"/>
                <w:szCs w:val="20"/>
                <w:lang w:val="en-GB" w:eastAsia="en-US"/>
              </w:rPr>
            </w:pPr>
            <w:r>
              <w:rPr>
                <w:rFonts w:ascii="Calibri" w:hAnsi="Calibri" w:cs="Calibri"/>
                <w:color w:val="000000"/>
                <w:sz w:val="20"/>
                <w:szCs w:val="20"/>
                <w:lang w:val="en-GB" w:eastAsia="en-US"/>
              </w:rPr>
              <w:t>0.7</w:t>
            </w:r>
          </w:p>
        </w:tc>
        <w:tc>
          <w:tcPr>
            <w:tcW w:w="1562" w:type="dxa"/>
            <w:tcBorders>
              <w:top w:val="nil"/>
              <w:left w:val="nil"/>
              <w:bottom w:val="nil"/>
              <w:right w:val="single" w:sz="6" w:space="0" w:color="auto"/>
            </w:tcBorders>
            <w:shd w:val="solid" w:color="FFFFFF" w:fill="auto"/>
          </w:tcPr>
          <w:p w14:paraId="62793A06" w14:textId="77777777" w:rsidR="002E555E" w:rsidRDefault="002E555E">
            <w:pPr>
              <w:autoSpaceDE w:val="0"/>
              <w:autoSpaceDN w:val="0"/>
              <w:adjustRightInd w:val="0"/>
              <w:jc w:val="center"/>
              <w:rPr>
                <w:rFonts w:ascii="Calibri" w:hAnsi="Calibri" w:cs="Calibri"/>
                <w:color w:val="000000"/>
                <w:sz w:val="20"/>
                <w:szCs w:val="20"/>
                <w:lang w:val="en-GB" w:eastAsia="en-US"/>
              </w:rPr>
            </w:pPr>
            <w:r>
              <w:rPr>
                <w:rFonts w:ascii="Calibri" w:hAnsi="Calibri" w:cs="Calibri"/>
                <w:color w:val="000000"/>
                <w:sz w:val="20"/>
                <w:szCs w:val="20"/>
                <w:lang w:val="en-GB" w:eastAsia="en-US"/>
              </w:rPr>
              <w:t>-0.2</w:t>
            </w:r>
          </w:p>
        </w:tc>
      </w:tr>
      <w:tr w:rsidR="002E555E" w14:paraId="37F226C8" w14:textId="77777777" w:rsidTr="002E555E">
        <w:tblPrEx>
          <w:tblCellMar>
            <w:top w:w="0" w:type="dxa"/>
            <w:bottom w:w="0" w:type="dxa"/>
          </w:tblCellMar>
        </w:tblPrEx>
        <w:trPr>
          <w:trHeight w:val="305"/>
        </w:trPr>
        <w:tc>
          <w:tcPr>
            <w:tcW w:w="2126" w:type="dxa"/>
            <w:tcBorders>
              <w:top w:val="nil"/>
              <w:left w:val="nil"/>
              <w:bottom w:val="double" w:sz="6" w:space="0" w:color="auto"/>
              <w:right w:val="nil"/>
            </w:tcBorders>
            <w:shd w:val="solid" w:color="FFFFFF" w:fill="auto"/>
          </w:tcPr>
          <w:p w14:paraId="116D1167" w14:textId="77777777" w:rsidR="002E555E" w:rsidRDefault="002E555E">
            <w:pPr>
              <w:autoSpaceDE w:val="0"/>
              <w:autoSpaceDN w:val="0"/>
              <w:adjustRightInd w:val="0"/>
              <w:rPr>
                <w:rFonts w:ascii="Calibri" w:hAnsi="Calibri" w:cs="Calibri"/>
                <w:b/>
                <w:bCs/>
                <w:color w:val="000000"/>
                <w:sz w:val="20"/>
                <w:szCs w:val="20"/>
                <w:lang w:val="en-GB" w:eastAsia="en-US"/>
              </w:rPr>
            </w:pPr>
            <w:r>
              <w:rPr>
                <w:rFonts w:ascii="Calibri" w:hAnsi="Calibri" w:cs="Calibri"/>
                <w:b/>
                <w:bCs/>
                <w:color w:val="000000"/>
                <w:sz w:val="20"/>
                <w:szCs w:val="20"/>
                <w:lang w:val="en-GB" w:eastAsia="en-US"/>
              </w:rPr>
              <w:t>GDP</w:t>
            </w:r>
          </w:p>
        </w:tc>
        <w:tc>
          <w:tcPr>
            <w:tcW w:w="1709" w:type="dxa"/>
            <w:tcBorders>
              <w:top w:val="nil"/>
              <w:left w:val="single" w:sz="6" w:space="0" w:color="auto"/>
              <w:bottom w:val="double" w:sz="6" w:space="0" w:color="auto"/>
              <w:right w:val="nil"/>
            </w:tcBorders>
            <w:shd w:val="solid" w:color="FFFFFF" w:fill="auto"/>
          </w:tcPr>
          <w:p w14:paraId="20416746" w14:textId="77777777" w:rsidR="002E555E" w:rsidRDefault="002E555E">
            <w:pPr>
              <w:autoSpaceDE w:val="0"/>
              <w:autoSpaceDN w:val="0"/>
              <w:adjustRightInd w:val="0"/>
              <w:jc w:val="center"/>
              <w:rPr>
                <w:rFonts w:ascii="Calibri" w:hAnsi="Calibri" w:cs="Calibri"/>
                <w:color w:val="000000"/>
                <w:sz w:val="20"/>
                <w:szCs w:val="20"/>
                <w:lang w:val="en-GB" w:eastAsia="en-US"/>
              </w:rPr>
            </w:pPr>
            <w:r>
              <w:rPr>
                <w:rFonts w:ascii="Calibri" w:hAnsi="Calibri" w:cs="Calibri"/>
                <w:color w:val="000000"/>
                <w:sz w:val="20"/>
                <w:szCs w:val="20"/>
                <w:lang w:val="en-GB" w:eastAsia="en-US"/>
              </w:rPr>
              <w:t>0.7</w:t>
            </w:r>
          </w:p>
        </w:tc>
        <w:tc>
          <w:tcPr>
            <w:tcW w:w="1596" w:type="dxa"/>
            <w:tcBorders>
              <w:top w:val="nil"/>
              <w:left w:val="nil"/>
              <w:bottom w:val="double" w:sz="6" w:space="0" w:color="auto"/>
              <w:right w:val="single" w:sz="6" w:space="0" w:color="auto"/>
            </w:tcBorders>
            <w:shd w:val="solid" w:color="FFFFFF" w:fill="auto"/>
          </w:tcPr>
          <w:p w14:paraId="0823AD84" w14:textId="77777777" w:rsidR="002E555E" w:rsidRDefault="002E555E">
            <w:pPr>
              <w:autoSpaceDE w:val="0"/>
              <w:autoSpaceDN w:val="0"/>
              <w:adjustRightInd w:val="0"/>
              <w:jc w:val="center"/>
              <w:rPr>
                <w:rFonts w:ascii="Calibri" w:hAnsi="Calibri" w:cs="Calibri"/>
                <w:color w:val="000000"/>
                <w:sz w:val="20"/>
                <w:szCs w:val="20"/>
                <w:lang w:val="en-GB" w:eastAsia="en-US"/>
              </w:rPr>
            </w:pPr>
          </w:p>
        </w:tc>
        <w:tc>
          <w:tcPr>
            <w:tcW w:w="1709" w:type="dxa"/>
            <w:tcBorders>
              <w:top w:val="nil"/>
              <w:left w:val="single" w:sz="6" w:space="0" w:color="auto"/>
              <w:bottom w:val="double" w:sz="6" w:space="0" w:color="auto"/>
              <w:right w:val="nil"/>
            </w:tcBorders>
            <w:shd w:val="solid" w:color="FFFFFF" w:fill="auto"/>
          </w:tcPr>
          <w:p w14:paraId="5BC4668F" w14:textId="77777777" w:rsidR="002E555E" w:rsidRDefault="002E555E">
            <w:pPr>
              <w:autoSpaceDE w:val="0"/>
              <w:autoSpaceDN w:val="0"/>
              <w:adjustRightInd w:val="0"/>
              <w:jc w:val="center"/>
              <w:rPr>
                <w:rFonts w:ascii="Calibri" w:hAnsi="Calibri" w:cs="Calibri"/>
                <w:color w:val="000000"/>
                <w:sz w:val="20"/>
                <w:szCs w:val="20"/>
                <w:lang w:val="en-GB" w:eastAsia="en-US"/>
              </w:rPr>
            </w:pPr>
            <w:r>
              <w:rPr>
                <w:rFonts w:ascii="Calibri" w:hAnsi="Calibri" w:cs="Calibri"/>
                <w:color w:val="000000"/>
                <w:sz w:val="20"/>
                <w:szCs w:val="20"/>
                <w:lang w:val="en-GB" w:eastAsia="en-US"/>
              </w:rPr>
              <w:t>2.1</w:t>
            </w:r>
          </w:p>
        </w:tc>
        <w:tc>
          <w:tcPr>
            <w:tcW w:w="1562" w:type="dxa"/>
            <w:tcBorders>
              <w:top w:val="nil"/>
              <w:left w:val="nil"/>
              <w:bottom w:val="double" w:sz="6" w:space="0" w:color="auto"/>
              <w:right w:val="single" w:sz="6" w:space="0" w:color="auto"/>
            </w:tcBorders>
            <w:shd w:val="solid" w:color="FFFFFF" w:fill="auto"/>
          </w:tcPr>
          <w:p w14:paraId="189F7257" w14:textId="77777777" w:rsidR="002E555E" w:rsidRDefault="002E555E">
            <w:pPr>
              <w:autoSpaceDE w:val="0"/>
              <w:autoSpaceDN w:val="0"/>
              <w:adjustRightInd w:val="0"/>
              <w:jc w:val="center"/>
              <w:rPr>
                <w:rFonts w:ascii="Calibri" w:hAnsi="Calibri" w:cs="Calibri"/>
                <w:color w:val="000000"/>
                <w:sz w:val="20"/>
                <w:szCs w:val="20"/>
                <w:lang w:val="en-GB" w:eastAsia="en-US"/>
              </w:rPr>
            </w:pPr>
          </w:p>
        </w:tc>
      </w:tr>
    </w:tbl>
    <w:p w14:paraId="046656A3" w14:textId="77777777" w:rsidR="00006890" w:rsidRPr="00155A64" w:rsidRDefault="00006890" w:rsidP="00006890">
      <w:pPr>
        <w:keepNext/>
        <w:rPr>
          <w:rFonts w:ascii="Palatino Linotype" w:hAnsi="Palatino Linotype" w:cstheme="minorHAnsi"/>
          <w:sz w:val="18"/>
          <w:szCs w:val="18"/>
          <w:lang w:val="en-US"/>
        </w:rPr>
      </w:pPr>
      <w:r w:rsidRPr="00155A64">
        <w:rPr>
          <w:rFonts w:ascii="Palatino Linotype" w:hAnsi="Palatino Linotype" w:cstheme="minorHAnsi"/>
          <w:sz w:val="18"/>
          <w:szCs w:val="18"/>
          <w:lang w:val="en-US"/>
        </w:rPr>
        <w:t xml:space="preserve">Source: </w:t>
      </w:r>
      <w:proofErr w:type="spellStart"/>
      <w:r w:rsidRPr="00155A64">
        <w:rPr>
          <w:rFonts w:ascii="Palatino Linotype" w:hAnsi="Palatino Linotype" w:cstheme="minorHAnsi"/>
          <w:sz w:val="18"/>
          <w:szCs w:val="18"/>
          <w:lang w:val="en-US"/>
        </w:rPr>
        <w:t>TurkStat</w:t>
      </w:r>
      <w:proofErr w:type="spellEnd"/>
      <w:r w:rsidRPr="00155A64">
        <w:rPr>
          <w:rFonts w:ascii="Palatino Linotype" w:hAnsi="Palatino Linotype" w:cstheme="minorHAnsi"/>
          <w:sz w:val="18"/>
          <w:szCs w:val="18"/>
          <w:lang w:val="en-US"/>
        </w:rPr>
        <w:t xml:space="preserve">, </w:t>
      </w:r>
      <w:proofErr w:type="spellStart"/>
      <w:r w:rsidRPr="00155A64">
        <w:rPr>
          <w:rFonts w:ascii="Palatino Linotype" w:hAnsi="Palatino Linotype" w:cstheme="minorHAnsi"/>
          <w:sz w:val="18"/>
          <w:szCs w:val="18"/>
          <w:lang w:val="en-US"/>
        </w:rPr>
        <w:t>Betam</w:t>
      </w:r>
      <w:proofErr w:type="spellEnd"/>
    </w:p>
    <w:p w14:paraId="67F1EC21" w14:textId="77777777" w:rsidR="006C3EE6" w:rsidRPr="006679E6" w:rsidRDefault="006C3EE6" w:rsidP="004931A5">
      <w:pPr>
        <w:pStyle w:val="NormalWeb"/>
        <w:spacing w:before="0" w:beforeAutospacing="0" w:after="0" w:afterAutospacing="0" w:line="360" w:lineRule="auto"/>
        <w:ind w:right="77"/>
        <w:rPr>
          <w:rFonts w:ascii="Palatino Linotype" w:hAnsi="Palatino Linotype" w:cstheme="minorHAnsi"/>
          <w:b/>
          <w:sz w:val="20"/>
          <w:szCs w:val="20"/>
          <w:lang w:val="en-US"/>
        </w:rPr>
      </w:pPr>
    </w:p>
    <w:p w14:paraId="1A0D56BC" w14:textId="3EA74E38" w:rsidR="00AF78D0" w:rsidRDefault="00AF78D0" w:rsidP="002A037D">
      <w:pPr>
        <w:pStyle w:val="NormalWeb"/>
        <w:spacing w:before="0" w:beforeAutospacing="0" w:after="0" w:afterAutospacing="0" w:line="360" w:lineRule="auto"/>
        <w:ind w:right="77"/>
        <w:jc w:val="both"/>
        <w:rPr>
          <w:rFonts w:ascii="Palatino Linotype" w:hAnsi="Palatino Linotype" w:cstheme="minorHAnsi"/>
          <w:b/>
          <w:sz w:val="22"/>
          <w:szCs w:val="22"/>
          <w:lang w:val="en-US"/>
        </w:rPr>
      </w:pPr>
      <w:r w:rsidRPr="00AF78D0">
        <w:rPr>
          <w:rFonts w:ascii="Palatino Linotype" w:hAnsi="Palatino Linotype" w:cstheme="minorHAnsi"/>
          <w:b/>
          <w:sz w:val="22"/>
          <w:szCs w:val="22"/>
          <w:lang w:val="en-US"/>
        </w:rPr>
        <w:t>Investment spending</w:t>
      </w:r>
      <w:r>
        <w:rPr>
          <w:rFonts w:ascii="Palatino Linotype" w:hAnsi="Palatino Linotype" w:cstheme="minorHAnsi"/>
          <w:b/>
          <w:sz w:val="22"/>
          <w:szCs w:val="22"/>
          <w:lang w:val="en-US"/>
        </w:rPr>
        <w:t xml:space="preserve"> has</w:t>
      </w:r>
      <w:r w:rsidRPr="00AF78D0">
        <w:rPr>
          <w:rFonts w:ascii="Palatino Linotype" w:hAnsi="Palatino Linotype" w:cstheme="minorHAnsi"/>
          <w:b/>
          <w:sz w:val="22"/>
          <w:szCs w:val="22"/>
          <w:lang w:val="en-US"/>
        </w:rPr>
        <w:t xml:space="preserve"> slightly increased</w:t>
      </w:r>
    </w:p>
    <w:p w14:paraId="1C21C60A" w14:textId="5749ADD8" w:rsidR="00AF78D0" w:rsidRDefault="003A4849" w:rsidP="00681022">
      <w:pPr>
        <w:pStyle w:val="NormalWeb"/>
        <w:spacing w:before="0" w:beforeAutospacing="0" w:after="0" w:afterAutospacing="0" w:line="360" w:lineRule="auto"/>
        <w:ind w:right="77"/>
        <w:rPr>
          <w:rFonts w:ascii="Palatino Linotype" w:hAnsi="Palatino Linotype" w:cstheme="minorHAnsi"/>
          <w:sz w:val="22"/>
          <w:szCs w:val="22"/>
          <w:lang w:val="en-US"/>
        </w:rPr>
      </w:pPr>
      <w:r w:rsidRPr="003A4849">
        <w:rPr>
          <w:rFonts w:ascii="Palatino Linotype" w:hAnsi="Palatino Linotype" w:cstheme="minorHAnsi"/>
          <w:sz w:val="22"/>
          <w:szCs w:val="22"/>
          <w:lang w:val="en-US"/>
        </w:rPr>
        <w:t xml:space="preserve">Investment expenditures increased by 4.7 percent this quarter, contributing 1.4 percentage points to growth. </w:t>
      </w:r>
      <w:r w:rsidR="00905810">
        <w:rPr>
          <w:rFonts w:ascii="Palatino Linotype" w:hAnsi="Palatino Linotype" w:cstheme="minorHAnsi"/>
          <w:sz w:val="22"/>
          <w:szCs w:val="22"/>
          <w:lang w:val="en-US"/>
        </w:rPr>
        <w:t>I</w:t>
      </w:r>
      <w:r w:rsidRPr="003A4849">
        <w:rPr>
          <w:rFonts w:ascii="Palatino Linotype" w:hAnsi="Palatino Linotype" w:cstheme="minorHAnsi"/>
          <w:sz w:val="22"/>
          <w:szCs w:val="22"/>
          <w:lang w:val="en-US"/>
        </w:rPr>
        <w:t>t</w:t>
      </w:r>
      <w:r w:rsidR="00905810">
        <w:rPr>
          <w:rFonts w:ascii="Palatino Linotype" w:hAnsi="Palatino Linotype" w:cstheme="minorHAnsi"/>
          <w:sz w:val="22"/>
          <w:szCs w:val="22"/>
          <w:lang w:val="en-US"/>
        </w:rPr>
        <w:t xml:space="preserve"> decreased by 1.3 percent quarterly </w:t>
      </w:r>
      <w:r w:rsidRPr="003A4849">
        <w:rPr>
          <w:rFonts w:ascii="Palatino Linotype" w:hAnsi="Palatino Linotype" w:cstheme="minorHAnsi"/>
          <w:sz w:val="22"/>
          <w:szCs w:val="22"/>
          <w:lang w:val="en-US"/>
        </w:rPr>
        <w:t xml:space="preserve">compared to the previous quarter, suppressing </w:t>
      </w:r>
      <w:r>
        <w:rPr>
          <w:rFonts w:ascii="Palatino Linotype" w:hAnsi="Palatino Linotype" w:cstheme="minorHAnsi"/>
          <w:sz w:val="22"/>
          <w:szCs w:val="22"/>
          <w:lang w:val="en-US"/>
        </w:rPr>
        <w:t xml:space="preserve">growth by 0.4 percentage points </w:t>
      </w:r>
      <w:r w:rsidR="00AF78D0" w:rsidRPr="00AF78D0">
        <w:rPr>
          <w:rFonts w:ascii="Palatino Linotype" w:hAnsi="Palatino Linotype" w:cstheme="minorHAnsi"/>
          <w:sz w:val="22"/>
          <w:szCs w:val="22"/>
          <w:lang w:val="en-US"/>
        </w:rPr>
        <w:t xml:space="preserve">(Table 1 and Table 2). </w:t>
      </w:r>
    </w:p>
    <w:p w14:paraId="559610BA" w14:textId="77777777" w:rsidR="003A4849" w:rsidRDefault="003A4849" w:rsidP="00681022">
      <w:pPr>
        <w:pStyle w:val="NormalWeb"/>
        <w:spacing w:before="0" w:beforeAutospacing="0" w:after="0" w:afterAutospacing="0" w:line="360" w:lineRule="auto"/>
        <w:ind w:right="77"/>
        <w:rPr>
          <w:rFonts w:ascii="Palatino Linotype" w:hAnsi="Palatino Linotype" w:cstheme="minorHAnsi"/>
          <w:sz w:val="22"/>
          <w:szCs w:val="22"/>
          <w:lang w:val="en-US"/>
        </w:rPr>
      </w:pPr>
    </w:p>
    <w:p w14:paraId="16625566" w14:textId="73E8FBFC" w:rsidR="00681AD9" w:rsidRPr="006679E6" w:rsidRDefault="00EB2B22" w:rsidP="00681022">
      <w:pPr>
        <w:pStyle w:val="NormalWeb"/>
        <w:spacing w:before="0" w:beforeAutospacing="0" w:after="0" w:afterAutospacing="0" w:line="360" w:lineRule="auto"/>
        <w:ind w:right="77"/>
        <w:rPr>
          <w:rFonts w:ascii="Palatino Linotype" w:hAnsi="Palatino Linotype" w:cstheme="minorHAnsi"/>
          <w:b/>
          <w:sz w:val="22"/>
          <w:szCs w:val="22"/>
          <w:lang w:val="en-US"/>
        </w:rPr>
      </w:pPr>
      <w:r>
        <w:rPr>
          <w:rFonts w:ascii="Palatino Linotype" w:hAnsi="Palatino Linotype" w:cstheme="minorHAnsi"/>
          <w:b/>
          <w:sz w:val="22"/>
          <w:szCs w:val="22"/>
          <w:lang w:val="en-US"/>
        </w:rPr>
        <w:lastRenderedPageBreak/>
        <w:t>I</w:t>
      </w:r>
      <w:r w:rsidR="004A4910">
        <w:rPr>
          <w:rFonts w:ascii="Palatino Linotype" w:hAnsi="Palatino Linotype" w:cstheme="minorHAnsi"/>
          <w:b/>
          <w:sz w:val="22"/>
          <w:szCs w:val="22"/>
          <w:lang w:val="en-US"/>
        </w:rPr>
        <w:t>nventor</w:t>
      </w:r>
      <w:r>
        <w:rPr>
          <w:rFonts w:ascii="Palatino Linotype" w:hAnsi="Palatino Linotype" w:cstheme="minorHAnsi"/>
          <w:b/>
          <w:sz w:val="22"/>
          <w:szCs w:val="22"/>
          <w:lang w:val="en-US"/>
        </w:rPr>
        <w:t>ies</w:t>
      </w:r>
      <w:r w:rsidR="004A4910">
        <w:rPr>
          <w:rFonts w:ascii="Palatino Linotype" w:hAnsi="Palatino Linotype" w:cstheme="minorHAnsi"/>
          <w:b/>
          <w:sz w:val="22"/>
          <w:szCs w:val="22"/>
          <w:lang w:val="en-US"/>
        </w:rPr>
        <w:t xml:space="preserve"> </w:t>
      </w:r>
      <w:r>
        <w:rPr>
          <w:rFonts w:ascii="Palatino Linotype" w:hAnsi="Palatino Linotype" w:cstheme="minorHAnsi"/>
          <w:b/>
          <w:sz w:val="22"/>
          <w:szCs w:val="22"/>
          <w:lang w:val="en-US"/>
        </w:rPr>
        <w:t xml:space="preserve">have </w:t>
      </w:r>
      <w:r w:rsidR="00AF78D0">
        <w:rPr>
          <w:rFonts w:ascii="Palatino Linotype" w:hAnsi="Palatino Linotype" w:cstheme="minorHAnsi"/>
          <w:b/>
          <w:sz w:val="22"/>
          <w:szCs w:val="22"/>
          <w:lang w:val="en-US"/>
        </w:rPr>
        <w:t>continued to decrease</w:t>
      </w:r>
      <w:r w:rsidR="00494926" w:rsidRPr="006679E6">
        <w:rPr>
          <w:rStyle w:val="FootnoteReference"/>
          <w:rFonts w:ascii="Palatino Linotype" w:hAnsi="Palatino Linotype" w:cstheme="minorHAnsi"/>
          <w:b/>
          <w:sz w:val="22"/>
          <w:szCs w:val="22"/>
          <w:lang w:val="en-US"/>
        </w:rPr>
        <w:footnoteReference w:id="3"/>
      </w:r>
    </w:p>
    <w:p w14:paraId="073CD0EF" w14:textId="7C9CB408" w:rsidR="00610EAA" w:rsidRDefault="00AF78D0" w:rsidP="00610EAA">
      <w:pPr>
        <w:pStyle w:val="NormalWeb"/>
        <w:spacing w:before="0" w:beforeAutospacing="0" w:after="0" w:afterAutospacing="0" w:line="360" w:lineRule="auto"/>
        <w:ind w:right="79"/>
        <w:jc w:val="both"/>
        <w:rPr>
          <w:rFonts w:ascii="Palatino Linotype" w:hAnsi="Palatino Linotype" w:cstheme="minorHAnsi"/>
          <w:sz w:val="22"/>
          <w:szCs w:val="22"/>
          <w:lang w:val="en-US"/>
        </w:rPr>
      </w:pPr>
      <w:r w:rsidRPr="00AF78D0">
        <w:rPr>
          <w:rFonts w:ascii="Palatino Linotype" w:hAnsi="Palatino Linotype" w:cstheme="minorHAnsi"/>
          <w:sz w:val="22"/>
          <w:szCs w:val="22"/>
          <w:lang w:val="en-US"/>
        </w:rPr>
        <w:t>We see that stock changes</w:t>
      </w:r>
      <w:r>
        <w:rPr>
          <w:rFonts w:ascii="Palatino Linotype" w:hAnsi="Palatino Linotype" w:cstheme="minorHAnsi"/>
          <w:sz w:val="22"/>
          <w:szCs w:val="22"/>
          <w:lang w:val="en-US"/>
        </w:rPr>
        <w:t xml:space="preserve"> are</w:t>
      </w:r>
      <w:r w:rsidRPr="00AF78D0">
        <w:rPr>
          <w:rFonts w:ascii="Palatino Linotype" w:hAnsi="Palatino Linotype" w:cstheme="minorHAnsi"/>
          <w:sz w:val="22"/>
          <w:szCs w:val="22"/>
          <w:lang w:val="en-US"/>
        </w:rPr>
        <w:t xml:space="preserve"> continu</w:t>
      </w:r>
      <w:r>
        <w:rPr>
          <w:rFonts w:ascii="Palatino Linotype" w:hAnsi="Palatino Linotype" w:cstheme="minorHAnsi"/>
          <w:sz w:val="22"/>
          <w:szCs w:val="22"/>
          <w:lang w:val="en-US"/>
        </w:rPr>
        <w:t>ing</w:t>
      </w:r>
      <w:r w:rsidRPr="00AF78D0">
        <w:rPr>
          <w:rFonts w:ascii="Palatino Linotype" w:hAnsi="Palatino Linotype" w:cstheme="minorHAnsi"/>
          <w:sz w:val="22"/>
          <w:szCs w:val="22"/>
          <w:lang w:val="en-US"/>
        </w:rPr>
        <w:t xml:space="preserve"> to suppress annual growth. While the contribution of stock changes to annual growth </w:t>
      </w:r>
      <w:r>
        <w:rPr>
          <w:rFonts w:ascii="Palatino Linotype" w:hAnsi="Palatino Linotype" w:cstheme="minorHAnsi"/>
          <w:sz w:val="22"/>
          <w:szCs w:val="22"/>
          <w:lang w:val="en-US"/>
        </w:rPr>
        <w:t>has been</w:t>
      </w:r>
      <w:r w:rsidRPr="00AF78D0">
        <w:rPr>
          <w:rFonts w:ascii="Palatino Linotype" w:hAnsi="Palatino Linotype" w:cstheme="minorHAnsi"/>
          <w:sz w:val="22"/>
          <w:szCs w:val="22"/>
          <w:lang w:val="en-US"/>
        </w:rPr>
        <w:t xml:space="preserve"> minus </w:t>
      </w:r>
      <w:r w:rsidR="003A4849">
        <w:rPr>
          <w:rFonts w:ascii="Palatino Linotype" w:hAnsi="Palatino Linotype" w:cstheme="minorHAnsi"/>
          <w:sz w:val="22"/>
          <w:szCs w:val="22"/>
          <w:lang w:val="en-US"/>
        </w:rPr>
        <w:t>10</w:t>
      </w:r>
      <w:r w:rsidRPr="00AF78D0">
        <w:rPr>
          <w:rFonts w:ascii="Palatino Linotype" w:hAnsi="Palatino Linotype" w:cstheme="minorHAnsi"/>
          <w:sz w:val="22"/>
          <w:szCs w:val="22"/>
          <w:lang w:val="en-US"/>
        </w:rPr>
        <w:t>.</w:t>
      </w:r>
      <w:r w:rsidR="003A4849">
        <w:rPr>
          <w:rFonts w:ascii="Palatino Linotype" w:hAnsi="Palatino Linotype" w:cstheme="minorHAnsi"/>
          <w:sz w:val="22"/>
          <w:szCs w:val="22"/>
          <w:lang w:val="en-US"/>
        </w:rPr>
        <w:t>3</w:t>
      </w:r>
      <w:r w:rsidRPr="00AF78D0">
        <w:rPr>
          <w:rFonts w:ascii="Palatino Linotype" w:hAnsi="Palatino Linotype" w:cstheme="minorHAnsi"/>
          <w:sz w:val="22"/>
          <w:szCs w:val="22"/>
          <w:lang w:val="en-US"/>
        </w:rPr>
        <w:t xml:space="preserve"> percentage points (Table 1), according to seasonal and </w:t>
      </w:r>
      <w:r w:rsidR="003A4849">
        <w:rPr>
          <w:rFonts w:ascii="Palatino Linotype" w:hAnsi="Palatino Linotype" w:cstheme="minorHAnsi"/>
          <w:sz w:val="22"/>
          <w:szCs w:val="22"/>
          <w:lang w:val="en-US"/>
        </w:rPr>
        <w:t>calendar-adjusted</w:t>
      </w:r>
      <w:r w:rsidRPr="00AF78D0">
        <w:rPr>
          <w:rFonts w:ascii="Palatino Linotype" w:hAnsi="Palatino Linotype" w:cstheme="minorHAnsi"/>
          <w:sz w:val="22"/>
          <w:szCs w:val="22"/>
          <w:lang w:val="en-US"/>
        </w:rPr>
        <w:t xml:space="preserve"> data, its contribution to quarterly growth </w:t>
      </w:r>
      <w:r>
        <w:rPr>
          <w:rFonts w:ascii="Palatino Linotype" w:hAnsi="Palatino Linotype" w:cstheme="minorHAnsi"/>
          <w:sz w:val="22"/>
          <w:szCs w:val="22"/>
          <w:lang w:val="en-US"/>
        </w:rPr>
        <w:t>has been</w:t>
      </w:r>
      <w:r w:rsidRPr="00AF78D0">
        <w:rPr>
          <w:rFonts w:ascii="Palatino Linotype" w:hAnsi="Palatino Linotype" w:cstheme="minorHAnsi"/>
          <w:sz w:val="22"/>
          <w:szCs w:val="22"/>
          <w:lang w:val="en-US"/>
        </w:rPr>
        <w:t xml:space="preserve"> </w:t>
      </w:r>
      <w:r w:rsidR="003A4849">
        <w:rPr>
          <w:rFonts w:ascii="Palatino Linotype" w:hAnsi="Palatino Linotype" w:cstheme="minorHAnsi"/>
          <w:sz w:val="22"/>
          <w:szCs w:val="22"/>
          <w:lang w:val="en-US"/>
        </w:rPr>
        <w:t xml:space="preserve">minus </w:t>
      </w:r>
      <w:r w:rsidRPr="00AF78D0">
        <w:rPr>
          <w:rFonts w:ascii="Palatino Linotype" w:hAnsi="Palatino Linotype" w:cstheme="minorHAnsi"/>
          <w:sz w:val="22"/>
          <w:szCs w:val="22"/>
          <w:lang w:val="en-US"/>
        </w:rPr>
        <w:t>1.</w:t>
      </w:r>
      <w:r w:rsidR="003A4849">
        <w:rPr>
          <w:rFonts w:ascii="Palatino Linotype" w:hAnsi="Palatino Linotype" w:cstheme="minorHAnsi"/>
          <w:sz w:val="22"/>
          <w:szCs w:val="22"/>
          <w:lang w:val="en-US"/>
        </w:rPr>
        <w:t>3</w:t>
      </w:r>
      <w:r w:rsidRPr="00AF78D0">
        <w:rPr>
          <w:rFonts w:ascii="Palatino Linotype" w:hAnsi="Palatino Linotype" w:cstheme="minorHAnsi"/>
          <w:sz w:val="22"/>
          <w:szCs w:val="22"/>
          <w:lang w:val="en-US"/>
        </w:rPr>
        <w:t xml:space="preserve"> percentage points (Table 2). </w:t>
      </w:r>
      <w:r w:rsidR="00C50B4E" w:rsidRPr="00C50B4E">
        <w:rPr>
          <w:rFonts w:ascii="Palatino Linotype" w:hAnsi="Palatino Linotype" w:cstheme="minorHAnsi"/>
          <w:sz w:val="22"/>
          <w:szCs w:val="22"/>
          <w:lang w:val="en-US"/>
        </w:rPr>
        <w:t xml:space="preserve">The contribution of stock change to annual growth is negative because the stocks accumulated during the pandemic </w:t>
      </w:r>
      <w:r w:rsidRPr="00AF78D0">
        <w:rPr>
          <w:rFonts w:ascii="Palatino Linotype" w:hAnsi="Palatino Linotype" w:cstheme="minorHAnsi"/>
          <w:sz w:val="22"/>
          <w:szCs w:val="22"/>
          <w:lang w:val="en-US"/>
        </w:rPr>
        <w:t xml:space="preserve">continue to melt in the </w:t>
      </w:r>
      <w:r w:rsidR="003A4849">
        <w:rPr>
          <w:rFonts w:ascii="Palatino Linotype" w:hAnsi="Palatino Linotype" w:cstheme="minorHAnsi"/>
          <w:sz w:val="22"/>
          <w:szCs w:val="22"/>
          <w:lang w:val="en-US"/>
        </w:rPr>
        <w:t>second</w:t>
      </w:r>
      <w:r w:rsidRPr="00AF78D0">
        <w:rPr>
          <w:rFonts w:ascii="Palatino Linotype" w:hAnsi="Palatino Linotype" w:cstheme="minorHAnsi"/>
          <w:sz w:val="22"/>
          <w:szCs w:val="22"/>
          <w:lang w:val="en-US"/>
        </w:rPr>
        <w:t xml:space="preserve"> quarter of 2022, as in</w:t>
      </w:r>
      <w:r w:rsidR="003A4849">
        <w:rPr>
          <w:rFonts w:ascii="Palatino Linotype" w:hAnsi="Palatino Linotype" w:cstheme="minorHAnsi"/>
          <w:sz w:val="22"/>
          <w:szCs w:val="22"/>
          <w:lang w:val="en-US"/>
        </w:rPr>
        <w:t xml:space="preserve"> the previous quarter and </w:t>
      </w:r>
      <w:r w:rsidRPr="00AF78D0">
        <w:rPr>
          <w:rFonts w:ascii="Palatino Linotype" w:hAnsi="Palatino Linotype" w:cstheme="minorHAnsi"/>
          <w:sz w:val="22"/>
          <w:szCs w:val="22"/>
          <w:lang w:val="en-US"/>
        </w:rPr>
        <w:t xml:space="preserve">2021. It </w:t>
      </w:r>
      <w:proofErr w:type="gramStart"/>
      <w:r w:rsidR="003A4849">
        <w:rPr>
          <w:rFonts w:ascii="Palatino Linotype" w:hAnsi="Palatino Linotype" w:cstheme="minorHAnsi"/>
          <w:sz w:val="22"/>
          <w:szCs w:val="22"/>
          <w:lang w:val="en-US"/>
        </w:rPr>
        <w:t>may</w:t>
      </w:r>
      <w:r w:rsidRPr="00AF78D0">
        <w:rPr>
          <w:rFonts w:ascii="Palatino Linotype" w:hAnsi="Palatino Linotype" w:cstheme="minorHAnsi"/>
          <w:sz w:val="22"/>
          <w:szCs w:val="22"/>
          <w:lang w:val="en-US"/>
        </w:rPr>
        <w:t xml:space="preserve"> be said</w:t>
      </w:r>
      <w:proofErr w:type="gramEnd"/>
      <w:r w:rsidRPr="00AF78D0">
        <w:rPr>
          <w:rFonts w:ascii="Palatino Linotype" w:hAnsi="Palatino Linotype" w:cstheme="minorHAnsi"/>
          <w:sz w:val="22"/>
          <w:szCs w:val="22"/>
          <w:lang w:val="en-US"/>
        </w:rPr>
        <w:t xml:space="preserve"> that the increase in production lags behind the </w:t>
      </w:r>
      <w:r w:rsidR="00C50B4E">
        <w:rPr>
          <w:rFonts w:ascii="Palatino Linotype" w:hAnsi="Palatino Linotype" w:cstheme="minorHAnsi"/>
          <w:sz w:val="22"/>
          <w:szCs w:val="22"/>
          <w:lang w:val="en-US"/>
        </w:rPr>
        <w:t>rise</w:t>
      </w:r>
      <w:r w:rsidRPr="00AF78D0">
        <w:rPr>
          <w:rFonts w:ascii="Palatino Linotype" w:hAnsi="Palatino Linotype" w:cstheme="minorHAnsi"/>
          <w:sz w:val="22"/>
          <w:szCs w:val="22"/>
          <w:lang w:val="en-US"/>
        </w:rPr>
        <w:t xml:space="preserve"> in consumption due to decreasing stocks.</w:t>
      </w:r>
    </w:p>
    <w:p w14:paraId="3137157A" w14:textId="77777777" w:rsidR="00AF78D0" w:rsidRDefault="00AF78D0" w:rsidP="00610EAA">
      <w:pPr>
        <w:pStyle w:val="NormalWeb"/>
        <w:spacing w:before="0" w:beforeAutospacing="0" w:after="0" w:afterAutospacing="0" w:line="360" w:lineRule="auto"/>
        <w:ind w:right="79"/>
        <w:jc w:val="both"/>
        <w:rPr>
          <w:rFonts w:ascii="Palatino Linotype" w:hAnsi="Palatino Linotype" w:cstheme="minorHAnsi"/>
          <w:b/>
          <w:sz w:val="22"/>
          <w:szCs w:val="22"/>
          <w:lang w:val="en-US"/>
        </w:rPr>
      </w:pPr>
    </w:p>
    <w:p w14:paraId="1788AC75" w14:textId="6200C54E" w:rsidR="00AF78D0" w:rsidRDefault="00AF78D0" w:rsidP="00610EAA">
      <w:pPr>
        <w:pStyle w:val="NormalWeb"/>
        <w:spacing w:before="0" w:beforeAutospacing="0" w:after="0" w:afterAutospacing="0" w:line="360" w:lineRule="auto"/>
        <w:ind w:right="77"/>
        <w:jc w:val="both"/>
        <w:rPr>
          <w:rFonts w:ascii="Palatino Linotype" w:hAnsi="Palatino Linotype" w:cstheme="minorHAnsi"/>
          <w:b/>
          <w:sz w:val="22"/>
          <w:szCs w:val="22"/>
          <w:lang w:val="en-US"/>
        </w:rPr>
      </w:pPr>
      <w:r w:rsidRPr="00AF78D0">
        <w:rPr>
          <w:rFonts w:ascii="Palatino Linotype" w:hAnsi="Palatino Linotype" w:cstheme="minorHAnsi"/>
          <w:b/>
          <w:sz w:val="22"/>
          <w:szCs w:val="22"/>
          <w:lang w:val="en-US"/>
        </w:rPr>
        <w:t xml:space="preserve">Foreign trade contribution </w:t>
      </w:r>
      <w:r w:rsidR="003A4849">
        <w:rPr>
          <w:rFonts w:ascii="Palatino Linotype" w:hAnsi="Palatino Linotype" w:cstheme="minorHAnsi"/>
          <w:b/>
          <w:sz w:val="22"/>
          <w:szCs w:val="22"/>
          <w:lang w:val="en-US"/>
        </w:rPr>
        <w:t>is positive</w:t>
      </w:r>
      <w:r w:rsidRPr="00AF78D0">
        <w:rPr>
          <w:rFonts w:ascii="Palatino Linotype" w:hAnsi="Palatino Linotype" w:cstheme="minorHAnsi"/>
          <w:b/>
          <w:sz w:val="22"/>
          <w:szCs w:val="22"/>
          <w:lang w:val="en-US"/>
        </w:rPr>
        <w:t xml:space="preserve"> </w:t>
      </w:r>
    </w:p>
    <w:p w14:paraId="351E3D90" w14:textId="1D365B51" w:rsidR="00AF78D0" w:rsidRPr="00610EAA" w:rsidRDefault="003A4849" w:rsidP="00610EAA">
      <w:pPr>
        <w:pStyle w:val="NormalWeb"/>
        <w:spacing w:before="0" w:beforeAutospacing="0" w:after="0" w:afterAutospacing="0" w:line="360" w:lineRule="auto"/>
        <w:ind w:right="77"/>
        <w:jc w:val="both"/>
        <w:rPr>
          <w:rFonts w:ascii="Palatino Linotype" w:hAnsi="Palatino Linotype" w:cstheme="minorHAnsi"/>
          <w:sz w:val="22"/>
          <w:szCs w:val="22"/>
          <w:lang w:val="en-US"/>
        </w:rPr>
      </w:pPr>
      <w:r w:rsidRPr="003A4849">
        <w:rPr>
          <w:rFonts w:ascii="Palatino Linotype" w:hAnsi="Palatino Linotype" w:cstheme="minorHAnsi"/>
          <w:sz w:val="22"/>
          <w:szCs w:val="22"/>
          <w:lang w:val="en-US"/>
        </w:rPr>
        <w:t>In the second quarter of 2022, exports increased by 16.4 percent</w:t>
      </w:r>
      <w:r>
        <w:rPr>
          <w:rFonts w:ascii="Palatino Linotype" w:hAnsi="Palatino Linotype" w:cstheme="minorHAnsi"/>
          <w:sz w:val="22"/>
          <w:szCs w:val="22"/>
          <w:lang w:val="en-US"/>
        </w:rPr>
        <w:t>,</w:t>
      </w:r>
      <w:r w:rsidRPr="003A4849">
        <w:rPr>
          <w:rFonts w:ascii="Palatino Linotype" w:hAnsi="Palatino Linotype" w:cstheme="minorHAnsi"/>
          <w:sz w:val="22"/>
          <w:szCs w:val="22"/>
          <w:lang w:val="en-US"/>
        </w:rPr>
        <w:t xml:space="preserve"> and imports increased by 5.8 percent </w:t>
      </w:r>
      <w:r w:rsidR="00905810">
        <w:rPr>
          <w:rFonts w:ascii="Palatino Linotype" w:hAnsi="Palatino Linotype" w:cstheme="minorHAnsi"/>
          <w:sz w:val="22"/>
          <w:szCs w:val="22"/>
          <w:lang w:val="en-US"/>
        </w:rPr>
        <w:t>annually</w:t>
      </w:r>
      <w:r w:rsidRPr="003A4849">
        <w:rPr>
          <w:rFonts w:ascii="Palatino Linotype" w:hAnsi="Palatino Linotype" w:cstheme="minorHAnsi"/>
          <w:sz w:val="22"/>
          <w:szCs w:val="22"/>
          <w:lang w:val="en-US"/>
        </w:rPr>
        <w:t xml:space="preserve">. The contribution of foreign trade to growth </w:t>
      </w:r>
      <w:r>
        <w:rPr>
          <w:rFonts w:ascii="Palatino Linotype" w:hAnsi="Palatino Linotype" w:cstheme="minorHAnsi"/>
          <w:sz w:val="22"/>
          <w:szCs w:val="22"/>
          <w:lang w:val="en-US"/>
        </w:rPr>
        <w:t>is</w:t>
      </w:r>
      <w:r w:rsidRPr="003A4849">
        <w:rPr>
          <w:rFonts w:ascii="Palatino Linotype" w:hAnsi="Palatino Linotype" w:cstheme="minorHAnsi"/>
          <w:sz w:val="22"/>
          <w:szCs w:val="22"/>
          <w:lang w:val="en-US"/>
        </w:rPr>
        <w:t xml:space="preserve"> 3.9 percentage points (Table 1).</w:t>
      </w:r>
      <w:r>
        <w:rPr>
          <w:rFonts w:ascii="Palatino Linotype" w:hAnsi="Palatino Linotype" w:cstheme="minorHAnsi"/>
          <w:sz w:val="22"/>
          <w:szCs w:val="22"/>
          <w:lang w:val="en-US"/>
        </w:rPr>
        <w:t xml:space="preserve"> Looking at the </w:t>
      </w:r>
      <w:bookmarkStart w:id="4" w:name="OLE_LINK3"/>
      <w:bookmarkStart w:id="5" w:name="OLE_LINK4"/>
      <w:r>
        <w:rPr>
          <w:rFonts w:ascii="Palatino Linotype" w:hAnsi="Palatino Linotype" w:cstheme="minorHAnsi"/>
          <w:sz w:val="22"/>
          <w:szCs w:val="22"/>
          <w:lang w:val="en-US"/>
        </w:rPr>
        <w:t xml:space="preserve">seasonally and calendar-adjusted </w:t>
      </w:r>
      <w:bookmarkEnd w:id="4"/>
      <w:bookmarkEnd w:id="5"/>
      <w:r>
        <w:rPr>
          <w:rFonts w:ascii="Palatino Linotype" w:hAnsi="Palatino Linotype" w:cstheme="minorHAnsi"/>
          <w:sz w:val="22"/>
          <w:szCs w:val="22"/>
          <w:lang w:val="en-US"/>
        </w:rPr>
        <w:t>figures</w:t>
      </w:r>
      <w:r w:rsidRPr="003A4849">
        <w:rPr>
          <w:rFonts w:ascii="Palatino Linotype" w:hAnsi="Palatino Linotype" w:cstheme="minorHAnsi"/>
          <w:sz w:val="22"/>
          <w:szCs w:val="22"/>
          <w:lang w:val="en-US"/>
        </w:rPr>
        <w:t>, it is seen that exports increased by 4.1 percent and imports increased by 0.7 percent, and foreign trade contributed 1.7 percentage points to quarterly growth (Table 2).</w:t>
      </w:r>
    </w:p>
    <w:p w14:paraId="2C621B8E" w14:textId="39BC94FA" w:rsidR="00C50B4E" w:rsidRPr="00C50B4E" w:rsidRDefault="00C50B4E" w:rsidP="00C50B4E">
      <w:pPr>
        <w:pStyle w:val="NormalWeb"/>
        <w:spacing w:line="360" w:lineRule="auto"/>
        <w:ind w:right="77"/>
        <w:rPr>
          <w:rFonts w:ascii="Palatino Linotype" w:hAnsi="Palatino Linotype" w:cstheme="minorHAnsi"/>
          <w:b/>
          <w:bCs/>
          <w:sz w:val="22"/>
          <w:szCs w:val="22"/>
          <w:lang w:val="en-US"/>
        </w:rPr>
      </w:pPr>
      <w:r w:rsidRPr="00C50B4E">
        <w:rPr>
          <w:rFonts w:ascii="Palatino Linotype" w:hAnsi="Palatino Linotype" w:cstheme="minorHAnsi"/>
          <w:b/>
          <w:bCs/>
          <w:sz w:val="22"/>
          <w:szCs w:val="22"/>
          <w:lang w:val="en-US"/>
        </w:rPr>
        <w:t>Public spending</w:t>
      </w:r>
      <w:r>
        <w:rPr>
          <w:rFonts w:ascii="Palatino Linotype" w:hAnsi="Palatino Linotype" w:cstheme="minorHAnsi"/>
          <w:b/>
          <w:bCs/>
          <w:sz w:val="22"/>
          <w:szCs w:val="22"/>
          <w:lang w:val="en-US"/>
        </w:rPr>
        <w:t xml:space="preserve"> has</w:t>
      </w:r>
      <w:r w:rsidRPr="00C50B4E">
        <w:rPr>
          <w:rFonts w:ascii="Palatino Linotype" w:hAnsi="Palatino Linotype" w:cstheme="minorHAnsi"/>
          <w:b/>
          <w:bCs/>
          <w:sz w:val="22"/>
          <w:szCs w:val="22"/>
          <w:lang w:val="en-US"/>
        </w:rPr>
        <w:t xml:space="preserve"> </w:t>
      </w:r>
      <w:r w:rsidR="003A4849">
        <w:rPr>
          <w:rFonts w:ascii="Palatino Linotype" w:hAnsi="Palatino Linotype" w:cstheme="minorHAnsi"/>
          <w:b/>
          <w:bCs/>
          <w:sz w:val="22"/>
          <w:szCs w:val="22"/>
          <w:lang w:val="en-US"/>
        </w:rPr>
        <w:t>increased</w:t>
      </w:r>
    </w:p>
    <w:p w14:paraId="06B7E7B4" w14:textId="512762A3" w:rsidR="00EB2B22" w:rsidRPr="00C50B4E" w:rsidRDefault="00C50B4E" w:rsidP="00C50B4E">
      <w:pPr>
        <w:pStyle w:val="NormalWeb"/>
        <w:spacing w:before="0" w:beforeAutospacing="0" w:after="0" w:afterAutospacing="0" w:line="360" w:lineRule="auto"/>
        <w:ind w:right="77"/>
        <w:jc w:val="both"/>
        <w:rPr>
          <w:rFonts w:ascii="Palatino Linotype" w:hAnsi="Palatino Linotype" w:cstheme="minorHAnsi"/>
          <w:bCs/>
          <w:sz w:val="22"/>
          <w:szCs w:val="22"/>
          <w:lang w:val="en-US"/>
        </w:rPr>
      </w:pPr>
      <w:r w:rsidRPr="00C50B4E">
        <w:rPr>
          <w:rFonts w:ascii="Palatino Linotype" w:hAnsi="Palatino Linotype" w:cstheme="minorHAnsi"/>
          <w:bCs/>
          <w:sz w:val="22"/>
          <w:szCs w:val="22"/>
          <w:lang w:val="en-US"/>
        </w:rPr>
        <w:t xml:space="preserve">In the </w:t>
      </w:r>
      <w:r w:rsidR="003A4849">
        <w:rPr>
          <w:rFonts w:ascii="Palatino Linotype" w:hAnsi="Palatino Linotype" w:cstheme="minorHAnsi"/>
          <w:bCs/>
          <w:sz w:val="22"/>
          <w:szCs w:val="22"/>
          <w:lang w:val="en-US"/>
        </w:rPr>
        <w:t>second</w:t>
      </w:r>
      <w:r w:rsidRPr="00C50B4E">
        <w:rPr>
          <w:rFonts w:ascii="Palatino Linotype" w:hAnsi="Palatino Linotype" w:cstheme="minorHAnsi"/>
          <w:bCs/>
          <w:sz w:val="22"/>
          <w:szCs w:val="22"/>
          <w:lang w:val="en-US"/>
        </w:rPr>
        <w:t xml:space="preserve"> quarter of 2022, public </w:t>
      </w:r>
      <w:r>
        <w:rPr>
          <w:rFonts w:ascii="Palatino Linotype" w:hAnsi="Palatino Linotype" w:cstheme="minorHAnsi"/>
          <w:bCs/>
          <w:sz w:val="22"/>
          <w:szCs w:val="22"/>
          <w:lang w:val="en-US"/>
        </w:rPr>
        <w:t xml:space="preserve">spending </w:t>
      </w:r>
      <w:r w:rsidRPr="00C50B4E">
        <w:rPr>
          <w:rFonts w:ascii="Palatino Linotype" w:hAnsi="Palatino Linotype" w:cstheme="minorHAnsi"/>
          <w:bCs/>
          <w:sz w:val="22"/>
          <w:szCs w:val="22"/>
          <w:lang w:val="en-US"/>
        </w:rPr>
        <w:t xml:space="preserve">increased by </w:t>
      </w:r>
      <w:r w:rsidR="003A4849">
        <w:rPr>
          <w:rFonts w:ascii="Palatino Linotype" w:hAnsi="Palatino Linotype" w:cstheme="minorHAnsi"/>
          <w:bCs/>
          <w:sz w:val="22"/>
          <w:szCs w:val="22"/>
          <w:lang w:val="en-US"/>
        </w:rPr>
        <w:t>2</w:t>
      </w:r>
      <w:r w:rsidRPr="00C50B4E">
        <w:rPr>
          <w:rFonts w:ascii="Palatino Linotype" w:hAnsi="Palatino Linotype" w:cstheme="minorHAnsi"/>
          <w:bCs/>
          <w:sz w:val="22"/>
          <w:szCs w:val="22"/>
          <w:lang w:val="en-US"/>
        </w:rPr>
        <w:t>.</w:t>
      </w:r>
      <w:r w:rsidR="003A4849">
        <w:rPr>
          <w:rFonts w:ascii="Palatino Linotype" w:hAnsi="Palatino Linotype" w:cstheme="minorHAnsi"/>
          <w:bCs/>
          <w:sz w:val="22"/>
          <w:szCs w:val="22"/>
          <w:lang w:val="en-US"/>
        </w:rPr>
        <w:t>3</w:t>
      </w:r>
      <w:r w:rsidRPr="00C50B4E">
        <w:rPr>
          <w:rFonts w:ascii="Palatino Linotype" w:hAnsi="Palatino Linotype" w:cstheme="minorHAnsi"/>
          <w:bCs/>
          <w:sz w:val="22"/>
          <w:szCs w:val="22"/>
          <w:lang w:val="en-US"/>
        </w:rPr>
        <w:t xml:space="preserve"> percent, contributing 0.</w:t>
      </w:r>
      <w:r w:rsidR="003A4849">
        <w:rPr>
          <w:rFonts w:ascii="Palatino Linotype" w:hAnsi="Palatino Linotype" w:cstheme="minorHAnsi"/>
          <w:bCs/>
          <w:sz w:val="22"/>
          <w:szCs w:val="22"/>
          <w:lang w:val="en-US"/>
        </w:rPr>
        <w:t>3</w:t>
      </w:r>
      <w:r w:rsidRPr="00C50B4E">
        <w:rPr>
          <w:rFonts w:ascii="Palatino Linotype" w:hAnsi="Palatino Linotype" w:cstheme="minorHAnsi"/>
          <w:bCs/>
          <w:sz w:val="22"/>
          <w:szCs w:val="22"/>
          <w:lang w:val="en-US"/>
        </w:rPr>
        <w:t xml:space="preserve"> percentage points to annual growth (Table 1). </w:t>
      </w:r>
      <w:r w:rsidR="00905810" w:rsidRPr="00905810">
        <w:rPr>
          <w:rFonts w:ascii="Palatino Linotype" w:hAnsi="Palatino Linotype" w:cstheme="minorHAnsi"/>
          <w:bCs/>
          <w:sz w:val="22"/>
          <w:szCs w:val="22"/>
          <w:lang w:val="en-US"/>
        </w:rPr>
        <w:t>Public consumption increased by 1.1 percent in seasonally and calendar-adjusted figures</w:t>
      </w:r>
      <w:r w:rsidR="00B74E5B">
        <w:rPr>
          <w:rFonts w:ascii="Palatino Linotype" w:hAnsi="Palatino Linotype" w:cstheme="minorHAnsi"/>
          <w:bCs/>
          <w:sz w:val="22"/>
          <w:szCs w:val="22"/>
          <w:lang w:val="en-US"/>
        </w:rPr>
        <w:t xml:space="preserve">, supporting 0.1 percentage </w:t>
      </w:r>
      <w:r w:rsidR="00905810">
        <w:rPr>
          <w:rFonts w:ascii="Palatino Linotype" w:hAnsi="Palatino Linotype" w:cstheme="minorHAnsi"/>
          <w:bCs/>
          <w:sz w:val="22"/>
          <w:szCs w:val="22"/>
          <w:lang w:val="en-US"/>
        </w:rPr>
        <w:t>points</w:t>
      </w:r>
      <w:r w:rsidR="00B74E5B">
        <w:rPr>
          <w:rFonts w:ascii="Palatino Linotype" w:hAnsi="Palatino Linotype" w:cstheme="minorHAnsi"/>
          <w:bCs/>
          <w:sz w:val="22"/>
          <w:szCs w:val="22"/>
          <w:lang w:val="en-US"/>
        </w:rPr>
        <w:t xml:space="preserve"> to quarterly growth</w:t>
      </w:r>
      <w:r w:rsidRPr="00C50B4E">
        <w:rPr>
          <w:rFonts w:ascii="Palatino Linotype" w:hAnsi="Palatino Linotype" w:cstheme="minorHAnsi"/>
          <w:bCs/>
          <w:sz w:val="22"/>
          <w:szCs w:val="22"/>
          <w:lang w:val="en-US"/>
        </w:rPr>
        <w:t xml:space="preserve"> (Table 2).</w:t>
      </w:r>
    </w:p>
    <w:p w14:paraId="18C98E26" w14:textId="258865F7" w:rsidR="00C50B4E" w:rsidRDefault="00C50B4E" w:rsidP="00C50B4E">
      <w:pPr>
        <w:pStyle w:val="NormalWeb"/>
        <w:spacing w:before="0" w:beforeAutospacing="0" w:after="0" w:afterAutospacing="0" w:line="360" w:lineRule="auto"/>
        <w:ind w:right="77"/>
        <w:rPr>
          <w:rFonts w:ascii="Palatino Linotype" w:hAnsi="Palatino Linotype" w:cstheme="minorHAnsi"/>
          <w:sz w:val="22"/>
          <w:szCs w:val="22"/>
          <w:lang w:val="en-US"/>
        </w:rPr>
      </w:pPr>
    </w:p>
    <w:p w14:paraId="4C5F10E3" w14:textId="02A9B98E" w:rsidR="00955E90" w:rsidRPr="006679E6" w:rsidRDefault="00981D42" w:rsidP="00B366B7">
      <w:pPr>
        <w:pStyle w:val="NormalWeb"/>
        <w:spacing w:before="0" w:beforeAutospacing="0" w:after="0" w:afterAutospacing="0" w:line="360" w:lineRule="auto"/>
        <w:ind w:right="77"/>
        <w:rPr>
          <w:rFonts w:ascii="Palatino Linotype" w:hAnsi="Palatino Linotype" w:cstheme="minorHAnsi"/>
          <w:b/>
          <w:bCs/>
          <w:sz w:val="22"/>
          <w:szCs w:val="22"/>
          <w:lang w:val="en-US"/>
        </w:rPr>
      </w:pPr>
      <w:bookmarkStart w:id="6" w:name="_GoBack"/>
      <w:bookmarkEnd w:id="6"/>
      <w:r>
        <w:rPr>
          <w:rFonts w:ascii="Palatino Linotype" w:hAnsi="Palatino Linotype" w:cstheme="minorHAnsi"/>
          <w:b/>
          <w:bCs/>
          <w:sz w:val="22"/>
          <w:szCs w:val="22"/>
          <w:lang w:val="en-US"/>
        </w:rPr>
        <w:t>The future of growth</w:t>
      </w:r>
    </w:p>
    <w:p w14:paraId="417CF693" w14:textId="38DF661C" w:rsidR="00981D42" w:rsidRDefault="00C50B4E" w:rsidP="00513359">
      <w:pPr>
        <w:pStyle w:val="NormalWeb"/>
        <w:spacing w:before="0" w:beforeAutospacing="0" w:after="0" w:afterAutospacing="0" w:line="360" w:lineRule="auto"/>
        <w:ind w:right="77"/>
        <w:jc w:val="both"/>
        <w:rPr>
          <w:rFonts w:ascii="Palatino Linotype" w:hAnsi="Palatino Linotype" w:cstheme="minorHAnsi"/>
          <w:bCs/>
          <w:sz w:val="22"/>
          <w:szCs w:val="22"/>
          <w:lang w:val="en-US"/>
        </w:rPr>
      </w:pPr>
      <w:r w:rsidRPr="00C50B4E">
        <w:rPr>
          <w:rFonts w:ascii="Palatino Linotype" w:hAnsi="Palatino Linotype" w:cstheme="minorHAnsi"/>
          <w:bCs/>
          <w:sz w:val="22"/>
          <w:szCs w:val="22"/>
          <w:lang w:val="en-US"/>
        </w:rPr>
        <w:t xml:space="preserve">Two components drove growth in the </w:t>
      </w:r>
      <w:r w:rsidR="00905810">
        <w:rPr>
          <w:rFonts w:ascii="Palatino Linotype" w:hAnsi="Palatino Linotype" w:cstheme="minorHAnsi"/>
          <w:bCs/>
          <w:sz w:val="22"/>
          <w:szCs w:val="22"/>
          <w:lang w:val="en-US"/>
        </w:rPr>
        <w:t>second</w:t>
      </w:r>
      <w:r w:rsidRPr="00C50B4E">
        <w:rPr>
          <w:rFonts w:ascii="Palatino Linotype" w:hAnsi="Palatino Linotype" w:cstheme="minorHAnsi"/>
          <w:bCs/>
          <w:sz w:val="22"/>
          <w:szCs w:val="22"/>
          <w:lang w:val="en-US"/>
        </w:rPr>
        <w:t xml:space="preserve"> quarter of 2022</w:t>
      </w:r>
      <w:r w:rsidR="00905810">
        <w:rPr>
          <w:rFonts w:ascii="Palatino Linotype" w:hAnsi="Palatino Linotype" w:cstheme="minorHAnsi"/>
          <w:bCs/>
          <w:sz w:val="22"/>
          <w:szCs w:val="22"/>
          <w:lang w:val="en-US"/>
        </w:rPr>
        <w:t xml:space="preserve"> as in the first quarter</w:t>
      </w:r>
      <w:r w:rsidRPr="00C50B4E">
        <w:rPr>
          <w:rFonts w:ascii="Palatino Linotype" w:hAnsi="Palatino Linotype" w:cstheme="minorHAnsi"/>
          <w:bCs/>
          <w:sz w:val="22"/>
          <w:szCs w:val="22"/>
          <w:lang w:val="en-US"/>
        </w:rPr>
        <w:t xml:space="preserve">: private consumption and exports. </w:t>
      </w:r>
      <w:r w:rsidR="00905810" w:rsidRPr="00905810">
        <w:rPr>
          <w:rFonts w:ascii="Palatino Linotype" w:hAnsi="Palatino Linotype" w:cstheme="minorHAnsi"/>
          <w:bCs/>
          <w:sz w:val="22"/>
          <w:szCs w:val="22"/>
          <w:lang w:val="en-US"/>
        </w:rPr>
        <w:t xml:space="preserve">We observe that the increase in exports did not slow down due to </w:t>
      </w:r>
      <w:r w:rsidR="00905810" w:rsidRPr="00905810">
        <w:rPr>
          <w:rFonts w:ascii="Palatino Linotype" w:hAnsi="Palatino Linotype" w:cstheme="minorHAnsi"/>
          <w:bCs/>
          <w:sz w:val="22"/>
          <w:szCs w:val="22"/>
          <w:lang w:val="en-US"/>
        </w:rPr>
        <w:lastRenderedPageBreak/>
        <w:t xml:space="preserve">the depreciation in the TL, as the dollar rate at the end of the first quarter was 14, but </w:t>
      </w:r>
      <w:r w:rsidR="00905810">
        <w:rPr>
          <w:rFonts w:ascii="Palatino Linotype" w:hAnsi="Palatino Linotype" w:cstheme="minorHAnsi"/>
          <w:bCs/>
          <w:sz w:val="22"/>
          <w:szCs w:val="22"/>
          <w:lang w:val="en-US"/>
        </w:rPr>
        <w:t xml:space="preserve">it </w:t>
      </w:r>
      <w:r w:rsidR="00905810" w:rsidRPr="00905810">
        <w:rPr>
          <w:rFonts w:ascii="Palatino Linotype" w:hAnsi="Palatino Linotype" w:cstheme="minorHAnsi"/>
          <w:bCs/>
          <w:sz w:val="22"/>
          <w:szCs w:val="22"/>
          <w:lang w:val="en-US"/>
        </w:rPr>
        <w:t xml:space="preserve">rose above 17 towards the end of the second quarter. The slowdown in private consumption </w:t>
      </w:r>
      <w:proofErr w:type="gramStart"/>
      <w:r w:rsidR="00905810" w:rsidRPr="00905810">
        <w:rPr>
          <w:rFonts w:ascii="Palatino Linotype" w:hAnsi="Palatino Linotype" w:cstheme="minorHAnsi"/>
          <w:bCs/>
          <w:sz w:val="22"/>
          <w:szCs w:val="22"/>
          <w:lang w:val="en-US"/>
        </w:rPr>
        <w:t>can be explained</w:t>
      </w:r>
      <w:proofErr w:type="gramEnd"/>
      <w:r w:rsidR="00905810" w:rsidRPr="00905810">
        <w:rPr>
          <w:rFonts w:ascii="Palatino Linotype" w:hAnsi="Palatino Linotype" w:cstheme="minorHAnsi"/>
          <w:bCs/>
          <w:sz w:val="22"/>
          <w:szCs w:val="22"/>
          <w:lang w:val="en-US"/>
        </w:rPr>
        <w:t xml:space="preserve"> by the high post-pandemic consumption trend and the demand for durable goods to be brought forward due to high inflation expectations. Despite the increases in private consumption and exports, the stagnation of investments and the continued </w:t>
      </w:r>
      <w:r w:rsidR="00905810">
        <w:rPr>
          <w:rFonts w:ascii="Palatino Linotype" w:hAnsi="Palatino Linotype" w:cstheme="minorHAnsi"/>
          <w:bCs/>
          <w:sz w:val="22"/>
          <w:szCs w:val="22"/>
          <w:lang w:val="en-US"/>
        </w:rPr>
        <w:t>decrease</w:t>
      </w:r>
      <w:r w:rsidR="00905810" w:rsidRPr="00905810">
        <w:rPr>
          <w:rFonts w:ascii="Palatino Linotype" w:hAnsi="Palatino Linotype" w:cstheme="minorHAnsi"/>
          <w:bCs/>
          <w:sz w:val="22"/>
          <w:szCs w:val="22"/>
          <w:lang w:val="en-US"/>
        </w:rPr>
        <w:t xml:space="preserve"> of stocks indicate great uncertainties regarding the coming periods for the real sector. There is no doubt that the ongoing inflationary </w:t>
      </w:r>
      <w:r w:rsidR="00905810">
        <w:rPr>
          <w:rFonts w:ascii="Palatino Linotype" w:hAnsi="Palatino Linotype" w:cstheme="minorHAnsi"/>
          <w:bCs/>
          <w:sz w:val="22"/>
          <w:szCs w:val="22"/>
          <w:lang w:val="en-US"/>
        </w:rPr>
        <w:t>environment</w:t>
      </w:r>
      <w:r w:rsidR="00905810" w:rsidRPr="00905810">
        <w:rPr>
          <w:rFonts w:ascii="Palatino Linotype" w:hAnsi="Palatino Linotype" w:cstheme="minorHAnsi"/>
          <w:bCs/>
          <w:sz w:val="22"/>
          <w:szCs w:val="22"/>
          <w:lang w:val="en-US"/>
        </w:rPr>
        <w:t xml:space="preserve"> also increase</w:t>
      </w:r>
      <w:r w:rsidR="00905810">
        <w:rPr>
          <w:rFonts w:ascii="Palatino Linotype" w:hAnsi="Palatino Linotype" w:cstheme="minorHAnsi"/>
          <w:bCs/>
          <w:sz w:val="22"/>
          <w:szCs w:val="22"/>
          <w:lang w:val="en-US"/>
        </w:rPr>
        <w:t>s</w:t>
      </w:r>
      <w:r w:rsidR="00905810" w:rsidRPr="00905810">
        <w:rPr>
          <w:rFonts w:ascii="Palatino Linotype" w:hAnsi="Palatino Linotype" w:cstheme="minorHAnsi"/>
          <w:bCs/>
          <w:sz w:val="22"/>
          <w:szCs w:val="22"/>
          <w:lang w:val="en-US"/>
        </w:rPr>
        <w:t xml:space="preserve"> this uncertainty.</w:t>
      </w:r>
    </w:p>
    <w:p w14:paraId="12200A18" w14:textId="27A8130E" w:rsidR="00A12631" w:rsidRDefault="00A12631">
      <w:pPr>
        <w:spacing w:after="160" w:line="259" w:lineRule="auto"/>
        <w:rPr>
          <w:rFonts w:ascii="Palatino Linotype" w:hAnsi="Palatino Linotype" w:cstheme="minorHAnsi"/>
          <w:bCs/>
          <w:sz w:val="22"/>
          <w:szCs w:val="22"/>
          <w:lang w:val="en-US"/>
        </w:rPr>
      </w:pPr>
    </w:p>
    <w:p w14:paraId="61C8E3D1" w14:textId="7A8F9083" w:rsidR="00A12631" w:rsidRPr="00155A64" w:rsidRDefault="00A12631" w:rsidP="00A12631">
      <w:pPr>
        <w:pStyle w:val="NormalWeb"/>
        <w:spacing w:before="0" w:beforeAutospacing="0" w:after="0" w:afterAutospacing="0" w:line="360" w:lineRule="auto"/>
        <w:ind w:right="77"/>
        <w:rPr>
          <w:rFonts w:ascii="Palatino Linotype" w:hAnsi="Palatino Linotype" w:cstheme="minorHAnsi"/>
          <w:b/>
          <w:bCs/>
          <w:sz w:val="21"/>
          <w:szCs w:val="21"/>
          <w:lang w:val="en-US"/>
        </w:rPr>
      </w:pPr>
      <w:r w:rsidRPr="00155A64">
        <w:rPr>
          <w:rFonts w:ascii="Palatino Linotype" w:hAnsi="Palatino Linotype" w:cstheme="minorHAnsi"/>
          <w:b/>
          <w:bCs/>
          <w:sz w:val="21"/>
          <w:szCs w:val="21"/>
          <w:lang w:val="en-US"/>
        </w:rPr>
        <w:t xml:space="preserve">Figure 2: GDP growth rates compared to the previous quarter and </w:t>
      </w:r>
      <w:r w:rsidR="00C50B4E">
        <w:rPr>
          <w:rFonts w:ascii="Palatino Linotype" w:hAnsi="Palatino Linotype" w:cstheme="minorHAnsi"/>
          <w:b/>
          <w:bCs/>
          <w:sz w:val="21"/>
          <w:szCs w:val="21"/>
          <w:lang w:val="en-US"/>
        </w:rPr>
        <w:t xml:space="preserve">the </w:t>
      </w:r>
      <w:r w:rsidRPr="00155A64">
        <w:rPr>
          <w:rFonts w:ascii="Palatino Linotype" w:hAnsi="Palatino Linotype" w:cstheme="minorHAnsi"/>
          <w:b/>
          <w:bCs/>
          <w:sz w:val="21"/>
          <w:szCs w:val="21"/>
          <w:lang w:val="en-US"/>
        </w:rPr>
        <w:t>same quarter of last year</w:t>
      </w:r>
      <w:r w:rsidRPr="00155A64">
        <w:rPr>
          <w:noProof/>
          <w:sz w:val="21"/>
          <w:szCs w:val="21"/>
          <w:lang w:val="en-US" w:eastAsia="en-GB"/>
        </w:rPr>
        <w:t xml:space="preserve"> </w:t>
      </w:r>
      <w:r w:rsidRPr="00155A64">
        <w:rPr>
          <w:noProof/>
          <w:lang w:val="en-US"/>
        </w:rPr>
        <w:t xml:space="preserve"> </w:t>
      </w:r>
    </w:p>
    <w:p w14:paraId="61CBC934" w14:textId="07FC4603" w:rsidR="00A12631" w:rsidRDefault="003A4849" w:rsidP="00A12631">
      <w:pPr>
        <w:pStyle w:val="NormalWeb"/>
        <w:spacing w:before="0" w:beforeAutospacing="0" w:after="0" w:afterAutospacing="0" w:line="360" w:lineRule="auto"/>
        <w:ind w:right="77"/>
        <w:jc w:val="both"/>
        <w:rPr>
          <w:rFonts w:ascii="Palatino Linotype" w:hAnsi="Palatino Linotype" w:cstheme="minorHAnsi"/>
          <w:noProof/>
          <w:sz w:val="18"/>
          <w:szCs w:val="18"/>
          <w:lang w:val="en-US"/>
        </w:rPr>
      </w:pPr>
      <w:r>
        <w:rPr>
          <w:noProof/>
          <w:lang w:val="en-GB" w:eastAsia="en-GB"/>
        </w:rPr>
        <w:drawing>
          <wp:inline distT="0" distB="0" distL="0" distR="0" wp14:anchorId="7416A5A5" wp14:editId="38983265">
            <wp:extent cx="5760720" cy="3045460"/>
            <wp:effectExtent l="0" t="0" r="11430" b="2540"/>
            <wp:docPr id="9" name="Chart 9">
              <a:extLst xmlns:a="http://schemas.openxmlformats.org/drawingml/2006/main">
                <a:ext uri="{FF2B5EF4-FFF2-40B4-BE49-F238E27FC236}">
                  <a16:creationId xmlns:a16="http://schemas.microsoft.com/office/drawing/2014/main" id="{6BBC39FF-3E2F-4628-A53E-D0F7BA18419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9047BBA" w14:textId="61F2BFD5" w:rsidR="001A080D" w:rsidRPr="006679E6" w:rsidRDefault="00A12631" w:rsidP="00A12631">
      <w:pPr>
        <w:pStyle w:val="NormalWeb"/>
        <w:spacing w:before="0" w:beforeAutospacing="0" w:after="0" w:afterAutospacing="0" w:line="360" w:lineRule="auto"/>
        <w:ind w:right="77"/>
        <w:jc w:val="both"/>
        <w:rPr>
          <w:rFonts w:ascii="Palatino Linotype" w:hAnsi="Palatino Linotype" w:cstheme="minorHAnsi"/>
          <w:bCs/>
          <w:sz w:val="22"/>
          <w:szCs w:val="22"/>
          <w:lang w:val="en-US"/>
        </w:rPr>
      </w:pPr>
      <w:r w:rsidRPr="00155A64">
        <w:rPr>
          <w:rFonts w:ascii="Palatino Linotype" w:hAnsi="Palatino Linotype" w:cstheme="minorHAnsi"/>
          <w:sz w:val="18"/>
          <w:szCs w:val="18"/>
          <w:lang w:val="en-US"/>
        </w:rPr>
        <w:t xml:space="preserve">Source: </w:t>
      </w:r>
      <w:proofErr w:type="spellStart"/>
      <w:r w:rsidRPr="00155A64">
        <w:rPr>
          <w:rFonts w:ascii="Palatino Linotype" w:hAnsi="Palatino Linotype" w:cstheme="minorHAnsi"/>
          <w:sz w:val="18"/>
          <w:szCs w:val="18"/>
          <w:lang w:val="en-US"/>
        </w:rPr>
        <w:t>TurkStat</w:t>
      </w:r>
      <w:proofErr w:type="spellEnd"/>
      <w:r w:rsidRPr="00155A64">
        <w:rPr>
          <w:rFonts w:ascii="Palatino Linotype" w:hAnsi="Palatino Linotype" w:cstheme="minorHAnsi"/>
          <w:sz w:val="18"/>
          <w:szCs w:val="18"/>
          <w:lang w:val="en-US"/>
        </w:rPr>
        <w:t xml:space="preserve">, </w:t>
      </w:r>
      <w:proofErr w:type="spellStart"/>
      <w:r w:rsidRPr="00155A64">
        <w:rPr>
          <w:rFonts w:ascii="Palatino Linotype" w:hAnsi="Palatino Linotype" w:cstheme="minorHAnsi"/>
          <w:sz w:val="18"/>
          <w:szCs w:val="18"/>
          <w:lang w:val="en-US"/>
        </w:rPr>
        <w:t>Betam</w:t>
      </w:r>
      <w:proofErr w:type="spellEnd"/>
    </w:p>
    <w:sectPr w:rsidR="001A080D" w:rsidRPr="006679E6" w:rsidSect="00963B0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E2E311" w14:textId="77777777" w:rsidR="00E85115" w:rsidRDefault="00E85115" w:rsidP="00DA0C5D">
      <w:r>
        <w:separator/>
      </w:r>
    </w:p>
  </w:endnote>
  <w:endnote w:type="continuationSeparator" w:id="0">
    <w:p w14:paraId="2EF5FFA7" w14:textId="77777777" w:rsidR="00E85115" w:rsidRDefault="00E85115" w:rsidP="00DA0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0C0E38" w14:textId="77777777" w:rsidR="00E85115" w:rsidRDefault="00E85115" w:rsidP="00DA0C5D">
      <w:r>
        <w:separator/>
      </w:r>
    </w:p>
  </w:footnote>
  <w:footnote w:type="continuationSeparator" w:id="0">
    <w:p w14:paraId="3661DA06" w14:textId="77777777" w:rsidR="00E85115" w:rsidRDefault="00E85115" w:rsidP="00DA0C5D">
      <w:r>
        <w:continuationSeparator/>
      </w:r>
    </w:p>
  </w:footnote>
  <w:footnote w:id="1">
    <w:p w14:paraId="6D61CC27" w14:textId="77777777" w:rsidR="00C32789" w:rsidRDefault="00C32789">
      <w:pPr>
        <w:pStyle w:val="FootnoteText"/>
      </w:pPr>
      <w:r>
        <w:rPr>
          <w:rStyle w:val="FootnoteReference"/>
        </w:rPr>
        <w:footnoteRef/>
      </w:r>
      <w:r w:rsidR="001866FC">
        <w:t xml:space="preserve"> </w:t>
      </w:r>
      <w:r w:rsidRPr="001866FC">
        <w:rPr>
          <w:rFonts w:ascii="Palatino Linotype" w:hAnsi="Palatino Linotype"/>
          <w:sz w:val="18"/>
          <w:szCs w:val="18"/>
        </w:rPr>
        <w:t>Betam, ozan.bakis@eas.bau.edu.tr</w:t>
      </w:r>
    </w:p>
  </w:footnote>
  <w:footnote w:id="2">
    <w:p w14:paraId="5BE1DCEB" w14:textId="0391DF4D" w:rsidR="001537D8" w:rsidRDefault="001537D8" w:rsidP="001537D8">
      <w:pPr>
        <w:pStyle w:val="FootnoteText"/>
      </w:pPr>
      <w:r>
        <w:rPr>
          <w:rStyle w:val="FootnoteReference"/>
        </w:rPr>
        <w:footnoteRef/>
      </w:r>
      <w:r w:rsidR="001866FC">
        <w:t xml:space="preserve"> </w:t>
      </w:r>
      <w:r w:rsidRPr="001866FC">
        <w:rPr>
          <w:rFonts w:ascii="Palatino Linotype" w:hAnsi="Palatino Linotype"/>
          <w:sz w:val="18"/>
          <w:szCs w:val="18"/>
        </w:rPr>
        <w:t>Betam,</w:t>
      </w:r>
      <w:r w:rsidR="00302EDD">
        <w:rPr>
          <w:rFonts w:ascii="Palatino Linotype" w:hAnsi="Palatino Linotype"/>
          <w:sz w:val="18"/>
          <w:szCs w:val="18"/>
        </w:rPr>
        <w:t xml:space="preserve"> </w:t>
      </w:r>
      <w:r w:rsidR="00A170FB">
        <w:rPr>
          <w:rFonts w:ascii="Palatino Linotype" w:hAnsi="Palatino Linotype"/>
          <w:sz w:val="18"/>
          <w:szCs w:val="18"/>
        </w:rPr>
        <w:t>ugurcan.acar</w:t>
      </w:r>
      <w:r w:rsidRPr="001866FC">
        <w:rPr>
          <w:rFonts w:ascii="Palatino Linotype" w:hAnsi="Palatino Linotype"/>
          <w:sz w:val="18"/>
          <w:szCs w:val="18"/>
        </w:rPr>
        <w:t>@eas.bau.edu.tr</w:t>
      </w:r>
      <w:r>
        <w:t xml:space="preserve"> </w:t>
      </w:r>
    </w:p>
  </w:footnote>
  <w:footnote w:id="3">
    <w:p w14:paraId="02E4FAD1" w14:textId="1EDCF60B" w:rsidR="00494926" w:rsidRPr="008273F1" w:rsidRDefault="00494926">
      <w:pPr>
        <w:pStyle w:val="FootnoteText"/>
        <w:rPr>
          <w:lang w:val="en-US"/>
        </w:rPr>
      </w:pPr>
      <w:r w:rsidRPr="008273F1">
        <w:rPr>
          <w:rStyle w:val="FootnoteReference"/>
          <w:lang w:val="en-US"/>
        </w:rPr>
        <w:footnoteRef/>
      </w:r>
      <w:r w:rsidRPr="008273F1">
        <w:rPr>
          <w:lang w:val="en-US"/>
        </w:rPr>
        <w:t xml:space="preserve"> </w:t>
      </w:r>
      <w:proofErr w:type="spellStart"/>
      <w:r w:rsidR="008273F1" w:rsidRPr="008273F1">
        <w:rPr>
          <w:lang w:val="en-US"/>
        </w:rPr>
        <w:t>TurkStat</w:t>
      </w:r>
      <w:proofErr w:type="spellEnd"/>
      <w:r w:rsidR="008273F1" w:rsidRPr="008273F1">
        <w:rPr>
          <w:lang w:val="en-US"/>
        </w:rPr>
        <w:t xml:space="preserve"> uses the chained volume index method when calculating new national income series. The contribution to growth of the inventory change cannot be easily calculated because there is an additivity problem in the chain method and a chain index cannot be derived for the "changes in inventories". We discussed in detail in the research note that we recently published how to account for the contribution of inventory change to growth in the chain-volume index approach (see </w:t>
      </w:r>
      <w:proofErr w:type="spellStart"/>
      <w:r w:rsidR="008273F1" w:rsidRPr="008273F1">
        <w:rPr>
          <w:lang w:val="en-US"/>
        </w:rPr>
        <w:t>Betam</w:t>
      </w:r>
      <w:proofErr w:type="spellEnd"/>
      <w:r w:rsidR="008273F1" w:rsidRPr="008273F1">
        <w:rPr>
          <w:lang w:val="en-US"/>
        </w:rPr>
        <w:t xml:space="preserve"> Research Note 17/217).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850D03"/>
    <w:multiLevelType w:val="hybridMultilevel"/>
    <w:tmpl w:val="ABAEA2D4"/>
    <w:lvl w:ilvl="0" w:tplc="D6BC705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A2MzQ1MzcytDQzNrBU0lEKTi0uzszPAykwqgUAhAyGoiwAAAA="/>
  </w:docVars>
  <w:rsids>
    <w:rsidRoot w:val="00D07713"/>
    <w:rsid w:val="0000013E"/>
    <w:rsid w:val="0000228F"/>
    <w:rsid w:val="00006890"/>
    <w:rsid w:val="00007C3F"/>
    <w:rsid w:val="0001392F"/>
    <w:rsid w:val="000141C7"/>
    <w:rsid w:val="00017B51"/>
    <w:rsid w:val="00030A2C"/>
    <w:rsid w:val="00036770"/>
    <w:rsid w:val="000404B3"/>
    <w:rsid w:val="00041FB7"/>
    <w:rsid w:val="0004390D"/>
    <w:rsid w:val="00044AF3"/>
    <w:rsid w:val="00044D9E"/>
    <w:rsid w:val="0004588B"/>
    <w:rsid w:val="0005290F"/>
    <w:rsid w:val="00052B86"/>
    <w:rsid w:val="00054943"/>
    <w:rsid w:val="00055EA1"/>
    <w:rsid w:val="000561F7"/>
    <w:rsid w:val="00057F8E"/>
    <w:rsid w:val="00061936"/>
    <w:rsid w:val="00062A8A"/>
    <w:rsid w:val="000652B6"/>
    <w:rsid w:val="00070018"/>
    <w:rsid w:val="000725DB"/>
    <w:rsid w:val="00073415"/>
    <w:rsid w:val="00073E72"/>
    <w:rsid w:val="000753CE"/>
    <w:rsid w:val="000769CF"/>
    <w:rsid w:val="000772A5"/>
    <w:rsid w:val="00080211"/>
    <w:rsid w:val="00080336"/>
    <w:rsid w:val="00085271"/>
    <w:rsid w:val="00087011"/>
    <w:rsid w:val="000905E5"/>
    <w:rsid w:val="00091F3E"/>
    <w:rsid w:val="00096CDA"/>
    <w:rsid w:val="00097794"/>
    <w:rsid w:val="000978C8"/>
    <w:rsid w:val="000A05ED"/>
    <w:rsid w:val="000A3019"/>
    <w:rsid w:val="000A612E"/>
    <w:rsid w:val="000A770F"/>
    <w:rsid w:val="000B0D12"/>
    <w:rsid w:val="000B0FC1"/>
    <w:rsid w:val="000B45D6"/>
    <w:rsid w:val="000C1672"/>
    <w:rsid w:val="000C5C80"/>
    <w:rsid w:val="000C634D"/>
    <w:rsid w:val="000D5FD3"/>
    <w:rsid w:val="000D6E6C"/>
    <w:rsid w:val="000D70D1"/>
    <w:rsid w:val="000E2388"/>
    <w:rsid w:val="000E3805"/>
    <w:rsid w:val="000E445D"/>
    <w:rsid w:val="000F0B6B"/>
    <w:rsid w:val="000F28B9"/>
    <w:rsid w:val="000F2C7A"/>
    <w:rsid w:val="000F378E"/>
    <w:rsid w:val="000F6529"/>
    <w:rsid w:val="001004FF"/>
    <w:rsid w:val="0010209C"/>
    <w:rsid w:val="00111CED"/>
    <w:rsid w:val="00114BBE"/>
    <w:rsid w:val="0011613D"/>
    <w:rsid w:val="001239FD"/>
    <w:rsid w:val="0012527F"/>
    <w:rsid w:val="00125770"/>
    <w:rsid w:val="00126200"/>
    <w:rsid w:val="001272BD"/>
    <w:rsid w:val="00130D73"/>
    <w:rsid w:val="001314B0"/>
    <w:rsid w:val="00132910"/>
    <w:rsid w:val="00140468"/>
    <w:rsid w:val="00143F17"/>
    <w:rsid w:val="0014542A"/>
    <w:rsid w:val="00150D02"/>
    <w:rsid w:val="00150FFB"/>
    <w:rsid w:val="001527FA"/>
    <w:rsid w:val="001537D8"/>
    <w:rsid w:val="001540B7"/>
    <w:rsid w:val="0016084A"/>
    <w:rsid w:val="00160880"/>
    <w:rsid w:val="001648AB"/>
    <w:rsid w:val="00173CB3"/>
    <w:rsid w:val="001744CD"/>
    <w:rsid w:val="00176914"/>
    <w:rsid w:val="00177002"/>
    <w:rsid w:val="001777A4"/>
    <w:rsid w:val="00184174"/>
    <w:rsid w:val="00184B02"/>
    <w:rsid w:val="001851FE"/>
    <w:rsid w:val="001855BC"/>
    <w:rsid w:val="001866FC"/>
    <w:rsid w:val="00190944"/>
    <w:rsid w:val="00194FF2"/>
    <w:rsid w:val="001978A0"/>
    <w:rsid w:val="001A080D"/>
    <w:rsid w:val="001A42FF"/>
    <w:rsid w:val="001A5699"/>
    <w:rsid w:val="001B1A85"/>
    <w:rsid w:val="001B371C"/>
    <w:rsid w:val="001B3A44"/>
    <w:rsid w:val="001B79D6"/>
    <w:rsid w:val="001C2763"/>
    <w:rsid w:val="001C2C68"/>
    <w:rsid w:val="001C65BF"/>
    <w:rsid w:val="001C7370"/>
    <w:rsid w:val="001D0150"/>
    <w:rsid w:val="001D2107"/>
    <w:rsid w:val="001D36E7"/>
    <w:rsid w:val="001D420E"/>
    <w:rsid w:val="001D5B02"/>
    <w:rsid w:val="001D6465"/>
    <w:rsid w:val="001D7073"/>
    <w:rsid w:val="001D7513"/>
    <w:rsid w:val="001D7863"/>
    <w:rsid w:val="001E181B"/>
    <w:rsid w:val="001E2E49"/>
    <w:rsid w:val="001E495B"/>
    <w:rsid w:val="001E514D"/>
    <w:rsid w:val="001E72E4"/>
    <w:rsid w:val="001F12E3"/>
    <w:rsid w:val="001F1554"/>
    <w:rsid w:val="001F2DE9"/>
    <w:rsid w:val="001F5841"/>
    <w:rsid w:val="001F7B1D"/>
    <w:rsid w:val="001F7BC7"/>
    <w:rsid w:val="00201E79"/>
    <w:rsid w:val="00202302"/>
    <w:rsid w:val="00205844"/>
    <w:rsid w:val="00206F72"/>
    <w:rsid w:val="002106DF"/>
    <w:rsid w:val="00211E95"/>
    <w:rsid w:val="00212579"/>
    <w:rsid w:val="00212782"/>
    <w:rsid w:val="00214914"/>
    <w:rsid w:val="00214B5E"/>
    <w:rsid w:val="0022637C"/>
    <w:rsid w:val="0022673E"/>
    <w:rsid w:val="00232635"/>
    <w:rsid w:val="002343A8"/>
    <w:rsid w:val="00235DBE"/>
    <w:rsid w:val="00241944"/>
    <w:rsid w:val="00242C10"/>
    <w:rsid w:val="00247A3C"/>
    <w:rsid w:val="0025111C"/>
    <w:rsid w:val="00253E19"/>
    <w:rsid w:val="00265553"/>
    <w:rsid w:val="002663FD"/>
    <w:rsid w:val="002676CD"/>
    <w:rsid w:val="00267F48"/>
    <w:rsid w:val="00270A75"/>
    <w:rsid w:val="002714F9"/>
    <w:rsid w:val="00272912"/>
    <w:rsid w:val="002729B4"/>
    <w:rsid w:val="002755D9"/>
    <w:rsid w:val="00275745"/>
    <w:rsid w:val="002804E5"/>
    <w:rsid w:val="00282242"/>
    <w:rsid w:val="002829BC"/>
    <w:rsid w:val="002847DE"/>
    <w:rsid w:val="0028498B"/>
    <w:rsid w:val="0029215C"/>
    <w:rsid w:val="00293D43"/>
    <w:rsid w:val="00295E9A"/>
    <w:rsid w:val="0029623C"/>
    <w:rsid w:val="0029624E"/>
    <w:rsid w:val="002A037D"/>
    <w:rsid w:val="002A07A9"/>
    <w:rsid w:val="002A16BA"/>
    <w:rsid w:val="002A57DB"/>
    <w:rsid w:val="002A69AD"/>
    <w:rsid w:val="002A7C37"/>
    <w:rsid w:val="002B2172"/>
    <w:rsid w:val="002B2A1B"/>
    <w:rsid w:val="002B3C10"/>
    <w:rsid w:val="002B4A1A"/>
    <w:rsid w:val="002C00A1"/>
    <w:rsid w:val="002C4CC7"/>
    <w:rsid w:val="002C4E2F"/>
    <w:rsid w:val="002C5C24"/>
    <w:rsid w:val="002C64BB"/>
    <w:rsid w:val="002D1797"/>
    <w:rsid w:val="002D4D2D"/>
    <w:rsid w:val="002E555E"/>
    <w:rsid w:val="002F2245"/>
    <w:rsid w:val="002F26B4"/>
    <w:rsid w:val="002F2D70"/>
    <w:rsid w:val="002F3163"/>
    <w:rsid w:val="002F63B2"/>
    <w:rsid w:val="00302EDD"/>
    <w:rsid w:val="003061DC"/>
    <w:rsid w:val="003079ED"/>
    <w:rsid w:val="00310C5C"/>
    <w:rsid w:val="00311EFF"/>
    <w:rsid w:val="00313311"/>
    <w:rsid w:val="003162CB"/>
    <w:rsid w:val="003172DB"/>
    <w:rsid w:val="003208E6"/>
    <w:rsid w:val="0032176F"/>
    <w:rsid w:val="00321D78"/>
    <w:rsid w:val="0032280F"/>
    <w:rsid w:val="0032324A"/>
    <w:rsid w:val="00324C51"/>
    <w:rsid w:val="00325894"/>
    <w:rsid w:val="00326195"/>
    <w:rsid w:val="00326678"/>
    <w:rsid w:val="00327CFB"/>
    <w:rsid w:val="00334E27"/>
    <w:rsid w:val="0033649B"/>
    <w:rsid w:val="00344A74"/>
    <w:rsid w:val="003464FE"/>
    <w:rsid w:val="00347AE9"/>
    <w:rsid w:val="00351F12"/>
    <w:rsid w:val="00362359"/>
    <w:rsid w:val="00364AAB"/>
    <w:rsid w:val="00370A07"/>
    <w:rsid w:val="00370FEE"/>
    <w:rsid w:val="00375EB0"/>
    <w:rsid w:val="003771C7"/>
    <w:rsid w:val="003777B5"/>
    <w:rsid w:val="00385A29"/>
    <w:rsid w:val="00385C7B"/>
    <w:rsid w:val="003967B5"/>
    <w:rsid w:val="003A4849"/>
    <w:rsid w:val="003A488B"/>
    <w:rsid w:val="003A4C32"/>
    <w:rsid w:val="003A7596"/>
    <w:rsid w:val="003B2008"/>
    <w:rsid w:val="003B2D0B"/>
    <w:rsid w:val="003C267D"/>
    <w:rsid w:val="003C2891"/>
    <w:rsid w:val="003C65A1"/>
    <w:rsid w:val="003C795F"/>
    <w:rsid w:val="003D4202"/>
    <w:rsid w:val="003D44CE"/>
    <w:rsid w:val="003D4627"/>
    <w:rsid w:val="003E1EED"/>
    <w:rsid w:val="003E3299"/>
    <w:rsid w:val="003E3EDF"/>
    <w:rsid w:val="003E5C0F"/>
    <w:rsid w:val="003F00A9"/>
    <w:rsid w:val="003F4E89"/>
    <w:rsid w:val="003F6C2B"/>
    <w:rsid w:val="004017B2"/>
    <w:rsid w:val="00401813"/>
    <w:rsid w:val="0040374C"/>
    <w:rsid w:val="004040C3"/>
    <w:rsid w:val="00405BD8"/>
    <w:rsid w:val="00407C84"/>
    <w:rsid w:val="00416A4B"/>
    <w:rsid w:val="00417F6E"/>
    <w:rsid w:val="00422850"/>
    <w:rsid w:val="00424382"/>
    <w:rsid w:val="00431236"/>
    <w:rsid w:val="00431C38"/>
    <w:rsid w:val="00433A75"/>
    <w:rsid w:val="004426B4"/>
    <w:rsid w:val="004435E3"/>
    <w:rsid w:val="00443C08"/>
    <w:rsid w:val="00447743"/>
    <w:rsid w:val="00450CEA"/>
    <w:rsid w:val="00451A8A"/>
    <w:rsid w:val="004623F2"/>
    <w:rsid w:val="004647F0"/>
    <w:rsid w:val="00476131"/>
    <w:rsid w:val="00476E22"/>
    <w:rsid w:val="00477AED"/>
    <w:rsid w:val="00480684"/>
    <w:rsid w:val="00483EC5"/>
    <w:rsid w:val="0048774D"/>
    <w:rsid w:val="00490AAE"/>
    <w:rsid w:val="00492020"/>
    <w:rsid w:val="004931A5"/>
    <w:rsid w:val="00494926"/>
    <w:rsid w:val="004A4910"/>
    <w:rsid w:val="004B0D97"/>
    <w:rsid w:val="004B130D"/>
    <w:rsid w:val="004B6E05"/>
    <w:rsid w:val="004B7166"/>
    <w:rsid w:val="004C548E"/>
    <w:rsid w:val="004D1FAD"/>
    <w:rsid w:val="004D583E"/>
    <w:rsid w:val="004D626D"/>
    <w:rsid w:val="004D6586"/>
    <w:rsid w:val="004E0098"/>
    <w:rsid w:val="004E5018"/>
    <w:rsid w:val="004F0543"/>
    <w:rsid w:val="004F10AB"/>
    <w:rsid w:val="004F4BDC"/>
    <w:rsid w:val="0050008F"/>
    <w:rsid w:val="005020BC"/>
    <w:rsid w:val="005033DB"/>
    <w:rsid w:val="00505041"/>
    <w:rsid w:val="00506253"/>
    <w:rsid w:val="00507586"/>
    <w:rsid w:val="00510883"/>
    <w:rsid w:val="00513359"/>
    <w:rsid w:val="005150C1"/>
    <w:rsid w:val="00521326"/>
    <w:rsid w:val="005225E0"/>
    <w:rsid w:val="00530B9F"/>
    <w:rsid w:val="0053582F"/>
    <w:rsid w:val="0053586E"/>
    <w:rsid w:val="005412B2"/>
    <w:rsid w:val="0054145E"/>
    <w:rsid w:val="00542345"/>
    <w:rsid w:val="005438B0"/>
    <w:rsid w:val="00544773"/>
    <w:rsid w:val="005600E7"/>
    <w:rsid w:val="005635AF"/>
    <w:rsid w:val="00566223"/>
    <w:rsid w:val="00570C1B"/>
    <w:rsid w:val="00572FD8"/>
    <w:rsid w:val="005748A8"/>
    <w:rsid w:val="005814C0"/>
    <w:rsid w:val="005824BD"/>
    <w:rsid w:val="0058588C"/>
    <w:rsid w:val="00586424"/>
    <w:rsid w:val="005A2246"/>
    <w:rsid w:val="005A3B33"/>
    <w:rsid w:val="005A617F"/>
    <w:rsid w:val="005B35F3"/>
    <w:rsid w:val="005B438A"/>
    <w:rsid w:val="005B67B3"/>
    <w:rsid w:val="005C00FE"/>
    <w:rsid w:val="005C08B0"/>
    <w:rsid w:val="005C4436"/>
    <w:rsid w:val="005C51D9"/>
    <w:rsid w:val="005C6245"/>
    <w:rsid w:val="005D00FB"/>
    <w:rsid w:val="005D27F8"/>
    <w:rsid w:val="005D2979"/>
    <w:rsid w:val="005D3C96"/>
    <w:rsid w:val="005D4126"/>
    <w:rsid w:val="005D72F5"/>
    <w:rsid w:val="005D7F3E"/>
    <w:rsid w:val="005E2717"/>
    <w:rsid w:val="005E458B"/>
    <w:rsid w:val="005E49F0"/>
    <w:rsid w:val="005F0C29"/>
    <w:rsid w:val="005F0FF9"/>
    <w:rsid w:val="005F26AF"/>
    <w:rsid w:val="005F60F3"/>
    <w:rsid w:val="005F63C3"/>
    <w:rsid w:val="005F69B2"/>
    <w:rsid w:val="005F7787"/>
    <w:rsid w:val="00602C2B"/>
    <w:rsid w:val="0060593A"/>
    <w:rsid w:val="00610889"/>
    <w:rsid w:val="00610EAA"/>
    <w:rsid w:val="0061333E"/>
    <w:rsid w:val="006138F0"/>
    <w:rsid w:val="00613D1F"/>
    <w:rsid w:val="0061410A"/>
    <w:rsid w:val="00625B95"/>
    <w:rsid w:val="006268DA"/>
    <w:rsid w:val="00630E99"/>
    <w:rsid w:val="006318CD"/>
    <w:rsid w:val="00631D5B"/>
    <w:rsid w:val="00632221"/>
    <w:rsid w:val="006324E3"/>
    <w:rsid w:val="00632CF6"/>
    <w:rsid w:val="0064012D"/>
    <w:rsid w:val="00643113"/>
    <w:rsid w:val="006432C9"/>
    <w:rsid w:val="006439C5"/>
    <w:rsid w:val="00643F5D"/>
    <w:rsid w:val="0064483B"/>
    <w:rsid w:val="00645147"/>
    <w:rsid w:val="00647318"/>
    <w:rsid w:val="0064747F"/>
    <w:rsid w:val="00647792"/>
    <w:rsid w:val="00650BB3"/>
    <w:rsid w:val="006549E3"/>
    <w:rsid w:val="00655938"/>
    <w:rsid w:val="00655B95"/>
    <w:rsid w:val="00657B23"/>
    <w:rsid w:val="006679E6"/>
    <w:rsid w:val="0067008D"/>
    <w:rsid w:val="0067066F"/>
    <w:rsid w:val="006761BB"/>
    <w:rsid w:val="0067693E"/>
    <w:rsid w:val="00680AE4"/>
    <w:rsid w:val="00680E36"/>
    <w:rsid w:val="00681022"/>
    <w:rsid w:val="006813D8"/>
    <w:rsid w:val="00681AD9"/>
    <w:rsid w:val="00694B4D"/>
    <w:rsid w:val="00694F52"/>
    <w:rsid w:val="00695471"/>
    <w:rsid w:val="006A201E"/>
    <w:rsid w:val="006A308B"/>
    <w:rsid w:val="006B0633"/>
    <w:rsid w:val="006C122C"/>
    <w:rsid w:val="006C3DFE"/>
    <w:rsid w:val="006C3EE6"/>
    <w:rsid w:val="006C49A7"/>
    <w:rsid w:val="006D02FD"/>
    <w:rsid w:val="006D160C"/>
    <w:rsid w:val="006D1DD6"/>
    <w:rsid w:val="006D32A0"/>
    <w:rsid w:val="006E07BA"/>
    <w:rsid w:val="006F0FC6"/>
    <w:rsid w:val="006F1912"/>
    <w:rsid w:val="006F2CD8"/>
    <w:rsid w:val="006F49E7"/>
    <w:rsid w:val="006F5E82"/>
    <w:rsid w:val="006F615A"/>
    <w:rsid w:val="007011B6"/>
    <w:rsid w:val="0070188F"/>
    <w:rsid w:val="00703D6B"/>
    <w:rsid w:val="00707FBD"/>
    <w:rsid w:val="00711A8A"/>
    <w:rsid w:val="007135FC"/>
    <w:rsid w:val="007201BD"/>
    <w:rsid w:val="00720250"/>
    <w:rsid w:val="007224AF"/>
    <w:rsid w:val="00724E7C"/>
    <w:rsid w:val="00726C51"/>
    <w:rsid w:val="00731521"/>
    <w:rsid w:val="007362AC"/>
    <w:rsid w:val="0074205B"/>
    <w:rsid w:val="0075142F"/>
    <w:rsid w:val="00751F72"/>
    <w:rsid w:val="007559DB"/>
    <w:rsid w:val="00761711"/>
    <w:rsid w:val="00765445"/>
    <w:rsid w:val="0077111C"/>
    <w:rsid w:val="007715F2"/>
    <w:rsid w:val="00773A17"/>
    <w:rsid w:val="00773D69"/>
    <w:rsid w:val="00773D8B"/>
    <w:rsid w:val="00776789"/>
    <w:rsid w:val="00777AEF"/>
    <w:rsid w:val="00783CD4"/>
    <w:rsid w:val="0079216E"/>
    <w:rsid w:val="00792F4E"/>
    <w:rsid w:val="00797437"/>
    <w:rsid w:val="007A0630"/>
    <w:rsid w:val="007A0DBE"/>
    <w:rsid w:val="007A1767"/>
    <w:rsid w:val="007A5FB1"/>
    <w:rsid w:val="007B5A28"/>
    <w:rsid w:val="007B70AD"/>
    <w:rsid w:val="007C1995"/>
    <w:rsid w:val="007C462A"/>
    <w:rsid w:val="007D4953"/>
    <w:rsid w:val="007F13F2"/>
    <w:rsid w:val="007F39BB"/>
    <w:rsid w:val="007F3B7C"/>
    <w:rsid w:val="007F3C9B"/>
    <w:rsid w:val="008057C2"/>
    <w:rsid w:val="008063E6"/>
    <w:rsid w:val="0081114C"/>
    <w:rsid w:val="008151D2"/>
    <w:rsid w:val="0081589C"/>
    <w:rsid w:val="00817A10"/>
    <w:rsid w:val="008273F1"/>
    <w:rsid w:val="008275A8"/>
    <w:rsid w:val="00830B62"/>
    <w:rsid w:val="008312F9"/>
    <w:rsid w:val="00832402"/>
    <w:rsid w:val="00835D87"/>
    <w:rsid w:val="0083655C"/>
    <w:rsid w:val="00837B95"/>
    <w:rsid w:val="00841183"/>
    <w:rsid w:val="00841E4C"/>
    <w:rsid w:val="00844C00"/>
    <w:rsid w:val="00844C47"/>
    <w:rsid w:val="0084500C"/>
    <w:rsid w:val="00845815"/>
    <w:rsid w:val="00845A54"/>
    <w:rsid w:val="0084623F"/>
    <w:rsid w:val="008469D3"/>
    <w:rsid w:val="00852075"/>
    <w:rsid w:val="00856B55"/>
    <w:rsid w:val="00857C0E"/>
    <w:rsid w:val="0086495E"/>
    <w:rsid w:val="00865CE6"/>
    <w:rsid w:val="0086789C"/>
    <w:rsid w:val="00867DEE"/>
    <w:rsid w:val="0087023B"/>
    <w:rsid w:val="00870A3F"/>
    <w:rsid w:val="008753B3"/>
    <w:rsid w:val="0088079F"/>
    <w:rsid w:val="00881E18"/>
    <w:rsid w:val="0088270D"/>
    <w:rsid w:val="00884819"/>
    <w:rsid w:val="0089048A"/>
    <w:rsid w:val="008914E6"/>
    <w:rsid w:val="0089158B"/>
    <w:rsid w:val="00891C6B"/>
    <w:rsid w:val="00893320"/>
    <w:rsid w:val="008945AE"/>
    <w:rsid w:val="008949E0"/>
    <w:rsid w:val="008A3BD9"/>
    <w:rsid w:val="008B0385"/>
    <w:rsid w:val="008B29F8"/>
    <w:rsid w:val="008B6FC3"/>
    <w:rsid w:val="008C51CA"/>
    <w:rsid w:val="008C56F9"/>
    <w:rsid w:val="008C70C5"/>
    <w:rsid w:val="008C73E6"/>
    <w:rsid w:val="008D5E07"/>
    <w:rsid w:val="008D7AA2"/>
    <w:rsid w:val="008F1741"/>
    <w:rsid w:val="008F2BCD"/>
    <w:rsid w:val="00902A07"/>
    <w:rsid w:val="00905810"/>
    <w:rsid w:val="00912A8A"/>
    <w:rsid w:val="00914D26"/>
    <w:rsid w:val="0091617E"/>
    <w:rsid w:val="00916533"/>
    <w:rsid w:val="00916C78"/>
    <w:rsid w:val="00917330"/>
    <w:rsid w:val="009204AA"/>
    <w:rsid w:val="00920878"/>
    <w:rsid w:val="00920DA2"/>
    <w:rsid w:val="00922059"/>
    <w:rsid w:val="0092349F"/>
    <w:rsid w:val="009247BA"/>
    <w:rsid w:val="00924CD9"/>
    <w:rsid w:val="00927D28"/>
    <w:rsid w:val="00935D6E"/>
    <w:rsid w:val="00936595"/>
    <w:rsid w:val="009400E0"/>
    <w:rsid w:val="00940150"/>
    <w:rsid w:val="00940DA9"/>
    <w:rsid w:val="0094295F"/>
    <w:rsid w:val="009455F2"/>
    <w:rsid w:val="00945950"/>
    <w:rsid w:val="00955DC8"/>
    <w:rsid w:val="00955E90"/>
    <w:rsid w:val="00957FE5"/>
    <w:rsid w:val="00961F5B"/>
    <w:rsid w:val="00963B04"/>
    <w:rsid w:val="009663D6"/>
    <w:rsid w:val="00981D42"/>
    <w:rsid w:val="00982B22"/>
    <w:rsid w:val="0098310A"/>
    <w:rsid w:val="00983612"/>
    <w:rsid w:val="0098616F"/>
    <w:rsid w:val="00990E34"/>
    <w:rsid w:val="009928D9"/>
    <w:rsid w:val="00996151"/>
    <w:rsid w:val="00996EBD"/>
    <w:rsid w:val="00997694"/>
    <w:rsid w:val="00997713"/>
    <w:rsid w:val="00997C54"/>
    <w:rsid w:val="009A71AF"/>
    <w:rsid w:val="009B07DD"/>
    <w:rsid w:val="009B1546"/>
    <w:rsid w:val="009B16AD"/>
    <w:rsid w:val="009B2E56"/>
    <w:rsid w:val="009B3197"/>
    <w:rsid w:val="009B385A"/>
    <w:rsid w:val="009B651F"/>
    <w:rsid w:val="009C2C5D"/>
    <w:rsid w:val="009C40EF"/>
    <w:rsid w:val="009C66C3"/>
    <w:rsid w:val="009D62AC"/>
    <w:rsid w:val="009D71BF"/>
    <w:rsid w:val="009E0348"/>
    <w:rsid w:val="009E25DA"/>
    <w:rsid w:val="009E2AA5"/>
    <w:rsid w:val="009E5241"/>
    <w:rsid w:val="009E68C6"/>
    <w:rsid w:val="009F23C4"/>
    <w:rsid w:val="009F2483"/>
    <w:rsid w:val="009F42CC"/>
    <w:rsid w:val="009F603E"/>
    <w:rsid w:val="00A0130D"/>
    <w:rsid w:val="00A03316"/>
    <w:rsid w:val="00A0483D"/>
    <w:rsid w:val="00A04EFA"/>
    <w:rsid w:val="00A06A3E"/>
    <w:rsid w:val="00A10891"/>
    <w:rsid w:val="00A109C3"/>
    <w:rsid w:val="00A12631"/>
    <w:rsid w:val="00A15DC3"/>
    <w:rsid w:val="00A170FB"/>
    <w:rsid w:val="00A2147D"/>
    <w:rsid w:val="00A251CD"/>
    <w:rsid w:val="00A25823"/>
    <w:rsid w:val="00A2601A"/>
    <w:rsid w:val="00A303D5"/>
    <w:rsid w:val="00A3095F"/>
    <w:rsid w:val="00A310EA"/>
    <w:rsid w:val="00A322AA"/>
    <w:rsid w:val="00A327F6"/>
    <w:rsid w:val="00A33E71"/>
    <w:rsid w:val="00A34DB9"/>
    <w:rsid w:val="00A40E31"/>
    <w:rsid w:val="00A444F9"/>
    <w:rsid w:val="00A46C4A"/>
    <w:rsid w:val="00A50FB7"/>
    <w:rsid w:val="00A6009C"/>
    <w:rsid w:val="00A603BC"/>
    <w:rsid w:val="00A6165E"/>
    <w:rsid w:val="00A648DB"/>
    <w:rsid w:val="00A675D3"/>
    <w:rsid w:val="00A719DB"/>
    <w:rsid w:val="00A73EA9"/>
    <w:rsid w:val="00A7662B"/>
    <w:rsid w:val="00A842EA"/>
    <w:rsid w:val="00A8572B"/>
    <w:rsid w:val="00A86808"/>
    <w:rsid w:val="00A874DA"/>
    <w:rsid w:val="00A90B4F"/>
    <w:rsid w:val="00A90F77"/>
    <w:rsid w:val="00A92286"/>
    <w:rsid w:val="00A9270B"/>
    <w:rsid w:val="00A96DDC"/>
    <w:rsid w:val="00AA1706"/>
    <w:rsid w:val="00AA187A"/>
    <w:rsid w:val="00AA5024"/>
    <w:rsid w:val="00AA678E"/>
    <w:rsid w:val="00AA75BD"/>
    <w:rsid w:val="00AB1006"/>
    <w:rsid w:val="00AB36F7"/>
    <w:rsid w:val="00AB63B9"/>
    <w:rsid w:val="00AC2B3D"/>
    <w:rsid w:val="00AC59ED"/>
    <w:rsid w:val="00AD01B6"/>
    <w:rsid w:val="00AD7ADC"/>
    <w:rsid w:val="00AE0D6A"/>
    <w:rsid w:val="00AE59EE"/>
    <w:rsid w:val="00AF3D11"/>
    <w:rsid w:val="00AF78D0"/>
    <w:rsid w:val="00B01508"/>
    <w:rsid w:val="00B01533"/>
    <w:rsid w:val="00B02076"/>
    <w:rsid w:val="00B02D74"/>
    <w:rsid w:val="00B119E3"/>
    <w:rsid w:val="00B17241"/>
    <w:rsid w:val="00B17B6A"/>
    <w:rsid w:val="00B215AC"/>
    <w:rsid w:val="00B24D13"/>
    <w:rsid w:val="00B27C9F"/>
    <w:rsid w:val="00B31FC9"/>
    <w:rsid w:val="00B34132"/>
    <w:rsid w:val="00B35FDB"/>
    <w:rsid w:val="00B366B7"/>
    <w:rsid w:val="00B36BFA"/>
    <w:rsid w:val="00B45DFF"/>
    <w:rsid w:val="00B4685F"/>
    <w:rsid w:val="00B5190A"/>
    <w:rsid w:val="00B56D03"/>
    <w:rsid w:val="00B62037"/>
    <w:rsid w:val="00B703DE"/>
    <w:rsid w:val="00B74E5B"/>
    <w:rsid w:val="00B76782"/>
    <w:rsid w:val="00B82B92"/>
    <w:rsid w:val="00B9319A"/>
    <w:rsid w:val="00B95E66"/>
    <w:rsid w:val="00BA3C62"/>
    <w:rsid w:val="00BA5FF0"/>
    <w:rsid w:val="00BA7E44"/>
    <w:rsid w:val="00BB0912"/>
    <w:rsid w:val="00BB1741"/>
    <w:rsid w:val="00BB3448"/>
    <w:rsid w:val="00BB3FE6"/>
    <w:rsid w:val="00BB5725"/>
    <w:rsid w:val="00BC1EF8"/>
    <w:rsid w:val="00BD00B2"/>
    <w:rsid w:val="00BD51DF"/>
    <w:rsid w:val="00BD6621"/>
    <w:rsid w:val="00BD6EC8"/>
    <w:rsid w:val="00BD7F4E"/>
    <w:rsid w:val="00BE013E"/>
    <w:rsid w:val="00BE06CE"/>
    <w:rsid w:val="00BE1622"/>
    <w:rsid w:val="00BE280E"/>
    <w:rsid w:val="00BE6CCA"/>
    <w:rsid w:val="00BE7C49"/>
    <w:rsid w:val="00BF1EC4"/>
    <w:rsid w:val="00BF59B3"/>
    <w:rsid w:val="00C066D2"/>
    <w:rsid w:val="00C11B5A"/>
    <w:rsid w:val="00C126FC"/>
    <w:rsid w:val="00C1422A"/>
    <w:rsid w:val="00C14C86"/>
    <w:rsid w:val="00C14FC9"/>
    <w:rsid w:val="00C167CC"/>
    <w:rsid w:val="00C21E02"/>
    <w:rsid w:val="00C26ED1"/>
    <w:rsid w:val="00C271FA"/>
    <w:rsid w:val="00C32789"/>
    <w:rsid w:val="00C34C5C"/>
    <w:rsid w:val="00C35660"/>
    <w:rsid w:val="00C425A1"/>
    <w:rsid w:val="00C43EBE"/>
    <w:rsid w:val="00C5056E"/>
    <w:rsid w:val="00C50B4E"/>
    <w:rsid w:val="00C50FD5"/>
    <w:rsid w:val="00C51F7B"/>
    <w:rsid w:val="00C53444"/>
    <w:rsid w:val="00C56C6E"/>
    <w:rsid w:val="00C57749"/>
    <w:rsid w:val="00C60221"/>
    <w:rsid w:val="00C6130D"/>
    <w:rsid w:val="00C7220A"/>
    <w:rsid w:val="00C73CC1"/>
    <w:rsid w:val="00C742C7"/>
    <w:rsid w:val="00C754E1"/>
    <w:rsid w:val="00C7698F"/>
    <w:rsid w:val="00C807B2"/>
    <w:rsid w:val="00C813E4"/>
    <w:rsid w:val="00C82B14"/>
    <w:rsid w:val="00C850EC"/>
    <w:rsid w:val="00C86475"/>
    <w:rsid w:val="00C87C00"/>
    <w:rsid w:val="00C9003F"/>
    <w:rsid w:val="00C900F9"/>
    <w:rsid w:val="00C9036E"/>
    <w:rsid w:val="00C97FD1"/>
    <w:rsid w:val="00CA234B"/>
    <w:rsid w:val="00CA77D7"/>
    <w:rsid w:val="00CB0E7B"/>
    <w:rsid w:val="00CB1AD7"/>
    <w:rsid w:val="00CB3462"/>
    <w:rsid w:val="00CB4102"/>
    <w:rsid w:val="00CB41BA"/>
    <w:rsid w:val="00CB72D1"/>
    <w:rsid w:val="00CB767C"/>
    <w:rsid w:val="00CB76B6"/>
    <w:rsid w:val="00CC0355"/>
    <w:rsid w:val="00CC3EAD"/>
    <w:rsid w:val="00CC44D3"/>
    <w:rsid w:val="00CC5784"/>
    <w:rsid w:val="00CC79C0"/>
    <w:rsid w:val="00CC7C34"/>
    <w:rsid w:val="00CD6778"/>
    <w:rsid w:val="00CE6E39"/>
    <w:rsid w:val="00CF365B"/>
    <w:rsid w:val="00CF5053"/>
    <w:rsid w:val="00CF506B"/>
    <w:rsid w:val="00CF7798"/>
    <w:rsid w:val="00D0155A"/>
    <w:rsid w:val="00D01A3E"/>
    <w:rsid w:val="00D07713"/>
    <w:rsid w:val="00D10C44"/>
    <w:rsid w:val="00D1282D"/>
    <w:rsid w:val="00D136A7"/>
    <w:rsid w:val="00D147ED"/>
    <w:rsid w:val="00D1686E"/>
    <w:rsid w:val="00D200DB"/>
    <w:rsid w:val="00D24254"/>
    <w:rsid w:val="00D257C1"/>
    <w:rsid w:val="00D314F9"/>
    <w:rsid w:val="00D32C5D"/>
    <w:rsid w:val="00D34702"/>
    <w:rsid w:val="00D406AA"/>
    <w:rsid w:val="00D4418E"/>
    <w:rsid w:val="00D44562"/>
    <w:rsid w:val="00D45167"/>
    <w:rsid w:val="00D4574F"/>
    <w:rsid w:val="00D463B7"/>
    <w:rsid w:val="00D46CA0"/>
    <w:rsid w:val="00D4719D"/>
    <w:rsid w:val="00D50220"/>
    <w:rsid w:val="00D53424"/>
    <w:rsid w:val="00D54395"/>
    <w:rsid w:val="00D57B0A"/>
    <w:rsid w:val="00D60AAF"/>
    <w:rsid w:val="00D63430"/>
    <w:rsid w:val="00D64700"/>
    <w:rsid w:val="00D65AAD"/>
    <w:rsid w:val="00D67514"/>
    <w:rsid w:val="00D67F66"/>
    <w:rsid w:val="00D732A9"/>
    <w:rsid w:val="00D76361"/>
    <w:rsid w:val="00D803A1"/>
    <w:rsid w:val="00D90931"/>
    <w:rsid w:val="00D92A1A"/>
    <w:rsid w:val="00D92C07"/>
    <w:rsid w:val="00D942BE"/>
    <w:rsid w:val="00D94A3B"/>
    <w:rsid w:val="00D95EA2"/>
    <w:rsid w:val="00D9649B"/>
    <w:rsid w:val="00D976E9"/>
    <w:rsid w:val="00DA0C5D"/>
    <w:rsid w:val="00DA5524"/>
    <w:rsid w:val="00DA618C"/>
    <w:rsid w:val="00DA6E52"/>
    <w:rsid w:val="00DB4A16"/>
    <w:rsid w:val="00DB5024"/>
    <w:rsid w:val="00DB5518"/>
    <w:rsid w:val="00DB5EFB"/>
    <w:rsid w:val="00DB6C1E"/>
    <w:rsid w:val="00DC0B1C"/>
    <w:rsid w:val="00DC2AAD"/>
    <w:rsid w:val="00DC2EE6"/>
    <w:rsid w:val="00DC47DA"/>
    <w:rsid w:val="00DD2D75"/>
    <w:rsid w:val="00DD4D85"/>
    <w:rsid w:val="00DE57B8"/>
    <w:rsid w:val="00DE5907"/>
    <w:rsid w:val="00DF0251"/>
    <w:rsid w:val="00DF08BD"/>
    <w:rsid w:val="00DF1057"/>
    <w:rsid w:val="00DF44DE"/>
    <w:rsid w:val="00E04EFE"/>
    <w:rsid w:val="00E05DE7"/>
    <w:rsid w:val="00E0602A"/>
    <w:rsid w:val="00E109EA"/>
    <w:rsid w:val="00E122C5"/>
    <w:rsid w:val="00E21E9E"/>
    <w:rsid w:val="00E23E54"/>
    <w:rsid w:val="00E25A25"/>
    <w:rsid w:val="00E265D5"/>
    <w:rsid w:val="00E271BB"/>
    <w:rsid w:val="00E306CB"/>
    <w:rsid w:val="00E35120"/>
    <w:rsid w:val="00E3778C"/>
    <w:rsid w:val="00E37C95"/>
    <w:rsid w:val="00E40BEF"/>
    <w:rsid w:val="00E40CBC"/>
    <w:rsid w:val="00E40DD5"/>
    <w:rsid w:val="00E41840"/>
    <w:rsid w:val="00E4681E"/>
    <w:rsid w:val="00E540BC"/>
    <w:rsid w:val="00E565C5"/>
    <w:rsid w:val="00E57043"/>
    <w:rsid w:val="00E5723B"/>
    <w:rsid w:val="00E631F0"/>
    <w:rsid w:val="00E632EE"/>
    <w:rsid w:val="00E634D2"/>
    <w:rsid w:val="00E667CB"/>
    <w:rsid w:val="00E67DCD"/>
    <w:rsid w:val="00E750CC"/>
    <w:rsid w:val="00E77CAA"/>
    <w:rsid w:val="00E82940"/>
    <w:rsid w:val="00E83A84"/>
    <w:rsid w:val="00E85115"/>
    <w:rsid w:val="00E85F3F"/>
    <w:rsid w:val="00E94006"/>
    <w:rsid w:val="00EA0ED2"/>
    <w:rsid w:val="00EA52B3"/>
    <w:rsid w:val="00EA7527"/>
    <w:rsid w:val="00EB2543"/>
    <w:rsid w:val="00EB2B22"/>
    <w:rsid w:val="00EB2C83"/>
    <w:rsid w:val="00EB3A96"/>
    <w:rsid w:val="00EB476F"/>
    <w:rsid w:val="00EB52B3"/>
    <w:rsid w:val="00EC136E"/>
    <w:rsid w:val="00EC1852"/>
    <w:rsid w:val="00EC2814"/>
    <w:rsid w:val="00EC37CB"/>
    <w:rsid w:val="00ED0762"/>
    <w:rsid w:val="00ED266F"/>
    <w:rsid w:val="00ED431D"/>
    <w:rsid w:val="00ED5E21"/>
    <w:rsid w:val="00ED7C53"/>
    <w:rsid w:val="00EE0633"/>
    <w:rsid w:val="00EE150B"/>
    <w:rsid w:val="00EE1BE5"/>
    <w:rsid w:val="00EE4795"/>
    <w:rsid w:val="00EF09A7"/>
    <w:rsid w:val="00EF29EC"/>
    <w:rsid w:val="00F0076E"/>
    <w:rsid w:val="00F00FB7"/>
    <w:rsid w:val="00F0654E"/>
    <w:rsid w:val="00F118B1"/>
    <w:rsid w:val="00F1313C"/>
    <w:rsid w:val="00F136EE"/>
    <w:rsid w:val="00F22A71"/>
    <w:rsid w:val="00F242DA"/>
    <w:rsid w:val="00F259FE"/>
    <w:rsid w:val="00F27D86"/>
    <w:rsid w:val="00F30329"/>
    <w:rsid w:val="00F31726"/>
    <w:rsid w:val="00F31E52"/>
    <w:rsid w:val="00F33EED"/>
    <w:rsid w:val="00F343EB"/>
    <w:rsid w:val="00F41E19"/>
    <w:rsid w:val="00F441A2"/>
    <w:rsid w:val="00F44E44"/>
    <w:rsid w:val="00F46A54"/>
    <w:rsid w:val="00F50705"/>
    <w:rsid w:val="00F5130C"/>
    <w:rsid w:val="00F5534B"/>
    <w:rsid w:val="00F65C09"/>
    <w:rsid w:val="00F676BF"/>
    <w:rsid w:val="00F67B66"/>
    <w:rsid w:val="00F70EC7"/>
    <w:rsid w:val="00F72AAB"/>
    <w:rsid w:val="00F74EB9"/>
    <w:rsid w:val="00F80F23"/>
    <w:rsid w:val="00F823F7"/>
    <w:rsid w:val="00F87405"/>
    <w:rsid w:val="00F9160B"/>
    <w:rsid w:val="00F94113"/>
    <w:rsid w:val="00F9530C"/>
    <w:rsid w:val="00FA206C"/>
    <w:rsid w:val="00FA2340"/>
    <w:rsid w:val="00FA63BA"/>
    <w:rsid w:val="00FB3FBF"/>
    <w:rsid w:val="00FB5611"/>
    <w:rsid w:val="00FB701E"/>
    <w:rsid w:val="00FC0F20"/>
    <w:rsid w:val="00FC5B54"/>
    <w:rsid w:val="00FD2267"/>
    <w:rsid w:val="00FD35CE"/>
    <w:rsid w:val="00FD7B4A"/>
    <w:rsid w:val="00FE385C"/>
    <w:rsid w:val="00FF0884"/>
    <w:rsid w:val="00FF13E3"/>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C77F0"/>
  <w15:docId w15:val="{9CA1EF39-B796-443B-AC8D-F92DAEA61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713"/>
    <w:pPr>
      <w:spacing w:after="0" w:line="240" w:lineRule="auto"/>
    </w:pPr>
    <w:rPr>
      <w:rFonts w:ascii="Times New Roman"/>
      <w:sz w:val="24"/>
      <w:szCs w:val="24"/>
      <w:lang w:val="tr-TR" w:eastAsia="tr-TR"/>
    </w:rPr>
  </w:style>
  <w:style w:type="paragraph" w:styleId="Heading1">
    <w:name w:val="heading 1"/>
    <w:basedOn w:val="Normal"/>
    <w:next w:val="Normal"/>
    <w:link w:val="Heading1Char"/>
    <w:uiPriority w:val="99"/>
    <w:qFormat/>
    <w:rsid w:val="00D07713"/>
    <w:pPr>
      <w:keepNext/>
      <w:tabs>
        <w:tab w:val="num" w:pos="432"/>
      </w:tabs>
      <w:suppressAutoHyphens/>
      <w:ind w:left="432" w:hanging="432"/>
      <w:jc w:val="center"/>
      <w:outlineLvl w:val="0"/>
    </w:pPr>
    <w:rPr>
      <w:rFonts w:ascii="Arial" w:hAnsi="Arial" w:cs="Arial"/>
      <w:b/>
      <w:bCs/>
      <w:sz w:val="18"/>
      <w:szCs w:val="18"/>
      <w:lang w:eastAsia="ar-SA"/>
    </w:rPr>
  </w:style>
  <w:style w:type="paragraph" w:styleId="Heading2">
    <w:name w:val="heading 2"/>
    <w:basedOn w:val="Normal"/>
    <w:next w:val="Normal"/>
    <w:link w:val="Heading2Char"/>
    <w:uiPriority w:val="99"/>
    <w:qFormat/>
    <w:rsid w:val="00D07713"/>
    <w:pPr>
      <w:keepNext/>
      <w:tabs>
        <w:tab w:val="num" w:pos="576"/>
      </w:tabs>
      <w:suppressAutoHyphens/>
      <w:spacing w:before="240" w:after="60"/>
      <w:ind w:left="576" w:hanging="576"/>
      <w:outlineLvl w:val="1"/>
    </w:pPr>
    <w:rPr>
      <w:rFonts w:ascii="Arial" w:hAnsi="Arial" w:cs="Arial"/>
      <w:b/>
      <w:bCs/>
      <w:i/>
      <w:iCs/>
      <w:sz w:val="28"/>
      <w:szCs w:val="28"/>
      <w:lang w:val="en-GB" w:eastAsia="ar-SA"/>
    </w:rPr>
  </w:style>
  <w:style w:type="paragraph" w:styleId="Heading3">
    <w:name w:val="heading 3"/>
    <w:basedOn w:val="Normal"/>
    <w:next w:val="Normal"/>
    <w:link w:val="Heading3Char"/>
    <w:uiPriority w:val="99"/>
    <w:unhideWhenUsed/>
    <w:qFormat/>
    <w:rsid w:val="00D0771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07713"/>
    <w:rPr>
      <w:rFonts w:ascii="Arial" w:hAnsi="Arial" w:cs="Arial"/>
      <w:b/>
      <w:bCs/>
      <w:sz w:val="18"/>
      <w:szCs w:val="18"/>
      <w:lang w:val="tr-TR" w:eastAsia="ar-SA"/>
    </w:rPr>
  </w:style>
  <w:style w:type="character" w:customStyle="1" w:styleId="Heading2Char">
    <w:name w:val="Heading 2 Char"/>
    <w:basedOn w:val="DefaultParagraphFont"/>
    <w:link w:val="Heading2"/>
    <w:uiPriority w:val="99"/>
    <w:rsid w:val="00D07713"/>
    <w:rPr>
      <w:rFonts w:ascii="Arial" w:hAnsi="Arial" w:cs="Arial"/>
      <w:b/>
      <w:bCs/>
      <w:i/>
      <w:iCs/>
      <w:sz w:val="28"/>
      <w:szCs w:val="28"/>
      <w:lang w:val="en-GB" w:eastAsia="ar-SA"/>
    </w:rPr>
  </w:style>
  <w:style w:type="character" w:customStyle="1" w:styleId="Heading3Char">
    <w:name w:val="Heading 3 Char"/>
    <w:basedOn w:val="DefaultParagraphFont"/>
    <w:link w:val="Heading3"/>
    <w:uiPriority w:val="9"/>
    <w:semiHidden/>
    <w:rsid w:val="00D07713"/>
    <w:rPr>
      <w:rFonts w:asciiTheme="majorHAnsi" w:eastAsiaTheme="majorEastAsia" w:hAnsiTheme="majorHAnsi" w:cstheme="majorBidi"/>
      <w:color w:val="1F3763" w:themeColor="accent1" w:themeShade="7F"/>
      <w:sz w:val="24"/>
      <w:szCs w:val="24"/>
      <w:lang w:val="tr-TR"/>
    </w:rPr>
  </w:style>
  <w:style w:type="paragraph" w:styleId="ListParagraph">
    <w:name w:val="List Paragraph"/>
    <w:basedOn w:val="Normal"/>
    <w:uiPriority w:val="34"/>
    <w:qFormat/>
    <w:rsid w:val="001C65BF"/>
    <w:pPr>
      <w:ind w:left="720"/>
      <w:contextualSpacing/>
    </w:pPr>
  </w:style>
  <w:style w:type="character" w:styleId="Hyperlink">
    <w:name w:val="Hyperlink"/>
    <w:basedOn w:val="DefaultParagraphFont"/>
    <w:uiPriority w:val="99"/>
    <w:unhideWhenUsed/>
    <w:rsid w:val="001C65BF"/>
    <w:rPr>
      <w:color w:val="0563C1" w:themeColor="hyperlink"/>
      <w:u w:val="single"/>
    </w:rPr>
  </w:style>
  <w:style w:type="character" w:customStyle="1" w:styleId="Mention1">
    <w:name w:val="Mention1"/>
    <w:basedOn w:val="DefaultParagraphFont"/>
    <w:uiPriority w:val="99"/>
    <w:semiHidden/>
    <w:unhideWhenUsed/>
    <w:rsid w:val="001C65BF"/>
    <w:rPr>
      <w:color w:val="2B579A"/>
      <w:shd w:val="clear" w:color="auto" w:fill="E6E6E6"/>
    </w:rPr>
  </w:style>
  <w:style w:type="paragraph" w:styleId="NormalWeb">
    <w:name w:val="Normal (Web)"/>
    <w:basedOn w:val="Normal"/>
    <w:uiPriority w:val="99"/>
    <w:rsid w:val="006C3EE6"/>
    <w:pPr>
      <w:spacing w:before="100" w:beforeAutospacing="1" w:after="100" w:afterAutospacing="1"/>
    </w:pPr>
  </w:style>
  <w:style w:type="character" w:customStyle="1" w:styleId="UnresolvedMention1">
    <w:name w:val="Unresolved Mention1"/>
    <w:basedOn w:val="DefaultParagraphFont"/>
    <w:uiPriority w:val="99"/>
    <w:semiHidden/>
    <w:unhideWhenUsed/>
    <w:rsid w:val="00DA0C5D"/>
    <w:rPr>
      <w:color w:val="808080"/>
      <w:shd w:val="clear" w:color="auto" w:fill="E6E6E6"/>
    </w:rPr>
  </w:style>
  <w:style w:type="paragraph" w:styleId="FootnoteText">
    <w:name w:val="footnote text"/>
    <w:basedOn w:val="Normal"/>
    <w:link w:val="FootnoteTextChar"/>
    <w:uiPriority w:val="99"/>
    <w:semiHidden/>
    <w:unhideWhenUsed/>
    <w:rsid w:val="00DA0C5D"/>
    <w:rPr>
      <w:sz w:val="20"/>
      <w:szCs w:val="20"/>
    </w:rPr>
  </w:style>
  <w:style w:type="character" w:customStyle="1" w:styleId="FootnoteTextChar">
    <w:name w:val="Footnote Text Char"/>
    <w:basedOn w:val="DefaultParagraphFont"/>
    <w:link w:val="FootnoteText"/>
    <w:uiPriority w:val="99"/>
    <w:semiHidden/>
    <w:rsid w:val="00DA0C5D"/>
    <w:rPr>
      <w:rFonts w:ascii="Times New Roman"/>
      <w:sz w:val="20"/>
      <w:szCs w:val="20"/>
      <w:lang w:val="tr-TR" w:eastAsia="tr-TR"/>
    </w:rPr>
  </w:style>
  <w:style w:type="character" w:styleId="FootnoteReference">
    <w:name w:val="footnote reference"/>
    <w:basedOn w:val="DefaultParagraphFont"/>
    <w:uiPriority w:val="99"/>
    <w:semiHidden/>
    <w:unhideWhenUsed/>
    <w:rsid w:val="00DA0C5D"/>
    <w:rPr>
      <w:vertAlign w:val="superscript"/>
    </w:rPr>
  </w:style>
  <w:style w:type="paragraph" w:styleId="BalloonText">
    <w:name w:val="Balloon Text"/>
    <w:basedOn w:val="Normal"/>
    <w:link w:val="BalloonTextChar"/>
    <w:uiPriority w:val="99"/>
    <w:semiHidden/>
    <w:unhideWhenUsed/>
    <w:rsid w:val="00845A54"/>
    <w:rPr>
      <w:rFonts w:ascii="Tahoma" w:hAnsi="Tahoma" w:cs="Tahoma"/>
      <w:sz w:val="16"/>
      <w:szCs w:val="16"/>
    </w:rPr>
  </w:style>
  <w:style w:type="character" w:customStyle="1" w:styleId="BalloonTextChar">
    <w:name w:val="Balloon Text Char"/>
    <w:basedOn w:val="DefaultParagraphFont"/>
    <w:link w:val="BalloonText"/>
    <w:uiPriority w:val="99"/>
    <w:semiHidden/>
    <w:rsid w:val="00845A54"/>
    <w:rPr>
      <w:rFonts w:ascii="Tahoma" w:hAnsi="Tahoma" w:cs="Tahoma"/>
      <w:sz w:val="16"/>
      <w:szCs w:val="16"/>
      <w:lang w:val="tr-TR" w:eastAsia="tr-TR"/>
    </w:rPr>
  </w:style>
  <w:style w:type="character" w:styleId="CommentReference">
    <w:name w:val="annotation reference"/>
    <w:basedOn w:val="DefaultParagraphFont"/>
    <w:uiPriority w:val="99"/>
    <w:semiHidden/>
    <w:unhideWhenUsed/>
    <w:rsid w:val="00492020"/>
    <w:rPr>
      <w:sz w:val="16"/>
      <w:szCs w:val="16"/>
    </w:rPr>
  </w:style>
  <w:style w:type="paragraph" w:styleId="CommentText">
    <w:name w:val="annotation text"/>
    <w:basedOn w:val="Normal"/>
    <w:link w:val="CommentTextChar"/>
    <w:uiPriority w:val="99"/>
    <w:semiHidden/>
    <w:unhideWhenUsed/>
    <w:rsid w:val="00492020"/>
    <w:rPr>
      <w:sz w:val="20"/>
      <w:szCs w:val="20"/>
    </w:rPr>
  </w:style>
  <w:style w:type="character" w:customStyle="1" w:styleId="CommentTextChar">
    <w:name w:val="Comment Text Char"/>
    <w:basedOn w:val="DefaultParagraphFont"/>
    <w:link w:val="CommentText"/>
    <w:uiPriority w:val="99"/>
    <w:semiHidden/>
    <w:rsid w:val="00492020"/>
    <w:rPr>
      <w:rFonts w:ascii="Times New Roman"/>
      <w:sz w:val="20"/>
      <w:szCs w:val="20"/>
      <w:lang w:val="tr-TR" w:eastAsia="tr-TR"/>
    </w:rPr>
  </w:style>
  <w:style w:type="paragraph" w:styleId="CommentSubject">
    <w:name w:val="annotation subject"/>
    <w:basedOn w:val="CommentText"/>
    <w:next w:val="CommentText"/>
    <w:link w:val="CommentSubjectChar"/>
    <w:uiPriority w:val="99"/>
    <w:semiHidden/>
    <w:unhideWhenUsed/>
    <w:rsid w:val="00492020"/>
    <w:rPr>
      <w:b/>
      <w:bCs/>
    </w:rPr>
  </w:style>
  <w:style w:type="character" w:customStyle="1" w:styleId="CommentSubjectChar">
    <w:name w:val="Comment Subject Char"/>
    <w:basedOn w:val="CommentTextChar"/>
    <w:link w:val="CommentSubject"/>
    <w:uiPriority w:val="99"/>
    <w:semiHidden/>
    <w:rsid w:val="00492020"/>
    <w:rPr>
      <w:rFonts w:ascii="Times New Roman"/>
      <w:b/>
      <w:bCs/>
      <w:sz w:val="20"/>
      <w:szCs w:val="20"/>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206">
      <w:bodyDiv w:val="1"/>
      <w:marLeft w:val="0"/>
      <w:marRight w:val="0"/>
      <w:marTop w:val="0"/>
      <w:marBottom w:val="0"/>
      <w:divBdr>
        <w:top w:val="none" w:sz="0" w:space="0" w:color="auto"/>
        <w:left w:val="none" w:sz="0" w:space="0" w:color="auto"/>
        <w:bottom w:val="none" w:sz="0" w:space="0" w:color="auto"/>
        <w:right w:val="none" w:sz="0" w:space="0" w:color="auto"/>
      </w:divBdr>
    </w:div>
    <w:div w:id="8721704">
      <w:bodyDiv w:val="1"/>
      <w:marLeft w:val="0"/>
      <w:marRight w:val="0"/>
      <w:marTop w:val="0"/>
      <w:marBottom w:val="0"/>
      <w:divBdr>
        <w:top w:val="none" w:sz="0" w:space="0" w:color="auto"/>
        <w:left w:val="none" w:sz="0" w:space="0" w:color="auto"/>
        <w:bottom w:val="none" w:sz="0" w:space="0" w:color="auto"/>
        <w:right w:val="none" w:sz="0" w:space="0" w:color="auto"/>
      </w:divBdr>
    </w:div>
    <w:div w:id="46809400">
      <w:bodyDiv w:val="1"/>
      <w:marLeft w:val="0"/>
      <w:marRight w:val="0"/>
      <w:marTop w:val="0"/>
      <w:marBottom w:val="0"/>
      <w:divBdr>
        <w:top w:val="none" w:sz="0" w:space="0" w:color="auto"/>
        <w:left w:val="none" w:sz="0" w:space="0" w:color="auto"/>
        <w:bottom w:val="none" w:sz="0" w:space="0" w:color="auto"/>
        <w:right w:val="none" w:sz="0" w:space="0" w:color="auto"/>
      </w:divBdr>
    </w:div>
    <w:div w:id="78261841">
      <w:bodyDiv w:val="1"/>
      <w:marLeft w:val="0"/>
      <w:marRight w:val="0"/>
      <w:marTop w:val="0"/>
      <w:marBottom w:val="0"/>
      <w:divBdr>
        <w:top w:val="none" w:sz="0" w:space="0" w:color="auto"/>
        <w:left w:val="none" w:sz="0" w:space="0" w:color="auto"/>
        <w:bottom w:val="none" w:sz="0" w:space="0" w:color="auto"/>
        <w:right w:val="none" w:sz="0" w:space="0" w:color="auto"/>
      </w:divBdr>
    </w:div>
    <w:div w:id="113255543">
      <w:bodyDiv w:val="1"/>
      <w:marLeft w:val="0"/>
      <w:marRight w:val="0"/>
      <w:marTop w:val="0"/>
      <w:marBottom w:val="0"/>
      <w:divBdr>
        <w:top w:val="none" w:sz="0" w:space="0" w:color="auto"/>
        <w:left w:val="none" w:sz="0" w:space="0" w:color="auto"/>
        <w:bottom w:val="none" w:sz="0" w:space="0" w:color="auto"/>
        <w:right w:val="none" w:sz="0" w:space="0" w:color="auto"/>
      </w:divBdr>
    </w:div>
    <w:div w:id="197817056">
      <w:bodyDiv w:val="1"/>
      <w:marLeft w:val="0"/>
      <w:marRight w:val="0"/>
      <w:marTop w:val="0"/>
      <w:marBottom w:val="0"/>
      <w:divBdr>
        <w:top w:val="none" w:sz="0" w:space="0" w:color="auto"/>
        <w:left w:val="none" w:sz="0" w:space="0" w:color="auto"/>
        <w:bottom w:val="none" w:sz="0" w:space="0" w:color="auto"/>
        <w:right w:val="none" w:sz="0" w:space="0" w:color="auto"/>
      </w:divBdr>
    </w:div>
    <w:div w:id="202835374">
      <w:bodyDiv w:val="1"/>
      <w:marLeft w:val="0"/>
      <w:marRight w:val="0"/>
      <w:marTop w:val="0"/>
      <w:marBottom w:val="0"/>
      <w:divBdr>
        <w:top w:val="none" w:sz="0" w:space="0" w:color="auto"/>
        <w:left w:val="none" w:sz="0" w:space="0" w:color="auto"/>
        <w:bottom w:val="none" w:sz="0" w:space="0" w:color="auto"/>
        <w:right w:val="none" w:sz="0" w:space="0" w:color="auto"/>
      </w:divBdr>
    </w:div>
    <w:div w:id="213126316">
      <w:bodyDiv w:val="1"/>
      <w:marLeft w:val="0"/>
      <w:marRight w:val="0"/>
      <w:marTop w:val="0"/>
      <w:marBottom w:val="0"/>
      <w:divBdr>
        <w:top w:val="none" w:sz="0" w:space="0" w:color="auto"/>
        <w:left w:val="none" w:sz="0" w:space="0" w:color="auto"/>
        <w:bottom w:val="none" w:sz="0" w:space="0" w:color="auto"/>
        <w:right w:val="none" w:sz="0" w:space="0" w:color="auto"/>
      </w:divBdr>
    </w:div>
    <w:div w:id="222954893">
      <w:bodyDiv w:val="1"/>
      <w:marLeft w:val="0"/>
      <w:marRight w:val="0"/>
      <w:marTop w:val="0"/>
      <w:marBottom w:val="0"/>
      <w:divBdr>
        <w:top w:val="none" w:sz="0" w:space="0" w:color="auto"/>
        <w:left w:val="none" w:sz="0" w:space="0" w:color="auto"/>
        <w:bottom w:val="none" w:sz="0" w:space="0" w:color="auto"/>
        <w:right w:val="none" w:sz="0" w:space="0" w:color="auto"/>
      </w:divBdr>
    </w:div>
    <w:div w:id="249626825">
      <w:bodyDiv w:val="1"/>
      <w:marLeft w:val="0"/>
      <w:marRight w:val="0"/>
      <w:marTop w:val="0"/>
      <w:marBottom w:val="0"/>
      <w:divBdr>
        <w:top w:val="none" w:sz="0" w:space="0" w:color="auto"/>
        <w:left w:val="none" w:sz="0" w:space="0" w:color="auto"/>
        <w:bottom w:val="none" w:sz="0" w:space="0" w:color="auto"/>
        <w:right w:val="none" w:sz="0" w:space="0" w:color="auto"/>
      </w:divBdr>
    </w:div>
    <w:div w:id="304093280">
      <w:bodyDiv w:val="1"/>
      <w:marLeft w:val="0"/>
      <w:marRight w:val="0"/>
      <w:marTop w:val="0"/>
      <w:marBottom w:val="0"/>
      <w:divBdr>
        <w:top w:val="none" w:sz="0" w:space="0" w:color="auto"/>
        <w:left w:val="none" w:sz="0" w:space="0" w:color="auto"/>
        <w:bottom w:val="none" w:sz="0" w:space="0" w:color="auto"/>
        <w:right w:val="none" w:sz="0" w:space="0" w:color="auto"/>
      </w:divBdr>
    </w:div>
    <w:div w:id="440687899">
      <w:bodyDiv w:val="1"/>
      <w:marLeft w:val="0"/>
      <w:marRight w:val="0"/>
      <w:marTop w:val="0"/>
      <w:marBottom w:val="0"/>
      <w:divBdr>
        <w:top w:val="none" w:sz="0" w:space="0" w:color="auto"/>
        <w:left w:val="none" w:sz="0" w:space="0" w:color="auto"/>
        <w:bottom w:val="none" w:sz="0" w:space="0" w:color="auto"/>
        <w:right w:val="none" w:sz="0" w:space="0" w:color="auto"/>
      </w:divBdr>
    </w:div>
    <w:div w:id="504173187">
      <w:bodyDiv w:val="1"/>
      <w:marLeft w:val="0"/>
      <w:marRight w:val="0"/>
      <w:marTop w:val="0"/>
      <w:marBottom w:val="0"/>
      <w:divBdr>
        <w:top w:val="none" w:sz="0" w:space="0" w:color="auto"/>
        <w:left w:val="none" w:sz="0" w:space="0" w:color="auto"/>
        <w:bottom w:val="none" w:sz="0" w:space="0" w:color="auto"/>
        <w:right w:val="none" w:sz="0" w:space="0" w:color="auto"/>
      </w:divBdr>
    </w:div>
    <w:div w:id="556550228">
      <w:bodyDiv w:val="1"/>
      <w:marLeft w:val="0"/>
      <w:marRight w:val="0"/>
      <w:marTop w:val="0"/>
      <w:marBottom w:val="0"/>
      <w:divBdr>
        <w:top w:val="none" w:sz="0" w:space="0" w:color="auto"/>
        <w:left w:val="none" w:sz="0" w:space="0" w:color="auto"/>
        <w:bottom w:val="none" w:sz="0" w:space="0" w:color="auto"/>
        <w:right w:val="none" w:sz="0" w:space="0" w:color="auto"/>
      </w:divBdr>
    </w:div>
    <w:div w:id="584613792">
      <w:bodyDiv w:val="1"/>
      <w:marLeft w:val="0"/>
      <w:marRight w:val="0"/>
      <w:marTop w:val="0"/>
      <w:marBottom w:val="0"/>
      <w:divBdr>
        <w:top w:val="none" w:sz="0" w:space="0" w:color="auto"/>
        <w:left w:val="none" w:sz="0" w:space="0" w:color="auto"/>
        <w:bottom w:val="none" w:sz="0" w:space="0" w:color="auto"/>
        <w:right w:val="none" w:sz="0" w:space="0" w:color="auto"/>
      </w:divBdr>
    </w:div>
    <w:div w:id="684596504">
      <w:bodyDiv w:val="1"/>
      <w:marLeft w:val="0"/>
      <w:marRight w:val="0"/>
      <w:marTop w:val="0"/>
      <w:marBottom w:val="0"/>
      <w:divBdr>
        <w:top w:val="none" w:sz="0" w:space="0" w:color="auto"/>
        <w:left w:val="none" w:sz="0" w:space="0" w:color="auto"/>
        <w:bottom w:val="none" w:sz="0" w:space="0" w:color="auto"/>
        <w:right w:val="none" w:sz="0" w:space="0" w:color="auto"/>
      </w:divBdr>
    </w:div>
    <w:div w:id="773672531">
      <w:bodyDiv w:val="1"/>
      <w:marLeft w:val="0"/>
      <w:marRight w:val="0"/>
      <w:marTop w:val="0"/>
      <w:marBottom w:val="0"/>
      <w:divBdr>
        <w:top w:val="none" w:sz="0" w:space="0" w:color="auto"/>
        <w:left w:val="none" w:sz="0" w:space="0" w:color="auto"/>
        <w:bottom w:val="none" w:sz="0" w:space="0" w:color="auto"/>
        <w:right w:val="none" w:sz="0" w:space="0" w:color="auto"/>
      </w:divBdr>
    </w:div>
    <w:div w:id="789515289">
      <w:bodyDiv w:val="1"/>
      <w:marLeft w:val="0"/>
      <w:marRight w:val="0"/>
      <w:marTop w:val="0"/>
      <w:marBottom w:val="0"/>
      <w:divBdr>
        <w:top w:val="none" w:sz="0" w:space="0" w:color="auto"/>
        <w:left w:val="none" w:sz="0" w:space="0" w:color="auto"/>
        <w:bottom w:val="none" w:sz="0" w:space="0" w:color="auto"/>
        <w:right w:val="none" w:sz="0" w:space="0" w:color="auto"/>
      </w:divBdr>
    </w:div>
    <w:div w:id="794177967">
      <w:bodyDiv w:val="1"/>
      <w:marLeft w:val="0"/>
      <w:marRight w:val="0"/>
      <w:marTop w:val="0"/>
      <w:marBottom w:val="0"/>
      <w:divBdr>
        <w:top w:val="none" w:sz="0" w:space="0" w:color="auto"/>
        <w:left w:val="none" w:sz="0" w:space="0" w:color="auto"/>
        <w:bottom w:val="none" w:sz="0" w:space="0" w:color="auto"/>
        <w:right w:val="none" w:sz="0" w:space="0" w:color="auto"/>
      </w:divBdr>
    </w:div>
    <w:div w:id="890963229">
      <w:bodyDiv w:val="1"/>
      <w:marLeft w:val="0"/>
      <w:marRight w:val="0"/>
      <w:marTop w:val="0"/>
      <w:marBottom w:val="0"/>
      <w:divBdr>
        <w:top w:val="none" w:sz="0" w:space="0" w:color="auto"/>
        <w:left w:val="none" w:sz="0" w:space="0" w:color="auto"/>
        <w:bottom w:val="none" w:sz="0" w:space="0" w:color="auto"/>
        <w:right w:val="none" w:sz="0" w:space="0" w:color="auto"/>
      </w:divBdr>
    </w:div>
    <w:div w:id="900869166">
      <w:bodyDiv w:val="1"/>
      <w:marLeft w:val="0"/>
      <w:marRight w:val="0"/>
      <w:marTop w:val="0"/>
      <w:marBottom w:val="0"/>
      <w:divBdr>
        <w:top w:val="none" w:sz="0" w:space="0" w:color="auto"/>
        <w:left w:val="none" w:sz="0" w:space="0" w:color="auto"/>
        <w:bottom w:val="none" w:sz="0" w:space="0" w:color="auto"/>
        <w:right w:val="none" w:sz="0" w:space="0" w:color="auto"/>
      </w:divBdr>
    </w:div>
    <w:div w:id="907037378">
      <w:bodyDiv w:val="1"/>
      <w:marLeft w:val="0"/>
      <w:marRight w:val="0"/>
      <w:marTop w:val="0"/>
      <w:marBottom w:val="0"/>
      <w:divBdr>
        <w:top w:val="none" w:sz="0" w:space="0" w:color="auto"/>
        <w:left w:val="none" w:sz="0" w:space="0" w:color="auto"/>
        <w:bottom w:val="none" w:sz="0" w:space="0" w:color="auto"/>
        <w:right w:val="none" w:sz="0" w:space="0" w:color="auto"/>
      </w:divBdr>
    </w:div>
    <w:div w:id="916472813">
      <w:bodyDiv w:val="1"/>
      <w:marLeft w:val="0"/>
      <w:marRight w:val="0"/>
      <w:marTop w:val="0"/>
      <w:marBottom w:val="0"/>
      <w:divBdr>
        <w:top w:val="none" w:sz="0" w:space="0" w:color="auto"/>
        <w:left w:val="none" w:sz="0" w:space="0" w:color="auto"/>
        <w:bottom w:val="none" w:sz="0" w:space="0" w:color="auto"/>
        <w:right w:val="none" w:sz="0" w:space="0" w:color="auto"/>
      </w:divBdr>
    </w:div>
    <w:div w:id="916864096">
      <w:bodyDiv w:val="1"/>
      <w:marLeft w:val="0"/>
      <w:marRight w:val="0"/>
      <w:marTop w:val="0"/>
      <w:marBottom w:val="0"/>
      <w:divBdr>
        <w:top w:val="none" w:sz="0" w:space="0" w:color="auto"/>
        <w:left w:val="none" w:sz="0" w:space="0" w:color="auto"/>
        <w:bottom w:val="none" w:sz="0" w:space="0" w:color="auto"/>
        <w:right w:val="none" w:sz="0" w:space="0" w:color="auto"/>
      </w:divBdr>
    </w:div>
    <w:div w:id="953171385">
      <w:bodyDiv w:val="1"/>
      <w:marLeft w:val="0"/>
      <w:marRight w:val="0"/>
      <w:marTop w:val="0"/>
      <w:marBottom w:val="0"/>
      <w:divBdr>
        <w:top w:val="none" w:sz="0" w:space="0" w:color="auto"/>
        <w:left w:val="none" w:sz="0" w:space="0" w:color="auto"/>
        <w:bottom w:val="none" w:sz="0" w:space="0" w:color="auto"/>
        <w:right w:val="none" w:sz="0" w:space="0" w:color="auto"/>
      </w:divBdr>
    </w:div>
    <w:div w:id="957295569">
      <w:bodyDiv w:val="1"/>
      <w:marLeft w:val="0"/>
      <w:marRight w:val="0"/>
      <w:marTop w:val="0"/>
      <w:marBottom w:val="0"/>
      <w:divBdr>
        <w:top w:val="none" w:sz="0" w:space="0" w:color="auto"/>
        <w:left w:val="none" w:sz="0" w:space="0" w:color="auto"/>
        <w:bottom w:val="none" w:sz="0" w:space="0" w:color="auto"/>
        <w:right w:val="none" w:sz="0" w:space="0" w:color="auto"/>
      </w:divBdr>
    </w:div>
    <w:div w:id="972174542">
      <w:bodyDiv w:val="1"/>
      <w:marLeft w:val="0"/>
      <w:marRight w:val="0"/>
      <w:marTop w:val="0"/>
      <w:marBottom w:val="0"/>
      <w:divBdr>
        <w:top w:val="none" w:sz="0" w:space="0" w:color="auto"/>
        <w:left w:val="none" w:sz="0" w:space="0" w:color="auto"/>
        <w:bottom w:val="none" w:sz="0" w:space="0" w:color="auto"/>
        <w:right w:val="none" w:sz="0" w:space="0" w:color="auto"/>
      </w:divBdr>
    </w:div>
    <w:div w:id="1003507363">
      <w:bodyDiv w:val="1"/>
      <w:marLeft w:val="0"/>
      <w:marRight w:val="0"/>
      <w:marTop w:val="0"/>
      <w:marBottom w:val="0"/>
      <w:divBdr>
        <w:top w:val="none" w:sz="0" w:space="0" w:color="auto"/>
        <w:left w:val="none" w:sz="0" w:space="0" w:color="auto"/>
        <w:bottom w:val="none" w:sz="0" w:space="0" w:color="auto"/>
        <w:right w:val="none" w:sz="0" w:space="0" w:color="auto"/>
      </w:divBdr>
    </w:div>
    <w:div w:id="1039205501">
      <w:bodyDiv w:val="1"/>
      <w:marLeft w:val="0"/>
      <w:marRight w:val="0"/>
      <w:marTop w:val="0"/>
      <w:marBottom w:val="0"/>
      <w:divBdr>
        <w:top w:val="none" w:sz="0" w:space="0" w:color="auto"/>
        <w:left w:val="none" w:sz="0" w:space="0" w:color="auto"/>
        <w:bottom w:val="none" w:sz="0" w:space="0" w:color="auto"/>
        <w:right w:val="none" w:sz="0" w:space="0" w:color="auto"/>
      </w:divBdr>
    </w:div>
    <w:div w:id="1076124176">
      <w:bodyDiv w:val="1"/>
      <w:marLeft w:val="0"/>
      <w:marRight w:val="0"/>
      <w:marTop w:val="0"/>
      <w:marBottom w:val="0"/>
      <w:divBdr>
        <w:top w:val="none" w:sz="0" w:space="0" w:color="auto"/>
        <w:left w:val="none" w:sz="0" w:space="0" w:color="auto"/>
        <w:bottom w:val="none" w:sz="0" w:space="0" w:color="auto"/>
        <w:right w:val="none" w:sz="0" w:space="0" w:color="auto"/>
      </w:divBdr>
    </w:div>
    <w:div w:id="1112165418">
      <w:bodyDiv w:val="1"/>
      <w:marLeft w:val="0"/>
      <w:marRight w:val="0"/>
      <w:marTop w:val="0"/>
      <w:marBottom w:val="0"/>
      <w:divBdr>
        <w:top w:val="none" w:sz="0" w:space="0" w:color="auto"/>
        <w:left w:val="none" w:sz="0" w:space="0" w:color="auto"/>
        <w:bottom w:val="none" w:sz="0" w:space="0" w:color="auto"/>
        <w:right w:val="none" w:sz="0" w:space="0" w:color="auto"/>
      </w:divBdr>
    </w:div>
    <w:div w:id="1157305739">
      <w:bodyDiv w:val="1"/>
      <w:marLeft w:val="0"/>
      <w:marRight w:val="0"/>
      <w:marTop w:val="0"/>
      <w:marBottom w:val="0"/>
      <w:divBdr>
        <w:top w:val="none" w:sz="0" w:space="0" w:color="auto"/>
        <w:left w:val="none" w:sz="0" w:space="0" w:color="auto"/>
        <w:bottom w:val="none" w:sz="0" w:space="0" w:color="auto"/>
        <w:right w:val="none" w:sz="0" w:space="0" w:color="auto"/>
      </w:divBdr>
    </w:div>
    <w:div w:id="1231381574">
      <w:bodyDiv w:val="1"/>
      <w:marLeft w:val="0"/>
      <w:marRight w:val="0"/>
      <w:marTop w:val="0"/>
      <w:marBottom w:val="0"/>
      <w:divBdr>
        <w:top w:val="none" w:sz="0" w:space="0" w:color="auto"/>
        <w:left w:val="none" w:sz="0" w:space="0" w:color="auto"/>
        <w:bottom w:val="none" w:sz="0" w:space="0" w:color="auto"/>
        <w:right w:val="none" w:sz="0" w:space="0" w:color="auto"/>
      </w:divBdr>
    </w:div>
    <w:div w:id="1236628815">
      <w:bodyDiv w:val="1"/>
      <w:marLeft w:val="0"/>
      <w:marRight w:val="0"/>
      <w:marTop w:val="0"/>
      <w:marBottom w:val="0"/>
      <w:divBdr>
        <w:top w:val="none" w:sz="0" w:space="0" w:color="auto"/>
        <w:left w:val="none" w:sz="0" w:space="0" w:color="auto"/>
        <w:bottom w:val="none" w:sz="0" w:space="0" w:color="auto"/>
        <w:right w:val="none" w:sz="0" w:space="0" w:color="auto"/>
      </w:divBdr>
    </w:div>
    <w:div w:id="1254630808">
      <w:bodyDiv w:val="1"/>
      <w:marLeft w:val="0"/>
      <w:marRight w:val="0"/>
      <w:marTop w:val="0"/>
      <w:marBottom w:val="0"/>
      <w:divBdr>
        <w:top w:val="none" w:sz="0" w:space="0" w:color="auto"/>
        <w:left w:val="none" w:sz="0" w:space="0" w:color="auto"/>
        <w:bottom w:val="none" w:sz="0" w:space="0" w:color="auto"/>
        <w:right w:val="none" w:sz="0" w:space="0" w:color="auto"/>
      </w:divBdr>
    </w:div>
    <w:div w:id="1327326070">
      <w:bodyDiv w:val="1"/>
      <w:marLeft w:val="0"/>
      <w:marRight w:val="0"/>
      <w:marTop w:val="0"/>
      <w:marBottom w:val="0"/>
      <w:divBdr>
        <w:top w:val="none" w:sz="0" w:space="0" w:color="auto"/>
        <w:left w:val="none" w:sz="0" w:space="0" w:color="auto"/>
        <w:bottom w:val="none" w:sz="0" w:space="0" w:color="auto"/>
        <w:right w:val="none" w:sz="0" w:space="0" w:color="auto"/>
      </w:divBdr>
    </w:div>
    <w:div w:id="1362439212">
      <w:bodyDiv w:val="1"/>
      <w:marLeft w:val="0"/>
      <w:marRight w:val="0"/>
      <w:marTop w:val="0"/>
      <w:marBottom w:val="0"/>
      <w:divBdr>
        <w:top w:val="none" w:sz="0" w:space="0" w:color="auto"/>
        <w:left w:val="none" w:sz="0" w:space="0" w:color="auto"/>
        <w:bottom w:val="none" w:sz="0" w:space="0" w:color="auto"/>
        <w:right w:val="none" w:sz="0" w:space="0" w:color="auto"/>
      </w:divBdr>
    </w:div>
    <w:div w:id="1499613935">
      <w:bodyDiv w:val="1"/>
      <w:marLeft w:val="0"/>
      <w:marRight w:val="0"/>
      <w:marTop w:val="0"/>
      <w:marBottom w:val="0"/>
      <w:divBdr>
        <w:top w:val="none" w:sz="0" w:space="0" w:color="auto"/>
        <w:left w:val="none" w:sz="0" w:space="0" w:color="auto"/>
        <w:bottom w:val="none" w:sz="0" w:space="0" w:color="auto"/>
        <w:right w:val="none" w:sz="0" w:space="0" w:color="auto"/>
      </w:divBdr>
    </w:div>
    <w:div w:id="1592397191">
      <w:bodyDiv w:val="1"/>
      <w:marLeft w:val="0"/>
      <w:marRight w:val="0"/>
      <w:marTop w:val="0"/>
      <w:marBottom w:val="0"/>
      <w:divBdr>
        <w:top w:val="none" w:sz="0" w:space="0" w:color="auto"/>
        <w:left w:val="none" w:sz="0" w:space="0" w:color="auto"/>
        <w:bottom w:val="none" w:sz="0" w:space="0" w:color="auto"/>
        <w:right w:val="none" w:sz="0" w:space="0" w:color="auto"/>
      </w:divBdr>
    </w:div>
    <w:div w:id="1595549677">
      <w:bodyDiv w:val="1"/>
      <w:marLeft w:val="0"/>
      <w:marRight w:val="0"/>
      <w:marTop w:val="0"/>
      <w:marBottom w:val="0"/>
      <w:divBdr>
        <w:top w:val="none" w:sz="0" w:space="0" w:color="auto"/>
        <w:left w:val="none" w:sz="0" w:space="0" w:color="auto"/>
        <w:bottom w:val="none" w:sz="0" w:space="0" w:color="auto"/>
        <w:right w:val="none" w:sz="0" w:space="0" w:color="auto"/>
      </w:divBdr>
    </w:div>
    <w:div w:id="1627272725">
      <w:bodyDiv w:val="1"/>
      <w:marLeft w:val="0"/>
      <w:marRight w:val="0"/>
      <w:marTop w:val="0"/>
      <w:marBottom w:val="0"/>
      <w:divBdr>
        <w:top w:val="none" w:sz="0" w:space="0" w:color="auto"/>
        <w:left w:val="none" w:sz="0" w:space="0" w:color="auto"/>
        <w:bottom w:val="none" w:sz="0" w:space="0" w:color="auto"/>
        <w:right w:val="none" w:sz="0" w:space="0" w:color="auto"/>
      </w:divBdr>
    </w:div>
    <w:div w:id="1692684345">
      <w:bodyDiv w:val="1"/>
      <w:marLeft w:val="0"/>
      <w:marRight w:val="0"/>
      <w:marTop w:val="0"/>
      <w:marBottom w:val="0"/>
      <w:divBdr>
        <w:top w:val="none" w:sz="0" w:space="0" w:color="auto"/>
        <w:left w:val="none" w:sz="0" w:space="0" w:color="auto"/>
        <w:bottom w:val="none" w:sz="0" w:space="0" w:color="auto"/>
        <w:right w:val="none" w:sz="0" w:space="0" w:color="auto"/>
      </w:divBdr>
    </w:div>
    <w:div w:id="1701661388">
      <w:bodyDiv w:val="1"/>
      <w:marLeft w:val="0"/>
      <w:marRight w:val="0"/>
      <w:marTop w:val="0"/>
      <w:marBottom w:val="0"/>
      <w:divBdr>
        <w:top w:val="none" w:sz="0" w:space="0" w:color="auto"/>
        <w:left w:val="none" w:sz="0" w:space="0" w:color="auto"/>
        <w:bottom w:val="none" w:sz="0" w:space="0" w:color="auto"/>
        <w:right w:val="none" w:sz="0" w:space="0" w:color="auto"/>
      </w:divBdr>
    </w:div>
    <w:div w:id="1790081860">
      <w:bodyDiv w:val="1"/>
      <w:marLeft w:val="0"/>
      <w:marRight w:val="0"/>
      <w:marTop w:val="0"/>
      <w:marBottom w:val="0"/>
      <w:divBdr>
        <w:top w:val="none" w:sz="0" w:space="0" w:color="auto"/>
        <w:left w:val="none" w:sz="0" w:space="0" w:color="auto"/>
        <w:bottom w:val="none" w:sz="0" w:space="0" w:color="auto"/>
        <w:right w:val="none" w:sz="0" w:space="0" w:color="auto"/>
      </w:divBdr>
    </w:div>
    <w:div w:id="1818759161">
      <w:bodyDiv w:val="1"/>
      <w:marLeft w:val="0"/>
      <w:marRight w:val="0"/>
      <w:marTop w:val="0"/>
      <w:marBottom w:val="0"/>
      <w:divBdr>
        <w:top w:val="none" w:sz="0" w:space="0" w:color="auto"/>
        <w:left w:val="none" w:sz="0" w:space="0" w:color="auto"/>
        <w:bottom w:val="none" w:sz="0" w:space="0" w:color="auto"/>
        <w:right w:val="none" w:sz="0" w:space="0" w:color="auto"/>
      </w:divBdr>
    </w:div>
    <w:div w:id="1831364171">
      <w:bodyDiv w:val="1"/>
      <w:marLeft w:val="0"/>
      <w:marRight w:val="0"/>
      <w:marTop w:val="0"/>
      <w:marBottom w:val="0"/>
      <w:divBdr>
        <w:top w:val="none" w:sz="0" w:space="0" w:color="auto"/>
        <w:left w:val="none" w:sz="0" w:space="0" w:color="auto"/>
        <w:bottom w:val="none" w:sz="0" w:space="0" w:color="auto"/>
        <w:right w:val="none" w:sz="0" w:space="0" w:color="auto"/>
      </w:divBdr>
    </w:div>
    <w:div w:id="1879394879">
      <w:bodyDiv w:val="1"/>
      <w:marLeft w:val="0"/>
      <w:marRight w:val="0"/>
      <w:marTop w:val="0"/>
      <w:marBottom w:val="0"/>
      <w:divBdr>
        <w:top w:val="none" w:sz="0" w:space="0" w:color="auto"/>
        <w:left w:val="none" w:sz="0" w:space="0" w:color="auto"/>
        <w:bottom w:val="none" w:sz="0" w:space="0" w:color="auto"/>
        <w:right w:val="none" w:sz="0" w:space="0" w:color="auto"/>
      </w:divBdr>
    </w:div>
    <w:div w:id="1900938190">
      <w:bodyDiv w:val="1"/>
      <w:marLeft w:val="0"/>
      <w:marRight w:val="0"/>
      <w:marTop w:val="0"/>
      <w:marBottom w:val="0"/>
      <w:divBdr>
        <w:top w:val="none" w:sz="0" w:space="0" w:color="auto"/>
        <w:left w:val="none" w:sz="0" w:space="0" w:color="auto"/>
        <w:bottom w:val="none" w:sz="0" w:space="0" w:color="auto"/>
        <w:right w:val="none" w:sz="0" w:space="0" w:color="auto"/>
      </w:divBdr>
    </w:div>
    <w:div w:id="1922791543">
      <w:bodyDiv w:val="1"/>
      <w:marLeft w:val="0"/>
      <w:marRight w:val="0"/>
      <w:marTop w:val="0"/>
      <w:marBottom w:val="0"/>
      <w:divBdr>
        <w:top w:val="none" w:sz="0" w:space="0" w:color="auto"/>
        <w:left w:val="none" w:sz="0" w:space="0" w:color="auto"/>
        <w:bottom w:val="none" w:sz="0" w:space="0" w:color="auto"/>
        <w:right w:val="none" w:sz="0" w:space="0" w:color="auto"/>
      </w:divBdr>
    </w:div>
    <w:div w:id="1931503990">
      <w:bodyDiv w:val="1"/>
      <w:marLeft w:val="0"/>
      <w:marRight w:val="0"/>
      <w:marTop w:val="0"/>
      <w:marBottom w:val="0"/>
      <w:divBdr>
        <w:top w:val="none" w:sz="0" w:space="0" w:color="auto"/>
        <w:left w:val="none" w:sz="0" w:space="0" w:color="auto"/>
        <w:bottom w:val="none" w:sz="0" w:space="0" w:color="auto"/>
        <w:right w:val="none" w:sz="0" w:space="0" w:color="auto"/>
      </w:divBdr>
    </w:div>
    <w:div w:id="1958877341">
      <w:bodyDiv w:val="1"/>
      <w:marLeft w:val="0"/>
      <w:marRight w:val="0"/>
      <w:marTop w:val="0"/>
      <w:marBottom w:val="0"/>
      <w:divBdr>
        <w:top w:val="none" w:sz="0" w:space="0" w:color="auto"/>
        <w:left w:val="none" w:sz="0" w:space="0" w:color="auto"/>
        <w:bottom w:val="none" w:sz="0" w:space="0" w:color="auto"/>
        <w:right w:val="none" w:sz="0" w:space="0" w:color="auto"/>
      </w:divBdr>
    </w:div>
    <w:div w:id="1984043899">
      <w:bodyDiv w:val="1"/>
      <w:marLeft w:val="0"/>
      <w:marRight w:val="0"/>
      <w:marTop w:val="0"/>
      <w:marBottom w:val="0"/>
      <w:divBdr>
        <w:top w:val="none" w:sz="0" w:space="0" w:color="auto"/>
        <w:left w:val="none" w:sz="0" w:space="0" w:color="auto"/>
        <w:bottom w:val="none" w:sz="0" w:space="0" w:color="auto"/>
        <w:right w:val="none" w:sz="0" w:space="0" w:color="auto"/>
      </w:divBdr>
    </w:div>
    <w:div w:id="1990090732">
      <w:bodyDiv w:val="1"/>
      <w:marLeft w:val="0"/>
      <w:marRight w:val="0"/>
      <w:marTop w:val="0"/>
      <w:marBottom w:val="0"/>
      <w:divBdr>
        <w:top w:val="none" w:sz="0" w:space="0" w:color="auto"/>
        <w:left w:val="none" w:sz="0" w:space="0" w:color="auto"/>
        <w:bottom w:val="none" w:sz="0" w:space="0" w:color="auto"/>
        <w:right w:val="none" w:sz="0" w:space="0" w:color="auto"/>
      </w:divBdr>
    </w:div>
    <w:div w:id="2070761801">
      <w:bodyDiv w:val="1"/>
      <w:marLeft w:val="0"/>
      <w:marRight w:val="0"/>
      <w:marTop w:val="0"/>
      <w:marBottom w:val="0"/>
      <w:divBdr>
        <w:top w:val="none" w:sz="0" w:space="0" w:color="auto"/>
        <w:left w:val="none" w:sz="0" w:space="0" w:color="auto"/>
        <w:bottom w:val="none" w:sz="0" w:space="0" w:color="auto"/>
        <w:right w:val="none" w:sz="0" w:space="0" w:color="auto"/>
      </w:divBdr>
    </w:div>
    <w:div w:id="213097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https://bahcesehir-my.sharepoint.com/personal/ozan_bakis_eas_bau_edu_tr/Documents/betam_ortak/buyume_degerlendirme/buy_deg_tablolar_english.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bahcesehir-my.sharepoint.com/personal/ozan_bakis_eas_bau_edu_tr/Documents/betam_ortak/buyume_degerlendirme/buy_deg_tablolar_english.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bahcesehir-my.sharepoint.com/personal/ozan_bakis_eas_bau_edu_tr/Documents/betam_ortak/buyume_degerlendirme/buy_deg_tablolar_english.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1559328916529464E-2"/>
          <c:y val="4.4989760562368787E-2"/>
          <c:w val="0.88106997882817872"/>
          <c:h val="0.81498580906371376"/>
        </c:manualLayout>
      </c:layout>
      <c:barChart>
        <c:barDir val="col"/>
        <c:grouping val="clustered"/>
        <c:varyColors val="0"/>
        <c:ser>
          <c:idx val="0"/>
          <c:order val="0"/>
          <c:tx>
            <c:strRef>
              <c:f>'2022Q2'!$E$3</c:f>
              <c:strCache>
                <c:ptCount val="1"/>
                <c:pt idx="0">
                  <c:v>Change (%)</c:v>
                </c:pt>
              </c:strCache>
            </c:strRef>
          </c:tx>
          <c:spPr>
            <a:solidFill>
              <a:schemeClr val="accent1"/>
            </a:solidFill>
            <a:ln>
              <a:noFill/>
            </a:ln>
            <a:effectLst/>
          </c:spPr>
          <c:invertIfNegative val="0"/>
          <c:dPt>
            <c:idx val="0"/>
            <c:invertIfNegative val="0"/>
            <c:bubble3D val="0"/>
            <c:spPr>
              <a:solidFill>
                <a:schemeClr val="accent1"/>
              </a:solidFill>
              <a:ln>
                <a:noFill/>
              </a:ln>
              <a:effectLst/>
            </c:spPr>
            <c:extLst>
              <c:ext xmlns:c16="http://schemas.microsoft.com/office/drawing/2014/chart" uri="{C3380CC4-5D6E-409C-BE32-E72D297353CC}">
                <c16:uniqueId val="{00000001-E0AC-4D9C-A87E-3F9C6E8EB510}"/>
              </c:ext>
            </c:extLst>
          </c:dPt>
          <c:dPt>
            <c:idx val="1"/>
            <c:invertIfNegative val="0"/>
            <c:bubble3D val="0"/>
            <c:spPr>
              <a:solidFill>
                <a:schemeClr val="accent1"/>
              </a:solidFill>
              <a:ln>
                <a:noFill/>
              </a:ln>
              <a:effectLst/>
            </c:spPr>
            <c:extLst>
              <c:ext xmlns:c16="http://schemas.microsoft.com/office/drawing/2014/chart" uri="{C3380CC4-5D6E-409C-BE32-E72D297353CC}">
                <c16:uniqueId val="{00000003-E0AC-4D9C-A87E-3F9C6E8EB510}"/>
              </c:ext>
            </c:extLst>
          </c:dPt>
          <c:dPt>
            <c:idx val="2"/>
            <c:invertIfNegative val="0"/>
            <c:bubble3D val="0"/>
            <c:spPr>
              <a:solidFill>
                <a:schemeClr val="accent1"/>
              </a:solidFill>
              <a:ln>
                <a:noFill/>
              </a:ln>
              <a:effectLst/>
            </c:spPr>
            <c:extLst>
              <c:ext xmlns:c16="http://schemas.microsoft.com/office/drawing/2014/chart" uri="{C3380CC4-5D6E-409C-BE32-E72D297353CC}">
                <c16:uniqueId val="{00000005-E0AC-4D9C-A87E-3F9C6E8EB510}"/>
              </c:ext>
            </c:extLst>
          </c:dPt>
          <c:dPt>
            <c:idx val="3"/>
            <c:invertIfNegative val="0"/>
            <c:bubble3D val="0"/>
            <c:spPr>
              <a:solidFill>
                <a:schemeClr val="accent1"/>
              </a:solidFill>
              <a:ln>
                <a:noFill/>
              </a:ln>
              <a:effectLst/>
            </c:spPr>
            <c:extLst>
              <c:ext xmlns:c16="http://schemas.microsoft.com/office/drawing/2014/chart" uri="{C3380CC4-5D6E-409C-BE32-E72D297353CC}">
                <c16:uniqueId val="{00000007-E0AC-4D9C-A87E-3F9C6E8EB510}"/>
              </c:ext>
            </c:extLst>
          </c:dPt>
          <c:dPt>
            <c:idx val="4"/>
            <c:invertIfNegative val="0"/>
            <c:bubble3D val="0"/>
            <c:spPr>
              <a:solidFill>
                <a:schemeClr val="accent1"/>
              </a:solidFill>
              <a:ln>
                <a:noFill/>
              </a:ln>
              <a:effectLst/>
            </c:spPr>
            <c:extLst>
              <c:ext xmlns:c16="http://schemas.microsoft.com/office/drawing/2014/chart" uri="{C3380CC4-5D6E-409C-BE32-E72D297353CC}">
                <c16:uniqueId val="{00000009-E0AC-4D9C-A87E-3F9C6E8EB510}"/>
              </c:ext>
            </c:extLst>
          </c:dPt>
          <c:dPt>
            <c:idx val="5"/>
            <c:invertIfNegative val="0"/>
            <c:bubble3D val="0"/>
            <c:spPr>
              <a:solidFill>
                <a:schemeClr val="accent1"/>
              </a:solidFill>
              <a:ln>
                <a:noFill/>
              </a:ln>
              <a:effectLst/>
            </c:spPr>
            <c:extLst>
              <c:ext xmlns:c16="http://schemas.microsoft.com/office/drawing/2014/chart" uri="{C3380CC4-5D6E-409C-BE32-E72D297353CC}">
                <c16:uniqueId val="{0000000B-E0AC-4D9C-A87E-3F9C6E8EB510}"/>
              </c:ext>
            </c:extLst>
          </c:dPt>
          <c:dLbls>
            <c:spPr>
              <a:noFill/>
              <a:ln>
                <a:noFill/>
              </a:ln>
              <a:effectLst/>
            </c:spPr>
            <c:txPr>
              <a:bodyPr rot="0" spcFirstLastPara="1" vertOverflow="ellipsis" vert="horz" wrap="square" anchor="ctr" anchorCtr="1"/>
              <a:lstStyle/>
              <a:p>
                <a:pPr>
                  <a:defRPr sz="8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xmlns:c15="http://schemas.microsoft.com/office/drawing/2012/chart" uri="{02D57815-91ED-43cb-92C2-25804820EDAC}">
                  <c15:fullRef>
                    <c15:sqref>'2022Q2'!$B$22:$B$28</c15:sqref>
                  </c15:fullRef>
                </c:ext>
              </c:extLst>
              <c:f>('2022Q2'!$B$22:$B$24,'2022Q2'!$B$26:$B$28)</c:f>
              <c:strCache>
                <c:ptCount val="6"/>
                <c:pt idx="0">
                  <c:v>Consumption</c:v>
                </c:pt>
                <c:pt idx="1">
                  <c:v>Government Spending</c:v>
                </c:pt>
                <c:pt idx="2">
                  <c:v>Investment</c:v>
                </c:pt>
                <c:pt idx="3">
                  <c:v>Export</c:v>
                </c:pt>
                <c:pt idx="4">
                  <c:v>Import</c:v>
                </c:pt>
                <c:pt idx="5">
                  <c:v>GDP</c:v>
                </c:pt>
              </c:strCache>
            </c:strRef>
          </c:cat>
          <c:val>
            <c:numRef>
              <c:extLst>
                <c:ext xmlns:c15="http://schemas.microsoft.com/office/drawing/2012/chart" uri="{02D57815-91ED-43cb-92C2-25804820EDAC}">
                  <c15:fullRef>
                    <c15:sqref>'2022Q2'!$E$4:$E$10</c15:sqref>
                  </c15:fullRef>
                </c:ext>
              </c:extLst>
              <c:f>('2022Q2'!$E$4:$E$6,'2022Q2'!$E$8:$E$10)</c:f>
              <c:numCache>
                <c:formatCode>0.0</c:formatCode>
                <c:ptCount val="6"/>
                <c:pt idx="0">
                  <c:v>22.538647371369169</c:v>
                </c:pt>
                <c:pt idx="1">
                  <c:v>2.283740843732307</c:v>
                </c:pt>
                <c:pt idx="2">
                  <c:v>4.660079302852238</c:v>
                </c:pt>
                <c:pt idx="3">
                  <c:v>16.396017629449268</c:v>
                </c:pt>
                <c:pt idx="4">
                  <c:v>5.7836429995119509</c:v>
                </c:pt>
                <c:pt idx="5">
                  <c:v>7.578584744048622</c:v>
                </c:pt>
              </c:numCache>
            </c:numRef>
          </c:val>
          <c:extLst>
            <c:ext xmlns:c16="http://schemas.microsoft.com/office/drawing/2014/chart" uri="{C3380CC4-5D6E-409C-BE32-E72D297353CC}">
              <c16:uniqueId val="{0000000C-E0AC-4D9C-A87E-3F9C6E8EB510}"/>
            </c:ext>
          </c:extLst>
        </c:ser>
        <c:dLbls>
          <c:dLblPos val="outEnd"/>
          <c:showLegendKey val="0"/>
          <c:showVal val="1"/>
          <c:showCatName val="0"/>
          <c:showSerName val="0"/>
          <c:showPercent val="0"/>
          <c:showBubbleSize val="0"/>
        </c:dLbls>
        <c:gapWidth val="219"/>
        <c:overlap val="-27"/>
        <c:axId val="1487485792"/>
        <c:axId val="1486137568"/>
      </c:barChart>
      <c:catAx>
        <c:axId val="1487485792"/>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1" i="0" u="none" strike="noStrike" kern="1200" baseline="0">
                <a:solidFill>
                  <a:schemeClr val="tx1">
                    <a:lumMod val="65000"/>
                    <a:lumOff val="35000"/>
                  </a:schemeClr>
                </a:solidFill>
                <a:latin typeface="+mn-lt"/>
                <a:ea typeface="+mn-ea"/>
                <a:cs typeface="+mn-cs"/>
              </a:defRPr>
            </a:pPr>
            <a:endParaRPr lang="en-US"/>
          </a:p>
        </c:txPr>
        <c:crossAx val="1486137568"/>
        <c:crosses val="autoZero"/>
        <c:auto val="1"/>
        <c:lblAlgn val="ctr"/>
        <c:lblOffset val="1"/>
        <c:noMultiLvlLbl val="0"/>
      </c:catAx>
      <c:valAx>
        <c:axId val="1486137568"/>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mn-lt"/>
                <a:ea typeface="+mn-ea"/>
                <a:cs typeface="+mn-cs"/>
              </a:defRPr>
            </a:pPr>
            <a:endParaRPr lang="en-US"/>
          </a:p>
        </c:txPr>
        <c:crossAx val="14874857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b="1"/>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'2022Q2'!$F$3</c:f>
              <c:strCache>
                <c:ptCount val="1"/>
                <c:pt idx="0">
                  <c:v>Contribution (%)</c:v>
                </c:pt>
              </c:strCache>
            </c:strRef>
          </c:tx>
          <c:spPr>
            <a:solidFill>
              <a:schemeClr val="accent1"/>
            </a:solidFill>
            <a:ln>
              <a:noFill/>
            </a:ln>
            <a:effectLst/>
          </c:spPr>
          <c:invertIfNegative val="0"/>
          <c:dPt>
            <c:idx val="0"/>
            <c:invertIfNegative val="0"/>
            <c:bubble3D val="0"/>
            <c:spPr>
              <a:solidFill>
                <a:schemeClr val="accent1"/>
              </a:solidFill>
              <a:ln>
                <a:noFill/>
              </a:ln>
              <a:effectLst/>
            </c:spPr>
            <c:extLst>
              <c:ext xmlns:c16="http://schemas.microsoft.com/office/drawing/2014/chart" uri="{C3380CC4-5D6E-409C-BE32-E72D297353CC}">
                <c16:uniqueId val="{00000001-695C-4DFE-8460-597B886A0DE0}"/>
              </c:ext>
            </c:extLst>
          </c:dPt>
          <c:dPt>
            <c:idx val="1"/>
            <c:invertIfNegative val="0"/>
            <c:bubble3D val="0"/>
            <c:spPr>
              <a:solidFill>
                <a:schemeClr val="accent1"/>
              </a:solidFill>
              <a:ln>
                <a:noFill/>
              </a:ln>
              <a:effectLst/>
            </c:spPr>
            <c:extLst>
              <c:ext xmlns:c16="http://schemas.microsoft.com/office/drawing/2014/chart" uri="{C3380CC4-5D6E-409C-BE32-E72D297353CC}">
                <c16:uniqueId val="{00000003-695C-4DFE-8460-597B886A0DE0}"/>
              </c:ext>
            </c:extLst>
          </c:dPt>
          <c:dPt>
            <c:idx val="2"/>
            <c:invertIfNegative val="0"/>
            <c:bubble3D val="0"/>
            <c:spPr>
              <a:solidFill>
                <a:schemeClr val="accent1"/>
              </a:solidFill>
              <a:ln>
                <a:noFill/>
              </a:ln>
              <a:effectLst/>
            </c:spPr>
            <c:extLst>
              <c:ext xmlns:c16="http://schemas.microsoft.com/office/drawing/2014/chart" uri="{C3380CC4-5D6E-409C-BE32-E72D297353CC}">
                <c16:uniqueId val="{00000005-695C-4DFE-8460-597B886A0DE0}"/>
              </c:ext>
            </c:extLst>
          </c:dPt>
          <c:dPt>
            <c:idx val="3"/>
            <c:invertIfNegative val="0"/>
            <c:bubble3D val="0"/>
            <c:spPr>
              <a:solidFill>
                <a:srgbClr val="FF0000"/>
              </a:solidFill>
              <a:ln>
                <a:noFill/>
              </a:ln>
              <a:effectLst/>
            </c:spPr>
            <c:extLst>
              <c:ext xmlns:c16="http://schemas.microsoft.com/office/drawing/2014/chart" uri="{C3380CC4-5D6E-409C-BE32-E72D297353CC}">
                <c16:uniqueId val="{00000007-695C-4DFE-8460-597B886A0DE0}"/>
              </c:ext>
            </c:extLst>
          </c:dPt>
          <c:dPt>
            <c:idx val="4"/>
            <c:invertIfNegative val="0"/>
            <c:bubble3D val="0"/>
            <c:spPr>
              <a:solidFill>
                <a:schemeClr val="accent1"/>
              </a:solidFill>
              <a:ln>
                <a:solidFill>
                  <a:schemeClr val="accent1"/>
                </a:solidFill>
              </a:ln>
              <a:effectLst/>
            </c:spPr>
            <c:extLst>
              <c:ext xmlns:c16="http://schemas.microsoft.com/office/drawing/2014/chart" uri="{C3380CC4-5D6E-409C-BE32-E72D297353CC}">
                <c16:uniqueId val="{00000009-695C-4DFE-8460-597B886A0DE0}"/>
              </c:ext>
            </c:extLst>
          </c:dPt>
          <c:dPt>
            <c:idx val="5"/>
            <c:invertIfNegative val="0"/>
            <c:bubble3D val="0"/>
            <c:spPr>
              <a:solidFill>
                <a:srgbClr val="FF0000"/>
              </a:solidFill>
              <a:ln>
                <a:noFill/>
              </a:ln>
              <a:effectLst/>
            </c:spPr>
            <c:extLst>
              <c:ext xmlns:c16="http://schemas.microsoft.com/office/drawing/2014/chart" uri="{C3380CC4-5D6E-409C-BE32-E72D297353CC}">
                <c16:uniqueId val="{0000000B-695C-4DFE-8460-597B886A0DE0}"/>
              </c:ext>
            </c:extLst>
          </c:dPt>
          <c:dLbls>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'2022Q2'!$B$4:$B$10</c:f>
              <c:strCache>
                <c:ptCount val="7"/>
                <c:pt idx="0">
                  <c:v>Consumption</c:v>
                </c:pt>
                <c:pt idx="1">
                  <c:v>Government Spending</c:v>
                </c:pt>
                <c:pt idx="2">
                  <c:v>Investment</c:v>
                </c:pt>
                <c:pt idx="3">
                  <c:v>Change in Inventories</c:v>
                </c:pt>
                <c:pt idx="4">
                  <c:v>Export</c:v>
                </c:pt>
                <c:pt idx="5">
                  <c:v>Import</c:v>
                </c:pt>
                <c:pt idx="6">
                  <c:v>GDP</c:v>
                </c:pt>
              </c:strCache>
            </c:strRef>
          </c:cat>
          <c:val>
            <c:numRef>
              <c:f>'2022Q2'!$F$4:$F$9</c:f>
              <c:numCache>
                <c:formatCode>0.0</c:formatCode>
                <c:ptCount val="6"/>
                <c:pt idx="0">
                  <c:v>12.271643003994811</c:v>
                </c:pt>
                <c:pt idx="1">
                  <c:v>0.29249127866077868</c:v>
                </c:pt>
                <c:pt idx="2">
                  <c:v>1.4368433842440891</c:v>
                </c:pt>
                <c:pt idx="3">
                  <c:v>-10.253652703812531</c:v>
                </c:pt>
                <c:pt idx="4">
                  <c:v>5.6685242822157269</c:v>
                </c:pt>
                <c:pt idx="5">
                  <c:v>-1.8372645012542339</c:v>
                </c:pt>
              </c:numCache>
            </c:numRef>
          </c:val>
          <c:extLst>
            <c:ext xmlns:c16="http://schemas.microsoft.com/office/drawing/2014/chart" uri="{C3380CC4-5D6E-409C-BE32-E72D297353CC}">
              <c16:uniqueId val="{0000000C-695C-4DFE-8460-597B886A0DE0}"/>
            </c:ext>
          </c:extLst>
        </c:ser>
        <c:dLbls>
          <c:dLblPos val="outEnd"/>
          <c:showLegendKey val="0"/>
          <c:showVal val="1"/>
          <c:showCatName val="0"/>
          <c:showSerName val="0"/>
          <c:showPercent val="0"/>
          <c:showBubbleSize val="0"/>
        </c:dLbls>
        <c:gapWidth val="219"/>
        <c:overlap val="-27"/>
        <c:axId val="1487158688"/>
        <c:axId val="1328452304"/>
      </c:barChart>
      <c:catAx>
        <c:axId val="1487158688"/>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1" i="0" u="none" strike="noStrike" kern="1200" baseline="0">
                <a:solidFill>
                  <a:schemeClr val="tx1">
                    <a:lumMod val="65000"/>
                    <a:lumOff val="35000"/>
                  </a:schemeClr>
                </a:solidFill>
                <a:latin typeface="+mn-lt"/>
                <a:ea typeface="+mn-ea"/>
                <a:cs typeface="+mn-cs"/>
              </a:defRPr>
            </a:pPr>
            <a:endParaRPr lang="en-US"/>
          </a:p>
        </c:txPr>
        <c:crossAx val="1328452304"/>
        <c:crosses val="autoZero"/>
        <c:auto val="1"/>
        <c:lblAlgn val="ctr"/>
        <c:lblOffset val="100"/>
        <c:noMultiLvlLbl val="0"/>
      </c:catAx>
      <c:valAx>
        <c:axId val="1328452304"/>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mn-lt"/>
                <a:ea typeface="+mn-ea"/>
                <a:cs typeface="+mn-cs"/>
              </a:defRPr>
            </a:pPr>
            <a:endParaRPr lang="en-US"/>
          </a:p>
        </c:txPr>
        <c:crossAx val="1487158688"/>
        <c:crosses val="autoZero"/>
        <c:crossBetween val="between"/>
      </c:valAx>
      <c:spPr>
        <a:noFill/>
        <a:ln w="25400">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'2022Q2'!$E$32</c:f>
              <c:strCache>
                <c:ptCount val="1"/>
                <c:pt idx="0">
                  <c:v>Annual Change</c:v>
                </c:pt>
              </c:strCache>
            </c:strRef>
          </c:tx>
          <c:spPr>
            <a:solidFill>
              <a:schemeClr val="accent1"/>
            </a:solidFill>
            <a:ln>
              <a:noFill/>
            </a:ln>
            <a:effectLst/>
          </c:spPr>
          <c:invertIfNegative val="0"/>
          <c:cat>
            <c:strRef>
              <c:f>'2022Q2'!$A$39:$A$62</c:f>
              <c:strCache>
                <c:ptCount val="24"/>
                <c:pt idx="0">
                  <c:v>2016Q3</c:v>
                </c:pt>
                <c:pt idx="1">
                  <c:v>2016Q4</c:v>
                </c:pt>
                <c:pt idx="2">
                  <c:v>2017Q1</c:v>
                </c:pt>
                <c:pt idx="3">
                  <c:v>2017Q2</c:v>
                </c:pt>
                <c:pt idx="4">
                  <c:v>2017Q3</c:v>
                </c:pt>
                <c:pt idx="5">
                  <c:v>2017Q4</c:v>
                </c:pt>
                <c:pt idx="6">
                  <c:v>2018Q1</c:v>
                </c:pt>
                <c:pt idx="7">
                  <c:v>2018Q2</c:v>
                </c:pt>
                <c:pt idx="8">
                  <c:v>2018Q3</c:v>
                </c:pt>
                <c:pt idx="9">
                  <c:v>2018Q4</c:v>
                </c:pt>
                <c:pt idx="10">
                  <c:v>2019Q1</c:v>
                </c:pt>
                <c:pt idx="11">
                  <c:v>2019Q2</c:v>
                </c:pt>
                <c:pt idx="12">
                  <c:v>2019Q3</c:v>
                </c:pt>
                <c:pt idx="13">
                  <c:v>2019Q4</c:v>
                </c:pt>
                <c:pt idx="14">
                  <c:v>2020Q1</c:v>
                </c:pt>
                <c:pt idx="15">
                  <c:v>2020Q2</c:v>
                </c:pt>
                <c:pt idx="16">
                  <c:v>2020Q3</c:v>
                </c:pt>
                <c:pt idx="17">
                  <c:v>2020Q4</c:v>
                </c:pt>
                <c:pt idx="18">
                  <c:v>2021Q1</c:v>
                </c:pt>
                <c:pt idx="19">
                  <c:v>2021Q2</c:v>
                </c:pt>
                <c:pt idx="20">
                  <c:v>2021Q3</c:v>
                </c:pt>
                <c:pt idx="21">
                  <c:v>2021Q4</c:v>
                </c:pt>
                <c:pt idx="22">
                  <c:v>2022Q1</c:v>
                </c:pt>
                <c:pt idx="23">
                  <c:v>2022Q2</c:v>
                </c:pt>
              </c:strCache>
            </c:strRef>
          </c:cat>
          <c:val>
            <c:numRef>
              <c:f>'2022Q2'!$E$39:$E$62</c:f>
              <c:numCache>
                <c:formatCode>0.0</c:formatCode>
                <c:ptCount val="24"/>
                <c:pt idx="0">
                  <c:v>-0.66916264538373627</c:v>
                </c:pt>
                <c:pt idx="1">
                  <c:v>4.4311945807482322</c:v>
                </c:pt>
                <c:pt idx="2">
                  <c:v>5.2908425432556472</c:v>
                </c:pt>
                <c:pt idx="3">
                  <c:v>5.3018811864605109</c:v>
                </c:pt>
                <c:pt idx="4">
                  <c:v>11.790057801663067</c:v>
                </c:pt>
                <c:pt idx="5">
                  <c:v>7.268453394698593</c:v>
                </c:pt>
                <c:pt idx="6">
                  <c:v>7.4790849570820495</c:v>
                </c:pt>
                <c:pt idx="7">
                  <c:v>5.8373529623979348</c:v>
                </c:pt>
                <c:pt idx="8">
                  <c:v>2.4970675554269572</c:v>
                </c:pt>
                <c:pt idx="9">
                  <c:v>-2.6385699021583275</c:v>
                </c:pt>
                <c:pt idx="10">
                  <c:v>-2.5584144346031623</c:v>
                </c:pt>
                <c:pt idx="11">
                  <c:v>-1.6606138131681103</c:v>
                </c:pt>
                <c:pt idx="12">
                  <c:v>0.93738377656722438</c:v>
                </c:pt>
                <c:pt idx="13">
                  <c:v>5.8947299681534782</c:v>
                </c:pt>
                <c:pt idx="14">
                  <c:v>4.4297179508610007</c:v>
                </c:pt>
                <c:pt idx="15">
                  <c:v>-10.287252031670214</c:v>
                </c:pt>
                <c:pt idx="16">
                  <c:v>6.5133513599918036</c:v>
                </c:pt>
                <c:pt idx="17">
                  <c:v>6.3597059018903224</c:v>
                </c:pt>
                <c:pt idx="18">
                  <c:v>7.5074170898249637</c:v>
                </c:pt>
                <c:pt idx="19">
                  <c:v>22.246406064977343</c:v>
                </c:pt>
                <c:pt idx="20">
                  <c:v>7.8917487901841499</c:v>
                </c:pt>
                <c:pt idx="21">
                  <c:v>9.5968538971011661</c:v>
                </c:pt>
                <c:pt idx="22">
                  <c:v>7.4702588408402715</c:v>
                </c:pt>
                <c:pt idx="23">
                  <c:v>7.578584744048622</c:v>
                </c:pt>
              </c:numCache>
            </c:numRef>
          </c:val>
          <c:extLst>
            <c:ext xmlns:c16="http://schemas.microsoft.com/office/drawing/2014/chart" uri="{C3380CC4-5D6E-409C-BE32-E72D297353CC}">
              <c16:uniqueId val="{00000000-B088-4D17-9F8E-A3E3F48BEEC3}"/>
            </c:ext>
          </c:extLst>
        </c:ser>
        <c:dLbls>
          <c:showLegendKey val="0"/>
          <c:showVal val="0"/>
          <c:showCatName val="0"/>
          <c:showSerName val="0"/>
          <c:showPercent val="0"/>
          <c:showBubbleSize val="0"/>
        </c:dLbls>
        <c:gapWidth val="75"/>
        <c:overlap val="-25"/>
        <c:axId val="1487177488"/>
        <c:axId val="1328466992"/>
      </c:barChart>
      <c:lineChart>
        <c:grouping val="standard"/>
        <c:varyColors val="0"/>
        <c:ser>
          <c:idx val="1"/>
          <c:order val="1"/>
          <c:tx>
            <c:strRef>
              <c:f>'2022Q2'!$F$32</c:f>
              <c:strCache>
                <c:ptCount val="1"/>
                <c:pt idx="0">
                  <c:v>Quarter Change</c:v>
                </c:pt>
              </c:strCache>
            </c:strRef>
          </c:tx>
          <c:spPr>
            <a:ln w="25400" cap="rnd">
              <a:solidFill>
                <a:schemeClr val="tx1"/>
              </a:solidFill>
              <a:round/>
            </a:ln>
            <a:effectLst/>
          </c:spPr>
          <c:marker>
            <c:symbol val="none"/>
          </c:marker>
          <c:cat>
            <c:strRef>
              <c:f>'2022Q2'!$A$39:$A$62</c:f>
              <c:strCache>
                <c:ptCount val="24"/>
                <c:pt idx="0">
                  <c:v>2016Q3</c:v>
                </c:pt>
                <c:pt idx="1">
                  <c:v>2016Q4</c:v>
                </c:pt>
                <c:pt idx="2">
                  <c:v>2017Q1</c:v>
                </c:pt>
                <c:pt idx="3">
                  <c:v>2017Q2</c:v>
                </c:pt>
                <c:pt idx="4">
                  <c:v>2017Q3</c:v>
                </c:pt>
                <c:pt idx="5">
                  <c:v>2017Q4</c:v>
                </c:pt>
                <c:pt idx="6">
                  <c:v>2018Q1</c:v>
                </c:pt>
                <c:pt idx="7">
                  <c:v>2018Q2</c:v>
                </c:pt>
                <c:pt idx="8">
                  <c:v>2018Q3</c:v>
                </c:pt>
                <c:pt idx="9">
                  <c:v>2018Q4</c:v>
                </c:pt>
                <c:pt idx="10">
                  <c:v>2019Q1</c:v>
                </c:pt>
                <c:pt idx="11">
                  <c:v>2019Q2</c:v>
                </c:pt>
                <c:pt idx="12">
                  <c:v>2019Q3</c:v>
                </c:pt>
                <c:pt idx="13">
                  <c:v>2019Q4</c:v>
                </c:pt>
                <c:pt idx="14">
                  <c:v>2020Q1</c:v>
                </c:pt>
                <c:pt idx="15">
                  <c:v>2020Q2</c:v>
                </c:pt>
                <c:pt idx="16">
                  <c:v>2020Q3</c:v>
                </c:pt>
                <c:pt idx="17">
                  <c:v>2020Q4</c:v>
                </c:pt>
                <c:pt idx="18">
                  <c:v>2021Q1</c:v>
                </c:pt>
                <c:pt idx="19">
                  <c:v>2021Q2</c:v>
                </c:pt>
                <c:pt idx="20">
                  <c:v>2021Q3</c:v>
                </c:pt>
                <c:pt idx="21">
                  <c:v>2021Q4</c:v>
                </c:pt>
                <c:pt idx="22">
                  <c:v>2022Q1</c:v>
                </c:pt>
                <c:pt idx="23">
                  <c:v>2022Q2</c:v>
                </c:pt>
              </c:strCache>
            </c:strRef>
          </c:cat>
          <c:val>
            <c:numRef>
              <c:f>'2022Q2'!$F$39:$F$62</c:f>
              <c:numCache>
                <c:formatCode>0.0</c:formatCode>
                <c:ptCount val="24"/>
                <c:pt idx="0">
                  <c:v>-2.8676734614659694</c:v>
                </c:pt>
                <c:pt idx="1">
                  <c:v>5.5096116443495324</c:v>
                </c:pt>
                <c:pt idx="2">
                  <c:v>1.368865259222618</c:v>
                </c:pt>
                <c:pt idx="3">
                  <c:v>2.2803188216812265</c:v>
                </c:pt>
                <c:pt idx="4">
                  <c:v>1.515918557513718</c:v>
                </c:pt>
                <c:pt idx="5">
                  <c:v>1.8827611322633553</c:v>
                </c:pt>
                <c:pt idx="6">
                  <c:v>1.4687431302132792</c:v>
                </c:pt>
                <c:pt idx="7">
                  <c:v>0.65752178788840432</c:v>
                </c:pt>
                <c:pt idx="8">
                  <c:v>-1.6279355144123486</c:v>
                </c:pt>
                <c:pt idx="9">
                  <c:v>-3.1841153368222574</c:v>
                </c:pt>
                <c:pt idx="10">
                  <c:v>1.8777893627963671</c:v>
                </c:pt>
                <c:pt idx="11">
                  <c:v>2.5678003132384219</c:v>
                </c:pt>
                <c:pt idx="12">
                  <c:v>-0.35290778459662331</c:v>
                </c:pt>
                <c:pt idx="13">
                  <c:v>1.2799084485346723</c:v>
                </c:pt>
                <c:pt idx="14">
                  <c:v>0.84932546643585738</c:v>
                </c:pt>
                <c:pt idx="15">
                  <c:v>-10.371752589236927</c:v>
                </c:pt>
                <c:pt idx="16">
                  <c:v>15.649317790807004</c:v>
                </c:pt>
                <c:pt idx="17">
                  <c:v>1.0846477656639042</c:v>
                </c:pt>
                <c:pt idx="18">
                  <c:v>2.6166590695453573</c:v>
                </c:pt>
                <c:pt idx="19">
                  <c:v>1.9949569992060434</c:v>
                </c:pt>
                <c:pt idx="20">
                  <c:v>2.7144828244644925</c:v>
                </c:pt>
                <c:pt idx="21">
                  <c:v>1.5756383914333538</c:v>
                </c:pt>
                <c:pt idx="22">
                  <c:v>0.67392449478380634</c:v>
                </c:pt>
                <c:pt idx="23">
                  <c:v>2.0699273423802511</c:v>
                </c:pt>
              </c:numCache>
            </c:numRef>
          </c:val>
          <c:smooth val="0"/>
          <c:extLst>
            <c:ext xmlns:c16="http://schemas.microsoft.com/office/drawing/2014/chart" uri="{C3380CC4-5D6E-409C-BE32-E72D297353CC}">
              <c16:uniqueId val="{00000001-B088-4D17-9F8E-A3E3F48BEEC3}"/>
            </c:ext>
          </c:extLst>
        </c:ser>
        <c:dLbls>
          <c:showLegendKey val="0"/>
          <c:showVal val="0"/>
          <c:showCatName val="0"/>
          <c:showSerName val="0"/>
          <c:showPercent val="0"/>
          <c:showBubbleSize val="0"/>
        </c:dLbls>
        <c:marker val="1"/>
        <c:smooth val="0"/>
        <c:axId val="1487177488"/>
        <c:axId val="1328466992"/>
      </c:lineChart>
      <c:catAx>
        <c:axId val="14871774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1328466992"/>
        <c:crosses val="autoZero"/>
        <c:auto val="1"/>
        <c:lblAlgn val="ctr"/>
        <c:lblOffset val="100"/>
        <c:noMultiLvlLbl val="0"/>
      </c:catAx>
      <c:valAx>
        <c:axId val="132846699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w="25400" cap="flat" cmpd="sng" algn="ctr">
            <a:no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8717748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6330E-9911-40E1-8076-C34DABF6F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625</TotalTime>
  <Pages>4</Pages>
  <Words>711</Words>
  <Characters>4111</Characters>
  <Application>Microsoft Office Word</Application>
  <DocSecurity>0</DocSecurity>
  <Lines>205</Lines>
  <Paragraphs>126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Ozan BAKIS</dc:creator>
  <cp:lastModifiedBy>Ugurcan ACAR</cp:lastModifiedBy>
  <cp:revision>57</cp:revision>
  <cp:lastPrinted>2022-09-26T12:41:00Z</cp:lastPrinted>
  <dcterms:created xsi:type="dcterms:W3CDTF">2021-09-28T13:00:00Z</dcterms:created>
  <dcterms:modified xsi:type="dcterms:W3CDTF">2022-09-26T12:42:00Z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0b41929a76fdc369c11536293068787720530d83219c8f9e2dbef719bc8724fa</vt:lpwstr>
  </property>
</Properties>
</file>