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4896E9A8" w:rsidR="00D07713" w:rsidRPr="00D07713" w:rsidRDefault="00EB5882"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5</w:t>
                            </w:r>
                            <w:r w:rsidR="006F0FC6">
                              <w:rPr>
                                <w:rFonts w:ascii="Arial" w:eastAsia="Times New Roman" w:hAnsi="Arial" w:cs="Arial"/>
                                <w:b/>
                                <w:bCs/>
                                <w:color w:val="FFFFFF"/>
                                <w:sz w:val="22"/>
                                <w:szCs w:val="22"/>
                                <w:lang w:eastAsia="ar-SA"/>
                              </w:rPr>
                              <w:t xml:space="preserve"> </w:t>
                            </w:r>
                            <w:r w:rsidR="00FA2070">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" stroked="f">
                <v:fill opacity="0"/>
                <v:textbox inset="0,0,0,0">
                  <w:txbxContent>
                    <w:p w14:paraId="5B0CFDC6" w14:textId="4896E9A8" w:rsidR="00D07713" w:rsidRPr="00D07713" w:rsidRDefault="00EB5882"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5</w:t>
                      </w:r>
                      <w:bookmarkStart w:id="1" w:name="_GoBack"/>
                      <w:bookmarkEnd w:id="1"/>
                      <w:r w:rsidR="006F0FC6">
                        <w:rPr>
                          <w:rFonts w:ascii="Arial" w:eastAsia="Times New Roman" w:hAnsi="Arial" w:cs="Arial"/>
                          <w:b/>
                          <w:bCs/>
                          <w:color w:val="FFFFFF"/>
                          <w:sz w:val="22"/>
                          <w:szCs w:val="22"/>
                          <w:lang w:eastAsia="ar-SA"/>
                        </w:rPr>
                        <w:t xml:space="preserve"> </w:t>
                      </w:r>
                      <w:r w:rsidR="00FA2070">
                        <w:rPr>
                          <w:rFonts w:ascii="Arial" w:eastAsia="Times New Roman" w:hAnsi="Arial" w:cs="Arial"/>
                          <w:b/>
                          <w:bCs/>
                          <w:color w:val="FFFFFF"/>
                          <w:sz w:val="22"/>
                          <w:szCs w:val="22"/>
                          <w:lang w:eastAsia="ar-SA"/>
                        </w:rPr>
                        <w:t>Eylül</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rPr>
        <mc:AlternateContent>
          <mc:Choice Requires="wps">
            <w:drawing>
              <wp:anchor distT="0" distB="0" distL="114935" distR="114935" simplePos="0" relativeHeight="251656704"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2608D72"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FA2070">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71AF94" id="Text Box 2" o:spid="_x0000_s1027" type="#_x0000_t202" style="position:absolute;margin-left:107.65pt;margin-top:-55.85pt;width:300.75pt;height:5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52608D72"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FA2070">
                        <w:rPr>
                          <w:rFonts w:ascii="Times New Roman" w:hAnsi="Times New Roman" w:cs="Times New Roman"/>
                          <w:sz w:val="40"/>
                          <w:szCs w:val="40"/>
                        </w:rPr>
                        <w:t>2</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rPr>
        <w:drawing>
          <wp:anchor distT="0" distB="0" distL="114300" distR="114300" simplePos="0" relativeHeight="251655680"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6E503C94" w:rsidR="0002466A" w:rsidRPr="0002466A" w:rsidRDefault="0002466A" w:rsidP="0002466A">
      <w:pPr>
        <w:spacing w:line="288" w:lineRule="auto"/>
        <w:ind w:right="-319"/>
        <w:jc w:val="center"/>
        <w:outlineLvl w:val="0"/>
        <w:rPr>
          <w:rFonts w:ascii="Palatino Linotype" w:hAnsi="Palatino Linotype" w:cstheme="minorHAnsi"/>
          <w:b/>
          <w:bCs/>
          <w:sz w:val="28"/>
          <w:szCs w:val="28"/>
        </w:rPr>
      </w:pPr>
      <w:r w:rsidRPr="00432B76">
        <w:rPr>
          <w:rFonts w:ascii="Palatino Linotype" w:hAnsi="Palatino Linotype" w:cstheme="minorHAnsi"/>
          <w:b/>
          <w:bCs/>
          <w:sz w:val="28"/>
          <w:szCs w:val="28"/>
        </w:rPr>
        <w:t>BÜYÜME</w:t>
      </w:r>
      <w:r w:rsidR="008E4870" w:rsidRPr="00432B76">
        <w:rPr>
          <w:rFonts w:ascii="Palatino Linotype" w:hAnsi="Palatino Linotype" w:cstheme="minorHAnsi"/>
          <w:b/>
          <w:bCs/>
          <w:sz w:val="28"/>
          <w:szCs w:val="28"/>
        </w:rPr>
        <w:t>Yİ</w:t>
      </w:r>
      <w:r w:rsidR="000D5974" w:rsidRPr="00432B76">
        <w:rPr>
          <w:rFonts w:ascii="Palatino Linotype" w:hAnsi="Palatino Linotype" w:cstheme="minorHAnsi"/>
          <w:b/>
          <w:bCs/>
          <w:sz w:val="28"/>
          <w:szCs w:val="28"/>
        </w:rPr>
        <w:t xml:space="preserve"> </w:t>
      </w:r>
      <w:r w:rsidR="004126A2" w:rsidRPr="00432B76">
        <w:rPr>
          <w:rFonts w:ascii="Palatino Linotype" w:hAnsi="Palatino Linotype" w:cstheme="minorHAnsi"/>
          <w:b/>
          <w:bCs/>
          <w:sz w:val="28"/>
          <w:szCs w:val="28"/>
        </w:rPr>
        <w:t>ÖZEL TÜKETİM VE İHRACAT SIRTLADI</w:t>
      </w:r>
    </w:p>
    <w:p w14:paraId="428E7403" w14:textId="2D72E974" w:rsidR="00D07713" w:rsidRPr="0002466A" w:rsidRDefault="00D07713" w:rsidP="004623F2">
      <w:pPr>
        <w:spacing w:line="288" w:lineRule="auto"/>
        <w:ind w:right="-319"/>
        <w:jc w:val="center"/>
        <w:outlineLvl w:val="0"/>
        <w:rPr>
          <w:rFonts w:ascii="Palatino Linotype" w:hAnsi="Palatino Linotype" w:cstheme="minorHAnsi"/>
        </w:rPr>
      </w:pPr>
      <w:r w:rsidRPr="0002466A">
        <w:rPr>
          <w:rFonts w:ascii="Palatino Linotype" w:hAnsi="Palatino Linotype" w:cstheme="minorHAnsi"/>
          <w:b/>
          <w:bCs/>
          <w:sz w:val="22"/>
          <w:szCs w:val="22"/>
        </w:rPr>
        <w:t>Ozan Bakış</w:t>
      </w:r>
      <w:r w:rsidR="00C32789" w:rsidRPr="0002466A">
        <w:rPr>
          <w:rStyle w:val="FootnoteReference"/>
          <w:rFonts w:ascii="Palatino Linotype" w:hAnsi="Palatino Linotype" w:cstheme="minorHAnsi"/>
          <w:b/>
          <w:bCs/>
          <w:sz w:val="22"/>
          <w:szCs w:val="22"/>
        </w:rPr>
        <w:footnoteReference w:id="1"/>
      </w:r>
      <w:r w:rsidR="001537D8" w:rsidRPr="0002466A">
        <w:rPr>
          <w:rFonts w:ascii="Palatino Linotype" w:hAnsi="Palatino Linotype" w:cstheme="minorHAnsi"/>
          <w:b/>
          <w:bCs/>
          <w:sz w:val="22"/>
          <w:szCs w:val="22"/>
        </w:rPr>
        <w:t xml:space="preserve"> ve </w:t>
      </w:r>
      <w:r w:rsidR="00E7272A">
        <w:rPr>
          <w:rFonts w:ascii="Palatino Linotype" w:hAnsi="Palatino Linotype" w:cstheme="minorHAnsi"/>
          <w:b/>
          <w:bCs/>
          <w:sz w:val="22"/>
          <w:szCs w:val="22"/>
        </w:rPr>
        <w:t>Uğurcan Acar</w:t>
      </w:r>
      <w:r w:rsidR="001537D8" w:rsidRPr="0002466A">
        <w:rPr>
          <w:rStyle w:val="FootnoteReference"/>
          <w:rFonts w:ascii="Palatino Linotype" w:hAnsi="Palatino Linotype" w:cstheme="minorHAnsi"/>
          <w:b/>
          <w:bCs/>
          <w:sz w:val="22"/>
          <w:szCs w:val="22"/>
        </w:rPr>
        <w:footnoteReference w:id="2"/>
      </w:r>
    </w:p>
    <w:p w14:paraId="6E057918" w14:textId="77777777" w:rsidR="00405BD8" w:rsidRPr="0002466A" w:rsidRDefault="00405BD8" w:rsidP="00751F72">
      <w:pPr>
        <w:jc w:val="center"/>
        <w:rPr>
          <w:rFonts w:ascii="Palatino Linotype" w:hAnsi="Palatino Linotype" w:cstheme="minorHAnsi"/>
          <w:b/>
          <w:sz w:val="22"/>
          <w:szCs w:val="22"/>
        </w:rPr>
      </w:pPr>
    </w:p>
    <w:p w14:paraId="2F0E4C03" w14:textId="77777777" w:rsidR="00C34D9B" w:rsidRDefault="00D257C1" w:rsidP="00C34D9B">
      <w:pPr>
        <w:spacing w:line="360" w:lineRule="auto"/>
        <w:jc w:val="center"/>
        <w:rPr>
          <w:rFonts w:ascii="Palatino Linotype" w:hAnsi="Palatino Linotype" w:cstheme="minorHAnsi"/>
          <w:b/>
          <w:sz w:val="22"/>
          <w:szCs w:val="22"/>
        </w:rPr>
      </w:pPr>
      <w:r w:rsidRPr="0002466A">
        <w:rPr>
          <w:rFonts w:ascii="Palatino Linotype" w:hAnsi="Palatino Linotype" w:cstheme="minorHAnsi"/>
          <w:b/>
          <w:sz w:val="22"/>
          <w:szCs w:val="22"/>
        </w:rPr>
        <w:t>Yönetici</w:t>
      </w:r>
      <w:r w:rsidR="00C86475" w:rsidRPr="0002466A">
        <w:rPr>
          <w:rFonts w:ascii="Palatino Linotype" w:hAnsi="Palatino Linotype" w:cstheme="minorHAnsi"/>
          <w:b/>
          <w:sz w:val="22"/>
          <w:szCs w:val="22"/>
        </w:rPr>
        <w:t xml:space="preserve"> </w:t>
      </w:r>
      <w:r w:rsidRPr="0002466A">
        <w:rPr>
          <w:rFonts w:ascii="Palatino Linotype" w:hAnsi="Palatino Linotype" w:cstheme="minorHAnsi"/>
          <w:b/>
          <w:sz w:val="22"/>
          <w:szCs w:val="22"/>
        </w:rPr>
        <w:t>Özeti</w:t>
      </w:r>
      <w:bookmarkStart w:id="0" w:name="OLE_LINK5"/>
      <w:bookmarkStart w:id="1" w:name="OLE_LINK6"/>
    </w:p>
    <w:p w14:paraId="49621AB2" w14:textId="2BFE3CC6" w:rsidR="009A3D0F" w:rsidRDefault="00DD1374" w:rsidP="00C34D9B">
      <w:pPr>
        <w:spacing w:line="360" w:lineRule="auto"/>
        <w:jc w:val="both"/>
        <w:rPr>
          <w:rFonts w:ascii="Palatino Linotype" w:hAnsi="Palatino Linotype" w:cstheme="minorHAnsi"/>
          <w:sz w:val="22"/>
          <w:szCs w:val="22"/>
        </w:rPr>
      </w:pPr>
      <w:r>
        <w:rPr>
          <w:rFonts w:ascii="Palatino Linotype" w:hAnsi="Palatino Linotype" w:cstheme="minorHAnsi"/>
          <w:sz w:val="22"/>
          <w:szCs w:val="22"/>
        </w:rPr>
        <w:t xml:space="preserve">Türkiye </w:t>
      </w:r>
      <w:r w:rsidRPr="005E0D21">
        <w:rPr>
          <w:rFonts w:ascii="Palatino Linotype" w:hAnsi="Palatino Linotype" w:cstheme="minorHAnsi"/>
          <w:sz w:val="22"/>
          <w:szCs w:val="22"/>
        </w:rPr>
        <w:t>ekonomisi 202</w:t>
      </w:r>
      <w:r w:rsidR="005D0E8C">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5D0E8C">
        <w:rPr>
          <w:rFonts w:ascii="Palatino Linotype" w:hAnsi="Palatino Linotype" w:cstheme="minorHAnsi"/>
          <w:sz w:val="22"/>
          <w:szCs w:val="22"/>
        </w:rPr>
        <w:t>i</w:t>
      </w:r>
      <w:r w:rsidR="006825C1">
        <w:rPr>
          <w:rFonts w:ascii="Palatino Linotype" w:hAnsi="Palatino Linotype" w:cstheme="minorHAnsi"/>
          <w:sz w:val="22"/>
          <w:szCs w:val="22"/>
        </w:rPr>
        <w:t>kinci</w:t>
      </w:r>
      <w:r w:rsidRPr="005E0D21">
        <w:rPr>
          <w:rFonts w:ascii="Palatino Linotype" w:hAnsi="Palatino Linotype" w:cstheme="minorHAnsi"/>
          <w:sz w:val="22"/>
          <w:szCs w:val="22"/>
        </w:rPr>
        <w:t xml:space="preserve"> çeyreğinde yüzde </w:t>
      </w:r>
      <w:r w:rsidR="005D0E8C">
        <w:rPr>
          <w:rFonts w:ascii="Palatino Linotype" w:hAnsi="Palatino Linotype" w:cstheme="minorHAnsi"/>
          <w:sz w:val="22"/>
          <w:szCs w:val="22"/>
        </w:rPr>
        <w:t>7</w:t>
      </w:r>
      <w:r w:rsidRPr="005E0D21">
        <w:rPr>
          <w:rFonts w:ascii="Palatino Linotype" w:hAnsi="Palatino Linotype" w:cstheme="minorHAnsi"/>
          <w:sz w:val="22"/>
          <w:szCs w:val="22"/>
        </w:rPr>
        <w:t>,</w:t>
      </w:r>
      <w:r w:rsidR="006825C1">
        <w:rPr>
          <w:rFonts w:ascii="Palatino Linotype" w:hAnsi="Palatino Linotype" w:cstheme="minorHAnsi"/>
          <w:sz w:val="22"/>
          <w:szCs w:val="22"/>
        </w:rPr>
        <w:t>6</w:t>
      </w:r>
      <w:r w:rsidRPr="005E0D21">
        <w:rPr>
          <w:rFonts w:ascii="Palatino Linotype" w:hAnsi="Palatino Linotype" w:cstheme="minorHAnsi"/>
          <w:sz w:val="22"/>
          <w:szCs w:val="22"/>
        </w:rPr>
        <w:t xml:space="preserve"> büyüdü. Bu çeyrekte büyümeye </w:t>
      </w:r>
      <w:r w:rsidR="00AC59ED" w:rsidRPr="005E0D21">
        <w:rPr>
          <w:rFonts w:ascii="Palatino Linotype" w:hAnsi="Palatino Linotype" w:cstheme="minorHAnsi"/>
          <w:sz w:val="22"/>
          <w:szCs w:val="22"/>
        </w:rPr>
        <w:t xml:space="preserve">en büyük katkı </w:t>
      </w:r>
      <w:r w:rsidR="006C1ABC">
        <w:rPr>
          <w:rFonts w:ascii="Palatino Linotype" w:hAnsi="Palatino Linotype" w:cstheme="minorHAnsi"/>
          <w:sz w:val="22"/>
          <w:szCs w:val="22"/>
        </w:rPr>
        <w:t>1</w:t>
      </w:r>
      <w:r w:rsidR="00C2295B">
        <w:rPr>
          <w:rFonts w:ascii="Palatino Linotype" w:hAnsi="Palatino Linotype" w:cstheme="minorHAnsi"/>
          <w:sz w:val="22"/>
          <w:szCs w:val="22"/>
        </w:rPr>
        <w:t>2</w:t>
      </w:r>
      <w:r w:rsidR="006C1ABC">
        <w:rPr>
          <w:rFonts w:ascii="Palatino Linotype" w:hAnsi="Palatino Linotype" w:cstheme="minorHAnsi"/>
          <w:sz w:val="22"/>
          <w:szCs w:val="22"/>
        </w:rPr>
        <w:t>,</w:t>
      </w:r>
      <w:r w:rsidR="00C2295B">
        <w:rPr>
          <w:rFonts w:ascii="Palatino Linotype" w:hAnsi="Palatino Linotype" w:cstheme="minorHAnsi"/>
          <w:sz w:val="22"/>
          <w:szCs w:val="22"/>
        </w:rPr>
        <w:t>3</w:t>
      </w:r>
      <w:r w:rsidR="006C1ABC">
        <w:rPr>
          <w:rFonts w:ascii="Palatino Linotype" w:hAnsi="Palatino Linotype" w:cstheme="minorHAnsi"/>
          <w:sz w:val="22"/>
          <w:szCs w:val="22"/>
        </w:rPr>
        <w:t xml:space="preserve"> yüzde puan ile özel tüketimden</w:t>
      </w:r>
      <w:r w:rsidRPr="005E0D21">
        <w:rPr>
          <w:rFonts w:ascii="Palatino Linotype" w:hAnsi="Palatino Linotype" w:cstheme="minorHAnsi"/>
          <w:sz w:val="22"/>
          <w:szCs w:val="22"/>
        </w:rPr>
        <w:t xml:space="preserve"> geldi</w:t>
      </w:r>
      <w:r w:rsidR="00AC59ED" w:rsidRPr="005E0D21">
        <w:rPr>
          <w:rFonts w:ascii="Palatino Linotype" w:hAnsi="Palatino Linotype" w:cstheme="minorHAnsi"/>
          <w:sz w:val="22"/>
          <w:szCs w:val="22"/>
        </w:rPr>
        <w:t xml:space="preserve">. </w:t>
      </w:r>
      <w:bookmarkStart w:id="2" w:name="OLE_LINK9"/>
      <w:bookmarkStart w:id="3" w:name="OLE_LINK10"/>
      <w:r w:rsidR="005D0E8C">
        <w:rPr>
          <w:rFonts w:ascii="Palatino Linotype" w:hAnsi="Palatino Linotype" w:cstheme="minorHAnsi"/>
          <w:sz w:val="22"/>
          <w:szCs w:val="22"/>
        </w:rPr>
        <w:t>D</w:t>
      </w:r>
      <w:r w:rsidR="006C1ABC">
        <w:rPr>
          <w:rFonts w:ascii="Palatino Linotype" w:hAnsi="Palatino Linotype" w:cstheme="minorHAnsi"/>
          <w:sz w:val="22"/>
          <w:szCs w:val="22"/>
        </w:rPr>
        <w:t xml:space="preserve">ış ticaret katkısı </w:t>
      </w:r>
      <w:r w:rsidR="00C2295B">
        <w:rPr>
          <w:rFonts w:ascii="Palatino Linotype" w:hAnsi="Palatino Linotype" w:cstheme="minorHAnsi"/>
          <w:sz w:val="22"/>
          <w:szCs w:val="22"/>
        </w:rPr>
        <w:t>bu</w:t>
      </w:r>
      <w:r w:rsidR="005D0E8C">
        <w:rPr>
          <w:rFonts w:ascii="Palatino Linotype" w:hAnsi="Palatino Linotype" w:cstheme="minorHAnsi"/>
          <w:sz w:val="22"/>
          <w:szCs w:val="22"/>
        </w:rPr>
        <w:t xml:space="preserve"> çeyrekte</w:t>
      </w:r>
      <w:r w:rsidR="00EF6FEB">
        <w:rPr>
          <w:rFonts w:ascii="Palatino Linotype" w:hAnsi="Palatino Linotype" w:cstheme="minorHAnsi"/>
          <w:sz w:val="22"/>
          <w:szCs w:val="22"/>
        </w:rPr>
        <w:t xml:space="preserve"> 3</w:t>
      </w:r>
      <w:r w:rsidR="005D0E8C">
        <w:rPr>
          <w:rFonts w:ascii="Palatino Linotype" w:hAnsi="Palatino Linotype" w:cstheme="minorHAnsi"/>
          <w:sz w:val="22"/>
          <w:szCs w:val="22"/>
        </w:rPr>
        <w:t>,9</w:t>
      </w:r>
      <w:r w:rsidR="006C1ABC">
        <w:rPr>
          <w:rFonts w:ascii="Palatino Linotype" w:hAnsi="Palatino Linotype" w:cstheme="minorHAnsi"/>
          <w:sz w:val="22"/>
          <w:szCs w:val="22"/>
        </w:rPr>
        <w:t xml:space="preserve"> yüzde puan</w:t>
      </w:r>
      <w:r w:rsidR="005D0E8C">
        <w:rPr>
          <w:rFonts w:ascii="Palatino Linotype" w:hAnsi="Palatino Linotype" w:cstheme="minorHAnsi"/>
          <w:sz w:val="22"/>
          <w:szCs w:val="22"/>
        </w:rPr>
        <w:t xml:space="preserve"> </w:t>
      </w:r>
      <w:bookmarkEnd w:id="2"/>
      <w:bookmarkEnd w:id="3"/>
      <w:r w:rsidR="005D0E8C">
        <w:rPr>
          <w:rFonts w:ascii="Palatino Linotype" w:hAnsi="Palatino Linotype" w:cstheme="minorHAnsi"/>
          <w:sz w:val="22"/>
          <w:szCs w:val="22"/>
        </w:rPr>
        <w:t>olarak gerçekleşti</w:t>
      </w:r>
      <w:r w:rsidR="006C1ABC">
        <w:rPr>
          <w:rFonts w:ascii="Palatino Linotype" w:hAnsi="Palatino Linotype" w:cstheme="minorHAnsi"/>
          <w:sz w:val="22"/>
          <w:szCs w:val="22"/>
        </w:rPr>
        <w:t xml:space="preserve">. </w:t>
      </w:r>
      <w:r w:rsidR="005D0E8C">
        <w:rPr>
          <w:rFonts w:ascii="Palatino Linotype" w:hAnsi="Palatino Linotype" w:cstheme="minorHAnsi"/>
          <w:sz w:val="22"/>
          <w:szCs w:val="22"/>
        </w:rPr>
        <w:t>Stok değişimi</w:t>
      </w:r>
      <w:r w:rsidR="004B5355">
        <w:rPr>
          <w:rFonts w:ascii="Palatino Linotype" w:hAnsi="Palatino Linotype" w:cstheme="minorHAnsi"/>
          <w:sz w:val="22"/>
          <w:szCs w:val="22"/>
        </w:rPr>
        <w:t xml:space="preserve"> büyümey</w:t>
      </w:r>
      <w:r w:rsidR="00117128">
        <w:rPr>
          <w:rFonts w:ascii="Palatino Linotype" w:hAnsi="Palatino Linotype" w:cstheme="minorHAnsi"/>
          <w:sz w:val="22"/>
          <w:szCs w:val="22"/>
        </w:rPr>
        <w:t>i</w:t>
      </w:r>
      <w:r w:rsidR="005D0E8C">
        <w:rPr>
          <w:rFonts w:ascii="Palatino Linotype" w:hAnsi="Palatino Linotype" w:cstheme="minorHAnsi"/>
          <w:sz w:val="22"/>
          <w:szCs w:val="22"/>
        </w:rPr>
        <w:t xml:space="preserve"> </w:t>
      </w:r>
      <w:r w:rsidR="00DB320D">
        <w:rPr>
          <w:rFonts w:ascii="Palatino Linotype" w:hAnsi="Palatino Linotype" w:cstheme="minorHAnsi"/>
          <w:sz w:val="22"/>
          <w:szCs w:val="22"/>
        </w:rPr>
        <w:t>10,3</w:t>
      </w:r>
      <w:r w:rsidR="005D0E8C">
        <w:rPr>
          <w:rFonts w:ascii="Palatino Linotype" w:hAnsi="Palatino Linotype" w:cstheme="minorHAnsi"/>
          <w:sz w:val="22"/>
          <w:szCs w:val="22"/>
        </w:rPr>
        <w:t xml:space="preserve"> yüzde puan </w:t>
      </w:r>
      <w:r w:rsidR="00117128">
        <w:rPr>
          <w:rFonts w:ascii="Palatino Linotype" w:hAnsi="Palatino Linotype" w:cstheme="minorHAnsi"/>
          <w:sz w:val="22"/>
          <w:szCs w:val="22"/>
        </w:rPr>
        <w:t>düşürdü</w:t>
      </w:r>
      <w:r w:rsidR="005D0E8C">
        <w:rPr>
          <w:rFonts w:ascii="Palatino Linotype" w:hAnsi="Palatino Linotype" w:cstheme="minorHAnsi"/>
          <w:sz w:val="22"/>
          <w:szCs w:val="22"/>
        </w:rPr>
        <w:t xml:space="preserve">. </w:t>
      </w:r>
      <w:r w:rsidR="00AC59ED" w:rsidRPr="005E0D21">
        <w:rPr>
          <w:rFonts w:ascii="Palatino Linotype" w:hAnsi="Palatino Linotype" w:cstheme="minorHAnsi"/>
          <w:sz w:val="22"/>
          <w:szCs w:val="22"/>
        </w:rPr>
        <w:t xml:space="preserve">Mevsim ve takvim etkisinden arındırılmış serilere </w:t>
      </w:r>
      <w:r w:rsidR="005D0E8C">
        <w:rPr>
          <w:rFonts w:ascii="Palatino Linotype" w:hAnsi="Palatino Linotype" w:cstheme="minorHAnsi"/>
          <w:sz w:val="22"/>
          <w:szCs w:val="22"/>
        </w:rPr>
        <w:t>göre</w:t>
      </w:r>
      <w:r w:rsidR="00AC59ED" w:rsidRPr="005E0D21">
        <w:rPr>
          <w:rFonts w:ascii="Palatino Linotype" w:hAnsi="Palatino Linotype" w:cstheme="minorHAnsi"/>
          <w:sz w:val="22"/>
          <w:szCs w:val="22"/>
        </w:rPr>
        <w:t xml:space="preserve"> ise</w:t>
      </w:r>
      <w:r w:rsidR="005D0E8C">
        <w:rPr>
          <w:rFonts w:ascii="Palatino Linotype" w:hAnsi="Palatino Linotype" w:cstheme="minorHAnsi"/>
          <w:sz w:val="22"/>
          <w:szCs w:val="22"/>
        </w:rPr>
        <w:t xml:space="preserve"> GSYH</w:t>
      </w:r>
      <w:r w:rsidR="00AC59ED" w:rsidRPr="005E0D21">
        <w:rPr>
          <w:rFonts w:ascii="Palatino Linotype" w:hAnsi="Palatino Linotype" w:cstheme="minorHAnsi"/>
          <w:sz w:val="22"/>
          <w:szCs w:val="22"/>
        </w:rPr>
        <w:t xml:space="preserve"> </w:t>
      </w:r>
      <w:r w:rsidR="009C082A">
        <w:rPr>
          <w:rFonts w:ascii="Palatino Linotype" w:hAnsi="Palatino Linotype" w:cstheme="minorHAnsi"/>
          <w:sz w:val="22"/>
          <w:szCs w:val="22"/>
        </w:rPr>
        <w:t>özel tüketim</w:t>
      </w:r>
      <w:r w:rsidR="005D0E8C">
        <w:rPr>
          <w:rFonts w:ascii="Palatino Linotype" w:hAnsi="Palatino Linotype" w:cstheme="minorHAnsi"/>
          <w:sz w:val="22"/>
          <w:szCs w:val="22"/>
        </w:rPr>
        <w:t xml:space="preserve"> ve ithalat katkısıyla</w:t>
      </w:r>
      <w:r w:rsidR="00AC59ED" w:rsidRPr="005E0D21">
        <w:rPr>
          <w:rFonts w:ascii="Palatino Linotype" w:hAnsi="Palatino Linotype" w:cstheme="minorHAnsi"/>
          <w:sz w:val="22"/>
          <w:szCs w:val="22"/>
        </w:rPr>
        <w:t xml:space="preserve"> bir önceki çeyreğe kıyasla yüzde </w:t>
      </w:r>
      <w:r w:rsidR="00AC7102">
        <w:rPr>
          <w:rFonts w:ascii="Palatino Linotype" w:hAnsi="Palatino Linotype" w:cstheme="minorHAnsi"/>
          <w:sz w:val="22"/>
          <w:szCs w:val="22"/>
        </w:rPr>
        <w:t>2</w:t>
      </w:r>
      <w:r w:rsidR="00715A66" w:rsidRPr="005E0D21">
        <w:rPr>
          <w:rFonts w:ascii="Palatino Linotype" w:hAnsi="Palatino Linotype" w:cstheme="minorHAnsi"/>
          <w:sz w:val="22"/>
          <w:szCs w:val="22"/>
        </w:rPr>
        <w:t>,</w:t>
      </w:r>
      <w:r w:rsidR="00445C96">
        <w:rPr>
          <w:rFonts w:ascii="Palatino Linotype" w:hAnsi="Palatino Linotype" w:cstheme="minorHAnsi"/>
          <w:sz w:val="22"/>
          <w:szCs w:val="22"/>
        </w:rPr>
        <w:t>1</w:t>
      </w:r>
      <w:r w:rsidR="00AC59ED" w:rsidRPr="005E0D21">
        <w:rPr>
          <w:rFonts w:ascii="Palatino Linotype" w:hAnsi="Palatino Linotype" w:cstheme="minorHAnsi"/>
          <w:sz w:val="22"/>
          <w:szCs w:val="22"/>
        </w:rPr>
        <w:t xml:space="preserve"> büyüdü</w:t>
      </w:r>
      <w:r w:rsidR="00B606FC" w:rsidRPr="005E0D21">
        <w:rPr>
          <w:rFonts w:ascii="Palatino Linotype" w:hAnsi="Palatino Linotype" w:cstheme="minorHAnsi"/>
          <w:sz w:val="22"/>
          <w:szCs w:val="22"/>
        </w:rPr>
        <w:t>.</w:t>
      </w:r>
      <w:r w:rsidR="00EA0452">
        <w:rPr>
          <w:rFonts w:ascii="Palatino Linotype" w:hAnsi="Palatino Linotype" w:cstheme="minorHAnsi"/>
          <w:sz w:val="22"/>
          <w:szCs w:val="22"/>
        </w:rPr>
        <w:t xml:space="preserve"> </w:t>
      </w:r>
      <w:r w:rsidR="00445C96">
        <w:rPr>
          <w:rFonts w:ascii="Palatino Linotype" w:hAnsi="Palatino Linotype" w:cstheme="minorHAnsi"/>
          <w:sz w:val="22"/>
          <w:szCs w:val="22"/>
        </w:rPr>
        <w:t xml:space="preserve">Çeyreklik büyümeye </w:t>
      </w:r>
      <w:r w:rsidR="00F646E5">
        <w:rPr>
          <w:rFonts w:ascii="Palatino Linotype" w:hAnsi="Palatino Linotype" w:cstheme="minorHAnsi"/>
          <w:sz w:val="22"/>
          <w:szCs w:val="22"/>
        </w:rPr>
        <w:t xml:space="preserve">özel tüketim 2,3 yüzde puan, dış ticaret ise 1,7 yüzde puan katkı yaptı. </w:t>
      </w:r>
      <w:r w:rsidR="00990A16">
        <w:rPr>
          <w:rFonts w:ascii="Palatino Linotype" w:hAnsi="Palatino Linotype" w:cstheme="minorHAnsi"/>
          <w:sz w:val="22"/>
          <w:szCs w:val="22"/>
        </w:rPr>
        <w:t xml:space="preserve">Stok değişimi ve yatırımlar ise </w:t>
      </w:r>
      <w:r w:rsidR="00880210">
        <w:rPr>
          <w:rFonts w:ascii="Palatino Linotype" w:hAnsi="Palatino Linotype" w:cstheme="minorHAnsi"/>
          <w:sz w:val="22"/>
          <w:szCs w:val="22"/>
        </w:rPr>
        <w:t xml:space="preserve">çeyreklik büyümeyi </w:t>
      </w:r>
      <w:r w:rsidR="00990A16">
        <w:rPr>
          <w:rFonts w:ascii="Palatino Linotype" w:hAnsi="Palatino Linotype" w:cstheme="minorHAnsi"/>
          <w:sz w:val="22"/>
          <w:szCs w:val="22"/>
        </w:rPr>
        <w:t xml:space="preserve">sırasıyla 1,3 ve 0,4 yüzde puan </w:t>
      </w:r>
      <w:r w:rsidR="00880210">
        <w:rPr>
          <w:rFonts w:ascii="Palatino Linotype" w:hAnsi="Palatino Linotype" w:cstheme="minorHAnsi"/>
          <w:sz w:val="22"/>
          <w:szCs w:val="22"/>
        </w:rPr>
        <w:t>aşağı çekti.</w:t>
      </w:r>
      <w:r w:rsidR="00917ED3">
        <w:rPr>
          <w:rFonts w:ascii="Palatino Linotype" w:hAnsi="Palatino Linotype" w:cstheme="minorHAnsi"/>
          <w:sz w:val="22"/>
          <w:szCs w:val="22"/>
        </w:rPr>
        <w:t xml:space="preserve"> </w:t>
      </w:r>
    </w:p>
    <w:p w14:paraId="536E3EC6" w14:textId="04BB176A" w:rsidR="00917ED3" w:rsidRDefault="00917ED3" w:rsidP="00C34D9B">
      <w:pPr>
        <w:spacing w:line="360" w:lineRule="auto"/>
        <w:jc w:val="both"/>
        <w:rPr>
          <w:rFonts w:ascii="Palatino Linotype" w:hAnsi="Palatino Linotype" w:cstheme="minorHAnsi"/>
          <w:sz w:val="22"/>
          <w:szCs w:val="22"/>
        </w:rPr>
      </w:pPr>
      <w:r>
        <w:rPr>
          <w:rFonts w:ascii="Palatino Linotype" w:hAnsi="Palatino Linotype" w:cstheme="minorHAnsi"/>
          <w:sz w:val="22"/>
          <w:szCs w:val="22"/>
        </w:rPr>
        <w:t xml:space="preserve">2022 ilk çeyreğine ait çeyreklik büyüme rakamlarının olağanüstü bir revizyona uğradığını </w:t>
      </w:r>
      <w:r w:rsidR="003B61AA">
        <w:rPr>
          <w:rFonts w:ascii="Palatino Linotype" w:hAnsi="Palatino Linotype" w:cstheme="minorHAnsi"/>
          <w:sz w:val="22"/>
          <w:szCs w:val="22"/>
        </w:rPr>
        <w:t>gözlemliyoruz. 1,2 olan ilk çeyrek GSYH büyümesinin 0,7; eksi yüzde 2,8 olan özel tüketim büyümesinin yüzde 1,6 olarak revize edildiğini gözlemliyoruz. Özel tüketimdeki bu devasa güncellemeye rağmen GSYH büyüme oranının görece az değişmesi</w:t>
      </w:r>
      <w:r w:rsidR="00FC00B2">
        <w:rPr>
          <w:rFonts w:ascii="Palatino Linotype" w:hAnsi="Palatino Linotype" w:cstheme="minorHAnsi"/>
          <w:sz w:val="22"/>
          <w:szCs w:val="22"/>
        </w:rPr>
        <w:t xml:space="preserve"> araştırmaya değer bir konu. Betam olarak önümüzdeki günlerde revizyonlar konusu ile ilgili daya ayrıntılı bir araştırma notu yayınlayacağız.</w:t>
      </w:r>
    </w:p>
    <w:p w14:paraId="5A035E2A" w14:textId="7EAE7968" w:rsidR="00646879" w:rsidRPr="005E0D21" w:rsidRDefault="00646879" w:rsidP="00646879">
      <w:pPr>
        <w:spacing w:line="288" w:lineRule="auto"/>
        <w:ind w:left="567"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C34D9B">
        <w:rPr>
          <w:rFonts w:ascii="Palatino Linotype" w:hAnsi="Palatino Linotype" w:cstheme="minorHAnsi"/>
          <w:b/>
          <w:bCs/>
          <w:sz w:val="22"/>
          <w:szCs w:val="22"/>
        </w:rPr>
        <w:t>2</w:t>
      </w:r>
      <w:r w:rsidR="001F1CCF">
        <w:rPr>
          <w:rFonts w:ascii="Palatino Linotype" w:hAnsi="Palatino Linotype" w:cstheme="minorHAnsi"/>
          <w:b/>
          <w:bCs/>
          <w:sz w:val="22"/>
          <w:szCs w:val="22"/>
        </w:rPr>
        <w:t xml:space="preserve"> </w:t>
      </w:r>
      <w:r w:rsidR="003800CF">
        <w:rPr>
          <w:rFonts w:ascii="Palatino Linotype" w:hAnsi="Palatino Linotype" w:cstheme="minorHAnsi"/>
          <w:b/>
          <w:bCs/>
          <w:sz w:val="22"/>
          <w:szCs w:val="22"/>
        </w:rPr>
        <w:t>2</w:t>
      </w:r>
      <w:r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535900CC" w14:textId="7C2B85DF" w:rsidR="0045146C" w:rsidRDefault="0045146C" w:rsidP="00BB27EB">
      <w:pPr>
        <w:ind w:left="567" w:right="567"/>
        <w:jc w:val="both"/>
        <w:rPr>
          <w:rFonts w:ascii="Palatino Linotype" w:hAnsi="Palatino Linotype" w:cstheme="minorHAnsi"/>
          <w:sz w:val="18"/>
          <w:szCs w:val="18"/>
        </w:rPr>
      </w:pPr>
      <w:r>
        <w:rPr>
          <w:noProof/>
        </w:rPr>
        <w:drawing>
          <wp:anchor distT="0" distB="0" distL="114300" distR="114300" simplePos="0" relativeHeight="251659776" behindDoc="0" locked="0" layoutInCell="1" allowOverlap="1" wp14:anchorId="1BFC75AC" wp14:editId="471BB090">
            <wp:simplePos x="0" y="0"/>
            <wp:positionH relativeFrom="column">
              <wp:posOffset>3033395</wp:posOffset>
            </wp:positionH>
            <wp:positionV relativeFrom="paragraph">
              <wp:posOffset>-1270</wp:posOffset>
            </wp:positionV>
            <wp:extent cx="3019425" cy="1952625"/>
            <wp:effectExtent l="0" t="0" r="9525" b="9525"/>
            <wp:wrapNone/>
            <wp:docPr id="6" name="Grafik 6">
              <a:extLst xmlns:a="http://schemas.openxmlformats.org/drawingml/2006/main">
                <a:ext uri="{FF2B5EF4-FFF2-40B4-BE49-F238E27FC236}">
                  <a16:creationId xmlns:a16="http://schemas.microsoft.com/office/drawing/2014/main" id="{0B464773-8D78-4F25-9B98-18EAFAF31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36D43743" wp14:editId="7EB76BFA">
            <wp:simplePos x="0" y="0"/>
            <wp:positionH relativeFrom="column">
              <wp:posOffset>-42545</wp:posOffset>
            </wp:positionH>
            <wp:positionV relativeFrom="paragraph">
              <wp:posOffset>-1270</wp:posOffset>
            </wp:positionV>
            <wp:extent cx="3076575" cy="1952625"/>
            <wp:effectExtent l="0" t="0" r="9525" b="9525"/>
            <wp:wrapNone/>
            <wp:docPr id="3" name="Grafik 3">
              <a:extLst xmlns:a="http://schemas.openxmlformats.org/drawingml/2006/main">
                <a:ext uri="{FF2B5EF4-FFF2-40B4-BE49-F238E27FC236}">
                  <a16:creationId xmlns:a16="http://schemas.microsoft.com/office/drawing/2014/main" id="{27AB98CC-B3AD-4D49-9C6C-FFE31BDB2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2B14FD5" w14:textId="77777777" w:rsidR="0045146C" w:rsidRDefault="0045146C" w:rsidP="00BB27EB">
      <w:pPr>
        <w:ind w:left="567" w:right="567"/>
        <w:jc w:val="both"/>
        <w:rPr>
          <w:rFonts w:ascii="Palatino Linotype" w:hAnsi="Palatino Linotype" w:cstheme="minorHAnsi"/>
          <w:sz w:val="18"/>
          <w:szCs w:val="18"/>
        </w:rPr>
      </w:pPr>
    </w:p>
    <w:p w14:paraId="60AAF5F9" w14:textId="77777777" w:rsidR="0045146C" w:rsidRDefault="0045146C" w:rsidP="00BB27EB">
      <w:pPr>
        <w:ind w:left="567" w:right="567"/>
        <w:jc w:val="both"/>
        <w:rPr>
          <w:rFonts w:ascii="Palatino Linotype" w:hAnsi="Palatino Linotype" w:cstheme="minorHAnsi"/>
          <w:sz w:val="18"/>
          <w:szCs w:val="18"/>
        </w:rPr>
      </w:pPr>
    </w:p>
    <w:p w14:paraId="57E2262F" w14:textId="77777777" w:rsidR="0045146C" w:rsidRDefault="0045146C" w:rsidP="00BB27EB">
      <w:pPr>
        <w:ind w:left="567" w:right="567"/>
        <w:jc w:val="both"/>
        <w:rPr>
          <w:rFonts w:ascii="Palatino Linotype" w:hAnsi="Palatino Linotype" w:cstheme="minorHAnsi"/>
          <w:sz w:val="18"/>
          <w:szCs w:val="18"/>
        </w:rPr>
      </w:pPr>
    </w:p>
    <w:p w14:paraId="377A9A30" w14:textId="77777777" w:rsidR="0045146C" w:rsidRDefault="0045146C" w:rsidP="00BB27EB">
      <w:pPr>
        <w:ind w:left="567" w:right="567"/>
        <w:jc w:val="both"/>
        <w:rPr>
          <w:rFonts w:ascii="Palatino Linotype" w:hAnsi="Palatino Linotype" w:cstheme="minorHAnsi"/>
          <w:sz w:val="18"/>
          <w:szCs w:val="18"/>
        </w:rPr>
      </w:pPr>
    </w:p>
    <w:p w14:paraId="61D1572A" w14:textId="77777777" w:rsidR="0045146C" w:rsidRDefault="0045146C" w:rsidP="00BB27EB">
      <w:pPr>
        <w:ind w:left="567" w:right="567"/>
        <w:jc w:val="both"/>
        <w:rPr>
          <w:rFonts w:ascii="Palatino Linotype" w:hAnsi="Palatino Linotype" w:cstheme="minorHAnsi"/>
          <w:sz w:val="18"/>
          <w:szCs w:val="18"/>
        </w:rPr>
      </w:pPr>
    </w:p>
    <w:p w14:paraId="0F06AF22" w14:textId="77777777" w:rsidR="0045146C" w:rsidRDefault="0045146C" w:rsidP="00BB27EB">
      <w:pPr>
        <w:ind w:left="567" w:right="567"/>
        <w:jc w:val="both"/>
        <w:rPr>
          <w:rFonts w:ascii="Palatino Linotype" w:hAnsi="Palatino Linotype" w:cstheme="minorHAnsi"/>
          <w:sz w:val="18"/>
          <w:szCs w:val="18"/>
        </w:rPr>
      </w:pPr>
    </w:p>
    <w:p w14:paraId="618DF8CE" w14:textId="77777777" w:rsidR="0045146C" w:rsidRDefault="0045146C" w:rsidP="00BB27EB">
      <w:pPr>
        <w:ind w:left="567" w:right="567"/>
        <w:jc w:val="both"/>
        <w:rPr>
          <w:rFonts w:ascii="Palatino Linotype" w:hAnsi="Palatino Linotype" w:cstheme="minorHAnsi"/>
          <w:sz w:val="18"/>
          <w:szCs w:val="18"/>
        </w:rPr>
      </w:pPr>
    </w:p>
    <w:p w14:paraId="6C4F1BD2" w14:textId="77777777" w:rsidR="0045146C" w:rsidRDefault="0045146C" w:rsidP="00BB27EB">
      <w:pPr>
        <w:ind w:left="567" w:right="567"/>
        <w:jc w:val="both"/>
        <w:rPr>
          <w:rFonts w:ascii="Palatino Linotype" w:hAnsi="Palatino Linotype" w:cstheme="minorHAnsi"/>
          <w:sz w:val="18"/>
          <w:szCs w:val="18"/>
        </w:rPr>
      </w:pPr>
    </w:p>
    <w:p w14:paraId="2970468A" w14:textId="77777777" w:rsidR="0045146C" w:rsidRDefault="0045146C" w:rsidP="00BB27EB">
      <w:pPr>
        <w:ind w:left="567" w:right="567"/>
        <w:jc w:val="both"/>
        <w:rPr>
          <w:rFonts w:ascii="Palatino Linotype" w:hAnsi="Palatino Linotype" w:cstheme="minorHAnsi"/>
          <w:sz w:val="18"/>
          <w:szCs w:val="18"/>
        </w:rPr>
      </w:pPr>
    </w:p>
    <w:p w14:paraId="16450E62" w14:textId="77777777" w:rsidR="0045146C" w:rsidRDefault="0045146C" w:rsidP="00BB27EB">
      <w:pPr>
        <w:ind w:left="567" w:right="567"/>
        <w:jc w:val="both"/>
        <w:rPr>
          <w:rFonts w:ascii="Palatino Linotype" w:hAnsi="Palatino Linotype" w:cstheme="minorHAnsi"/>
          <w:sz w:val="18"/>
          <w:szCs w:val="18"/>
        </w:rPr>
      </w:pPr>
    </w:p>
    <w:p w14:paraId="702E4FD2" w14:textId="77777777" w:rsidR="0045146C" w:rsidRDefault="0045146C" w:rsidP="00BB27EB">
      <w:pPr>
        <w:ind w:left="567" w:right="567"/>
        <w:jc w:val="both"/>
        <w:rPr>
          <w:rFonts w:ascii="Palatino Linotype" w:hAnsi="Palatino Linotype" w:cstheme="minorHAnsi"/>
          <w:sz w:val="18"/>
          <w:szCs w:val="18"/>
        </w:rPr>
      </w:pPr>
    </w:p>
    <w:p w14:paraId="4798AB9C" w14:textId="77777777" w:rsidR="0045146C" w:rsidRDefault="0045146C" w:rsidP="00BB27EB">
      <w:pPr>
        <w:ind w:left="567" w:right="567"/>
        <w:jc w:val="both"/>
        <w:rPr>
          <w:rFonts w:ascii="Palatino Linotype" w:hAnsi="Palatino Linotype" w:cstheme="minorHAnsi"/>
          <w:sz w:val="18"/>
          <w:szCs w:val="18"/>
        </w:rPr>
      </w:pPr>
    </w:p>
    <w:p w14:paraId="27DDFB67" w14:textId="3BB91CF5" w:rsidR="00C1422A" w:rsidRPr="005E0D21" w:rsidRDefault="00C1422A" w:rsidP="00BB27EB">
      <w:pPr>
        <w:ind w:left="567" w:right="567"/>
        <w:jc w:val="both"/>
        <w:rPr>
          <w:rFonts w:ascii="Palatino Linotype" w:hAnsi="Palatino Linotype" w:cstheme="minorHAnsi"/>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781E629" w14:textId="6D04EC50"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bookmarkStart w:id="4" w:name="_GoBack"/>
      <w:bookmarkEnd w:id="4"/>
      <w:r w:rsidRPr="005E0D21">
        <w:rPr>
          <w:rFonts w:ascii="Palatino Linotype" w:hAnsi="Palatino Linotype" w:cstheme="minorHAnsi"/>
          <w:b/>
          <w:bCs/>
          <w:sz w:val="22"/>
          <w:szCs w:val="22"/>
        </w:rPr>
        <w:lastRenderedPageBreak/>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1731B">
        <w:rPr>
          <w:rFonts w:ascii="Palatino Linotype" w:hAnsi="Palatino Linotype" w:cstheme="minorHAnsi"/>
          <w:b/>
          <w:bCs/>
          <w:sz w:val="22"/>
          <w:szCs w:val="22"/>
        </w:rPr>
        <w:t>artış sürüyor</w:t>
      </w:r>
    </w:p>
    <w:p w14:paraId="3D67829E" w14:textId="644A1120"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3C09C5">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551589">
        <w:rPr>
          <w:rFonts w:ascii="Palatino Linotype" w:hAnsi="Palatino Linotype" w:cstheme="minorHAnsi"/>
          <w:sz w:val="22"/>
          <w:szCs w:val="22"/>
        </w:rPr>
        <w:t>ikinci</w:t>
      </w:r>
      <w:r w:rsidRPr="005E0D21">
        <w:rPr>
          <w:rFonts w:ascii="Palatino Linotype" w:hAnsi="Palatino Linotype" w:cstheme="minorHAnsi"/>
          <w:sz w:val="22"/>
          <w:szCs w:val="22"/>
        </w:rPr>
        <w:t xml:space="preserve"> çeyreğinde özel tüketim yıllık yüzde </w:t>
      </w:r>
      <w:r w:rsidR="00382EE8">
        <w:rPr>
          <w:rFonts w:ascii="Palatino Linotype" w:hAnsi="Palatino Linotype" w:cstheme="minorHAnsi"/>
          <w:sz w:val="22"/>
          <w:szCs w:val="22"/>
        </w:rPr>
        <w:t>22</w:t>
      </w:r>
      <w:r w:rsidR="003C09C5">
        <w:rPr>
          <w:rFonts w:ascii="Palatino Linotype" w:hAnsi="Palatino Linotype" w:cstheme="minorHAnsi"/>
          <w:sz w:val="22"/>
          <w:szCs w:val="22"/>
        </w:rPr>
        <w:t>,5</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377868">
        <w:rPr>
          <w:rFonts w:ascii="Palatino Linotype" w:hAnsi="Palatino Linotype" w:cstheme="minorHAnsi"/>
          <w:sz w:val="22"/>
          <w:szCs w:val="22"/>
        </w:rPr>
        <w:t>1</w:t>
      </w:r>
      <w:r w:rsidR="00382EE8">
        <w:rPr>
          <w:rFonts w:ascii="Palatino Linotype" w:hAnsi="Palatino Linotype" w:cstheme="minorHAnsi"/>
          <w:sz w:val="22"/>
          <w:szCs w:val="22"/>
        </w:rPr>
        <w:t>2</w:t>
      </w:r>
      <w:r w:rsidR="00DD1374" w:rsidRPr="005E0D21">
        <w:rPr>
          <w:rFonts w:ascii="Palatino Linotype" w:hAnsi="Palatino Linotype" w:cstheme="minorHAnsi"/>
          <w:sz w:val="22"/>
          <w:szCs w:val="22"/>
        </w:rPr>
        <w:t>,</w:t>
      </w:r>
      <w:r w:rsidR="00382EE8">
        <w:rPr>
          <w:rFonts w:ascii="Palatino Linotype" w:hAnsi="Palatino Linotype" w:cstheme="minorHAnsi"/>
          <w:sz w:val="22"/>
          <w:szCs w:val="22"/>
        </w:rPr>
        <w:t>3</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w:t>
      </w:r>
      <w:bookmarkStart w:id="5" w:name="OLE_LINK21"/>
      <w:bookmarkStart w:id="6" w:name="OLE_LINK22"/>
      <w:r w:rsidR="003F00A9" w:rsidRPr="005E0D21">
        <w:rPr>
          <w:rFonts w:ascii="Palatino Linotype" w:hAnsi="Palatino Linotype" w:cstheme="minorHAnsi"/>
          <w:sz w:val="22"/>
          <w:szCs w:val="22"/>
        </w:rPr>
        <w:t xml:space="preserve">Mevsim ve takvim etkilerinden arındırılmış rakamlara baktığımızda ise </w:t>
      </w:r>
      <w:r w:rsidR="00CD6CF2">
        <w:rPr>
          <w:rFonts w:ascii="Palatino Linotype" w:hAnsi="Palatino Linotype" w:cstheme="minorHAnsi"/>
          <w:sz w:val="22"/>
          <w:szCs w:val="22"/>
        </w:rPr>
        <w:t xml:space="preserve">özel tüketimin </w:t>
      </w:r>
      <w:r w:rsidR="00524F9F">
        <w:rPr>
          <w:rFonts w:ascii="Palatino Linotype" w:hAnsi="Palatino Linotype" w:cstheme="minorHAnsi"/>
          <w:sz w:val="22"/>
          <w:szCs w:val="22"/>
        </w:rPr>
        <w:t xml:space="preserve">yüzde 3,9 artarak çeyrekten çeyreğe büyümeye </w:t>
      </w:r>
      <w:r w:rsidR="002A2C66">
        <w:rPr>
          <w:rFonts w:ascii="Palatino Linotype" w:hAnsi="Palatino Linotype" w:cstheme="minorHAnsi"/>
          <w:sz w:val="22"/>
          <w:szCs w:val="22"/>
        </w:rPr>
        <w:t>2,3 yüzde puan katkı yaptığını görüyoruz</w:t>
      </w:r>
      <w:r w:rsidR="003F00A9" w:rsidRPr="005E0D21">
        <w:rPr>
          <w:rFonts w:ascii="Palatino Linotype" w:hAnsi="Palatino Linotype" w:cstheme="minorHAnsi"/>
          <w:sz w:val="22"/>
          <w:szCs w:val="22"/>
        </w:rPr>
        <w:t xml:space="preserve"> </w:t>
      </w:r>
      <w:bookmarkEnd w:id="5"/>
      <w:bookmarkEnd w:id="6"/>
      <w:r w:rsidR="003F00A9" w:rsidRPr="005E0D21">
        <w:rPr>
          <w:rFonts w:ascii="Palatino Linotype" w:hAnsi="Palatino Linotype" w:cstheme="minorHAnsi"/>
          <w:sz w:val="22"/>
          <w:szCs w:val="22"/>
        </w:rPr>
        <w:t>(Tablo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31B38139" w:rsidR="004647F0" w:rsidRPr="005E0D21" w:rsidRDefault="006C3EE6" w:rsidP="006C3EE6">
      <w:pPr>
        <w:keepNext/>
        <w:ind w:right="77"/>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7" w:name="OLE_LINK1"/>
      <w:bookmarkStart w:id="8"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9F2483" w:rsidRPr="005E0D21">
        <w:rPr>
          <w:rFonts w:ascii="Palatino Linotype" w:hAnsi="Palatino Linotype" w:cstheme="minorHAnsi"/>
          <w:b/>
          <w:bCs/>
          <w:sz w:val="22"/>
          <w:szCs w:val="22"/>
        </w:rPr>
        <w:t xml:space="preserve"> </w:t>
      </w:r>
      <w:r w:rsidR="003800CF">
        <w:rPr>
          <w:rFonts w:ascii="Palatino Linotype" w:hAnsi="Palatino Linotype" w:cstheme="minorHAnsi"/>
          <w:b/>
          <w:bCs/>
          <w:sz w:val="22"/>
          <w:szCs w:val="22"/>
        </w:rPr>
        <w:t>1</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xml:space="preserve"> </w:t>
      </w:r>
      <w:r w:rsidR="003800CF">
        <w:rPr>
          <w:rFonts w:ascii="Palatino Linotype" w:hAnsi="Palatino Linotype" w:cstheme="minorHAnsi"/>
          <w:b/>
          <w:bCs/>
          <w:sz w:val="22"/>
          <w:szCs w:val="22"/>
        </w:rPr>
        <w:t>2</w:t>
      </w:r>
      <w:r w:rsidR="009F2483" w:rsidRPr="005E0D21">
        <w:rPr>
          <w:rFonts w:ascii="Palatino Linotype" w:hAnsi="Palatino Linotype" w:cstheme="minorHAnsi"/>
          <w:b/>
          <w:bCs/>
          <w:sz w:val="22"/>
          <w:szCs w:val="22"/>
        </w:rPr>
        <w:t>. çeyrekte</w:t>
      </w:r>
      <w:bookmarkEnd w:id="7"/>
      <w:bookmarkEnd w:id="8"/>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p w14:paraId="3BD50814" w14:textId="77777777" w:rsidR="008949E0" w:rsidRPr="005E0D21" w:rsidRDefault="008949E0" w:rsidP="006C3EE6">
      <w:pPr>
        <w:keepNext/>
        <w:ind w:right="77"/>
        <w:jc w:val="both"/>
        <w:rPr>
          <w:rFonts w:ascii="Palatino Linotype" w:hAnsi="Palatino Linotype" w:cstheme="minorHAnsi"/>
          <w:b/>
          <w:bCs/>
          <w:sz w:val="22"/>
          <w:szCs w:val="22"/>
        </w:rPr>
      </w:pP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551589" w14:paraId="1053F574" w14:textId="77777777" w:rsidTr="00551589">
        <w:trPr>
          <w:trHeight w:val="282"/>
        </w:trPr>
        <w:tc>
          <w:tcPr>
            <w:tcW w:w="1480" w:type="dxa"/>
            <w:tcBorders>
              <w:top w:val="nil"/>
              <w:left w:val="nil"/>
              <w:bottom w:val="nil"/>
              <w:right w:val="nil"/>
            </w:tcBorders>
            <w:shd w:val="clear" w:color="000000" w:fill="FFFFFF"/>
            <w:noWrap/>
            <w:vAlign w:val="bottom"/>
            <w:hideMark/>
          </w:tcPr>
          <w:p w14:paraId="420DA3DB"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53D19E"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2022Q1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A9D51B2"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2022Q2</w:t>
            </w:r>
          </w:p>
        </w:tc>
      </w:tr>
      <w:tr w:rsidR="00551589" w14:paraId="4B4B7410" w14:textId="77777777" w:rsidTr="00551589">
        <w:trPr>
          <w:trHeight w:val="282"/>
        </w:trPr>
        <w:tc>
          <w:tcPr>
            <w:tcW w:w="1480" w:type="dxa"/>
            <w:tcBorders>
              <w:top w:val="nil"/>
              <w:left w:val="nil"/>
              <w:bottom w:val="nil"/>
              <w:right w:val="nil"/>
            </w:tcBorders>
            <w:shd w:val="clear" w:color="000000" w:fill="FFFFFF"/>
            <w:noWrap/>
            <w:vAlign w:val="bottom"/>
            <w:hideMark/>
          </w:tcPr>
          <w:p w14:paraId="7FFC2A2B"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07EABB52"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5320EA77"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30CFC17B"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2D3E54E4"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551589" w14:paraId="72CAE677" w14:textId="77777777" w:rsidTr="00551589">
        <w:trPr>
          <w:trHeight w:val="282"/>
        </w:trPr>
        <w:tc>
          <w:tcPr>
            <w:tcW w:w="1480" w:type="dxa"/>
            <w:tcBorders>
              <w:top w:val="single" w:sz="4" w:space="0" w:color="auto"/>
              <w:left w:val="nil"/>
              <w:bottom w:val="nil"/>
              <w:right w:val="nil"/>
            </w:tcBorders>
            <w:shd w:val="clear" w:color="000000" w:fill="FFFFFF"/>
            <w:noWrap/>
            <w:vAlign w:val="bottom"/>
            <w:hideMark/>
          </w:tcPr>
          <w:p w14:paraId="28B05D5C"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14:paraId="10FA5A35"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21.5</w:t>
            </w:r>
          </w:p>
        </w:tc>
        <w:tc>
          <w:tcPr>
            <w:tcW w:w="961" w:type="dxa"/>
            <w:tcBorders>
              <w:top w:val="single" w:sz="4" w:space="0" w:color="auto"/>
              <w:left w:val="nil"/>
              <w:bottom w:val="nil"/>
              <w:right w:val="single" w:sz="4" w:space="0" w:color="auto"/>
            </w:tcBorders>
            <w:shd w:val="clear" w:color="000000" w:fill="FFFFFF"/>
            <w:noWrap/>
            <w:vAlign w:val="bottom"/>
            <w:hideMark/>
          </w:tcPr>
          <w:p w14:paraId="6F63572D"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11.6</w:t>
            </w:r>
          </w:p>
        </w:tc>
        <w:tc>
          <w:tcPr>
            <w:tcW w:w="1259" w:type="dxa"/>
            <w:tcBorders>
              <w:top w:val="single" w:sz="4" w:space="0" w:color="auto"/>
              <w:left w:val="nil"/>
              <w:bottom w:val="nil"/>
              <w:right w:val="nil"/>
            </w:tcBorders>
            <w:shd w:val="clear" w:color="000000" w:fill="FFFFFF"/>
            <w:noWrap/>
            <w:vAlign w:val="bottom"/>
            <w:hideMark/>
          </w:tcPr>
          <w:p w14:paraId="511454D4"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22.5</w:t>
            </w:r>
          </w:p>
        </w:tc>
        <w:tc>
          <w:tcPr>
            <w:tcW w:w="961" w:type="dxa"/>
            <w:tcBorders>
              <w:top w:val="single" w:sz="4" w:space="0" w:color="auto"/>
              <w:left w:val="nil"/>
              <w:bottom w:val="nil"/>
              <w:right w:val="single" w:sz="4" w:space="0" w:color="auto"/>
            </w:tcBorders>
            <w:shd w:val="clear" w:color="000000" w:fill="FFFFFF"/>
            <w:noWrap/>
            <w:vAlign w:val="bottom"/>
            <w:hideMark/>
          </w:tcPr>
          <w:p w14:paraId="1407300C"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12.3</w:t>
            </w:r>
          </w:p>
        </w:tc>
      </w:tr>
      <w:tr w:rsidR="00551589" w14:paraId="577BA868" w14:textId="77777777" w:rsidTr="00551589">
        <w:trPr>
          <w:trHeight w:val="282"/>
        </w:trPr>
        <w:tc>
          <w:tcPr>
            <w:tcW w:w="1480" w:type="dxa"/>
            <w:tcBorders>
              <w:top w:val="nil"/>
              <w:left w:val="nil"/>
              <w:bottom w:val="nil"/>
              <w:right w:val="nil"/>
            </w:tcBorders>
            <w:shd w:val="clear" w:color="000000" w:fill="FFFFFF"/>
            <w:noWrap/>
            <w:vAlign w:val="bottom"/>
            <w:hideMark/>
          </w:tcPr>
          <w:p w14:paraId="6CF86694"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108425A4"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3.1</w:t>
            </w:r>
          </w:p>
        </w:tc>
        <w:tc>
          <w:tcPr>
            <w:tcW w:w="961" w:type="dxa"/>
            <w:tcBorders>
              <w:top w:val="nil"/>
              <w:left w:val="nil"/>
              <w:bottom w:val="nil"/>
              <w:right w:val="single" w:sz="4" w:space="0" w:color="auto"/>
            </w:tcBorders>
            <w:shd w:val="clear" w:color="000000" w:fill="FFFFFF"/>
            <w:noWrap/>
            <w:vAlign w:val="bottom"/>
            <w:hideMark/>
          </w:tcPr>
          <w:p w14:paraId="38A4D161"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0.4</w:t>
            </w:r>
          </w:p>
        </w:tc>
        <w:tc>
          <w:tcPr>
            <w:tcW w:w="1259" w:type="dxa"/>
            <w:tcBorders>
              <w:top w:val="nil"/>
              <w:left w:val="nil"/>
              <w:bottom w:val="nil"/>
              <w:right w:val="nil"/>
            </w:tcBorders>
            <w:shd w:val="clear" w:color="000000" w:fill="FFFFFF"/>
            <w:noWrap/>
            <w:vAlign w:val="bottom"/>
            <w:hideMark/>
          </w:tcPr>
          <w:p w14:paraId="2601570C"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2.3</w:t>
            </w:r>
          </w:p>
        </w:tc>
        <w:tc>
          <w:tcPr>
            <w:tcW w:w="961" w:type="dxa"/>
            <w:tcBorders>
              <w:top w:val="nil"/>
              <w:left w:val="nil"/>
              <w:bottom w:val="nil"/>
              <w:right w:val="single" w:sz="4" w:space="0" w:color="auto"/>
            </w:tcBorders>
            <w:shd w:val="clear" w:color="000000" w:fill="FFFFFF"/>
            <w:noWrap/>
            <w:vAlign w:val="bottom"/>
            <w:hideMark/>
          </w:tcPr>
          <w:p w14:paraId="1C7534EA"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0.3</w:t>
            </w:r>
          </w:p>
        </w:tc>
      </w:tr>
      <w:tr w:rsidR="00551589" w14:paraId="0D227C34" w14:textId="77777777" w:rsidTr="00551589">
        <w:trPr>
          <w:trHeight w:val="282"/>
        </w:trPr>
        <w:tc>
          <w:tcPr>
            <w:tcW w:w="1480" w:type="dxa"/>
            <w:tcBorders>
              <w:top w:val="nil"/>
              <w:left w:val="nil"/>
              <w:bottom w:val="nil"/>
              <w:right w:val="nil"/>
            </w:tcBorders>
            <w:shd w:val="clear" w:color="000000" w:fill="FFFFFF"/>
            <w:noWrap/>
            <w:vAlign w:val="bottom"/>
            <w:hideMark/>
          </w:tcPr>
          <w:p w14:paraId="3DF88ED9"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038CF859"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4.2</w:t>
            </w:r>
          </w:p>
        </w:tc>
        <w:tc>
          <w:tcPr>
            <w:tcW w:w="961" w:type="dxa"/>
            <w:tcBorders>
              <w:top w:val="nil"/>
              <w:left w:val="nil"/>
              <w:bottom w:val="nil"/>
              <w:right w:val="single" w:sz="4" w:space="0" w:color="auto"/>
            </w:tcBorders>
            <w:shd w:val="clear" w:color="000000" w:fill="FFFFFF"/>
            <w:noWrap/>
            <w:vAlign w:val="bottom"/>
            <w:hideMark/>
          </w:tcPr>
          <w:p w14:paraId="522015D2"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1.3</w:t>
            </w:r>
          </w:p>
        </w:tc>
        <w:tc>
          <w:tcPr>
            <w:tcW w:w="1259" w:type="dxa"/>
            <w:tcBorders>
              <w:top w:val="nil"/>
              <w:left w:val="nil"/>
              <w:bottom w:val="nil"/>
              <w:right w:val="nil"/>
            </w:tcBorders>
            <w:shd w:val="clear" w:color="000000" w:fill="FFFFFF"/>
            <w:noWrap/>
            <w:vAlign w:val="bottom"/>
            <w:hideMark/>
          </w:tcPr>
          <w:p w14:paraId="33F1E890"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4.7</w:t>
            </w:r>
          </w:p>
        </w:tc>
        <w:tc>
          <w:tcPr>
            <w:tcW w:w="961" w:type="dxa"/>
            <w:tcBorders>
              <w:top w:val="nil"/>
              <w:left w:val="nil"/>
              <w:bottom w:val="nil"/>
              <w:right w:val="single" w:sz="4" w:space="0" w:color="auto"/>
            </w:tcBorders>
            <w:shd w:val="clear" w:color="000000" w:fill="FFFFFF"/>
            <w:noWrap/>
            <w:vAlign w:val="bottom"/>
            <w:hideMark/>
          </w:tcPr>
          <w:p w14:paraId="6273BCE5"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1.4</w:t>
            </w:r>
          </w:p>
        </w:tc>
      </w:tr>
      <w:tr w:rsidR="00551589" w14:paraId="5F3F9317" w14:textId="77777777" w:rsidTr="00551589">
        <w:trPr>
          <w:trHeight w:val="282"/>
        </w:trPr>
        <w:tc>
          <w:tcPr>
            <w:tcW w:w="1480" w:type="dxa"/>
            <w:tcBorders>
              <w:top w:val="nil"/>
              <w:left w:val="nil"/>
              <w:bottom w:val="nil"/>
              <w:right w:val="nil"/>
            </w:tcBorders>
            <w:shd w:val="clear" w:color="000000" w:fill="FFFFFF"/>
            <w:noWrap/>
            <w:vAlign w:val="bottom"/>
            <w:hideMark/>
          </w:tcPr>
          <w:p w14:paraId="7F0396A7"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47B7749C"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64016CE5"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-10.1</w:t>
            </w:r>
          </w:p>
        </w:tc>
        <w:tc>
          <w:tcPr>
            <w:tcW w:w="1259" w:type="dxa"/>
            <w:tcBorders>
              <w:top w:val="nil"/>
              <w:left w:val="nil"/>
              <w:bottom w:val="nil"/>
              <w:right w:val="nil"/>
            </w:tcBorders>
            <w:shd w:val="clear" w:color="000000" w:fill="FFFFFF"/>
            <w:noWrap/>
            <w:vAlign w:val="bottom"/>
            <w:hideMark/>
          </w:tcPr>
          <w:p w14:paraId="25BB806F"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253AE3BD"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-10.3</w:t>
            </w:r>
          </w:p>
        </w:tc>
      </w:tr>
      <w:tr w:rsidR="00551589" w14:paraId="54A19DEC" w14:textId="77777777" w:rsidTr="00551589">
        <w:trPr>
          <w:trHeight w:val="282"/>
        </w:trPr>
        <w:tc>
          <w:tcPr>
            <w:tcW w:w="1480" w:type="dxa"/>
            <w:tcBorders>
              <w:top w:val="nil"/>
              <w:left w:val="nil"/>
              <w:bottom w:val="nil"/>
              <w:right w:val="nil"/>
            </w:tcBorders>
            <w:shd w:val="clear" w:color="000000" w:fill="FFFFFF"/>
            <w:noWrap/>
            <w:vAlign w:val="bottom"/>
            <w:hideMark/>
          </w:tcPr>
          <w:p w14:paraId="24FAB37F"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40C4D652"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14.8</w:t>
            </w:r>
          </w:p>
        </w:tc>
        <w:tc>
          <w:tcPr>
            <w:tcW w:w="961" w:type="dxa"/>
            <w:tcBorders>
              <w:top w:val="nil"/>
              <w:left w:val="nil"/>
              <w:bottom w:val="nil"/>
              <w:right w:val="single" w:sz="4" w:space="0" w:color="auto"/>
            </w:tcBorders>
            <w:shd w:val="clear" w:color="000000" w:fill="FFFFFF"/>
            <w:noWrap/>
            <w:vAlign w:val="bottom"/>
            <w:hideMark/>
          </w:tcPr>
          <w:p w14:paraId="5A5ED0B1"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5.0</w:t>
            </w:r>
          </w:p>
        </w:tc>
        <w:tc>
          <w:tcPr>
            <w:tcW w:w="1259" w:type="dxa"/>
            <w:tcBorders>
              <w:top w:val="nil"/>
              <w:left w:val="nil"/>
              <w:bottom w:val="nil"/>
              <w:right w:val="nil"/>
            </w:tcBorders>
            <w:shd w:val="clear" w:color="000000" w:fill="FFFFFF"/>
            <w:noWrap/>
            <w:vAlign w:val="bottom"/>
            <w:hideMark/>
          </w:tcPr>
          <w:p w14:paraId="02790C64"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16.4</w:t>
            </w:r>
          </w:p>
        </w:tc>
        <w:tc>
          <w:tcPr>
            <w:tcW w:w="961" w:type="dxa"/>
            <w:tcBorders>
              <w:top w:val="nil"/>
              <w:left w:val="nil"/>
              <w:bottom w:val="nil"/>
              <w:right w:val="single" w:sz="4" w:space="0" w:color="auto"/>
            </w:tcBorders>
            <w:shd w:val="clear" w:color="000000" w:fill="FFFFFF"/>
            <w:noWrap/>
            <w:vAlign w:val="bottom"/>
            <w:hideMark/>
          </w:tcPr>
          <w:p w14:paraId="78DD15FE"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5.7</w:t>
            </w:r>
          </w:p>
        </w:tc>
      </w:tr>
      <w:tr w:rsidR="00551589" w14:paraId="5B131407" w14:textId="77777777" w:rsidTr="00551589">
        <w:trPr>
          <w:trHeight w:val="282"/>
        </w:trPr>
        <w:tc>
          <w:tcPr>
            <w:tcW w:w="1480" w:type="dxa"/>
            <w:tcBorders>
              <w:top w:val="nil"/>
              <w:left w:val="nil"/>
              <w:bottom w:val="nil"/>
              <w:right w:val="nil"/>
            </w:tcBorders>
            <w:shd w:val="clear" w:color="000000" w:fill="FFFFFF"/>
            <w:noWrap/>
            <w:vAlign w:val="bottom"/>
            <w:hideMark/>
          </w:tcPr>
          <w:p w14:paraId="57343FD3"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0A815A5F"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2.2</w:t>
            </w:r>
          </w:p>
        </w:tc>
        <w:tc>
          <w:tcPr>
            <w:tcW w:w="961" w:type="dxa"/>
            <w:tcBorders>
              <w:top w:val="nil"/>
              <w:left w:val="nil"/>
              <w:bottom w:val="nil"/>
              <w:right w:val="single" w:sz="4" w:space="0" w:color="auto"/>
            </w:tcBorders>
            <w:shd w:val="clear" w:color="000000" w:fill="FFFFFF"/>
            <w:noWrap/>
            <w:vAlign w:val="bottom"/>
            <w:hideMark/>
          </w:tcPr>
          <w:p w14:paraId="1F74A463"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-0.7</w:t>
            </w:r>
          </w:p>
        </w:tc>
        <w:tc>
          <w:tcPr>
            <w:tcW w:w="1259" w:type="dxa"/>
            <w:tcBorders>
              <w:top w:val="nil"/>
              <w:left w:val="nil"/>
              <w:bottom w:val="nil"/>
              <w:right w:val="nil"/>
            </w:tcBorders>
            <w:shd w:val="clear" w:color="000000" w:fill="FFFFFF"/>
            <w:noWrap/>
            <w:vAlign w:val="bottom"/>
            <w:hideMark/>
          </w:tcPr>
          <w:p w14:paraId="58D33471"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5.8</w:t>
            </w:r>
          </w:p>
        </w:tc>
        <w:tc>
          <w:tcPr>
            <w:tcW w:w="961" w:type="dxa"/>
            <w:tcBorders>
              <w:top w:val="nil"/>
              <w:left w:val="nil"/>
              <w:bottom w:val="nil"/>
              <w:right w:val="single" w:sz="4" w:space="0" w:color="auto"/>
            </w:tcBorders>
            <w:shd w:val="clear" w:color="000000" w:fill="FFFFFF"/>
            <w:noWrap/>
            <w:vAlign w:val="bottom"/>
            <w:hideMark/>
          </w:tcPr>
          <w:p w14:paraId="398FC205"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-1.8</w:t>
            </w:r>
          </w:p>
        </w:tc>
      </w:tr>
      <w:tr w:rsidR="00551589" w14:paraId="0E58346D" w14:textId="77777777" w:rsidTr="00551589">
        <w:trPr>
          <w:trHeight w:val="315"/>
        </w:trPr>
        <w:tc>
          <w:tcPr>
            <w:tcW w:w="1480" w:type="dxa"/>
            <w:tcBorders>
              <w:top w:val="nil"/>
              <w:left w:val="nil"/>
              <w:bottom w:val="double" w:sz="6" w:space="0" w:color="auto"/>
              <w:right w:val="nil"/>
            </w:tcBorders>
            <w:shd w:val="clear" w:color="000000" w:fill="FFFFFF"/>
            <w:noWrap/>
            <w:vAlign w:val="bottom"/>
            <w:hideMark/>
          </w:tcPr>
          <w:p w14:paraId="05F4450F"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070A153D"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7.5</w:t>
            </w:r>
          </w:p>
        </w:tc>
        <w:tc>
          <w:tcPr>
            <w:tcW w:w="961" w:type="dxa"/>
            <w:tcBorders>
              <w:top w:val="nil"/>
              <w:left w:val="nil"/>
              <w:bottom w:val="double" w:sz="6" w:space="0" w:color="auto"/>
              <w:right w:val="single" w:sz="4" w:space="0" w:color="auto"/>
            </w:tcBorders>
            <w:shd w:val="clear" w:color="000000" w:fill="FFFFFF"/>
            <w:noWrap/>
            <w:vAlign w:val="bottom"/>
            <w:hideMark/>
          </w:tcPr>
          <w:p w14:paraId="28DD6EE6"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51F427B3"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7.6</w:t>
            </w:r>
          </w:p>
        </w:tc>
        <w:tc>
          <w:tcPr>
            <w:tcW w:w="961" w:type="dxa"/>
            <w:tcBorders>
              <w:top w:val="nil"/>
              <w:left w:val="nil"/>
              <w:bottom w:val="double" w:sz="6" w:space="0" w:color="auto"/>
              <w:right w:val="single" w:sz="4" w:space="0" w:color="auto"/>
            </w:tcBorders>
            <w:shd w:val="clear" w:color="000000" w:fill="FFFFFF"/>
            <w:noWrap/>
            <w:vAlign w:val="bottom"/>
            <w:hideMark/>
          </w:tcPr>
          <w:p w14:paraId="1EA3D612"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0CBADC7C"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w:t>
      </w:r>
      <w:r w:rsidR="003800CF">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3800CF">
        <w:rPr>
          <w:rFonts w:ascii="Palatino Linotype" w:hAnsi="Palatino Linotype" w:cstheme="minorHAnsi"/>
          <w:b/>
          <w:bCs/>
          <w:sz w:val="22"/>
          <w:szCs w:val="22"/>
        </w:rPr>
        <w:t>1</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3800CF">
        <w:rPr>
          <w:rFonts w:ascii="Palatino Linotype" w:hAnsi="Palatino Linotype" w:cstheme="minorHAnsi"/>
          <w:b/>
          <w:bCs/>
          <w:sz w:val="22"/>
          <w:szCs w:val="22"/>
        </w:rPr>
        <w:t>2</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CellMar>
          <w:left w:w="70" w:type="dxa"/>
          <w:right w:w="70" w:type="dxa"/>
        </w:tblCellMar>
        <w:tblLook w:val="04A0" w:firstRow="1" w:lastRow="0" w:firstColumn="1" w:lastColumn="0" w:noHBand="0" w:noVBand="1"/>
      </w:tblPr>
      <w:tblGrid>
        <w:gridCol w:w="1480"/>
        <w:gridCol w:w="1259"/>
        <w:gridCol w:w="961"/>
        <w:gridCol w:w="1259"/>
        <w:gridCol w:w="961"/>
      </w:tblGrid>
      <w:tr w:rsidR="00551589" w14:paraId="274C85BD" w14:textId="77777777" w:rsidTr="00551589">
        <w:trPr>
          <w:trHeight w:val="282"/>
        </w:trPr>
        <w:tc>
          <w:tcPr>
            <w:tcW w:w="1480" w:type="dxa"/>
            <w:tcBorders>
              <w:top w:val="nil"/>
              <w:left w:val="nil"/>
              <w:bottom w:val="nil"/>
              <w:right w:val="nil"/>
            </w:tcBorders>
            <w:shd w:val="clear" w:color="000000" w:fill="FFFFFF"/>
            <w:noWrap/>
            <w:vAlign w:val="bottom"/>
            <w:hideMark/>
          </w:tcPr>
          <w:p w14:paraId="4EA62F68"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8757595"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2022Q1</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D2CB5F0"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2022Q2</w:t>
            </w:r>
          </w:p>
        </w:tc>
      </w:tr>
      <w:tr w:rsidR="00551589" w14:paraId="514DC178" w14:textId="77777777" w:rsidTr="00551589">
        <w:trPr>
          <w:trHeight w:val="282"/>
        </w:trPr>
        <w:tc>
          <w:tcPr>
            <w:tcW w:w="1480" w:type="dxa"/>
            <w:tcBorders>
              <w:top w:val="nil"/>
              <w:left w:val="nil"/>
              <w:bottom w:val="nil"/>
              <w:right w:val="nil"/>
            </w:tcBorders>
            <w:shd w:val="clear" w:color="000000" w:fill="FFFFFF"/>
            <w:noWrap/>
            <w:vAlign w:val="bottom"/>
            <w:hideMark/>
          </w:tcPr>
          <w:p w14:paraId="3DB37D6D"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14:paraId="29DF894E"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7FA32C7B"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14:paraId="31EE5EE6"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14:paraId="20BB6CE8" w14:textId="77777777" w:rsidR="00551589" w:rsidRDefault="00551589">
            <w:pPr>
              <w:jc w:val="center"/>
              <w:rPr>
                <w:rFonts w:ascii="Calibri" w:hAnsi="Calibri" w:cs="Calibri"/>
                <w:b/>
                <w:bCs/>
                <w:color w:val="000000"/>
                <w:sz w:val="20"/>
                <w:szCs w:val="20"/>
              </w:rPr>
            </w:pPr>
            <w:r>
              <w:rPr>
                <w:rFonts w:ascii="Calibri" w:hAnsi="Calibri" w:cs="Calibri"/>
                <w:b/>
                <w:bCs/>
                <w:color w:val="000000"/>
                <w:sz w:val="20"/>
                <w:szCs w:val="20"/>
              </w:rPr>
              <w:t>Katkı (%)</w:t>
            </w:r>
          </w:p>
        </w:tc>
      </w:tr>
      <w:tr w:rsidR="00551589" w14:paraId="36169275" w14:textId="77777777" w:rsidTr="00551589">
        <w:trPr>
          <w:trHeight w:val="282"/>
        </w:trPr>
        <w:tc>
          <w:tcPr>
            <w:tcW w:w="1480" w:type="dxa"/>
            <w:tcBorders>
              <w:top w:val="single" w:sz="4" w:space="0" w:color="auto"/>
              <w:left w:val="nil"/>
              <w:bottom w:val="nil"/>
              <w:right w:val="nil"/>
            </w:tcBorders>
            <w:shd w:val="clear" w:color="000000" w:fill="FFFFFF"/>
            <w:noWrap/>
            <w:vAlign w:val="bottom"/>
            <w:hideMark/>
          </w:tcPr>
          <w:p w14:paraId="2F03F37C"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45A09C2F"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1.6</w:t>
            </w:r>
          </w:p>
        </w:tc>
        <w:tc>
          <w:tcPr>
            <w:tcW w:w="961" w:type="dxa"/>
            <w:tcBorders>
              <w:top w:val="single" w:sz="4" w:space="0" w:color="auto"/>
              <w:left w:val="nil"/>
              <w:bottom w:val="nil"/>
              <w:right w:val="single" w:sz="4" w:space="0" w:color="auto"/>
            </w:tcBorders>
            <w:shd w:val="clear" w:color="000000" w:fill="FFFFFF"/>
            <w:noWrap/>
            <w:vAlign w:val="bottom"/>
            <w:hideMark/>
          </w:tcPr>
          <w:p w14:paraId="3D94A37F"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0.7</w:t>
            </w:r>
          </w:p>
        </w:tc>
        <w:tc>
          <w:tcPr>
            <w:tcW w:w="1259" w:type="dxa"/>
            <w:tcBorders>
              <w:top w:val="single" w:sz="4" w:space="0" w:color="auto"/>
              <w:left w:val="nil"/>
              <w:bottom w:val="nil"/>
              <w:right w:val="nil"/>
            </w:tcBorders>
            <w:shd w:val="clear" w:color="000000" w:fill="FFFFFF"/>
            <w:noWrap/>
            <w:vAlign w:val="bottom"/>
            <w:hideMark/>
          </w:tcPr>
          <w:p w14:paraId="0A51129C"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3.9</w:t>
            </w:r>
          </w:p>
        </w:tc>
        <w:tc>
          <w:tcPr>
            <w:tcW w:w="961" w:type="dxa"/>
            <w:tcBorders>
              <w:top w:val="single" w:sz="4" w:space="0" w:color="auto"/>
              <w:left w:val="nil"/>
              <w:bottom w:val="nil"/>
              <w:right w:val="single" w:sz="4" w:space="0" w:color="auto"/>
            </w:tcBorders>
            <w:shd w:val="clear" w:color="000000" w:fill="FFFFFF"/>
            <w:noWrap/>
            <w:vAlign w:val="bottom"/>
            <w:hideMark/>
          </w:tcPr>
          <w:p w14:paraId="6343AB7C"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2.3</w:t>
            </w:r>
          </w:p>
        </w:tc>
      </w:tr>
      <w:tr w:rsidR="00551589" w14:paraId="36301CD6" w14:textId="77777777" w:rsidTr="00551589">
        <w:trPr>
          <w:trHeight w:val="282"/>
        </w:trPr>
        <w:tc>
          <w:tcPr>
            <w:tcW w:w="1480" w:type="dxa"/>
            <w:tcBorders>
              <w:top w:val="nil"/>
              <w:left w:val="nil"/>
              <w:bottom w:val="nil"/>
              <w:right w:val="nil"/>
            </w:tcBorders>
            <w:shd w:val="clear" w:color="000000" w:fill="FFFFFF"/>
            <w:noWrap/>
            <w:vAlign w:val="bottom"/>
            <w:hideMark/>
          </w:tcPr>
          <w:p w14:paraId="1AFD6740"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14:paraId="066EC670"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-0.3</w:t>
            </w:r>
          </w:p>
        </w:tc>
        <w:tc>
          <w:tcPr>
            <w:tcW w:w="961" w:type="dxa"/>
            <w:tcBorders>
              <w:top w:val="nil"/>
              <w:left w:val="nil"/>
              <w:bottom w:val="nil"/>
              <w:right w:val="single" w:sz="4" w:space="0" w:color="auto"/>
            </w:tcBorders>
            <w:shd w:val="clear" w:color="000000" w:fill="FFFFFF"/>
            <w:noWrap/>
            <w:vAlign w:val="bottom"/>
            <w:hideMark/>
          </w:tcPr>
          <w:p w14:paraId="62BF756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0.0</w:t>
            </w:r>
          </w:p>
        </w:tc>
        <w:tc>
          <w:tcPr>
            <w:tcW w:w="1259" w:type="dxa"/>
            <w:tcBorders>
              <w:top w:val="nil"/>
              <w:left w:val="nil"/>
              <w:bottom w:val="nil"/>
              <w:right w:val="nil"/>
            </w:tcBorders>
            <w:shd w:val="clear" w:color="000000" w:fill="FFFFFF"/>
            <w:noWrap/>
            <w:vAlign w:val="bottom"/>
            <w:hideMark/>
          </w:tcPr>
          <w:p w14:paraId="6607CB8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1.1</w:t>
            </w:r>
          </w:p>
        </w:tc>
        <w:tc>
          <w:tcPr>
            <w:tcW w:w="961" w:type="dxa"/>
            <w:tcBorders>
              <w:top w:val="nil"/>
              <w:left w:val="nil"/>
              <w:bottom w:val="nil"/>
              <w:right w:val="single" w:sz="4" w:space="0" w:color="auto"/>
            </w:tcBorders>
            <w:shd w:val="clear" w:color="000000" w:fill="FFFFFF"/>
            <w:noWrap/>
            <w:vAlign w:val="bottom"/>
            <w:hideMark/>
          </w:tcPr>
          <w:p w14:paraId="5417F573"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0.1</w:t>
            </w:r>
          </w:p>
        </w:tc>
      </w:tr>
      <w:tr w:rsidR="00551589" w14:paraId="18B5EA7F" w14:textId="77777777" w:rsidTr="00551589">
        <w:trPr>
          <w:trHeight w:val="282"/>
        </w:trPr>
        <w:tc>
          <w:tcPr>
            <w:tcW w:w="1480" w:type="dxa"/>
            <w:tcBorders>
              <w:top w:val="nil"/>
              <w:left w:val="nil"/>
              <w:bottom w:val="nil"/>
              <w:right w:val="nil"/>
            </w:tcBorders>
            <w:shd w:val="clear" w:color="000000" w:fill="FFFFFF"/>
            <w:noWrap/>
            <w:vAlign w:val="bottom"/>
            <w:hideMark/>
          </w:tcPr>
          <w:p w14:paraId="6ECF1255"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14:paraId="18FF49DB"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2.2</w:t>
            </w:r>
          </w:p>
        </w:tc>
        <w:tc>
          <w:tcPr>
            <w:tcW w:w="961" w:type="dxa"/>
            <w:tcBorders>
              <w:top w:val="nil"/>
              <w:left w:val="nil"/>
              <w:bottom w:val="nil"/>
              <w:right w:val="single" w:sz="4" w:space="0" w:color="auto"/>
            </w:tcBorders>
            <w:shd w:val="clear" w:color="000000" w:fill="FFFFFF"/>
            <w:noWrap/>
            <w:vAlign w:val="bottom"/>
            <w:hideMark/>
          </w:tcPr>
          <w:p w14:paraId="14C11D85"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0.6</w:t>
            </w:r>
          </w:p>
        </w:tc>
        <w:tc>
          <w:tcPr>
            <w:tcW w:w="1259" w:type="dxa"/>
            <w:tcBorders>
              <w:top w:val="nil"/>
              <w:left w:val="nil"/>
              <w:bottom w:val="nil"/>
              <w:right w:val="nil"/>
            </w:tcBorders>
            <w:shd w:val="clear" w:color="000000" w:fill="FFFFFF"/>
            <w:noWrap/>
            <w:vAlign w:val="bottom"/>
            <w:hideMark/>
          </w:tcPr>
          <w:p w14:paraId="4F962B51"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14:paraId="4F089E83"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-0.4</w:t>
            </w:r>
          </w:p>
        </w:tc>
      </w:tr>
      <w:tr w:rsidR="00551589" w14:paraId="3DFD8870" w14:textId="77777777" w:rsidTr="00551589">
        <w:trPr>
          <w:trHeight w:val="282"/>
        </w:trPr>
        <w:tc>
          <w:tcPr>
            <w:tcW w:w="1480" w:type="dxa"/>
            <w:tcBorders>
              <w:top w:val="nil"/>
              <w:left w:val="nil"/>
              <w:bottom w:val="nil"/>
              <w:right w:val="nil"/>
            </w:tcBorders>
            <w:shd w:val="clear" w:color="000000" w:fill="FFFFFF"/>
            <w:noWrap/>
            <w:vAlign w:val="bottom"/>
            <w:hideMark/>
          </w:tcPr>
          <w:p w14:paraId="15F1DAFD"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14:paraId="7A6ACF02"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6E947B48"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-1.8</w:t>
            </w:r>
          </w:p>
        </w:tc>
        <w:tc>
          <w:tcPr>
            <w:tcW w:w="1259" w:type="dxa"/>
            <w:tcBorders>
              <w:top w:val="nil"/>
              <w:left w:val="nil"/>
              <w:bottom w:val="nil"/>
              <w:right w:val="nil"/>
            </w:tcBorders>
            <w:shd w:val="clear" w:color="000000" w:fill="FFFFFF"/>
            <w:noWrap/>
            <w:vAlign w:val="bottom"/>
            <w:hideMark/>
          </w:tcPr>
          <w:p w14:paraId="514A673A"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2E66EF78"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-1.3</w:t>
            </w:r>
          </w:p>
        </w:tc>
      </w:tr>
      <w:tr w:rsidR="00551589" w14:paraId="7C812921" w14:textId="77777777" w:rsidTr="00551589">
        <w:trPr>
          <w:trHeight w:val="282"/>
        </w:trPr>
        <w:tc>
          <w:tcPr>
            <w:tcW w:w="1480" w:type="dxa"/>
            <w:tcBorders>
              <w:top w:val="nil"/>
              <w:left w:val="nil"/>
              <w:bottom w:val="nil"/>
              <w:right w:val="nil"/>
            </w:tcBorders>
            <w:shd w:val="clear" w:color="000000" w:fill="FFFFFF"/>
            <w:noWrap/>
            <w:vAlign w:val="bottom"/>
            <w:hideMark/>
          </w:tcPr>
          <w:p w14:paraId="42681338"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14:paraId="2DB61FB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14:paraId="3EEB7730"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-0.3</w:t>
            </w:r>
          </w:p>
        </w:tc>
        <w:tc>
          <w:tcPr>
            <w:tcW w:w="1259" w:type="dxa"/>
            <w:tcBorders>
              <w:top w:val="nil"/>
              <w:left w:val="nil"/>
              <w:bottom w:val="nil"/>
              <w:right w:val="nil"/>
            </w:tcBorders>
            <w:shd w:val="clear" w:color="000000" w:fill="FFFFFF"/>
            <w:noWrap/>
            <w:vAlign w:val="bottom"/>
            <w:hideMark/>
          </w:tcPr>
          <w:p w14:paraId="6A483FC1"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4.1</w:t>
            </w:r>
          </w:p>
        </w:tc>
        <w:tc>
          <w:tcPr>
            <w:tcW w:w="961" w:type="dxa"/>
            <w:tcBorders>
              <w:top w:val="nil"/>
              <w:left w:val="nil"/>
              <w:bottom w:val="nil"/>
              <w:right w:val="single" w:sz="4" w:space="0" w:color="auto"/>
            </w:tcBorders>
            <w:shd w:val="clear" w:color="000000" w:fill="FFFFFF"/>
            <w:noWrap/>
            <w:vAlign w:val="bottom"/>
            <w:hideMark/>
          </w:tcPr>
          <w:p w14:paraId="70C2CEB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1.5</w:t>
            </w:r>
          </w:p>
        </w:tc>
      </w:tr>
      <w:tr w:rsidR="00551589" w14:paraId="56C6205B" w14:textId="77777777" w:rsidTr="00551589">
        <w:trPr>
          <w:trHeight w:val="282"/>
        </w:trPr>
        <w:tc>
          <w:tcPr>
            <w:tcW w:w="1480" w:type="dxa"/>
            <w:tcBorders>
              <w:top w:val="nil"/>
              <w:left w:val="nil"/>
              <w:bottom w:val="nil"/>
              <w:right w:val="nil"/>
            </w:tcBorders>
            <w:shd w:val="clear" w:color="000000" w:fill="FFFFFF"/>
            <w:noWrap/>
            <w:vAlign w:val="bottom"/>
            <w:hideMark/>
          </w:tcPr>
          <w:p w14:paraId="0213D180"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14:paraId="4D58CE60"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-4.3</w:t>
            </w:r>
          </w:p>
        </w:tc>
        <w:tc>
          <w:tcPr>
            <w:tcW w:w="961" w:type="dxa"/>
            <w:tcBorders>
              <w:top w:val="nil"/>
              <w:left w:val="nil"/>
              <w:bottom w:val="nil"/>
              <w:right w:val="single" w:sz="4" w:space="0" w:color="auto"/>
            </w:tcBorders>
            <w:shd w:val="clear" w:color="000000" w:fill="FFFFFF"/>
            <w:noWrap/>
            <w:vAlign w:val="bottom"/>
            <w:hideMark/>
          </w:tcPr>
          <w:p w14:paraId="62F21F8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1.4</w:t>
            </w:r>
          </w:p>
        </w:tc>
        <w:tc>
          <w:tcPr>
            <w:tcW w:w="1259" w:type="dxa"/>
            <w:tcBorders>
              <w:top w:val="nil"/>
              <w:left w:val="nil"/>
              <w:bottom w:val="nil"/>
              <w:right w:val="nil"/>
            </w:tcBorders>
            <w:shd w:val="clear" w:color="000000" w:fill="FFFFFF"/>
            <w:noWrap/>
            <w:vAlign w:val="bottom"/>
            <w:hideMark/>
          </w:tcPr>
          <w:p w14:paraId="7DB0690A"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0.7</w:t>
            </w:r>
          </w:p>
        </w:tc>
        <w:tc>
          <w:tcPr>
            <w:tcW w:w="961" w:type="dxa"/>
            <w:tcBorders>
              <w:top w:val="nil"/>
              <w:left w:val="nil"/>
              <w:bottom w:val="nil"/>
              <w:right w:val="single" w:sz="4" w:space="0" w:color="auto"/>
            </w:tcBorders>
            <w:shd w:val="clear" w:color="000000" w:fill="FFFFFF"/>
            <w:noWrap/>
            <w:vAlign w:val="bottom"/>
            <w:hideMark/>
          </w:tcPr>
          <w:p w14:paraId="73BA8D28"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-0.2</w:t>
            </w:r>
          </w:p>
        </w:tc>
      </w:tr>
      <w:tr w:rsidR="00551589" w14:paraId="3E3F4C52" w14:textId="77777777" w:rsidTr="00551589">
        <w:trPr>
          <w:trHeight w:val="315"/>
        </w:trPr>
        <w:tc>
          <w:tcPr>
            <w:tcW w:w="1480" w:type="dxa"/>
            <w:tcBorders>
              <w:top w:val="nil"/>
              <w:left w:val="nil"/>
              <w:bottom w:val="double" w:sz="6" w:space="0" w:color="auto"/>
              <w:right w:val="nil"/>
            </w:tcBorders>
            <w:shd w:val="clear" w:color="000000" w:fill="FFFFFF"/>
            <w:noWrap/>
            <w:vAlign w:val="bottom"/>
            <w:hideMark/>
          </w:tcPr>
          <w:p w14:paraId="09D42166" w14:textId="77777777" w:rsidR="00551589" w:rsidRDefault="00551589">
            <w:pPr>
              <w:rPr>
                <w:rFonts w:ascii="Calibri" w:hAnsi="Calibri" w:cs="Calibri"/>
                <w:b/>
                <w:bCs/>
                <w:color w:val="000000"/>
                <w:sz w:val="20"/>
                <w:szCs w:val="20"/>
              </w:rPr>
            </w:pPr>
            <w:r>
              <w:rPr>
                <w:rFonts w:ascii="Calibri" w:hAnsi="Calibri" w:cs="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2A11ED78"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0.7</w:t>
            </w:r>
          </w:p>
        </w:tc>
        <w:tc>
          <w:tcPr>
            <w:tcW w:w="961" w:type="dxa"/>
            <w:tcBorders>
              <w:top w:val="nil"/>
              <w:left w:val="nil"/>
              <w:bottom w:val="double" w:sz="6" w:space="0" w:color="auto"/>
              <w:right w:val="single" w:sz="4" w:space="0" w:color="auto"/>
            </w:tcBorders>
            <w:shd w:val="clear" w:color="000000" w:fill="FFFFFF"/>
            <w:noWrap/>
            <w:vAlign w:val="bottom"/>
            <w:hideMark/>
          </w:tcPr>
          <w:p w14:paraId="0CCFDCE7"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1D5A4843"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2.1</w:t>
            </w:r>
          </w:p>
        </w:tc>
        <w:tc>
          <w:tcPr>
            <w:tcW w:w="961" w:type="dxa"/>
            <w:tcBorders>
              <w:top w:val="nil"/>
              <w:left w:val="nil"/>
              <w:bottom w:val="double" w:sz="6" w:space="0" w:color="auto"/>
              <w:right w:val="single" w:sz="4" w:space="0" w:color="auto"/>
            </w:tcBorders>
            <w:shd w:val="clear" w:color="000000" w:fill="FFFFFF"/>
            <w:noWrap/>
            <w:vAlign w:val="bottom"/>
            <w:hideMark/>
          </w:tcPr>
          <w:p w14:paraId="2B92EA9D" w14:textId="77777777" w:rsidR="00551589" w:rsidRDefault="00551589">
            <w:pPr>
              <w:jc w:val="center"/>
              <w:rPr>
                <w:rFonts w:ascii="Calibri" w:hAnsi="Calibri" w:cs="Calibri"/>
                <w:color w:val="000000"/>
                <w:sz w:val="20"/>
                <w:szCs w:val="20"/>
              </w:rPr>
            </w:pPr>
            <w:r>
              <w:rPr>
                <w:rFonts w:ascii="Calibri" w:hAnsi="Calibri" w:cs="Calibri"/>
                <w:color w:val="000000"/>
                <w:sz w:val="20"/>
                <w:szCs w:val="20"/>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9A76468"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bookmarkStart w:id="9" w:name="OLE_LINK23"/>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w:t>
      </w:r>
      <w:r w:rsidR="00F022E0">
        <w:rPr>
          <w:rFonts w:ascii="Palatino Linotype" w:hAnsi="Palatino Linotype" w:cstheme="minorHAnsi"/>
          <w:b/>
          <w:sz w:val="22"/>
          <w:szCs w:val="22"/>
        </w:rPr>
        <w:t>az da olsa arttı</w:t>
      </w:r>
    </w:p>
    <w:p w14:paraId="1EDCC445" w14:textId="58729EF9" w:rsidR="00062A8A" w:rsidRPr="005E0D21" w:rsidRDefault="008A3594"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Yatırım harcamaları bu çeyrekte yıllık bazda </w:t>
      </w:r>
      <w:r w:rsidR="00EC1186">
        <w:rPr>
          <w:rFonts w:ascii="Palatino Linotype" w:hAnsi="Palatino Linotype" w:cstheme="minorHAnsi"/>
          <w:sz w:val="22"/>
          <w:szCs w:val="22"/>
        </w:rPr>
        <w:t>yüzde 4,7 artarak büyümeye 1,4 yüzde puan katkı yaptı. Çeyreklik</w:t>
      </w:r>
      <w:r w:rsidR="003C09C5">
        <w:rPr>
          <w:rFonts w:ascii="Palatino Linotype" w:hAnsi="Palatino Linotype" w:cstheme="minorHAnsi"/>
          <w:sz w:val="22"/>
          <w:szCs w:val="22"/>
        </w:rPr>
        <w:t xml:space="preserve"> bazda</w:t>
      </w:r>
      <w:r w:rsidR="00EC1186">
        <w:rPr>
          <w:rFonts w:ascii="Palatino Linotype" w:hAnsi="Palatino Linotype" w:cstheme="minorHAnsi"/>
          <w:sz w:val="22"/>
          <w:szCs w:val="22"/>
        </w:rPr>
        <w:t xml:space="preserve"> ise </w:t>
      </w:r>
      <w:r w:rsidR="002270D8">
        <w:rPr>
          <w:rFonts w:ascii="Palatino Linotype" w:hAnsi="Palatino Linotype" w:cstheme="minorHAnsi"/>
          <w:sz w:val="22"/>
          <w:szCs w:val="22"/>
        </w:rPr>
        <w:t xml:space="preserve">bir önceki çeyreği kıyasla </w:t>
      </w:r>
      <w:r w:rsidR="003C09C5">
        <w:rPr>
          <w:rFonts w:ascii="Palatino Linotype" w:hAnsi="Palatino Linotype" w:cstheme="minorHAnsi"/>
          <w:sz w:val="22"/>
          <w:szCs w:val="22"/>
        </w:rPr>
        <w:t>yüzde 1,</w:t>
      </w:r>
      <w:r w:rsidR="002270D8">
        <w:rPr>
          <w:rFonts w:ascii="Palatino Linotype" w:hAnsi="Palatino Linotype" w:cstheme="minorHAnsi"/>
          <w:sz w:val="22"/>
          <w:szCs w:val="22"/>
        </w:rPr>
        <w:t xml:space="preserve">3 azalarak </w:t>
      </w:r>
      <w:r w:rsidR="00A527AC">
        <w:rPr>
          <w:rFonts w:ascii="Palatino Linotype" w:hAnsi="Palatino Linotype" w:cstheme="minorHAnsi"/>
          <w:sz w:val="22"/>
          <w:szCs w:val="22"/>
        </w:rPr>
        <w:t>büyümeyi 0,4 yüzde puan baskıladı</w:t>
      </w:r>
      <w:r w:rsidR="001D37D1">
        <w:rPr>
          <w:rFonts w:ascii="Palatino Linotype" w:hAnsi="Palatino Linotype" w:cstheme="minorHAnsi"/>
          <w:sz w:val="22"/>
          <w:szCs w:val="22"/>
        </w:rPr>
        <w:t xml:space="preserve"> (Tablo 1</w:t>
      </w:r>
      <w:r w:rsidR="003C09C5">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bookmarkEnd w:id="9"/>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0DD95884" w:rsidR="00681AD9" w:rsidRPr="005E0D21"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bookmarkStart w:id="10" w:name="OLE_LINK24"/>
      <w:bookmarkStart w:id="11" w:name="OLE_LINK25"/>
      <w:r w:rsidRPr="005E0D21">
        <w:rPr>
          <w:rFonts w:ascii="Palatino Linotype" w:hAnsi="Palatino Linotype" w:cstheme="minorHAnsi"/>
          <w:b/>
          <w:sz w:val="22"/>
          <w:szCs w:val="22"/>
        </w:rPr>
        <w:lastRenderedPageBreak/>
        <w:t>Stok</w:t>
      </w:r>
      <w:r w:rsidR="00B31727">
        <w:rPr>
          <w:rFonts w:ascii="Palatino Linotype" w:hAnsi="Palatino Linotype" w:cstheme="minorHAnsi"/>
          <w:b/>
          <w:sz w:val="22"/>
          <w:szCs w:val="22"/>
        </w:rPr>
        <w:t>lar eri</w:t>
      </w:r>
      <w:r w:rsidR="000F34BE">
        <w:rPr>
          <w:rFonts w:ascii="Palatino Linotype" w:hAnsi="Palatino Linotype" w:cstheme="minorHAnsi"/>
          <w:b/>
          <w:sz w:val="22"/>
          <w:szCs w:val="22"/>
        </w:rPr>
        <w:t>meye devam etti</w:t>
      </w:r>
      <w:r w:rsidR="00494926" w:rsidRPr="005E0D21">
        <w:rPr>
          <w:rStyle w:val="FootnoteReference"/>
          <w:rFonts w:ascii="Palatino Linotype" w:hAnsi="Palatino Linotype" w:cstheme="minorHAnsi"/>
          <w:b/>
          <w:sz w:val="22"/>
          <w:szCs w:val="22"/>
        </w:rPr>
        <w:footnoteReference w:id="3"/>
      </w:r>
    </w:p>
    <w:p w14:paraId="2F77854E" w14:textId="4C511831" w:rsidR="00450CEA" w:rsidRDefault="00F022E0"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4" w:name="OLE_LINK15"/>
      <w:bookmarkStart w:id="15" w:name="OLE_LINK16"/>
      <w:bookmarkStart w:id="16" w:name="OLE_LINK7"/>
      <w:bookmarkStart w:id="17" w:name="OLE_LINK8"/>
      <w:r>
        <w:rPr>
          <w:rFonts w:ascii="Palatino Linotype" w:hAnsi="Palatino Linotype" w:cstheme="minorHAnsi"/>
          <w:sz w:val="22"/>
          <w:szCs w:val="22"/>
        </w:rPr>
        <w:t>Stok değişimlerinin yıllık büyümeyi baskılamaya devam ettiğini görüyoruz.</w:t>
      </w:r>
      <w:r w:rsidR="00007C3F" w:rsidRPr="005E0D21">
        <w:rPr>
          <w:rFonts w:ascii="Palatino Linotype" w:hAnsi="Palatino Linotype" w:cstheme="minorHAnsi"/>
          <w:sz w:val="22"/>
          <w:szCs w:val="22"/>
        </w:rPr>
        <w:t xml:space="preserve"> </w:t>
      </w:r>
      <w:bookmarkEnd w:id="14"/>
      <w:bookmarkEnd w:id="15"/>
      <w:r w:rsidR="00173752">
        <w:rPr>
          <w:rFonts w:ascii="Palatino Linotype" w:hAnsi="Palatino Linotype" w:cstheme="minorHAnsi"/>
          <w:sz w:val="22"/>
          <w:szCs w:val="22"/>
        </w:rPr>
        <w:t xml:space="preserve">Stok değişimlerinin yıllık büyümeye katkısı eksi </w:t>
      </w:r>
      <w:r w:rsidR="00642AA7">
        <w:rPr>
          <w:rFonts w:ascii="Palatino Linotype" w:hAnsi="Palatino Linotype" w:cstheme="minorHAnsi"/>
          <w:sz w:val="22"/>
          <w:szCs w:val="22"/>
        </w:rPr>
        <w:t>10</w:t>
      </w:r>
      <w:r w:rsidR="00173752">
        <w:rPr>
          <w:rFonts w:ascii="Palatino Linotype" w:hAnsi="Palatino Linotype" w:cstheme="minorHAnsi"/>
          <w:sz w:val="22"/>
          <w:szCs w:val="22"/>
        </w:rPr>
        <w:t>,</w:t>
      </w:r>
      <w:r w:rsidR="00642AA7">
        <w:rPr>
          <w:rFonts w:ascii="Palatino Linotype" w:hAnsi="Palatino Linotype" w:cstheme="minorHAnsi"/>
          <w:sz w:val="22"/>
          <w:szCs w:val="22"/>
        </w:rPr>
        <w:t>3</w:t>
      </w:r>
      <w:r w:rsidR="00173752">
        <w:rPr>
          <w:rFonts w:ascii="Palatino Linotype" w:hAnsi="Palatino Linotype" w:cstheme="minorHAnsi"/>
          <w:sz w:val="22"/>
          <w:szCs w:val="22"/>
        </w:rPr>
        <w:t xml:space="preserve"> yüzde puan</w:t>
      </w:r>
      <w:r w:rsidR="00C21163">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(Tablo 1)</w:t>
      </w:r>
      <w:r w:rsidR="00C21163">
        <w:rPr>
          <w:rFonts w:ascii="Palatino Linotype" w:hAnsi="Palatino Linotype" w:cstheme="minorHAnsi"/>
          <w:sz w:val="22"/>
          <w:szCs w:val="22"/>
        </w:rPr>
        <w:t>,</w:t>
      </w:r>
      <w:r w:rsidR="005C51D9" w:rsidRPr="005E0D21">
        <w:rPr>
          <w:rFonts w:ascii="Palatino Linotype" w:hAnsi="Palatino Linotype" w:cstheme="minorHAnsi"/>
          <w:sz w:val="22"/>
          <w:szCs w:val="22"/>
        </w:rPr>
        <w:t xml:space="preserve"> mevsim ve takvim etkisinden arındırılmış veriye göre</w:t>
      </w:r>
      <w:r>
        <w:rPr>
          <w:rFonts w:ascii="Palatino Linotype" w:hAnsi="Palatino Linotype" w:cstheme="minorHAnsi"/>
          <w:sz w:val="22"/>
          <w:szCs w:val="22"/>
        </w:rPr>
        <w:t xml:space="preserve"> ise</w:t>
      </w:r>
      <w:r w:rsidR="005C51D9" w:rsidRPr="005E0D21">
        <w:rPr>
          <w:rFonts w:ascii="Palatino Linotype" w:hAnsi="Palatino Linotype" w:cstheme="minorHAnsi"/>
          <w:sz w:val="22"/>
          <w:szCs w:val="22"/>
        </w:rPr>
        <w:t xml:space="preserve"> çeyreklik büyümeye katkısı</w:t>
      </w:r>
      <w:r w:rsidR="00AA678E" w:rsidRPr="005E0D21">
        <w:rPr>
          <w:rFonts w:ascii="Palatino Linotype" w:hAnsi="Palatino Linotype" w:cstheme="minorHAnsi"/>
          <w:sz w:val="22"/>
          <w:szCs w:val="22"/>
        </w:rPr>
        <w:t xml:space="preserve"> </w:t>
      </w:r>
      <w:r w:rsidR="00C21163">
        <w:rPr>
          <w:rFonts w:ascii="Palatino Linotype" w:hAnsi="Palatino Linotype" w:cstheme="minorHAnsi"/>
          <w:sz w:val="22"/>
          <w:szCs w:val="22"/>
        </w:rPr>
        <w:t>eksi</w:t>
      </w:r>
      <w:r>
        <w:rPr>
          <w:rFonts w:ascii="Palatino Linotype" w:hAnsi="Palatino Linotype" w:cstheme="minorHAnsi"/>
          <w:sz w:val="22"/>
          <w:szCs w:val="22"/>
        </w:rPr>
        <w:t xml:space="preserve"> 1,</w:t>
      </w:r>
      <w:r w:rsidR="00642AA7">
        <w:rPr>
          <w:rFonts w:ascii="Palatino Linotype" w:hAnsi="Palatino Linotype" w:cstheme="minorHAnsi"/>
          <w:sz w:val="22"/>
          <w:szCs w:val="22"/>
        </w:rPr>
        <w:t>3</w:t>
      </w:r>
      <w:r>
        <w:rPr>
          <w:rFonts w:ascii="Palatino Linotype" w:hAnsi="Palatino Linotype" w:cstheme="minorHAnsi"/>
          <w:sz w:val="22"/>
          <w:szCs w:val="22"/>
        </w:rPr>
        <w:t xml:space="preserve"> yüzde puan olarak gerçekleşti</w:t>
      </w:r>
      <w:r w:rsidR="005C51D9" w:rsidRPr="005E0D21">
        <w:rPr>
          <w:rFonts w:ascii="Palatino Linotype" w:hAnsi="Palatino Linotype" w:cstheme="minorHAnsi"/>
          <w:sz w:val="22"/>
          <w:szCs w:val="22"/>
        </w:rPr>
        <w:t xml:space="preserve"> (Tablo 2).</w:t>
      </w:r>
      <w:bookmarkEnd w:id="16"/>
      <w:bookmarkEnd w:id="17"/>
      <w:r w:rsidR="006E09D6" w:rsidRPr="005E0D21">
        <w:rPr>
          <w:rFonts w:ascii="Palatino Linotype" w:hAnsi="Palatino Linotype" w:cstheme="minorHAnsi"/>
          <w:sz w:val="22"/>
          <w:szCs w:val="22"/>
        </w:rPr>
        <w:t xml:space="preserve"> </w:t>
      </w:r>
      <w:r w:rsidR="006E09D6" w:rsidRPr="001E3320">
        <w:rPr>
          <w:rFonts w:ascii="Palatino Linotype" w:hAnsi="Palatino Linotype" w:cstheme="minorHAnsi"/>
          <w:sz w:val="22"/>
          <w:szCs w:val="22"/>
        </w:rPr>
        <w:t>Stok değişiminin yıllık büyümey</w:t>
      </w:r>
      <w:r w:rsidR="00793D58" w:rsidRPr="001E3320">
        <w:rPr>
          <w:rFonts w:ascii="Palatino Linotype" w:hAnsi="Palatino Linotype" w:cstheme="minorHAnsi"/>
          <w:sz w:val="22"/>
          <w:szCs w:val="22"/>
        </w:rPr>
        <w:t>e katkısı negatif oldu. Bunun sebebi p</w:t>
      </w:r>
      <w:r w:rsidR="0048730C" w:rsidRPr="001E3320">
        <w:rPr>
          <w:rFonts w:ascii="Palatino Linotype" w:hAnsi="Palatino Linotype" w:cstheme="minorHAnsi"/>
          <w:sz w:val="22"/>
          <w:szCs w:val="22"/>
        </w:rPr>
        <w:t xml:space="preserve">andemi </w:t>
      </w:r>
      <w:r w:rsidR="00793D58" w:rsidRPr="001E3320">
        <w:rPr>
          <w:rFonts w:ascii="Palatino Linotype" w:hAnsi="Palatino Linotype" w:cstheme="minorHAnsi"/>
          <w:sz w:val="22"/>
          <w:szCs w:val="22"/>
        </w:rPr>
        <w:t xml:space="preserve">döneminde biriken </w:t>
      </w:r>
      <w:r w:rsidR="00B31727" w:rsidRPr="001E3320">
        <w:rPr>
          <w:rFonts w:ascii="Palatino Linotype" w:hAnsi="Palatino Linotype" w:cstheme="minorHAnsi"/>
          <w:sz w:val="22"/>
          <w:szCs w:val="22"/>
        </w:rPr>
        <w:t>stokların</w:t>
      </w:r>
      <w:r w:rsidR="0071724C" w:rsidRPr="001E3320">
        <w:rPr>
          <w:rFonts w:ascii="Palatino Linotype" w:hAnsi="Palatino Linotype" w:cstheme="minorHAnsi"/>
          <w:sz w:val="22"/>
          <w:szCs w:val="22"/>
        </w:rPr>
        <w:t xml:space="preserve">, </w:t>
      </w:r>
      <w:r w:rsidR="00DD00FB" w:rsidRPr="001E3320">
        <w:rPr>
          <w:rFonts w:ascii="Palatino Linotype" w:hAnsi="Palatino Linotype" w:cstheme="minorHAnsi"/>
          <w:sz w:val="22"/>
          <w:szCs w:val="22"/>
        </w:rPr>
        <w:t xml:space="preserve">2021’de olduğu gibi 2022’nin </w:t>
      </w:r>
      <w:r w:rsidR="0071724C" w:rsidRPr="001E3320">
        <w:rPr>
          <w:rFonts w:ascii="Palatino Linotype" w:hAnsi="Palatino Linotype" w:cstheme="minorHAnsi"/>
          <w:sz w:val="22"/>
          <w:szCs w:val="22"/>
        </w:rPr>
        <w:t>ilk</w:t>
      </w:r>
      <w:r w:rsidR="0048730C" w:rsidRPr="001E3320">
        <w:rPr>
          <w:rFonts w:ascii="Palatino Linotype" w:hAnsi="Palatino Linotype" w:cstheme="minorHAnsi"/>
          <w:sz w:val="22"/>
          <w:szCs w:val="22"/>
        </w:rPr>
        <w:t xml:space="preserve"> çeyre</w:t>
      </w:r>
      <w:r w:rsidR="00DD00FB" w:rsidRPr="001E3320">
        <w:rPr>
          <w:rFonts w:ascii="Palatino Linotype" w:hAnsi="Palatino Linotype" w:cstheme="minorHAnsi"/>
          <w:sz w:val="22"/>
          <w:szCs w:val="22"/>
        </w:rPr>
        <w:t xml:space="preserve">ğinde de </w:t>
      </w:r>
      <w:r w:rsidR="0048730C" w:rsidRPr="001E3320">
        <w:rPr>
          <w:rFonts w:ascii="Palatino Linotype" w:hAnsi="Palatino Linotype" w:cstheme="minorHAnsi"/>
          <w:sz w:val="22"/>
          <w:szCs w:val="22"/>
        </w:rPr>
        <w:t>eri</w:t>
      </w:r>
      <w:r w:rsidR="00B31727" w:rsidRPr="001E3320">
        <w:rPr>
          <w:rFonts w:ascii="Palatino Linotype" w:hAnsi="Palatino Linotype" w:cstheme="minorHAnsi"/>
          <w:sz w:val="22"/>
          <w:szCs w:val="22"/>
        </w:rPr>
        <w:t>meye devam et</w:t>
      </w:r>
      <w:r w:rsidR="00DD00FB" w:rsidRPr="001E3320">
        <w:rPr>
          <w:rFonts w:ascii="Palatino Linotype" w:hAnsi="Palatino Linotype" w:cstheme="minorHAnsi"/>
          <w:sz w:val="22"/>
          <w:szCs w:val="22"/>
        </w:rPr>
        <w:t>me</w:t>
      </w:r>
      <w:r w:rsidR="008F10DA" w:rsidRPr="001E3320">
        <w:rPr>
          <w:rFonts w:ascii="Palatino Linotype" w:hAnsi="Palatino Linotype" w:cstheme="minorHAnsi"/>
          <w:sz w:val="22"/>
          <w:szCs w:val="22"/>
        </w:rPr>
        <w:t xml:space="preserve">sidir. Azalan stoklar sebebi ile </w:t>
      </w:r>
      <w:r w:rsidR="004950F8" w:rsidRPr="001E3320">
        <w:rPr>
          <w:rFonts w:ascii="Palatino Linotype" w:hAnsi="Palatino Linotype" w:cstheme="minorHAnsi"/>
          <w:sz w:val="22"/>
          <w:szCs w:val="22"/>
        </w:rPr>
        <w:t>üretim</w:t>
      </w:r>
      <w:r w:rsidR="008F10DA" w:rsidRPr="001E3320">
        <w:rPr>
          <w:rFonts w:ascii="Palatino Linotype" w:hAnsi="Palatino Linotype" w:cstheme="minorHAnsi"/>
          <w:sz w:val="22"/>
          <w:szCs w:val="22"/>
        </w:rPr>
        <w:t xml:space="preserve"> artışı</w:t>
      </w:r>
      <w:r w:rsidR="000F34BE" w:rsidRPr="001E3320">
        <w:rPr>
          <w:rFonts w:ascii="Palatino Linotype" w:hAnsi="Palatino Linotype" w:cstheme="minorHAnsi"/>
          <w:sz w:val="22"/>
          <w:szCs w:val="22"/>
        </w:rPr>
        <w:t xml:space="preserve">nın </w:t>
      </w:r>
      <w:r w:rsidR="007C47CA" w:rsidRPr="001E3320">
        <w:rPr>
          <w:rFonts w:ascii="Palatino Linotype" w:hAnsi="Palatino Linotype" w:cstheme="minorHAnsi"/>
          <w:sz w:val="22"/>
          <w:szCs w:val="22"/>
        </w:rPr>
        <w:t>tüketim artışın</w:t>
      </w:r>
      <w:r w:rsidR="00AC2CCA" w:rsidRPr="001E3320">
        <w:rPr>
          <w:rFonts w:ascii="Palatino Linotype" w:hAnsi="Palatino Linotype" w:cstheme="minorHAnsi"/>
          <w:sz w:val="22"/>
          <w:szCs w:val="22"/>
        </w:rPr>
        <w:t>a kıyasla daha düşük</w:t>
      </w:r>
      <w:r w:rsidR="007C47CA" w:rsidRPr="001E3320">
        <w:rPr>
          <w:rFonts w:ascii="Palatino Linotype" w:hAnsi="Palatino Linotype" w:cstheme="minorHAnsi"/>
          <w:sz w:val="22"/>
          <w:szCs w:val="22"/>
        </w:rPr>
        <w:t xml:space="preserve"> kaldığı</w:t>
      </w:r>
      <w:r w:rsidR="00190CDF" w:rsidRPr="001E3320">
        <w:rPr>
          <w:rFonts w:ascii="Palatino Linotype" w:hAnsi="Palatino Linotype" w:cstheme="minorHAnsi"/>
          <w:sz w:val="22"/>
          <w:szCs w:val="22"/>
        </w:rPr>
        <w:t>nı</w:t>
      </w:r>
      <w:r w:rsidR="007C47CA" w:rsidRPr="001E3320">
        <w:rPr>
          <w:rFonts w:ascii="Palatino Linotype" w:hAnsi="Palatino Linotype" w:cstheme="minorHAnsi"/>
          <w:sz w:val="22"/>
          <w:szCs w:val="22"/>
        </w:rPr>
        <w:t xml:space="preserve"> </w:t>
      </w:r>
      <w:r w:rsidR="000F34BE" w:rsidRPr="001E3320">
        <w:rPr>
          <w:rFonts w:ascii="Palatino Linotype" w:hAnsi="Palatino Linotype" w:cstheme="minorHAnsi"/>
          <w:sz w:val="22"/>
          <w:szCs w:val="22"/>
        </w:rPr>
        <w:t>söyle</w:t>
      </w:r>
      <w:r w:rsidR="00190CDF" w:rsidRPr="001E3320">
        <w:rPr>
          <w:rFonts w:ascii="Palatino Linotype" w:hAnsi="Palatino Linotype" w:cstheme="minorHAnsi"/>
          <w:sz w:val="22"/>
          <w:szCs w:val="22"/>
        </w:rPr>
        <w:t>y</w:t>
      </w:r>
      <w:r w:rsidR="000F34BE" w:rsidRPr="001E3320">
        <w:rPr>
          <w:rFonts w:ascii="Palatino Linotype" w:hAnsi="Palatino Linotype" w:cstheme="minorHAnsi"/>
          <w:sz w:val="22"/>
          <w:szCs w:val="22"/>
        </w:rPr>
        <w:t>ebilir</w:t>
      </w:r>
      <w:r w:rsidR="00190CDF" w:rsidRPr="001E3320">
        <w:rPr>
          <w:rFonts w:ascii="Palatino Linotype" w:hAnsi="Palatino Linotype" w:cstheme="minorHAnsi"/>
          <w:sz w:val="22"/>
          <w:szCs w:val="22"/>
        </w:rPr>
        <w:t>iz</w:t>
      </w:r>
      <w:r w:rsidR="000F34BE" w:rsidRPr="001E3320">
        <w:rPr>
          <w:rFonts w:ascii="Palatino Linotype" w:hAnsi="Palatino Linotype" w:cstheme="minorHAnsi"/>
          <w:sz w:val="22"/>
          <w:szCs w:val="22"/>
        </w:rPr>
        <w:t>.</w:t>
      </w:r>
      <w:r w:rsidR="000F34BE">
        <w:rPr>
          <w:rFonts w:ascii="Palatino Linotype" w:hAnsi="Palatino Linotype" w:cstheme="minorHAnsi"/>
          <w:sz w:val="22"/>
          <w:szCs w:val="22"/>
        </w:rPr>
        <w:t xml:space="preserve"> </w:t>
      </w:r>
    </w:p>
    <w:bookmarkEnd w:id="10"/>
    <w:bookmarkEnd w:id="11"/>
    <w:p w14:paraId="460F9C7D" w14:textId="77777777" w:rsidR="007C47CA" w:rsidRPr="005E0D21" w:rsidRDefault="007C47C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033A6694" w:rsidR="00F46A54" w:rsidRPr="005E0D21" w:rsidRDefault="00F022E0" w:rsidP="00F30329">
      <w:pPr>
        <w:pStyle w:val="NormalWeb"/>
        <w:spacing w:before="0" w:beforeAutospacing="0" w:after="120" w:afterAutospacing="0" w:line="360" w:lineRule="auto"/>
        <w:ind w:right="79"/>
        <w:rPr>
          <w:rFonts w:ascii="Palatino Linotype" w:hAnsi="Palatino Linotype" w:cstheme="minorHAnsi"/>
          <w:b/>
          <w:sz w:val="22"/>
          <w:szCs w:val="22"/>
        </w:rPr>
      </w:pPr>
      <w:bookmarkStart w:id="18" w:name="OLE_LINK26"/>
      <w:r>
        <w:rPr>
          <w:rFonts w:ascii="Palatino Linotype" w:hAnsi="Palatino Linotype" w:cstheme="minorHAnsi"/>
          <w:b/>
          <w:sz w:val="22"/>
          <w:szCs w:val="22"/>
        </w:rPr>
        <w:t xml:space="preserve">Dış ticaret katkısı </w:t>
      </w:r>
      <w:r w:rsidR="007D2341">
        <w:rPr>
          <w:rFonts w:ascii="Palatino Linotype" w:hAnsi="Palatino Linotype" w:cstheme="minorHAnsi"/>
          <w:b/>
          <w:sz w:val="22"/>
          <w:szCs w:val="22"/>
        </w:rPr>
        <w:t>pozitif</w:t>
      </w:r>
    </w:p>
    <w:p w14:paraId="142C0302" w14:textId="225C7679" w:rsidR="00062A8A" w:rsidRPr="005E0D21" w:rsidRDefault="001F5399" w:rsidP="00EB7390">
      <w:pPr>
        <w:pStyle w:val="NormalWeb"/>
        <w:spacing w:before="0" w:beforeAutospacing="0" w:after="0" w:afterAutospacing="0" w:line="360" w:lineRule="auto"/>
        <w:ind w:right="77"/>
        <w:jc w:val="both"/>
        <w:rPr>
          <w:rFonts w:ascii="Palatino Linotype" w:hAnsi="Palatino Linotype" w:cstheme="minorHAnsi"/>
          <w:sz w:val="22"/>
          <w:szCs w:val="22"/>
        </w:rPr>
      </w:pPr>
      <w:bookmarkStart w:id="19" w:name="OLE_LINK11"/>
      <w:bookmarkStart w:id="20" w:name="OLE_LINK12"/>
      <w:r>
        <w:rPr>
          <w:rFonts w:ascii="Palatino Linotype" w:hAnsi="Palatino Linotype" w:cstheme="minorHAnsi"/>
          <w:sz w:val="22"/>
          <w:szCs w:val="22"/>
        </w:rPr>
        <w:t>2022 yılının ikinci çeyreğinde</w:t>
      </w:r>
      <w:r w:rsidR="00D9362E">
        <w:rPr>
          <w:rFonts w:ascii="Palatino Linotype" w:hAnsi="Palatino Linotype" w:cstheme="minorHAnsi"/>
          <w:sz w:val="22"/>
          <w:szCs w:val="22"/>
        </w:rPr>
        <w:t xml:space="preserve"> yıllık bazda</w:t>
      </w:r>
      <w:r>
        <w:rPr>
          <w:rFonts w:ascii="Palatino Linotype" w:hAnsi="Palatino Linotype" w:cstheme="minorHAnsi"/>
          <w:sz w:val="22"/>
          <w:szCs w:val="22"/>
        </w:rPr>
        <w:t xml:space="preserve"> </w:t>
      </w:r>
      <w:r w:rsidR="00D9362E">
        <w:rPr>
          <w:rFonts w:ascii="Palatino Linotype" w:hAnsi="Palatino Linotype" w:cstheme="minorHAnsi"/>
          <w:sz w:val="22"/>
          <w:szCs w:val="22"/>
        </w:rPr>
        <w:t>ihracat yüzde 16,4, ithalat ise yüzde 5,8 arttı.</w:t>
      </w:r>
      <w:r w:rsidR="00A94E9C" w:rsidRPr="005E0D21">
        <w:rPr>
          <w:rFonts w:ascii="Palatino Linotype" w:hAnsi="Palatino Linotype" w:cstheme="minorHAnsi"/>
          <w:sz w:val="22"/>
          <w:szCs w:val="22"/>
        </w:rPr>
        <w:t xml:space="preserve"> </w:t>
      </w:r>
      <w:r w:rsidR="00220425">
        <w:rPr>
          <w:rFonts w:ascii="Palatino Linotype" w:hAnsi="Palatino Linotype" w:cstheme="minorHAnsi"/>
          <w:sz w:val="22"/>
          <w:szCs w:val="22"/>
        </w:rPr>
        <w:t>Dış ticaretin büyümeye katkısı 3,9 yüzde puan oldu</w:t>
      </w:r>
      <w:r w:rsidR="00A076DB">
        <w:rPr>
          <w:rFonts w:ascii="Palatino Linotype" w:hAnsi="Palatino Linotype" w:cstheme="minorHAnsi"/>
          <w:sz w:val="22"/>
          <w:szCs w:val="22"/>
        </w:rPr>
        <w:t xml:space="preserve"> </w:t>
      </w:r>
      <w:r w:rsidR="004D1A55" w:rsidRPr="005E0D21">
        <w:rPr>
          <w:rFonts w:ascii="Palatino Linotype" w:hAnsi="Palatino Linotype" w:cstheme="minorHAnsi"/>
          <w:sz w:val="22"/>
          <w:szCs w:val="22"/>
        </w:rPr>
        <w:t xml:space="preserve">(Tablo 1). </w:t>
      </w:r>
      <w:bookmarkStart w:id="21" w:name="OLE_LINK13"/>
      <w:bookmarkStart w:id="22" w:name="OLE_LINK14"/>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bookmarkEnd w:id="21"/>
      <w:bookmarkEnd w:id="22"/>
      <w:r w:rsidR="00D43C22">
        <w:rPr>
          <w:rFonts w:ascii="Palatino Linotype" w:hAnsi="Palatino Linotype" w:cstheme="minorHAnsi"/>
          <w:sz w:val="22"/>
          <w:szCs w:val="22"/>
        </w:rPr>
        <w:t>ihracatın yüzde 4,</w:t>
      </w:r>
      <w:r w:rsidR="00EB7390">
        <w:rPr>
          <w:rFonts w:ascii="Palatino Linotype" w:hAnsi="Palatino Linotype" w:cstheme="minorHAnsi"/>
          <w:sz w:val="22"/>
          <w:szCs w:val="22"/>
        </w:rPr>
        <w:t>1, ithalatın ise yüzde 0,7 arttığı, dış ticaretin çeyreklik büyümeye 1,7 yüzde puan katkı yaptığı görülmektedir</w:t>
      </w:r>
      <w:r w:rsidR="0068354F">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p>
    <w:bookmarkEnd w:id="18"/>
    <w:bookmarkEnd w:id="19"/>
    <w:bookmarkEnd w:id="20"/>
    <w:p w14:paraId="2B8DE216" w14:textId="642AB2AC"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05C3655A"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bookmarkStart w:id="23" w:name="OLE_LINK27"/>
      <w:bookmarkStart w:id="24" w:name="OLE_LINK28"/>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F32A84">
        <w:rPr>
          <w:rFonts w:ascii="Palatino Linotype" w:hAnsi="Palatino Linotype" w:cstheme="minorHAnsi"/>
          <w:b/>
          <w:bCs/>
          <w:sz w:val="22"/>
          <w:szCs w:val="22"/>
        </w:rPr>
        <w:t>arttı</w:t>
      </w:r>
    </w:p>
    <w:p w14:paraId="6D5A1000" w14:textId="6B726F57"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68354F">
        <w:rPr>
          <w:rFonts w:ascii="Palatino Linotype" w:hAnsi="Palatino Linotype" w:cstheme="minorHAnsi"/>
          <w:sz w:val="22"/>
          <w:szCs w:val="22"/>
        </w:rPr>
        <w:t>2</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F32A84">
        <w:rPr>
          <w:rFonts w:ascii="Palatino Linotype" w:hAnsi="Palatino Linotype" w:cstheme="minorHAnsi"/>
          <w:sz w:val="22"/>
          <w:szCs w:val="22"/>
        </w:rPr>
        <w:t>ikinci</w:t>
      </w:r>
      <w:r w:rsidR="00A94E9C" w:rsidRPr="005E0D21">
        <w:rPr>
          <w:rFonts w:ascii="Palatino Linotype" w:hAnsi="Palatino Linotype" w:cstheme="minorHAnsi"/>
          <w:sz w:val="22"/>
          <w:szCs w:val="22"/>
        </w:rPr>
        <w:t xml:space="preserve"> çeyreğinde </w:t>
      </w:r>
      <w:bookmarkStart w:id="25" w:name="OLE_LINK17"/>
      <w:bookmarkStart w:id="26"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17424F">
        <w:rPr>
          <w:rFonts w:ascii="Palatino Linotype" w:hAnsi="Palatino Linotype" w:cstheme="minorHAnsi"/>
          <w:sz w:val="22"/>
          <w:szCs w:val="22"/>
        </w:rPr>
        <w:t>2</w:t>
      </w:r>
      <w:r w:rsidR="0048406B">
        <w:rPr>
          <w:rFonts w:ascii="Palatino Linotype" w:hAnsi="Palatino Linotype" w:cstheme="minorHAnsi"/>
          <w:sz w:val="22"/>
          <w:szCs w:val="22"/>
        </w:rPr>
        <w:t>,</w:t>
      </w:r>
      <w:r w:rsidR="0017424F">
        <w:rPr>
          <w:rFonts w:ascii="Palatino Linotype" w:hAnsi="Palatino Linotype" w:cstheme="minorHAnsi"/>
          <w:sz w:val="22"/>
          <w:szCs w:val="22"/>
        </w:rPr>
        <w:t>3</w:t>
      </w:r>
      <w:r w:rsidR="0048406B">
        <w:rPr>
          <w:rFonts w:ascii="Palatino Linotype" w:hAnsi="Palatino Linotype" w:cstheme="minorHAnsi"/>
          <w:sz w:val="22"/>
          <w:szCs w:val="22"/>
        </w:rPr>
        <w:t xml:space="preserve">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48406B">
        <w:rPr>
          <w:rFonts w:ascii="Palatino Linotype" w:hAnsi="Palatino Linotype" w:cstheme="minorHAnsi"/>
          <w:sz w:val="22"/>
          <w:szCs w:val="22"/>
        </w:rPr>
        <w:t>0</w:t>
      </w:r>
      <w:r w:rsidRPr="005E0D21">
        <w:rPr>
          <w:rFonts w:ascii="Palatino Linotype" w:hAnsi="Palatino Linotype" w:cstheme="minorHAnsi"/>
          <w:sz w:val="22"/>
          <w:szCs w:val="22"/>
        </w:rPr>
        <w:t>,</w:t>
      </w:r>
      <w:r w:rsidR="00086C64">
        <w:rPr>
          <w:rFonts w:ascii="Palatino Linotype" w:hAnsi="Palatino Linotype" w:cstheme="minorHAnsi"/>
          <w:sz w:val="22"/>
          <w:szCs w:val="22"/>
        </w:rPr>
        <w:t>3</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25"/>
      <w:bookmarkEnd w:id="26"/>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Mevsimsellikten</w:t>
      </w:r>
      <w:r w:rsidR="00A94E9C">
        <w:rPr>
          <w:rFonts w:ascii="Palatino Linotype" w:hAnsi="Palatino Linotype" w:cstheme="minorHAnsi"/>
          <w:sz w:val="22"/>
          <w:szCs w:val="22"/>
        </w:rPr>
        <w:t xml:space="preserve"> arındırılmış rakamlarda ise, kamu tüketimi</w:t>
      </w:r>
      <w:r w:rsidR="0068354F">
        <w:rPr>
          <w:rFonts w:ascii="Palatino Linotype" w:hAnsi="Palatino Linotype" w:cstheme="minorHAnsi"/>
          <w:sz w:val="22"/>
          <w:szCs w:val="22"/>
        </w:rPr>
        <w:t xml:space="preserve"> </w:t>
      </w:r>
      <w:r w:rsidR="00CD2067">
        <w:rPr>
          <w:rFonts w:ascii="Palatino Linotype" w:hAnsi="Palatino Linotype" w:cstheme="minorHAnsi"/>
          <w:sz w:val="22"/>
          <w:szCs w:val="22"/>
        </w:rPr>
        <w:t xml:space="preserve">yüzde 1,1’lik artışla, büyümeye </w:t>
      </w:r>
      <w:r w:rsidR="00173671">
        <w:rPr>
          <w:rFonts w:ascii="Palatino Linotype" w:hAnsi="Palatino Linotype" w:cstheme="minorHAnsi"/>
          <w:sz w:val="22"/>
          <w:szCs w:val="22"/>
        </w:rPr>
        <w:t>0,1 yüzde puan katkı yapmıştır</w:t>
      </w:r>
      <w:r w:rsidR="0068354F">
        <w:rPr>
          <w:rFonts w:ascii="Palatino Linotype" w:hAnsi="Palatino Linotype" w:cstheme="minorHAnsi"/>
          <w:sz w:val="22"/>
          <w:szCs w:val="22"/>
        </w:rPr>
        <w:t xml:space="preserve">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bookmarkEnd w:id="23"/>
    <w:bookmarkEnd w:id="24"/>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72449C03" w14:textId="77777777" w:rsidR="00944ED5" w:rsidRDefault="00944E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lastRenderedPageBreak/>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4CBBA086" w:rsidR="00E265D5" w:rsidRDefault="00F63DCE" w:rsidP="0045586B">
      <w:pPr>
        <w:pStyle w:val="NormalWeb"/>
        <w:spacing w:before="0" w:beforeAutospacing="0" w:after="0" w:afterAutospacing="0" w:line="360" w:lineRule="auto"/>
        <w:ind w:right="77"/>
        <w:jc w:val="both"/>
        <w:rPr>
          <w:rFonts w:ascii="Palatino Linotype" w:hAnsi="Palatino Linotype" w:cstheme="minorHAnsi"/>
          <w:bCs/>
          <w:sz w:val="22"/>
          <w:szCs w:val="22"/>
        </w:rPr>
      </w:pPr>
      <w:bookmarkStart w:id="27" w:name="OLE_LINK29"/>
      <w:bookmarkStart w:id="28" w:name="OLE_LINK30"/>
      <w:bookmarkStart w:id="29" w:name="OLE_LINK31"/>
      <w:r w:rsidRPr="0075460E">
        <w:rPr>
          <w:rFonts w:ascii="Palatino Linotype" w:hAnsi="Palatino Linotype" w:cstheme="minorHAnsi"/>
          <w:bCs/>
          <w:sz w:val="22"/>
          <w:szCs w:val="22"/>
        </w:rPr>
        <w:t>2022’nin ik</w:t>
      </w:r>
      <w:r w:rsidR="004E78AD" w:rsidRPr="0075460E">
        <w:rPr>
          <w:rFonts w:ascii="Palatino Linotype" w:hAnsi="Palatino Linotype" w:cstheme="minorHAnsi"/>
          <w:bCs/>
          <w:sz w:val="22"/>
          <w:szCs w:val="22"/>
        </w:rPr>
        <w:t>inci</w:t>
      </w:r>
      <w:r w:rsidRPr="0075460E">
        <w:rPr>
          <w:rFonts w:ascii="Palatino Linotype" w:hAnsi="Palatino Linotype" w:cstheme="minorHAnsi"/>
          <w:bCs/>
          <w:sz w:val="22"/>
          <w:szCs w:val="22"/>
        </w:rPr>
        <w:t xml:space="preserve"> çeyreğinde büyümeyi</w:t>
      </w:r>
      <w:r w:rsidR="004E78AD" w:rsidRPr="0075460E">
        <w:rPr>
          <w:rFonts w:ascii="Palatino Linotype" w:hAnsi="Palatino Linotype" w:cstheme="minorHAnsi"/>
          <w:bCs/>
          <w:sz w:val="22"/>
          <w:szCs w:val="22"/>
        </w:rPr>
        <w:t>, ilk çeyrekte olduğu gibi</w:t>
      </w:r>
      <w:r w:rsidR="00734701" w:rsidRPr="0075460E">
        <w:rPr>
          <w:rFonts w:ascii="Palatino Linotype" w:hAnsi="Palatino Linotype" w:cstheme="minorHAnsi"/>
          <w:bCs/>
          <w:sz w:val="22"/>
          <w:szCs w:val="22"/>
        </w:rPr>
        <w:t>,</w:t>
      </w:r>
      <w:r w:rsidRPr="0075460E">
        <w:rPr>
          <w:rFonts w:ascii="Palatino Linotype" w:hAnsi="Palatino Linotype" w:cstheme="minorHAnsi"/>
          <w:bCs/>
          <w:sz w:val="22"/>
          <w:szCs w:val="22"/>
        </w:rPr>
        <w:t xml:space="preserve"> iki bileşen sırtladı: özel tüketim ve ihracat. </w:t>
      </w:r>
      <w:r w:rsidR="00D50428" w:rsidRPr="0075460E">
        <w:rPr>
          <w:rFonts w:ascii="Palatino Linotype" w:hAnsi="Palatino Linotype" w:cstheme="minorHAnsi"/>
          <w:bCs/>
          <w:sz w:val="22"/>
          <w:szCs w:val="22"/>
        </w:rPr>
        <w:t xml:space="preserve">İlk çeyrek sonu </w:t>
      </w:r>
      <w:r w:rsidR="003D1EFE" w:rsidRPr="0075460E">
        <w:rPr>
          <w:rFonts w:ascii="Palatino Linotype" w:hAnsi="Palatino Linotype" w:cstheme="minorHAnsi"/>
          <w:bCs/>
          <w:sz w:val="22"/>
          <w:szCs w:val="22"/>
        </w:rPr>
        <w:t xml:space="preserve">dolar kuru 14’ler seviyesinde iken ikinci çeyrek sonuna doğru </w:t>
      </w:r>
      <w:r w:rsidR="005B3B05" w:rsidRPr="0075460E">
        <w:rPr>
          <w:rFonts w:ascii="Palatino Linotype" w:hAnsi="Palatino Linotype" w:cstheme="minorHAnsi"/>
          <w:bCs/>
          <w:sz w:val="22"/>
          <w:szCs w:val="22"/>
        </w:rPr>
        <w:t xml:space="preserve">17’nin üstüne çıktığı için </w:t>
      </w:r>
      <w:r w:rsidR="009F4574" w:rsidRPr="0075460E">
        <w:rPr>
          <w:rFonts w:ascii="Palatino Linotype" w:hAnsi="Palatino Linotype" w:cstheme="minorHAnsi"/>
          <w:bCs/>
          <w:sz w:val="22"/>
          <w:szCs w:val="22"/>
        </w:rPr>
        <w:t>TL’deki değer kayıpları</w:t>
      </w:r>
      <w:r w:rsidR="00112AEA" w:rsidRPr="0075460E">
        <w:rPr>
          <w:rFonts w:ascii="Palatino Linotype" w:hAnsi="Palatino Linotype" w:cstheme="minorHAnsi"/>
          <w:bCs/>
          <w:sz w:val="22"/>
          <w:szCs w:val="22"/>
        </w:rPr>
        <w:t xml:space="preserve"> sebebiyle</w:t>
      </w:r>
      <w:r w:rsidR="009F4574" w:rsidRPr="0075460E">
        <w:rPr>
          <w:rFonts w:ascii="Palatino Linotype" w:hAnsi="Palatino Linotype" w:cstheme="minorHAnsi"/>
          <w:bCs/>
          <w:sz w:val="22"/>
          <w:szCs w:val="22"/>
        </w:rPr>
        <w:t xml:space="preserve"> </w:t>
      </w:r>
      <w:r w:rsidR="00131C5C" w:rsidRPr="0075460E">
        <w:rPr>
          <w:rFonts w:ascii="Palatino Linotype" w:hAnsi="Palatino Linotype" w:cstheme="minorHAnsi"/>
          <w:bCs/>
          <w:sz w:val="22"/>
          <w:szCs w:val="22"/>
        </w:rPr>
        <w:t xml:space="preserve">ihracat artışının hız kesmediğini </w:t>
      </w:r>
      <w:r w:rsidR="009F4574" w:rsidRPr="0075460E">
        <w:rPr>
          <w:rFonts w:ascii="Palatino Linotype" w:hAnsi="Palatino Linotype" w:cstheme="minorHAnsi"/>
          <w:bCs/>
          <w:sz w:val="22"/>
          <w:szCs w:val="22"/>
        </w:rPr>
        <w:t>gözlemliyoruz.</w:t>
      </w:r>
      <w:r w:rsidR="001570F3" w:rsidRPr="0075460E">
        <w:rPr>
          <w:rFonts w:ascii="Palatino Linotype" w:hAnsi="Palatino Linotype" w:cstheme="minorHAnsi"/>
          <w:bCs/>
          <w:sz w:val="22"/>
          <w:szCs w:val="22"/>
        </w:rPr>
        <w:t xml:space="preserve"> </w:t>
      </w:r>
      <w:r w:rsidR="00282C5D" w:rsidRPr="0030250D">
        <w:rPr>
          <w:rFonts w:ascii="Palatino Linotype" w:hAnsi="Palatino Linotype" w:cstheme="minorHAnsi"/>
          <w:bCs/>
          <w:sz w:val="22"/>
          <w:szCs w:val="22"/>
        </w:rPr>
        <w:t>Ö</w:t>
      </w:r>
      <w:r w:rsidR="001570F3" w:rsidRPr="0030250D">
        <w:rPr>
          <w:rFonts w:ascii="Palatino Linotype" w:hAnsi="Palatino Linotype" w:cstheme="minorHAnsi"/>
          <w:bCs/>
          <w:sz w:val="22"/>
          <w:szCs w:val="22"/>
        </w:rPr>
        <w:t>zel tüketim</w:t>
      </w:r>
      <w:r w:rsidR="00282C5D" w:rsidRPr="0030250D">
        <w:rPr>
          <w:rFonts w:ascii="Palatino Linotype" w:hAnsi="Palatino Linotype" w:cstheme="minorHAnsi"/>
          <w:bCs/>
          <w:sz w:val="22"/>
          <w:szCs w:val="22"/>
        </w:rPr>
        <w:t xml:space="preserve">in </w:t>
      </w:r>
      <w:r w:rsidR="009F75B1" w:rsidRPr="0030250D">
        <w:rPr>
          <w:rFonts w:ascii="Palatino Linotype" w:hAnsi="Palatino Linotype" w:cstheme="minorHAnsi"/>
          <w:bCs/>
          <w:sz w:val="22"/>
          <w:szCs w:val="22"/>
        </w:rPr>
        <w:t>hız kesmemesi</w:t>
      </w:r>
      <w:r w:rsidR="002E6C96" w:rsidRPr="0030250D">
        <w:rPr>
          <w:rFonts w:ascii="Palatino Linotype" w:hAnsi="Palatino Linotype" w:cstheme="minorHAnsi"/>
          <w:bCs/>
          <w:sz w:val="22"/>
          <w:szCs w:val="22"/>
        </w:rPr>
        <w:t xml:space="preserve"> </w:t>
      </w:r>
      <w:r w:rsidR="00882151" w:rsidRPr="0030250D">
        <w:rPr>
          <w:rFonts w:ascii="Palatino Linotype" w:hAnsi="Palatino Linotype" w:cstheme="minorHAnsi"/>
          <w:bCs/>
          <w:sz w:val="22"/>
          <w:szCs w:val="22"/>
        </w:rPr>
        <w:t>pandemi sonrası tüketim</w:t>
      </w:r>
      <w:r w:rsidR="002C57C6" w:rsidRPr="0030250D">
        <w:rPr>
          <w:rFonts w:ascii="Palatino Linotype" w:hAnsi="Palatino Linotype" w:cstheme="minorHAnsi"/>
          <w:bCs/>
          <w:sz w:val="22"/>
          <w:szCs w:val="22"/>
        </w:rPr>
        <w:t xml:space="preserve"> eğiliminin yük</w:t>
      </w:r>
      <w:r w:rsidR="00941E44" w:rsidRPr="0030250D">
        <w:rPr>
          <w:rFonts w:ascii="Palatino Linotype" w:hAnsi="Palatino Linotype" w:cstheme="minorHAnsi"/>
          <w:bCs/>
          <w:sz w:val="22"/>
          <w:szCs w:val="22"/>
        </w:rPr>
        <w:t xml:space="preserve">sek seyretmesi </w:t>
      </w:r>
      <w:r w:rsidR="00282C5D" w:rsidRPr="0030250D">
        <w:rPr>
          <w:rFonts w:ascii="Palatino Linotype" w:hAnsi="Palatino Linotype" w:cstheme="minorHAnsi"/>
          <w:bCs/>
          <w:sz w:val="22"/>
          <w:szCs w:val="22"/>
        </w:rPr>
        <w:t xml:space="preserve">ve yüksek enflasyon beklentileri nedeniyle dayanıklı mal talebinin öne çekilmesi </w:t>
      </w:r>
      <w:r w:rsidR="00941E44" w:rsidRPr="0030250D">
        <w:rPr>
          <w:rFonts w:ascii="Palatino Linotype" w:hAnsi="Palatino Linotype" w:cstheme="minorHAnsi"/>
          <w:bCs/>
          <w:sz w:val="22"/>
          <w:szCs w:val="22"/>
        </w:rPr>
        <w:t xml:space="preserve">ile açıklanabilir. Özel tüketim ve ihracattaki artışlara rağmen yatırımların neredeyse </w:t>
      </w:r>
      <w:r w:rsidR="004B2DAB" w:rsidRPr="0030250D">
        <w:rPr>
          <w:rFonts w:ascii="Palatino Linotype" w:hAnsi="Palatino Linotype" w:cstheme="minorHAnsi"/>
          <w:bCs/>
          <w:sz w:val="22"/>
          <w:szCs w:val="22"/>
        </w:rPr>
        <w:t xml:space="preserve">yerinde sayması ve stokların erimeye devam </w:t>
      </w:r>
      <w:r w:rsidR="00077CA8" w:rsidRPr="0030250D">
        <w:rPr>
          <w:rFonts w:ascii="Palatino Linotype" w:hAnsi="Palatino Linotype" w:cstheme="minorHAnsi"/>
          <w:bCs/>
          <w:sz w:val="22"/>
          <w:szCs w:val="22"/>
        </w:rPr>
        <w:t xml:space="preserve">etmesi </w:t>
      </w:r>
      <w:r w:rsidR="004E0D77" w:rsidRPr="0030250D">
        <w:rPr>
          <w:rFonts w:ascii="Palatino Linotype" w:hAnsi="Palatino Linotype" w:cstheme="minorHAnsi"/>
          <w:bCs/>
          <w:sz w:val="22"/>
          <w:szCs w:val="22"/>
        </w:rPr>
        <w:t xml:space="preserve">gelecek dönemlere ilişkin </w:t>
      </w:r>
      <w:r w:rsidR="00F7049F" w:rsidRPr="0030250D">
        <w:rPr>
          <w:rFonts w:ascii="Palatino Linotype" w:hAnsi="Palatino Linotype" w:cstheme="minorHAnsi"/>
          <w:bCs/>
          <w:sz w:val="22"/>
          <w:szCs w:val="22"/>
        </w:rPr>
        <w:t xml:space="preserve">reel sektör açısından </w:t>
      </w:r>
      <w:r w:rsidR="00282C5D" w:rsidRPr="0030250D">
        <w:rPr>
          <w:rFonts w:ascii="Palatino Linotype" w:hAnsi="Palatino Linotype" w:cstheme="minorHAnsi"/>
          <w:bCs/>
          <w:sz w:val="22"/>
          <w:szCs w:val="22"/>
        </w:rPr>
        <w:t xml:space="preserve">büyük </w:t>
      </w:r>
      <w:r w:rsidR="004E0D77" w:rsidRPr="0030250D">
        <w:rPr>
          <w:rFonts w:ascii="Palatino Linotype" w:hAnsi="Palatino Linotype" w:cstheme="minorHAnsi"/>
          <w:bCs/>
          <w:sz w:val="22"/>
          <w:szCs w:val="22"/>
        </w:rPr>
        <w:t>belirsizlikler</w:t>
      </w:r>
      <w:r w:rsidR="004B2DAB" w:rsidRPr="0075460E">
        <w:rPr>
          <w:rFonts w:ascii="Palatino Linotype" w:hAnsi="Palatino Linotype" w:cstheme="minorHAnsi"/>
          <w:bCs/>
          <w:sz w:val="22"/>
          <w:szCs w:val="22"/>
        </w:rPr>
        <w:t xml:space="preserve"> </w:t>
      </w:r>
      <w:r w:rsidR="004574B5" w:rsidRPr="0075460E">
        <w:rPr>
          <w:rFonts w:ascii="Palatino Linotype" w:hAnsi="Palatino Linotype" w:cstheme="minorHAnsi"/>
          <w:bCs/>
          <w:sz w:val="22"/>
          <w:szCs w:val="22"/>
        </w:rPr>
        <w:t>olduğuna işaret ediyor. Devam eden enflasyonist sürecin de bu belirsizliği artırdığına şü</w:t>
      </w:r>
      <w:r w:rsidR="0045586B" w:rsidRPr="0075460E">
        <w:rPr>
          <w:rFonts w:ascii="Palatino Linotype" w:hAnsi="Palatino Linotype" w:cstheme="minorHAnsi"/>
          <w:bCs/>
          <w:sz w:val="22"/>
          <w:szCs w:val="22"/>
        </w:rPr>
        <w:t xml:space="preserve">phe yok. </w:t>
      </w:r>
    </w:p>
    <w:bookmarkEnd w:id="27"/>
    <w:bookmarkEnd w:id="28"/>
    <w:bookmarkEnd w:id="29"/>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17F2B0C5" w:rsidR="0001081A" w:rsidRDefault="006D419B"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rPr>
        <w:drawing>
          <wp:inline distT="0" distB="0" distL="0" distR="0" wp14:anchorId="547444EA" wp14:editId="061944CC">
            <wp:extent cx="5760720" cy="3325495"/>
            <wp:effectExtent l="0" t="0" r="11430" b="8255"/>
            <wp:docPr id="7" name="Grafik 7">
              <a:extLst xmlns:a="http://schemas.openxmlformats.org/drawingml/2006/main">
                <a:ext uri="{FF2B5EF4-FFF2-40B4-BE49-F238E27FC236}">
                  <a16:creationId xmlns:a16="http://schemas.microsoft.com/office/drawing/2014/main" id="{370F5FCB-E979-47C2-88CA-675695D8A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801F" w14:textId="77777777" w:rsidR="00E31D84" w:rsidRDefault="00E31D84" w:rsidP="00DA0C5D">
      <w:r>
        <w:separator/>
      </w:r>
    </w:p>
  </w:endnote>
  <w:endnote w:type="continuationSeparator" w:id="0">
    <w:p w14:paraId="6B1674E7" w14:textId="77777777" w:rsidR="00E31D84" w:rsidRDefault="00E31D84"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58B0" w14:textId="77777777" w:rsidR="00E31D84" w:rsidRDefault="00E31D84" w:rsidP="00DA0C5D">
      <w:r>
        <w:separator/>
      </w:r>
    </w:p>
  </w:footnote>
  <w:footnote w:type="continuationSeparator" w:id="0">
    <w:p w14:paraId="17D4DA8E" w14:textId="77777777" w:rsidR="00E31D84" w:rsidRDefault="00E31D84" w:rsidP="00DA0C5D">
      <w:r>
        <w:continuationSeparator/>
      </w:r>
    </w:p>
  </w:footnote>
  <w:footnote w:id="1">
    <w:p w14:paraId="6D61CC27" w14:textId="77777777" w:rsidR="00C32789" w:rsidRDefault="00C32789"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39F7BC74" w:rsidR="001537D8" w:rsidRDefault="001537D8" w:rsidP="00173671">
      <w:pPr>
        <w:pStyle w:val="FootnoteText"/>
        <w:jc w:val="both"/>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715A66">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45844E10" w:rsidR="00494926" w:rsidRPr="00E22DFD" w:rsidRDefault="00494926" w:rsidP="00173671">
      <w:pPr>
        <w:pStyle w:val="FootnoteText"/>
        <w:jc w:val="both"/>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w:t>
      </w:r>
      <w:r w:rsidRPr="00E22DFD">
        <w:rPr>
          <w:rFonts w:ascii="Palatino Linotype" w:hAnsi="Palatino Linotype"/>
          <w:sz w:val="18"/>
          <w:szCs w:val="18"/>
        </w:rPr>
        <w:t xml:space="preserve">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12" w:name="OLE_LINK3"/>
      <w:bookmarkStart w:id="13" w:name="OLE_LINK4"/>
      <w:r w:rsidRPr="00E22DFD">
        <w:rPr>
          <w:rFonts w:ascii="Palatino Linotype" w:hAnsi="Palatino Linotype"/>
          <w:sz w:val="18"/>
          <w:szCs w:val="18"/>
        </w:rPr>
        <w:t>Betam Araştırma Notu 17/217</w:t>
      </w:r>
      <w:bookmarkEnd w:id="12"/>
      <w:bookmarkEnd w:id="13"/>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qQUAAqvc9CwAAAA="/>
  </w:docVars>
  <w:rsids>
    <w:rsidRoot w:val="00D07713"/>
    <w:rsid w:val="0000013E"/>
    <w:rsid w:val="00000824"/>
    <w:rsid w:val="0000228F"/>
    <w:rsid w:val="00007C3F"/>
    <w:rsid w:val="0001081A"/>
    <w:rsid w:val="0001392F"/>
    <w:rsid w:val="000141C7"/>
    <w:rsid w:val="00017B51"/>
    <w:rsid w:val="00023B97"/>
    <w:rsid w:val="0002466A"/>
    <w:rsid w:val="00030A2C"/>
    <w:rsid w:val="00036770"/>
    <w:rsid w:val="000404B3"/>
    <w:rsid w:val="00041FB7"/>
    <w:rsid w:val="0004390D"/>
    <w:rsid w:val="00044AF3"/>
    <w:rsid w:val="00044D9E"/>
    <w:rsid w:val="0004588B"/>
    <w:rsid w:val="0005290F"/>
    <w:rsid w:val="000529F2"/>
    <w:rsid w:val="00052B86"/>
    <w:rsid w:val="00054943"/>
    <w:rsid w:val="00055EA1"/>
    <w:rsid w:val="000561F7"/>
    <w:rsid w:val="00057F8E"/>
    <w:rsid w:val="00062A8A"/>
    <w:rsid w:val="000652B6"/>
    <w:rsid w:val="00070018"/>
    <w:rsid w:val="000719F5"/>
    <w:rsid w:val="000725DB"/>
    <w:rsid w:val="00073415"/>
    <w:rsid w:val="000753CE"/>
    <w:rsid w:val="00077CA8"/>
    <w:rsid w:val="00080211"/>
    <w:rsid w:val="00080336"/>
    <w:rsid w:val="00085271"/>
    <w:rsid w:val="00086C64"/>
    <w:rsid w:val="00087011"/>
    <w:rsid w:val="000905E5"/>
    <w:rsid w:val="00091F3E"/>
    <w:rsid w:val="00094206"/>
    <w:rsid w:val="00096CDA"/>
    <w:rsid w:val="00097794"/>
    <w:rsid w:val="000978C8"/>
    <w:rsid w:val="000A05ED"/>
    <w:rsid w:val="000A3019"/>
    <w:rsid w:val="000A612E"/>
    <w:rsid w:val="000B0D12"/>
    <w:rsid w:val="000B0FC1"/>
    <w:rsid w:val="000B45D6"/>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2AEA"/>
    <w:rsid w:val="0011613D"/>
    <w:rsid w:val="00117128"/>
    <w:rsid w:val="001239FD"/>
    <w:rsid w:val="0012527F"/>
    <w:rsid w:val="00125770"/>
    <w:rsid w:val="00126200"/>
    <w:rsid w:val="00130D73"/>
    <w:rsid w:val="00131C5C"/>
    <w:rsid w:val="00132910"/>
    <w:rsid w:val="00140468"/>
    <w:rsid w:val="00143F17"/>
    <w:rsid w:val="0014542A"/>
    <w:rsid w:val="00150FFB"/>
    <w:rsid w:val="001527FA"/>
    <w:rsid w:val="001537D8"/>
    <w:rsid w:val="001540B7"/>
    <w:rsid w:val="00157070"/>
    <w:rsid w:val="001570F3"/>
    <w:rsid w:val="0016084A"/>
    <w:rsid w:val="00160880"/>
    <w:rsid w:val="001648AB"/>
    <w:rsid w:val="00173671"/>
    <w:rsid w:val="00173752"/>
    <w:rsid w:val="00173CB3"/>
    <w:rsid w:val="0017424F"/>
    <w:rsid w:val="001744CD"/>
    <w:rsid w:val="00177002"/>
    <w:rsid w:val="001777A4"/>
    <w:rsid w:val="001804D3"/>
    <w:rsid w:val="00183AFA"/>
    <w:rsid w:val="00184174"/>
    <w:rsid w:val="00184B02"/>
    <w:rsid w:val="001851FE"/>
    <w:rsid w:val="001855BC"/>
    <w:rsid w:val="001866FC"/>
    <w:rsid w:val="00190944"/>
    <w:rsid w:val="00190CDF"/>
    <w:rsid w:val="00190F8D"/>
    <w:rsid w:val="00194FF2"/>
    <w:rsid w:val="001978A0"/>
    <w:rsid w:val="001A080D"/>
    <w:rsid w:val="001A18B0"/>
    <w:rsid w:val="001A42FF"/>
    <w:rsid w:val="001A5699"/>
    <w:rsid w:val="001B371C"/>
    <w:rsid w:val="001B3A44"/>
    <w:rsid w:val="001B584B"/>
    <w:rsid w:val="001C2763"/>
    <w:rsid w:val="001C2C68"/>
    <w:rsid w:val="001C566F"/>
    <w:rsid w:val="001C65BF"/>
    <w:rsid w:val="001C7370"/>
    <w:rsid w:val="001D0150"/>
    <w:rsid w:val="001D2107"/>
    <w:rsid w:val="001D36E7"/>
    <w:rsid w:val="001D37D1"/>
    <w:rsid w:val="001D420E"/>
    <w:rsid w:val="001D5B02"/>
    <w:rsid w:val="001D6465"/>
    <w:rsid w:val="001D7073"/>
    <w:rsid w:val="001D7513"/>
    <w:rsid w:val="001E181B"/>
    <w:rsid w:val="001E2E49"/>
    <w:rsid w:val="001E3320"/>
    <w:rsid w:val="001E495B"/>
    <w:rsid w:val="001E514D"/>
    <w:rsid w:val="001E7126"/>
    <w:rsid w:val="001E72E4"/>
    <w:rsid w:val="001F12E3"/>
    <w:rsid w:val="001F1554"/>
    <w:rsid w:val="001F1CCF"/>
    <w:rsid w:val="001F2DE9"/>
    <w:rsid w:val="001F4E3D"/>
    <w:rsid w:val="001F5399"/>
    <w:rsid w:val="001F5841"/>
    <w:rsid w:val="001F729E"/>
    <w:rsid w:val="001F7B1D"/>
    <w:rsid w:val="001F7BC7"/>
    <w:rsid w:val="00201554"/>
    <w:rsid w:val="00201E79"/>
    <w:rsid w:val="00202302"/>
    <w:rsid w:val="00205844"/>
    <w:rsid w:val="00206F72"/>
    <w:rsid w:val="002106DF"/>
    <w:rsid w:val="00211E95"/>
    <w:rsid w:val="00212579"/>
    <w:rsid w:val="00212782"/>
    <w:rsid w:val="00214914"/>
    <w:rsid w:val="00214B5E"/>
    <w:rsid w:val="002176BD"/>
    <w:rsid w:val="00220425"/>
    <w:rsid w:val="0022637C"/>
    <w:rsid w:val="0022673E"/>
    <w:rsid w:val="002270D8"/>
    <w:rsid w:val="00232635"/>
    <w:rsid w:val="002343A8"/>
    <w:rsid w:val="00235DBE"/>
    <w:rsid w:val="00242C10"/>
    <w:rsid w:val="00244CF8"/>
    <w:rsid w:val="00247A3C"/>
    <w:rsid w:val="0025111C"/>
    <w:rsid w:val="00253E19"/>
    <w:rsid w:val="002561CB"/>
    <w:rsid w:val="00263C3E"/>
    <w:rsid w:val="00264DD8"/>
    <w:rsid w:val="00265553"/>
    <w:rsid w:val="002655E5"/>
    <w:rsid w:val="002663FD"/>
    <w:rsid w:val="00267F48"/>
    <w:rsid w:val="00270A75"/>
    <w:rsid w:val="002714F9"/>
    <w:rsid w:val="002729B4"/>
    <w:rsid w:val="002755D9"/>
    <w:rsid w:val="00275745"/>
    <w:rsid w:val="002804E5"/>
    <w:rsid w:val="00282242"/>
    <w:rsid w:val="002829BC"/>
    <w:rsid w:val="00282C5D"/>
    <w:rsid w:val="002847DE"/>
    <w:rsid w:val="0028498B"/>
    <w:rsid w:val="0029215C"/>
    <w:rsid w:val="00295E9A"/>
    <w:rsid w:val="0029623C"/>
    <w:rsid w:val="0029624E"/>
    <w:rsid w:val="002A037D"/>
    <w:rsid w:val="002A07A9"/>
    <w:rsid w:val="002A16BA"/>
    <w:rsid w:val="002A20F3"/>
    <w:rsid w:val="002A2C66"/>
    <w:rsid w:val="002A7C37"/>
    <w:rsid w:val="002B2172"/>
    <w:rsid w:val="002B2A1B"/>
    <w:rsid w:val="002B3C10"/>
    <w:rsid w:val="002B4A1A"/>
    <w:rsid w:val="002C00A1"/>
    <w:rsid w:val="002C4CC7"/>
    <w:rsid w:val="002C4E2F"/>
    <w:rsid w:val="002C57C6"/>
    <w:rsid w:val="002C5C24"/>
    <w:rsid w:val="002C64BB"/>
    <w:rsid w:val="002D0F16"/>
    <w:rsid w:val="002D1797"/>
    <w:rsid w:val="002D4D2D"/>
    <w:rsid w:val="002E1F54"/>
    <w:rsid w:val="002E6C96"/>
    <w:rsid w:val="002F1503"/>
    <w:rsid w:val="002F2245"/>
    <w:rsid w:val="002F26B4"/>
    <w:rsid w:val="002F2D70"/>
    <w:rsid w:val="002F3163"/>
    <w:rsid w:val="002F63B2"/>
    <w:rsid w:val="0030250D"/>
    <w:rsid w:val="00302EDD"/>
    <w:rsid w:val="003061DC"/>
    <w:rsid w:val="003079ED"/>
    <w:rsid w:val="00310C5C"/>
    <w:rsid w:val="00311EFF"/>
    <w:rsid w:val="003142E3"/>
    <w:rsid w:val="003172DB"/>
    <w:rsid w:val="0031731B"/>
    <w:rsid w:val="00320281"/>
    <w:rsid w:val="0032176F"/>
    <w:rsid w:val="00321D78"/>
    <w:rsid w:val="0032280F"/>
    <w:rsid w:val="0032324A"/>
    <w:rsid w:val="00324C51"/>
    <w:rsid w:val="00326195"/>
    <w:rsid w:val="00326678"/>
    <w:rsid w:val="00327CFB"/>
    <w:rsid w:val="00334E27"/>
    <w:rsid w:val="0033649B"/>
    <w:rsid w:val="00344A74"/>
    <w:rsid w:val="00351F12"/>
    <w:rsid w:val="00357BC6"/>
    <w:rsid w:val="00362359"/>
    <w:rsid w:val="00364AAB"/>
    <w:rsid w:val="00370A07"/>
    <w:rsid w:val="00370FEE"/>
    <w:rsid w:val="00375EB0"/>
    <w:rsid w:val="003771C7"/>
    <w:rsid w:val="003777B5"/>
    <w:rsid w:val="00377868"/>
    <w:rsid w:val="003800CF"/>
    <w:rsid w:val="0038057D"/>
    <w:rsid w:val="00382EE8"/>
    <w:rsid w:val="00385A29"/>
    <w:rsid w:val="00385C7B"/>
    <w:rsid w:val="003864E6"/>
    <w:rsid w:val="003967B5"/>
    <w:rsid w:val="003A1AFE"/>
    <w:rsid w:val="003A488B"/>
    <w:rsid w:val="003A4C32"/>
    <w:rsid w:val="003A5499"/>
    <w:rsid w:val="003A7596"/>
    <w:rsid w:val="003B2008"/>
    <w:rsid w:val="003B2D0B"/>
    <w:rsid w:val="003B42D2"/>
    <w:rsid w:val="003B61AA"/>
    <w:rsid w:val="003C09C5"/>
    <w:rsid w:val="003C15C6"/>
    <w:rsid w:val="003C267D"/>
    <w:rsid w:val="003C2891"/>
    <w:rsid w:val="003C65A1"/>
    <w:rsid w:val="003D1EFE"/>
    <w:rsid w:val="003D4202"/>
    <w:rsid w:val="003D44CE"/>
    <w:rsid w:val="003D4627"/>
    <w:rsid w:val="003E1EED"/>
    <w:rsid w:val="003E3299"/>
    <w:rsid w:val="003E5C0F"/>
    <w:rsid w:val="003F00A9"/>
    <w:rsid w:val="003F4E89"/>
    <w:rsid w:val="004017B2"/>
    <w:rsid w:val="00401813"/>
    <w:rsid w:val="004040C3"/>
    <w:rsid w:val="00405BD8"/>
    <w:rsid w:val="00407C84"/>
    <w:rsid w:val="004126A2"/>
    <w:rsid w:val="00416A4B"/>
    <w:rsid w:val="00417F6E"/>
    <w:rsid w:val="00424382"/>
    <w:rsid w:val="00431236"/>
    <w:rsid w:val="00431C38"/>
    <w:rsid w:val="00432B76"/>
    <w:rsid w:val="00433A75"/>
    <w:rsid w:val="00435806"/>
    <w:rsid w:val="004426B4"/>
    <w:rsid w:val="004435E3"/>
    <w:rsid w:val="00443C08"/>
    <w:rsid w:val="00443D50"/>
    <w:rsid w:val="00445C96"/>
    <w:rsid w:val="00447743"/>
    <w:rsid w:val="00450CEA"/>
    <w:rsid w:val="0045146C"/>
    <w:rsid w:val="00451A8A"/>
    <w:rsid w:val="0045586B"/>
    <w:rsid w:val="004574B5"/>
    <w:rsid w:val="004623F2"/>
    <w:rsid w:val="004647F0"/>
    <w:rsid w:val="00476131"/>
    <w:rsid w:val="00476E22"/>
    <w:rsid w:val="00477AED"/>
    <w:rsid w:val="00480684"/>
    <w:rsid w:val="00483EC5"/>
    <w:rsid w:val="0048406B"/>
    <w:rsid w:val="0048730C"/>
    <w:rsid w:val="0048774D"/>
    <w:rsid w:val="00490AAE"/>
    <w:rsid w:val="00492020"/>
    <w:rsid w:val="004931A5"/>
    <w:rsid w:val="00494926"/>
    <w:rsid w:val="004950F8"/>
    <w:rsid w:val="004B0D97"/>
    <w:rsid w:val="004B130D"/>
    <w:rsid w:val="004B2DAB"/>
    <w:rsid w:val="004B5355"/>
    <w:rsid w:val="004B6E05"/>
    <w:rsid w:val="004B7166"/>
    <w:rsid w:val="004C548E"/>
    <w:rsid w:val="004D1A55"/>
    <w:rsid w:val="004D1FAD"/>
    <w:rsid w:val="004D626D"/>
    <w:rsid w:val="004D6586"/>
    <w:rsid w:val="004E0098"/>
    <w:rsid w:val="004E0D77"/>
    <w:rsid w:val="004E5018"/>
    <w:rsid w:val="004E78AD"/>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24F9F"/>
    <w:rsid w:val="00530A3C"/>
    <w:rsid w:val="00530B9F"/>
    <w:rsid w:val="0053582F"/>
    <w:rsid w:val="0053586E"/>
    <w:rsid w:val="00537BE1"/>
    <w:rsid w:val="0054145E"/>
    <w:rsid w:val="00542345"/>
    <w:rsid w:val="005438B0"/>
    <w:rsid w:val="00544773"/>
    <w:rsid w:val="00551589"/>
    <w:rsid w:val="005600E7"/>
    <w:rsid w:val="00560CD9"/>
    <w:rsid w:val="00570C1B"/>
    <w:rsid w:val="00572FD8"/>
    <w:rsid w:val="005748A8"/>
    <w:rsid w:val="005824BD"/>
    <w:rsid w:val="0058588C"/>
    <w:rsid w:val="00586424"/>
    <w:rsid w:val="005A2246"/>
    <w:rsid w:val="005A3A4D"/>
    <w:rsid w:val="005A3B33"/>
    <w:rsid w:val="005A611C"/>
    <w:rsid w:val="005A617F"/>
    <w:rsid w:val="005B35F3"/>
    <w:rsid w:val="005B3B05"/>
    <w:rsid w:val="005B67B3"/>
    <w:rsid w:val="005C00FE"/>
    <w:rsid w:val="005C08B0"/>
    <w:rsid w:val="005C51D9"/>
    <w:rsid w:val="005C6245"/>
    <w:rsid w:val="005D00FB"/>
    <w:rsid w:val="005D0E8C"/>
    <w:rsid w:val="005D27F8"/>
    <w:rsid w:val="005D2979"/>
    <w:rsid w:val="005D3C96"/>
    <w:rsid w:val="005D4126"/>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145E6"/>
    <w:rsid w:val="00625B95"/>
    <w:rsid w:val="006268DA"/>
    <w:rsid w:val="00631D5B"/>
    <w:rsid w:val="00632221"/>
    <w:rsid w:val="006324E3"/>
    <w:rsid w:val="00632CF6"/>
    <w:rsid w:val="0064012D"/>
    <w:rsid w:val="0064287A"/>
    <w:rsid w:val="00642AA7"/>
    <w:rsid w:val="00643113"/>
    <w:rsid w:val="006432C9"/>
    <w:rsid w:val="006439C5"/>
    <w:rsid w:val="00643F5D"/>
    <w:rsid w:val="0064483B"/>
    <w:rsid w:val="00645147"/>
    <w:rsid w:val="00646879"/>
    <w:rsid w:val="00647318"/>
    <w:rsid w:val="0064747F"/>
    <w:rsid w:val="00647792"/>
    <w:rsid w:val="00650BB3"/>
    <w:rsid w:val="006549E3"/>
    <w:rsid w:val="00654A8F"/>
    <w:rsid w:val="00655938"/>
    <w:rsid w:val="00655B95"/>
    <w:rsid w:val="00657B23"/>
    <w:rsid w:val="00666235"/>
    <w:rsid w:val="0067008D"/>
    <w:rsid w:val="0067066F"/>
    <w:rsid w:val="006761BB"/>
    <w:rsid w:val="0067693E"/>
    <w:rsid w:val="00680AE4"/>
    <w:rsid w:val="00680E36"/>
    <w:rsid w:val="00681022"/>
    <w:rsid w:val="006813D8"/>
    <w:rsid w:val="00681AD9"/>
    <w:rsid w:val="006825C1"/>
    <w:rsid w:val="0068354F"/>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D419B"/>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35FC"/>
    <w:rsid w:val="00715A66"/>
    <w:rsid w:val="0071724C"/>
    <w:rsid w:val="007201BD"/>
    <w:rsid w:val="00720250"/>
    <w:rsid w:val="007224AF"/>
    <w:rsid w:val="00724E7C"/>
    <w:rsid w:val="00731521"/>
    <w:rsid w:val="00734701"/>
    <w:rsid w:val="0074205B"/>
    <w:rsid w:val="007468E9"/>
    <w:rsid w:val="0075142F"/>
    <w:rsid w:val="00751F72"/>
    <w:rsid w:val="0075460E"/>
    <w:rsid w:val="00761711"/>
    <w:rsid w:val="00761E4E"/>
    <w:rsid w:val="0076407C"/>
    <w:rsid w:val="00765445"/>
    <w:rsid w:val="0077111C"/>
    <w:rsid w:val="007715F2"/>
    <w:rsid w:val="0077267F"/>
    <w:rsid w:val="00773A17"/>
    <w:rsid w:val="00773D8B"/>
    <w:rsid w:val="00775CAF"/>
    <w:rsid w:val="00776789"/>
    <w:rsid w:val="00777594"/>
    <w:rsid w:val="00777AEF"/>
    <w:rsid w:val="00783CD4"/>
    <w:rsid w:val="0079216E"/>
    <w:rsid w:val="00792837"/>
    <w:rsid w:val="00792F4E"/>
    <w:rsid w:val="00793D58"/>
    <w:rsid w:val="00797437"/>
    <w:rsid w:val="007A0DBE"/>
    <w:rsid w:val="007A1767"/>
    <w:rsid w:val="007A5AC1"/>
    <w:rsid w:val="007A5FB1"/>
    <w:rsid w:val="007B1D6E"/>
    <w:rsid w:val="007B3FC0"/>
    <w:rsid w:val="007B5A28"/>
    <w:rsid w:val="007B70AD"/>
    <w:rsid w:val="007C1995"/>
    <w:rsid w:val="007C462A"/>
    <w:rsid w:val="007C47CA"/>
    <w:rsid w:val="007D2341"/>
    <w:rsid w:val="007D4168"/>
    <w:rsid w:val="007D4953"/>
    <w:rsid w:val="007F13F2"/>
    <w:rsid w:val="007F39BB"/>
    <w:rsid w:val="007F3B7C"/>
    <w:rsid w:val="007F3C9B"/>
    <w:rsid w:val="008063E6"/>
    <w:rsid w:val="00806989"/>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05DA"/>
    <w:rsid w:val="008549A0"/>
    <w:rsid w:val="00856B55"/>
    <w:rsid w:val="0086495E"/>
    <w:rsid w:val="00865CE6"/>
    <w:rsid w:val="00866E5B"/>
    <w:rsid w:val="00867DEE"/>
    <w:rsid w:val="0087023B"/>
    <w:rsid w:val="00870A3F"/>
    <w:rsid w:val="00874EB4"/>
    <w:rsid w:val="008753B3"/>
    <w:rsid w:val="00880210"/>
    <w:rsid w:val="0088079F"/>
    <w:rsid w:val="00881E18"/>
    <w:rsid w:val="00882151"/>
    <w:rsid w:val="0088270D"/>
    <w:rsid w:val="00884819"/>
    <w:rsid w:val="0089048A"/>
    <w:rsid w:val="008914E6"/>
    <w:rsid w:val="0089158B"/>
    <w:rsid w:val="00893320"/>
    <w:rsid w:val="008945AE"/>
    <w:rsid w:val="008949E0"/>
    <w:rsid w:val="008A3594"/>
    <w:rsid w:val="008A3BD9"/>
    <w:rsid w:val="008B0385"/>
    <w:rsid w:val="008B29F8"/>
    <w:rsid w:val="008B6FC3"/>
    <w:rsid w:val="008C51CA"/>
    <w:rsid w:val="008C56F9"/>
    <w:rsid w:val="008C70C5"/>
    <w:rsid w:val="008C73E6"/>
    <w:rsid w:val="008D6DC6"/>
    <w:rsid w:val="008D7AA2"/>
    <w:rsid w:val="008E1CF4"/>
    <w:rsid w:val="008E4870"/>
    <w:rsid w:val="008F10DA"/>
    <w:rsid w:val="008F1741"/>
    <w:rsid w:val="008F2BCD"/>
    <w:rsid w:val="00900E1A"/>
    <w:rsid w:val="00912A8A"/>
    <w:rsid w:val="009145CD"/>
    <w:rsid w:val="00914D26"/>
    <w:rsid w:val="00916142"/>
    <w:rsid w:val="0091617E"/>
    <w:rsid w:val="00916533"/>
    <w:rsid w:val="00916C78"/>
    <w:rsid w:val="00917330"/>
    <w:rsid w:val="00917ED3"/>
    <w:rsid w:val="009204AA"/>
    <w:rsid w:val="00920DA2"/>
    <w:rsid w:val="0092349F"/>
    <w:rsid w:val="009247BA"/>
    <w:rsid w:val="00924CD9"/>
    <w:rsid w:val="00927D28"/>
    <w:rsid w:val="0093554D"/>
    <w:rsid w:val="00935D6E"/>
    <w:rsid w:val="00936595"/>
    <w:rsid w:val="009400E0"/>
    <w:rsid w:val="00940150"/>
    <w:rsid w:val="00940DA9"/>
    <w:rsid w:val="00941E44"/>
    <w:rsid w:val="0094295F"/>
    <w:rsid w:val="00944ED5"/>
    <w:rsid w:val="009455F2"/>
    <w:rsid w:val="00945950"/>
    <w:rsid w:val="0095529F"/>
    <w:rsid w:val="0095536D"/>
    <w:rsid w:val="00955DC8"/>
    <w:rsid w:val="00955E90"/>
    <w:rsid w:val="00957FE5"/>
    <w:rsid w:val="00961F5B"/>
    <w:rsid w:val="00963B04"/>
    <w:rsid w:val="009663D6"/>
    <w:rsid w:val="00967571"/>
    <w:rsid w:val="0097116F"/>
    <w:rsid w:val="00982B22"/>
    <w:rsid w:val="0098310A"/>
    <w:rsid w:val="00983612"/>
    <w:rsid w:val="0098616F"/>
    <w:rsid w:val="00990A16"/>
    <w:rsid w:val="00990E34"/>
    <w:rsid w:val="00996151"/>
    <w:rsid w:val="00996EBD"/>
    <w:rsid w:val="00997694"/>
    <w:rsid w:val="00997713"/>
    <w:rsid w:val="00997C54"/>
    <w:rsid w:val="009A3D0F"/>
    <w:rsid w:val="009A71AF"/>
    <w:rsid w:val="009B1546"/>
    <w:rsid w:val="009B16AD"/>
    <w:rsid w:val="009B2E56"/>
    <w:rsid w:val="009B3197"/>
    <w:rsid w:val="009B385A"/>
    <w:rsid w:val="009B651F"/>
    <w:rsid w:val="009C082A"/>
    <w:rsid w:val="009C40EF"/>
    <w:rsid w:val="009C4B9E"/>
    <w:rsid w:val="009C66C3"/>
    <w:rsid w:val="009D62AC"/>
    <w:rsid w:val="009D71BF"/>
    <w:rsid w:val="009E0348"/>
    <w:rsid w:val="009E25DA"/>
    <w:rsid w:val="009E4A1F"/>
    <w:rsid w:val="009E5241"/>
    <w:rsid w:val="009E68C6"/>
    <w:rsid w:val="009F23C4"/>
    <w:rsid w:val="009F2483"/>
    <w:rsid w:val="009F42CC"/>
    <w:rsid w:val="009F4574"/>
    <w:rsid w:val="009F603E"/>
    <w:rsid w:val="009F75B1"/>
    <w:rsid w:val="00A0130D"/>
    <w:rsid w:val="00A03316"/>
    <w:rsid w:val="00A0483D"/>
    <w:rsid w:val="00A04EFA"/>
    <w:rsid w:val="00A06A3E"/>
    <w:rsid w:val="00A076DB"/>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527AC"/>
    <w:rsid w:val="00A6009C"/>
    <w:rsid w:val="00A6165E"/>
    <w:rsid w:val="00A648DB"/>
    <w:rsid w:val="00A675D3"/>
    <w:rsid w:val="00A719DB"/>
    <w:rsid w:val="00A72E1B"/>
    <w:rsid w:val="00A73EA9"/>
    <w:rsid w:val="00A7662B"/>
    <w:rsid w:val="00A842EA"/>
    <w:rsid w:val="00A8572B"/>
    <w:rsid w:val="00A86808"/>
    <w:rsid w:val="00A874DA"/>
    <w:rsid w:val="00A90B4F"/>
    <w:rsid w:val="00A90F77"/>
    <w:rsid w:val="00A92286"/>
    <w:rsid w:val="00A9270B"/>
    <w:rsid w:val="00A94E9C"/>
    <w:rsid w:val="00AA1706"/>
    <w:rsid w:val="00AA678E"/>
    <w:rsid w:val="00AB1006"/>
    <w:rsid w:val="00AB36F7"/>
    <w:rsid w:val="00AC2B3D"/>
    <w:rsid w:val="00AC2CCA"/>
    <w:rsid w:val="00AC59ED"/>
    <w:rsid w:val="00AC7102"/>
    <w:rsid w:val="00AD01B6"/>
    <w:rsid w:val="00AD7ADC"/>
    <w:rsid w:val="00AE59EE"/>
    <w:rsid w:val="00AF2318"/>
    <w:rsid w:val="00AF35DD"/>
    <w:rsid w:val="00AF3D11"/>
    <w:rsid w:val="00B01508"/>
    <w:rsid w:val="00B01533"/>
    <w:rsid w:val="00B02076"/>
    <w:rsid w:val="00B02D74"/>
    <w:rsid w:val="00B119E3"/>
    <w:rsid w:val="00B17241"/>
    <w:rsid w:val="00B17B6A"/>
    <w:rsid w:val="00B24D13"/>
    <w:rsid w:val="00B25D14"/>
    <w:rsid w:val="00B26FF9"/>
    <w:rsid w:val="00B27C9F"/>
    <w:rsid w:val="00B31727"/>
    <w:rsid w:val="00B31FC9"/>
    <w:rsid w:val="00B34132"/>
    <w:rsid w:val="00B35FDB"/>
    <w:rsid w:val="00B366B7"/>
    <w:rsid w:val="00B36BFA"/>
    <w:rsid w:val="00B45DFF"/>
    <w:rsid w:val="00B4685F"/>
    <w:rsid w:val="00B56D03"/>
    <w:rsid w:val="00B606FC"/>
    <w:rsid w:val="00B61D3D"/>
    <w:rsid w:val="00B62037"/>
    <w:rsid w:val="00B703DE"/>
    <w:rsid w:val="00B76782"/>
    <w:rsid w:val="00B82B92"/>
    <w:rsid w:val="00B92E7B"/>
    <w:rsid w:val="00B9319A"/>
    <w:rsid w:val="00B95E66"/>
    <w:rsid w:val="00BA3C62"/>
    <w:rsid w:val="00BA5FF0"/>
    <w:rsid w:val="00BA7E44"/>
    <w:rsid w:val="00BB05D5"/>
    <w:rsid w:val="00BB0912"/>
    <w:rsid w:val="00BB27EB"/>
    <w:rsid w:val="00BB3448"/>
    <w:rsid w:val="00BB3FE6"/>
    <w:rsid w:val="00BB5725"/>
    <w:rsid w:val="00BC1EF8"/>
    <w:rsid w:val="00BC42E1"/>
    <w:rsid w:val="00BD00B2"/>
    <w:rsid w:val="00BD51DF"/>
    <w:rsid w:val="00BD6621"/>
    <w:rsid w:val="00BD6EC8"/>
    <w:rsid w:val="00BD7F4E"/>
    <w:rsid w:val="00BE0415"/>
    <w:rsid w:val="00BE06CE"/>
    <w:rsid w:val="00BE1622"/>
    <w:rsid w:val="00BE280E"/>
    <w:rsid w:val="00BE5BD1"/>
    <w:rsid w:val="00BE6CCA"/>
    <w:rsid w:val="00BE7C49"/>
    <w:rsid w:val="00BF1EC4"/>
    <w:rsid w:val="00BF59B3"/>
    <w:rsid w:val="00C066D2"/>
    <w:rsid w:val="00C11B5A"/>
    <w:rsid w:val="00C126FC"/>
    <w:rsid w:val="00C1422A"/>
    <w:rsid w:val="00C14C86"/>
    <w:rsid w:val="00C167CC"/>
    <w:rsid w:val="00C21163"/>
    <w:rsid w:val="00C21BB8"/>
    <w:rsid w:val="00C21E02"/>
    <w:rsid w:val="00C2295B"/>
    <w:rsid w:val="00C271FA"/>
    <w:rsid w:val="00C32789"/>
    <w:rsid w:val="00C34C5C"/>
    <w:rsid w:val="00C34D9B"/>
    <w:rsid w:val="00C35660"/>
    <w:rsid w:val="00C43EBE"/>
    <w:rsid w:val="00C5056E"/>
    <w:rsid w:val="00C50FD5"/>
    <w:rsid w:val="00C53444"/>
    <w:rsid w:val="00C56C6E"/>
    <w:rsid w:val="00C57749"/>
    <w:rsid w:val="00C60221"/>
    <w:rsid w:val="00C6130D"/>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7FD1"/>
    <w:rsid w:val="00CA234B"/>
    <w:rsid w:val="00CA77D7"/>
    <w:rsid w:val="00CA7D4F"/>
    <w:rsid w:val="00CB0E7B"/>
    <w:rsid w:val="00CB1AD7"/>
    <w:rsid w:val="00CB3462"/>
    <w:rsid w:val="00CB4102"/>
    <w:rsid w:val="00CB41BA"/>
    <w:rsid w:val="00CB72D1"/>
    <w:rsid w:val="00CB767C"/>
    <w:rsid w:val="00CB76B6"/>
    <w:rsid w:val="00CC0355"/>
    <w:rsid w:val="00CC3EAD"/>
    <w:rsid w:val="00CC44D3"/>
    <w:rsid w:val="00CC5784"/>
    <w:rsid w:val="00CC79C0"/>
    <w:rsid w:val="00CD1A86"/>
    <w:rsid w:val="00CD2067"/>
    <w:rsid w:val="00CD2C46"/>
    <w:rsid w:val="00CD6778"/>
    <w:rsid w:val="00CD6CF2"/>
    <w:rsid w:val="00CE6E39"/>
    <w:rsid w:val="00CF365B"/>
    <w:rsid w:val="00CF5053"/>
    <w:rsid w:val="00CF506B"/>
    <w:rsid w:val="00CF7180"/>
    <w:rsid w:val="00CF7798"/>
    <w:rsid w:val="00D0155A"/>
    <w:rsid w:val="00D01A3E"/>
    <w:rsid w:val="00D07713"/>
    <w:rsid w:val="00D10C44"/>
    <w:rsid w:val="00D1282D"/>
    <w:rsid w:val="00D136A7"/>
    <w:rsid w:val="00D147ED"/>
    <w:rsid w:val="00D1686E"/>
    <w:rsid w:val="00D24254"/>
    <w:rsid w:val="00D257C1"/>
    <w:rsid w:val="00D32C5D"/>
    <w:rsid w:val="00D34702"/>
    <w:rsid w:val="00D43C22"/>
    <w:rsid w:val="00D4418E"/>
    <w:rsid w:val="00D44562"/>
    <w:rsid w:val="00D45167"/>
    <w:rsid w:val="00D4574F"/>
    <w:rsid w:val="00D463B7"/>
    <w:rsid w:val="00D4648E"/>
    <w:rsid w:val="00D468FA"/>
    <w:rsid w:val="00D4719D"/>
    <w:rsid w:val="00D50220"/>
    <w:rsid w:val="00D50428"/>
    <w:rsid w:val="00D53424"/>
    <w:rsid w:val="00D54395"/>
    <w:rsid w:val="00D60AAF"/>
    <w:rsid w:val="00D63430"/>
    <w:rsid w:val="00D64700"/>
    <w:rsid w:val="00D65AAD"/>
    <w:rsid w:val="00D67F66"/>
    <w:rsid w:val="00D732A9"/>
    <w:rsid w:val="00D76361"/>
    <w:rsid w:val="00D803A1"/>
    <w:rsid w:val="00D83AB7"/>
    <w:rsid w:val="00D8482B"/>
    <w:rsid w:val="00D90931"/>
    <w:rsid w:val="00D91919"/>
    <w:rsid w:val="00D92A1A"/>
    <w:rsid w:val="00D9362E"/>
    <w:rsid w:val="00D94A3B"/>
    <w:rsid w:val="00D95EA2"/>
    <w:rsid w:val="00D9649B"/>
    <w:rsid w:val="00D976E9"/>
    <w:rsid w:val="00DA0C5D"/>
    <w:rsid w:val="00DA5524"/>
    <w:rsid w:val="00DA618C"/>
    <w:rsid w:val="00DA6E52"/>
    <w:rsid w:val="00DB320D"/>
    <w:rsid w:val="00DB4A16"/>
    <w:rsid w:val="00DB5024"/>
    <w:rsid w:val="00DB5518"/>
    <w:rsid w:val="00DB5EFB"/>
    <w:rsid w:val="00DB6C1E"/>
    <w:rsid w:val="00DC0B1C"/>
    <w:rsid w:val="00DC2AAD"/>
    <w:rsid w:val="00DC2C8D"/>
    <w:rsid w:val="00DC2DF9"/>
    <w:rsid w:val="00DD00FB"/>
    <w:rsid w:val="00DD1374"/>
    <w:rsid w:val="00DD2D75"/>
    <w:rsid w:val="00DD4D85"/>
    <w:rsid w:val="00DD6EE1"/>
    <w:rsid w:val="00DE57B8"/>
    <w:rsid w:val="00DF08BD"/>
    <w:rsid w:val="00DF1057"/>
    <w:rsid w:val="00DF44DE"/>
    <w:rsid w:val="00E00E60"/>
    <w:rsid w:val="00E04EFE"/>
    <w:rsid w:val="00E05DE7"/>
    <w:rsid w:val="00E0602A"/>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1D84"/>
    <w:rsid w:val="00E3778C"/>
    <w:rsid w:val="00E37C95"/>
    <w:rsid w:val="00E40BEF"/>
    <w:rsid w:val="00E40CBC"/>
    <w:rsid w:val="00E40DD5"/>
    <w:rsid w:val="00E41840"/>
    <w:rsid w:val="00E431D7"/>
    <w:rsid w:val="00E4681E"/>
    <w:rsid w:val="00E540BC"/>
    <w:rsid w:val="00E565C5"/>
    <w:rsid w:val="00E57043"/>
    <w:rsid w:val="00E5723B"/>
    <w:rsid w:val="00E631F0"/>
    <w:rsid w:val="00E634D2"/>
    <w:rsid w:val="00E667CB"/>
    <w:rsid w:val="00E67DCD"/>
    <w:rsid w:val="00E7272A"/>
    <w:rsid w:val="00E750CC"/>
    <w:rsid w:val="00E77CAA"/>
    <w:rsid w:val="00E82940"/>
    <w:rsid w:val="00E83A84"/>
    <w:rsid w:val="00E85F3F"/>
    <w:rsid w:val="00EA0452"/>
    <w:rsid w:val="00EA0ED2"/>
    <w:rsid w:val="00EA7527"/>
    <w:rsid w:val="00EB2C83"/>
    <w:rsid w:val="00EB3A96"/>
    <w:rsid w:val="00EB476F"/>
    <w:rsid w:val="00EB52B3"/>
    <w:rsid w:val="00EB5882"/>
    <w:rsid w:val="00EB7390"/>
    <w:rsid w:val="00EC1186"/>
    <w:rsid w:val="00EC136E"/>
    <w:rsid w:val="00EC2814"/>
    <w:rsid w:val="00EC37CB"/>
    <w:rsid w:val="00ED0762"/>
    <w:rsid w:val="00ED266F"/>
    <w:rsid w:val="00ED5E21"/>
    <w:rsid w:val="00ED61A8"/>
    <w:rsid w:val="00ED7C24"/>
    <w:rsid w:val="00ED7C53"/>
    <w:rsid w:val="00EE0633"/>
    <w:rsid w:val="00EE150B"/>
    <w:rsid w:val="00EE1BE5"/>
    <w:rsid w:val="00EE4795"/>
    <w:rsid w:val="00EF09A7"/>
    <w:rsid w:val="00EF1E78"/>
    <w:rsid w:val="00EF29EC"/>
    <w:rsid w:val="00EF6FEB"/>
    <w:rsid w:val="00EF7154"/>
    <w:rsid w:val="00F0076E"/>
    <w:rsid w:val="00F00FB7"/>
    <w:rsid w:val="00F022E0"/>
    <w:rsid w:val="00F0425A"/>
    <w:rsid w:val="00F0654E"/>
    <w:rsid w:val="00F118B1"/>
    <w:rsid w:val="00F11E6D"/>
    <w:rsid w:val="00F136EE"/>
    <w:rsid w:val="00F22A71"/>
    <w:rsid w:val="00F259FE"/>
    <w:rsid w:val="00F27D86"/>
    <w:rsid w:val="00F30329"/>
    <w:rsid w:val="00F31726"/>
    <w:rsid w:val="00F31E52"/>
    <w:rsid w:val="00F32A84"/>
    <w:rsid w:val="00F33EED"/>
    <w:rsid w:val="00F36F06"/>
    <w:rsid w:val="00F41E19"/>
    <w:rsid w:val="00F43C5B"/>
    <w:rsid w:val="00F441A2"/>
    <w:rsid w:val="00F44E44"/>
    <w:rsid w:val="00F46A54"/>
    <w:rsid w:val="00F50705"/>
    <w:rsid w:val="00F5130C"/>
    <w:rsid w:val="00F5534B"/>
    <w:rsid w:val="00F63CEC"/>
    <w:rsid w:val="00F63DCE"/>
    <w:rsid w:val="00F646E5"/>
    <w:rsid w:val="00F65C09"/>
    <w:rsid w:val="00F676BF"/>
    <w:rsid w:val="00F67B66"/>
    <w:rsid w:val="00F7049F"/>
    <w:rsid w:val="00F70EC7"/>
    <w:rsid w:val="00F72AAB"/>
    <w:rsid w:val="00F80F23"/>
    <w:rsid w:val="00F823F7"/>
    <w:rsid w:val="00F87405"/>
    <w:rsid w:val="00F9160B"/>
    <w:rsid w:val="00F94070"/>
    <w:rsid w:val="00F94113"/>
    <w:rsid w:val="00F9530C"/>
    <w:rsid w:val="00F97520"/>
    <w:rsid w:val="00FA1A2D"/>
    <w:rsid w:val="00FA206C"/>
    <w:rsid w:val="00FA2070"/>
    <w:rsid w:val="00FA63BA"/>
    <w:rsid w:val="00FB3FBF"/>
    <w:rsid w:val="00FB5611"/>
    <w:rsid w:val="00FB6066"/>
    <w:rsid w:val="00FB701E"/>
    <w:rsid w:val="00FC00B2"/>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20085449">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70834030">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D806-4537-B387-E0830ACEDF4D}"/>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D806-4537-B387-E0830ACEDF4D}"/>
              </c:ext>
            </c:extLst>
          </c:dPt>
          <c:dPt>
            <c:idx val="3"/>
            <c:invertIfNegative val="0"/>
            <c:bubble3D val="0"/>
            <c:spPr>
              <a:solidFill>
                <a:srgbClr val="0070C0"/>
              </a:solidFill>
              <a:ln>
                <a:noFill/>
              </a:ln>
              <a:effectLst/>
            </c:spPr>
            <c:extLst>
              <c:ext xmlns:c16="http://schemas.microsoft.com/office/drawing/2014/chart" uri="{C3380CC4-5D6E-409C-BE32-E72D297353CC}">
                <c16:uniqueId val="{00000005-D806-4537-B387-E0830ACEDF4D}"/>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D806-4537-B387-E0830ACEDF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('2022Q2'!$B$4:$B$6,'2022Q2'!$B$8:$B$10)</c:f>
              <c:strCache>
                <c:ptCount val="6"/>
                <c:pt idx="0">
                  <c:v>Özel Tüketim</c:v>
                </c:pt>
                <c:pt idx="1">
                  <c:v>Kamu Tüketimi</c:v>
                </c:pt>
                <c:pt idx="2">
                  <c:v>Yatırım</c:v>
                </c:pt>
                <c:pt idx="3">
                  <c:v>İhracat</c:v>
                </c:pt>
                <c:pt idx="4">
                  <c:v>İthalat</c:v>
                </c:pt>
                <c:pt idx="5">
                  <c:v>GSYH</c:v>
                </c:pt>
              </c:strCache>
            </c:strRef>
          </c:cat>
          <c:val>
            <c:numRef>
              <c:f>('2022Q2'!$E$4:$E$6,'2022Q2'!$E$8:$E$10)</c:f>
              <c:numCache>
                <c:formatCode>0.0</c:formatCode>
                <c:ptCount val="6"/>
                <c:pt idx="0">
                  <c:v>22.538647371369169</c:v>
                </c:pt>
                <c:pt idx="1">
                  <c:v>2.283740843732307</c:v>
                </c:pt>
                <c:pt idx="2">
                  <c:v>4.660079302852238</c:v>
                </c:pt>
                <c:pt idx="3">
                  <c:v>16.396017629449268</c:v>
                </c:pt>
                <c:pt idx="4">
                  <c:v>5.7836429995119509</c:v>
                </c:pt>
                <c:pt idx="5">
                  <c:v>7.578584744048622</c:v>
                </c:pt>
              </c:numCache>
            </c:numRef>
          </c:val>
          <c:extLst>
            <c:ext xmlns:c16="http://schemas.microsoft.com/office/drawing/2014/chart" uri="{C3380CC4-5D6E-409C-BE32-E72D297353CC}">
              <c16:uniqueId val="{00000008-D806-4537-B387-E0830ACEDF4D}"/>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F5D-4B70-97DE-42C10F0D4578}"/>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EF5D-4B70-97DE-42C10F0D457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EF5D-4B70-97DE-42C10F0D4578}"/>
              </c:ext>
            </c:extLst>
          </c:dPt>
          <c:dPt>
            <c:idx val="3"/>
            <c:invertIfNegative val="0"/>
            <c:bubble3D val="0"/>
            <c:spPr>
              <a:solidFill>
                <a:srgbClr val="FF0000"/>
              </a:solidFill>
              <a:ln>
                <a:noFill/>
              </a:ln>
              <a:effectLst/>
            </c:spPr>
            <c:extLst>
              <c:ext xmlns:c16="http://schemas.microsoft.com/office/drawing/2014/chart" uri="{C3380CC4-5D6E-409C-BE32-E72D297353CC}">
                <c16:uniqueId val="{00000007-EF5D-4B70-97DE-42C10F0D4578}"/>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EF5D-4B70-97DE-42C10F0D4578}"/>
              </c:ext>
            </c:extLst>
          </c:dPt>
          <c:dPt>
            <c:idx val="5"/>
            <c:invertIfNegative val="0"/>
            <c:bubble3D val="0"/>
            <c:spPr>
              <a:solidFill>
                <a:srgbClr val="FF0000"/>
              </a:solidFill>
              <a:ln>
                <a:noFill/>
              </a:ln>
              <a:effectLst/>
            </c:spPr>
            <c:extLst>
              <c:ext xmlns:c16="http://schemas.microsoft.com/office/drawing/2014/chart" uri="{C3380CC4-5D6E-409C-BE32-E72D297353CC}">
                <c16:uniqueId val="{0000000B-EF5D-4B70-97DE-42C10F0D45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'2022Q2'!$B$4:$B$9</c:f>
              <c:strCache>
                <c:ptCount val="6"/>
                <c:pt idx="0">
                  <c:v>Özel Tüketim</c:v>
                </c:pt>
                <c:pt idx="1">
                  <c:v>Kamu Tüketimi</c:v>
                </c:pt>
                <c:pt idx="2">
                  <c:v>Yatırım</c:v>
                </c:pt>
                <c:pt idx="3">
                  <c:v>Stok Değişimi</c:v>
                </c:pt>
                <c:pt idx="4">
                  <c:v>İhracat</c:v>
                </c:pt>
                <c:pt idx="5">
                  <c:v>İthalat</c:v>
                </c:pt>
              </c:strCache>
            </c:strRef>
          </c:cat>
          <c:val>
            <c:numRef>
              <c:f>'2022Q2'!$F$4:$F$9</c:f>
              <c:numCache>
                <c:formatCode>0.0</c:formatCode>
                <c:ptCount val="6"/>
                <c:pt idx="0">
                  <c:v>12.271643003994811</c:v>
                </c:pt>
                <c:pt idx="1">
                  <c:v>0.29249127866077868</c:v>
                </c:pt>
                <c:pt idx="2">
                  <c:v>1.4368433842440891</c:v>
                </c:pt>
                <c:pt idx="3">
                  <c:v>-10.253652703812531</c:v>
                </c:pt>
                <c:pt idx="4">
                  <c:v>5.6685242822157269</c:v>
                </c:pt>
                <c:pt idx="5">
                  <c:v>-1.8372645012542339</c:v>
                </c:pt>
              </c:numCache>
            </c:numRef>
          </c:val>
          <c:extLst>
            <c:ext xmlns:c16="http://schemas.microsoft.com/office/drawing/2014/chart" uri="{C3380CC4-5D6E-409C-BE32-E72D297353CC}">
              <c16:uniqueId val="{0000000C-EF5D-4B70-97DE-42C10F0D4578}"/>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'2022Q2'!$E$29</c:f>
              <c:strCache>
                <c:ptCount val="1"/>
                <c:pt idx="0">
                  <c:v>Yıllık değişim</c:v>
                </c:pt>
              </c:strCache>
            </c:strRef>
          </c:tx>
          <c:spPr>
            <a:solidFill>
              <a:schemeClr val="accent1"/>
            </a:solidFill>
            <a:ln>
              <a:noFill/>
            </a:ln>
            <a:effectLst/>
          </c:spPr>
          <c:invertIfNegative val="0"/>
          <c:cat>
            <c:strRef>
              <c:f>'2022Q2'!$A$36:$A$59</c:f>
              <c:strCache>
                <c:ptCount val="24"/>
                <c:pt idx="0">
                  <c:v>2016Q3</c:v>
                </c:pt>
                <c:pt idx="1">
                  <c:v>2016Q4</c:v>
                </c:pt>
                <c:pt idx="2">
                  <c:v>2017Q1</c:v>
                </c:pt>
                <c:pt idx="3">
                  <c:v>2017Q2</c:v>
                </c:pt>
                <c:pt idx="4">
                  <c:v>2017Q3</c:v>
                </c:pt>
                <c:pt idx="5">
                  <c:v>2017Q4</c:v>
                </c:pt>
                <c:pt idx="6">
                  <c:v>2018Q1</c:v>
                </c:pt>
                <c:pt idx="7">
                  <c:v>2018Q2</c:v>
                </c:pt>
                <c:pt idx="8">
                  <c:v>2018Q3</c:v>
                </c:pt>
                <c:pt idx="9">
                  <c:v>2018Q4</c:v>
                </c:pt>
                <c:pt idx="10">
                  <c:v>2019Q1</c:v>
                </c:pt>
                <c:pt idx="11">
                  <c:v>2019Q2</c:v>
                </c:pt>
                <c:pt idx="12">
                  <c:v>2019Q3</c:v>
                </c:pt>
                <c:pt idx="13">
                  <c:v>2019Q4</c:v>
                </c:pt>
                <c:pt idx="14">
                  <c:v>2020Q1</c:v>
                </c:pt>
                <c:pt idx="15">
                  <c:v>2020Q2</c:v>
                </c:pt>
                <c:pt idx="16">
                  <c:v>2020Q3</c:v>
                </c:pt>
                <c:pt idx="17">
                  <c:v>2020Q4</c:v>
                </c:pt>
                <c:pt idx="18">
                  <c:v>2021Q1</c:v>
                </c:pt>
                <c:pt idx="19">
                  <c:v>2021Q2</c:v>
                </c:pt>
                <c:pt idx="20">
                  <c:v>2021Q3</c:v>
                </c:pt>
                <c:pt idx="21">
                  <c:v>2021Q4</c:v>
                </c:pt>
                <c:pt idx="22">
                  <c:v>2022Q1</c:v>
                </c:pt>
                <c:pt idx="23">
                  <c:v>2022Q2</c:v>
                </c:pt>
              </c:strCache>
            </c:strRef>
          </c:cat>
          <c:val>
            <c:numRef>
              <c:f>'2022Q2'!$E$36:$E$59</c:f>
              <c:numCache>
                <c:formatCode>0.0</c:formatCode>
                <c:ptCount val="24"/>
                <c:pt idx="0">
                  <c:v>-0.66916264538373627</c:v>
                </c:pt>
                <c:pt idx="1">
                  <c:v>4.4311945807482322</c:v>
                </c:pt>
                <c:pt idx="2">
                  <c:v>5.2908425432556472</c:v>
                </c:pt>
                <c:pt idx="3">
                  <c:v>5.3018811864605109</c:v>
                </c:pt>
                <c:pt idx="4">
                  <c:v>11.790057801663067</c:v>
                </c:pt>
                <c:pt idx="5">
                  <c:v>7.268453394698593</c:v>
                </c:pt>
                <c:pt idx="6">
                  <c:v>7.4790849570820495</c:v>
                </c:pt>
                <c:pt idx="7">
                  <c:v>5.8373529623979348</c:v>
                </c:pt>
                <c:pt idx="8">
                  <c:v>2.4970675554269572</c:v>
                </c:pt>
                <c:pt idx="9">
                  <c:v>-2.6385699021583275</c:v>
                </c:pt>
                <c:pt idx="10">
                  <c:v>-2.5584144346031623</c:v>
                </c:pt>
                <c:pt idx="11">
                  <c:v>-1.6606138131681103</c:v>
                </c:pt>
                <c:pt idx="12">
                  <c:v>0.93738377656722438</c:v>
                </c:pt>
                <c:pt idx="13">
                  <c:v>5.8947299681534782</c:v>
                </c:pt>
                <c:pt idx="14">
                  <c:v>4.4297179508610007</c:v>
                </c:pt>
                <c:pt idx="15">
                  <c:v>-10.287252031670214</c:v>
                </c:pt>
                <c:pt idx="16">
                  <c:v>6.5133513599918036</c:v>
                </c:pt>
                <c:pt idx="17">
                  <c:v>6.3597059018903224</c:v>
                </c:pt>
                <c:pt idx="18">
                  <c:v>7.5074170898249637</c:v>
                </c:pt>
                <c:pt idx="19">
                  <c:v>22.246406064977343</c:v>
                </c:pt>
                <c:pt idx="20">
                  <c:v>7.8917487901841499</c:v>
                </c:pt>
                <c:pt idx="21">
                  <c:v>9.5968538971011661</c:v>
                </c:pt>
                <c:pt idx="22">
                  <c:v>7.4702588408402715</c:v>
                </c:pt>
                <c:pt idx="23">
                  <c:v>7.578584744048622</c:v>
                </c:pt>
              </c:numCache>
            </c:numRef>
          </c:val>
          <c:extLst>
            <c:ext xmlns:c16="http://schemas.microsoft.com/office/drawing/2014/chart" uri="{C3380CC4-5D6E-409C-BE32-E72D297353CC}">
              <c16:uniqueId val="{00000000-C6EB-4AF7-B429-954D7C22570C}"/>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'2022Q2'!$F$29</c:f>
              <c:strCache>
                <c:ptCount val="1"/>
                <c:pt idx="0">
                  <c:v>Çeyreklik değişim</c:v>
                </c:pt>
              </c:strCache>
            </c:strRef>
          </c:tx>
          <c:spPr>
            <a:ln w="25400" cap="rnd">
              <a:solidFill>
                <a:schemeClr val="tx1"/>
              </a:solidFill>
              <a:round/>
            </a:ln>
            <a:effectLst/>
          </c:spPr>
          <c:marker>
            <c:symbol val="none"/>
          </c:marker>
          <c:cat>
            <c:strRef>
              <c:f>'2022Q2'!$A$36:$A$59</c:f>
              <c:strCache>
                <c:ptCount val="24"/>
                <c:pt idx="0">
                  <c:v>2016Q3</c:v>
                </c:pt>
                <c:pt idx="1">
                  <c:v>2016Q4</c:v>
                </c:pt>
                <c:pt idx="2">
                  <c:v>2017Q1</c:v>
                </c:pt>
                <c:pt idx="3">
                  <c:v>2017Q2</c:v>
                </c:pt>
                <c:pt idx="4">
                  <c:v>2017Q3</c:v>
                </c:pt>
                <c:pt idx="5">
                  <c:v>2017Q4</c:v>
                </c:pt>
                <c:pt idx="6">
                  <c:v>2018Q1</c:v>
                </c:pt>
                <c:pt idx="7">
                  <c:v>2018Q2</c:v>
                </c:pt>
                <c:pt idx="8">
                  <c:v>2018Q3</c:v>
                </c:pt>
                <c:pt idx="9">
                  <c:v>2018Q4</c:v>
                </c:pt>
                <c:pt idx="10">
                  <c:v>2019Q1</c:v>
                </c:pt>
                <c:pt idx="11">
                  <c:v>2019Q2</c:v>
                </c:pt>
                <c:pt idx="12">
                  <c:v>2019Q3</c:v>
                </c:pt>
                <c:pt idx="13">
                  <c:v>2019Q4</c:v>
                </c:pt>
                <c:pt idx="14">
                  <c:v>2020Q1</c:v>
                </c:pt>
                <c:pt idx="15">
                  <c:v>2020Q2</c:v>
                </c:pt>
                <c:pt idx="16">
                  <c:v>2020Q3</c:v>
                </c:pt>
                <c:pt idx="17">
                  <c:v>2020Q4</c:v>
                </c:pt>
                <c:pt idx="18">
                  <c:v>2021Q1</c:v>
                </c:pt>
                <c:pt idx="19">
                  <c:v>2021Q2</c:v>
                </c:pt>
                <c:pt idx="20">
                  <c:v>2021Q3</c:v>
                </c:pt>
                <c:pt idx="21">
                  <c:v>2021Q4</c:v>
                </c:pt>
                <c:pt idx="22">
                  <c:v>2022Q1</c:v>
                </c:pt>
                <c:pt idx="23">
                  <c:v>2022Q2</c:v>
                </c:pt>
              </c:strCache>
            </c:strRef>
          </c:cat>
          <c:val>
            <c:numRef>
              <c:f>'2022Q2'!$F$36:$F$59</c:f>
              <c:numCache>
                <c:formatCode>0.0</c:formatCode>
                <c:ptCount val="24"/>
                <c:pt idx="0">
                  <c:v>-2.8676734614659694</c:v>
                </c:pt>
                <c:pt idx="1">
                  <c:v>5.5096116443495324</c:v>
                </c:pt>
                <c:pt idx="2">
                  <c:v>1.368865259222618</c:v>
                </c:pt>
                <c:pt idx="3">
                  <c:v>2.2803188216812265</c:v>
                </c:pt>
                <c:pt idx="4">
                  <c:v>1.515918557513718</c:v>
                </c:pt>
                <c:pt idx="5">
                  <c:v>1.8827611322633553</c:v>
                </c:pt>
                <c:pt idx="6">
                  <c:v>1.4687431302132792</c:v>
                </c:pt>
                <c:pt idx="7">
                  <c:v>0.65752178788840432</c:v>
                </c:pt>
                <c:pt idx="8">
                  <c:v>-1.6279355144123486</c:v>
                </c:pt>
                <c:pt idx="9">
                  <c:v>-3.1841153368222574</c:v>
                </c:pt>
                <c:pt idx="10">
                  <c:v>1.8777893627963671</c:v>
                </c:pt>
                <c:pt idx="11">
                  <c:v>2.5678003132384219</c:v>
                </c:pt>
                <c:pt idx="12">
                  <c:v>-0.35290778459662331</c:v>
                </c:pt>
                <c:pt idx="13">
                  <c:v>1.2799084485346723</c:v>
                </c:pt>
                <c:pt idx="14">
                  <c:v>0.84932546643585738</c:v>
                </c:pt>
                <c:pt idx="15">
                  <c:v>-10.371752589236927</c:v>
                </c:pt>
                <c:pt idx="16">
                  <c:v>15.649317790807004</c:v>
                </c:pt>
                <c:pt idx="17">
                  <c:v>1.0846477656639042</c:v>
                </c:pt>
                <c:pt idx="18">
                  <c:v>2.6166590695453573</c:v>
                </c:pt>
                <c:pt idx="19">
                  <c:v>1.9949569992060434</c:v>
                </c:pt>
                <c:pt idx="20">
                  <c:v>2.7144828244644925</c:v>
                </c:pt>
                <c:pt idx="21">
                  <c:v>1.5756383914333538</c:v>
                </c:pt>
                <c:pt idx="22">
                  <c:v>0.67392449478380634</c:v>
                </c:pt>
                <c:pt idx="23">
                  <c:v>2.0699273423802511</c:v>
                </c:pt>
              </c:numCache>
            </c:numRef>
          </c:val>
          <c:smooth val="0"/>
          <c:extLst>
            <c:ext xmlns:c16="http://schemas.microsoft.com/office/drawing/2014/chart" uri="{C3380CC4-5D6E-409C-BE32-E72D297353CC}">
              <c16:uniqueId val="{00000001-C6EB-4AF7-B429-954D7C22570C}"/>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C4E5F-EF7F-4EBF-974F-0DFE5C4845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4.xml><?xml version="1.0" encoding="utf-8"?>
<ds:datastoreItem xmlns:ds="http://schemas.openxmlformats.org/officeDocument/2006/customXml" ds:itemID="{1B5DCC59-7887-4FDB-95C5-353D147D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BAKIS</dc:creator>
  <cp:lastModifiedBy>merve.akgul</cp:lastModifiedBy>
  <cp:revision>6</cp:revision>
  <cp:lastPrinted>2022-06-06T07:00:00Z</cp:lastPrinted>
  <dcterms:created xsi:type="dcterms:W3CDTF">2022-09-02T10:04:00Z</dcterms:created>
  <dcterms:modified xsi:type="dcterms:W3CDTF">2022-09-05T07:15:00Z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ies>
</file>