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59E8" w14:textId="77777777" w:rsidR="00C14ECD" w:rsidRDefault="00C14ECD" w:rsidP="0082475A">
      <w:pPr>
        <w:spacing w:after="0"/>
        <w:contextualSpacing/>
        <w:jc w:val="right"/>
        <w:rPr>
          <w:highlight w:val="yellow"/>
        </w:rPr>
      </w:pPr>
    </w:p>
    <w:p w14:paraId="32E1F06D" w14:textId="096685DF" w:rsidR="00C14ECD" w:rsidRDefault="0074366C" w:rsidP="0082475A">
      <w:pPr>
        <w:spacing w:after="0"/>
        <w:contextualSpacing/>
        <w:jc w:val="right"/>
        <w:rPr>
          <w:color w:val="000000"/>
        </w:rPr>
      </w:pPr>
      <w:r>
        <w:t xml:space="preserve">19 </w:t>
      </w:r>
      <w:r w:rsidR="00BA3D18">
        <w:t>Eylül 2022</w:t>
      </w:r>
    </w:p>
    <w:p w14:paraId="20D14297" w14:textId="77777777" w:rsidR="00C14ECD" w:rsidRDefault="00C14ECD" w:rsidP="0082475A">
      <w:pPr>
        <w:spacing w:after="0"/>
        <w:contextualSpacing/>
        <w:jc w:val="center"/>
        <w:rPr>
          <w:sz w:val="24"/>
          <w:szCs w:val="24"/>
        </w:rPr>
      </w:pPr>
    </w:p>
    <w:p w14:paraId="16F46F27" w14:textId="77777777" w:rsidR="00C14ECD" w:rsidRDefault="00BA3D18" w:rsidP="0082475A">
      <w:pPr>
        <w:spacing w:after="0"/>
        <w:contextualSpacing/>
        <w:jc w:val="center"/>
        <w:rPr>
          <w:sz w:val="24"/>
          <w:szCs w:val="24"/>
        </w:rPr>
      </w:pPr>
      <w:r>
        <w:rPr>
          <w:sz w:val="24"/>
          <w:szCs w:val="24"/>
        </w:rPr>
        <w:t>“sahibindex Kiralık Konut Piyasası Görünümü” raporu yayınlandı:</w:t>
      </w:r>
    </w:p>
    <w:p w14:paraId="3A58EBE8" w14:textId="185A4DC1" w:rsidR="00C14ECD" w:rsidRDefault="0082475A" w:rsidP="0082475A">
      <w:pPr>
        <w:spacing w:after="0"/>
        <w:contextualSpacing/>
        <w:jc w:val="center"/>
        <w:rPr>
          <w:b/>
          <w:sz w:val="40"/>
          <w:szCs w:val="40"/>
        </w:rPr>
      </w:pPr>
      <w:r w:rsidRPr="0082475A">
        <w:rPr>
          <w:b/>
          <w:sz w:val="40"/>
          <w:szCs w:val="40"/>
        </w:rPr>
        <w:t>Kira fiyatları</w:t>
      </w:r>
      <w:r w:rsidR="008729E1">
        <w:rPr>
          <w:b/>
          <w:sz w:val="40"/>
          <w:szCs w:val="40"/>
        </w:rPr>
        <w:t>nda durağan seyir</w:t>
      </w:r>
    </w:p>
    <w:p w14:paraId="005EFABA" w14:textId="77777777" w:rsidR="0082475A" w:rsidRPr="0082475A" w:rsidRDefault="0082475A" w:rsidP="0082475A">
      <w:pPr>
        <w:spacing w:after="0"/>
        <w:contextualSpacing/>
        <w:jc w:val="center"/>
        <w:rPr>
          <w:b/>
          <w:sz w:val="20"/>
          <w:szCs w:val="34"/>
        </w:rPr>
      </w:pPr>
    </w:p>
    <w:p w14:paraId="56C56412" w14:textId="77777777" w:rsidR="00C14ECD" w:rsidRDefault="00BA3D18" w:rsidP="0082475A">
      <w:pPr>
        <w:spacing w:after="0"/>
        <w:contextualSpacing/>
        <w:jc w:val="center"/>
        <w:rPr>
          <w:b/>
          <w:i/>
          <w:color w:val="000000"/>
        </w:rPr>
      </w:pPr>
      <w:r>
        <w:rPr>
          <w:b/>
          <w:i/>
          <w:color w:val="000000"/>
        </w:rPr>
        <w:t>sahibinden.com, Bahçeşehir Üniversitesi Ekonomik ve Toplumsal Araştırmalar Merkezi (BETAM) iş birliğiyle hazırladığı “sahibindex Kiralık Konut Piyasası Görünümü” Eylül raporunda kiralık konut piyasasındaki değişimler mercek altına alındı. Rapora göre</w:t>
      </w:r>
      <w:r>
        <w:rPr>
          <w:b/>
          <w:i/>
        </w:rPr>
        <w:t xml:space="preserve"> Haziran ayında 56,5 TL olan ortalama kira fiyatı ise Ağustos’ta 56 TL’ye düştü. Kiralık konut piyasasındaki hareketlilik görülürken; </w:t>
      </w:r>
      <w:r>
        <w:rPr>
          <w:b/>
          <w:i/>
          <w:color w:val="000000"/>
        </w:rPr>
        <w:t>Türkiye bu ay hem daha fazla kiralık konut ilanı verdi, hem de kiralık konuta olan tale</w:t>
      </w:r>
      <w:r>
        <w:rPr>
          <w:b/>
          <w:i/>
        </w:rPr>
        <w:t>p</w:t>
      </w:r>
      <w:r>
        <w:rPr>
          <w:b/>
          <w:i/>
          <w:color w:val="000000"/>
        </w:rPr>
        <w:t xml:space="preserve"> artışa geçti.</w:t>
      </w:r>
    </w:p>
    <w:p w14:paraId="6D9CF0B6" w14:textId="77777777" w:rsidR="00C14ECD" w:rsidRDefault="00C14ECD" w:rsidP="0082475A">
      <w:pPr>
        <w:spacing w:after="0"/>
        <w:contextualSpacing/>
        <w:jc w:val="center"/>
        <w:rPr>
          <w:b/>
          <w:i/>
        </w:rPr>
      </w:pPr>
    </w:p>
    <w:p w14:paraId="38CB6D1B" w14:textId="2534A292" w:rsidR="00C14ECD" w:rsidRDefault="00BA3D18" w:rsidP="0082475A">
      <w:pPr>
        <w:spacing w:after="0" w:line="240" w:lineRule="auto"/>
        <w:contextualSpacing/>
        <w:jc w:val="both"/>
        <w:rPr>
          <w:color w:val="000000"/>
        </w:rPr>
      </w:pPr>
      <w:r>
        <w:rPr>
          <w:color w:val="000000"/>
        </w:rPr>
        <w:t>Bahçeşehir Üniversitesi Ekonomik ve Toplumsal Araştırmalar Merkezi (BETAM) tarafından sahibinden.com’un ilan verileri üzerinden hazırlanan “sahibindex Kiralık Konut Piyasası Görünümü” Eylül raporu yayınlandı. Rapora göre Türkiye genelinde ortalama kiralık konut ilan m</w:t>
      </w:r>
      <w:r>
        <w:rPr>
          <w:color w:val="000000"/>
          <w:sz w:val="13"/>
          <w:szCs w:val="13"/>
          <w:vertAlign w:val="superscript"/>
        </w:rPr>
        <w:t>2</w:t>
      </w:r>
      <w:r>
        <w:rPr>
          <w:color w:val="000000"/>
        </w:rPr>
        <w:t xml:space="preserve"> fiyatındaki yıllık artış oranı Ağustos ayında yüzde 167,7 olurken </w:t>
      </w:r>
      <w:r w:rsidR="00255C56">
        <w:rPr>
          <w:color w:val="000000"/>
        </w:rPr>
        <w:t>Haziran’da 56,5 TL olan ortalama kiralık konut ilan m</w:t>
      </w:r>
      <w:r w:rsidR="00255C56">
        <w:rPr>
          <w:color w:val="000000"/>
          <w:sz w:val="13"/>
          <w:szCs w:val="13"/>
          <w:vertAlign w:val="superscript"/>
        </w:rPr>
        <w:t>2</w:t>
      </w:r>
      <w:r w:rsidR="00255C56">
        <w:rPr>
          <w:color w:val="000000"/>
        </w:rPr>
        <w:t xml:space="preserve"> fiyatı Ağustos’ta 56 TL’ye geriledi. </w:t>
      </w:r>
      <w:r>
        <w:rPr>
          <w:color w:val="000000"/>
        </w:rPr>
        <w:t>Yıllık kira artış oranı İstanbul’da yüzde 153,2, Ankara’da yüzde 164,1, İzmir’de ise yüzde 169,6 oldu. Ortalama kiralık konut ilan m</w:t>
      </w:r>
      <w:r>
        <w:rPr>
          <w:color w:val="000000"/>
          <w:sz w:val="13"/>
          <w:szCs w:val="13"/>
          <w:vertAlign w:val="superscript"/>
        </w:rPr>
        <w:t>2</w:t>
      </w:r>
      <w:r>
        <w:rPr>
          <w:color w:val="000000"/>
        </w:rPr>
        <w:t xml:space="preserve"> fiyatları İstanbul’da 80,6 TL, Ankara’da 40,6 TL, İzmir’de ise 58,8 TL oldu. Enflasyondan arındırılmış (reel) kira fiyatları ülke genelinde ve İstanbul’da azalırken Ankara’da ve İzmir’de arttı. Kiralık konut talep göstergesi geçen aya kıyasla yüzde 18,1 arttı</w:t>
      </w:r>
      <w:r w:rsidR="00230DBD">
        <w:rPr>
          <w:color w:val="000000"/>
        </w:rPr>
        <w:t>.</w:t>
      </w:r>
      <w:r>
        <w:rPr>
          <w:color w:val="000000"/>
        </w:rPr>
        <w:t xml:space="preserve"> </w:t>
      </w:r>
      <w:r w:rsidR="00230DBD">
        <w:rPr>
          <w:color w:val="000000"/>
        </w:rPr>
        <w:t>K</w:t>
      </w:r>
      <w:r>
        <w:rPr>
          <w:color w:val="000000"/>
        </w:rPr>
        <w:t xml:space="preserve">iralık konut talebinin </w:t>
      </w:r>
      <w:r w:rsidR="00230DBD">
        <w:rPr>
          <w:color w:val="000000"/>
        </w:rPr>
        <w:t xml:space="preserve">ise </w:t>
      </w:r>
      <w:r>
        <w:rPr>
          <w:color w:val="000000"/>
        </w:rPr>
        <w:t>geçen yılın aynı ayına kıyasla yüzde 6,8 yüksek olduğu açıklandı. Kiralık konut arzının ölçüldüğü kiralık ilan sayısı ise ülke genelinde, İstanbul ve Ankara’da artarken İzmir’de azaldı. Öte yandan, kiralık ilanların ne kadarının kiralandığını gösteren kiralanan konut sayısının toplam kiralık ilan sayısına oranı da geçtiğimiz aya göre ülke genelinde ve üç büyük ilde arttı.</w:t>
      </w:r>
    </w:p>
    <w:p w14:paraId="6F25695E" w14:textId="77777777" w:rsidR="0082475A" w:rsidRDefault="0082475A" w:rsidP="0082475A">
      <w:pPr>
        <w:spacing w:after="0" w:line="240" w:lineRule="auto"/>
        <w:contextualSpacing/>
        <w:jc w:val="both"/>
      </w:pPr>
    </w:p>
    <w:p w14:paraId="09481CB5" w14:textId="77777777" w:rsidR="0082475A" w:rsidRDefault="00BA3D18" w:rsidP="0082475A">
      <w:pPr>
        <w:spacing w:after="0" w:line="240" w:lineRule="auto"/>
        <w:contextualSpacing/>
        <w:jc w:val="both"/>
        <w:rPr>
          <w:rFonts w:ascii="Times New Roman" w:eastAsia="Times New Roman" w:hAnsi="Times New Roman" w:cs="Times New Roman"/>
          <w:sz w:val="24"/>
          <w:szCs w:val="24"/>
        </w:rPr>
      </w:pPr>
      <w:r>
        <w:rPr>
          <w:b/>
        </w:rPr>
        <w:t>Hem yıllık kira artış oranında hem de kira fiyatlarında geçtiğimiz aya göre düşüş yaşandı</w:t>
      </w:r>
    </w:p>
    <w:p w14:paraId="2E82126A" w14:textId="77777777" w:rsidR="00C14ECD" w:rsidRPr="0082475A" w:rsidRDefault="00BA3D18" w:rsidP="0082475A">
      <w:pPr>
        <w:spacing w:after="0" w:line="240" w:lineRule="auto"/>
        <w:contextualSpacing/>
        <w:jc w:val="both"/>
        <w:rPr>
          <w:rFonts w:ascii="Times New Roman" w:eastAsia="Times New Roman" w:hAnsi="Times New Roman" w:cs="Times New Roman"/>
          <w:sz w:val="24"/>
          <w:szCs w:val="24"/>
        </w:rPr>
      </w:pPr>
      <w:r>
        <w:rPr>
          <w:color w:val="000000"/>
        </w:rPr>
        <w:t>Türkiye genelinde kira fiyatları geçen yılın aynı ayına kıyasla artmaya devam etse de kira fiyatlarındaki artış oranı önceki iki ayda olduğu gibi Ağustos ayında da düştü</w:t>
      </w:r>
      <w:r>
        <w:t>.</w:t>
      </w:r>
      <w:r>
        <w:rPr>
          <w:color w:val="000000"/>
        </w:rPr>
        <w:t xml:space="preserve"> Kira fiyatlarının yıllık artış oranı geçen aya kıyasla 15,9 puan azalarak yüzde 167,7 oldu. Kira fiyatı artış oranı azalsa da geçen yılın aynı döneminde 20,9 TL olan Türkiye geneli güncel ortalama m</w:t>
      </w:r>
      <w:r>
        <w:rPr>
          <w:color w:val="000000"/>
          <w:vertAlign w:val="superscript"/>
        </w:rPr>
        <w:t>2</w:t>
      </w:r>
      <w:r>
        <w:rPr>
          <w:color w:val="000000"/>
        </w:rPr>
        <w:t xml:space="preserve"> kira fiyatı 56 TL oldu. Öte yandan ortalama cari kira fiyatları Temmuz ve Ağustos’ta bir miktar geriledi. Ortalama kira fiyatları bu iki ayda toplamda yaklaşık yüzde 1 düştü. Nitekim, Haziran ayında 56,5 TL olan ortalama kira fiyatı Ağustos’ta 56 TL’ye düştü.</w:t>
      </w:r>
    </w:p>
    <w:p w14:paraId="4F092AFF" w14:textId="77777777" w:rsidR="00C14ECD" w:rsidRDefault="00C14ECD" w:rsidP="0082475A">
      <w:pPr>
        <w:pBdr>
          <w:top w:val="nil"/>
          <w:left w:val="nil"/>
          <w:bottom w:val="nil"/>
          <w:right w:val="nil"/>
          <w:between w:val="nil"/>
        </w:pBdr>
        <w:spacing w:after="0" w:line="240" w:lineRule="auto"/>
        <w:contextualSpacing/>
        <w:jc w:val="both"/>
        <w:rPr>
          <w:b/>
        </w:rPr>
      </w:pPr>
    </w:p>
    <w:p w14:paraId="2DC36536"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b/>
          <w:color w:val="000000"/>
        </w:rPr>
        <w:t>Şekil 1: Türkiye ve üç büyük ilde bir önceki yılın aynı ayına göre cari kira fiyatı değişimi (%)</w:t>
      </w:r>
    </w:p>
    <w:p w14:paraId="3C0E83A9"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b/>
          <w:noProof/>
          <w:color w:val="000000"/>
        </w:rPr>
        <w:drawing>
          <wp:inline distT="0" distB="0" distL="0" distR="0" wp14:anchorId="589FC6CC" wp14:editId="049A5FB9">
            <wp:extent cx="3357058" cy="1886267"/>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357058" cy="1886267"/>
                    </a:xfrm>
                    <a:prstGeom prst="rect">
                      <a:avLst/>
                    </a:prstGeom>
                    <a:ln/>
                  </pic:spPr>
                </pic:pic>
              </a:graphicData>
            </a:graphic>
          </wp:inline>
        </w:drawing>
      </w:r>
    </w:p>
    <w:p w14:paraId="13DDC955"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color w:val="000000"/>
        </w:rPr>
        <w:t>Kaynak: sahibinden.com, Betam</w:t>
      </w:r>
    </w:p>
    <w:p w14:paraId="3E817AAD" w14:textId="77777777" w:rsidR="00C14ECD" w:rsidRDefault="00C14ECD" w:rsidP="0082475A">
      <w:pPr>
        <w:spacing w:after="0"/>
        <w:contextualSpacing/>
      </w:pPr>
    </w:p>
    <w:p w14:paraId="084C0C8D" w14:textId="77777777" w:rsidR="00C14ECD" w:rsidRDefault="00BA3D18" w:rsidP="0082475A">
      <w:pPr>
        <w:spacing w:after="0" w:line="240" w:lineRule="auto"/>
        <w:contextualSpacing/>
        <w:jc w:val="both"/>
        <w:rPr>
          <w:rFonts w:ascii="Times New Roman" w:eastAsia="Times New Roman" w:hAnsi="Times New Roman" w:cs="Times New Roman"/>
          <w:sz w:val="24"/>
          <w:szCs w:val="24"/>
        </w:rPr>
      </w:pPr>
      <w:r>
        <w:rPr>
          <w:b/>
        </w:rPr>
        <w:lastRenderedPageBreak/>
        <w:t>İstanbul’da yıllık k</w:t>
      </w:r>
      <w:r>
        <w:rPr>
          <w:b/>
          <w:color w:val="000000"/>
        </w:rPr>
        <w:t>ira artış oran</w:t>
      </w:r>
      <w:r>
        <w:rPr>
          <w:b/>
        </w:rPr>
        <w:t>ı geçen aya göre</w:t>
      </w:r>
      <w:r>
        <w:rPr>
          <w:b/>
          <w:color w:val="000000"/>
        </w:rPr>
        <w:t xml:space="preserve"> 8 puan düştü</w:t>
      </w:r>
    </w:p>
    <w:p w14:paraId="688A3E8F" w14:textId="03E20C81" w:rsidR="00C14ECD" w:rsidRDefault="00BA3D18" w:rsidP="0082475A">
      <w:pPr>
        <w:spacing w:after="0"/>
        <w:contextualSpacing/>
        <w:jc w:val="both"/>
        <w:rPr>
          <w:color w:val="000000"/>
        </w:rPr>
      </w:pPr>
      <w:r>
        <w:rPr>
          <w:color w:val="000000"/>
        </w:rPr>
        <w:t>Kiralık ilan m</w:t>
      </w:r>
      <w:r>
        <w:rPr>
          <w:color w:val="000000"/>
          <w:vertAlign w:val="superscript"/>
        </w:rPr>
        <w:t>2</w:t>
      </w:r>
      <w:r>
        <w:rPr>
          <w:color w:val="000000"/>
          <w:sz w:val="13"/>
          <w:szCs w:val="13"/>
          <w:vertAlign w:val="superscript"/>
        </w:rPr>
        <w:t xml:space="preserve"> </w:t>
      </w:r>
      <w:r>
        <w:rPr>
          <w:color w:val="000000"/>
        </w:rPr>
        <w:t>fiyatlarındaki yıllık artış oranları Ankara’da ve İzmir’de yükselirken İstanbul’da düştü</w:t>
      </w:r>
      <w:r>
        <w:t xml:space="preserve">. </w:t>
      </w:r>
      <w:r>
        <w:rPr>
          <w:color w:val="000000"/>
        </w:rPr>
        <w:t>Cari kira fiyatlarındaki yıllık artış oranı geçen aya göre Ankara’da 7,7 puan, İzmir’de 5,9 puan arttı, İstanbul’da ise 8 puan düştü. Yıllık kira artış oranı İstanbul’da yüzde 153,2, Ankara’da yüzde 164,1, İzmir’de ise yüzde 169,6 oldu. Ortalama kiralık konut ilan m</w:t>
      </w:r>
      <w:r>
        <w:rPr>
          <w:color w:val="000000"/>
          <w:vertAlign w:val="superscript"/>
        </w:rPr>
        <w:t>2</w:t>
      </w:r>
      <w:r>
        <w:rPr>
          <w:color w:val="000000"/>
        </w:rPr>
        <w:t xml:space="preserve"> fiyatları ise İstanbul’da 80,6 TL, Ankara’da 40,6 TL, İzmir’de ise 58,8 TL oldu.</w:t>
      </w:r>
    </w:p>
    <w:p w14:paraId="12066D09" w14:textId="77777777" w:rsidR="000348F9" w:rsidRDefault="000348F9" w:rsidP="0082475A">
      <w:pPr>
        <w:spacing w:after="0"/>
        <w:contextualSpacing/>
        <w:jc w:val="both"/>
        <w:rPr>
          <w:color w:val="000000"/>
        </w:rPr>
      </w:pPr>
    </w:p>
    <w:p w14:paraId="1A8EDCC7" w14:textId="3CBE8B80"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b/>
        </w:rPr>
        <w:t xml:space="preserve">En yüksek kira artışı Antalya’da, en düşük </w:t>
      </w:r>
      <w:r w:rsidR="000348F9">
        <w:rPr>
          <w:b/>
        </w:rPr>
        <w:t xml:space="preserve">kira artışı </w:t>
      </w:r>
      <w:r>
        <w:rPr>
          <w:b/>
        </w:rPr>
        <w:t>Kahramanmaraş’ta</w:t>
      </w:r>
    </w:p>
    <w:p w14:paraId="75B87630" w14:textId="77777777" w:rsidR="00C14ECD" w:rsidRDefault="00BA3D18" w:rsidP="0082475A">
      <w:pPr>
        <w:spacing w:after="0"/>
        <w:contextualSpacing/>
        <w:jc w:val="both"/>
        <w:rPr>
          <w:color w:val="000000"/>
        </w:rPr>
      </w:pPr>
      <w:r>
        <w:rPr>
          <w:color w:val="000000"/>
        </w:rPr>
        <w:t>Ağustos ayında yıllık ortalama kira artışı ülke genelinde yüzde 167,7 olurken büyükşehirlerdeki cari kira artış hızları farklılık gösterdi</w:t>
      </w:r>
      <w:r w:rsidRPr="0082475A">
        <w:rPr>
          <w:color w:val="000000"/>
        </w:rPr>
        <w:t xml:space="preserve">. </w:t>
      </w:r>
      <w:r>
        <w:rPr>
          <w:color w:val="000000"/>
        </w:rPr>
        <w:t xml:space="preserve">Önceki raporlarda belirtildiği gibi Antalya en yüksek kira artış oranının (yüzde 200) hesaplandığı il oldu; Antalya’da ortalama kira bir yılda 3 kat arttı. En yüksek fiyat artışı görülen diğer iller ise Kocaeli (yüzde 191,7), Eskişehir (yüzde 181,2), Ankara (yüzde 164,1) ve Tekirdağ oldu (yüzde 156,4). En düşük kira artışının görüldüğü iller: Mardin (yüzde 106,3), Gaziantep (yüzde 103,3), Van (yüzde 93,9), Diyarbakır (yüzde 93,5) ve Kahramanmaraş olarak belirlendi (yüzde 79). Ağustos ayının verilerine göre sadece Kahramanmaraş’taki yıllık kira fiyatı artış oranının yıllık TÜFE enflasyon oranından (yüzde 80) düşük olduğu görüldü. </w:t>
      </w:r>
    </w:p>
    <w:p w14:paraId="409AFC9C" w14:textId="77777777" w:rsidR="00C14ECD" w:rsidRDefault="00C14ECD" w:rsidP="0082475A">
      <w:pPr>
        <w:pBdr>
          <w:top w:val="nil"/>
          <w:left w:val="nil"/>
          <w:bottom w:val="nil"/>
          <w:right w:val="nil"/>
          <w:between w:val="nil"/>
        </w:pBdr>
        <w:spacing w:after="0" w:line="240" w:lineRule="auto"/>
        <w:contextualSpacing/>
        <w:jc w:val="both"/>
        <w:rPr>
          <w:color w:val="000000"/>
        </w:rPr>
      </w:pPr>
    </w:p>
    <w:p w14:paraId="14D9B92D" w14:textId="77777777" w:rsidR="00C14ECD" w:rsidRDefault="00BA3D18" w:rsidP="0082475A">
      <w:pPr>
        <w:spacing w:after="0" w:line="240" w:lineRule="auto"/>
        <w:contextualSpacing/>
        <w:jc w:val="both"/>
        <w:rPr>
          <w:sz w:val="20"/>
          <w:szCs w:val="20"/>
        </w:rPr>
      </w:pPr>
      <w:r>
        <w:rPr>
          <w:b/>
          <w:color w:val="000000"/>
          <w:sz w:val="20"/>
          <w:szCs w:val="20"/>
        </w:rPr>
        <w:t>Tablo 1: Yıllık kira artışlarının en yüksek ve en düşük olduğu iller – 2022 Ağustos</w:t>
      </w:r>
    </w:p>
    <w:tbl>
      <w:tblPr>
        <w:tblStyle w:val="a"/>
        <w:tblW w:w="9052" w:type="dxa"/>
        <w:tblInd w:w="0" w:type="dxa"/>
        <w:tblLayout w:type="fixed"/>
        <w:tblLook w:val="0400" w:firstRow="0" w:lastRow="0" w:firstColumn="0" w:lastColumn="0" w:noHBand="0" w:noVBand="1"/>
      </w:tblPr>
      <w:tblGrid>
        <w:gridCol w:w="1914"/>
        <w:gridCol w:w="2267"/>
        <w:gridCol w:w="2267"/>
        <w:gridCol w:w="2604"/>
      </w:tblGrid>
      <w:tr w:rsidR="00C14ECD" w14:paraId="5FF9B4B2" w14:textId="77777777">
        <w:trPr>
          <w:trHeight w:val="615"/>
        </w:trPr>
        <w:tc>
          <w:tcPr>
            <w:tcW w:w="1914"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7FA1B847" w14:textId="77777777" w:rsidR="00C14ECD" w:rsidRDefault="00BA3D18" w:rsidP="0082475A">
            <w:pPr>
              <w:spacing w:after="0" w:line="240" w:lineRule="auto"/>
              <w:contextualSpacing/>
              <w:jc w:val="center"/>
              <w:rPr>
                <w:sz w:val="20"/>
                <w:szCs w:val="20"/>
              </w:rPr>
            </w:pPr>
            <w:r>
              <w:rPr>
                <w:b/>
                <w:color w:val="000000"/>
                <w:sz w:val="20"/>
                <w:szCs w:val="20"/>
              </w:rPr>
              <w:t>İller</w:t>
            </w:r>
          </w:p>
        </w:tc>
        <w:tc>
          <w:tcPr>
            <w:tcW w:w="226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78030" w14:textId="77777777" w:rsidR="00C14ECD" w:rsidRDefault="00BA3D18" w:rsidP="0082475A">
            <w:pPr>
              <w:spacing w:after="0" w:line="240" w:lineRule="auto"/>
              <w:contextualSpacing/>
              <w:jc w:val="center"/>
              <w:rPr>
                <w:sz w:val="20"/>
                <w:szCs w:val="20"/>
              </w:rPr>
            </w:pPr>
            <w:r>
              <w:rPr>
                <w:b/>
                <w:color w:val="000000"/>
                <w:sz w:val="20"/>
                <w:szCs w:val="20"/>
              </w:rPr>
              <w:t>Ağustos 2021 m</w:t>
            </w:r>
            <w:r>
              <w:rPr>
                <w:b/>
                <w:color w:val="000000"/>
                <w:sz w:val="20"/>
                <w:szCs w:val="20"/>
                <w:vertAlign w:val="superscript"/>
              </w:rPr>
              <w:t>2</w:t>
            </w:r>
            <w:r>
              <w:rPr>
                <w:b/>
                <w:color w:val="000000"/>
                <w:sz w:val="20"/>
                <w:szCs w:val="20"/>
              </w:rPr>
              <w:t xml:space="preserve"> Fiyatı</w:t>
            </w:r>
          </w:p>
        </w:tc>
        <w:tc>
          <w:tcPr>
            <w:tcW w:w="226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6DB024" w14:textId="77777777" w:rsidR="00C14ECD" w:rsidRDefault="00BA3D18" w:rsidP="0082475A">
            <w:pPr>
              <w:spacing w:after="0" w:line="240" w:lineRule="auto"/>
              <w:contextualSpacing/>
              <w:jc w:val="center"/>
              <w:rPr>
                <w:sz w:val="20"/>
                <w:szCs w:val="20"/>
              </w:rPr>
            </w:pPr>
            <w:r>
              <w:rPr>
                <w:b/>
                <w:color w:val="000000"/>
                <w:sz w:val="20"/>
                <w:szCs w:val="20"/>
              </w:rPr>
              <w:t>Ağustos 2022 m</w:t>
            </w:r>
            <w:r>
              <w:rPr>
                <w:b/>
                <w:color w:val="000000"/>
                <w:sz w:val="20"/>
                <w:szCs w:val="20"/>
                <w:vertAlign w:val="superscript"/>
              </w:rPr>
              <w:t>2</w:t>
            </w:r>
            <w:r>
              <w:rPr>
                <w:b/>
                <w:color w:val="000000"/>
                <w:sz w:val="20"/>
                <w:szCs w:val="20"/>
              </w:rPr>
              <w:t xml:space="preserve"> Fiyatı</w:t>
            </w:r>
          </w:p>
        </w:tc>
        <w:tc>
          <w:tcPr>
            <w:tcW w:w="2604"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030B34EA" w14:textId="77777777" w:rsidR="00C14ECD" w:rsidRDefault="00BA3D18" w:rsidP="0082475A">
            <w:pPr>
              <w:spacing w:after="0" w:line="240" w:lineRule="auto"/>
              <w:contextualSpacing/>
              <w:jc w:val="center"/>
              <w:rPr>
                <w:sz w:val="20"/>
                <w:szCs w:val="20"/>
              </w:rPr>
            </w:pPr>
            <w:r>
              <w:rPr>
                <w:b/>
                <w:color w:val="000000"/>
                <w:sz w:val="20"/>
                <w:szCs w:val="20"/>
              </w:rPr>
              <w:t>Yıllık Cari Kira Artışları (%)</w:t>
            </w:r>
          </w:p>
        </w:tc>
      </w:tr>
      <w:tr w:rsidR="00C14ECD" w14:paraId="1D20C7CE" w14:textId="77777777">
        <w:trPr>
          <w:trHeight w:val="300"/>
        </w:trPr>
        <w:tc>
          <w:tcPr>
            <w:tcW w:w="1914"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0995F9A5" w14:textId="77777777" w:rsidR="00C14ECD" w:rsidRDefault="00BA3D18" w:rsidP="0082475A">
            <w:pPr>
              <w:spacing w:after="0" w:line="240" w:lineRule="auto"/>
              <w:contextualSpacing/>
              <w:jc w:val="center"/>
              <w:rPr>
                <w:sz w:val="20"/>
                <w:szCs w:val="20"/>
              </w:rPr>
            </w:pPr>
            <w:r>
              <w:rPr>
                <w:color w:val="FF0000"/>
                <w:sz w:val="20"/>
                <w:szCs w:val="20"/>
              </w:rPr>
              <w:t>Türkiye Ortalaması</w:t>
            </w:r>
          </w:p>
        </w:tc>
        <w:tc>
          <w:tcPr>
            <w:tcW w:w="226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5996E56A" w14:textId="77777777" w:rsidR="00C14ECD" w:rsidRDefault="00BA3D18" w:rsidP="0082475A">
            <w:pPr>
              <w:spacing w:after="0" w:line="240" w:lineRule="auto"/>
              <w:contextualSpacing/>
              <w:jc w:val="center"/>
              <w:rPr>
                <w:sz w:val="20"/>
                <w:szCs w:val="20"/>
              </w:rPr>
            </w:pPr>
            <w:r>
              <w:rPr>
                <w:color w:val="FF0000"/>
                <w:sz w:val="20"/>
                <w:szCs w:val="20"/>
              </w:rPr>
              <w:t>20,9</w:t>
            </w:r>
          </w:p>
        </w:tc>
        <w:tc>
          <w:tcPr>
            <w:tcW w:w="226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CEBEF60" w14:textId="36EC7234" w:rsidR="00C14ECD" w:rsidRDefault="000348F9" w:rsidP="0082475A">
            <w:pPr>
              <w:spacing w:after="0" w:line="240" w:lineRule="auto"/>
              <w:contextualSpacing/>
              <w:jc w:val="center"/>
              <w:rPr>
                <w:sz w:val="20"/>
                <w:szCs w:val="20"/>
              </w:rPr>
            </w:pPr>
            <w:r>
              <w:rPr>
                <w:color w:val="FF0000"/>
                <w:sz w:val="20"/>
                <w:szCs w:val="20"/>
              </w:rPr>
              <w:t>56</w:t>
            </w:r>
          </w:p>
        </w:tc>
        <w:tc>
          <w:tcPr>
            <w:tcW w:w="2604"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524ADD83" w14:textId="77777777" w:rsidR="00C14ECD" w:rsidRDefault="00BA3D18" w:rsidP="0082475A">
            <w:pPr>
              <w:spacing w:after="0" w:line="240" w:lineRule="auto"/>
              <w:contextualSpacing/>
              <w:jc w:val="center"/>
              <w:rPr>
                <w:sz w:val="20"/>
                <w:szCs w:val="20"/>
              </w:rPr>
            </w:pPr>
            <w:r>
              <w:rPr>
                <w:color w:val="FF0000"/>
                <w:sz w:val="20"/>
                <w:szCs w:val="20"/>
              </w:rPr>
              <w:t>167,7</w:t>
            </w:r>
          </w:p>
        </w:tc>
      </w:tr>
      <w:tr w:rsidR="00C14ECD" w14:paraId="0FB33981" w14:textId="77777777">
        <w:trPr>
          <w:trHeight w:val="300"/>
        </w:trPr>
        <w:tc>
          <w:tcPr>
            <w:tcW w:w="1914"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D9DDBD1" w14:textId="77777777" w:rsidR="00C14ECD" w:rsidRDefault="00BA3D18" w:rsidP="0082475A">
            <w:pPr>
              <w:spacing w:after="0" w:line="240" w:lineRule="auto"/>
              <w:contextualSpacing/>
              <w:jc w:val="center"/>
              <w:rPr>
                <w:sz w:val="20"/>
                <w:szCs w:val="20"/>
              </w:rPr>
            </w:pPr>
            <w:r>
              <w:rPr>
                <w:color w:val="000000"/>
                <w:sz w:val="20"/>
                <w:szCs w:val="20"/>
              </w:rPr>
              <w:t>Antalya</w:t>
            </w:r>
          </w:p>
        </w:tc>
        <w:tc>
          <w:tcPr>
            <w:tcW w:w="226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69A51" w14:textId="576F0EC5" w:rsidR="00C14ECD" w:rsidRDefault="000348F9" w:rsidP="0082475A">
            <w:pPr>
              <w:spacing w:after="0" w:line="240" w:lineRule="auto"/>
              <w:contextualSpacing/>
              <w:jc w:val="center"/>
              <w:rPr>
                <w:sz w:val="20"/>
                <w:szCs w:val="20"/>
              </w:rPr>
            </w:pPr>
            <w:r>
              <w:rPr>
                <w:color w:val="000000"/>
                <w:sz w:val="20"/>
                <w:szCs w:val="20"/>
              </w:rPr>
              <w:t>25</w:t>
            </w:r>
          </w:p>
        </w:tc>
        <w:tc>
          <w:tcPr>
            <w:tcW w:w="226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5B1AE0" w14:textId="2B8CF209" w:rsidR="00C14ECD" w:rsidRDefault="000348F9" w:rsidP="0082475A">
            <w:pPr>
              <w:spacing w:after="0" w:line="240" w:lineRule="auto"/>
              <w:contextualSpacing/>
              <w:jc w:val="center"/>
              <w:rPr>
                <w:sz w:val="20"/>
                <w:szCs w:val="20"/>
              </w:rPr>
            </w:pPr>
            <w:r>
              <w:rPr>
                <w:color w:val="000000"/>
                <w:sz w:val="20"/>
                <w:szCs w:val="20"/>
              </w:rPr>
              <w:t>75</w:t>
            </w:r>
          </w:p>
        </w:tc>
        <w:tc>
          <w:tcPr>
            <w:tcW w:w="2604" w:type="dxa"/>
            <w:tcBorders>
              <w:top w:val="single" w:sz="8"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14:paraId="5622CA2E" w14:textId="7795E653" w:rsidR="00C14ECD" w:rsidRDefault="000348F9" w:rsidP="0082475A">
            <w:pPr>
              <w:spacing w:after="0" w:line="240" w:lineRule="auto"/>
              <w:contextualSpacing/>
              <w:jc w:val="center"/>
              <w:rPr>
                <w:sz w:val="20"/>
                <w:szCs w:val="20"/>
              </w:rPr>
            </w:pPr>
            <w:r>
              <w:rPr>
                <w:color w:val="000000"/>
                <w:sz w:val="20"/>
                <w:szCs w:val="20"/>
              </w:rPr>
              <w:t>200</w:t>
            </w:r>
          </w:p>
        </w:tc>
      </w:tr>
      <w:tr w:rsidR="00C14ECD" w14:paraId="0BF3AB63"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9B1C7D4" w14:textId="77777777" w:rsidR="00C14ECD" w:rsidRDefault="00BA3D18" w:rsidP="0082475A">
            <w:pPr>
              <w:spacing w:after="0" w:line="240" w:lineRule="auto"/>
              <w:contextualSpacing/>
              <w:jc w:val="center"/>
              <w:rPr>
                <w:sz w:val="20"/>
                <w:szCs w:val="20"/>
              </w:rPr>
            </w:pPr>
            <w:r>
              <w:rPr>
                <w:color w:val="000000"/>
                <w:sz w:val="20"/>
                <w:szCs w:val="20"/>
              </w:rPr>
              <w:t>Kocaeli</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BF22B" w14:textId="77777777" w:rsidR="00C14ECD" w:rsidRDefault="00BA3D18" w:rsidP="0082475A">
            <w:pPr>
              <w:spacing w:after="0" w:line="240" w:lineRule="auto"/>
              <w:contextualSpacing/>
              <w:jc w:val="center"/>
              <w:rPr>
                <w:sz w:val="20"/>
                <w:szCs w:val="20"/>
              </w:rPr>
            </w:pPr>
            <w:r>
              <w:rPr>
                <w:color w:val="000000"/>
                <w:sz w:val="20"/>
                <w:szCs w:val="20"/>
              </w:rPr>
              <w:t>13,3</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659E0" w14:textId="77777777" w:rsidR="00C14ECD" w:rsidRDefault="00BA3D18" w:rsidP="0082475A">
            <w:pPr>
              <w:spacing w:after="0" w:line="240" w:lineRule="auto"/>
              <w:contextualSpacing/>
              <w:jc w:val="center"/>
              <w:rPr>
                <w:sz w:val="20"/>
                <w:szCs w:val="20"/>
              </w:rPr>
            </w:pPr>
            <w:r>
              <w:rPr>
                <w:color w:val="000000"/>
                <w:sz w:val="20"/>
                <w:szCs w:val="20"/>
              </w:rPr>
              <w:t>38,9</w:t>
            </w:r>
          </w:p>
        </w:tc>
        <w:tc>
          <w:tcPr>
            <w:tcW w:w="2604"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14:paraId="3302C2B0" w14:textId="77777777" w:rsidR="00C14ECD" w:rsidRDefault="00BA3D18" w:rsidP="0082475A">
            <w:pPr>
              <w:spacing w:after="0" w:line="240" w:lineRule="auto"/>
              <w:contextualSpacing/>
              <w:jc w:val="center"/>
              <w:rPr>
                <w:sz w:val="20"/>
                <w:szCs w:val="20"/>
              </w:rPr>
            </w:pPr>
            <w:r>
              <w:rPr>
                <w:color w:val="000000"/>
                <w:sz w:val="20"/>
                <w:szCs w:val="20"/>
              </w:rPr>
              <w:t>191,7</w:t>
            </w:r>
          </w:p>
        </w:tc>
      </w:tr>
      <w:tr w:rsidR="00C14ECD" w14:paraId="718442B6"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E02B974" w14:textId="77777777" w:rsidR="00C14ECD" w:rsidRDefault="00BA3D18" w:rsidP="0082475A">
            <w:pPr>
              <w:spacing w:after="0" w:line="240" w:lineRule="auto"/>
              <w:contextualSpacing/>
              <w:jc w:val="center"/>
              <w:rPr>
                <w:sz w:val="20"/>
                <w:szCs w:val="20"/>
              </w:rPr>
            </w:pPr>
            <w:r>
              <w:rPr>
                <w:color w:val="000000"/>
                <w:sz w:val="20"/>
                <w:szCs w:val="20"/>
              </w:rPr>
              <w:t>Eskişehir</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14B5D" w14:textId="77777777" w:rsidR="00C14ECD" w:rsidRDefault="00BA3D18" w:rsidP="0082475A">
            <w:pPr>
              <w:spacing w:after="0" w:line="240" w:lineRule="auto"/>
              <w:contextualSpacing/>
              <w:jc w:val="center"/>
              <w:rPr>
                <w:sz w:val="20"/>
                <w:szCs w:val="20"/>
              </w:rPr>
            </w:pPr>
            <w:r>
              <w:rPr>
                <w:color w:val="000000"/>
                <w:sz w:val="20"/>
                <w:szCs w:val="20"/>
              </w:rPr>
              <w:t>14,6</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051FC8" w14:textId="77777777" w:rsidR="00C14ECD" w:rsidRDefault="00BA3D18" w:rsidP="0082475A">
            <w:pPr>
              <w:spacing w:after="0" w:line="240" w:lineRule="auto"/>
              <w:contextualSpacing/>
              <w:jc w:val="center"/>
              <w:rPr>
                <w:sz w:val="20"/>
                <w:szCs w:val="20"/>
              </w:rPr>
            </w:pPr>
            <w:r>
              <w:rPr>
                <w:color w:val="000000"/>
                <w:sz w:val="20"/>
                <w:szCs w:val="20"/>
              </w:rPr>
              <w:t>40,9</w:t>
            </w:r>
          </w:p>
        </w:tc>
        <w:tc>
          <w:tcPr>
            <w:tcW w:w="2604"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14:paraId="0DA0EBD7" w14:textId="77777777" w:rsidR="00C14ECD" w:rsidRDefault="00BA3D18" w:rsidP="0082475A">
            <w:pPr>
              <w:spacing w:after="0" w:line="240" w:lineRule="auto"/>
              <w:contextualSpacing/>
              <w:jc w:val="center"/>
              <w:rPr>
                <w:sz w:val="20"/>
                <w:szCs w:val="20"/>
              </w:rPr>
            </w:pPr>
            <w:r>
              <w:rPr>
                <w:color w:val="000000"/>
                <w:sz w:val="20"/>
                <w:szCs w:val="20"/>
              </w:rPr>
              <w:t>181,2</w:t>
            </w:r>
          </w:p>
        </w:tc>
      </w:tr>
      <w:tr w:rsidR="00C14ECD" w14:paraId="618495BC"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A003560" w14:textId="77777777" w:rsidR="00C14ECD" w:rsidRDefault="00BA3D18" w:rsidP="0082475A">
            <w:pPr>
              <w:spacing w:after="0" w:line="240" w:lineRule="auto"/>
              <w:contextualSpacing/>
              <w:jc w:val="center"/>
              <w:rPr>
                <w:sz w:val="20"/>
                <w:szCs w:val="20"/>
              </w:rPr>
            </w:pPr>
            <w:r>
              <w:rPr>
                <w:color w:val="000000"/>
                <w:sz w:val="20"/>
                <w:szCs w:val="20"/>
              </w:rPr>
              <w:t>Ankara</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0CAE6A" w14:textId="77777777" w:rsidR="00C14ECD" w:rsidRDefault="00BA3D18" w:rsidP="0082475A">
            <w:pPr>
              <w:spacing w:after="0" w:line="240" w:lineRule="auto"/>
              <w:contextualSpacing/>
              <w:jc w:val="center"/>
              <w:rPr>
                <w:sz w:val="20"/>
                <w:szCs w:val="20"/>
              </w:rPr>
            </w:pPr>
            <w:r>
              <w:rPr>
                <w:color w:val="000000"/>
                <w:sz w:val="20"/>
                <w:szCs w:val="20"/>
              </w:rPr>
              <w:t>15,4</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8C132B" w14:textId="77777777" w:rsidR="00C14ECD" w:rsidRDefault="00BA3D18" w:rsidP="0082475A">
            <w:pPr>
              <w:spacing w:after="0" w:line="240" w:lineRule="auto"/>
              <w:contextualSpacing/>
              <w:jc w:val="center"/>
              <w:rPr>
                <w:sz w:val="20"/>
                <w:szCs w:val="20"/>
              </w:rPr>
            </w:pPr>
            <w:r>
              <w:rPr>
                <w:color w:val="000000"/>
                <w:sz w:val="20"/>
                <w:szCs w:val="20"/>
              </w:rPr>
              <w:t>40,6</w:t>
            </w:r>
          </w:p>
        </w:tc>
        <w:tc>
          <w:tcPr>
            <w:tcW w:w="2604"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14:paraId="52C8196F" w14:textId="77777777" w:rsidR="00C14ECD" w:rsidRDefault="00BA3D18" w:rsidP="0082475A">
            <w:pPr>
              <w:spacing w:after="0" w:line="240" w:lineRule="auto"/>
              <w:contextualSpacing/>
              <w:jc w:val="center"/>
              <w:rPr>
                <w:sz w:val="20"/>
                <w:szCs w:val="20"/>
              </w:rPr>
            </w:pPr>
            <w:r>
              <w:rPr>
                <w:color w:val="000000"/>
                <w:sz w:val="20"/>
                <w:szCs w:val="20"/>
              </w:rPr>
              <w:t>164,1</w:t>
            </w:r>
          </w:p>
        </w:tc>
      </w:tr>
      <w:tr w:rsidR="00C14ECD" w14:paraId="077D688A"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671390B" w14:textId="77777777" w:rsidR="00C14ECD" w:rsidRDefault="00BA3D18" w:rsidP="0082475A">
            <w:pPr>
              <w:spacing w:after="0" w:line="240" w:lineRule="auto"/>
              <w:contextualSpacing/>
              <w:jc w:val="center"/>
              <w:rPr>
                <w:sz w:val="20"/>
                <w:szCs w:val="20"/>
              </w:rPr>
            </w:pPr>
            <w:r>
              <w:rPr>
                <w:color w:val="000000"/>
                <w:sz w:val="20"/>
                <w:szCs w:val="20"/>
              </w:rPr>
              <w:t>Tekirdağ</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A63C7B" w14:textId="215CB7E4" w:rsidR="00C14ECD" w:rsidRDefault="000348F9" w:rsidP="0082475A">
            <w:pPr>
              <w:spacing w:after="0" w:line="240" w:lineRule="auto"/>
              <w:contextualSpacing/>
              <w:jc w:val="center"/>
              <w:rPr>
                <w:sz w:val="20"/>
                <w:szCs w:val="20"/>
              </w:rPr>
            </w:pPr>
            <w:r>
              <w:rPr>
                <w:color w:val="000000"/>
                <w:sz w:val="20"/>
                <w:szCs w:val="20"/>
              </w:rPr>
              <w:t>15</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AFA38" w14:textId="77777777" w:rsidR="00C14ECD" w:rsidRDefault="00BA3D18" w:rsidP="0082475A">
            <w:pPr>
              <w:spacing w:after="0" w:line="240" w:lineRule="auto"/>
              <w:contextualSpacing/>
              <w:jc w:val="center"/>
              <w:rPr>
                <w:sz w:val="20"/>
                <w:szCs w:val="20"/>
              </w:rPr>
            </w:pPr>
            <w:r>
              <w:rPr>
                <w:color w:val="000000"/>
                <w:sz w:val="20"/>
                <w:szCs w:val="20"/>
              </w:rPr>
              <w:t>38,5</w:t>
            </w:r>
          </w:p>
        </w:tc>
        <w:tc>
          <w:tcPr>
            <w:tcW w:w="2604"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14:paraId="470E37BF" w14:textId="77777777" w:rsidR="00C14ECD" w:rsidRDefault="00BA3D18" w:rsidP="0082475A">
            <w:pPr>
              <w:spacing w:after="0" w:line="240" w:lineRule="auto"/>
              <w:contextualSpacing/>
              <w:jc w:val="center"/>
              <w:rPr>
                <w:sz w:val="20"/>
                <w:szCs w:val="20"/>
              </w:rPr>
            </w:pPr>
            <w:r>
              <w:rPr>
                <w:color w:val="000000"/>
                <w:sz w:val="20"/>
                <w:szCs w:val="20"/>
              </w:rPr>
              <w:t>156,4</w:t>
            </w:r>
          </w:p>
        </w:tc>
      </w:tr>
      <w:tr w:rsidR="00C14ECD" w14:paraId="773FAB21"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1203AEA" w14:textId="77777777" w:rsidR="00C14ECD" w:rsidRDefault="00BA3D18" w:rsidP="0082475A">
            <w:pPr>
              <w:spacing w:after="0" w:line="240" w:lineRule="auto"/>
              <w:contextualSpacing/>
              <w:jc w:val="center"/>
              <w:rPr>
                <w:sz w:val="20"/>
                <w:szCs w:val="20"/>
              </w:rPr>
            </w:pPr>
            <w:r>
              <w:rPr>
                <w:color w:val="000000"/>
                <w:sz w:val="20"/>
                <w:szCs w:val="20"/>
              </w:rPr>
              <w:t>Mardin</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11977" w14:textId="77777777" w:rsidR="00C14ECD" w:rsidRDefault="00BA3D18" w:rsidP="0082475A">
            <w:pPr>
              <w:spacing w:after="0" w:line="240" w:lineRule="auto"/>
              <w:contextualSpacing/>
              <w:jc w:val="center"/>
              <w:rPr>
                <w:sz w:val="20"/>
                <w:szCs w:val="20"/>
              </w:rPr>
            </w:pPr>
            <w:r>
              <w:rPr>
                <w:color w:val="000000"/>
                <w:sz w:val="20"/>
                <w:szCs w:val="20"/>
              </w:rPr>
              <w:t>9,3</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AF12C" w14:textId="77777777" w:rsidR="00C14ECD" w:rsidRDefault="00BA3D18" w:rsidP="0082475A">
            <w:pPr>
              <w:spacing w:after="0" w:line="240" w:lineRule="auto"/>
              <w:contextualSpacing/>
              <w:jc w:val="center"/>
              <w:rPr>
                <w:sz w:val="20"/>
                <w:szCs w:val="20"/>
              </w:rPr>
            </w:pPr>
            <w:r>
              <w:rPr>
                <w:color w:val="000000"/>
                <w:sz w:val="20"/>
                <w:szCs w:val="20"/>
              </w:rPr>
              <w:t>19,1</w:t>
            </w:r>
          </w:p>
        </w:tc>
        <w:tc>
          <w:tcPr>
            <w:tcW w:w="2604"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14:paraId="41C32A6F" w14:textId="77777777" w:rsidR="00C14ECD" w:rsidRDefault="00BA3D18" w:rsidP="0082475A">
            <w:pPr>
              <w:spacing w:after="0" w:line="240" w:lineRule="auto"/>
              <w:contextualSpacing/>
              <w:jc w:val="center"/>
              <w:rPr>
                <w:sz w:val="20"/>
                <w:szCs w:val="20"/>
              </w:rPr>
            </w:pPr>
            <w:r>
              <w:rPr>
                <w:color w:val="000000"/>
                <w:sz w:val="20"/>
                <w:szCs w:val="20"/>
              </w:rPr>
              <w:t>106,3</w:t>
            </w:r>
          </w:p>
        </w:tc>
      </w:tr>
      <w:tr w:rsidR="00C14ECD" w14:paraId="281B77A7"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09503C7" w14:textId="77777777" w:rsidR="00C14ECD" w:rsidRDefault="00BA3D18" w:rsidP="0082475A">
            <w:pPr>
              <w:spacing w:after="0" w:line="240" w:lineRule="auto"/>
              <w:contextualSpacing/>
              <w:jc w:val="center"/>
              <w:rPr>
                <w:sz w:val="20"/>
                <w:szCs w:val="20"/>
              </w:rPr>
            </w:pPr>
            <w:r>
              <w:rPr>
                <w:color w:val="000000"/>
                <w:sz w:val="20"/>
                <w:szCs w:val="20"/>
              </w:rPr>
              <w:t>Gaziantep</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BECD9F" w14:textId="77777777" w:rsidR="00C14ECD" w:rsidRDefault="00BA3D18" w:rsidP="0082475A">
            <w:pPr>
              <w:spacing w:after="0" w:line="240" w:lineRule="auto"/>
              <w:contextualSpacing/>
              <w:jc w:val="center"/>
              <w:rPr>
                <w:sz w:val="20"/>
                <w:szCs w:val="20"/>
              </w:rPr>
            </w:pPr>
            <w:r>
              <w:rPr>
                <w:color w:val="000000"/>
                <w:sz w:val="20"/>
                <w:szCs w:val="20"/>
              </w:rPr>
              <w:t>17,2</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32EEA" w14:textId="540F0773" w:rsidR="00C14ECD" w:rsidRDefault="000348F9" w:rsidP="0082475A">
            <w:pPr>
              <w:spacing w:after="0" w:line="240" w:lineRule="auto"/>
              <w:contextualSpacing/>
              <w:jc w:val="center"/>
              <w:rPr>
                <w:sz w:val="20"/>
                <w:szCs w:val="20"/>
              </w:rPr>
            </w:pPr>
            <w:r>
              <w:rPr>
                <w:color w:val="000000"/>
                <w:sz w:val="20"/>
                <w:szCs w:val="20"/>
              </w:rPr>
              <w:t>35</w:t>
            </w:r>
          </w:p>
        </w:tc>
        <w:tc>
          <w:tcPr>
            <w:tcW w:w="2604"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14:paraId="578BC543" w14:textId="77777777" w:rsidR="00C14ECD" w:rsidRDefault="00BA3D18" w:rsidP="0082475A">
            <w:pPr>
              <w:spacing w:after="0" w:line="240" w:lineRule="auto"/>
              <w:contextualSpacing/>
              <w:jc w:val="center"/>
              <w:rPr>
                <w:sz w:val="20"/>
                <w:szCs w:val="20"/>
              </w:rPr>
            </w:pPr>
            <w:r>
              <w:rPr>
                <w:color w:val="000000"/>
                <w:sz w:val="20"/>
                <w:szCs w:val="20"/>
              </w:rPr>
              <w:t>103,3</w:t>
            </w:r>
          </w:p>
        </w:tc>
      </w:tr>
      <w:tr w:rsidR="00C14ECD" w14:paraId="5147D881"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0CA131E" w14:textId="77777777" w:rsidR="00C14ECD" w:rsidRDefault="00BA3D18" w:rsidP="0082475A">
            <w:pPr>
              <w:spacing w:after="0" w:line="240" w:lineRule="auto"/>
              <w:contextualSpacing/>
              <w:jc w:val="center"/>
              <w:rPr>
                <w:sz w:val="20"/>
                <w:szCs w:val="20"/>
              </w:rPr>
            </w:pPr>
            <w:r>
              <w:rPr>
                <w:color w:val="000000"/>
                <w:sz w:val="20"/>
                <w:szCs w:val="20"/>
              </w:rPr>
              <w:t>Van</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C2A63" w14:textId="77777777" w:rsidR="00C14ECD" w:rsidRDefault="00BA3D18" w:rsidP="0082475A">
            <w:pPr>
              <w:spacing w:after="0" w:line="240" w:lineRule="auto"/>
              <w:contextualSpacing/>
              <w:jc w:val="center"/>
              <w:rPr>
                <w:sz w:val="20"/>
                <w:szCs w:val="20"/>
              </w:rPr>
            </w:pPr>
            <w:r>
              <w:rPr>
                <w:color w:val="000000"/>
                <w:sz w:val="20"/>
                <w:szCs w:val="20"/>
              </w:rPr>
              <w:t>12,9</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2CC31" w14:textId="516F77A2" w:rsidR="00C14ECD" w:rsidRDefault="000348F9" w:rsidP="0082475A">
            <w:pPr>
              <w:spacing w:after="0" w:line="240" w:lineRule="auto"/>
              <w:contextualSpacing/>
              <w:jc w:val="center"/>
              <w:rPr>
                <w:sz w:val="20"/>
                <w:szCs w:val="20"/>
              </w:rPr>
            </w:pPr>
            <w:r>
              <w:rPr>
                <w:color w:val="000000"/>
                <w:sz w:val="20"/>
                <w:szCs w:val="20"/>
              </w:rPr>
              <w:t>25</w:t>
            </w:r>
          </w:p>
        </w:tc>
        <w:tc>
          <w:tcPr>
            <w:tcW w:w="2604"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14:paraId="52603E6E" w14:textId="77777777" w:rsidR="00C14ECD" w:rsidRDefault="00BA3D18" w:rsidP="0082475A">
            <w:pPr>
              <w:spacing w:after="0" w:line="240" w:lineRule="auto"/>
              <w:contextualSpacing/>
              <w:jc w:val="center"/>
              <w:rPr>
                <w:sz w:val="20"/>
                <w:szCs w:val="20"/>
              </w:rPr>
            </w:pPr>
            <w:r>
              <w:rPr>
                <w:color w:val="000000"/>
                <w:sz w:val="20"/>
                <w:szCs w:val="20"/>
              </w:rPr>
              <w:t>93,9</w:t>
            </w:r>
          </w:p>
        </w:tc>
      </w:tr>
      <w:tr w:rsidR="00C14ECD" w14:paraId="630F7DE8" w14:textId="77777777">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C499ED6" w14:textId="77777777" w:rsidR="00C14ECD" w:rsidRDefault="00BA3D18" w:rsidP="0082475A">
            <w:pPr>
              <w:spacing w:after="0" w:line="240" w:lineRule="auto"/>
              <w:contextualSpacing/>
              <w:jc w:val="center"/>
              <w:rPr>
                <w:sz w:val="20"/>
                <w:szCs w:val="20"/>
              </w:rPr>
            </w:pPr>
            <w:r>
              <w:rPr>
                <w:color w:val="000000"/>
                <w:sz w:val="20"/>
                <w:szCs w:val="20"/>
              </w:rPr>
              <w:t>Diyarbakır</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5F46A4" w14:textId="77777777" w:rsidR="00C14ECD" w:rsidRDefault="00BA3D18" w:rsidP="0082475A">
            <w:pPr>
              <w:spacing w:after="0" w:line="240" w:lineRule="auto"/>
              <w:contextualSpacing/>
              <w:jc w:val="center"/>
              <w:rPr>
                <w:sz w:val="20"/>
                <w:szCs w:val="20"/>
              </w:rPr>
            </w:pPr>
            <w:r>
              <w:rPr>
                <w:color w:val="000000"/>
                <w:sz w:val="20"/>
                <w:szCs w:val="20"/>
              </w:rPr>
              <w:t>14,2</w:t>
            </w:r>
          </w:p>
        </w:tc>
        <w:tc>
          <w:tcPr>
            <w:tcW w:w="2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5E5AF" w14:textId="77777777" w:rsidR="00C14ECD" w:rsidRDefault="00BA3D18" w:rsidP="0082475A">
            <w:pPr>
              <w:spacing w:after="0" w:line="240" w:lineRule="auto"/>
              <w:contextualSpacing/>
              <w:jc w:val="center"/>
              <w:rPr>
                <w:sz w:val="20"/>
                <w:szCs w:val="20"/>
              </w:rPr>
            </w:pPr>
            <w:r>
              <w:rPr>
                <w:color w:val="000000"/>
                <w:sz w:val="20"/>
                <w:szCs w:val="20"/>
              </w:rPr>
              <w:t>27,4</w:t>
            </w:r>
          </w:p>
        </w:tc>
        <w:tc>
          <w:tcPr>
            <w:tcW w:w="2604"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14:paraId="59E937D3" w14:textId="77777777" w:rsidR="00C14ECD" w:rsidRDefault="00BA3D18" w:rsidP="0082475A">
            <w:pPr>
              <w:spacing w:after="0" w:line="240" w:lineRule="auto"/>
              <w:contextualSpacing/>
              <w:jc w:val="center"/>
              <w:rPr>
                <w:sz w:val="20"/>
                <w:szCs w:val="20"/>
              </w:rPr>
            </w:pPr>
            <w:r>
              <w:rPr>
                <w:color w:val="000000"/>
                <w:sz w:val="20"/>
                <w:szCs w:val="20"/>
              </w:rPr>
              <w:t>93,5</w:t>
            </w:r>
          </w:p>
        </w:tc>
      </w:tr>
      <w:tr w:rsidR="00C14ECD" w14:paraId="38A4BCA6" w14:textId="77777777">
        <w:trPr>
          <w:trHeight w:val="315"/>
        </w:trPr>
        <w:tc>
          <w:tcPr>
            <w:tcW w:w="1914"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tcPr>
          <w:p w14:paraId="645E0878" w14:textId="77777777" w:rsidR="00C14ECD" w:rsidRDefault="00BA3D18" w:rsidP="0082475A">
            <w:pPr>
              <w:spacing w:after="0" w:line="240" w:lineRule="auto"/>
              <w:contextualSpacing/>
              <w:jc w:val="center"/>
              <w:rPr>
                <w:sz w:val="20"/>
                <w:szCs w:val="20"/>
              </w:rPr>
            </w:pPr>
            <w:r>
              <w:rPr>
                <w:color w:val="000000"/>
                <w:sz w:val="20"/>
                <w:szCs w:val="20"/>
              </w:rPr>
              <w:t>Kahramanmaraş</w:t>
            </w:r>
          </w:p>
        </w:tc>
        <w:tc>
          <w:tcPr>
            <w:tcW w:w="226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677BF9C" w14:textId="77777777" w:rsidR="00C14ECD" w:rsidRDefault="00BA3D18" w:rsidP="0082475A">
            <w:pPr>
              <w:spacing w:after="0" w:line="240" w:lineRule="auto"/>
              <w:contextualSpacing/>
              <w:jc w:val="center"/>
              <w:rPr>
                <w:sz w:val="20"/>
                <w:szCs w:val="20"/>
              </w:rPr>
            </w:pPr>
            <w:r>
              <w:rPr>
                <w:color w:val="000000"/>
                <w:sz w:val="20"/>
                <w:szCs w:val="20"/>
              </w:rPr>
              <w:t>13,6</w:t>
            </w:r>
          </w:p>
        </w:tc>
        <w:tc>
          <w:tcPr>
            <w:tcW w:w="226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3AFE793F" w14:textId="77777777" w:rsidR="00C14ECD" w:rsidRDefault="00BA3D18" w:rsidP="0082475A">
            <w:pPr>
              <w:spacing w:after="0" w:line="240" w:lineRule="auto"/>
              <w:contextualSpacing/>
              <w:jc w:val="center"/>
              <w:rPr>
                <w:sz w:val="20"/>
                <w:szCs w:val="20"/>
              </w:rPr>
            </w:pPr>
            <w:r>
              <w:rPr>
                <w:color w:val="000000"/>
                <w:sz w:val="20"/>
                <w:szCs w:val="20"/>
              </w:rPr>
              <w:t>24,3</w:t>
            </w:r>
          </w:p>
        </w:tc>
        <w:tc>
          <w:tcPr>
            <w:tcW w:w="2604" w:type="dxa"/>
            <w:tcBorders>
              <w:top w:val="single" w:sz="4" w:space="0" w:color="000000"/>
              <w:left w:val="single" w:sz="4" w:space="0" w:color="000000"/>
              <w:bottom w:val="single" w:sz="8" w:space="0" w:color="000000"/>
              <w:right w:val="single" w:sz="8" w:space="0" w:color="000000"/>
            </w:tcBorders>
            <w:shd w:val="clear" w:color="auto" w:fill="92D050"/>
            <w:tcMar>
              <w:top w:w="0" w:type="dxa"/>
              <w:left w:w="115" w:type="dxa"/>
              <w:bottom w:w="0" w:type="dxa"/>
              <w:right w:w="115" w:type="dxa"/>
            </w:tcMar>
            <w:vAlign w:val="center"/>
          </w:tcPr>
          <w:p w14:paraId="4F7E3ADB" w14:textId="22EDBCC7" w:rsidR="00C14ECD" w:rsidRDefault="000348F9" w:rsidP="0082475A">
            <w:pPr>
              <w:spacing w:after="0" w:line="240" w:lineRule="auto"/>
              <w:contextualSpacing/>
              <w:jc w:val="center"/>
              <w:rPr>
                <w:sz w:val="20"/>
                <w:szCs w:val="20"/>
              </w:rPr>
            </w:pPr>
            <w:r>
              <w:rPr>
                <w:color w:val="000000"/>
                <w:sz w:val="20"/>
                <w:szCs w:val="20"/>
              </w:rPr>
              <w:t>79</w:t>
            </w:r>
          </w:p>
        </w:tc>
      </w:tr>
    </w:tbl>
    <w:p w14:paraId="22E60506" w14:textId="77777777" w:rsidR="00C14ECD" w:rsidRDefault="00BA3D18" w:rsidP="0082475A">
      <w:pPr>
        <w:spacing w:after="0" w:line="240" w:lineRule="auto"/>
        <w:contextualSpacing/>
        <w:jc w:val="both"/>
        <w:rPr>
          <w:sz w:val="20"/>
          <w:szCs w:val="20"/>
        </w:rPr>
      </w:pPr>
      <w:r>
        <w:rPr>
          <w:color w:val="000000"/>
          <w:sz w:val="20"/>
          <w:szCs w:val="20"/>
        </w:rPr>
        <w:t>Kaynak: sahibinden.com, Betam</w:t>
      </w:r>
    </w:p>
    <w:p w14:paraId="6D5B6D0D" w14:textId="77777777" w:rsidR="00C14ECD" w:rsidRDefault="00C14ECD"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p w14:paraId="67737C90" w14:textId="77777777" w:rsidR="00C14ECD" w:rsidRDefault="00BA3D18" w:rsidP="0082475A">
      <w:pPr>
        <w:pBdr>
          <w:top w:val="nil"/>
          <w:left w:val="nil"/>
          <w:bottom w:val="nil"/>
          <w:right w:val="nil"/>
          <w:between w:val="nil"/>
        </w:pBdr>
        <w:spacing w:after="0" w:line="240" w:lineRule="auto"/>
        <w:contextualSpacing/>
        <w:rPr>
          <w:color w:val="000000"/>
        </w:rPr>
      </w:pPr>
      <w:r>
        <w:rPr>
          <w:b/>
        </w:rPr>
        <w:t>Türkiye geçen aya kıyasla daha fazla kiralık ilanı verdi</w:t>
      </w:r>
    </w:p>
    <w:p w14:paraId="547E8F6E" w14:textId="77777777" w:rsidR="00C14ECD" w:rsidRDefault="00BA3D18" w:rsidP="0082475A">
      <w:pPr>
        <w:pBdr>
          <w:top w:val="nil"/>
          <w:left w:val="nil"/>
          <w:bottom w:val="nil"/>
          <w:right w:val="nil"/>
          <w:between w:val="nil"/>
        </w:pBdr>
        <w:spacing w:after="0" w:line="240" w:lineRule="auto"/>
        <w:contextualSpacing/>
        <w:jc w:val="both"/>
        <w:rPr>
          <w:color w:val="000000"/>
        </w:rPr>
      </w:pPr>
      <w:r>
        <w:rPr>
          <w:color w:val="000000"/>
        </w:rPr>
        <w:t>Kiralık konut ilan sayısı geçen aya kıyasla ülke genelinde yüzde 9,3 (200.243’ten 218.821’e)</w:t>
      </w:r>
      <w:r>
        <w:t xml:space="preserve"> yükseldi. Geçen ayla </w:t>
      </w:r>
      <w:r>
        <w:rPr>
          <w:color w:val="000000"/>
        </w:rPr>
        <w:t>İstanbul'da yüzde 12,2 (61.191’den 68.683’e), Ankara’da yüzde 15,9 (14.153’ten 16.407’ye) yükselirken İzmir’de yüzde 2,9 (18.475’ten 17.934’e) düştü.</w:t>
      </w:r>
    </w:p>
    <w:p w14:paraId="1651571D" w14:textId="77777777" w:rsidR="00C14ECD" w:rsidRDefault="00C14ECD" w:rsidP="0082475A">
      <w:pPr>
        <w:pBdr>
          <w:top w:val="nil"/>
          <w:left w:val="nil"/>
          <w:bottom w:val="nil"/>
          <w:right w:val="nil"/>
          <w:between w:val="nil"/>
        </w:pBdr>
        <w:spacing w:after="0" w:line="240" w:lineRule="auto"/>
        <w:contextualSpacing/>
        <w:rPr>
          <w:b/>
          <w:color w:val="000000"/>
        </w:rPr>
      </w:pPr>
    </w:p>
    <w:p w14:paraId="4987B971" w14:textId="77777777" w:rsidR="0082475A" w:rsidRDefault="0082475A">
      <w:pPr>
        <w:rPr>
          <w:b/>
          <w:color w:val="000000"/>
          <w:sz w:val="20"/>
          <w:szCs w:val="20"/>
        </w:rPr>
      </w:pPr>
      <w:r>
        <w:rPr>
          <w:b/>
          <w:color w:val="000000"/>
          <w:sz w:val="20"/>
          <w:szCs w:val="20"/>
        </w:rPr>
        <w:br w:type="page"/>
      </w:r>
    </w:p>
    <w:p w14:paraId="39A37D6E" w14:textId="77777777" w:rsidR="00191275" w:rsidRDefault="00191275" w:rsidP="0082475A">
      <w:pPr>
        <w:pBdr>
          <w:top w:val="nil"/>
          <w:left w:val="nil"/>
          <w:bottom w:val="nil"/>
          <w:right w:val="nil"/>
          <w:between w:val="nil"/>
        </w:pBdr>
        <w:spacing w:after="0" w:line="240" w:lineRule="auto"/>
        <w:contextualSpacing/>
        <w:rPr>
          <w:b/>
          <w:color w:val="000000"/>
          <w:sz w:val="20"/>
          <w:szCs w:val="20"/>
        </w:rPr>
      </w:pPr>
    </w:p>
    <w:p w14:paraId="76E20FF2" w14:textId="69F3662B" w:rsidR="00C14ECD" w:rsidRDefault="00BA3D18" w:rsidP="0082475A">
      <w:pPr>
        <w:pBdr>
          <w:top w:val="nil"/>
          <w:left w:val="nil"/>
          <w:bottom w:val="nil"/>
          <w:right w:val="nil"/>
          <w:between w:val="nil"/>
        </w:pBdr>
        <w:spacing w:after="0" w:line="240" w:lineRule="auto"/>
        <w:contextualSpacing/>
        <w:rPr>
          <w:color w:val="000000"/>
          <w:sz w:val="20"/>
          <w:szCs w:val="20"/>
        </w:rPr>
      </w:pPr>
      <w:r>
        <w:rPr>
          <w:b/>
          <w:color w:val="000000"/>
          <w:sz w:val="20"/>
          <w:szCs w:val="20"/>
        </w:rPr>
        <w:t>Şekil 6: Türkiye ve üç büyük ilde kiralık ilan sayısı (adet)</w:t>
      </w:r>
    </w:p>
    <w:p w14:paraId="598AA655"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noProof/>
          <w:color w:val="000000"/>
        </w:rPr>
        <w:drawing>
          <wp:inline distT="0" distB="0" distL="0" distR="0" wp14:anchorId="3156FDFF" wp14:editId="715AE58B">
            <wp:extent cx="3977640" cy="230124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977640" cy="2301240"/>
                    </a:xfrm>
                    <a:prstGeom prst="rect">
                      <a:avLst/>
                    </a:prstGeom>
                    <a:ln/>
                  </pic:spPr>
                </pic:pic>
              </a:graphicData>
            </a:graphic>
          </wp:inline>
        </w:drawing>
      </w:r>
    </w:p>
    <w:p w14:paraId="371BE89D" w14:textId="77777777" w:rsidR="00C14ECD" w:rsidRDefault="00BA3D18" w:rsidP="0082475A">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color w:val="000000"/>
        </w:rPr>
        <w:t>Kaynak: sahibinden.com, Betam</w:t>
      </w:r>
    </w:p>
    <w:p w14:paraId="44B7B1CA" w14:textId="77777777" w:rsidR="00C14ECD" w:rsidRDefault="00C14ECD" w:rsidP="0082475A">
      <w:pPr>
        <w:pBdr>
          <w:top w:val="nil"/>
          <w:left w:val="nil"/>
          <w:bottom w:val="nil"/>
          <w:right w:val="nil"/>
          <w:between w:val="nil"/>
        </w:pBdr>
        <w:spacing w:after="0" w:line="240" w:lineRule="auto"/>
        <w:contextualSpacing/>
        <w:jc w:val="both"/>
        <w:rPr>
          <w:color w:val="000000"/>
        </w:rPr>
      </w:pPr>
    </w:p>
    <w:p w14:paraId="562C7BA8" w14:textId="77777777" w:rsidR="00C14ECD" w:rsidRDefault="00BA3D18" w:rsidP="0082475A">
      <w:pPr>
        <w:pBdr>
          <w:top w:val="nil"/>
          <w:left w:val="nil"/>
          <w:bottom w:val="nil"/>
          <w:right w:val="nil"/>
          <w:between w:val="nil"/>
        </w:pBdr>
        <w:spacing w:after="0" w:line="240" w:lineRule="auto"/>
        <w:contextualSpacing/>
        <w:rPr>
          <w:b/>
          <w:color w:val="000000"/>
        </w:rPr>
      </w:pPr>
      <w:r>
        <w:rPr>
          <w:b/>
        </w:rPr>
        <w:t>Tatilin bitmesiyle şehirlere dönüş başladı, k</w:t>
      </w:r>
      <w:r>
        <w:rPr>
          <w:b/>
          <w:color w:val="000000"/>
        </w:rPr>
        <w:t>iralık konut talebi artış</w:t>
      </w:r>
      <w:r>
        <w:rPr>
          <w:b/>
        </w:rPr>
        <w:t xml:space="preserve"> gösterdi</w:t>
      </w:r>
    </w:p>
    <w:p w14:paraId="0390BDBE" w14:textId="4A0BFADB" w:rsidR="00C14ECD" w:rsidRDefault="00BA3D18" w:rsidP="0082475A">
      <w:pPr>
        <w:pBdr>
          <w:top w:val="nil"/>
          <w:left w:val="nil"/>
          <w:bottom w:val="nil"/>
          <w:right w:val="nil"/>
          <w:between w:val="nil"/>
        </w:pBdr>
        <w:spacing w:after="0" w:line="240" w:lineRule="auto"/>
        <w:contextualSpacing/>
        <w:jc w:val="both"/>
        <w:rPr>
          <w:color w:val="000000"/>
        </w:rPr>
      </w:pPr>
      <w:r>
        <w:rPr>
          <w:color w:val="000000"/>
        </w:rPr>
        <w:t>Konut talebi Mayıs ve Haziran aylarındaki belirgin yükselişlerin ardından uzun süren tatile bağlı olarak Temmuz’da bir miktar soluklandı. Öte yandan,</w:t>
      </w:r>
      <w:r>
        <w:t xml:space="preserve"> </w:t>
      </w:r>
      <w:r>
        <w:rPr>
          <w:color w:val="000000"/>
        </w:rPr>
        <w:t>Ağustos ayı</w:t>
      </w:r>
      <w:r w:rsidR="009F4E8C">
        <w:rPr>
          <w:color w:val="000000"/>
        </w:rPr>
        <w:t xml:space="preserve"> ile birlikte</w:t>
      </w:r>
      <w:r>
        <w:rPr>
          <w:color w:val="000000"/>
        </w:rPr>
        <w:t xml:space="preserve"> kiralık konut talebi</w:t>
      </w:r>
      <w:r w:rsidR="009F4E8C">
        <w:rPr>
          <w:color w:val="000000"/>
        </w:rPr>
        <w:t xml:space="preserve"> </w:t>
      </w:r>
      <w:r>
        <w:rPr>
          <w:color w:val="000000"/>
        </w:rPr>
        <w:t xml:space="preserve">geçen aya kıyasla yüzde 18,1 artarak 276 oldu. </w:t>
      </w:r>
      <w:r w:rsidR="00465DAB">
        <w:rPr>
          <w:color w:val="000000"/>
        </w:rPr>
        <w:t>Ayrıca t</w:t>
      </w:r>
      <w:r>
        <w:rPr>
          <w:color w:val="000000"/>
        </w:rPr>
        <w:t>alebin çok güçlü olduğu geçen yılın Ağustos ayına kıyasla yüzde 6,8 yüksek olduğunu gösterdi.</w:t>
      </w:r>
    </w:p>
    <w:p w14:paraId="62CBD01A" w14:textId="77777777" w:rsidR="00C14ECD" w:rsidRDefault="00C14ECD" w:rsidP="0082475A">
      <w:pPr>
        <w:pBdr>
          <w:top w:val="nil"/>
          <w:left w:val="nil"/>
          <w:bottom w:val="nil"/>
          <w:right w:val="nil"/>
          <w:between w:val="nil"/>
        </w:pBdr>
        <w:spacing w:after="0" w:line="240" w:lineRule="auto"/>
        <w:contextualSpacing/>
      </w:pPr>
    </w:p>
    <w:p w14:paraId="3FFB6A7C" w14:textId="77777777" w:rsidR="00C14ECD" w:rsidRDefault="00BA3D18" w:rsidP="0082475A">
      <w:pPr>
        <w:pBdr>
          <w:top w:val="nil"/>
          <w:left w:val="nil"/>
          <w:bottom w:val="nil"/>
          <w:right w:val="nil"/>
          <w:between w:val="nil"/>
        </w:pBdr>
        <w:spacing w:after="0" w:line="240" w:lineRule="auto"/>
        <w:contextualSpacing/>
        <w:rPr>
          <w:b/>
          <w:color w:val="000000"/>
        </w:rPr>
      </w:pPr>
      <w:r>
        <w:rPr>
          <w:b/>
          <w:color w:val="000000"/>
        </w:rPr>
        <w:t>Şekil 7: Talep göstergesi (2020 Şubat=100)</w:t>
      </w:r>
    </w:p>
    <w:p w14:paraId="2B30E63F"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noProof/>
          <w:color w:val="000000"/>
        </w:rPr>
        <w:drawing>
          <wp:inline distT="0" distB="0" distL="0" distR="0" wp14:anchorId="4724F165" wp14:editId="6F4D78BE">
            <wp:extent cx="3944363" cy="2154877"/>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44363" cy="2154877"/>
                    </a:xfrm>
                    <a:prstGeom prst="rect">
                      <a:avLst/>
                    </a:prstGeom>
                    <a:ln/>
                  </pic:spPr>
                </pic:pic>
              </a:graphicData>
            </a:graphic>
          </wp:inline>
        </w:drawing>
      </w:r>
    </w:p>
    <w:p w14:paraId="0DFDD881" w14:textId="77777777" w:rsidR="00C14ECD" w:rsidRDefault="00BA3D18" w:rsidP="0082475A">
      <w:pPr>
        <w:pBdr>
          <w:top w:val="nil"/>
          <w:left w:val="nil"/>
          <w:bottom w:val="nil"/>
          <w:right w:val="nil"/>
          <w:between w:val="nil"/>
        </w:pBdr>
        <w:spacing w:after="0" w:line="240" w:lineRule="auto"/>
        <w:contextualSpacing/>
        <w:jc w:val="both"/>
        <w:rPr>
          <w:color w:val="000000"/>
        </w:rPr>
      </w:pPr>
      <w:r>
        <w:rPr>
          <w:color w:val="000000"/>
        </w:rPr>
        <w:t>Kaynak: sahibinden.com, Betam</w:t>
      </w:r>
    </w:p>
    <w:p w14:paraId="5E6789A1" w14:textId="77777777" w:rsidR="00C14ECD" w:rsidRDefault="00C14ECD" w:rsidP="0082475A">
      <w:pPr>
        <w:pBdr>
          <w:top w:val="nil"/>
          <w:left w:val="nil"/>
          <w:bottom w:val="nil"/>
          <w:right w:val="nil"/>
          <w:between w:val="nil"/>
        </w:pBdr>
        <w:spacing w:after="0" w:line="240" w:lineRule="auto"/>
        <w:contextualSpacing/>
        <w:jc w:val="both"/>
        <w:rPr>
          <w:sz w:val="24"/>
          <w:szCs w:val="24"/>
        </w:rPr>
      </w:pPr>
    </w:p>
    <w:p w14:paraId="4517CB3E" w14:textId="77777777" w:rsidR="00C14ECD" w:rsidRDefault="00BA3D18" w:rsidP="0082475A">
      <w:pPr>
        <w:pBdr>
          <w:top w:val="nil"/>
          <w:left w:val="nil"/>
          <w:bottom w:val="nil"/>
          <w:right w:val="nil"/>
          <w:between w:val="nil"/>
        </w:pBdr>
        <w:spacing w:after="0" w:line="240" w:lineRule="auto"/>
        <w:contextualSpacing/>
        <w:jc w:val="both"/>
        <w:rPr>
          <w:b/>
        </w:rPr>
      </w:pPr>
      <w:r>
        <w:rPr>
          <w:b/>
        </w:rPr>
        <w:t>Kiralanan konut sayısının kiralık ilan sayısına oranı yeniden yükselişe geçti</w:t>
      </w:r>
    </w:p>
    <w:p w14:paraId="3CDCD6A0" w14:textId="77777777" w:rsidR="00C14ECD" w:rsidRDefault="00BA3D18" w:rsidP="0082475A">
      <w:pPr>
        <w:pBdr>
          <w:top w:val="nil"/>
          <w:left w:val="nil"/>
          <w:bottom w:val="nil"/>
          <w:right w:val="nil"/>
          <w:between w:val="nil"/>
        </w:pBdr>
        <w:spacing w:after="0" w:line="240" w:lineRule="auto"/>
        <w:contextualSpacing/>
        <w:jc w:val="both"/>
      </w:pPr>
      <w:r>
        <w:t>Kiralanan konut sayısının kiralık ilan sayısına oranı Haziran ve Temmuz’daki düşüşlerin ardından Ağustos’ta yükseldi. Bu gösterge Ağustos ayında 2,9 puan artarak yüzde 27,3 oldu. Önceki aya kıyasla, kiralık ilan sayısı yüzde 9,3, kiralanan konut sayısı ise yüzde 22,4 yükseldi. Kiralanan konut sayısının kiralık ilan sayısına oranı üç büyük ilde arttı. Bu oran Ağustos ayında İstanbul’da 1,9 puan, Ankara’da 1,7 puan, İzmir’de ise 4,1 puan yükselmiştir. Son verilere göre kiralanan konut sayısının kiralık ilan sayısına oranı İstanbul’da yüzde 25,3, Ankara’da yüzde 28,1, İzmir’de ise yüzde 23,1 oldu.</w:t>
      </w:r>
    </w:p>
    <w:p w14:paraId="7F228E70" w14:textId="77777777" w:rsidR="00C14ECD" w:rsidRDefault="00C14ECD" w:rsidP="0082475A">
      <w:pPr>
        <w:pBdr>
          <w:top w:val="nil"/>
          <w:left w:val="nil"/>
          <w:bottom w:val="nil"/>
          <w:right w:val="nil"/>
          <w:between w:val="nil"/>
        </w:pBdr>
        <w:spacing w:after="0" w:line="240" w:lineRule="auto"/>
        <w:contextualSpacing/>
        <w:jc w:val="both"/>
      </w:pPr>
    </w:p>
    <w:p w14:paraId="6BBF687A" w14:textId="77777777" w:rsidR="0082475A" w:rsidRDefault="0082475A">
      <w:pPr>
        <w:rPr>
          <w:b/>
          <w:sz w:val="20"/>
          <w:szCs w:val="20"/>
        </w:rPr>
      </w:pPr>
      <w:r>
        <w:rPr>
          <w:b/>
          <w:sz w:val="20"/>
          <w:szCs w:val="20"/>
        </w:rPr>
        <w:br w:type="page"/>
      </w:r>
    </w:p>
    <w:p w14:paraId="04A4EC57" w14:textId="77777777" w:rsidR="00191275" w:rsidRDefault="00191275" w:rsidP="0082475A">
      <w:pPr>
        <w:widowControl w:val="0"/>
        <w:spacing w:after="0" w:line="276" w:lineRule="auto"/>
        <w:contextualSpacing/>
        <w:jc w:val="both"/>
        <w:rPr>
          <w:b/>
          <w:sz w:val="20"/>
          <w:szCs w:val="20"/>
        </w:rPr>
      </w:pPr>
    </w:p>
    <w:p w14:paraId="29181206" w14:textId="500FAE77" w:rsidR="00C14ECD" w:rsidRDefault="00BA3D18" w:rsidP="0082475A">
      <w:pPr>
        <w:widowControl w:val="0"/>
        <w:spacing w:after="0" w:line="276" w:lineRule="auto"/>
        <w:contextualSpacing/>
        <w:jc w:val="both"/>
        <w:rPr>
          <w:b/>
          <w:sz w:val="20"/>
          <w:szCs w:val="20"/>
        </w:rPr>
      </w:pPr>
      <w:r>
        <w:rPr>
          <w:b/>
          <w:sz w:val="20"/>
          <w:szCs w:val="20"/>
        </w:rPr>
        <w:t>Şekil 8: Türkiye genelinde kiralanan konut sayısının kiralık konut ilan sayısına oranı (%) (sol panel), kiralık ve kiralanan konut sayısı (Bin Adet) (sağ panel)</w:t>
      </w:r>
    </w:p>
    <w:p w14:paraId="1B7833D8" w14:textId="77777777" w:rsidR="00C14ECD" w:rsidRDefault="00BA3D18" w:rsidP="0082475A">
      <w:pPr>
        <w:widowControl w:val="0"/>
        <w:spacing w:after="0" w:line="276" w:lineRule="auto"/>
        <w:contextualSpacing/>
        <w:jc w:val="both"/>
        <w:rPr>
          <w:b/>
          <w:sz w:val="20"/>
          <w:szCs w:val="20"/>
        </w:rPr>
      </w:pPr>
      <w:r>
        <w:rPr>
          <w:b/>
          <w:noProof/>
          <w:sz w:val="20"/>
          <w:szCs w:val="20"/>
        </w:rPr>
        <w:drawing>
          <wp:inline distT="0" distB="0" distL="0" distR="0" wp14:anchorId="0A1E150D" wp14:editId="3F1A494C">
            <wp:extent cx="2722741" cy="16111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22741" cy="1611100"/>
                    </a:xfrm>
                    <a:prstGeom prst="rect">
                      <a:avLst/>
                    </a:prstGeom>
                    <a:ln/>
                  </pic:spPr>
                </pic:pic>
              </a:graphicData>
            </a:graphic>
          </wp:inline>
        </w:drawing>
      </w:r>
      <w:r>
        <w:rPr>
          <w:b/>
          <w:noProof/>
          <w:sz w:val="20"/>
          <w:szCs w:val="20"/>
        </w:rPr>
        <w:drawing>
          <wp:inline distT="0" distB="0" distL="0" distR="0" wp14:anchorId="6E7ABD93" wp14:editId="75C7AFDA">
            <wp:extent cx="2755567" cy="1611217"/>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755567" cy="1611217"/>
                    </a:xfrm>
                    <a:prstGeom prst="rect">
                      <a:avLst/>
                    </a:prstGeom>
                    <a:ln/>
                  </pic:spPr>
                </pic:pic>
              </a:graphicData>
            </a:graphic>
          </wp:inline>
        </w:drawing>
      </w:r>
    </w:p>
    <w:p w14:paraId="6D6999C4" w14:textId="77777777" w:rsidR="00C14ECD" w:rsidRDefault="00BA3D18" w:rsidP="0082475A">
      <w:pPr>
        <w:widowControl w:val="0"/>
        <w:spacing w:after="0" w:line="276" w:lineRule="auto"/>
        <w:contextualSpacing/>
        <w:jc w:val="both"/>
        <w:rPr>
          <w:sz w:val="20"/>
          <w:szCs w:val="20"/>
        </w:rPr>
      </w:pPr>
      <w:r>
        <w:rPr>
          <w:sz w:val="20"/>
          <w:szCs w:val="20"/>
        </w:rPr>
        <w:t>Kaynak: sahibinden.com, Betam</w:t>
      </w:r>
    </w:p>
    <w:p w14:paraId="073CEC2B" w14:textId="77777777" w:rsidR="00C14ECD" w:rsidRDefault="00C14ECD" w:rsidP="0082475A">
      <w:pPr>
        <w:pBdr>
          <w:top w:val="nil"/>
          <w:left w:val="nil"/>
          <w:bottom w:val="nil"/>
          <w:right w:val="nil"/>
          <w:between w:val="nil"/>
        </w:pBdr>
        <w:spacing w:after="0" w:line="240" w:lineRule="auto"/>
        <w:contextualSpacing/>
        <w:jc w:val="both"/>
        <w:rPr>
          <w:sz w:val="20"/>
          <w:szCs w:val="20"/>
        </w:rPr>
      </w:pPr>
    </w:p>
    <w:p w14:paraId="473CD9C1" w14:textId="77777777" w:rsidR="00C14ECD" w:rsidRDefault="00BA3D18" w:rsidP="0082475A">
      <w:pPr>
        <w:widowControl w:val="0"/>
        <w:spacing w:after="0" w:line="276" w:lineRule="auto"/>
        <w:contextualSpacing/>
        <w:jc w:val="both"/>
        <w:rPr>
          <w:b/>
          <w:sz w:val="20"/>
          <w:szCs w:val="20"/>
        </w:rPr>
      </w:pPr>
      <w:r>
        <w:rPr>
          <w:b/>
          <w:sz w:val="20"/>
          <w:szCs w:val="20"/>
        </w:rPr>
        <w:t>Şekil 9: Üç büyük ilde kiralanan konut sayısının kiralık konut ilan sayısına oranı (%)</w:t>
      </w:r>
    </w:p>
    <w:p w14:paraId="047A9A6F" w14:textId="77777777" w:rsidR="00C14ECD" w:rsidRDefault="00BA3D18" w:rsidP="0082475A">
      <w:pPr>
        <w:widowControl w:val="0"/>
        <w:spacing w:after="0" w:line="276" w:lineRule="auto"/>
        <w:contextualSpacing/>
        <w:jc w:val="center"/>
        <w:rPr>
          <w:b/>
          <w:sz w:val="20"/>
          <w:szCs w:val="20"/>
        </w:rPr>
      </w:pPr>
      <w:r>
        <w:rPr>
          <w:b/>
          <w:noProof/>
          <w:sz w:val="20"/>
          <w:szCs w:val="20"/>
        </w:rPr>
        <w:drawing>
          <wp:inline distT="0" distB="0" distL="0" distR="0" wp14:anchorId="08B23D5A" wp14:editId="38E8629D">
            <wp:extent cx="4094537" cy="2303999"/>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094537" cy="2303999"/>
                    </a:xfrm>
                    <a:prstGeom prst="rect">
                      <a:avLst/>
                    </a:prstGeom>
                    <a:ln/>
                  </pic:spPr>
                </pic:pic>
              </a:graphicData>
            </a:graphic>
          </wp:inline>
        </w:drawing>
      </w:r>
    </w:p>
    <w:p w14:paraId="6E833537" w14:textId="77777777" w:rsidR="00C14ECD" w:rsidRDefault="00BA3D18" w:rsidP="0082475A">
      <w:pPr>
        <w:widowControl w:val="0"/>
        <w:spacing w:after="0" w:line="276" w:lineRule="auto"/>
        <w:contextualSpacing/>
        <w:jc w:val="both"/>
        <w:rPr>
          <w:sz w:val="20"/>
          <w:szCs w:val="20"/>
        </w:rPr>
      </w:pPr>
      <w:r>
        <w:rPr>
          <w:sz w:val="20"/>
          <w:szCs w:val="20"/>
        </w:rPr>
        <w:t>Kaynak: sahibinden.com, Betam</w:t>
      </w:r>
    </w:p>
    <w:p w14:paraId="3A9D7538" w14:textId="77777777" w:rsidR="00C14ECD" w:rsidRDefault="00C14ECD" w:rsidP="0082475A">
      <w:pPr>
        <w:widowControl w:val="0"/>
        <w:spacing w:after="0" w:line="276" w:lineRule="auto"/>
        <w:contextualSpacing/>
        <w:jc w:val="both"/>
        <w:rPr>
          <w:sz w:val="20"/>
          <w:szCs w:val="20"/>
        </w:rPr>
      </w:pPr>
    </w:p>
    <w:p w14:paraId="45A6B119" w14:textId="1D2EDF70" w:rsidR="00C14ECD" w:rsidRDefault="00BA3D18" w:rsidP="0082475A">
      <w:pPr>
        <w:widowControl w:val="0"/>
        <w:spacing w:after="0" w:line="276" w:lineRule="auto"/>
        <w:contextualSpacing/>
        <w:jc w:val="both"/>
      </w:pPr>
      <w:r>
        <w:t xml:space="preserve">Raporun tamamına </w:t>
      </w:r>
      <w:hyperlink r:id="rId13" w:history="1">
        <w:r w:rsidRPr="005273ED">
          <w:rPr>
            <w:rStyle w:val="Kpr"/>
            <w:b/>
          </w:rPr>
          <w:t>bu</w:t>
        </w:r>
        <w:bookmarkStart w:id="0" w:name="_GoBack"/>
        <w:bookmarkEnd w:id="0"/>
        <w:r w:rsidRPr="005273ED">
          <w:rPr>
            <w:rStyle w:val="Kpr"/>
            <w:b/>
          </w:rPr>
          <w:t>radan</w:t>
        </w:r>
      </w:hyperlink>
      <w:r>
        <w:t xml:space="preserve"> ulaşabilirsiniz.</w:t>
      </w:r>
    </w:p>
    <w:p w14:paraId="26E4D810" w14:textId="77777777" w:rsidR="00C14ECD" w:rsidRDefault="00C14ECD" w:rsidP="0082475A">
      <w:pPr>
        <w:pBdr>
          <w:top w:val="nil"/>
          <w:left w:val="nil"/>
          <w:bottom w:val="nil"/>
          <w:right w:val="nil"/>
          <w:between w:val="nil"/>
        </w:pBdr>
        <w:spacing w:after="0" w:line="240" w:lineRule="auto"/>
        <w:contextualSpacing/>
        <w:jc w:val="both"/>
        <w:rPr>
          <w:sz w:val="24"/>
          <w:szCs w:val="24"/>
        </w:rPr>
      </w:pPr>
    </w:p>
    <w:p w14:paraId="34419855"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b/>
          <w:color w:val="000000"/>
          <w:sz w:val="20"/>
          <w:szCs w:val="20"/>
        </w:rPr>
        <w:t>sahibinden.com hakkında</w:t>
      </w:r>
    </w:p>
    <w:p w14:paraId="537DC966"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color w:val="000000"/>
          <w:sz w:val="20"/>
          <w:szCs w:val="20"/>
        </w:rPr>
        <w:t>Aksoy Group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 Aldığı ulusal ve uluslararası ödüllerle de başarısını kanıtlayan sahibinden.com, Tech Brands Turkey | Online Alışveriş &amp; İlan kategorisinde Türkiye’nin en teknolojik markası unvanına sahip.</w:t>
      </w:r>
    </w:p>
    <w:p w14:paraId="1BA423B3" w14:textId="77777777" w:rsidR="00C14ECD" w:rsidRDefault="00BA3D18" w:rsidP="0082475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color w:val="000000"/>
          <w:sz w:val="20"/>
          <w:szCs w:val="20"/>
        </w:rPr>
        <w:t> </w:t>
      </w:r>
    </w:p>
    <w:p w14:paraId="02FA551C" w14:textId="77777777" w:rsidR="00C14ECD" w:rsidRDefault="00BA3D18" w:rsidP="0082475A">
      <w:pPr>
        <w:pBdr>
          <w:top w:val="nil"/>
          <w:left w:val="nil"/>
          <w:bottom w:val="nil"/>
          <w:right w:val="nil"/>
          <w:between w:val="nil"/>
        </w:pBdr>
        <w:spacing w:after="0" w:line="240" w:lineRule="auto"/>
        <w:contextualSpacing/>
        <w:jc w:val="both"/>
      </w:pPr>
      <w:r>
        <w:rPr>
          <w:color w:val="000000"/>
          <w:sz w:val="20"/>
          <w:szCs w:val="20"/>
        </w:rPr>
        <w:t>sahibinden.com güçlü teknolojik altyapısı ve çağın şartlarına uygun olarak geliştirdiği iş modeli sayesinde ikinci el ürünlerin satış yoluyla tekrar kullanıma kazandırılmasına aracılık ederek çevresel sürdürülebilirliğe katkı sağlıyor.sahibinden.com,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karbon-nötr hale getirmeyi hedefleyen LFCA (Leaders for Climate Action) üyeliği bulunan şirketin çalışanları da birer sürdürülebilirlik elçisi olarak çalışmalarına aralıksız devam ediyor.</w:t>
      </w:r>
    </w:p>
    <w:sectPr w:rsidR="00C14ECD">
      <w:headerReference w:type="default" r:id="rId14"/>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6D2D" w16cex:dateUtc="2022-09-12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99773" w16cid:durableId="26C96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711D" w14:textId="77777777" w:rsidR="00A51627" w:rsidRDefault="00A51627">
      <w:pPr>
        <w:spacing w:after="0" w:line="240" w:lineRule="auto"/>
      </w:pPr>
      <w:r>
        <w:separator/>
      </w:r>
    </w:p>
  </w:endnote>
  <w:endnote w:type="continuationSeparator" w:id="0">
    <w:p w14:paraId="55DC1CAA" w14:textId="77777777" w:rsidR="00A51627" w:rsidRDefault="00A5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E50F" w14:textId="77777777" w:rsidR="00A51627" w:rsidRDefault="00A51627">
      <w:pPr>
        <w:spacing w:after="0" w:line="240" w:lineRule="auto"/>
      </w:pPr>
      <w:r>
        <w:separator/>
      </w:r>
    </w:p>
  </w:footnote>
  <w:footnote w:type="continuationSeparator" w:id="0">
    <w:p w14:paraId="163D2BDE" w14:textId="77777777" w:rsidR="00A51627" w:rsidRDefault="00A5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6118" w14:textId="77777777" w:rsidR="00C14ECD" w:rsidRDefault="0082475A">
    <w:r>
      <w:rPr>
        <w:noProof/>
      </w:rPr>
      <mc:AlternateContent>
        <mc:Choice Requires="wps">
          <w:drawing>
            <wp:anchor distT="0" distB="0" distL="114300" distR="114300" simplePos="0" relativeHeight="251659264" behindDoc="0" locked="0" layoutInCell="0" allowOverlap="1" wp14:anchorId="004EF39A" wp14:editId="6FE40A5F">
              <wp:simplePos x="0" y="0"/>
              <wp:positionH relativeFrom="page">
                <wp:posOffset>0</wp:posOffset>
              </wp:positionH>
              <wp:positionV relativeFrom="page">
                <wp:posOffset>190500</wp:posOffset>
              </wp:positionV>
              <wp:extent cx="7560310" cy="273050"/>
              <wp:effectExtent l="0" t="0" r="0" b="12700"/>
              <wp:wrapNone/>
              <wp:docPr id="1" name="MSIPCMd1494ca6be375ba84a61fff9" descr="{&quot;HashCode&quot;:6823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8DFED" w14:textId="77777777" w:rsidR="0082475A" w:rsidRPr="0082475A" w:rsidRDefault="0082475A" w:rsidP="0082475A">
                          <w:pPr>
                            <w:spacing w:after="0"/>
                            <w:rPr>
                              <w:color w:val="0000FF"/>
                              <w:sz w:val="16"/>
                            </w:rPr>
                          </w:pPr>
                          <w:r w:rsidRPr="0082475A">
                            <w:rPr>
                              <w:color w:val="0000FF"/>
                              <w:sz w:val="16"/>
                            </w:rPr>
                            <w:t>Kurum İçi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d1494ca6be375ba84a61fff9" o:spid="_x0000_s1026" type="#_x0000_t202" alt="{&quot;HashCode&quot;:68237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OCpUBGgMAADM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82475A" w:rsidRPr="0082475A" w:rsidRDefault="0082475A" w:rsidP="0082475A">
                    <w:pPr>
                      <w:spacing w:after="0"/>
                      <w:rPr>
                        <w:color w:val="0000FF"/>
                        <w:sz w:val="16"/>
                      </w:rPr>
                    </w:pPr>
                    <w:r w:rsidRPr="0082475A">
                      <w:rPr>
                        <w:color w:val="0000FF"/>
                        <w:sz w:val="16"/>
                      </w:rPr>
                      <w:t>Kurum İçi - Internal</w:t>
                    </w:r>
                  </w:p>
                </w:txbxContent>
              </v:textbox>
              <w10:wrap anchorx="page" anchory="page"/>
            </v:shape>
          </w:pict>
        </mc:Fallback>
      </mc:AlternateContent>
    </w:r>
    <w:r w:rsidR="00BA3D18">
      <w:rPr>
        <w:noProof/>
      </w:rPr>
      <w:drawing>
        <wp:anchor distT="0" distB="0" distL="114300" distR="114300" simplePos="0" relativeHeight="251658240" behindDoc="0" locked="0" layoutInCell="1" hidden="0" allowOverlap="1" wp14:anchorId="1A6EDDE5" wp14:editId="2A4353F6">
          <wp:simplePos x="0" y="0"/>
          <wp:positionH relativeFrom="page">
            <wp:posOffset>2556038</wp:posOffset>
          </wp:positionH>
          <wp:positionV relativeFrom="page">
            <wp:posOffset>678180</wp:posOffset>
          </wp:positionV>
          <wp:extent cx="2450306" cy="525948"/>
          <wp:effectExtent l="0" t="0" r="0" b="0"/>
          <wp:wrapTopAndBottom distT="0" dist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0" t="36655" r="1524" b="36310"/>
                  <a:stretch>
                    <a:fillRect/>
                  </a:stretch>
                </pic:blipFill>
                <pic:spPr>
                  <a:xfrm>
                    <a:off x="0" y="0"/>
                    <a:ext cx="2450306" cy="525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CD"/>
    <w:rsid w:val="000348F9"/>
    <w:rsid w:val="00046BB7"/>
    <w:rsid w:val="00191275"/>
    <w:rsid w:val="001F7210"/>
    <w:rsid w:val="002146D3"/>
    <w:rsid w:val="00230DBD"/>
    <w:rsid w:val="00255C56"/>
    <w:rsid w:val="002F2238"/>
    <w:rsid w:val="004441DC"/>
    <w:rsid w:val="00465DAB"/>
    <w:rsid w:val="00524477"/>
    <w:rsid w:val="005273ED"/>
    <w:rsid w:val="0074366C"/>
    <w:rsid w:val="007F72F7"/>
    <w:rsid w:val="0082475A"/>
    <w:rsid w:val="00853A21"/>
    <w:rsid w:val="008729E1"/>
    <w:rsid w:val="0087407D"/>
    <w:rsid w:val="009F4E8C"/>
    <w:rsid w:val="00A51627"/>
    <w:rsid w:val="00BA3D18"/>
    <w:rsid w:val="00C14ECD"/>
    <w:rsid w:val="00C40FBF"/>
    <w:rsid w:val="00CE07B2"/>
    <w:rsid w:val="00D56092"/>
    <w:rsid w:val="00DB0B73"/>
    <w:rsid w:val="00FF1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CE58"/>
  <w15:docId w15:val="{D544B243-46EB-4F2B-8444-D5588021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B5E23"/>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8247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475A"/>
    <w:rPr>
      <w:rFonts w:ascii="Segoe UI" w:hAnsi="Segoe UI" w:cs="Segoe UI"/>
      <w:sz w:val="18"/>
      <w:szCs w:val="18"/>
    </w:rPr>
  </w:style>
  <w:style w:type="paragraph" w:styleId="stBilgi">
    <w:name w:val="header"/>
    <w:basedOn w:val="Normal"/>
    <w:link w:val="stBilgiChar"/>
    <w:uiPriority w:val="99"/>
    <w:unhideWhenUsed/>
    <w:rsid w:val="008247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475A"/>
  </w:style>
  <w:style w:type="paragraph" w:styleId="AltBilgi">
    <w:name w:val="footer"/>
    <w:basedOn w:val="Normal"/>
    <w:link w:val="AltBilgiChar"/>
    <w:uiPriority w:val="99"/>
    <w:unhideWhenUsed/>
    <w:rsid w:val="008247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475A"/>
  </w:style>
  <w:style w:type="paragraph" w:styleId="Dzeltme">
    <w:name w:val="Revision"/>
    <w:hidden/>
    <w:uiPriority w:val="99"/>
    <w:semiHidden/>
    <w:rsid w:val="00FF1D6D"/>
    <w:pPr>
      <w:spacing w:after="0" w:line="240" w:lineRule="auto"/>
    </w:pPr>
  </w:style>
  <w:style w:type="character" w:styleId="AklamaBavurusu">
    <w:name w:val="annotation reference"/>
    <w:basedOn w:val="VarsaylanParagrafYazTipi"/>
    <w:uiPriority w:val="99"/>
    <w:semiHidden/>
    <w:unhideWhenUsed/>
    <w:rsid w:val="00FF1D6D"/>
    <w:rPr>
      <w:sz w:val="16"/>
      <w:szCs w:val="16"/>
    </w:rPr>
  </w:style>
  <w:style w:type="paragraph" w:styleId="AklamaMetni">
    <w:name w:val="annotation text"/>
    <w:basedOn w:val="Normal"/>
    <w:link w:val="AklamaMetniChar"/>
    <w:uiPriority w:val="99"/>
    <w:semiHidden/>
    <w:unhideWhenUsed/>
    <w:rsid w:val="00FF1D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1D6D"/>
    <w:rPr>
      <w:sz w:val="20"/>
      <w:szCs w:val="20"/>
    </w:rPr>
  </w:style>
  <w:style w:type="paragraph" w:styleId="AklamaKonusu">
    <w:name w:val="annotation subject"/>
    <w:basedOn w:val="AklamaMetni"/>
    <w:next w:val="AklamaMetni"/>
    <w:link w:val="AklamaKonusuChar"/>
    <w:uiPriority w:val="99"/>
    <w:semiHidden/>
    <w:unhideWhenUsed/>
    <w:rsid w:val="00FF1D6D"/>
    <w:rPr>
      <w:b/>
      <w:bCs/>
    </w:rPr>
  </w:style>
  <w:style w:type="character" w:customStyle="1" w:styleId="AklamaKonusuChar">
    <w:name w:val="Açıklama Konusu Char"/>
    <w:basedOn w:val="AklamaMetniChar"/>
    <w:link w:val="AklamaKonusu"/>
    <w:uiPriority w:val="99"/>
    <w:semiHidden/>
    <w:rsid w:val="00FF1D6D"/>
    <w:rPr>
      <w:b/>
      <w:bCs/>
      <w:sz w:val="20"/>
      <w:szCs w:val="20"/>
    </w:rPr>
  </w:style>
  <w:style w:type="character" w:styleId="Kpr">
    <w:name w:val="Hyperlink"/>
    <w:basedOn w:val="VarsaylanParagrafYazTipi"/>
    <w:uiPriority w:val="99"/>
    <w:unhideWhenUsed/>
    <w:rsid w:val="005273ED"/>
    <w:rPr>
      <w:color w:val="0563C1" w:themeColor="hyperlink"/>
      <w:u w:val="single"/>
    </w:rPr>
  </w:style>
  <w:style w:type="character" w:styleId="zlenenKpr">
    <w:name w:val="FollowedHyperlink"/>
    <w:basedOn w:val="VarsaylanParagrafYazTipi"/>
    <w:uiPriority w:val="99"/>
    <w:semiHidden/>
    <w:unhideWhenUsed/>
    <w:rsid w:val="00527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age5.sahibinden.com/staticContent/e7312421/2c27/4632/b424/7790bd2540b1/1663574899.pdf"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Qcrp/RFbotIG1VndPaEnnYMaw==">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1224</Words>
  <Characters>6983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Sahibinden Bilgi Teknolojileri</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Şahin</dc:creator>
  <cp:lastModifiedBy>Deniz Sabuncu</cp:lastModifiedBy>
  <cp:revision>10</cp:revision>
  <dcterms:created xsi:type="dcterms:W3CDTF">2022-09-12T07:48:00Z</dcterms:created>
  <dcterms:modified xsi:type="dcterms:W3CDTF">2022-09-19T08:12:00Z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07961e-2daf-4113-b5f3-ac7b4f936265_Enabled">
    <vt:lpwstr>true</vt:lpwstr>
  </property>
  <property fmtid="{D5CDD505-2E9C-101B-9397-08002B2CF9AE}" pid="3" name="MSIP_Label_4d07961e-2daf-4113-b5f3-ac7b4f936265_SetDate">
    <vt:lpwstr>2022-09-19T08:12:44Z</vt:lpwstr>
  </property>
  <property fmtid="{D5CDD505-2E9C-101B-9397-08002B2CF9AE}" pid="4" name="MSIP_Label_4d07961e-2daf-4113-b5f3-ac7b4f936265_Method">
    <vt:lpwstr>Standard</vt:lpwstr>
  </property>
  <property fmtid="{D5CDD505-2E9C-101B-9397-08002B2CF9AE}" pid="5" name="MSIP_Label_4d07961e-2daf-4113-b5f3-ac7b4f936265_Name">
    <vt:lpwstr>Internal - Kurum Ici</vt:lpwstr>
  </property>
  <property fmtid="{D5CDD505-2E9C-101B-9397-08002B2CF9AE}" pid="6" name="MSIP_Label_4d07961e-2daf-4113-b5f3-ac7b4f936265_SiteId">
    <vt:lpwstr>e168fe3a-8a8d-4dd1-9f09-bcd9f127297e</vt:lpwstr>
  </property>
  <property fmtid="{D5CDD505-2E9C-101B-9397-08002B2CF9AE}" pid="7" name="MSIP_Label_4d07961e-2daf-4113-b5f3-ac7b4f936265_ActionId">
    <vt:lpwstr>f2d4fa19-82a9-4ad7-b8bf-481e22c525e6</vt:lpwstr>
  </property>
  <property fmtid="{D5CDD505-2E9C-101B-9397-08002B2CF9AE}" pid="8" name="MSIP_Label_4d07961e-2daf-4113-b5f3-ac7b4f936265_ContentBits">
    <vt:lpwstr>1</vt:lpwstr>
  </property>
</Properties>
</file>