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82D63" w14:textId="4027E4D9" w:rsidR="00987666" w:rsidRDefault="00026E08">
      <w:pPr>
        <w:rPr>
          <w:b/>
          <w:bCs/>
          <w:i/>
          <w:iCs/>
          <w:lang w:val="tr-TR"/>
        </w:rPr>
      </w:pPr>
      <w:r>
        <w:rPr>
          <w:noProof/>
          <w:lang w:val="en-GB" w:eastAsia="en-GB"/>
          <w14:ligatures w14:val="none"/>
          <w14:numForm w14:val="default"/>
          <w14:numSpacing w14:val="default"/>
        </w:rPr>
        <w:drawing>
          <wp:anchor distT="0" distB="0" distL="114300" distR="114300" simplePos="0" relativeHeight="251650560" behindDoc="1" locked="0" layoutInCell="1" allowOverlap="1" wp14:anchorId="2ECAAD49" wp14:editId="11A7DF1C">
            <wp:simplePos x="0" y="0"/>
            <wp:positionH relativeFrom="page">
              <wp:posOffset>45085</wp:posOffset>
            </wp:positionH>
            <wp:positionV relativeFrom="paragraph">
              <wp:posOffset>-790575</wp:posOffset>
            </wp:positionV>
            <wp:extent cx="7445375" cy="1353820"/>
            <wp:effectExtent l="0" t="0" r="3175" b="0"/>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TU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5375" cy="1353820"/>
                    </a:xfrm>
                    <a:prstGeom prst="rect">
                      <a:avLst/>
                    </a:prstGeom>
                    <a:noFill/>
                  </pic:spPr>
                </pic:pic>
              </a:graphicData>
            </a:graphic>
            <wp14:sizeRelH relativeFrom="margin">
              <wp14:pctWidth>0</wp14:pctWidth>
            </wp14:sizeRelH>
            <wp14:sizeRelV relativeFrom="margin">
              <wp14:pctHeight>0</wp14:pctHeight>
            </wp14:sizeRelV>
          </wp:anchor>
        </w:drawing>
      </w:r>
      <w:r w:rsidR="00C71B38" w:rsidRPr="0033654B">
        <w:rPr>
          <w:b/>
          <w:bCs/>
          <w:i/>
          <w:iCs/>
          <w:noProof/>
          <w:lang w:val="en-GB" w:eastAsia="en-GB"/>
        </w:rPr>
        <mc:AlternateContent>
          <mc:Choice Requires="wps">
            <w:drawing>
              <wp:anchor distT="45720" distB="45720" distL="114300" distR="114300" simplePos="0" relativeHeight="251654656" behindDoc="1" locked="0" layoutInCell="1" allowOverlap="1" wp14:anchorId="1B914510" wp14:editId="33A9BE7D">
                <wp:simplePos x="0" y="0"/>
                <wp:positionH relativeFrom="column">
                  <wp:posOffset>1757680</wp:posOffset>
                </wp:positionH>
                <wp:positionV relativeFrom="paragraph">
                  <wp:posOffset>-442595</wp:posOffset>
                </wp:positionV>
                <wp:extent cx="3848100" cy="4254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5450"/>
                        </a:xfrm>
                        <a:prstGeom prst="rect">
                          <a:avLst/>
                        </a:prstGeom>
                        <a:noFill/>
                        <a:ln w="9525">
                          <a:noFill/>
                          <a:miter lim="800000"/>
                          <a:headEnd/>
                          <a:tailEnd/>
                        </a:ln>
                      </wps:spPr>
                      <wps:txbx>
                        <w:txbxContent>
                          <w:p w14:paraId="4143EDE1" w14:textId="1EE8A0FB" w:rsidR="0033654B" w:rsidRPr="0033654B" w:rsidRDefault="0033654B">
                            <w:pPr>
                              <w:rPr>
                                <w:b/>
                                <w:bCs/>
                                <w:sz w:val="42"/>
                                <w:szCs w:val="56"/>
                              </w:rPr>
                            </w:pPr>
                            <w:r w:rsidRPr="0033654B">
                              <w:rPr>
                                <w:b/>
                                <w:bCs/>
                                <w:sz w:val="42"/>
                                <w:szCs w:val="56"/>
                              </w:rPr>
                              <w:t>Araştırma Notu 22/261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14510" id="_x0000_t202" coordsize="21600,21600" o:spt="202" path="m,l,21600r21600,l21600,xe">
                <v:stroke joinstyle="miter"/>
                <v:path gradientshapeok="t" o:connecttype="rect"/>
              </v:shapetype>
              <v:shape id="Metin Kutusu 2" o:spid="_x0000_s1026" type="#_x0000_t202" style="position:absolute;left:0;text-align:left;margin-left:138.4pt;margin-top:-34.85pt;width:303pt;height:3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" filled="f" stroked="f">
                <v:textbox>
                  <w:txbxContent>
                    <w:p w14:paraId="4143EDE1" w14:textId="1EE8A0FB" w:rsidR="0033654B" w:rsidRPr="0033654B" w:rsidRDefault="0033654B">
                      <w:pPr>
                        <w:rPr>
                          <w:b/>
                          <w:bCs/>
                          <w:sz w:val="42"/>
                          <w:szCs w:val="56"/>
                        </w:rPr>
                      </w:pPr>
                      <w:r w:rsidRPr="0033654B">
                        <w:rPr>
                          <w:b/>
                          <w:bCs/>
                          <w:sz w:val="42"/>
                          <w:szCs w:val="56"/>
                        </w:rPr>
                        <w:t>Araştırma Notu 22/261</w:t>
                      </w:r>
                    </w:p>
                  </w:txbxContent>
                </v:textbox>
              </v:shape>
            </w:pict>
          </mc:Fallback>
        </mc:AlternateContent>
      </w:r>
      <w:r w:rsidR="0033654B" w:rsidRPr="0033654B">
        <w:rPr>
          <w:noProof/>
          <w:lang w:val="en-GB" w:eastAsia="en-GB"/>
        </w:rPr>
        <mc:AlternateContent>
          <mc:Choice Requires="wps">
            <w:drawing>
              <wp:anchor distT="45720" distB="45720" distL="114300" distR="114300" simplePos="0" relativeHeight="251656704" behindDoc="0" locked="0" layoutInCell="1" allowOverlap="1" wp14:anchorId="5A235ED8" wp14:editId="455D766A">
                <wp:simplePos x="0" y="0"/>
                <wp:positionH relativeFrom="column">
                  <wp:posOffset>5462905</wp:posOffset>
                </wp:positionH>
                <wp:positionV relativeFrom="paragraph">
                  <wp:posOffset>205105</wp:posOffset>
                </wp:positionV>
                <wp:extent cx="1168400" cy="311150"/>
                <wp:effectExtent l="0" t="0" r="0" b="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11150"/>
                        </a:xfrm>
                        <a:prstGeom prst="rect">
                          <a:avLst/>
                        </a:prstGeom>
                        <a:noFill/>
                        <a:ln w="9525">
                          <a:noFill/>
                          <a:miter lim="800000"/>
                          <a:headEnd/>
                          <a:tailEnd/>
                        </a:ln>
                      </wps:spPr>
                      <wps:txbx>
                        <w:txbxContent>
                          <w:p w14:paraId="32EDD2B9" w14:textId="6A9C735A" w:rsidR="0033654B" w:rsidRPr="0033654B" w:rsidRDefault="006A2748">
                            <w:pPr>
                              <w:rPr>
                                <w:color w:val="FFFFFF" w:themeColor="background1"/>
                              </w:rPr>
                            </w:pPr>
                            <w:r>
                              <w:rPr>
                                <w:color w:val="FFFFFF" w:themeColor="background1"/>
                              </w:rPr>
                              <w:t>29</w:t>
                            </w:r>
                            <w:r w:rsidR="0033654B">
                              <w:rPr>
                                <w:color w:val="FFFFFF" w:themeColor="background1"/>
                              </w:rPr>
                              <w:t xml:space="preserve"> Eylül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5ED8" id="_x0000_s1027" type="#_x0000_t202" style="position:absolute;left:0;text-align:left;margin-left:430.15pt;margin-top:16.15pt;width:92pt;height:2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" filled="f" stroked="f">
                <v:textbox>
                  <w:txbxContent>
                    <w:p w14:paraId="32EDD2B9" w14:textId="6A9C735A" w:rsidR="0033654B" w:rsidRPr="0033654B" w:rsidRDefault="006A2748">
                      <w:pPr>
                        <w:rPr>
                          <w:color w:val="FFFFFF" w:themeColor="background1"/>
                        </w:rPr>
                      </w:pPr>
                      <w:r>
                        <w:rPr>
                          <w:color w:val="FFFFFF" w:themeColor="background1"/>
                        </w:rPr>
                        <w:t>29</w:t>
                      </w:r>
                      <w:r w:rsidR="0033654B">
                        <w:rPr>
                          <w:color w:val="FFFFFF" w:themeColor="background1"/>
                        </w:rPr>
                        <w:t xml:space="preserve"> Eylül 2022</w:t>
                      </w:r>
                    </w:p>
                  </w:txbxContent>
                </v:textbox>
                <w10:wrap type="square"/>
              </v:shape>
            </w:pict>
          </mc:Fallback>
        </mc:AlternateContent>
      </w:r>
    </w:p>
    <w:p w14:paraId="35175F70" w14:textId="626B2BC3" w:rsidR="00987666" w:rsidRDefault="00987666">
      <w:pPr>
        <w:rPr>
          <w:b/>
          <w:bCs/>
          <w:i/>
          <w:iCs/>
          <w:lang w:val="tr-TR"/>
        </w:rPr>
      </w:pPr>
    </w:p>
    <w:p w14:paraId="7D487091" w14:textId="77777777" w:rsidR="00C71B38" w:rsidRDefault="00C71B38" w:rsidP="00B00554">
      <w:pPr>
        <w:pStyle w:val="NormalIndent"/>
        <w:jc w:val="center"/>
        <w:rPr>
          <w:b/>
          <w:bCs/>
          <w:sz w:val="38"/>
          <w:szCs w:val="48"/>
          <w:lang w:val="tr-TR"/>
        </w:rPr>
      </w:pPr>
    </w:p>
    <w:p w14:paraId="4F0CD1AC" w14:textId="77777777" w:rsidR="00C71B38" w:rsidRDefault="00C71B38" w:rsidP="00B00554">
      <w:pPr>
        <w:pStyle w:val="NormalIndent"/>
        <w:jc w:val="center"/>
        <w:rPr>
          <w:b/>
          <w:bCs/>
          <w:sz w:val="38"/>
          <w:szCs w:val="48"/>
          <w:lang w:val="tr-TR"/>
        </w:rPr>
      </w:pPr>
    </w:p>
    <w:p w14:paraId="447AC5E9" w14:textId="3F9194F8" w:rsidR="00B00554" w:rsidRDefault="00B00554" w:rsidP="00B00554">
      <w:pPr>
        <w:pStyle w:val="NormalIndent"/>
        <w:jc w:val="center"/>
        <w:rPr>
          <w:b/>
          <w:bCs/>
          <w:sz w:val="38"/>
          <w:szCs w:val="48"/>
          <w:lang w:val="tr-TR"/>
        </w:rPr>
      </w:pPr>
      <w:r w:rsidRPr="00B00554">
        <w:rPr>
          <w:b/>
          <w:bCs/>
          <w:sz w:val="38"/>
          <w:szCs w:val="48"/>
          <w:lang w:val="tr-TR"/>
        </w:rPr>
        <w:t>BÜYÜMEDE DAHA ŞAŞIRTICI REVİZYONLAR</w:t>
      </w:r>
    </w:p>
    <w:p w14:paraId="147FCDC1" w14:textId="77777777" w:rsidR="00B00554" w:rsidRDefault="00B00554" w:rsidP="00B00554">
      <w:pPr>
        <w:pStyle w:val="NormalIndent"/>
        <w:jc w:val="center"/>
        <w:rPr>
          <w:b/>
          <w:bCs/>
          <w:sz w:val="38"/>
          <w:szCs w:val="48"/>
          <w:lang w:val="tr-TR"/>
        </w:rPr>
      </w:pPr>
    </w:p>
    <w:p w14:paraId="75795D57" w14:textId="6F608C1E" w:rsidR="00B00554" w:rsidRPr="00B00554" w:rsidRDefault="00B00554" w:rsidP="00B00554">
      <w:pPr>
        <w:pStyle w:val="NormalIndent"/>
        <w:jc w:val="center"/>
        <w:rPr>
          <w:b/>
          <w:bCs/>
          <w:lang w:val="tr-TR"/>
        </w:rPr>
      </w:pPr>
      <w:r>
        <w:rPr>
          <w:b/>
          <w:bCs/>
          <w:lang w:val="tr-TR"/>
        </w:rPr>
        <w:t>Seyfettin Gürsel</w:t>
      </w:r>
      <w:r w:rsidR="00C42F4B">
        <w:rPr>
          <w:rStyle w:val="FootnoteReference"/>
          <w:b/>
          <w:bCs/>
          <w:lang w:val="tr-TR"/>
        </w:rPr>
        <w:footnoteReference w:customMarkFollows="1" w:id="1"/>
        <w:t>*</w:t>
      </w:r>
      <w:r>
        <w:rPr>
          <w:b/>
          <w:bCs/>
          <w:lang w:val="tr-TR"/>
        </w:rPr>
        <w:t>, Ozan Bakış</w:t>
      </w:r>
      <w:r w:rsidR="00C42F4B">
        <w:rPr>
          <w:rStyle w:val="FootnoteReference"/>
          <w:b/>
          <w:bCs/>
          <w:lang w:val="tr-TR"/>
        </w:rPr>
        <w:footnoteReference w:customMarkFollows="1" w:id="2"/>
        <w:t>**</w:t>
      </w:r>
      <w:r>
        <w:rPr>
          <w:b/>
          <w:bCs/>
          <w:lang w:val="tr-TR"/>
        </w:rPr>
        <w:t>, Uğurcan Acar</w:t>
      </w:r>
      <w:r w:rsidR="00C42F4B">
        <w:rPr>
          <w:rStyle w:val="FootnoteReference"/>
          <w:b/>
          <w:bCs/>
          <w:lang w:val="tr-TR"/>
        </w:rPr>
        <w:footnoteReference w:customMarkFollows="1" w:id="3"/>
        <w:t>***</w:t>
      </w:r>
    </w:p>
    <w:p w14:paraId="575011B9" w14:textId="08FEDB18" w:rsidR="00B00554" w:rsidRDefault="00B00554">
      <w:pPr>
        <w:rPr>
          <w:b/>
          <w:bCs/>
          <w:i/>
          <w:iCs/>
          <w:lang w:val="tr-TR"/>
        </w:rPr>
      </w:pPr>
    </w:p>
    <w:p w14:paraId="3427CD55" w14:textId="77777777" w:rsidR="00B00554" w:rsidRPr="00B00554" w:rsidRDefault="00B00554" w:rsidP="00B00554">
      <w:pPr>
        <w:pStyle w:val="NormalIndent"/>
        <w:rPr>
          <w:lang w:val="tr-TR"/>
        </w:rPr>
      </w:pPr>
    </w:p>
    <w:p w14:paraId="309449C3" w14:textId="06051825" w:rsidR="00203035" w:rsidRPr="00B00554" w:rsidRDefault="00203035" w:rsidP="00B00554">
      <w:pPr>
        <w:jc w:val="center"/>
        <w:rPr>
          <w:b/>
          <w:bCs/>
          <w:lang w:val="tr-TR"/>
        </w:rPr>
      </w:pPr>
      <w:r w:rsidRPr="00B00554">
        <w:rPr>
          <w:b/>
          <w:bCs/>
          <w:lang w:val="tr-TR"/>
        </w:rPr>
        <w:t>Yönetici Özeti</w:t>
      </w:r>
    </w:p>
    <w:p w14:paraId="0C7BEB4F" w14:textId="77777777" w:rsidR="00B00554" w:rsidRPr="00B00554" w:rsidRDefault="00B00554" w:rsidP="00B00554">
      <w:pPr>
        <w:pStyle w:val="NormalIndent"/>
        <w:rPr>
          <w:lang w:val="tr-TR"/>
        </w:rPr>
      </w:pPr>
    </w:p>
    <w:p w14:paraId="27B056BA" w14:textId="7A7DF32B" w:rsidR="00D37E50" w:rsidRDefault="00203035" w:rsidP="00203035">
      <w:pPr>
        <w:ind w:left="708"/>
        <w:rPr>
          <w:lang w:val="tr-TR"/>
        </w:rPr>
      </w:pPr>
      <w:r w:rsidRPr="00203035">
        <w:rPr>
          <w:lang w:val="tr-TR"/>
        </w:rPr>
        <w:t xml:space="preserve">TÜİK 2016 </w:t>
      </w:r>
      <w:r w:rsidR="00334063">
        <w:rPr>
          <w:lang w:val="tr-TR"/>
        </w:rPr>
        <w:t xml:space="preserve">yılı </w:t>
      </w:r>
      <w:r w:rsidRPr="00203035">
        <w:rPr>
          <w:lang w:val="tr-TR"/>
        </w:rPr>
        <w:t xml:space="preserve">3. çeyrekten itibaren </w:t>
      </w:r>
      <w:r w:rsidR="00334063">
        <w:rPr>
          <w:lang w:val="tr-TR"/>
        </w:rPr>
        <w:t xml:space="preserve">hem </w:t>
      </w:r>
      <w:r w:rsidRPr="00203035">
        <w:rPr>
          <w:lang w:val="tr-TR"/>
        </w:rPr>
        <w:t xml:space="preserve">yeni bir yöntem (zincirleme hacim endeksi) </w:t>
      </w:r>
      <w:r w:rsidR="00334063">
        <w:rPr>
          <w:lang w:val="tr-TR"/>
        </w:rPr>
        <w:t xml:space="preserve">hem de yeni veri kaynaklarını kullanarak ulusal hesaplarda önemli değişiklikler yaptı. </w:t>
      </w:r>
      <w:r w:rsidR="00334063" w:rsidRPr="00334063">
        <w:rPr>
          <w:lang w:val="tr-TR"/>
        </w:rPr>
        <w:t xml:space="preserve">TÜİK yeni serilerle ilgili bilgilendirme çalışmaları </w:t>
      </w:r>
      <w:r w:rsidR="00334063">
        <w:rPr>
          <w:lang w:val="tr-TR"/>
        </w:rPr>
        <w:t xml:space="preserve">esnasında </w:t>
      </w:r>
      <w:r w:rsidR="00334063" w:rsidRPr="00334063">
        <w:rPr>
          <w:lang w:val="tr-TR"/>
        </w:rPr>
        <w:t xml:space="preserve">yeni serilerde </w:t>
      </w:r>
      <w:r w:rsidR="00334063">
        <w:rPr>
          <w:lang w:val="tr-TR"/>
        </w:rPr>
        <w:t xml:space="preserve">yapılacak revizyonların </w:t>
      </w:r>
      <w:r w:rsidR="00334063" w:rsidRPr="00334063">
        <w:rPr>
          <w:lang w:val="tr-TR"/>
        </w:rPr>
        <w:t xml:space="preserve">daha büyük ve daha sık </w:t>
      </w:r>
      <w:r w:rsidR="00334063">
        <w:rPr>
          <w:lang w:val="tr-TR"/>
        </w:rPr>
        <w:t xml:space="preserve">olacağını </w:t>
      </w:r>
      <w:r w:rsidR="00334063" w:rsidRPr="00334063">
        <w:rPr>
          <w:lang w:val="tr-TR"/>
        </w:rPr>
        <w:t xml:space="preserve">belirtmişti. </w:t>
      </w:r>
      <w:r w:rsidR="00334063">
        <w:rPr>
          <w:lang w:val="tr-TR"/>
        </w:rPr>
        <w:t xml:space="preserve">Bunun da sebebi yıllık GSYH’nin eskiden olduğu gibi 4 çeyreğin toplamı olarak değil </w:t>
      </w:r>
      <w:r w:rsidR="00334063" w:rsidRPr="00334063">
        <w:rPr>
          <w:lang w:val="tr-TR"/>
        </w:rPr>
        <w:t xml:space="preserve">doğrudan yıllık veriler kullanılarak </w:t>
      </w:r>
      <w:r w:rsidR="00334063">
        <w:rPr>
          <w:lang w:val="tr-TR"/>
        </w:rPr>
        <w:t>hesaplanacak olması</w:t>
      </w:r>
      <w:r w:rsidR="003A5211">
        <w:rPr>
          <w:lang w:val="tr-TR"/>
        </w:rPr>
        <w:t>ydı</w:t>
      </w:r>
      <w:r w:rsidR="00334063">
        <w:rPr>
          <w:lang w:val="tr-TR"/>
        </w:rPr>
        <w:t>. İdari verideki gecikmeler ve düzeltmeler sebebi</w:t>
      </w:r>
      <w:r w:rsidR="003A5211">
        <w:rPr>
          <w:lang w:val="tr-TR"/>
        </w:rPr>
        <w:t>yle de</w:t>
      </w:r>
      <w:r w:rsidR="00334063">
        <w:rPr>
          <w:lang w:val="tr-TR"/>
        </w:rPr>
        <w:t xml:space="preserve"> revizyon</w:t>
      </w:r>
      <w:r w:rsidR="003A5211">
        <w:rPr>
          <w:lang w:val="tr-TR"/>
        </w:rPr>
        <w:t>lar</w:t>
      </w:r>
      <w:r w:rsidR="00334063">
        <w:rPr>
          <w:lang w:val="tr-TR"/>
        </w:rPr>
        <w:t xml:space="preserve"> bekleniyordu.</w:t>
      </w:r>
    </w:p>
    <w:p w14:paraId="065813F1" w14:textId="77777777" w:rsidR="00D37E50" w:rsidRPr="00D37E50" w:rsidRDefault="00D37E50" w:rsidP="00D37E50">
      <w:pPr>
        <w:pStyle w:val="NormalIndent"/>
        <w:rPr>
          <w:lang w:val="tr-TR"/>
        </w:rPr>
      </w:pPr>
    </w:p>
    <w:p w14:paraId="4C9BE953" w14:textId="5FE9154E" w:rsidR="00203035" w:rsidRPr="00203035" w:rsidRDefault="00361F3B" w:rsidP="00F811B7">
      <w:pPr>
        <w:ind w:left="708"/>
        <w:rPr>
          <w:lang w:val="tr-TR"/>
        </w:rPr>
      </w:pPr>
      <w:r>
        <w:rPr>
          <w:lang w:val="tr-TR"/>
        </w:rPr>
        <w:t>Ne var ki, b</w:t>
      </w:r>
      <w:r w:rsidR="00334063">
        <w:rPr>
          <w:lang w:val="tr-TR"/>
        </w:rPr>
        <w:t xml:space="preserve">u konu ile ilgili yazdığımız ilk araştırma notunda </w:t>
      </w:r>
      <w:r w:rsidR="00D37E50">
        <w:rPr>
          <w:lang w:val="tr-TR"/>
        </w:rPr>
        <w:t>(Betam A</w:t>
      </w:r>
      <w:r w:rsidR="00966974">
        <w:rPr>
          <w:lang w:val="tr-TR"/>
        </w:rPr>
        <w:t>raştırma Notu,</w:t>
      </w:r>
      <w:r w:rsidR="00D37E50">
        <w:rPr>
          <w:lang w:val="tr-TR"/>
        </w:rPr>
        <w:t xml:space="preserve"> 18/221) </w:t>
      </w:r>
      <w:r w:rsidR="00334063">
        <w:rPr>
          <w:lang w:val="tr-TR"/>
        </w:rPr>
        <w:t xml:space="preserve">dikkat çektiğimiz üzere </w:t>
      </w:r>
      <w:r w:rsidR="002C7109">
        <w:rPr>
          <w:lang w:val="tr-TR"/>
        </w:rPr>
        <w:t>pek çok ülke TÜİK ile aynı metodolojiyi kullandığı için Türkiye verilerinde yapılan revizyonların diğer ülkeler ile benzerlik göstermesi beklenir.</w:t>
      </w:r>
      <w:r w:rsidR="00D37E50">
        <w:rPr>
          <w:rStyle w:val="FootnoteReference"/>
          <w:lang w:val="tr-TR"/>
        </w:rPr>
        <w:footnoteReference w:id="4"/>
      </w:r>
      <w:r w:rsidR="00D37E50">
        <w:rPr>
          <w:lang w:val="tr-TR"/>
        </w:rPr>
        <w:t xml:space="preserve"> </w:t>
      </w:r>
      <w:r w:rsidR="002C7109">
        <w:rPr>
          <w:lang w:val="tr-TR"/>
        </w:rPr>
        <w:t xml:space="preserve"> Oysa fiili durumda TÜİK’in yaptığı revizyonlar diğer ülkelere kıyasla hem çok daha büyük hem de “bilgi güncellemesi” olarak kabul edemeyeceğimiz </w:t>
      </w:r>
      <w:r w:rsidR="00334063" w:rsidRPr="00334063">
        <w:rPr>
          <w:lang w:val="tr-TR"/>
        </w:rPr>
        <w:t xml:space="preserve">zıt yönlerde </w:t>
      </w:r>
      <w:r w:rsidR="002C7109">
        <w:rPr>
          <w:lang w:val="tr-TR"/>
        </w:rPr>
        <w:t xml:space="preserve">olmaktadır. </w:t>
      </w:r>
      <w:r w:rsidR="00334063" w:rsidRPr="00334063">
        <w:rPr>
          <w:lang w:val="tr-TR"/>
        </w:rPr>
        <w:t xml:space="preserve">Bu revizyonların ne kadarının </w:t>
      </w:r>
      <w:r w:rsidR="002C7109">
        <w:rPr>
          <w:lang w:val="tr-TR"/>
        </w:rPr>
        <w:t xml:space="preserve">geç gelen </w:t>
      </w:r>
      <w:r w:rsidR="00334063" w:rsidRPr="00334063">
        <w:rPr>
          <w:lang w:val="tr-TR"/>
        </w:rPr>
        <w:t>bilgi güncellemesi ne kadarının metodolojik çerçeveden</w:t>
      </w:r>
      <w:r w:rsidR="002C7109">
        <w:rPr>
          <w:lang w:val="tr-TR"/>
        </w:rPr>
        <w:t xml:space="preserve"> (model seçimi)</w:t>
      </w:r>
      <w:r w:rsidR="00334063" w:rsidRPr="00334063">
        <w:rPr>
          <w:lang w:val="tr-TR"/>
        </w:rPr>
        <w:t xml:space="preserve"> kaynaklandığını bilemiyoruz. Bu konuda TÜİK’in kamuoyunu yeterince bilgilendirmediğini düşünüyoruz.</w:t>
      </w:r>
      <w:r w:rsidR="002C7109">
        <w:rPr>
          <w:lang w:val="tr-TR"/>
        </w:rPr>
        <w:t xml:space="preserve"> Oysa bu konu</w:t>
      </w:r>
      <w:r w:rsidR="004703DA">
        <w:rPr>
          <w:lang w:val="tr-TR"/>
        </w:rPr>
        <w:t>nun</w:t>
      </w:r>
      <w:r w:rsidR="002C7109">
        <w:rPr>
          <w:lang w:val="tr-TR"/>
        </w:rPr>
        <w:t xml:space="preserve"> büyüme dinamiklerini anlamaya çalışan</w:t>
      </w:r>
      <w:r w:rsidR="004703DA">
        <w:rPr>
          <w:lang w:val="tr-TR"/>
        </w:rPr>
        <w:t xml:space="preserve"> ve</w:t>
      </w:r>
      <w:r w:rsidR="002C7109">
        <w:rPr>
          <w:lang w:val="tr-TR"/>
        </w:rPr>
        <w:t xml:space="preserve"> büyüme tahminleri </w:t>
      </w:r>
      <w:r w:rsidR="004703DA">
        <w:rPr>
          <w:lang w:val="tr-TR"/>
        </w:rPr>
        <w:t xml:space="preserve">yapan araştırmacılar ile yatırım kararı alan firmalar için çok önemli olduğu ortadadır. </w:t>
      </w:r>
    </w:p>
    <w:p w14:paraId="4BAD4332" w14:textId="75FD16C2" w:rsidR="00203035" w:rsidRDefault="00203035">
      <w:pPr>
        <w:rPr>
          <w:b/>
          <w:bCs/>
          <w:i/>
          <w:iCs/>
          <w:lang w:val="tr-TR"/>
        </w:rPr>
      </w:pPr>
    </w:p>
    <w:p w14:paraId="095F0B5D" w14:textId="1E439E11" w:rsidR="00B00554" w:rsidRDefault="00B00554" w:rsidP="00B00554">
      <w:pPr>
        <w:pStyle w:val="NormalIndent"/>
        <w:rPr>
          <w:lang w:val="tr-TR"/>
        </w:rPr>
      </w:pPr>
    </w:p>
    <w:p w14:paraId="2313BD42" w14:textId="4750409A" w:rsidR="00B00554" w:rsidRDefault="00B00554" w:rsidP="00B00554">
      <w:pPr>
        <w:pStyle w:val="NormalIndent"/>
        <w:rPr>
          <w:lang w:val="tr-TR"/>
        </w:rPr>
      </w:pPr>
    </w:p>
    <w:p w14:paraId="6CCB338D" w14:textId="4A859FBC" w:rsidR="00B00554" w:rsidRDefault="00B00554" w:rsidP="00B00554">
      <w:pPr>
        <w:pStyle w:val="NormalIndent"/>
        <w:rPr>
          <w:lang w:val="tr-TR"/>
        </w:rPr>
      </w:pPr>
    </w:p>
    <w:p w14:paraId="246FB3D7" w14:textId="1452E87A" w:rsidR="002878F2" w:rsidRDefault="002878F2">
      <w:pPr>
        <w:rPr>
          <w:b/>
          <w:bCs/>
          <w:i/>
          <w:iCs/>
          <w:lang w:val="tr-TR"/>
        </w:rPr>
      </w:pPr>
      <w:r w:rsidRPr="002878F2">
        <w:rPr>
          <w:b/>
          <w:bCs/>
          <w:i/>
          <w:iCs/>
          <w:lang w:val="tr-TR"/>
        </w:rPr>
        <w:lastRenderedPageBreak/>
        <w:t>Giriş</w:t>
      </w:r>
    </w:p>
    <w:p w14:paraId="56277D9F" w14:textId="77777777" w:rsidR="002878F2" w:rsidRPr="002878F2" w:rsidRDefault="002878F2" w:rsidP="002878F2">
      <w:pPr>
        <w:pStyle w:val="NormalIndent"/>
        <w:rPr>
          <w:lang w:val="tr-TR"/>
        </w:rPr>
      </w:pPr>
    </w:p>
    <w:p w14:paraId="4579B142" w14:textId="5AE620E5" w:rsidR="00E43577" w:rsidRDefault="00536403">
      <w:pPr>
        <w:rPr>
          <w:lang w:val="tr-TR"/>
        </w:rPr>
      </w:pPr>
      <w:r>
        <w:rPr>
          <w:lang w:val="tr-TR"/>
        </w:rPr>
        <w:t xml:space="preserve">Bilindiği gibi </w:t>
      </w:r>
      <w:r w:rsidR="00F057CC">
        <w:rPr>
          <w:lang w:val="tr-TR"/>
        </w:rPr>
        <w:t xml:space="preserve">TÜİK </w:t>
      </w:r>
      <w:r w:rsidR="00533886">
        <w:rPr>
          <w:lang w:val="tr-TR"/>
        </w:rPr>
        <w:t xml:space="preserve">2016 yılının 3. </w:t>
      </w:r>
      <w:r w:rsidR="0060645E">
        <w:rPr>
          <w:lang w:val="tr-TR"/>
        </w:rPr>
        <w:t>ç</w:t>
      </w:r>
      <w:r w:rsidR="00533886">
        <w:rPr>
          <w:lang w:val="tr-TR"/>
        </w:rPr>
        <w:t xml:space="preserve">eyreğinden </w:t>
      </w:r>
      <w:r w:rsidR="0060645E">
        <w:rPr>
          <w:lang w:val="tr-TR"/>
        </w:rPr>
        <w:t xml:space="preserve">itibaren </w:t>
      </w:r>
      <w:r w:rsidR="0030384B">
        <w:rPr>
          <w:lang w:val="tr-TR"/>
        </w:rPr>
        <w:t xml:space="preserve">ulusal </w:t>
      </w:r>
      <w:r w:rsidR="0030384B" w:rsidRPr="00F811B7">
        <w:rPr>
          <w:lang w:val="tr-TR"/>
        </w:rPr>
        <w:t xml:space="preserve">hesaplarda </w:t>
      </w:r>
      <w:r w:rsidR="00797075" w:rsidRPr="00F811B7">
        <w:rPr>
          <w:lang w:val="tr-TR"/>
        </w:rPr>
        <w:t>zincirleme hacim endeksi</w:t>
      </w:r>
      <w:r w:rsidR="00C02F00" w:rsidRPr="00F811B7">
        <w:rPr>
          <w:lang w:val="tr-TR"/>
        </w:rPr>
        <w:t xml:space="preserve"> yöntemine geçmiş,</w:t>
      </w:r>
      <w:r w:rsidR="00F34EF8" w:rsidRPr="00F811B7">
        <w:rPr>
          <w:rStyle w:val="FootnoteReference"/>
          <w:lang w:val="tr-TR"/>
        </w:rPr>
        <w:footnoteReference w:id="5"/>
      </w:r>
      <w:r w:rsidR="00C02F00" w:rsidRPr="00F811B7">
        <w:rPr>
          <w:lang w:val="tr-TR"/>
        </w:rPr>
        <w:t xml:space="preserve"> </w:t>
      </w:r>
      <w:r w:rsidR="00EF6717" w:rsidRPr="00F811B7">
        <w:rPr>
          <w:lang w:val="tr-TR"/>
        </w:rPr>
        <w:t xml:space="preserve">hesaplarında </w:t>
      </w:r>
      <w:r w:rsidR="00CB42DC" w:rsidRPr="00F811B7">
        <w:rPr>
          <w:lang w:val="tr-TR"/>
        </w:rPr>
        <w:t>daha fazla idari kayıtlar</w:t>
      </w:r>
      <w:r w:rsidR="00C43208" w:rsidRPr="00F811B7">
        <w:rPr>
          <w:lang w:val="tr-TR"/>
        </w:rPr>
        <w:t>ı</w:t>
      </w:r>
      <w:r w:rsidR="00CB42DC" w:rsidRPr="00F811B7">
        <w:rPr>
          <w:lang w:val="tr-TR"/>
        </w:rPr>
        <w:t xml:space="preserve"> </w:t>
      </w:r>
      <w:r w:rsidR="00C43208" w:rsidRPr="00F811B7">
        <w:rPr>
          <w:lang w:val="tr-TR"/>
        </w:rPr>
        <w:t xml:space="preserve">kullanmaya </w:t>
      </w:r>
      <w:r w:rsidR="00A27F5A" w:rsidRPr="00F811B7">
        <w:rPr>
          <w:lang w:val="tr-TR"/>
        </w:rPr>
        <w:t xml:space="preserve">başlamıştı. </w:t>
      </w:r>
      <w:r w:rsidR="00886FF8" w:rsidRPr="00F811B7">
        <w:rPr>
          <w:lang w:val="tr-TR"/>
        </w:rPr>
        <w:t xml:space="preserve">2018 yılının Ocak ayında </w:t>
      </w:r>
      <w:r w:rsidR="008D1B13" w:rsidRPr="00F811B7">
        <w:rPr>
          <w:lang w:val="tr-TR"/>
        </w:rPr>
        <w:t xml:space="preserve">yayınladığımız bir araştırma notuyla </w:t>
      </w:r>
      <w:r w:rsidR="00D76A60" w:rsidRPr="00F811B7">
        <w:rPr>
          <w:lang w:val="tr-TR"/>
        </w:rPr>
        <w:t xml:space="preserve">bu yeni yöntemle beraber </w:t>
      </w:r>
      <w:r w:rsidR="008D1B13" w:rsidRPr="00F811B7">
        <w:rPr>
          <w:lang w:val="tr-TR"/>
        </w:rPr>
        <w:t xml:space="preserve">TÜİK’in büyüme rakamlarında </w:t>
      </w:r>
      <w:r w:rsidR="00D76A60" w:rsidRPr="00F811B7">
        <w:rPr>
          <w:lang w:val="tr-TR"/>
        </w:rPr>
        <w:t>gittikçe daha fazla oranda</w:t>
      </w:r>
      <w:r w:rsidR="00D76A60">
        <w:rPr>
          <w:lang w:val="tr-TR"/>
        </w:rPr>
        <w:t xml:space="preserve"> revizyona başvurduğunu gözler önüne sermiştik</w:t>
      </w:r>
      <w:r w:rsidR="00D37E50">
        <w:rPr>
          <w:lang w:val="tr-TR"/>
        </w:rPr>
        <w:t xml:space="preserve"> (Betam A</w:t>
      </w:r>
      <w:r w:rsidR="00CB7614">
        <w:rPr>
          <w:lang w:val="tr-TR"/>
        </w:rPr>
        <w:t>raştırma Notu,</w:t>
      </w:r>
      <w:r w:rsidR="00D37E50">
        <w:rPr>
          <w:lang w:val="tr-TR"/>
        </w:rPr>
        <w:t xml:space="preserve"> 18/221)</w:t>
      </w:r>
      <w:r w:rsidR="00D76A60">
        <w:rPr>
          <w:lang w:val="tr-TR"/>
        </w:rPr>
        <w:t xml:space="preserve">. </w:t>
      </w:r>
    </w:p>
    <w:p w14:paraId="247235C0" w14:textId="77777777" w:rsidR="00CF2EBA" w:rsidRDefault="00CF2EBA" w:rsidP="00CF2EBA">
      <w:pPr>
        <w:pStyle w:val="NormalIndent"/>
        <w:ind w:firstLine="0"/>
        <w:rPr>
          <w:lang w:val="tr-TR"/>
        </w:rPr>
      </w:pPr>
    </w:p>
    <w:p w14:paraId="7B6DF256" w14:textId="502B6FC4" w:rsidR="00095801" w:rsidRDefault="001054A4" w:rsidP="00CF2EBA">
      <w:pPr>
        <w:pStyle w:val="NormalIndent"/>
        <w:ind w:firstLine="0"/>
        <w:rPr>
          <w:lang w:val="tr-TR"/>
        </w:rPr>
      </w:pPr>
      <w:r>
        <w:rPr>
          <w:lang w:val="tr-TR"/>
        </w:rPr>
        <w:t>TÜİK tarafından açıklanan büyüme rakamları sonrasında her çeyrek hazırladığımız büyüme değerlendirme notlarımızda</w:t>
      </w:r>
      <w:r w:rsidR="009A0129">
        <w:rPr>
          <w:lang w:val="tr-TR"/>
        </w:rPr>
        <w:t xml:space="preserve"> mevsim ve takvim etkilerinden arındırılmış </w:t>
      </w:r>
      <w:r w:rsidR="00F3412A">
        <w:rPr>
          <w:lang w:val="tr-TR"/>
        </w:rPr>
        <w:t xml:space="preserve">(MTEA) </w:t>
      </w:r>
      <w:r w:rsidR="009A0129">
        <w:rPr>
          <w:lang w:val="tr-TR"/>
        </w:rPr>
        <w:t>büyüme rakamlarında ve</w:t>
      </w:r>
      <w:r>
        <w:rPr>
          <w:lang w:val="tr-TR"/>
        </w:rPr>
        <w:t xml:space="preserve"> </w:t>
      </w:r>
      <w:r w:rsidR="00702DCC">
        <w:rPr>
          <w:lang w:val="tr-TR"/>
        </w:rPr>
        <w:t>bilhassa harcama</w:t>
      </w:r>
      <w:r w:rsidR="009A0129">
        <w:rPr>
          <w:lang w:val="tr-TR"/>
        </w:rPr>
        <w:t xml:space="preserve"> yöntemi</w:t>
      </w:r>
      <w:r w:rsidR="00702DCC">
        <w:rPr>
          <w:lang w:val="tr-TR"/>
        </w:rPr>
        <w:t xml:space="preserve"> alt kalemlerinde </w:t>
      </w:r>
      <w:r w:rsidR="00095801">
        <w:rPr>
          <w:lang w:val="tr-TR"/>
        </w:rPr>
        <w:t xml:space="preserve">mutlak değerce büyük ve hatta zıt yönde yapılan revizyonlar </w:t>
      </w:r>
      <w:r w:rsidR="00B27176">
        <w:rPr>
          <w:lang w:val="tr-TR"/>
        </w:rPr>
        <w:t>dikkatimizi çek</w:t>
      </w:r>
      <w:r w:rsidR="00203035">
        <w:rPr>
          <w:lang w:val="tr-TR"/>
        </w:rPr>
        <w:t>ti</w:t>
      </w:r>
      <w:r w:rsidR="00B27176">
        <w:rPr>
          <w:lang w:val="tr-TR"/>
        </w:rPr>
        <w:t xml:space="preserve">. </w:t>
      </w:r>
      <w:r w:rsidR="00A35A74">
        <w:rPr>
          <w:lang w:val="tr-TR"/>
        </w:rPr>
        <w:t xml:space="preserve">Farklı çeyrek ve farklı alt kalemler için </w:t>
      </w:r>
      <w:r w:rsidR="00C94947">
        <w:rPr>
          <w:lang w:val="tr-TR"/>
        </w:rPr>
        <w:t xml:space="preserve">çok sayıda revizyon </w:t>
      </w:r>
      <w:r w:rsidR="00203035">
        <w:rPr>
          <w:lang w:val="tr-TR"/>
        </w:rPr>
        <w:t>yapıldığını gözlemledik</w:t>
      </w:r>
      <w:r w:rsidR="00C94947">
        <w:rPr>
          <w:lang w:val="tr-TR"/>
        </w:rPr>
        <w:t>. En yakın örne</w:t>
      </w:r>
      <w:r w:rsidR="000634FD">
        <w:rPr>
          <w:lang w:val="tr-TR"/>
        </w:rPr>
        <w:t xml:space="preserve">k ise 2022 yılının birinci çeyreğindeki </w:t>
      </w:r>
      <w:r w:rsidR="0092780A">
        <w:rPr>
          <w:lang w:val="tr-TR"/>
        </w:rPr>
        <w:t>hane halkı tüketimlerindeki revizyondur.</w:t>
      </w:r>
      <w:r w:rsidR="000634FD">
        <w:rPr>
          <w:lang w:val="tr-TR"/>
        </w:rPr>
        <w:t xml:space="preserve"> </w:t>
      </w:r>
      <w:r w:rsidR="0011034F">
        <w:rPr>
          <w:lang w:val="tr-TR"/>
        </w:rPr>
        <w:t>202</w:t>
      </w:r>
      <w:r w:rsidR="000634FD">
        <w:rPr>
          <w:lang w:val="tr-TR"/>
        </w:rPr>
        <w:t>2</w:t>
      </w:r>
      <w:r w:rsidR="0011034F">
        <w:rPr>
          <w:lang w:val="tr-TR"/>
        </w:rPr>
        <w:t xml:space="preserve"> yılının </w:t>
      </w:r>
      <w:r w:rsidR="009B53E4">
        <w:rPr>
          <w:lang w:val="tr-TR"/>
        </w:rPr>
        <w:t xml:space="preserve">ilk çeyreğinde bir önceki çeyreğe göre yüzde 2,8 azaldığı belirtilen </w:t>
      </w:r>
      <w:r w:rsidR="003F223E">
        <w:rPr>
          <w:lang w:val="tr-TR"/>
        </w:rPr>
        <w:t>hane halkları tüketimi bir sonraki çeyrekte</w:t>
      </w:r>
      <w:r w:rsidR="000E68A0">
        <w:rPr>
          <w:lang w:val="tr-TR"/>
        </w:rPr>
        <w:t xml:space="preserve"> pozitif yönde 4,4 yüzde puan revizyonla</w:t>
      </w:r>
      <w:r w:rsidR="003F223E">
        <w:rPr>
          <w:lang w:val="tr-TR"/>
        </w:rPr>
        <w:t xml:space="preserve"> </w:t>
      </w:r>
      <w:r w:rsidR="00C62A17">
        <w:rPr>
          <w:lang w:val="tr-TR"/>
        </w:rPr>
        <w:t xml:space="preserve">yüzde </w:t>
      </w:r>
      <w:r w:rsidR="00386FC0">
        <w:rPr>
          <w:lang w:val="tr-TR"/>
        </w:rPr>
        <w:t xml:space="preserve">1,6’ya </w:t>
      </w:r>
      <w:r w:rsidR="00EE64DA">
        <w:rPr>
          <w:lang w:val="tr-TR"/>
        </w:rPr>
        <w:t>yükseltilmiştir</w:t>
      </w:r>
      <w:r w:rsidR="00386FC0">
        <w:rPr>
          <w:lang w:val="tr-TR"/>
        </w:rPr>
        <w:t xml:space="preserve">. </w:t>
      </w:r>
      <w:r w:rsidR="00EE64DA">
        <w:rPr>
          <w:lang w:val="tr-TR"/>
        </w:rPr>
        <w:t>Yani önce azaldı denilen hane</w:t>
      </w:r>
      <w:r w:rsidR="000427DE">
        <w:rPr>
          <w:lang w:val="tr-TR"/>
        </w:rPr>
        <w:t xml:space="preserve"> halkları tüketimi meğer azalmamış, aksine artmıştı</w:t>
      </w:r>
      <w:r w:rsidR="0092780A">
        <w:rPr>
          <w:lang w:val="tr-TR"/>
        </w:rPr>
        <w:t>r.</w:t>
      </w:r>
      <w:r w:rsidR="000427DE">
        <w:rPr>
          <w:lang w:val="tr-TR"/>
        </w:rPr>
        <w:t xml:space="preserve"> </w:t>
      </w:r>
      <w:r w:rsidR="000022FE">
        <w:rPr>
          <w:lang w:val="tr-TR"/>
        </w:rPr>
        <w:t>Peki ama bu tür revizyonlar ne</w:t>
      </w:r>
      <w:r w:rsidR="00476CFE">
        <w:rPr>
          <w:lang w:val="tr-TR"/>
        </w:rPr>
        <w:t xml:space="preserve">den olmaktadır? </w:t>
      </w:r>
    </w:p>
    <w:p w14:paraId="2D6B988E" w14:textId="77777777" w:rsidR="00AB612B" w:rsidRDefault="00AB612B" w:rsidP="00CF2EBA">
      <w:pPr>
        <w:pStyle w:val="NormalIndent"/>
        <w:ind w:firstLine="0"/>
        <w:rPr>
          <w:lang w:val="tr-TR"/>
        </w:rPr>
      </w:pPr>
    </w:p>
    <w:p w14:paraId="4C84CD68" w14:textId="77777777" w:rsidR="00CF2EBA" w:rsidRDefault="00CF2EBA" w:rsidP="00CF2EBA">
      <w:pPr>
        <w:pStyle w:val="NormalIndent"/>
        <w:ind w:firstLine="0"/>
        <w:rPr>
          <w:lang w:val="tr-TR"/>
        </w:rPr>
      </w:pPr>
    </w:p>
    <w:p w14:paraId="3E64BFD1" w14:textId="31063BCD" w:rsidR="00FD7AA5" w:rsidRPr="00C24689" w:rsidRDefault="00055B44" w:rsidP="00CF2EBA">
      <w:pPr>
        <w:pStyle w:val="NormalIndent"/>
        <w:ind w:firstLine="0"/>
        <w:rPr>
          <w:b/>
          <w:bCs/>
          <w:i/>
          <w:iCs/>
          <w:lang w:val="tr-TR"/>
        </w:rPr>
      </w:pPr>
      <w:r w:rsidRPr="00C24689">
        <w:rPr>
          <w:b/>
          <w:bCs/>
          <w:i/>
          <w:iCs/>
          <w:lang w:val="tr-TR"/>
        </w:rPr>
        <w:t xml:space="preserve">Ana ve </w:t>
      </w:r>
      <w:r w:rsidR="00C24689" w:rsidRPr="00C24689">
        <w:rPr>
          <w:b/>
          <w:bCs/>
          <w:i/>
          <w:iCs/>
          <w:lang w:val="tr-TR"/>
        </w:rPr>
        <w:t>r</w:t>
      </w:r>
      <w:r w:rsidRPr="00C24689">
        <w:rPr>
          <w:b/>
          <w:bCs/>
          <w:i/>
          <w:iCs/>
          <w:lang w:val="tr-TR"/>
        </w:rPr>
        <w:t xml:space="preserve">utin </w:t>
      </w:r>
      <w:r w:rsidR="00C24689" w:rsidRPr="00C24689">
        <w:rPr>
          <w:b/>
          <w:bCs/>
          <w:i/>
          <w:iCs/>
          <w:lang w:val="tr-TR"/>
        </w:rPr>
        <w:t>r</w:t>
      </w:r>
      <w:r w:rsidRPr="00C24689">
        <w:rPr>
          <w:b/>
          <w:bCs/>
          <w:i/>
          <w:iCs/>
          <w:lang w:val="tr-TR"/>
        </w:rPr>
        <w:t>evizyonlar</w:t>
      </w:r>
      <w:r w:rsidR="008D4E5A" w:rsidRPr="00C24689">
        <w:rPr>
          <w:b/>
          <w:bCs/>
          <w:i/>
          <w:iCs/>
          <w:lang w:val="tr-TR"/>
        </w:rPr>
        <w:t xml:space="preserve"> </w:t>
      </w:r>
    </w:p>
    <w:p w14:paraId="1DC8F3A3" w14:textId="77777777" w:rsidR="00CF2EBA" w:rsidRDefault="00CF2EBA" w:rsidP="00CF2EBA">
      <w:pPr>
        <w:pStyle w:val="NormalIndent"/>
        <w:ind w:firstLine="0"/>
        <w:rPr>
          <w:lang w:val="tr-TR"/>
        </w:rPr>
      </w:pPr>
    </w:p>
    <w:p w14:paraId="7CB237F6" w14:textId="7788EA3A" w:rsidR="00055B44" w:rsidRDefault="00C357E2" w:rsidP="00CF2EBA">
      <w:pPr>
        <w:pStyle w:val="NormalIndent"/>
        <w:ind w:firstLine="0"/>
        <w:rPr>
          <w:lang w:val="tr-TR"/>
        </w:rPr>
      </w:pPr>
      <w:r>
        <w:rPr>
          <w:lang w:val="tr-TR"/>
        </w:rPr>
        <w:t>Üretilen istatistiklerin revizyon</w:t>
      </w:r>
      <w:r w:rsidR="0016180C">
        <w:rPr>
          <w:lang w:val="tr-TR"/>
        </w:rPr>
        <w:t xml:space="preserve">lara uğraması son derece normaldir. </w:t>
      </w:r>
      <w:r w:rsidR="004C4C26">
        <w:rPr>
          <w:lang w:val="tr-TR"/>
        </w:rPr>
        <w:t xml:space="preserve">Bu revizyonlar baz yılı değişikliği, </w:t>
      </w:r>
      <w:r w:rsidR="00436C9D">
        <w:rPr>
          <w:lang w:val="tr-TR"/>
        </w:rPr>
        <w:t xml:space="preserve">sınıflama ve kapsam değişiklikleri gibi ana revizyonlar olabileceği gibi </w:t>
      </w:r>
      <w:r w:rsidR="004D31CE">
        <w:rPr>
          <w:lang w:val="tr-TR"/>
        </w:rPr>
        <w:t>geciken</w:t>
      </w:r>
      <w:r w:rsidR="00203035">
        <w:rPr>
          <w:lang w:val="tr-TR"/>
        </w:rPr>
        <w:t xml:space="preserve"> idari </w:t>
      </w:r>
      <w:r w:rsidR="004D31CE">
        <w:rPr>
          <w:lang w:val="tr-TR"/>
        </w:rPr>
        <w:t>veriler</w:t>
      </w:r>
      <w:r w:rsidR="002C3056">
        <w:rPr>
          <w:lang w:val="tr-TR"/>
        </w:rPr>
        <w:t>den veya mevsim ve takvim etkisinden arındırma dolayısıyla yaşanan değişimlerden kaynaklanan rutin revizyonlar</w:t>
      </w:r>
      <w:r w:rsidR="005411C3">
        <w:rPr>
          <w:lang w:val="tr-TR"/>
        </w:rPr>
        <w:t xml:space="preserve"> olabilir.</w:t>
      </w:r>
      <w:r w:rsidR="008D5FF9">
        <w:rPr>
          <w:lang w:val="tr-TR"/>
        </w:rPr>
        <w:t xml:space="preserve"> </w:t>
      </w:r>
      <w:r w:rsidR="00F86D3D">
        <w:rPr>
          <w:lang w:val="tr-TR"/>
        </w:rPr>
        <w:t xml:space="preserve">Örneğin </w:t>
      </w:r>
      <w:r w:rsidR="006964D3">
        <w:rPr>
          <w:lang w:val="tr-TR"/>
        </w:rPr>
        <w:t xml:space="preserve">mevsim ve takvim etkilerinden arındırılmış veriler için </w:t>
      </w:r>
      <w:r w:rsidR="005F77CB">
        <w:rPr>
          <w:lang w:val="tr-TR"/>
        </w:rPr>
        <w:t>TÜİK</w:t>
      </w:r>
      <w:r w:rsidR="006964D3">
        <w:rPr>
          <w:lang w:val="tr-TR"/>
        </w:rPr>
        <w:t>’in bir</w:t>
      </w:r>
      <w:r w:rsidR="00C5382B">
        <w:rPr>
          <w:lang w:val="tr-TR"/>
        </w:rPr>
        <w:t xml:space="preserve"> revizyon politikası </w:t>
      </w:r>
      <w:r w:rsidR="006964D3">
        <w:rPr>
          <w:lang w:val="tr-TR"/>
        </w:rPr>
        <w:t xml:space="preserve">vardır. Buna göre </w:t>
      </w:r>
      <w:r w:rsidR="00EB209D">
        <w:rPr>
          <w:lang w:val="tr-TR"/>
        </w:rPr>
        <w:t xml:space="preserve">model, filtreler, aykırı değerler ve takvim değişkeni her yılın son haber bülteni açıklandıktan sonra </w:t>
      </w:r>
      <w:r w:rsidR="00DD0B89">
        <w:rPr>
          <w:lang w:val="tr-TR"/>
        </w:rPr>
        <w:t xml:space="preserve">yeniden belirleniyor ve </w:t>
      </w:r>
      <w:r w:rsidR="00BE5031">
        <w:rPr>
          <w:lang w:val="tr-TR"/>
        </w:rPr>
        <w:t>sonraki yıl boyunca her haber bülteni döneminde parametre ve faktörler yeniden hesaplanıyor.</w:t>
      </w:r>
      <w:r w:rsidR="00B16E76">
        <w:rPr>
          <w:rStyle w:val="FootnoteReference"/>
          <w:lang w:val="tr-TR"/>
        </w:rPr>
        <w:footnoteReference w:id="6"/>
      </w:r>
      <w:r w:rsidR="00BE5031">
        <w:rPr>
          <w:lang w:val="tr-TR"/>
        </w:rPr>
        <w:t xml:space="preserve"> </w:t>
      </w:r>
    </w:p>
    <w:p w14:paraId="41377A6C" w14:textId="177DC604" w:rsidR="00CF2EBA" w:rsidRDefault="00CF2EBA" w:rsidP="00CF2EBA">
      <w:pPr>
        <w:pStyle w:val="NormalIndent"/>
        <w:ind w:firstLine="0"/>
        <w:rPr>
          <w:lang w:val="tr-TR"/>
        </w:rPr>
      </w:pPr>
    </w:p>
    <w:p w14:paraId="4F22487E" w14:textId="77777777" w:rsidR="00B54022" w:rsidRDefault="00B54022" w:rsidP="00CF2EBA">
      <w:pPr>
        <w:pStyle w:val="NormalIndent"/>
        <w:ind w:firstLine="0"/>
        <w:rPr>
          <w:lang w:val="tr-TR"/>
        </w:rPr>
      </w:pPr>
    </w:p>
    <w:p w14:paraId="3CC35B90" w14:textId="138A475C" w:rsidR="002878F2" w:rsidRDefault="00EF6717" w:rsidP="00CF2EBA">
      <w:pPr>
        <w:pStyle w:val="NormalIndent"/>
        <w:ind w:firstLine="0"/>
        <w:rPr>
          <w:b/>
          <w:bCs/>
          <w:i/>
          <w:iCs/>
          <w:lang w:val="tr-TR"/>
        </w:rPr>
      </w:pPr>
      <w:r>
        <w:rPr>
          <w:b/>
          <w:bCs/>
          <w:i/>
          <w:iCs/>
          <w:lang w:val="tr-TR"/>
        </w:rPr>
        <w:t>Son ana revizyon: Ağustos 2020</w:t>
      </w:r>
    </w:p>
    <w:p w14:paraId="086062A5" w14:textId="77777777" w:rsidR="00CF2EBA" w:rsidRDefault="00CF2EBA" w:rsidP="00CF2EBA">
      <w:pPr>
        <w:pStyle w:val="NormalIndent"/>
        <w:ind w:firstLine="0"/>
        <w:rPr>
          <w:b/>
          <w:bCs/>
          <w:i/>
          <w:iCs/>
          <w:lang w:val="tr-TR"/>
        </w:rPr>
      </w:pPr>
    </w:p>
    <w:p w14:paraId="774F2331" w14:textId="6437350D" w:rsidR="00D1641E" w:rsidRDefault="00CC4496" w:rsidP="00CF2EBA">
      <w:pPr>
        <w:pStyle w:val="NormalIndent"/>
        <w:ind w:firstLine="0"/>
        <w:rPr>
          <w:color w:val="FF0000"/>
          <w:lang w:val="tr-TR"/>
        </w:rPr>
      </w:pPr>
      <w:r>
        <w:rPr>
          <w:lang w:val="tr-TR"/>
        </w:rPr>
        <w:t xml:space="preserve">TÜİK GSYH </w:t>
      </w:r>
      <w:r w:rsidR="00B27E3B">
        <w:rPr>
          <w:lang w:val="tr-TR"/>
        </w:rPr>
        <w:t xml:space="preserve">serilerinde 31 Ağustos 2020 tarihinde </w:t>
      </w:r>
      <w:r w:rsidR="005B3514">
        <w:rPr>
          <w:lang w:val="tr-TR"/>
        </w:rPr>
        <w:t>ulusal hesaplar</w:t>
      </w:r>
      <w:r w:rsidR="00472B98">
        <w:rPr>
          <w:lang w:val="tr-TR"/>
        </w:rPr>
        <w:t xml:space="preserve">da kullanılan veri kaynaklarında yapılan revizyonlar nedeniyle bir ana revizyon yapmıştır. </w:t>
      </w:r>
      <w:r w:rsidR="00A804EC">
        <w:rPr>
          <w:lang w:val="tr-TR"/>
        </w:rPr>
        <w:t xml:space="preserve">31 Ağustos 2020 tarihinde yayınlanan 2019 yılı yıllık </w:t>
      </w:r>
      <w:r w:rsidR="00502FC7">
        <w:rPr>
          <w:lang w:val="tr-TR"/>
        </w:rPr>
        <w:t xml:space="preserve">GSYH rakamları ile 2020 yılı ikinci çeyrek rakamları sözü edilen revizyona göre ilan edilmiş ve </w:t>
      </w:r>
      <w:r w:rsidR="00973BF0">
        <w:rPr>
          <w:lang w:val="tr-TR"/>
        </w:rPr>
        <w:t xml:space="preserve">revizyon 1998 yılına kadar geri götürülerek serideki bütünlük korunmuştur. </w:t>
      </w:r>
      <w:r w:rsidR="0054577F">
        <w:rPr>
          <w:lang w:val="tr-TR"/>
        </w:rPr>
        <w:t xml:space="preserve">Yani yapılan metodolojik bir </w:t>
      </w:r>
      <w:r w:rsidR="00307E64">
        <w:rPr>
          <w:lang w:val="tr-TR"/>
        </w:rPr>
        <w:t xml:space="preserve">değişiklik değil </w:t>
      </w:r>
      <w:r w:rsidR="00023190">
        <w:rPr>
          <w:lang w:val="tr-TR"/>
        </w:rPr>
        <w:t xml:space="preserve">kullanılan </w:t>
      </w:r>
      <w:r w:rsidR="00307E64">
        <w:rPr>
          <w:lang w:val="tr-TR"/>
        </w:rPr>
        <w:t>veri kaynakların</w:t>
      </w:r>
      <w:r w:rsidR="00023190">
        <w:rPr>
          <w:lang w:val="tr-TR"/>
        </w:rPr>
        <w:t>daki</w:t>
      </w:r>
      <w:r w:rsidR="00307E64">
        <w:rPr>
          <w:lang w:val="tr-TR"/>
        </w:rPr>
        <w:t xml:space="preserve"> </w:t>
      </w:r>
      <w:r w:rsidR="00B06FA7">
        <w:rPr>
          <w:lang w:val="tr-TR"/>
        </w:rPr>
        <w:t>revizyonların ulusal hesaplara yansıtılması</w:t>
      </w:r>
      <w:r w:rsidR="00307E64">
        <w:rPr>
          <w:lang w:val="tr-TR"/>
        </w:rPr>
        <w:t xml:space="preserve"> işlemidir. </w:t>
      </w:r>
      <w:r w:rsidR="00E60709">
        <w:rPr>
          <w:lang w:val="tr-TR"/>
        </w:rPr>
        <w:t xml:space="preserve">Üç veri setinde yapılan revizyonlar ulusal hesapların </w:t>
      </w:r>
      <w:r w:rsidR="00A214FD">
        <w:rPr>
          <w:lang w:val="tr-TR"/>
        </w:rPr>
        <w:t xml:space="preserve">revizyonunu gerektirmiştir. </w:t>
      </w:r>
      <w:r w:rsidR="00BB0164">
        <w:rPr>
          <w:lang w:val="tr-TR"/>
        </w:rPr>
        <w:t xml:space="preserve">Dış ticaret istatistiklerinde </w:t>
      </w:r>
      <w:r w:rsidR="00D3484F">
        <w:rPr>
          <w:lang w:val="tr-TR"/>
        </w:rPr>
        <w:t>yapılan revizyonla antrepolar hesaba dahil edilmeye,</w:t>
      </w:r>
      <w:r w:rsidR="00A214FD">
        <w:rPr>
          <w:lang w:val="tr-TR"/>
        </w:rPr>
        <w:t xml:space="preserve"> </w:t>
      </w:r>
      <w:r w:rsidR="00C56562">
        <w:rPr>
          <w:lang w:val="tr-TR"/>
        </w:rPr>
        <w:t>2020 Mart ayında</w:t>
      </w:r>
      <w:r w:rsidR="0065547C">
        <w:rPr>
          <w:lang w:val="tr-TR"/>
        </w:rPr>
        <w:t xml:space="preserve"> ise </w:t>
      </w:r>
      <w:r w:rsidR="00C56562">
        <w:rPr>
          <w:lang w:val="tr-TR"/>
        </w:rPr>
        <w:t>Uluslararası Hizmet Ticareti İstatistikleri</w:t>
      </w:r>
      <w:r w:rsidR="0065547C">
        <w:rPr>
          <w:lang w:val="tr-TR"/>
        </w:rPr>
        <w:t xml:space="preserve"> yayınlanmaya başlamıştır. Bu iki </w:t>
      </w:r>
      <w:r w:rsidR="00884525">
        <w:rPr>
          <w:lang w:val="tr-TR"/>
        </w:rPr>
        <w:t xml:space="preserve">istatistik kaynağındaki değişiklikler TCMB’nin </w:t>
      </w:r>
      <w:r w:rsidR="0077093A">
        <w:rPr>
          <w:lang w:val="tr-TR"/>
        </w:rPr>
        <w:t xml:space="preserve">Ödemeler Dengesi rakamlarını güncellemesini gerektirmiştir. </w:t>
      </w:r>
      <w:r w:rsidR="00E13606">
        <w:rPr>
          <w:lang w:val="tr-TR"/>
        </w:rPr>
        <w:t>TÜİK de Ödemeler Dengesi istatistiklerin</w:t>
      </w:r>
      <w:r w:rsidR="00053DE5">
        <w:rPr>
          <w:lang w:val="tr-TR"/>
        </w:rPr>
        <w:t>e yansıtılan bu revizyonları Ulusal Hesaplar Sistemine entegre etmiş ve veri kaynakları arasındaki tutarlılığı sağlamıştır.</w:t>
      </w:r>
      <w:r w:rsidR="004A6B9C">
        <w:rPr>
          <w:lang w:val="tr-TR"/>
        </w:rPr>
        <w:t xml:space="preserve"> </w:t>
      </w:r>
      <w:r w:rsidR="00D1641E">
        <w:rPr>
          <w:lang w:val="tr-TR"/>
        </w:rPr>
        <w:t xml:space="preserve">Yapılan bu revizyon </w:t>
      </w:r>
      <w:r w:rsidR="00F147DE">
        <w:rPr>
          <w:lang w:val="tr-TR"/>
        </w:rPr>
        <w:t xml:space="preserve">üretim yöntemiyle hesaplanan GSYH hız ve seviyesinde önemli bir değişiklik yaratmazken, </w:t>
      </w:r>
      <w:r w:rsidR="005D60F4">
        <w:rPr>
          <w:lang w:val="tr-TR"/>
        </w:rPr>
        <w:t>harcama yöntemi bileşen paylarında ve hızlarında üretim yöntemine göre daha yüksek değişikl</w:t>
      </w:r>
      <w:r w:rsidR="00A60A2A">
        <w:rPr>
          <w:lang w:val="tr-TR"/>
        </w:rPr>
        <w:t>ere</w:t>
      </w:r>
      <w:r w:rsidR="00EF6717">
        <w:rPr>
          <w:lang w:val="tr-TR"/>
        </w:rPr>
        <w:t xml:space="preserve"> (ki bunlar da 1-2 yüzde puanı geçmeyen değişikliklerdir)</w:t>
      </w:r>
      <w:r w:rsidR="00A60A2A">
        <w:rPr>
          <w:lang w:val="tr-TR"/>
        </w:rPr>
        <w:t xml:space="preserve"> neden olmuştur. </w:t>
      </w:r>
      <w:r w:rsidR="004D7C94">
        <w:rPr>
          <w:lang w:val="tr-TR"/>
        </w:rPr>
        <w:t xml:space="preserve">Cari fiyatlarla GSYH ortalama 0,7 </w:t>
      </w:r>
      <w:r w:rsidR="0071467D">
        <w:rPr>
          <w:lang w:val="tr-TR"/>
        </w:rPr>
        <w:t xml:space="preserve">yüzde puan </w:t>
      </w:r>
      <w:r w:rsidR="004D7C94">
        <w:rPr>
          <w:lang w:val="tr-TR"/>
        </w:rPr>
        <w:t xml:space="preserve">revize olurken, </w:t>
      </w:r>
      <w:r w:rsidR="0071467D">
        <w:rPr>
          <w:lang w:val="tr-TR"/>
        </w:rPr>
        <w:t>reel fiyatlarla GSYH (zincirlenmiş hacim endeksi olarak)</w:t>
      </w:r>
      <w:r w:rsidR="004D7C94">
        <w:rPr>
          <w:lang w:val="tr-TR"/>
        </w:rPr>
        <w:t xml:space="preserve"> </w:t>
      </w:r>
      <w:r w:rsidR="0071467D">
        <w:rPr>
          <w:lang w:val="tr-TR"/>
        </w:rPr>
        <w:t xml:space="preserve">sadece </w:t>
      </w:r>
      <w:r w:rsidR="00810A67">
        <w:rPr>
          <w:lang w:val="tr-TR"/>
        </w:rPr>
        <w:t xml:space="preserve">0,037 </w:t>
      </w:r>
      <w:r w:rsidR="0071467D">
        <w:rPr>
          <w:lang w:val="tr-TR"/>
        </w:rPr>
        <w:t xml:space="preserve">yüzde puan </w:t>
      </w:r>
      <w:r w:rsidR="00810A67">
        <w:rPr>
          <w:lang w:val="tr-TR"/>
        </w:rPr>
        <w:t>ile sınırlı kalmıştır.</w:t>
      </w:r>
      <w:r w:rsidR="004A6B9C">
        <w:rPr>
          <w:rStyle w:val="FootnoteReference"/>
          <w:lang w:val="tr-TR"/>
        </w:rPr>
        <w:footnoteReference w:id="7"/>
      </w:r>
      <w:r w:rsidR="00EF6717">
        <w:rPr>
          <w:lang w:val="tr-TR"/>
        </w:rPr>
        <w:t xml:space="preserve"> </w:t>
      </w:r>
    </w:p>
    <w:p w14:paraId="34FB2A43" w14:textId="22910D74" w:rsidR="00AB612B" w:rsidRDefault="00AB612B" w:rsidP="00CF2EBA">
      <w:pPr>
        <w:pStyle w:val="NormalIndent"/>
        <w:ind w:firstLine="0"/>
        <w:rPr>
          <w:color w:val="FF0000"/>
          <w:lang w:val="tr-TR"/>
        </w:rPr>
      </w:pPr>
    </w:p>
    <w:p w14:paraId="4337D677" w14:textId="77777777" w:rsidR="00AB612B" w:rsidRPr="00CF2EBA" w:rsidRDefault="00AB612B" w:rsidP="00CF2EBA">
      <w:pPr>
        <w:pStyle w:val="NormalIndent"/>
        <w:ind w:firstLine="0"/>
        <w:rPr>
          <w:color w:val="FF0000"/>
          <w:lang w:val="tr-TR"/>
        </w:rPr>
      </w:pPr>
    </w:p>
    <w:p w14:paraId="74497153" w14:textId="77777777" w:rsidR="002878F2" w:rsidRDefault="002878F2" w:rsidP="004A6B9C">
      <w:pPr>
        <w:pStyle w:val="NormalIndent"/>
        <w:rPr>
          <w:lang w:val="tr-TR"/>
        </w:rPr>
      </w:pPr>
    </w:p>
    <w:p w14:paraId="0ECCC0B5" w14:textId="0D766208" w:rsidR="002878F2" w:rsidRDefault="00EF6717" w:rsidP="00FB486B">
      <w:pPr>
        <w:pStyle w:val="NormalIndent"/>
        <w:ind w:firstLine="0"/>
        <w:rPr>
          <w:b/>
          <w:i/>
          <w:lang w:val="tr-TR"/>
        </w:rPr>
      </w:pPr>
      <w:r w:rsidRPr="00EF6717">
        <w:rPr>
          <w:b/>
          <w:i/>
          <w:lang w:val="tr-TR"/>
        </w:rPr>
        <w:t xml:space="preserve">Çeyreklik </w:t>
      </w:r>
      <w:r w:rsidR="008D31FD">
        <w:rPr>
          <w:b/>
          <w:i/>
          <w:lang w:val="tr-TR"/>
        </w:rPr>
        <w:t>rakamlarda</w:t>
      </w:r>
      <w:r w:rsidRPr="00EF6717">
        <w:rPr>
          <w:b/>
          <w:i/>
          <w:lang w:val="tr-TR"/>
        </w:rPr>
        <w:t xml:space="preserve"> revizyon</w:t>
      </w:r>
    </w:p>
    <w:p w14:paraId="24470C59" w14:textId="21419FF1" w:rsidR="00EF6717" w:rsidRDefault="00EF6717" w:rsidP="004A6B9C">
      <w:pPr>
        <w:pStyle w:val="NormalIndent"/>
        <w:rPr>
          <w:b/>
          <w:i/>
          <w:lang w:val="tr-TR"/>
        </w:rPr>
      </w:pPr>
    </w:p>
    <w:p w14:paraId="58B13F60" w14:textId="313AE298" w:rsidR="0037067A" w:rsidRDefault="00EF6717" w:rsidP="00FB486B">
      <w:pPr>
        <w:pStyle w:val="NormalIndent"/>
        <w:ind w:firstLine="0"/>
        <w:rPr>
          <w:lang w:val="tr-TR"/>
        </w:rPr>
      </w:pPr>
      <w:r>
        <w:rPr>
          <w:lang w:val="tr-TR"/>
        </w:rPr>
        <w:t xml:space="preserve">2020 yılının ikinci çeyreğinde pandeminin yarattığı şok ve bir sonraki çeyrekteki baz etkisiyle hızlı toparlanış istisna </w:t>
      </w:r>
      <w:r w:rsidRPr="00B048D2">
        <w:rPr>
          <w:lang w:val="tr-TR"/>
        </w:rPr>
        <w:t xml:space="preserve">tutulursa </w:t>
      </w:r>
      <w:r w:rsidR="00594604" w:rsidRPr="00C42F4B">
        <w:rPr>
          <w:color w:val="auto"/>
          <w:lang w:val="tr-TR"/>
        </w:rPr>
        <w:t xml:space="preserve">çeyrekten çeyreğe </w:t>
      </w:r>
      <w:r w:rsidRPr="00C42F4B">
        <w:rPr>
          <w:color w:val="auto"/>
          <w:lang w:val="tr-TR"/>
        </w:rPr>
        <w:t>büyüme</w:t>
      </w:r>
      <w:r w:rsidR="00896EF7" w:rsidRPr="00C42F4B">
        <w:rPr>
          <w:color w:val="auto"/>
          <w:lang w:val="tr-TR"/>
        </w:rPr>
        <w:t xml:space="preserve"> oranları</w:t>
      </w:r>
      <w:r w:rsidRPr="00C42F4B">
        <w:rPr>
          <w:color w:val="auto"/>
          <w:lang w:val="tr-TR"/>
        </w:rPr>
        <w:t xml:space="preserve"> genel</w:t>
      </w:r>
      <w:r w:rsidR="00896EF7" w:rsidRPr="00C42F4B">
        <w:rPr>
          <w:color w:val="auto"/>
          <w:lang w:val="tr-TR"/>
        </w:rPr>
        <w:t>likle</w:t>
      </w:r>
      <w:r w:rsidRPr="00C42F4B">
        <w:rPr>
          <w:color w:val="auto"/>
          <w:lang w:val="tr-TR"/>
        </w:rPr>
        <w:t xml:space="preserve"> </w:t>
      </w:r>
      <w:r w:rsidR="00896EF7" w:rsidRPr="00C42F4B">
        <w:rPr>
          <w:color w:val="auto"/>
          <w:lang w:val="tr-TR"/>
        </w:rPr>
        <w:t xml:space="preserve">yüzde </w:t>
      </w:r>
      <w:r w:rsidRPr="00C42F4B">
        <w:rPr>
          <w:color w:val="auto"/>
          <w:lang w:val="tr-TR"/>
        </w:rPr>
        <w:t>1 il</w:t>
      </w:r>
      <w:r w:rsidR="00896EF7" w:rsidRPr="00C42F4B">
        <w:rPr>
          <w:color w:val="auto"/>
          <w:lang w:val="tr-TR"/>
        </w:rPr>
        <w:t>e yüzde</w:t>
      </w:r>
      <w:r w:rsidRPr="00C42F4B">
        <w:rPr>
          <w:color w:val="auto"/>
          <w:lang w:val="tr-TR"/>
        </w:rPr>
        <w:t xml:space="preserve"> 3 arasındadır.</w:t>
      </w:r>
      <w:r w:rsidR="00594604" w:rsidRPr="00C42F4B">
        <w:rPr>
          <w:color w:val="auto"/>
          <w:lang w:val="tr-TR"/>
        </w:rPr>
        <w:t xml:space="preserve"> </w:t>
      </w:r>
      <w:r>
        <w:rPr>
          <w:lang w:val="tr-TR"/>
        </w:rPr>
        <w:t xml:space="preserve">Fakat bu büyüme rakamlarında </w:t>
      </w:r>
      <w:r w:rsidR="0037067A">
        <w:rPr>
          <w:lang w:val="tr-TR"/>
        </w:rPr>
        <w:t>büyük ve bazen ters yönlü revizyonlar</w:t>
      </w:r>
      <w:r>
        <w:rPr>
          <w:lang w:val="tr-TR"/>
        </w:rPr>
        <w:t xml:space="preserve"> yapılabilmektedir. </w:t>
      </w:r>
      <w:r w:rsidR="0037067A">
        <w:rPr>
          <w:lang w:val="tr-TR"/>
        </w:rPr>
        <w:t>Örneğin 2020 yılının ilk çeyreğine ait mevsim ve takvim etkilerinden arındırılmış büyüme rakamının seyrine bakalım. Yüzde 0,6 olarak açıklanan bu rakam önce -0,1’e düşmüş, sonra bir artmış bir azalmış</w:t>
      </w:r>
      <w:r w:rsidR="00C42F4B">
        <w:rPr>
          <w:lang w:val="tr-TR"/>
        </w:rPr>
        <w:t xml:space="preserve"> ve</w:t>
      </w:r>
      <w:r w:rsidR="0037067A">
        <w:rPr>
          <w:lang w:val="tr-TR"/>
        </w:rPr>
        <w:t xml:space="preserve"> nihayetinde yüzde 0,8 değerine ulaşmıştır</w:t>
      </w:r>
      <w:r w:rsidR="00FA6386">
        <w:rPr>
          <w:lang w:val="tr-TR"/>
        </w:rPr>
        <w:t xml:space="preserve"> (Şekil 1)</w:t>
      </w:r>
      <w:r w:rsidR="0037067A">
        <w:rPr>
          <w:lang w:val="tr-TR"/>
        </w:rPr>
        <w:t>.</w:t>
      </w:r>
    </w:p>
    <w:p w14:paraId="7F8E368B" w14:textId="2EC6AB8B" w:rsidR="0037067A" w:rsidRDefault="0037067A" w:rsidP="004A6B9C">
      <w:pPr>
        <w:pStyle w:val="NormalIndent"/>
        <w:rPr>
          <w:lang w:val="tr-TR"/>
        </w:rPr>
      </w:pPr>
    </w:p>
    <w:p w14:paraId="16AFC1B9" w14:textId="77777777" w:rsidR="00B03076" w:rsidRDefault="00B03076" w:rsidP="004A6B9C">
      <w:pPr>
        <w:pStyle w:val="NormalIndent"/>
        <w:rPr>
          <w:lang w:val="tr-TR"/>
        </w:rPr>
      </w:pPr>
      <w:bookmarkStart w:id="0" w:name="_GoBack"/>
      <w:bookmarkEnd w:id="0"/>
    </w:p>
    <w:p w14:paraId="76ACA2E0" w14:textId="6CFA9905" w:rsidR="0037067A" w:rsidRPr="00140B5F" w:rsidRDefault="0037067A" w:rsidP="0037067A">
      <w:pPr>
        <w:pStyle w:val="NormalIndent"/>
        <w:rPr>
          <w:lang w:val="tr-TR"/>
        </w:rPr>
      </w:pPr>
      <w:r>
        <w:rPr>
          <w:lang w:val="tr-TR"/>
        </w:rPr>
        <w:lastRenderedPageBreak/>
        <w:t xml:space="preserve">Şekil 1: </w:t>
      </w:r>
      <w:r w:rsidRPr="00140B5F">
        <w:rPr>
          <w:lang w:val="tr-TR"/>
        </w:rPr>
        <w:t>2020Ç1, GSYH Büyüme Oranı, MTEA</w:t>
      </w:r>
    </w:p>
    <w:p w14:paraId="4F3C4F43" w14:textId="65CF40D3" w:rsidR="0037067A" w:rsidRDefault="0037067A" w:rsidP="00896EF7">
      <w:pPr>
        <w:pStyle w:val="NormalIndent"/>
        <w:ind w:firstLine="0"/>
        <w:rPr>
          <w:lang w:val="tr-TR"/>
        </w:rPr>
      </w:pPr>
    </w:p>
    <w:p w14:paraId="53F6A5B5" w14:textId="66B29140" w:rsidR="0037067A" w:rsidRDefault="0037067A" w:rsidP="004A6B9C">
      <w:pPr>
        <w:pStyle w:val="NormalIndent"/>
        <w:rPr>
          <w:lang w:val="tr-TR"/>
        </w:rPr>
      </w:pPr>
      <w:r>
        <w:rPr>
          <w:noProof/>
          <w:lang w:val="en-GB" w:eastAsia="en-GB"/>
          <w14:ligatures w14:val="none"/>
          <w14:numForm w14:val="default"/>
          <w14:numSpacing w14:val="default"/>
        </w:rPr>
        <w:drawing>
          <wp:anchor distT="0" distB="0" distL="114300" distR="114300" simplePos="0" relativeHeight="251657728" behindDoc="1" locked="0" layoutInCell="1" allowOverlap="1" wp14:anchorId="65CFC157" wp14:editId="3871D98A">
            <wp:simplePos x="0" y="0"/>
            <wp:positionH relativeFrom="margin">
              <wp:posOffset>230588</wp:posOffset>
            </wp:positionH>
            <wp:positionV relativeFrom="paragraph">
              <wp:posOffset>-1574</wp:posOffset>
            </wp:positionV>
            <wp:extent cx="457200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B420AEA" w14:textId="1E47069C" w:rsidR="0037067A" w:rsidRDefault="0037067A" w:rsidP="004A6B9C">
      <w:pPr>
        <w:pStyle w:val="NormalIndent"/>
        <w:rPr>
          <w:lang w:val="tr-TR"/>
        </w:rPr>
      </w:pPr>
    </w:p>
    <w:p w14:paraId="2193CBCC" w14:textId="011AD5AC" w:rsidR="0037067A" w:rsidRDefault="0037067A" w:rsidP="004A6B9C">
      <w:pPr>
        <w:pStyle w:val="NormalIndent"/>
        <w:rPr>
          <w:lang w:val="tr-TR"/>
        </w:rPr>
      </w:pPr>
    </w:p>
    <w:p w14:paraId="585599E2" w14:textId="77777777" w:rsidR="0037067A" w:rsidRDefault="0037067A" w:rsidP="004A6B9C">
      <w:pPr>
        <w:pStyle w:val="NormalIndent"/>
        <w:rPr>
          <w:lang w:val="tr-TR"/>
        </w:rPr>
      </w:pPr>
    </w:p>
    <w:p w14:paraId="1F973E8D" w14:textId="4C516ECC" w:rsidR="0037067A" w:rsidRDefault="0037067A" w:rsidP="004A6B9C">
      <w:pPr>
        <w:pStyle w:val="NormalIndent"/>
        <w:rPr>
          <w:lang w:val="tr-TR"/>
        </w:rPr>
      </w:pPr>
    </w:p>
    <w:p w14:paraId="3715B82E" w14:textId="77777777" w:rsidR="0037067A" w:rsidRDefault="0037067A" w:rsidP="004A6B9C">
      <w:pPr>
        <w:pStyle w:val="NormalIndent"/>
        <w:rPr>
          <w:lang w:val="tr-TR"/>
        </w:rPr>
      </w:pPr>
    </w:p>
    <w:p w14:paraId="6E50C8F2" w14:textId="77777777" w:rsidR="0037067A" w:rsidRDefault="0037067A" w:rsidP="004A6B9C">
      <w:pPr>
        <w:pStyle w:val="NormalIndent"/>
        <w:rPr>
          <w:lang w:val="tr-TR"/>
        </w:rPr>
      </w:pPr>
    </w:p>
    <w:p w14:paraId="44F60EB7" w14:textId="01FA9DBA" w:rsidR="0037067A" w:rsidRDefault="0037067A" w:rsidP="004A6B9C">
      <w:pPr>
        <w:pStyle w:val="NormalIndent"/>
        <w:rPr>
          <w:lang w:val="tr-TR"/>
        </w:rPr>
      </w:pPr>
    </w:p>
    <w:p w14:paraId="4D472478" w14:textId="77777777" w:rsidR="0037067A" w:rsidRDefault="0037067A" w:rsidP="004A6B9C">
      <w:pPr>
        <w:pStyle w:val="NormalIndent"/>
        <w:rPr>
          <w:lang w:val="tr-TR"/>
        </w:rPr>
      </w:pPr>
    </w:p>
    <w:p w14:paraId="16A06189" w14:textId="77777777" w:rsidR="0037067A" w:rsidRDefault="0037067A" w:rsidP="004A6B9C">
      <w:pPr>
        <w:pStyle w:val="NormalIndent"/>
        <w:rPr>
          <w:lang w:val="tr-TR"/>
        </w:rPr>
      </w:pPr>
    </w:p>
    <w:p w14:paraId="6FE6D562" w14:textId="77777777" w:rsidR="0037067A" w:rsidRDefault="0037067A" w:rsidP="004A6B9C">
      <w:pPr>
        <w:pStyle w:val="NormalIndent"/>
        <w:rPr>
          <w:lang w:val="tr-TR"/>
        </w:rPr>
      </w:pPr>
    </w:p>
    <w:p w14:paraId="40EC5504" w14:textId="77777777" w:rsidR="0037067A" w:rsidRDefault="0037067A" w:rsidP="004A6B9C">
      <w:pPr>
        <w:pStyle w:val="NormalIndent"/>
        <w:rPr>
          <w:lang w:val="tr-TR"/>
        </w:rPr>
      </w:pPr>
    </w:p>
    <w:p w14:paraId="4E2E697A" w14:textId="77777777" w:rsidR="0037067A" w:rsidRDefault="0037067A" w:rsidP="004A6B9C">
      <w:pPr>
        <w:pStyle w:val="NormalIndent"/>
        <w:rPr>
          <w:lang w:val="tr-TR"/>
        </w:rPr>
      </w:pPr>
    </w:p>
    <w:p w14:paraId="46C76AF3" w14:textId="539BF48F" w:rsidR="00EF6717" w:rsidRDefault="008D31FD" w:rsidP="000C037A">
      <w:pPr>
        <w:pStyle w:val="NormalIndent"/>
        <w:ind w:firstLine="0"/>
        <w:rPr>
          <w:lang w:val="tr-TR"/>
        </w:rPr>
      </w:pPr>
      <w:r>
        <w:rPr>
          <w:lang w:val="tr-TR"/>
        </w:rPr>
        <w:t>Alt kalemlerde ise durum daha da vahimdir: büyüme raka</w:t>
      </w:r>
      <w:r w:rsidR="0037067A">
        <w:rPr>
          <w:lang w:val="tr-TR"/>
        </w:rPr>
        <w:t>mı</w:t>
      </w:r>
      <w:r>
        <w:rPr>
          <w:lang w:val="tr-TR"/>
        </w:rPr>
        <w:t>nın mutlak değerinden daha büyük revizyonlar</w:t>
      </w:r>
      <w:r w:rsidR="00896EF7">
        <w:rPr>
          <w:lang w:val="tr-TR"/>
        </w:rPr>
        <w:t xml:space="preserve"> olduğu görülmektedir</w:t>
      </w:r>
      <w:r>
        <w:rPr>
          <w:lang w:val="tr-TR"/>
        </w:rPr>
        <w:t xml:space="preserve">. Örneğin girişte belirttiğimiz gibi 2022 1. çeyrekte yüzde 2,8 azaldığı açıklanan hanehalkı tüketimi tam 4,4 yüzde puan yukarı revize edilmiştir. 2020 yılının 1. çeyreğinde 2,9 arttığı belirtilen hanehalkı tüketimi takip eden çeyrekte 4,9 yüzde puan aşağı revize edilmiştir. İşin garibi ilgili rakam (yani 2020 yılının 1. çeyreğine ait hanehalkı tüketim harcaması değişimi) tam 5 çeyrek sonra 1,7 yüzde puan revizyona uğramıştır. Son açıklanan büyüme istatistiklerinde ise aynı rakam için tekrar 1,5 yüzde puanlık bir revizyon yapılmıştır. Sonuçta ilk bülten 2,9 olarak açıklanan rakam takip eden çeyreklerde -2,0 ile 1,6 arasında değişip durmuştur (Şekil </w:t>
      </w:r>
      <w:r w:rsidR="0037067A">
        <w:rPr>
          <w:lang w:val="tr-TR"/>
        </w:rPr>
        <w:t>2</w:t>
      </w:r>
      <w:r w:rsidR="00896EF7">
        <w:rPr>
          <w:lang w:val="tr-TR"/>
        </w:rPr>
        <w:t>).</w:t>
      </w:r>
      <w:r>
        <w:rPr>
          <w:lang w:val="tr-TR"/>
        </w:rPr>
        <w:t xml:space="preserve">   </w:t>
      </w:r>
    </w:p>
    <w:p w14:paraId="04769379" w14:textId="4577A202" w:rsidR="00615FC3" w:rsidRDefault="00615FC3" w:rsidP="00615FC3">
      <w:pPr>
        <w:pStyle w:val="NormalIndent"/>
        <w:tabs>
          <w:tab w:val="left" w:pos="3719"/>
        </w:tabs>
        <w:rPr>
          <w:b/>
          <w:i/>
          <w:lang w:val="tr-TR"/>
        </w:rPr>
      </w:pPr>
    </w:p>
    <w:p w14:paraId="2A818DE8" w14:textId="18F16941" w:rsidR="00615FC3" w:rsidRPr="00140B5F" w:rsidRDefault="00615FC3" w:rsidP="00615FC3">
      <w:pPr>
        <w:pStyle w:val="NormalIndent"/>
        <w:tabs>
          <w:tab w:val="left" w:pos="3719"/>
        </w:tabs>
        <w:rPr>
          <w:lang w:val="tr-TR"/>
        </w:rPr>
      </w:pPr>
      <w:r>
        <w:rPr>
          <w:lang w:val="tr-TR"/>
        </w:rPr>
        <w:t xml:space="preserve">Şekil </w:t>
      </w:r>
      <w:r w:rsidR="0037067A">
        <w:rPr>
          <w:lang w:val="tr-TR"/>
        </w:rPr>
        <w:t>2</w:t>
      </w:r>
      <w:r>
        <w:rPr>
          <w:lang w:val="tr-TR"/>
        </w:rPr>
        <w:t xml:space="preserve">: </w:t>
      </w:r>
      <w:r w:rsidRPr="00140B5F">
        <w:rPr>
          <w:lang w:val="tr-TR"/>
        </w:rPr>
        <w:t>2020Ç1, HH Tüketimi Büyüme Oranı, MTEA</w:t>
      </w:r>
    </w:p>
    <w:p w14:paraId="0FEF6AB8" w14:textId="5F3F855E" w:rsidR="008D31FD" w:rsidRDefault="0037067A" w:rsidP="00615FC3">
      <w:pPr>
        <w:pStyle w:val="NormalIndent"/>
        <w:tabs>
          <w:tab w:val="left" w:pos="3719"/>
        </w:tabs>
        <w:rPr>
          <w:b/>
          <w:i/>
          <w:lang w:val="tr-TR"/>
        </w:rPr>
      </w:pPr>
      <w:r>
        <w:rPr>
          <w:noProof/>
          <w:lang w:val="en-GB" w:eastAsia="en-GB"/>
          <w14:ligatures w14:val="none"/>
          <w14:numForm w14:val="default"/>
          <w14:numSpacing w14:val="default"/>
        </w:rPr>
        <w:drawing>
          <wp:anchor distT="0" distB="0" distL="114300" distR="114300" simplePos="0" relativeHeight="251651584" behindDoc="1" locked="0" layoutInCell="1" allowOverlap="1" wp14:anchorId="6B559FC5" wp14:editId="02B351D0">
            <wp:simplePos x="0" y="0"/>
            <wp:positionH relativeFrom="column">
              <wp:posOffset>221339</wp:posOffset>
            </wp:positionH>
            <wp:positionV relativeFrom="paragraph">
              <wp:posOffset>72252</wp:posOffset>
            </wp:positionV>
            <wp:extent cx="4572000" cy="2631440"/>
            <wp:effectExtent l="0" t="0" r="0" b="1651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615FC3">
        <w:rPr>
          <w:b/>
          <w:i/>
          <w:lang w:val="tr-TR"/>
        </w:rPr>
        <w:tab/>
      </w:r>
    </w:p>
    <w:p w14:paraId="4C46CFE0" w14:textId="6E0209D1" w:rsidR="008D31FD" w:rsidRDefault="008D31FD" w:rsidP="004A6B9C">
      <w:pPr>
        <w:pStyle w:val="NormalIndent"/>
        <w:rPr>
          <w:b/>
          <w:i/>
          <w:lang w:val="tr-TR"/>
        </w:rPr>
      </w:pPr>
    </w:p>
    <w:p w14:paraId="7BFFE179" w14:textId="1F812D24" w:rsidR="008D31FD" w:rsidRDefault="008D31FD" w:rsidP="004A6B9C">
      <w:pPr>
        <w:pStyle w:val="NormalIndent"/>
        <w:rPr>
          <w:b/>
          <w:i/>
          <w:lang w:val="tr-TR"/>
        </w:rPr>
      </w:pPr>
    </w:p>
    <w:p w14:paraId="39C62A62" w14:textId="37779483" w:rsidR="008D31FD" w:rsidRDefault="008D31FD" w:rsidP="004A6B9C">
      <w:pPr>
        <w:pStyle w:val="NormalIndent"/>
        <w:rPr>
          <w:b/>
          <w:i/>
          <w:lang w:val="tr-TR"/>
        </w:rPr>
      </w:pPr>
    </w:p>
    <w:p w14:paraId="07250139" w14:textId="48F67511" w:rsidR="008D31FD" w:rsidRDefault="008D31FD" w:rsidP="004A6B9C">
      <w:pPr>
        <w:pStyle w:val="NormalIndent"/>
        <w:rPr>
          <w:b/>
          <w:i/>
          <w:lang w:val="tr-TR"/>
        </w:rPr>
      </w:pPr>
    </w:p>
    <w:p w14:paraId="44B36F49" w14:textId="77777777" w:rsidR="008D31FD" w:rsidRDefault="008D31FD" w:rsidP="004A6B9C">
      <w:pPr>
        <w:pStyle w:val="NormalIndent"/>
        <w:rPr>
          <w:b/>
          <w:i/>
          <w:lang w:val="tr-TR"/>
        </w:rPr>
      </w:pPr>
    </w:p>
    <w:p w14:paraId="344422FF" w14:textId="77777777" w:rsidR="008D31FD" w:rsidRDefault="008D31FD" w:rsidP="004A6B9C">
      <w:pPr>
        <w:pStyle w:val="NormalIndent"/>
        <w:rPr>
          <w:b/>
          <w:i/>
          <w:lang w:val="tr-TR"/>
        </w:rPr>
      </w:pPr>
    </w:p>
    <w:p w14:paraId="41A54A08" w14:textId="77777777" w:rsidR="008D31FD" w:rsidRDefault="008D31FD" w:rsidP="004A6B9C">
      <w:pPr>
        <w:pStyle w:val="NormalIndent"/>
        <w:rPr>
          <w:b/>
          <w:i/>
          <w:lang w:val="tr-TR"/>
        </w:rPr>
      </w:pPr>
    </w:p>
    <w:p w14:paraId="4EC817CC" w14:textId="4059C008" w:rsidR="008D31FD" w:rsidRDefault="008D31FD" w:rsidP="004A6B9C">
      <w:pPr>
        <w:pStyle w:val="NormalIndent"/>
        <w:rPr>
          <w:b/>
          <w:i/>
          <w:lang w:val="tr-TR"/>
        </w:rPr>
      </w:pPr>
    </w:p>
    <w:p w14:paraId="2ABA1542" w14:textId="0CFBE919" w:rsidR="008D31FD" w:rsidRDefault="008D31FD" w:rsidP="004A6B9C">
      <w:pPr>
        <w:pStyle w:val="NormalIndent"/>
        <w:rPr>
          <w:b/>
          <w:i/>
          <w:lang w:val="tr-TR"/>
        </w:rPr>
      </w:pPr>
    </w:p>
    <w:p w14:paraId="3AE21F35" w14:textId="77777777" w:rsidR="00FA6386" w:rsidRDefault="00FA6386" w:rsidP="00594604">
      <w:pPr>
        <w:pStyle w:val="NormalIndent"/>
        <w:ind w:firstLine="0"/>
        <w:rPr>
          <w:lang w:val="tr-TR"/>
        </w:rPr>
      </w:pPr>
    </w:p>
    <w:p w14:paraId="552AA085" w14:textId="77777777" w:rsidR="00FA6386" w:rsidRDefault="00FA6386" w:rsidP="00594604">
      <w:pPr>
        <w:pStyle w:val="NormalIndent"/>
        <w:ind w:firstLine="0"/>
        <w:rPr>
          <w:lang w:val="tr-TR"/>
        </w:rPr>
      </w:pPr>
    </w:p>
    <w:p w14:paraId="478CD221" w14:textId="0FD40E05" w:rsidR="008D31FD" w:rsidRDefault="00615FC3" w:rsidP="00594604">
      <w:pPr>
        <w:pStyle w:val="NormalIndent"/>
        <w:ind w:firstLine="0"/>
        <w:rPr>
          <w:lang w:val="tr-TR"/>
        </w:rPr>
      </w:pPr>
      <w:r>
        <w:rPr>
          <w:lang w:val="tr-TR"/>
        </w:rPr>
        <w:lastRenderedPageBreak/>
        <w:t xml:space="preserve">2021 yılının birinci çeyreğine ait hanehalkı tüketim büyümesi de benzer bir seyir izlemiştir. İlgili rakamın son değeri ilk açıklandığı değerden tam 3 yüzde puan yukarıdadır (Şekil </w:t>
      </w:r>
      <w:r w:rsidR="0037067A">
        <w:rPr>
          <w:lang w:val="tr-TR"/>
        </w:rPr>
        <w:t>3</w:t>
      </w:r>
      <w:r>
        <w:rPr>
          <w:lang w:val="tr-TR"/>
        </w:rPr>
        <w:t>).</w:t>
      </w:r>
    </w:p>
    <w:p w14:paraId="190090A8" w14:textId="2B8FA33E" w:rsidR="00615FC3" w:rsidRDefault="00615FC3" w:rsidP="004A6B9C">
      <w:pPr>
        <w:pStyle w:val="NormalIndent"/>
        <w:rPr>
          <w:lang w:val="tr-TR"/>
        </w:rPr>
      </w:pPr>
    </w:p>
    <w:p w14:paraId="195015D6" w14:textId="503872D9" w:rsidR="00615FC3" w:rsidRPr="00140B5F" w:rsidRDefault="00615FC3" w:rsidP="00615FC3">
      <w:pPr>
        <w:pStyle w:val="NormalIndent"/>
        <w:rPr>
          <w:lang w:val="tr-TR"/>
        </w:rPr>
      </w:pPr>
      <w:r>
        <w:rPr>
          <w:lang w:val="tr-TR"/>
        </w:rPr>
        <w:t xml:space="preserve">Şekil </w:t>
      </w:r>
      <w:r w:rsidR="0037067A">
        <w:rPr>
          <w:lang w:val="tr-TR"/>
        </w:rPr>
        <w:t>3</w:t>
      </w:r>
      <w:r>
        <w:rPr>
          <w:lang w:val="tr-TR"/>
        </w:rPr>
        <w:t xml:space="preserve">: </w:t>
      </w:r>
      <w:r w:rsidRPr="00140B5F">
        <w:rPr>
          <w:lang w:val="tr-TR"/>
        </w:rPr>
        <w:t>2021Ç1, HH Tüketimi Büyüme Oranı, MTEA</w:t>
      </w:r>
    </w:p>
    <w:p w14:paraId="2B2657F8" w14:textId="2C3EE7EC" w:rsidR="00615FC3" w:rsidRDefault="0037067A" w:rsidP="004A6B9C">
      <w:pPr>
        <w:pStyle w:val="NormalIndent"/>
        <w:rPr>
          <w:b/>
          <w:i/>
          <w:lang w:val="tr-TR"/>
        </w:rPr>
      </w:pPr>
      <w:r>
        <w:rPr>
          <w:noProof/>
          <w:lang w:val="en-GB" w:eastAsia="en-GB"/>
          <w14:ligatures w14:val="none"/>
          <w14:numForm w14:val="default"/>
          <w14:numSpacing w14:val="default"/>
        </w:rPr>
        <w:drawing>
          <wp:anchor distT="0" distB="0" distL="114300" distR="114300" simplePos="0" relativeHeight="251652608" behindDoc="1" locked="0" layoutInCell="1" allowOverlap="1" wp14:anchorId="4128980C" wp14:editId="34564166">
            <wp:simplePos x="0" y="0"/>
            <wp:positionH relativeFrom="column">
              <wp:posOffset>245193</wp:posOffset>
            </wp:positionH>
            <wp:positionV relativeFrom="paragraph">
              <wp:posOffset>68276</wp:posOffset>
            </wp:positionV>
            <wp:extent cx="4572000" cy="2671445"/>
            <wp:effectExtent l="0" t="0" r="0" b="1460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1B3C7F48" w14:textId="44BB3222" w:rsidR="00615FC3" w:rsidRDefault="00615FC3" w:rsidP="004A6B9C">
      <w:pPr>
        <w:pStyle w:val="NormalIndent"/>
        <w:rPr>
          <w:b/>
          <w:i/>
          <w:lang w:val="tr-TR"/>
        </w:rPr>
      </w:pPr>
    </w:p>
    <w:p w14:paraId="3A4D2C32" w14:textId="3058CC34" w:rsidR="00615FC3" w:rsidRDefault="00615FC3" w:rsidP="004A6B9C">
      <w:pPr>
        <w:pStyle w:val="NormalIndent"/>
        <w:rPr>
          <w:b/>
          <w:i/>
          <w:lang w:val="tr-TR"/>
        </w:rPr>
      </w:pPr>
    </w:p>
    <w:p w14:paraId="1D338F20" w14:textId="2EA23235" w:rsidR="00615FC3" w:rsidRDefault="00615FC3" w:rsidP="004A6B9C">
      <w:pPr>
        <w:pStyle w:val="NormalIndent"/>
        <w:rPr>
          <w:b/>
          <w:i/>
          <w:lang w:val="tr-TR"/>
        </w:rPr>
      </w:pPr>
    </w:p>
    <w:p w14:paraId="1F6CEB81" w14:textId="74670832" w:rsidR="00615FC3" w:rsidRDefault="00615FC3" w:rsidP="004A6B9C">
      <w:pPr>
        <w:pStyle w:val="NormalIndent"/>
        <w:rPr>
          <w:b/>
          <w:i/>
          <w:lang w:val="tr-TR"/>
        </w:rPr>
      </w:pPr>
    </w:p>
    <w:p w14:paraId="2FB263D2" w14:textId="63A1B694" w:rsidR="00615FC3" w:rsidRDefault="00615FC3" w:rsidP="004A6B9C">
      <w:pPr>
        <w:pStyle w:val="NormalIndent"/>
        <w:rPr>
          <w:b/>
          <w:i/>
          <w:lang w:val="tr-TR"/>
        </w:rPr>
      </w:pPr>
    </w:p>
    <w:p w14:paraId="4DE62514" w14:textId="1CF6343E" w:rsidR="00615FC3" w:rsidRDefault="00615FC3" w:rsidP="004A6B9C">
      <w:pPr>
        <w:pStyle w:val="NormalIndent"/>
        <w:rPr>
          <w:b/>
          <w:i/>
          <w:lang w:val="tr-TR"/>
        </w:rPr>
      </w:pPr>
    </w:p>
    <w:p w14:paraId="6416CD31" w14:textId="23969ED4" w:rsidR="00615FC3" w:rsidRDefault="00615FC3" w:rsidP="004A6B9C">
      <w:pPr>
        <w:pStyle w:val="NormalIndent"/>
        <w:rPr>
          <w:b/>
          <w:i/>
          <w:lang w:val="tr-TR"/>
        </w:rPr>
      </w:pPr>
    </w:p>
    <w:p w14:paraId="6457DEB7" w14:textId="49EA1939" w:rsidR="00615FC3" w:rsidRDefault="00615FC3" w:rsidP="004A6B9C">
      <w:pPr>
        <w:pStyle w:val="NormalIndent"/>
        <w:rPr>
          <w:b/>
          <w:i/>
          <w:lang w:val="tr-TR"/>
        </w:rPr>
      </w:pPr>
    </w:p>
    <w:p w14:paraId="4DE26303" w14:textId="07B765A1" w:rsidR="00615FC3" w:rsidRDefault="00615FC3" w:rsidP="004A6B9C">
      <w:pPr>
        <w:pStyle w:val="NormalIndent"/>
        <w:rPr>
          <w:b/>
          <w:i/>
          <w:lang w:val="tr-TR"/>
        </w:rPr>
      </w:pPr>
    </w:p>
    <w:p w14:paraId="21C27F6C" w14:textId="21691A99" w:rsidR="00615FC3" w:rsidRDefault="00615FC3" w:rsidP="004A6B9C">
      <w:pPr>
        <w:pStyle w:val="NormalIndent"/>
        <w:rPr>
          <w:b/>
          <w:i/>
          <w:lang w:val="tr-TR"/>
        </w:rPr>
      </w:pPr>
    </w:p>
    <w:p w14:paraId="582E28F0" w14:textId="1C1F5877" w:rsidR="00615FC3" w:rsidRDefault="00615FC3" w:rsidP="004A6B9C">
      <w:pPr>
        <w:pStyle w:val="NormalIndent"/>
        <w:rPr>
          <w:b/>
          <w:i/>
          <w:lang w:val="tr-TR"/>
        </w:rPr>
      </w:pPr>
    </w:p>
    <w:p w14:paraId="6CA73601" w14:textId="77777777" w:rsidR="0037067A" w:rsidRDefault="0037067A" w:rsidP="004A6B9C">
      <w:pPr>
        <w:pStyle w:val="NormalIndent"/>
        <w:rPr>
          <w:lang w:val="tr-TR"/>
        </w:rPr>
      </w:pPr>
    </w:p>
    <w:p w14:paraId="57689E6B" w14:textId="3F4F251A" w:rsidR="00615FC3" w:rsidRDefault="00615FC3" w:rsidP="000C037A">
      <w:pPr>
        <w:pStyle w:val="NormalIndent"/>
        <w:ind w:firstLine="0"/>
        <w:rPr>
          <w:lang w:val="tr-TR"/>
        </w:rPr>
      </w:pPr>
      <w:r>
        <w:rPr>
          <w:lang w:val="tr-TR"/>
        </w:rPr>
        <w:t xml:space="preserve">Sadece hanehalkı tüketim rakamlarında değil diğer alt kalemlerde de büyük revizyonlar vardır. Örneğin 2020 yılının 1. çeyreğine ait ihracat büyüme oranı ilginç bir seyir izlemiştir. -2,3 ile yolculuğuna başlayan değer -7,6’ya indikten sonra yönünü yukarı çevirmiş ve nihayet geçtiğimiz çeyrekte pozitif değere ulaşmıştır (Şekil </w:t>
      </w:r>
      <w:r w:rsidR="0037067A">
        <w:rPr>
          <w:lang w:val="tr-TR"/>
        </w:rPr>
        <w:t>4</w:t>
      </w:r>
      <w:r>
        <w:rPr>
          <w:lang w:val="tr-TR"/>
        </w:rPr>
        <w:t>).</w:t>
      </w:r>
    </w:p>
    <w:p w14:paraId="01ADB155" w14:textId="77777777" w:rsidR="00615FC3" w:rsidRDefault="00615FC3" w:rsidP="004A6B9C">
      <w:pPr>
        <w:pStyle w:val="NormalIndent"/>
        <w:rPr>
          <w:lang w:val="tr-TR"/>
        </w:rPr>
      </w:pPr>
    </w:p>
    <w:p w14:paraId="04879DB8" w14:textId="6DD7973B" w:rsidR="00615FC3" w:rsidRPr="00140B5F" w:rsidRDefault="00615FC3" w:rsidP="00615FC3">
      <w:pPr>
        <w:pStyle w:val="NormalIndent"/>
        <w:rPr>
          <w:lang w:val="tr-TR"/>
        </w:rPr>
      </w:pPr>
      <w:r>
        <w:rPr>
          <w:lang w:val="tr-TR"/>
        </w:rPr>
        <w:t xml:space="preserve">Şekil </w:t>
      </w:r>
      <w:r w:rsidR="0037067A">
        <w:rPr>
          <w:lang w:val="tr-TR"/>
        </w:rPr>
        <w:t>4</w:t>
      </w:r>
      <w:r>
        <w:rPr>
          <w:lang w:val="tr-TR"/>
        </w:rPr>
        <w:t xml:space="preserve">: </w:t>
      </w:r>
      <w:r w:rsidRPr="00140B5F">
        <w:rPr>
          <w:lang w:val="tr-TR"/>
        </w:rPr>
        <w:t xml:space="preserve">2020Ç1, İhracat Büyüme Oranı, MTEA </w:t>
      </w:r>
    </w:p>
    <w:p w14:paraId="55CADF55" w14:textId="27BAAEE3" w:rsidR="00615FC3" w:rsidRDefault="00615FC3" w:rsidP="004A6B9C">
      <w:pPr>
        <w:pStyle w:val="NormalIndent"/>
        <w:rPr>
          <w:b/>
          <w:i/>
          <w:lang w:val="tr-TR"/>
        </w:rPr>
      </w:pPr>
      <w:r>
        <w:rPr>
          <w:noProof/>
          <w:lang w:val="en-GB" w:eastAsia="en-GB"/>
          <w14:ligatures w14:val="none"/>
          <w14:numForm w14:val="default"/>
          <w14:numSpacing w14:val="default"/>
        </w:rPr>
        <w:drawing>
          <wp:anchor distT="0" distB="0" distL="114300" distR="114300" simplePos="0" relativeHeight="251655680" behindDoc="1" locked="0" layoutInCell="1" allowOverlap="1" wp14:anchorId="3F2453DF" wp14:editId="6C17BFAB">
            <wp:simplePos x="0" y="0"/>
            <wp:positionH relativeFrom="column">
              <wp:posOffset>221283</wp:posOffset>
            </wp:positionH>
            <wp:positionV relativeFrom="paragraph">
              <wp:posOffset>96603</wp:posOffset>
            </wp:positionV>
            <wp:extent cx="4595532" cy="2743200"/>
            <wp:effectExtent l="0" t="0" r="14605"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442EF8FF" w14:textId="7F78C1D9" w:rsidR="00615FC3" w:rsidRDefault="00615FC3" w:rsidP="004A6B9C">
      <w:pPr>
        <w:pStyle w:val="NormalIndent"/>
        <w:rPr>
          <w:b/>
          <w:i/>
          <w:lang w:val="tr-TR"/>
        </w:rPr>
      </w:pPr>
    </w:p>
    <w:p w14:paraId="56B195F9" w14:textId="047BD172" w:rsidR="00615FC3" w:rsidRDefault="00615FC3" w:rsidP="004A6B9C">
      <w:pPr>
        <w:pStyle w:val="NormalIndent"/>
        <w:rPr>
          <w:b/>
          <w:i/>
          <w:lang w:val="tr-TR"/>
        </w:rPr>
      </w:pPr>
    </w:p>
    <w:p w14:paraId="1D1EAE1A" w14:textId="7BCA9ACF" w:rsidR="00615FC3" w:rsidRDefault="00615FC3" w:rsidP="004A6B9C">
      <w:pPr>
        <w:pStyle w:val="NormalIndent"/>
        <w:rPr>
          <w:b/>
          <w:i/>
          <w:lang w:val="tr-TR"/>
        </w:rPr>
      </w:pPr>
    </w:p>
    <w:p w14:paraId="26A1FB73" w14:textId="2E3297D4" w:rsidR="00615FC3" w:rsidRDefault="00615FC3" w:rsidP="004A6B9C">
      <w:pPr>
        <w:pStyle w:val="NormalIndent"/>
        <w:rPr>
          <w:b/>
          <w:i/>
          <w:lang w:val="tr-TR"/>
        </w:rPr>
      </w:pPr>
    </w:p>
    <w:p w14:paraId="65F76C4A" w14:textId="3E814AAF" w:rsidR="00615FC3" w:rsidRDefault="00615FC3" w:rsidP="004A6B9C">
      <w:pPr>
        <w:pStyle w:val="NormalIndent"/>
        <w:rPr>
          <w:b/>
          <w:i/>
          <w:lang w:val="tr-TR"/>
        </w:rPr>
      </w:pPr>
    </w:p>
    <w:p w14:paraId="011B02C1" w14:textId="5706831E" w:rsidR="00615FC3" w:rsidRDefault="00615FC3" w:rsidP="004A6B9C">
      <w:pPr>
        <w:pStyle w:val="NormalIndent"/>
        <w:rPr>
          <w:b/>
          <w:i/>
          <w:lang w:val="tr-TR"/>
        </w:rPr>
      </w:pPr>
    </w:p>
    <w:p w14:paraId="2FE0EE2A" w14:textId="5FBB4CF2" w:rsidR="00615FC3" w:rsidRDefault="00615FC3" w:rsidP="004A6B9C">
      <w:pPr>
        <w:pStyle w:val="NormalIndent"/>
        <w:rPr>
          <w:b/>
          <w:i/>
          <w:lang w:val="tr-TR"/>
        </w:rPr>
      </w:pPr>
    </w:p>
    <w:p w14:paraId="2F83B6C2" w14:textId="77329E4F" w:rsidR="00615FC3" w:rsidRDefault="00615FC3" w:rsidP="004A6B9C">
      <w:pPr>
        <w:pStyle w:val="NormalIndent"/>
        <w:rPr>
          <w:b/>
          <w:i/>
          <w:lang w:val="tr-TR"/>
        </w:rPr>
      </w:pPr>
    </w:p>
    <w:p w14:paraId="6BF0461E" w14:textId="0B768930" w:rsidR="00615FC3" w:rsidRDefault="00615FC3" w:rsidP="004A6B9C">
      <w:pPr>
        <w:pStyle w:val="NormalIndent"/>
        <w:rPr>
          <w:b/>
          <w:i/>
          <w:lang w:val="tr-TR"/>
        </w:rPr>
      </w:pPr>
    </w:p>
    <w:p w14:paraId="5D79AB30" w14:textId="759C8C0B" w:rsidR="00615FC3" w:rsidRDefault="00615FC3" w:rsidP="004A6B9C">
      <w:pPr>
        <w:pStyle w:val="NormalIndent"/>
        <w:rPr>
          <w:b/>
          <w:i/>
          <w:lang w:val="tr-TR"/>
        </w:rPr>
      </w:pPr>
    </w:p>
    <w:p w14:paraId="11B582CD" w14:textId="260CB4A0" w:rsidR="00615FC3" w:rsidRDefault="00615FC3" w:rsidP="004A6B9C">
      <w:pPr>
        <w:pStyle w:val="NormalIndent"/>
        <w:rPr>
          <w:b/>
          <w:i/>
          <w:lang w:val="tr-TR"/>
        </w:rPr>
      </w:pPr>
    </w:p>
    <w:p w14:paraId="56CF6E6F" w14:textId="77777777" w:rsidR="00A84617" w:rsidRDefault="00A84617" w:rsidP="004A6B9C">
      <w:pPr>
        <w:pStyle w:val="NormalIndent"/>
        <w:rPr>
          <w:lang w:val="tr-TR"/>
        </w:rPr>
      </w:pPr>
    </w:p>
    <w:p w14:paraId="4F87FE00" w14:textId="13C85E13" w:rsidR="005F0026" w:rsidRDefault="00615FC3" w:rsidP="009111A4">
      <w:pPr>
        <w:pStyle w:val="NormalIndent"/>
        <w:ind w:firstLine="0"/>
        <w:rPr>
          <w:lang w:val="tr-TR"/>
        </w:rPr>
      </w:pPr>
      <w:r w:rsidRPr="00C61CC6">
        <w:rPr>
          <w:lang w:val="tr-TR"/>
        </w:rPr>
        <w:lastRenderedPageBreak/>
        <w:t xml:space="preserve">Bu </w:t>
      </w:r>
      <w:r w:rsidR="00594604" w:rsidRPr="00C61CC6">
        <w:rPr>
          <w:lang w:val="tr-TR"/>
        </w:rPr>
        <w:t xml:space="preserve">çarpıcı revizyon </w:t>
      </w:r>
      <w:r w:rsidRPr="00C61CC6">
        <w:rPr>
          <w:lang w:val="tr-TR"/>
        </w:rPr>
        <w:t>örnekleri</w:t>
      </w:r>
      <w:r w:rsidR="00594604" w:rsidRPr="00C61CC6">
        <w:rPr>
          <w:lang w:val="tr-TR"/>
        </w:rPr>
        <w:t xml:space="preserve">ni burada tek </w:t>
      </w:r>
      <w:r w:rsidR="00B11124" w:rsidRPr="00C61CC6">
        <w:rPr>
          <w:lang w:val="tr-TR"/>
        </w:rPr>
        <w:t xml:space="preserve">tek </w:t>
      </w:r>
      <w:r w:rsidR="00594604" w:rsidRPr="00C61CC6">
        <w:rPr>
          <w:lang w:val="tr-TR"/>
        </w:rPr>
        <w:t>aktarmak</w:t>
      </w:r>
      <w:r w:rsidRPr="00C61CC6">
        <w:rPr>
          <w:lang w:val="tr-TR"/>
        </w:rPr>
        <w:t xml:space="preserve"> yerine harcama alt bileşenlerinin </w:t>
      </w:r>
      <w:r w:rsidR="005F0026" w:rsidRPr="00C61CC6">
        <w:rPr>
          <w:lang w:val="tr-TR"/>
        </w:rPr>
        <w:t>çeyrekler itibariyle değerlerini</w:t>
      </w:r>
      <w:r w:rsidRPr="00C61CC6">
        <w:rPr>
          <w:lang w:val="tr-TR"/>
        </w:rPr>
        <w:t xml:space="preserve"> gösteren tabloları </w:t>
      </w:r>
      <w:r w:rsidR="0063433A" w:rsidRPr="00C61CC6">
        <w:rPr>
          <w:lang w:val="tr-TR"/>
        </w:rPr>
        <w:t xml:space="preserve">nasıl okunmaları gerektiğine dair bir açıklama eşliğinde </w:t>
      </w:r>
      <w:r w:rsidRPr="00C61CC6">
        <w:rPr>
          <w:lang w:val="tr-TR"/>
        </w:rPr>
        <w:t>ek</w:t>
      </w:r>
      <w:r w:rsidR="00594604" w:rsidRPr="00C61CC6">
        <w:rPr>
          <w:lang w:val="tr-TR"/>
        </w:rPr>
        <w:t>te paylaşıyoruz.</w:t>
      </w:r>
    </w:p>
    <w:p w14:paraId="08CDB441" w14:textId="77777777" w:rsidR="00AB612B" w:rsidRPr="00594604" w:rsidRDefault="00AB612B" w:rsidP="009111A4">
      <w:pPr>
        <w:pStyle w:val="NormalIndent"/>
        <w:ind w:firstLine="0"/>
        <w:rPr>
          <w:strike/>
          <w:lang w:val="tr-TR"/>
        </w:rPr>
      </w:pPr>
    </w:p>
    <w:p w14:paraId="336B34FC" w14:textId="77777777" w:rsidR="005F0026" w:rsidRDefault="005F0026" w:rsidP="004A6B9C">
      <w:pPr>
        <w:pStyle w:val="NormalIndent"/>
        <w:rPr>
          <w:lang w:val="tr-TR"/>
        </w:rPr>
      </w:pPr>
    </w:p>
    <w:p w14:paraId="19BF9354" w14:textId="79192F23" w:rsidR="00615FC3" w:rsidRDefault="005F0026" w:rsidP="00621757">
      <w:pPr>
        <w:pStyle w:val="NormalIndent"/>
        <w:ind w:firstLine="0"/>
        <w:rPr>
          <w:b/>
          <w:i/>
          <w:lang w:val="tr-TR"/>
        </w:rPr>
      </w:pPr>
      <w:r w:rsidRPr="005F0026">
        <w:rPr>
          <w:b/>
          <w:i/>
          <w:lang w:val="tr-TR"/>
        </w:rPr>
        <w:t>Başka ülkelerde durum</w:t>
      </w:r>
      <w:r w:rsidR="00615FC3" w:rsidRPr="005F0026">
        <w:rPr>
          <w:b/>
          <w:i/>
          <w:lang w:val="tr-TR"/>
        </w:rPr>
        <w:t xml:space="preserve"> </w:t>
      </w:r>
    </w:p>
    <w:p w14:paraId="56323D9C" w14:textId="016B8E6A" w:rsidR="005F0026" w:rsidRDefault="005F0026" w:rsidP="004A6B9C">
      <w:pPr>
        <w:pStyle w:val="NormalIndent"/>
        <w:rPr>
          <w:b/>
          <w:i/>
          <w:lang w:val="tr-TR"/>
        </w:rPr>
      </w:pPr>
    </w:p>
    <w:p w14:paraId="16433C65" w14:textId="6D41841A" w:rsidR="005F0026" w:rsidRPr="00CC10F1" w:rsidRDefault="005F0026" w:rsidP="00621757">
      <w:pPr>
        <w:pStyle w:val="NormalIndent"/>
        <w:ind w:firstLine="0"/>
        <w:rPr>
          <w:color w:val="FF0000"/>
          <w:lang w:val="tr-TR"/>
        </w:rPr>
      </w:pPr>
      <w:r>
        <w:rPr>
          <w:lang w:val="tr-TR"/>
        </w:rPr>
        <w:t xml:space="preserve">2018 </w:t>
      </w:r>
      <w:r w:rsidRPr="009C2FD4">
        <w:rPr>
          <w:lang w:val="tr-TR"/>
        </w:rPr>
        <w:t>yılında</w:t>
      </w:r>
      <w:r w:rsidR="00621757" w:rsidRPr="009C2FD4">
        <w:rPr>
          <w:lang w:val="tr-TR"/>
        </w:rPr>
        <w:t xml:space="preserve"> büyüme revizyonları ile ilgili yayınladığımız </w:t>
      </w:r>
      <w:r w:rsidR="007E27BC" w:rsidRPr="009C2FD4">
        <w:rPr>
          <w:lang w:val="tr-TR"/>
        </w:rPr>
        <w:t xml:space="preserve">ilk araştırma </w:t>
      </w:r>
      <w:r w:rsidRPr="009C2FD4">
        <w:rPr>
          <w:lang w:val="tr-TR"/>
        </w:rPr>
        <w:t>not</w:t>
      </w:r>
      <w:r w:rsidR="007E27BC" w:rsidRPr="009C2FD4">
        <w:rPr>
          <w:lang w:val="tr-TR"/>
        </w:rPr>
        <w:t xml:space="preserve">unda </w:t>
      </w:r>
      <w:r w:rsidRPr="009C2FD4">
        <w:rPr>
          <w:lang w:val="tr-TR"/>
        </w:rPr>
        <w:t xml:space="preserve">TÜİK’in büyüme rakamlarındaki revizyonları Almanya ve Fransa istatistik kurumlarının revizyonları ile karşılaştırmış, bahsi geçen iki ülkede büyüme rakamlarının hayli </w:t>
      </w:r>
      <w:r w:rsidR="007E27BC" w:rsidRPr="009C2FD4">
        <w:rPr>
          <w:lang w:val="tr-TR"/>
        </w:rPr>
        <w:t>istikrarlı</w:t>
      </w:r>
      <w:r w:rsidRPr="009C2FD4">
        <w:rPr>
          <w:lang w:val="tr-TR"/>
        </w:rPr>
        <w:t xml:space="preserve"> yani revizyonların hayli sınırlı olduğunu </w:t>
      </w:r>
      <w:r w:rsidR="00621757" w:rsidRPr="009C2FD4">
        <w:rPr>
          <w:lang w:val="tr-TR"/>
        </w:rPr>
        <w:t>göstermişti</w:t>
      </w:r>
      <w:r w:rsidR="007E27BC" w:rsidRPr="009C2FD4">
        <w:rPr>
          <w:lang w:val="tr-TR"/>
        </w:rPr>
        <w:t>k.</w:t>
      </w:r>
      <w:r w:rsidRPr="009C2FD4">
        <w:rPr>
          <w:lang w:val="tr-TR"/>
        </w:rPr>
        <w:t xml:space="preserve"> Bu kez de bir kıyas yapmak adına Fransa istatistik kurumunun mevsim ve takvim etkilerinden arındırılmış harcama alt kalemlerinin büyüme oranlarında yaptığı revizyonlar</w:t>
      </w:r>
      <w:r w:rsidR="007E27BC" w:rsidRPr="009C2FD4">
        <w:rPr>
          <w:lang w:val="tr-TR"/>
        </w:rPr>
        <w:t>ı inceledik</w:t>
      </w:r>
      <w:r w:rsidRPr="009C2FD4">
        <w:rPr>
          <w:lang w:val="tr-TR"/>
        </w:rPr>
        <w:t>. Dış ticaret istatistiklerinde Fransa’daki rakamlar</w:t>
      </w:r>
      <w:r w:rsidR="007E27BC" w:rsidRPr="009C2FD4">
        <w:rPr>
          <w:lang w:val="tr-TR"/>
        </w:rPr>
        <w:t>ın</w:t>
      </w:r>
      <w:r w:rsidRPr="009C2FD4">
        <w:rPr>
          <w:lang w:val="tr-TR"/>
        </w:rPr>
        <w:t xml:space="preserve"> da bazen büyük revizyonlara hatta </w:t>
      </w:r>
      <w:r w:rsidR="007E27BC" w:rsidRPr="009C2FD4">
        <w:rPr>
          <w:lang w:val="tr-TR"/>
        </w:rPr>
        <w:t>zıt yönlü</w:t>
      </w:r>
      <w:r w:rsidRPr="009C2FD4">
        <w:rPr>
          <w:lang w:val="tr-TR"/>
        </w:rPr>
        <w:t xml:space="preserve"> değişikliklere</w:t>
      </w:r>
      <w:r w:rsidR="00621757" w:rsidRPr="009C2FD4">
        <w:rPr>
          <w:lang w:val="tr-TR"/>
        </w:rPr>
        <w:t xml:space="preserve"> uğradıkları</w:t>
      </w:r>
      <w:r w:rsidR="007E27BC" w:rsidRPr="009C2FD4">
        <w:rPr>
          <w:lang w:val="tr-TR"/>
        </w:rPr>
        <w:t>nı tespit ediyoruz. B</w:t>
      </w:r>
      <w:r w:rsidR="00621757" w:rsidRPr="009C2FD4">
        <w:rPr>
          <w:lang w:val="tr-TR"/>
        </w:rPr>
        <w:t>ununla birlikte</w:t>
      </w:r>
      <w:r w:rsidR="007E27BC" w:rsidRPr="009C2FD4">
        <w:rPr>
          <w:lang w:val="tr-TR"/>
        </w:rPr>
        <w:t xml:space="preserve"> </w:t>
      </w:r>
      <w:r w:rsidRPr="009C2FD4">
        <w:rPr>
          <w:lang w:val="tr-TR"/>
        </w:rPr>
        <w:t>GSYH</w:t>
      </w:r>
      <w:r w:rsidR="007E27BC" w:rsidRPr="009C2FD4">
        <w:rPr>
          <w:lang w:val="tr-TR"/>
        </w:rPr>
        <w:t xml:space="preserve"> ile</w:t>
      </w:r>
      <w:r w:rsidRPr="009C2FD4">
        <w:rPr>
          <w:lang w:val="tr-TR"/>
        </w:rPr>
        <w:t xml:space="preserve"> </w:t>
      </w:r>
      <w:r w:rsidR="007E27BC" w:rsidRPr="009C2FD4">
        <w:rPr>
          <w:lang w:val="tr-TR"/>
        </w:rPr>
        <w:t xml:space="preserve">harcama yöntemi ile GSYH hesabında </w:t>
      </w:r>
      <w:r w:rsidRPr="009C2FD4">
        <w:rPr>
          <w:lang w:val="tr-TR"/>
        </w:rPr>
        <w:t xml:space="preserve">ağırlığı en fazla olan hanehalkı tüketimi </w:t>
      </w:r>
      <w:r w:rsidR="00CC10F1" w:rsidRPr="009C2FD4">
        <w:rPr>
          <w:lang w:val="tr-TR"/>
        </w:rPr>
        <w:t xml:space="preserve">rakamlarındaki revizyonların </w:t>
      </w:r>
      <w:r w:rsidRPr="009C2FD4">
        <w:rPr>
          <w:lang w:val="tr-TR"/>
        </w:rPr>
        <w:t xml:space="preserve">TÜİK </w:t>
      </w:r>
      <w:r w:rsidR="00CC10F1" w:rsidRPr="009C2FD4">
        <w:rPr>
          <w:lang w:val="tr-TR"/>
        </w:rPr>
        <w:t>revizyonlarına kıyasla çok daha sınırlı oldukları görülmektedir.</w:t>
      </w:r>
      <w:r w:rsidRPr="009C2FD4">
        <w:rPr>
          <w:lang w:val="tr-TR"/>
        </w:rPr>
        <w:t xml:space="preserve"> </w:t>
      </w:r>
      <w:r w:rsidR="007E27BC" w:rsidRPr="009C2FD4">
        <w:rPr>
          <w:lang w:val="tr-TR"/>
        </w:rPr>
        <w:t>Harcama yöntemi ile GSYH ve alt kalemlerinde Fransa’daki r</w:t>
      </w:r>
      <w:r w:rsidRPr="009C2FD4">
        <w:rPr>
          <w:lang w:val="tr-TR"/>
        </w:rPr>
        <w:t xml:space="preserve">evizyon büyüklükleri </w:t>
      </w:r>
      <w:r w:rsidR="00167C90" w:rsidRPr="009C2FD4">
        <w:rPr>
          <w:lang w:val="tr-TR"/>
        </w:rPr>
        <w:t xml:space="preserve">genellikle </w:t>
      </w:r>
      <w:r w:rsidRPr="009C2FD4">
        <w:rPr>
          <w:lang w:val="tr-TR"/>
        </w:rPr>
        <w:t xml:space="preserve">0,1 ila 0,3 yüzde puan </w:t>
      </w:r>
      <w:r w:rsidR="007E27BC" w:rsidRPr="009C2FD4">
        <w:rPr>
          <w:lang w:val="tr-TR"/>
        </w:rPr>
        <w:t>arasındadır</w:t>
      </w:r>
      <w:r w:rsidR="00167C90" w:rsidRPr="009C2FD4">
        <w:rPr>
          <w:lang w:val="tr-TR"/>
        </w:rPr>
        <w:t xml:space="preserve">. Fransa’ya ait rakamlar da </w:t>
      </w:r>
      <w:r w:rsidR="00167C90" w:rsidRPr="00CF447A">
        <w:rPr>
          <w:color w:val="auto"/>
          <w:lang w:val="tr-TR"/>
        </w:rPr>
        <w:t>ek</w:t>
      </w:r>
      <w:r w:rsidR="00CC10F1" w:rsidRPr="00CF447A">
        <w:rPr>
          <w:color w:val="auto"/>
          <w:lang w:val="tr-TR"/>
        </w:rPr>
        <w:t>te paylaşılmıştır</w:t>
      </w:r>
      <w:r w:rsidR="00167C90" w:rsidRPr="00CF447A">
        <w:rPr>
          <w:color w:val="auto"/>
          <w:lang w:val="tr-TR"/>
        </w:rPr>
        <w:t xml:space="preserve">. </w:t>
      </w:r>
      <w:r w:rsidR="00CF447A">
        <w:rPr>
          <w:rStyle w:val="FootnoteReference"/>
          <w:color w:val="auto"/>
          <w:lang w:val="tr-TR"/>
        </w:rPr>
        <w:footnoteReference w:id="8"/>
      </w:r>
    </w:p>
    <w:p w14:paraId="2682FA1E" w14:textId="5688E1AD" w:rsidR="00167C90" w:rsidRDefault="00167C90" w:rsidP="004A6B9C">
      <w:pPr>
        <w:pStyle w:val="NormalIndent"/>
        <w:rPr>
          <w:lang w:val="tr-TR"/>
        </w:rPr>
      </w:pPr>
    </w:p>
    <w:p w14:paraId="5C468F4D" w14:textId="77777777" w:rsidR="00AB612B" w:rsidRDefault="00AB612B" w:rsidP="004A6B9C">
      <w:pPr>
        <w:pStyle w:val="NormalIndent"/>
        <w:rPr>
          <w:lang w:val="tr-TR"/>
        </w:rPr>
      </w:pPr>
    </w:p>
    <w:p w14:paraId="33F8D504" w14:textId="4CD493BE" w:rsidR="00167C90" w:rsidRDefault="00167C90" w:rsidP="00CC10F1">
      <w:pPr>
        <w:pStyle w:val="NormalIndent"/>
        <w:ind w:firstLine="0"/>
        <w:rPr>
          <w:b/>
          <w:i/>
          <w:lang w:val="tr-TR"/>
        </w:rPr>
      </w:pPr>
      <w:r w:rsidRPr="00167C90">
        <w:rPr>
          <w:b/>
          <w:i/>
          <w:lang w:val="tr-TR"/>
        </w:rPr>
        <w:t>Olası nedenler</w:t>
      </w:r>
    </w:p>
    <w:p w14:paraId="1234C28F" w14:textId="3EA7490B" w:rsidR="00167C90" w:rsidRDefault="00167C90" w:rsidP="004A6B9C">
      <w:pPr>
        <w:pStyle w:val="NormalIndent"/>
        <w:rPr>
          <w:b/>
          <w:i/>
          <w:lang w:val="tr-TR"/>
        </w:rPr>
      </w:pPr>
    </w:p>
    <w:p w14:paraId="32A9F70D" w14:textId="59B609BB" w:rsidR="00167C90" w:rsidRDefault="00167C90" w:rsidP="00CC10F1">
      <w:pPr>
        <w:pStyle w:val="NormalIndent"/>
        <w:ind w:firstLine="0"/>
        <w:rPr>
          <w:lang w:val="tr-TR"/>
        </w:rPr>
      </w:pPr>
      <w:r>
        <w:rPr>
          <w:lang w:val="tr-TR"/>
        </w:rPr>
        <w:t xml:space="preserve">Ekte paylaştığımız tablolara satırlar değil de sütunlar itibariyle baktığımızda revizyon yoğunluklarının ikinci çeyreklerde yoğunlaştığını görmekteyiz. Bu da bize takvim ve mevsim etkisinden arındırma işlemlerinde </w:t>
      </w:r>
      <w:r w:rsidR="00CC10F1" w:rsidRPr="009C2FD4">
        <w:rPr>
          <w:lang w:val="tr-TR"/>
        </w:rPr>
        <w:t xml:space="preserve">yöntemsel </w:t>
      </w:r>
      <w:r w:rsidRPr="009C2FD4">
        <w:rPr>
          <w:lang w:val="tr-TR"/>
        </w:rPr>
        <w:t xml:space="preserve">bir </w:t>
      </w:r>
      <w:r w:rsidR="00CC10F1" w:rsidRPr="009C2FD4">
        <w:rPr>
          <w:lang w:val="tr-TR"/>
        </w:rPr>
        <w:t xml:space="preserve">sorun </w:t>
      </w:r>
      <w:r w:rsidRPr="009C2FD4">
        <w:rPr>
          <w:lang w:val="tr-TR"/>
        </w:rPr>
        <w:t>olabileceğini düşündürmektedir</w:t>
      </w:r>
      <w:r w:rsidR="00CC10F1" w:rsidRPr="009C2FD4">
        <w:rPr>
          <w:lang w:val="tr-TR"/>
        </w:rPr>
        <w:t>. Z</w:t>
      </w:r>
      <w:r w:rsidRPr="009C2FD4">
        <w:rPr>
          <w:lang w:val="tr-TR"/>
        </w:rPr>
        <w:t>ira TÜİK, yukarıda da belirttiğimiz gibi, her yılın ikinci çeyreğinde mevsim ve takvim etkilerinden arındırma işlemi için bir model</w:t>
      </w:r>
      <w:r>
        <w:rPr>
          <w:lang w:val="tr-TR"/>
        </w:rPr>
        <w:t xml:space="preserve"> belirliyor. </w:t>
      </w:r>
      <w:r w:rsidR="00B65B0D">
        <w:rPr>
          <w:lang w:val="tr-TR"/>
        </w:rPr>
        <w:t>Revizyonların çapı bize h</w:t>
      </w:r>
      <w:r>
        <w:rPr>
          <w:lang w:val="tr-TR"/>
        </w:rPr>
        <w:t xml:space="preserve">er yıl için yeniden </w:t>
      </w:r>
      <w:r w:rsidR="00B65B0D">
        <w:rPr>
          <w:lang w:val="tr-TR"/>
        </w:rPr>
        <w:t>hesaplanan</w:t>
      </w:r>
      <w:r>
        <w:rPr>
          <w:lang w:val="tr-TR"/>
        </w:rPr>
        <w:t xml:space="preserve"> modellerde mevsimsel faktörler</w:t>
      </w:r>
      <w:r w:rsidR="00B65B0D">
        <w:rPr>
          <w:lang w:val="tr-TR"/>
        </w:rPr>
        <w:t>in</w:t>
      </w:r>
      <w:r>
        <w:rPr>
          <w:lang w:val="tr-TR"/>
        </w:rPr>
        <w:t xml:space="preserve"> bir önceki yıla </w:t>
      </w:r>
      <w:r w:rsidR="00B65B0D">
        <w:rPr>
          <w:lang w:val="tr-TR"/>
        </w:rPr>
        <w:t>kıyasla büyük değişiklik gösterdiğini düşündürmektedir.</w:t>
      </w:r>
      <w:r>
        <w:rPr>
          <w:lang w:val="tr-TR"/>
        </w:rPr>
        <w:t xml:space="preserve"> </w:t>
      </w:r>
      <w:r w:rsidR="00B65B0D">
        <w:rPr>
          <w:lang w:val="tr-TR"/>
        </w:rPr>
        <w:t xml:space="preserve">Revizyonların ne kadarının bilgi güncellemesi ne kadarının model değişiminden kaynaklandığını TÜİK’in </w:t>
      </w:r>
      <w:r>
        <w:rPr>
          <w:lang w:val="tr-TR"/>
        </w:rPr>
        <w:t>kamuoyu</w:t>
      </w:r>
      <w:r w:rsidR="00B65B0D">
        <w:rPr>
          <w:lang w:val="tr-TR"/>
        </w:rPr>
        <w:t xml:space="preserve"> ile paylaşması şeffaflık açısından gereklidir. </w:t>
      </w:r>
    </w:p>
    <w:p w14:paraId="37A03256" w14:textId="17B7DA32" w:rsidR="00377A5E" w:rsidRDefault="00377A5E" w:rsidP="00CC10F1">
      <w:pPr>
        <w:pStyle w:val="NormalIndent"/>
        <w:ind w:firstLine="0"/>
        <w:rPr>
          <w:lang w:val="tr-TR"/>
        </w:rPr>
      </w:pPr>
    </w:p>
    <w:p w14:paraId="033A788D" w14:textId="6C80CD73" w:rsidR="00377A5E" w:rsidRDefault="00377A5E" w:rsidP="00377A5E">
      <w:pPr>
        <w:pStyle w:val="NormalIndent"/>
        <w:ind w:firstLine="0"/>
        <w:jc w:val="center"/>
        <w:rPr>
          <w:lang w:val="tr-TR"/>
        </w:rPr>
      </w:pPr>
      <w:r>
        <w:rPr>
          <w:lang w:val="tr-TR"/>
        </w:rPr>
        <w:t>***</w:t>
      </w:r>
    </w:p>
    <w:p w14:paraId="3925D990" w14:textId="418E29EC" w:rsidR="00167C90" w:rsidRDefault="00167C90" w:rsidP="009C2FD4">
      <w:pPr>
        <w:pStyle w:val="NormalIndent"/>
        <w:ind w:firstLine="0"/>
        <w:rPr>
          <w:lang w:val="tr-TR"/>
        </w:rPr>
      </w:pPr>
    </w:p>
    <w:p w14:paraId="231ED2D6" w14:textId="409F0D2E" w:rsidR="00377A5E" w:rsidRDefault="00377A5E" w:rsidP="007A285C">
      <w:pPr>
        <w:pStyle w:val="NormalIndent"/>
        <w:ind w:firstLine="0"/>
        <w:rPr>
          <w:lang w:val="tr-TR"/>
        </w:rPr>
      </w:pPr>
      <w:r>
        <w:rPr>
          <w:lang w:val="tr-TR"/>
        </w:rPr>
        <w:lastRenderedPageBreak/>
        <w:t xml:space="preserve">Ek tablolarda mevsim ve takvim etkilerinden arındırılmış GSYH büyüme rakamlarındaki ve harcama alt kalemlerindeki değişimleri 2019 yılının ilk çeyreğinden itibaren görmek mümkündür. Herhangi bir çeyrekteki revizyonları ilgili satırı takip ederek görebiliriz. Sütunlar haber bülteni dönemlerini göstermektedir. </w:t>
      </w:r>
      <w:r w:rsidR="006A2748">
        <w:rPr>
          <w:lang w:val="tr-TR"/>
        </w:rPr>
        <w:t xml:space="preserve">Sarı hücreler ilgili çeyreğin ilk rakamını vurgulamaktadır. Örneğin, 2019 yılının birinci çeyreğine ait GSYH büyümesi, aynı çeyreğe ait haber bülteninde yüzde 1,3 olarak açıklanmış, takip eden bülten dönemlerinde sırasıyla önce 1,6’ya sonra 1,7’ye revize edilmiştir. Benzer şekilde 2021 yılının ikinci çeyrek büyümesine ait GSYH büyümesi önce yüzde 0,9 olarak açıklanmış, sonraki haber bülteninde (2021Ç3) 1,5’e revize edilmiştir. En son açıklanan haber bülteninde (2022Ç2) ise 2’ye revize edilmiştir.  </w:t>
      </w:r>
    </w:p>
    <w:p w14:paraId="22F047B7" w14:textId="76FC0747" w:rsidR="00377A5E" w:rsidRDefault="00377A5E" w:rsidP="007A285C">
      <w:pPr>
        <w:pStyle w:val="NormalIndent"/>
        <w:ind w:firstLine="0"/>
        <w:rPr>
          <w:lang w:val="tr-TR"/>
        </w:rPr>
      </w:pPr>
    </w:p>
    <w:p w14:paraId="3DB019CB" w14:textId="77777777" w:rsidR="00377A5E" w:rsidRDefault="00377A5E" w:rsidP="007A285C">
      <w:pPr>
        <w:pStyle w:val="NormalIndent"/>
        <w:ind w:firstLine="0"/>
        <w:rPr>
          <w:lang w:val="tr-TR"/>
        </w:rPr>
        <w:sectPr w:rsidR="00377A5E">
          <w:pgSz w:w="11906" w:h="16838"/>
          <w:pgMar w:top="1417" w:right="1417" w:bottom="1417" w:left="1417" w:header="708" w:footer="708" w:gutter="0"/>
          <w:cols w:space="708"/>
          <w:docGrid w:linePitch="360"/>
        </w:sectPr>
      </w:pPr>
    </w:p>
    <w:p w14:paraId="6A8A691D" w14:textId="0DD3FDD5" w:rsidR="00C42F4B" w:rsidRPr="003572AD" w:rsidRDefault="00C42F4B" w:rsidP="007A285C">
      <w:pPr>
        <w:pStyle w:val="NormalIndent"/>
        <w:ind w:firstLine="0"/>
        <w:rPr>
          <w:b/>
          <w:lang w:val="tr-TR"/>
        </w:rPr>
      </w:pPr>
      <w:r w:rsidRPr="003572AD">
        <w:rPr>
          <w:b/>
          <w:lang w:val="tr-TR"/>
        </w:rPr>
        <w:lastRenderedPageBreak/>
        <w:t>EK A: MTEA TÜİK Rakamlarında Revizyonlar</w:t>
      </w:r>
    </w:p>
    <w:p w14:paraId="7F83560E" w14:textId="0F3851AD" w:rsidR="007A285C" w:rsidRDefault="007A285C" w:rsidP="007A285C">
      <w:pPr>
        <w:pStyle w:val="NormalIndent"/>
        <w:ind w:firstLine="0"/>
        <w:rPr>
          <w:lang w:val="tr-TR"/>
        </w:rPr>
      </w:pPr>
      <w:r>
        <w:rPr>
          <w:lang w:val="tr-TR"/>
        </w:rPr>
        <w:t xml:space="preserve">Ek Tablo </w:t>
      </w:r>
      <w:r w:rsidR="00F3412A">
        <w:rPr>
          <w:lang w:val="tr-TR"/>
        </w:rPr>
        <w:t>A</w:t>
      </w:r>
      <w:r>
        <w:rPr>
          <w:lang w:val="tr-TR"/>
        </w:rPr>
        <w:t>1: Çeyreklik GSYH büyüme rakamları</w:t>
      </w:r>
    </w:p>
    <w:p w14:paraId="7CD7CB2C" w14:textId="181790AD" w:rsidR="007A285C" w:rsidRDefault="007A285C" w:rsidP="007A285C">
      <w:pPr>
        <w:pStyle w:val="NormalIndent"/>
        <w:ind w:firstLine="0"/>
        <w:rPr>
          <w:lang w:val="tr-TR"/>
        </w:rPr>
      </w:pPr>
      <w:r w:rsidRPr="007A285C">
        <w:rPr>
          <w:noProof/>
          <w:lang w:val="en-GB" w:eastAsia="en-GB"/>
        </w:rPr>
        <w:drawing>
          <wp:anchor distT="0" distB="0" distL="114300" distR="114300" simplePos="0" relativeHeight="251658752" behindDoc="1" locked="0" layoutInCell="1" allowOverlap="1" wp14:anchorId="61D22409" wp14:editId="6620FD41">
            <wp:simplePos x="0" y="0"/>
            <wp:positionH relativeFrom="margin">
              <wp:posOffset>14606</wp:posOffset>
            </wp:positionH>
            <wp:positionV relativeFrom="paragraph">
              <wp:posOffset>72253</wp:posOffset>
            </wp:positionV>
            <wp:extent cx="7156174" cy="251120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9505" cy="251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E24A" w14:textId="3AA99DCD" w:rsidR="007A285C" w:rsidRDefault="007A285C" w:rsidP="007A285C">
      <w:pPr>
        <w:pStyle w:val="NormalIndent"/>
        <w:ind w:firstLine="0"/>
        <w:rPr>
          <w:lang w:val="tr-TR"/>
        </w:rPr>
      </w:pPr>
    </w:p>
    <w:p w14:paraId="7D09B8E3" w14:textId="77777777" w:rsidR="007A285C" w:rsidRDefault="007A285C" w:rsidP="007A285C">
      <w:pPr>
        <w:pStyle w:val="NormalIndent"/>
        <w:ind w:firstLine="0"/>
        <w:rPr>
          <w:lang w:val="tr-TR"/>
        </w:rPr>
      </w:pPr>
    </w:p>
    <w:p w14:paraId="162CEACE" w14:textId="77777777" w:rsidR="007A285C" w:rsidRDefault="007A285C" w:rsidP="007A285C">
      <w:pPr>
        <w:pStyle w:val="NormalIndent"/>
        <w:ind w:firstLine="0"/>
        <w:rPr>
          <w:lang w:val="tr-TR"/>
        </w:rPr>
      </w:pPr>
    </w:p>
    <w:p w14:paraId="1920186D" w14:textId="77777777" w:rsidR="007A285C" w:rsidRDefault="007A285C" w:rsidP="007A285C">
      <w:pPr>
        <w:pStyle w:val="NormalIndent"/>
        <w:ind w:firstLine="0"/>
        <w:rPr>
          <w:lang w:val="tr-TR"/>
        </w:rPr>
      </w:pPr>
    </w:p>
    <w:p w14:paraId="1BF8D83E" w14:textId="77777777" w:rsidR="007A285C" w:rsidRDefault="007A285C" w:rsidP="007A285C">
      <w:pPr>
        <w:pStyle w:val="NormalIndent"/>
        <w:ind w:firstLine="0"/>
        <w:rPr>
          <w:lang w:val="tr-TR"/>
        </w:rPr>
      </w:pPr>
    </w:p>
    <w:p w14:paraId="0F748330" w14:textId="0A70C93F" w:rsidR="007A285C" w:rsidRDefault="007A285C" w:rsidP="007A285C">
      <w:pPr>
        <w:pStyle w:val="NormalIndent"/>
        <w:ind w:firstLine="0"/>
        <w:rPr>
          <w:lang w:val="tr-TR"/>
        </w:rPr>
      </w:pPr>
    </w:p>
    <w:p w14:paraId="49A74F5A" w14:textId="77777777" w:rsidR="007A285C" w:rsidRDefault="007A285C" w:rsidP="007A285C">
      <w:pPr>
        <w:pStyle w:val="NormalIndent"/>
        <w:ind w:firstLine="0"/>
        <w:rPr>
          <w:lang w:val="tr-TR"/>
        </w:rPr>
      </w:pPr>
    </w:p>
    <w:p w14:paraId="27771AD2" w14:textId="000F891E" w:rsidR="007A285C" w:rsidRDefault="007A285C" w:rsidP="007A285C">
      <w:pPr>
        <w:pStyle w:val="NormalIndent"/>
        <w:ind w:firstLine="0"/>
        <w:rPr>
          <w:lang w:val="tr-TR"/>
        </w:rPr>
      </w:pPr>
    </w:p>
    <w:p w14:paraId="5EF038F4" w14:textId="7250CB32" w:rsidR="007A285C" w:rsidRDefault="007A285C" w:rsidP="007A285C">
      <w:pPr>
        <w:pStyle w:val="NormalIndent"/>
        <w:ind w:firstLine="0"/>
        <w:rPr>
          <w:lang w:val="tr-TR"/>
        </w:rPr>
      </w:pPr>
    </w:p>
    <w:p w14:paraId="7E1EB637" w14:textId="0FEE6B2D" w:rsidR="007A285C" w:rsidRDefault="007A285C" w:rsidP="007A285C">
      <w:pPr>
        <w:pStyle w:val="NormalIndent"/>
        <w:ind w:firstLine="0"/>
        <w:rPr>
          <w:lang w:val="tr-TR"/>
        </w:rPr>
      </w:pPr>
    </w:p>
    <w:p w14:paraId="12E52692" w14:textId="61247FC3" w:rsidR="007A285C" w:rsidRDefault="007A285C" w:rsidP="007A285C">
      <w:pPr>
        <w:pStyle w:val="NormalIndent"/>
        <w:ind w:firstLine="0"/>
        <w:rPr>
          <w:lang w:val="tr-TR"/>
        </w:rPr>
      </w:pPr>
    </w:p>
    <w:p w14:paraId="5D32FBC1" w14:textId="7EA20501" w:rsidR="007A285C" w:rsidRDefault="007A285C" w:rsidP="007A285C">
      <w:pPr>
        <w:pStyle w:val="NormalIndent"/>
        <w:ind w:firstLine="0"/>
        <w:rPr>
          <w:lang w:val="tr-TR"/>
        </w:rPr>
      </w:pPr>
      <w:r>
        <w:rPr>
          <w:lang w:val="tr-TR"/>
        </w:rPr>
        <w:t xml:space="preserve">Ek Tablo </w:t>
      </w:r>
      <w:r w:rsidR="00F3412A">
        <w:rPr>
          <w:lang w:val="tr-TR"/>
        </w:rPr>
        <w:t>A</w:t>
      </w:r>
      <w:r>
        <w:rPr>
          <w:lang w:val="tr-TR"/>
        </w:rPr>
        <w:t>2: Çeyreklik HH tüketimi büyüme rakamları</w:t>
      </w:r>
    </w:p>
    <w:p w14:paraId="04750DED" w14:textId="23595CAE" w:rsidR="007A285C" w:rsidRDefault="007A285C" w:rsidP="007A285C">
      <w:pPr>
        <w:pStyle w:val="NormalIndent"/>
        <w:ind w:firstLine="0"/>
        <w:rPr>
          <w:lang w:val="tr-TR"/>
        </w:rPr>
      </w:pPr>
      <w:r w:rsidRPr="007A285C">
        <w:rPr>
          <w:noProof/>
          <w:lang w:val="en-GB" w:eastAsia="en-GB"/>
        </w:rPr>
        <w:drawing>
          <wp:anchor distT="0" distB="0" distL="114300" distR="114300" simplePos="0" relativeHeight="251659776" behindDoc="1" locked="0" layoutInCell="1" allowOverlap="1" wp14:anchorId="56BD1DDE" wp14:editId="1AA08374">
            <wp:simplePos x="0" y="0"/>
            <wp:positionH relativeFrom="margin">
              <wp:align>left</wp:align>
            </wp:positionH>
            <wp:positionV relativeFrom="paragraph">
              <wp:posOffset>66482</wp:posOffset>
            </wp:positionV>
            <wp:extent cx="7171718" cy="247635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1718" cy="2476354"/>
                    </a:xfrm>
                    <a:prstGeom prst="rect">
                      <a:avLst/>
                    </a:prstGeom>
                    <a:noFill/>
                    <a:ln>
                      <a:noFill/>
                    </a:ln>
                  </pic:spPr>
                </pic:pic>
              </a:graphicData>
            </a:graphic>
          </wp:anchor>
        </w:drawing>
      </w:r>
    </w:p>
    <w:p w14:paraId="30E72E0C" w14:textId="7AB5F2A8" w:rsidR="007A285C" w:rsidRDefault="007A285C" w:rsidP="007A285C">
      <w:pPr>
        <w:pStyle w:val="NormalIndent"/>
        <w:ind w:firstLine="0"/>
        <w:rPr>
          <w:lang w:val="tr-TR"/>
        </w:rPr>
      </w:pPr>
    </w:p>
    <w:p w14:paraId="25AE9854" w14:textId="5849D410" w:rsidR="007A285C" w:rsidRPr="007A285C" w:rsidRDefault="007A285C" w:rsidP="007A285C">
      <w:pPr>
        <w:pStyle w:val="NormalIndent"/>
        <w:ind w:firstLine="0"/>
        <w:rPr>
          <w:lang w:val="tr-TR"/>
        </w:rPr>
        <w:sectPr w:rsidR="007A285C" w:rsidRPr="007A285C" w:rsidSect="007A285C">
          <w:pgSz w:w="16838" w:h="11906" w:orient="landscape"/>
          <w:pgMar w:top="1417" w:right="1417" w:bottom="1417" w:left="1417" w:header="708" w:footer="708" w:gutter="0"/>
          <w:cols w:space="708"/>
          <w:docGrid w:linePitch="360"/>
        </w:sectPr>
      </w:pPr>
    </w:p>
    <w:p w14:paraId="2AAE80E0" w14:textId="28A6E92E" w:rsidR="007A285C" w:rsidRDefault="007A285C" w:rsidP="007A285C">
      <w:pPr>
        <w:pStyle w:val="NormalIndent"/>
        <w:ind w:firstLine="0"/>
        <w:rPr>
          <w:lang w:val="tr-TR"/>
        </w:rPr>
      </w:pPr>
      <w:r>
        <w:rPr>
          <w:lang w:val="tr-TR"/>
        </w:rPr>
        <w:lastRenderedPageBreak/>
        <w:t xml:space="preserve">Ek Tablo </w:t>
      </w:r>
      <w:r w:rsidR="00F3412A">
        <w:rPr>
          <w:lang w:val="tr-TR"/>
        </w:rPr>
        <w:t>A</w:t>
      </w:r>
      <w:r>
        <w:rPr>
          <w:lang w:val="tr-TR"/>
        </w:rPr>
        <w:t xml:space="preserve">3: </w:t>
      </w:r>
      <w:bookmarkStart w:id="1" w:name="OLE_LINK1"/>
      <w:r>
        <w:rPr>
          <w:lang w:val="tr-TR"/>
        </w:rPr>
        <w:t>Çeyreklik hükümet harcamaları büyüme rakamları</w:t>
      </w:r>
      <w:bookmarkEnd w:id="1"/>
    </w:p>
    <w:p w14:paraId="7AC33456" w14:textId="42F310B5" w:rsidR="007A285C" w:rsidRDefault="007A285C" w:rsidP="007A285C">
      <w:pPr>
        <w:pStyle w:val="NormalIndent"/>
        <w:ind w:firstLine="0"/>
        <w:rPr>
          <w:lang w:val="tr-TR"/>
        </w:rPr>
      </w:pPr>
      <w:r w:rsidRPr="007A285C">
        <w:rPr>
          <w:noProof/>
          <w:lang w:val="en-GB" w:eastAsia="en-GB"/>
        </w:rPr>
        <w:drawing>
          <wp:anchor distT="0" distB="0" distL="114300" distR="114300" simplePos="0" relativeHeight="251660800" behindDoc="1" locked="0" layoutInCell="1" allowOverlap="1" wp14:anchorId="0EAC5A14" wp14:editId="1ADFAEA4">
            <wp:simplePos x="0" y="0"/>
            <wp:positionH relativeFrom="column">
              <wp:posOffset>30536</wp:posOffset>
            </wp:positionH>
            <wp:positionV relativeFrom="paragraph">
              <wp:posOffset>72335</wp:posOffset>
            </wp:positionV>
            <wp:extent cx="7108466" cy="2454513"/>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08466" cy="2454513"/>
                    </a:xfrm>
                    <a:prstGeom prst="rect">
                      <a:avLst/>
                    </a:prstGeom>
                    <a:noFill/>
                    <a:ln>
                      <a:noFill/>
                    </a:ln>
                  </pic:spPr>
                </pic:pic>
              </a:graphicData>
            </a:graphic>
          </wp:anchor>
        </w:drawing>
      </w:r>
    </w:p>
    <w:p w14:paraId="01D4B870" w14:textId="745562D6" w:rsidR="007A285C" w:rsidRDefault="007A285C" w:rsidP="007A285C">
      <w:pPr>
        <w:pStyle w:val="NormalIndent"/>
        <w:ind w:firstLine="0"/>
        <w:rPr>
          <w:lang w:val="tr-TR"/>
        </w:rPr>
      </w:pPr>
    </w:p>
    <w:p w14:paraId="0ABD9FA9" w14:textId="0ED3D6C2" w:rsidR="007A285C" w:rsidRDefault="007A285C" w:rsidP="007A285C">
      <w:pPr>
        <w:pStyle w:val="NormalIndent"/>
        <w:ind w:firstLine="0"/>
        <w:rPr>
          <w:lang w:val="tr-TR"/>
        </w:rPr>
      </w:pPr>
    </w:p>
    <w:p w14:paraId="6FE29C74" w14:textId="6CBB1480" w:rsidR="007A285C" w:rsidRDefault="007A285C" w:rsidP="007A285C">
      <w:pPr>
        <w:pStyle w:val="NormalIndent"/>
        <w:ind w:firstLine="0"/>
        <w:rPr>
          <w:lang w:val="tr-TR"/>
        </w:rPr>
      </w:pPr>
    </w:p>
    <w:p w14:paraId="600E74F3" w14:textId="13EFE415" w:rsidR="007A285C" w:rsidRDefault="007A285C" w:rsidP="007A285C">
      <w:pPr>
        <w:pStyle w:val="NormalIndent"/>
        <w:ind w:firstLine="0"/>
        <w:rPr>
          <w:lang w:val="tr-TR"/>
        </w:rPr>
      </w:pPr>
    </w:p>
    <w:p w14:paraId="750DAD40" w14:textId="67BFDC54" w:rsidR="007A285C" w:rsidRDefault="007A285C" w:rsidP="007A285C">
      <w:pPr>
        <w:pStyle w:val="NormalIndent"/>
        <w:ind w:firstLine="0"/>
        <w:rPr>
          <w:lang w:val="tr-TR"/>
        </w:rPr>
      </w:pPr>
    </w:p>
    <w:p w14:paraId="1FFF6032" w14:textId="6A4D2653" w:rsidR="007A285C" w:rsidRDefault="007A285C" w:rsidP="007A285C">
      <w:pPr>
        <w:pStyle w:val="NormalIndent"/>
        <w:ind w:firstLine="0"/>
        <w:rPr>
          <w:lang w:val="tr-TR"/>
        </w:rPr>
      </w:pPr>
    </w:p>
    <w:p w14:paraId="6F55258B" w14:textId="1F0C03C4" w:rsidR="007A285C" w:rsidRDefault="007A285C" w:rsidP="007A285C">
      <w:pPr>
        <w:pStyle w:val="NormalIndent"/>
        <w:ind w:firstLine="0"/>
        <w:rPr>
          <w:lang w:val="tr-TR"/>
        </w:rPr>
      </w:pPr>
    </w:p>
    <w:p w14:paraId="4669F021" w14:textId="515080F8" w:rsidR="007A285C" w:rsidRDefault="007A285C" w:rsidP="007A285C">
      <w:pPr>
        <w:pStyle w:val="NormalIndent"/>
        <w:ind w:firstLine="0"/>
        <w:rPr>
          <w:lang w:val="tr-TR"/>
        </w:rPr>
      </w:pPr>
    </w:p>
    <w:p w14:paraId="50673CA9" w14:textId="1CF76B01" w:rsidR="007A285C" w:rsidRDefault="007A285C" w:rsidP="007A285C">
      <w:pPr>
        <w:pStyle w:val="NormalIndent"/>
        <w:ind w:firstLine="0"/>
        <w:rPr>
          <w:lang w:val="tr-TR"/>
        </w:rPr>
      </w:pPr>
    </w:p>
    <w:p w14:paraId="327AFB33" w14:textId="5903DF95" w:rsidR="007A285C" w:rsidRDefault="007A285C" w:rsidP="007A285C">
      <w:pPr>
        <w:pStyle w:val="NormalIndent"/>
        <w:ind w:firstLine="0"/>
        <w:rPr>
          <w:lang w:val="tr-TR"/>
        </w:rPr>
      </w:pPr>
    </w:p>
    <w:p w14:paraId="6437C02A" w14:textId="28D58DFA" w:rsidR="007A285C" w:rsidRDefault="007A285C" w:rsidP="007A285C">
      <w:pPr>
        <w:pStyle w:val="NormalIndent"/>
        <w:ind w:firstLine="0"/>
        <w:rPr>
          <w:lang w:val="tr-TR"/>
        </w:rPr>
      </w:pPr>
    </w:p>
    <w:p w14:paraId="5A1D7947" w14:textId="5829D3BD" w:rsidR="007A285C" w:rsidRDefault="007A285C" w:rsidP="007A285C">
      <w:pPr>
        <w:pStyle w:val="NormalIndent"/>
        <w:ind w:firstLine="0"/>
        <w:rPr>
          <w:lang w:val="tr-TR"/>
        </w:rPr>
      </w:pPr>
    </w:p>
    <w:p w14:paraId="70E66EE2" w14:textId="264C6041" w:rsidR="007A285C" w:rsidRDefault="007A285C" w:rsidP="007A285C">
      <w:pPr>
        <w:pStyle w:val="NormalIndent"/>
        <w:ind w:firstLine="0"/>
        <w:rPr>
          <w:lang w:val="tr-TR"/>
        </w:rPr>
      </w:pPr>
      <w:r>
        <w:rPr>
          <w:lang w:val="tr-TR"/>
        </w:rPr>
        <w:t xml:space="preserve">Ek Tablo </w:t>
      </w:r>
      <w:r w:rsidR="00F3412A">
        <w:rPr>
          <w:lang w:val="tr-TR"/>
        </w:rPr>
        <w:t>A</w:t>
      </w:r>
      <w:r>
        <w:rPr>
          <w:lang w:val="tr-TR"/>
        </w:rPr>
        <w:t>4: Çeyreklik gayrısafi sabit sermaye oluşumu büyüme rakamları</w:t>
      </w:r>
    </w:p>
    <w:p w14:paraId="7BA9905A" w14:textId="23B48B16" w:rsidR="007A285C" w:rsidRDefault="007A285C" w:rsidP="007A285C">
      <w:pPr>
        <w:pStyle w:val="NormalIndent"/>
        <w:ind w:firstLine="0"/>
        <w:rPr>
          <w:lang w:val="tr-TR"/>
        </w:rPr>
      </w:pPr>
      <w:r w:rsidRPr="007A285C">
        <w:rPr>
          <w:noProof/>
          <w:lang w:val="en-GB" w:eastAsia="en-GB"/>
        </w:rPr>
        <w:drawing>
          <wp:anchor distT="0" distB="0" distL="114300" distR="114300" simplePos="0" relativeHeight="251661824" behindDoc="1" locked="0" layoutInCell="1" allowOverlap="1" wp14:anchorId="55B5EFDC" wp14:editId="123B9795">
            <wp:simplePos x="0" y="0"/>
            <wp:positionH relativeFrom="column">
              <wp:posOffset>14108</wp:posOffset>
            </wp:positionH>
            <wp:positionV relativeFrom="paragraph">
              <wp:posOffset>73688</wp:posOffset>
            </wp:positionV>
            <wp:extent cx="7124369" cy="246000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24369" cy="2460005"/>
                    </a:xfrm>
                    <a:prstGeom prst="rect">
                      <a:avLst/>
                    </a:prstGeom>
                    <a:noFill/>
                    <a:ln>
                      <a:noFill/>
                    </a:ln>
                  </pic:spPr>
                </pic:pic>
              </a:graphicData>
            </a:graphic>
          </wp:anchor>
        </w:drawing>
      </w:r>
    </w:p>
    <w:p w14:paraId="7ABCB312" w14:textId="2BA50CB0" w:rsidR="007A285C" w:rsidRDefault="007A285C" w:rsidP="007A285C">
      <w:pPr>
        <w:pStyle w:val="NormalIndent"/>
        <w:ind w:firstLine="0"/>
        <w:rPr>
          <w:lang w:val="tr-TR"/>
        </w:rPr>
      </w:pPr>
    </w:p>
    <w:p w14:paraId="75E474CE" w14:textId="4ED1C375" w:rsidR="007A285C" w:rsidRDefault="007A285C" w:rsidP="007A285C">
      <w:pPr>
        <w:pStyle w:val="NormalIndent"/>
        <w:ind w:firstLine="0"/>
        <w:rPr>
          <w:lang w:val="tr-TR"/>
        </w:rPr>
      </w:pPr>
    </w:p>
    <w:p w14:paraId="60442F60" w14:textId="4B53C8C9" w:rsidR="007A285C" w:rsidRDefault="007A285C" w:rsidP="007A285C">
      <w:pPr>
        <w:pStyle w:val="NormalIndent"/>
        <w:ind w:firstLine="0"/>
        <w:rPr>
          <w:lang w:val="tr-TR"/>
        </w:rPr>
      </w:pPr>
    </w:p>
    <w:p w14:paraId="684AB72F" w14:textId="312C128A" w:rsidR="007A285C" w:rsidRDefault="007A285C" w:rsidP="007A285C">
      <w:pPr>
        <w:pStyle w:val="NormalIndent"/>
        <w:ind w:firstLine="0"/>
        <w:rPr>
          <w:lang w:val="tr-TR"/>
        </w:rPr>
      </w:pPr>
    </w:p>
    <w:p w14:paraId="02CFFF8B" w14:textId="58FD692A" w:rsidR="007A285C" w:rsidRDefault="007A285C" w:rsidP="007A285C">
      <w:pPr>
        <w:pStyle w:val="NormalIndent"/>
        <w:ind w:firstLine="0"/>
        <w:rPr>
          <w:lang w:val="tr-TR"/>
        </w:rPr>
      </w:pPr>
    </w:p>
    <w:p w14:paraId="0CB85FAE" w14:textId="236C2F35" w:rsidR="007A285C" w:rsidRDefault="007A285C" w:rsidP="007A285C">
      <w:pPr>
        <w:pStyle w:val="NormalIndent"/>
        <w:ind w:firstLine="0"/>
        <w:rPr>
          <w:lang w:val="tr-TR"/>
        </w:rPr>
      </w:pPr>
    </w:p>
    <w:p w14:paraId="085BC12D" w14:textId="0018B5E2" w:rsidR="007A285C" w:rsidRDefault="007A285C" w:rsidP="007A285C">
      <w:pPr>
        <w:pStyle w:val="NormalIndent"/>
        <w:ind w:firstLine="0"/>
        <w:rPr>
          <w:lang w:val="tr-TR"/>
        </w:rPr>
      </w:pPr>
    </w:p>
    <w:p w14:paraId="4F065CD8" w14:textId="766DEB1A" w:rsidR="007A285C" w:rsidRDefault="007A285C" w:rsidP="007A285C">
      <w:pPr>
        <w:pStyle w:val="NormalIndent"/>
        <w:ind w:firstLine="0"/>
        <w:rPr>
          <w:lang w:val="tr-TR"/>
        </w:rPr>
      </w:pPr>
    </w:p>
    <w:p w14:paraId="622BE6E4" w14:textId="7F8245CA" w:rsidR="007A285C" w:rsidRDefault="007A285C" w:rsidP="007A285C">
      <w:pPr>
        <w:pStyle w:val="NormalIndent"/>
        <w:ind w:firstLine="0"/>
        <w:rPr>
          <w:lang w:val="tr-TR"/>
        </w:rPr>
      </w:pPr>
    </w:p>
    <w:p w14:paraId="43BC6486" w14:textId="6D3A4B93" w:rsidR="007A285C" w:rsidRDefault="00C35B3A" w:rsidP="007A285C">
      <w:pPr>
        <w:pStyle w:val="NormalIndent"/>
        <w:ind w:firstLine="0"/>
        <w:rPr>
          <w:lang w:val="tr-TR"/>
        </w:rPr>
      </w:pPr>
      <w:r>
        <w:rPr>
          <w:lang w:val="tr-TR"/>
        </w:rPr>
        <w:lastRenderedPageBreak/>
        <w:t xml:space="preserve">Ek Tablo </w:t>
      </w:r>
      <w:r w:rsidR="00F3412A">
        <w:rPr>
          <w:lang w:val="tr-TR"/>
        </w:rPr>
        <w:t>A</w:t>
      </w:r>
      <w:r>
        <w:rPr>
          <w:lang w:val="tr-TR"/>
        </w:rPr>
        <w:t>5: Çeyreklik ihracat büyüme rakamları</w:t>
      </w:r>
    </w:p>
    <w:p w14:paraId="09DEFE36" w14:textId="3C2A05B2" w:rsidR="00C35B3A" w:rsidRDefault="00C35B3A" w:rsidP="007A285C">
      <w:pPr>
        <w:pStyle w:val="NormalIndent"/>
        <w:ind w:firstLine="0"/>
        <w:rPr>
          <w:lang w:val="tr-TR"/>
        </w:rPr>
      </w:pPr>
      <w:r w:rsidRPr="00C35B3A">
        <w:rPr>
          <w:noProof/>
          <w:lang w:val="en-GB" w:eastAsia="en-GB"/>
        </w:rPr>
        <w:drawing>
          <wp:anchor distT="0" distB="0" distL="114300" distR="114300" simplePos="0" relativeHeight="251663872" behindDoc="1" locked="0" layoutInCell="1" allowOverlap="1" wp14:anchorId="11BEC43A" wp14:editId="1332E5FB">
            <wp:simplePos x="0" y="0"/>
            <wp:positionH relativeFrom="margin">
              <wp:align>left</wp:align>
            </wp:positionH>
            <wp:positionV relativeFrom="paragraph">
              <wp:posOffset>141578</wp:posOffset>
            </wp:positionV>
            <wp:extent cx="7115532" cy="245695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5532" cy="2456953"/>
                    </a:xfrm>
                    <a:prstGeom prst="rect">
                      <a:avLst/>
                    </a:prstGeom>
                    <a:noFill/>
                    <a:ln>
                      <a:noFill/>
                    </a:ln>
                  </pic:spPr>
                </pic:pic>
              </a:graphicData>
            </a:graphic>
          </wp:anchor>
        </w:drawing>
      </w:r>
    </w:p>
    <w:p w14:paraId="46965AE0" w14:textId="0267A6AF" w:rsidR="00C35B3A" w:rsidRDefault="00C35B3A" w:rsidP="007A285C">
      <w:pPr>
        <w:pStyle w:val="NormalIndent"/>
        <w:ind w:firstLine="0"/>
        <w:rPr>
          <w:lang w:val="tr-TR"/>
        </w:rPr>
      </w:pPr>
    </w:p>
    <w:p w14:paraId="73AB5D9F" w14:textId="08E6EC04" w:rsidR="00C35B3A" w:rsidRDefault="00C35B3A" w:rsidP="007A285C">
      <w:pPr>
        <w:pStyle w:val="NormalIndent"/>
        <w:ind w:firstLine="0"/>
        <w:rPr>
          <w:lang w:val="tr-TR"/>
        </w:rPr>
      </w:pPr>
    </w:p>
    <w:p w14:paraId="24704034" w14:textId="4EEEB346" w:rsidR="00C35B3A" w:rsidRDefault="00C35B3A" w:rsidP="007A285C">
      <w:pPr>
        <w:pStyle w:val="NormalIndent"/>
        <w:ind w:firstLine="0"/>
        <w:rPr>
          <w:lang w:val="tr-TR"/>
        </w:rPr>
      </w:pPr>
    </w:p>
    <w:p w14:paraId="3C4BD827" w14:textId="744EC2ED" w:rsidR="00C35B3A" w:rsidRDefault="00C35B3A" w:rsidP="007A285C">
      <w:pPr>
        <w:pStyle w:val="NormalIndent"/>
        <w:ind w:firstLine="0"/>
        <w:rPr>
          <w:lang w:val="tr-TR"/>
        </w:rPr>
      </w:pPr>
    </w:p>
    <w:p w14:paraId="31E1730D" w14:textId="1909B02C" w:rsidR="00C35B3A" w:rsidRDefault="00C35B3A" w:rsidP="007A285C">
      <w:pPr>
        <w:pStyle w:val="NormalIndent"/>
        <w:ind w:firstLine="0"/>
        <w:rPr>
          <w:lang w:val="tr-TR"/>
        </w:rPr>
      </w:pPr>
    </w:p>
    <w:p w14:paraId="06D7F97A" w14:textId="22317CA9" w:rsidR="00C35B3A" w:rsidRDefault="00C35B3A" w:rsidP="007A285C">
      <w:pPr>
        <w:pStyle w:val="NormalIndent"/>
        <w:ind w:firstLine="0"/>
        <w:rPr>
          <w:lang w:val="tr-TR"/>
        </w:rPr>
      </w:pPr>
    </w:p>
    <w:p w14:paraId="27BFD7AA" w14:textId="37E254AD" w:rsidR="00C35B3A" w:rsidRDefault="00C35B3A" w:rsidP="007A285C">
      <w:pPr>
        <w:pStyle w:val="NormalIndent"/>
        <w:ind w:firstLine="0"/>
        <w:rPr>
          <w:lang w:val="tr-TR"/>
        </w:rPr>
      </w:pPr>
    </w:p>
    <w:p w14:paraId="64336980" w14:textId="7E0845A9" w:rsidR="00C35B3A" w:rsidRDefault="00C35B3A" w:rsidP="007A285C">
      <w:pPr>
        <w:pStyle w:val="NormalIndent"/>
        <w:ind w:firstLine="0"/>
        <w:rPr>
          <w:lang w:val="tr-TR"/>
        </w:rPr>
      </w:pPr>
    </w:p>
    <w:p w14:paraId="31085AAC" w14:textId="12E25E43" w:rsidR="00C35B3A" w:rsidRDefault="00C35B3A" w:rsidP="007A285C">
      <w:pPr>
        <w:pStyle w:val="NormalIndent"/>
        <w:ind w:firstLine="0"/>
        <w:rPr>
          <w:lang w:val="tr-TR"/>
        </w:rPr>
      </w:pPr>
    </w:p>
    <w:p w14:paraId="02441E74" w14:textId="4E33EFFB" w:rsidR="00C35B3A" w:rsidRDefault="00C35B3A" w:rsidP="007A285C">
      <w:pPr>
        <w:pStyle w:val="NormalIndent"/>
        <w:ind w:firstLine="0"/>
        <w:rPr>
          <w:lang w:val="tr-TR"/>
        </w:rPr>
      </w:pPr>
    </w:p>
    <w:p w14:paraId="5CB29206" w14:textId="54EF946E" w:rsidR="00C35B3A" w:rsidRDefault="00C35B3A" w:rsidP="007A285C">
      <w:pPr>
        <w:pStyle w:val="NormalIndent"/>
        <w:ind w:firstLine="0"/>
        <w:rPr>
          <w:lang w:val="tr-TR"/>
        </w:rPr>
      </w:pPr>
    </w:p>
    <w:p w14:paraId="0822999B" w14:textId="2B23BED3" w:rsidR="00C35B3A" w:rsidRDefault="00C35B3A" w:rsidP="007A285C">
      <w:pPr>
        <w:pStyle w:val="NormalIndent"/>
        <w:ind w:firstLine="0"/>
        <w:rPr>
          <w:lang w:val="tr-TR"/>
        </w:rPr>
      </w:pPr>
    </w:p>
    <w:p w14:paraId="6D970146" w14:textId="70722AA7" w:rsidR="00C35B3A" w:rsidRDefault="00C35B3A" w:rsidP="007A285C">
      <w:pPr>
        <w:pStyle w:val="NormalIndent"/>
        <w:ind w:firstLine="0"/>
        <w:rPr>
          <w:lang w:val="tr-TR"/>
        </w:rPr>
      </w:pPr>
      <w:r>
        <w:rPr>
          <w:lang w:val="tr-TR"/>
        </w:rPr>
        <w:t xml:space="preserve">Ek Tablo </w:t>
      </w:r>
      <w:r w:rsidR="00F3412A">
        <w:rPr>
          <w:lang w:val="tr-TR"/>
        </w:rPr>
        <w:t>A</w:t>
      </w:r>
      <w:r>
        <w:rPr>
          <w:lang w:val="tr-TR"/>
        </w:rPr>
        <w:t>6: Çeyreklik ithalat büyüme rakamları</w:t>
      </w:r>
    </w:p>
    <w:p w14:paraId="0C98F2A3" w14:textId="230C1622" w:rsidR="00C42F4B" w:rsidRDefault="00C42F4B" w:rsidP="007A285C">
      <w:pPr>
        <w:pStyle w:val="NormalIndent"/>
        <w:ind w:firstLine="0"/>
        <w:rPr>
          <w:lang w:val="tr-TR"/>
        </w:rPr>
      </w:pPr>
    </w:p>
    <w:p w14:paraId="59827EAF" w14:textId="1CB94A47" w:rsidR="00C42F4B" w:rsidRDefault="00C42F4B" w:rsidP="007A285C">
      <w:pPr>
        <w:pStyle w:val="NormalIndent"/>
        <w:ind w:firstLine="0"/>
        <w:rPr>
          <w:lang w:val="tr-TR"/>
        </w:rPr>
      </w:pPr>
      <w:r w:rsidRPr="00C35B3A">
        <w:rPr>
          <w:noProof/>
          <w:lang w:val="en-GB" w:eastAsia="en-GB"/>
        </w:rPr>
        <w:drawing>
          <wp:anchor distT="0" distB="0" distL="114300" distR="114300" simplePos="0" relativeHeight="251653632" behindDoc="1" locked="0" layoutInCell="1" allowOverlap="1" wp14:anchorId="66A13C52" wp14:editId="22AD802A">
            <wp:simplePos x="0" y="0"/>
            <wp:positionH relativeFrom="margin">
              <wp:posOffset>-3810</wp:posOffset>
            </wp:positionH>
            <wp:positionV relativeFrom="paragraph">
              <wp:posOffset>8890</wp:posOffset>
            </wp:positionV>
            <wp:extent cx="7100515" cy="2451768"/>
            <wp:effectExtent l="0" t="0" r="571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00515" cy="24517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5D3D7" w14:textId="44FFDA41" w:rsidR="00C42F4B" w:rsidRDefault="00C42F4B" w:rsidP="007A285C">
      <w:pPr>
        <w:pStyle w:val="NormalIndent"/>
        <w:ind w:firstLine="0"/>
        <w:rPr>
          <w:lang w:val="tr-TR"/>
        </w:rPr>
      </w:pPr>
    </w:p>
    <w:p w14:paraId="51E6DBFF" w14:textId="51F22506" w:rsidR="00C42F4B" w:rsidRDefault="00C42F4B" w:rsidP="007A285C">
      <w:pPr>
        <w:pStyle w:val="NormalIndent"/>
        <w:ind w:firstLine="0"/>
        <w:rPr>
          <w:lang w:val="tr-TR"/>
        </w:rPr>
      </w:pPr>
    </w:p>
    <w:p w14:paraId="362A83E7" w14:textId="79F09C2B" w:rsidR="00C42F4B" w:rsidRDefault="00C42F4B" w:rsidP="007A285C">
      <w:pPr>
        <w:pStyle w:val="NormalIndent"/>
        <w:ind w:firstLine="0"/>
        <w:rPr>
          <w:lang w:val="tr-TR"/>
        </w:rPr>
      </w:pPr>
    </w:p>
    <w:p w14:paraId="16CFA9AC" w14:textId="0D74BA48" w:rsidR="00C35B3A" w:rsidRDefault="00C35B3A" w:rsidP="007A285C">
      <w:pPr>
        <w:pStyle w:val="NormalIndent"/>
        <w:ind w:firstLine="0"/>
        <w:rPr>
          <w:lang w:val="tr-TR"/>
        </w:rPr>
      </w:pPr>
    </w:p>
    <w:p w14:paraId="521B2476" w14:textId="33A30068" w:rsidR="00C42F4B" w:rsidRDefault="00C42F4B" w:rsidP="007A285C">
      <w:pPr>
        <w:pStyle w:val="NormalIndent"/>
        <w:ind w:firstLine="0"/>
        <w:rPr>
          <w:lang w:val="tr-TR"/>
        </w:rPr>
      </w:pPr>
    </w:p>
    <w:p w14:paraId="0F5377DE" w14:textId="102A2A36" w:rsidR="00C42F4B" w:rsidRDefault="00C42F4B" w:rsidP="007A285C">
      <w:pPr>
        <w:pStyle w:val="NormalIndent"/>
        <w:ind w:firstLine="0"/>
        <w:rPr>
          <w:lang w:val="tr-TR"/>
        </w:rPr>
      </w:pPr>
    </w:p>
    <w:p w14:paraId="3CA213B0" w14:textId="30DA1803" w:rsidR="00C42F4B" w:rsidRDefault="00C42F4B" w:rsidP="007A285C">
      <w:pPr>
        <w:pStyle w:val="NormalIndent"/>
        <w:ind w:firstLine="0"/>
        <w:rPr>
          <w:lang w:val="tr-TR"/>
        </w:rPr>
      </w:pPr>
    </w:p>
    <w:p w14:paraId="0A2FAFC4" w14:textId="7EE3DD2E" w:rsidR="00C42F4B" w:rsidRDefault="00C42F4B" w:rsidP="007A285C">
      <w:pPr>
        <w:pStyle w:val="NormalIndent"/>
        <w:ind w:firstLine="0"/>
        <w:rPr>
          <w:lang w:val="tr-TR"/>
        </w:rPr>
      </w:pPr>
    </w:p>
    <w:p w14:paraId="06A9199D" w14:textId="26A471EC" w:rsidR="00C42F4B" w:rsidRPr="003572AD" w:rsidRDefault="00C42F4B" w:rsidP="007A285C">
      <w:pPr>
        <w:pStyle w:val="NormalIndent"/>
        <w:ind w:firstLine="0"/>
        <w:rPr>
          <w:b/>
          <w:lang w:val="tr-TR"/>
        </w:rPr>
      </w:pPr>
      <w:r w:rsidRPr="003572AD">
        <w:rPr>
          <w:b/>
          <w:lang w:val="tr-TR"/>
        </w:rPr>
        <w:lastRenderedPageBreak/>
        <w:t xml:space="preserve">EK B: MTEA </w:t>
      </w:r>
      <w:r w:rsidR="00F3412A" w:rsidRPr="003572AD">
        <w:rPr>
          <w:b/>
          <w:lang w:val="tr-TR"/>
        </w:rPr>
        <w:t>INSEE Rakamlarında Revizyonlar</w:t>
      </w:r>
    </w:p>
    <w:p w14:paraId="05C0E22D" w14:textId="491A3004" w:rsidR="00F3412A" w:rsidRDefault="00F3412A" w:rsidP="007A285C">
      <w:pPr>
        <w:pStyle w:val="NormalIndent"/>
        <w:ind w:firstLine="0"/>
        <w:rPr>
          <w:lang w:val="tr-TR"/>
        </w:rPr>
      </w:pPr>
      <w:r>
        <w:rPr>
          <w:lang w:val="tr-TR"/>
        </w:rPr>
        <w:t xml:space="preserve">Ek Tablo B1: </w:t>
      </w:r>
      <w:r w:rsidR="003572AD">
        <w:rPr>
          <w:lang w:val="tr-TR"/>
        </w:rPr>
        <w:t>Çeyreklik GSYH büyüme rakamları, Fransa</w:t>
      </w:r>
    </w:p>
    <w:p w14:paraId="6E7DB937" w14:textId="00568301" w:rsidR="003572AD" w:rsidRDefault="003572AD" w:rsidP="007A285C">
      <w:pPr>
        <w:pStyle w:val="NormalIndent"/>
        <w:ind w:firstLine="0"/>
        <w:rPr>
          <w:lang w:val="tr-TR"/>
        </w:rPr>
      </w:pPr>
      <w:r w:rsidRPr="003572AD">
        <w:rPr>
          <w:noProof/>
          <w:lang w:val="en-GB" w:eastAsia="en-GB"/>
        </w:rPr>
        <w:drawing>
          <wp:anchor distT="0" distB="0" distL="114300" distR="114300" simplePos="0" relativeHeight="251662848" behindDoc="1" locked="0" layoutInCell="1" allowOverlap="1" wp14:anchorId="21535A5C" wp14:editId="751A84A6">
            <wp:simplePos x="0" y="0"/>
            <wp:positionH relativeFrom="column">
              <wp:posOffset>-3810</wp:posOffset>
            </wp:positionH>
            <wp:positionV relativeFrom="paragraph">
              <wp:posOffset>147955</wp:posOffset>
            </wp:positionV>
            <wp:extent cx="7100398" cy="237172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00398"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DADFB" w14:textId="5F33B6CB" w:rsidR="00F3412A" w:rsidRDefault="00F3412A" w:rsidP="007A285C">
      <w:pPr>
        <w:pStyle w:val="NormalIndent"/>
        <w:ind w:firstLine="0"/>
        <w:rPr>
          <w:lang w:val="tr-TR"/>
        </w:rPr>
      </w:pPr>
    </w:p>
    <w:p w14:paraId="5F47D134" w14:textId="0B0D6162" w:rsidR="003572AD" w:rsidRDefault="003572AD" w:rsidP="007A285C">
      <w:pPr>
        <w:pStyle w:val="NormalIndent"/>
        <w:ind w:firstLine="0"/>
        <w:rPr>
          <w:lang w:val="tr-TR"/>
        </w:rPr>
      </w:pPr>
    </w:p>
    <w:p w14:paraId="490EDDCF" w14:textId="5C7475EC" w:rsidR="003572AD" w:rsidRDefault="003572AD" w:rsidP="007A285C">
      <w:pPr>
        <w:pStyle w:val="NormalIndent"/>
        <w:ind w:firstLine="0"/>
        <w:rPr>
          <w:lang w:val="tr-TR"/>
        </w:rPr>
      </w:pPr>
    </w:p>
    <w:p w14:paraId="348E2915" w14:textId="026081FD" w:rsidR="003572AD" w:rsidRDefault="003572AD" w:rsidP="007A285C">
      <w:pPr>
        <w:pStyle w:val="NormalIndent"/>
        <w:ind w:firstLine="0"/>
        <w:rPr>
          <w:lang w:val="tr-TR"/>
        </w:rPr>
      </w:pPr>
    </w:p>
    <w:p w14:paraId="1F359B0F" w14:textId="452FE7E9" w:rsidR="003572AD" w:rsidRDefault="003572AD" w:rsidP="007A285C">
      <w:pPr>
        <w:pStyle w:val="NormalIndent"/>
        <w:ind w:firstLine="0"/>
        <w:rPr>
          <w:lang w:val="tr-TR"/>
        </w:rPr>
      </w:pPr>
    </w:p>
    <w:p w14:paraId="65D87BAD" w14:textId="4E390BD9" w:rsidR="003572AD" w:rsidRDefault="003572AD" w:rsidP="007A285C">
      <w:pPr>
        <w:pStyle w:val="NormalIndent"/>
        <w:ind w:firstLine="0"/>
        <w:rPr>
          <w:lang w:val="tr-TR"/>
        </w:rPr>
      </w:pPr>
    </w:p>
    <w:p w14:paraId="49B6239B" w14:textId="7D3379DA" w:rsidR="003572AD" w:rsidRDefault="003572AD" w:rsidP="007A285C">
      <w:pPr>
        <w:pStyle w:val="NormalIndent"/>
        <w:ind w:firstLine="0"/>
        <w:rPr>
          <w:lang w:val="tr-TR"/>
        </w:rPr>
      </w:pPr>
    </w:p>
    <w:p w14:paraId="4A065F8F" w14:textId="1001C35D" w:rsidR="003572AD" w:rsidRDefault="003572AD" w:rsidP="007A285C">
      <w:pPr>
        <w:pStyle w:val="NormalIndent"/>
        <w:ind w:firstLine="0"/>
        <w:rPr>
          <w:lang w:val="tr-TR"/>
        </w:rPr>
      </w:pPr>
    </w:p>
    <w:p w14:paraId="41357A17" w14:textId="72E12B6A" w:rsidR="003572AD" w:rsidRDefault="003572AD" w:rsidP="007A285C">
      <w:pPr>
        <w:pStyle w:val="NormalIndent"/>
        <w:ind w:firstLine="0"/>
        <w:rPr>
          <w:lang w:val="tr-TR"/>
        </w:rPr>
      </w:pPr>
    </w:p>
    <w:p w14:paraId="0E7C3FAB" w14:textId="48C0D567" w:rsidR="003572AD" w:rsidRDefault="003572AD" w:rsidP="007A285C">
      <w:pPr>
        <w:pStyle w:val="NormalIndent"/>
        <w:ind w:firstLine="0"/>
        <w:rPr>
          <w:lang w:val="tr-TR"/>
        </w:rPr>
      </w:pPr>
    </w:p>
    <w:p w14:paraId="4452932B" w14:textId="5CDA02ED" w:rsidR="003572AD" w:rsidRDefault="003572AD" w:rsidP="007A285C">
      <w:pPr>
        <w:pStyle w:val="NormalIndent"/>
        <w:ind w:firstLine="0"/>
        <w:rPr>
          <w:lang w:val="tr-TR"/>
        </w:rPr>
      </w:pPr>
    </w:p>
    <w:p w14:paraId="14604468" w14:textId="425E68E3" w:rsidR="003572AD" w:rsidRDefault="003572AD" w:rsidP="007A285C">
      <w:pPr>
        <w:pStyle w:val="NormalIndent"/>
        <w:ind w:firstLine="0"/>
        <w:rPr>
          <w:lang w:val="tr-TR"/>
        </w:rPr>
      </w:pPr>
      <w:r>
        <w:rPr>
          <w:lang w:val="tr-TR"/>
        </w:rPr>
        <w:t>Ek Tablo B2: Çeyreklik HH tüketimi büyüme rakamları, Fransa</w:t>
      </w:r>
    </w:p>
    <w:p w14:paraId="1055E7C9" w14:textId="77777777" w:rsidR="003572AD" w:rsidRDefault="003572AD" w:rsidP="007A285C">
      <w:pPr>
        <w:pStyle w:val="NormalIndent"/>
        <w:ind w:firstLine="0"/>
        <w:rPr>
          <w:lang w:val="tr-TR"/>
        </w:rPr>
      </w:pPr>
    </w:p>
    <w:p w14:paraId="6BA6D084" w14:textId="3E382376" w:rsidR="003572AD" w:rsidRDefault="003572AD" w:rsidP="007A285C">
      <w:pPr>
        <w:pStyle w:val="NormalIndent"/>
        <w:ind w:firstLine="0"/>
        <w:rPr>
          <w:lang w:val="tr-TR"/>
        </w:rPr>
      </w:pPr>
      <w:r w:rsidRPr="003572AD">
        <w:rPr>
          <w:noProof/>
          <w:lang w:val="en-GB" w:eastAsia="en-GB"/>
        </w:rPr>
        <w:drawing>
          <wp:anchor distT="0" distB="0" distL="114300" distR="114300" simplePos="0" relativeHeight="251664896" behindDoc="1" locked="0" layoutInCell="1" allowOverlap="1" wp14:anchorId="5923A6D7" wp14:editId="155FD9C1">
            <wp:simplePos x="0" y="0"/>
            <wp:positionH relativeFrom="column">
              <wp:posOffset>-4446</wp:posOffset>
            </wp:positionH>
            <wp:positionV relativeFrom="paragraph">
              <wp:posOffset>5080</wp:posOffset>
            </wp:positionV>
            <wp:extent cx="7077075" cy="236393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08201" cy="23743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A0DD1" w14:textId="4CAFF85C" w:rsidR="003572AD" w:rsidRDefault="003572AD" w:rsidP="007A285C">
      <w:pPr>
        <w:pStyle w:val="NormalIndent"/>
        <w:ind w:firstLine="0"/>
        <w:rPr>
          <w:lang w:val="tr-TR"/>
        </w:rPr>
      </w:pPr>
    </w:p>
    <w:p w14:paraId="15D7C6BA" w14:textId="09CCDCDB" w:rsidR="003572AD" w:rsidRDefault="003572AD" w:rsidP="007A285C">
      <w:pPr>
        <w:pStyle w:val="NormalIndent"/>
        <w:ind w:firstLine="0"/>
        <w:rPr>
          <w:lang w:val="tr-TR"/>
        </w:rPr>
      </w:pPr>
    </w:p>
    <w:p w14:paraId="134182B8" w14:textId="5340996B" w:rsidR="003572AD" w:rsidRDefault="003572AD" w:rsidP="007A285C">
      <w:pPr>
        <w:pStyle w:val="NormalIndent"/>
        <w:ind w:firstLine="0"/>
        <w:rPr>
          <w:lang w:val="tr-TR"/>
        </w:rPr>
      </w:pPr>
    </w:p>
    <w:p w14:paraId="704A9022" w14:textId="778868A0" w:rsidR="003572AD" w:rsidRDefault="003572AD" w:rsidP="007A285C">
      <w:pPr>
        <w:pStyle w:val="NormalIndent"/>
        <w:ind w:firstLine="0"/>
        <w:rPr>
          <w:lang w:val="tr-TR"/>
        </w:rPr>
      </w:pPr>
    </w:p>
    <w:p w14:paraId="4722C121" w14:textId="1B57E456" w:rsidR="003572AD" w:rsidRDefault="003572AD" w:rsidP="007A285C">
      <w:pPr>
        <w:pStyle w:val="NormalIndent"/>
        <w:ind w:firstLine="0"/>
        <w:rPr>
          <w:lang w:val="tr-TR"/>
        </w:rPr>
      </w:pPr>
    </w:p>
    <w:p w14:paraId="15DF6673" w14:textId="366A0DE3" w:rsidR="003572AD" w:rsidRDefault="003572AD" w:rsidP="007A285C">
      <w:pPr>
        <w:pStyle w:val="NormalIndent"/>
        <w:ind w:firstLine="0"/>
        <w:rPr>
          <w:lang w:val="tr-TR"/>
        </w:rPr>
      </w:pPr>
    </w:p>
    <w:p w14:paraId="1DA39B94" w14:textId="289435A3" w:rsidR="003572AD" w:rsidRDefault="003572AD" w:rsidP="007A285C">
      <w:pPr>
        <w:pStyle w:val="NormalIndent"/>
        <w:ind w:firstLine="0"/>
        <w:rPr>
          <w:lang w:val="tr-TR"/>
        </w:rPr>
      </w:pPr>
    </w:p>
    <w:p w14:paraId="7F532B68" w14:textId="4EF04D10" w:rsidR="003572AD" w:rsidRPr="007A285C" w:rsidRDefault="003572AD" w:rsidP="007A285C">
      <w:pPr>
        <w:pStyle w:val="NormalIndent"/>
        <w:ind w:firstLine="0"/>
        <w:rPr>
          <w:lang w:val="tr-TR"/>
        </w:rPr>
      </w:pPr>
    </w:p>
    <w:sectPr w:rsidR="003572AD" w:rsidRPr="007A285C" w:rsidSect="007A28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AE7C" w14:textId="77777777" w:rsidR="00DE5CBC" w:rsidRDefault="00DE5CBC" w:rsidP="00F34EF8">
      <w:pPr>
        <w:spacing w:line="240" w:lineRule="auto"/>
      </w:pPr>
      <w:r>
        <w:separator/>
      </w:r>
    </w:p>
  </w:endnote>
  <w:endnote w:type="continuationSeparator" w:id="0">
    <w:p w14:paraId="332E2ACD" w14:textId="77777777" w:rsidR="00DE5CBC" w:rsidRDefault="00DE5CBC" w:rsidP="00F34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6405" w14:textId="77777777" w:rsidR="00DE5CBC" w:rsidRDefault="00DE5CBC" w:rsidP="00F34EF8">
      <w:pPr>
        <w:spacing w:line="240" w:lineRule="auto"/>
      </w:pPr>
      <w:r>
        <w:separator/>
      </w:r>
    </w:p>
  </w:footnote>
  <w:footnote w:type="continuationSeparator" w:id="0">
    <w:p w14:paraId="5C350E64" w14:textId="77777777" w:rsidR="00DE5CBC" w:rsidRDefault="00DE5CBC" w:rsidP="00F34EF8">
      <w:pPr>
        <w:spacing w:line="240" w:lineRule="auto"/>
      </w:pPr>
      <w:r>
        <w:continuationSeparator/>
      </w:r>
    </w:p>
  </w:footnote>
  <w:footnote w:id="1">
    <w:p w14:paraId="1FCB5AF4" w14:textId="6900CD72" w:rsidR="00C42F4B" w:rsidRPr="00CF447A" w:rsidRDefault="00C42F4B">
      <w:pPr>
        <w:pStyle w:val="FootnoteText"/>
        <w:rPr>
          <w:lang w:val="tr-TR"/>
        </w:rPr>
      </w:pPr>
      <w:r w:rsidRPr="00CF447A">
        <w:rPr>
          <w:rStyle w:val="FootnoteReference"/>
          <w:lang w:val="tr-TR"/>
        </w:rPr>
        <w:t>*</w:t>
      </w:r>
      <w:r w:rsidRPr="00CF447A">
        <w:rPr>
          <w:lang w:val="tr-TR"/>
        </w:rPr>
        <w:t xml:space="preserve"> </w:t>
      </w:r>
      <w:r w:rsidRPr="00CF447A">
        <w:rPr>
          <w:lang w:val="tr-TR"/>
        </w:rPr>
        <w:tab/>
      </w:r>
      <w:r w:rsidRPr="00CF447A">
        <w:rPr>
          <w:lang w:val="tr-TR"/>
        </w:rPr>
        <w:tab/>
        <w:t xml:space="preserve">Betam, Direktör, </w:t>
      </w:r>
      <w:hyperlink r:id="rId1" w:history="1">
        <w:r w:rsidRPr="00CF447A">
          <w:rPr>
            <w:rStyle w:val="Hyperlink"/>
            <w:lang w:val="tr-TR"/>
          </w:rPr>
          <w:t>seyfettin.gursel@eas.bau.edu.tr</w:t>
        </w:r>
      </w:hyperlink>
      <w:r w:rsidRPr="00CF447A">
        <w:rPr>
          <w:lang w:val="tr-TR"/>
        </w:rPr>
        <w:t xml:space="preserve"> </w:t>
      </w:r>
    </w:p>
  </w:footnote>
  <w:footnote w:id="2">
    <w:p w14:paraId="39E97515" w14:textId="0C93F49B" w:rsidR="00C42F4B" w:rsidRPr="00CF447A" w:rsidRDefault="00C42F4B">
      <w:pPr>
        <w:pStyle w:val="FootnoteText"/>
        <w:rPr>
          <w:lang w:val="tr-TR"/>
        </w:rPr>
      </w:pPr>
      <w:r w:rsidRPr="00CF447A">
        <w:rPr>
          <w:rStyle w:val="FootnoteReference"/>
          <w:lang w:val="tr-TR"/>
        </w:rPr>
        <w:t>**</w:t>
      </w:r>
      <w:r w:rsidRPr="00CF447A">
        <w:rPr>
          <w:lang w:val="tr-TR"/>
        </w:rPr>
        <w:t xml:space="preserve"> </w:t>
      </w:r>
      <w:r w:rsidRPr="00CF447A">
        <w:rPr>
          <w:lang w:val="tr-TR"/>
        </w:rPr>
        <w:tab/>
      </w:r>
      <w:r w:rsidRPr="00CF447A">
        <w:rPr>
          <w:lang w:val="tr-TR"/>
        </w:rPr>
        <w:tab/>
        <w:t xml:space="preserve">Betam, Direktör Yardımcısı, </w:t>
      </w:r>
      <w:hyperlink r:id="rId2" w:history="1">
        <w:r w:rsidRPr="00CF447A">
          <w:rPr>
            <w:rStyle w:val="Hyperlink"/>
            <w:lang w:val="tr-TR"/>
          </w:rPr>
          <w:t>ozan.bakis@eas.bau.edu.tr</w:t>
        </w:r>
      </w:hyperlink>
    </w:p>
  </w:footnote>
  <w:footnote w:id="3">
    <w:p w14:paraId="65EC41C6" w14:textId="3C8C06D8" w:rsidR="00C42F4B" w:rsidRPr="00CF447A" w:rsidRDefault="00C42F4B">
      <w:pPr>
        <w:pStyle w:val="FootnoteText"/>
        <w:rPr>
          <w:lang w:val="tr-TR"/>
        </w:rPr>
      </w:pPr>
      <w:r w:rsidRPr="00CF447A">
        <w:rPr>
          <w:rStyle w:val="FootnoteReference"/>
          <w:lang w:val="tr-TR"/>
        </w:rPr>
        <w:t>***</w:t>
      </w:r>
      <w:r w:rsidRPr="00CF447A">
        <w:rPr>
          <w:lang w:val="tr-TR"/>
        </w:rPr>
        <w:t xml:space="preserve"> </w:t>
      </w:r>
      <w:r w:rsidRPr="00CF447A">
        <w:rPr>
          <w:lang w:val="tr-TR"/>
        </w:rPr>
        <w:tab/>
      </w:r>
      <w:r w:rsidRPr="00CF447A">
        <w:rPr>
          <w:lang w:val="tr-TR"/>
        </w:rPr>
        <w:tab/>
        <w:t xml:space="preserve">Betam, Araştırma Asistanı,, </w:t>
      </w:r>
      <w:hyperlink r:id="rId3" w:history="1">
        <w:r w:rsidRPr="00CF447A">
          <w:rPr>
            <w:rStyle w:val="Hyperlink"/>
            <w:lang w:val="tr-TR"/>
          </w:rPr>
          <w:t>ugurcan.acar@eas.bau.edu.tr</w:t>
        </w:r>
      </w:hyperlink>
      <w:r w:rsidRPr="00CF447A">
        <w:rPr>
          <w:lang w:val="tr-TR"/>
        </w:rPr>
        <w:t xml:space="preserve"> </w:t>
      </w:r>
    </w:p>
  </w:footnote>
  <w:footnote w:id="4">
    <w:p w14:paraId="6A4B2736" w14:textId="6A545258" w:rsidR="00D37E50" w:rsidRPr="00CF447A" w:rsidRDefault="00D37E50" w:rsidP="00D37E50">
      <w:pPr>
        <w:pStyle w:val="FootnoteText"/>
        <w:rPr>
          <w:lang w:val="tr-TR"/>
        </w:rPr>
      </w:pPr>
      <w:r w:rsidRPr="00CF447A">
        <w:rPr>
          <w:rStyle w:val="FootnoteReference"/>
          <w:lang w:val="tr-TR"/>
        </w:rPr>
        <w:footnoteRef/>
      </w:r>
      <w:r w:rsidRPr="00CF447A">
        <w:rPr>
          <w:lang w:val="tr-TR"/>
        </w:rPr>
        <w:t xml:space="preserve"> </w:t>
      </w:r>
      <w:r w:rsidRPr="00CF447A">
        <w:rPr>
          <w:lang w:val="tr-TR"/>
        </w:rPr>
        <w:tab/>
      </w:r>
      <w:r w:rsidRPr="00CF447A">
        <w:rPr>
          <w:lang w:val="tr-TR"/>
        </w:rPr>
        <w:tab/>
        <w:t xml:space="preserve">Betam </w:t>
      </w:r>
      <w:r w:rsidR="00CB7614" w:rsidRPr="00CF447A">
        <w:rPr>
          <w:lang w:val="tr-TR"/>
        </w:rPr>
        <w:t>Araştırma Notu,</w:t>
      </w:r>
      <w:r w:rsidRPr="00CF447A">
        <w:rPr>
          <w:lang w:val="tr-TR"/>
        </w:rPr>
        <w:t xml:space="preserve"> 18/221: </w:t>
      </w:r>
      <w:hyperlink r:id="rId4" w:history="1">
        <w:r w:rsidRPr="00CF447A">
          <w:rPr>
            <w:rStyle w:val="Hyperlink"/>
            <w:lang w:val="tr-TR"/>
          </w:rPr>
          <w:t>https://betam.bahcesehir.edu.tr/2018/01/buyumede-sasirtici-revizyonlar/</w:t>
        </w:r>
      </w:hyperlink>
    </w:p>
  </w:footnote>
  <w:footnote w:id="5">
    <w:p w14:paraId="1D6BE7BF" w14:textId="5C224C00" w:rsidR="00F34EF8" w:rsidRPr="00CF447A" w:rsidRDefault="00F34EF8">
      <w:pPr>
        <w:pStyle w:val="FootnoteText"/>
        <w:rPr>
          <w:lang w:val="tr-TR"/>
        </w:rPr>
      </w:pPr>
      <w:r w:rsidRPr="00CF447A">
        <w:rPr>
          <w:rStyle w:val="FootnoteReference"/>
          <w:lang w:val="tr-TR"/>
        </w:rPr>
        <w:footnoteRef/>
      </w:r>
      <w:r w:rsidRPr="00CF447A">
        <w:rPr>
          <w:lang w:val="tr-TR"/>
        </w:rPr>
        <w:t xml:space="preserve"> </w:t>
      </w:r>
      <w:r w:rsidR="00EF6717" w:rsidRPr="00CF447A">
        <w:rPr>
          <w:lang w:val="tr-TR"/>
        </w:rPr>
        <w:tab/>
      </w:r>
      <w:r w:rsidR="00EF6717" w:rsidRPr="00CF447A">
        <w:rPr>
          <w:lang w:val="tr-TR"/>
        </w:rPr>
        <w:tab/>
      </w:r>
      <w:r w:rsidR="00CB7614" w:rsidRPr="00CF447A">
        <w:rPr>
          <w:lang w:val="tr-TR"/>
        </w:rPr>
        <w:t>Z</w:t>
      </w:r>
      <w:r w:rsidR="00FA6395" w:rsidRPr="00CF447A">
        <w:rPr>
          <w:lang w:val="tr-TR"/>
        </w:rPr>
        <w:t>incirleme hacim endeksine geçiş sonrası GSYH serilerinde oluşan farklıların nedenlerini</w:t>
      </w:r>
      <w:r w:rsidR="00CB7614" w:rsidRPr="00CF447A">
        <w:rPr>
          <w:lang w:val="tr-TR"/>
        </w:rPr>
        <w:t>n</w:t>
      </w:r>
      <w:r w:rsidR="00FA6395" w:rsidRPr="00CF447A">
        <w:rPr>
          <w:lang w:val="tr-TR"/>
        </w:rPr>
        <w:t xml:space="preserve"> incele</w:t>
      </w:r>
      <w:r w:rsidR="00CB7614" w:rsidRPr="00CF447A">
        <w:rPr>
          <w:lang w:val="tr-TR"/>
        </w:rPr>
        <w:t>n</w:t>
      </w:r>
      <w:r w:rsidR="00FA6395" w:rsidRPr="00CF447A">
        <w:rPr>
          <w:lang w:val="tr-TR"/>
        </w:rPr>
        <w:t xml:space="preserve">diği araştırma notu </w:t>
      </w:r>
      <w:r w:rsidR="00961D8F" w:rsidRPr="00CF447A">
        <w:rPr>
          <w:lang w:val="tr-TR"/>
        </w:rPr>
        <w:t xml:space="preserve">için </w:t>
      </w:r>
      <w:r w:rsidR="00E7043B" w:rsidRPr="00CF447A">
        <w:rPr>
          <w:lang w:val="tr-TR"/>
        </w:rPr>
        <w:t>b</w:t>
      </w:r>
      <w:r w:rsidR="00CB7614" w:rsidRPr="00CF447A">
        <w:rPr>
          <w:lang w:val="tr-TR"/>
        </w:rPr>
        <w:t>kz. Betam Araştırma Notu, 18/203</w:t>
      </w:r>
      <w:r w:rsidR="00E7043B" w:rsidRPr="00CF447A">
        <w:rPr>
          <w:lang w:val="tr-TR"/>
        </w:rPr>
        <w:t>:</w:t>
      </w:r>
      <w:r w:rsidR="00CB7614" w:rsidRPr="00CF447A">
        <w:rPr>
          <w:lang w:val="tr-TR"/>
        </w:rPr>
        <w:t xml:space="preserve"> </w:t>
      </w:r>
      <w:r w:rsidR="00E7043B" w:rsidRPr="00CF447A">
        <w:rPr>
          <w:lang w:val="tr-TR"/>
        </w:rPr>
        <w:t xml:space="preserve"> </w:t>
      </w:r>
      <w:hyperlink r:id="rId5" w:history="1">
        <w:r w:rsidR="004C4C48" w:rsidRPr="00CF447A">
          <w:rPr>
            <w:rStyle w:val="Hyperlink"/>
            <w:lang w:val="tr-TR"/>
          </w:rPr>
          <w:t>https://betam.bahcesehir.edu.tr/2016/12/eski-ve-yeni-gsyh-serileri-arasindaki-farklar-ve-nedenleri/</w:t>
        </w:r>
      </w:hyperlink>
    </w:p>
  </w:footnote>
  <w:footnote w:id="6">
    <w:p w14:paraId="3B5957A7" w14:textId="4EF78E95" w:rsidR="00B16E76" w:rsidRPr="00CF447A" w:rsidRDefault="00B16E76">
      <w:pPr>
        <w:pStyle w:val="FootnoteText"/>
        <w:rPr>
          <w:lang w:val="tr-TR"/>
        </w:rPr>
      </w:pPr>
      <w:r w:rsidRPr="00CF447A">
        <w:rPr>
          <w:rStyle w:val="FootnoteReference"/>
          <w:lang w:val="tr-TR"/>
        </w:rPr>
        <w:footnoteRef/>
      </w:r>
      <w:r w:rsidRPr="00CF447A">
        <w:rPr>
          <w:lang w:val="tr-TR"/>
        </w:rPr>
        <w:t xml:space="preserve"> </w:t>
      </w:r>
      <w:r w:rsidR="00EF6717" w:rsidRPr="00CF447A">
        <w:rPr>
          <w:lang w:val="tr-TR"/>
        </w:rPr>
        <w:tab/>
      </w:r>
      <w:r w:rsidR="00EF6717" w:rsidRPr="00CF447A">
        <w:rPr>
          <w:lang w:val="tr-TR"/>
        </w:rPr>
        <w:tab/>
      </w:r>
      <w:r w:rsidRPr="00CF447A">
        <w:rPr>
          <w:lang w:val="tr-TR"/>
        </w:rPr>
        <w:t xml:space="preserve">Bakınız: TÜİK Revizyon El Kitabı, </w:t>
      </w:r>
      <w:r w:rsidR="001F11DF" w:rsidRPr="00CF447A">
        <w:rPr>
          <w:lang w:val="tr-TR"/>
        </w:rPr>
        <w:t xml:space="preserve">s. 13-14. Öte yandan haber bülteni sayfasındaki “mevsimsel düzeltme” başlığında </w:t>
      </w:r>
      <w:r w:rsidR="0039745A" w:rsidRPr="00CF447A">
        <w:rPr>
          <w:lang w:val="tr-TR"/>
        </w:rPr>
        <w:t>mevsimsel faktörlerinde yılda bir kez ikinci çeyrekte belirlendiği</w:t>
      </w:r>
      <w:r w:rsidR="00F03825" w:rsidRPr="00CF447A">
        <w:rPr>
          <w:lang w:val="tr-TR"/>
        </w:rPr>
        <w:t xml:space="preserve">, tahmin edilen mevsimsel faktörlerin ve aykırı değerlerin her çeyrekte kontrol edildiği ve gerekirse cari yıl ve önceki 3 yılın verilerinin revize edildiği belirtilmektedir. </w:t>
      </w:r>
      <w:r w:rsidR="00BD5676" w:rsidRPr="00CF447A">
        <w:rPr>
          <w:lang w:val="tr-TR"/>
        </w:rPr>
        <w:t xml:space="preserve">Mevsim ve takvim etkilerinden arındırma işlemi için belirlenen model yapısı dört dönem boyunca sabit tutulmakta, </w:t>
      </w:r>
      <w:r w:rsidR="00B75A2D" w:rsidRPr="00CF447A">
        <w:rPr>
          <w:lang w:val="tr-TR"/>
        </w:rPr>
        <w:t xml:space="preserve">fakat her yıl için yeni bir model tahmin edilmektedir. </w:t>
      </w:r>
    </w:p>
  </w:footnote>
  <w:footnote w:id="7">
    <w:p w14:paraId="7CD4D6BD" w14:textId="77777777" w:rsidR="004A6B9C" w:rsidRPr="00CF447A" w:rsidRDefault="004A6B9C" w:rsidP="004A6B9C">
      <w:pPr>
        <w:pStyle w:val="FootnoteText"/>
        <w:jc w:val="left"/>
        <w:rPr>
          <w:lang w:val="tr-TR"/>
        </w:rPr>
      </w:pPr>
      <w:r w:rsidRPr="00CF447A">
        <w:rPr>
          <w:rStyle w:val="FootnoteReference"/>
          <w:lang w:val="tr-TR"/>
        </w:rPr>
        <w:footnoteRef/>
      </w:r>
      <w:r w:rsidRPr="00CF447A">
        <w:rPr>
          <w:lang w:val="tr-TR"/>
        </w:rPr>
        <w:t xml:space="preserve"> </w:t>
      </w:r>
      <w:r w:rsidRPr="00CF447A">
        <w:rPr>
          <w:lang w:val="tr-TR"/>
        </w:rPr>
        <w:tab/>
      </w:r>
      <w:r w:rsidRPr="00CF447A">
        <w:rPr>
          <w:lang w:val="tr-TR"/>
        </w:rPr>
        <w:tab/>
        <w:t xml:space="preserve">Revizyonla ilgili detaylı açıklama için bakınız: </w:t>
      </w:r>
      <w:hyperlink r:id="rId6" w:history="1">
        <w:r w:rsidRPr="00CF447A">
          <w:rPr>
            <w:rStyle w:val="Hyperlink"/>
            <w:lang w:val="tr-TR"/>
          </w:rPr>
          <w:t>https://data.tuik.gov.tr/Bulten/DownloadFile?p=0jEdI2PM0tcbKGkNJ1lv8X7oL96UajjAfd9g1suLAIYJdXLoqnRDzGmNojBVk40dP8scVQyPxKWf2vQKNy1cXMLDMAaN3SDuBQnYqWJieyQ=</w:t>
        </w:r>
      </w:hyperlink>
    </w:p>
  </w:footnote>
  <w:footnote w:id="8">
    <w:p w14:paraId="0575D096" w14:textId="38675CBF" w:rsidR="00CF447A" w:rsidRPr="00CF447A" w:rsidRDefault="00CF447A">
      <w:pPr>
        <w:pStyle w:val="FootnoteText"/>
        <w:rPr>
          <w:lang w:val="tr-TR"/>
        </w:rPr>
      </w:pPr>
      <w:r w:rsidRPr="00CF447A">
        <w:rPr>
          <w:rStyle w:val="FootnoteReference"/>
          <w:lang w:val="tr-TR"/>
        </w:rPr>
        <w:footnoteRef/>
      </w:r>
      <w:r w:rsidRPr="00CF447A">
        <w:rPr>
          <w:lang w:val="tr-TR"/>
        </w:rPr>
        <w:t xml:space="preserve"> </w:t>
      </w:r>
      <w:r w:rsidRPr="00CF447A">
        <w:rPr>
          <w:lang w:val="tr-TR"/>
        </w:rPr>
        <w:tab/>
      </w:r>
      <w:r w:rsidRPr="00CF447A">
        <w:rPr>
          <w:lang w:val="tr-TR"/>
        </w:rPr>
        <w:tab/>
        <w:t xml:space="preserve">Fransa verileri için yalnızca MTEA GSYH ve hanehalkı tüketim harcamalarındaki revizyonları paylaşıyoruz. İlgili okuyucu </w:t>
      </w:r>
      <w:hyperlink r:id="rId7" w:history="1">
        <w:r w:rsidRPr="00CF447A">
          <w:rPr>
            <w:rStyle w:val="Hyperlink"/>
            <w:lang w:val="tr-TR"/>
          </w:rPr>
          <w:t>https://www.insee.fr/</w:t>
        </w:r>
      </w:hyperlink>
      <w:r w:rsidRPr="00CF447A">
        <w:rPr>
          <w:lang w:val="tr-TR"/>
        </w:rPr>
        <w:t xml:space="preserve"> adresinden tüm alt kalemlere ulaşabilir.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6D0"/>
    <w:multiLevelType w:val="multilevel"/>
    <w:tmpl w:val="3F8EB658"/>
    <w:lvl w:ilvl="0">
      <w:start w:val="1"/>
      <w:numFmt w:val="decimal"/>
      <w:pStyle w:val="ChapterTitle"/>
      <w:suff w:val="nothing"/>
      <w:lvlText w:val="%1"/>
      <w:lvlJc w:val="left"/>
      <w:pPr>
        <w:ind w:left="0" w:firstLine="0"/>
      </w:pPr>
      <w:rPr>
        <w:rFonts w:hint="default"/>
        <w:color w:val="auto"/>
        <w:position w:val="300"/>
        <w:sz w:val="50"/>
        <w:szCs w:val="50"/>
      </w:rPr>
    </w:lvl>
    <w:lvl w:ilvl="1">
      <w:start w:val="1"/>
      <w:numFmt w:val="decimal"/>
      <w:pStyle w:val="Heading1"/>
      <w:suff w:val="nothing"/>
      <w:lvlText w:val="§ %1.%2 "/>
      <w:lvlJc w:val="left"/>
      <w:pPr>
        <w:ind w:left="624" w:hanging="936"/>
      </w:pPr>
      <w:rPr>
        <w:rFonts w:hint="default"/>
        <w14:numSpacing w14:val="tabular"/>
      </w:rPr>
    </w:lvl>
    <w:lvl w:ilvl="2">
      <w:start w:val="1"/>
      <w:numFmt w:val="decimal"/>
      <w:pStyle w:val="Heading2"/>
      <w:suff w:val="nothing"/>
      <w:lvlText w:val="%1.%2.%3 "/>
      <w:lvlJc w:val="left"/>
      <w:pPr>
        <w:ind w:left="782" w:hanging="782"/>
      </w:pPr>
      <w:rPr>
        <w:rFonts w:hint="default"/>
        <w:b w:val="0"/>
        <w:i w:val="0"/>
        <w14:numSpacing w14:val="tabular"/>
      </w:rPr>
    </w:lvl>
    <w:lvl w:ilvl="3">
      <w:start w:val="1"/>
      <w:numFmt w:val="decimal"/>
      <w:pStyle w:val="Heading3"/>
      <w:suff w:val="nothing"/>
      <w:lvlText w:val="%1.%2.%3.%4 "/>
      <w:lvlJc w:val="left"/>
      <w:pPr>
        <w:ind w:left="936" w:hanging="936"/>
      </w:pPr>
      <w:rPr>
        <w:rFonts w:hint="default"/>
        <w14:numSpacing w14:val="tabular"/>
      </w:rPr>
    </w:lvl>
    <w:lvl w:ilvl="4">
      <w:start w:val="1"/>
      <w:numFmt w:val="none"/>
      <w:pStyle w:val="Heading4"/>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yNjExMjazsDCzsDRQ0lEKTi0uzszPAykwrAUA5SBpQSwAAAA="/>
  </w:docVars>
  <w:rsids>
    <w:rsidRoot w:val="0091445C"/>
    <w:rsid w:val="000022FE"/>
    <w:rsid w:val="00023190"/>
    <w:rsid w:val="00026E08"/>
    <w:rsid w:val="00027568"/>
    <w:rsid w:val="000427DE"/>
    <w:rsid w:val="00053DE5"/>
    <w:rsid w:val="00055B44"/>
    <w:rsid w:val="000564A2"/>
    <w:rsid w:val="000634FD"/>
    <w:rsid w:val="00090CD2"/>
    <w:rsid w:val="00095801"/>
    <w:rsid w:val="000B15A5"/>
    <w:rsid w:val="000C037A"/>
    <w:rsid w:val="000E68A0"/>
    <w:rsid w:val="001054A4"/>
    <w:rsid w:val="0011034F"/>
    <w:rsid w:val="00140647"/>
    <w:rsid w:val="00140B5F"/>
    <w:rsid w:val="001454F0"/>
    <w:rsid w:val="0016180C"/>
    <w:rsid w:val="00162CA7"/>
    <w:rsid w:val="00167C90"/>
    <w:rsid w:val="001B1A22"/>
    <w:rsid w:val="001F11DF"/>
    <w:rsid w:val="00203035"/>
    <w:rsid w:val="00230311"/>
    <w:rsid w:val="00245DB2"/>
    <w:rsid w:val="002703FE"/>
    <w:rsid w:val="002878F2"/>
    <w:rsid w:val="002C3056"/>
    <w:rsid w:val="002C7109"/>
    <w:rsid w:val="0030384B"/>
    <w:rsid w:val="00307E64"/>
    <w:rsid w:val="00326B3D"/>
    <w:rsid w:val="00333CD4"/>
    <w:rsid w:val="00334063"/>
    <w:rsid w:val="0033654B"/>
    <w:rsid w:val="003572AD"/>
    <w:rsid w:val="00361F3B"/>
    <w:rsid w:val="0037067A"/>
    <w:rsid w:val="00377A5E"/>
    <w:rsid w:val="00386FC0"/>
    <w:rsid w:val="003925AE"/>
    <w:rsid w:val="0039745A"/>
    <w:rsid w:val="003A5211"/>
    <w:rsid w:val="003F223E"/>
    <w:rsid w:val="00436C9D"/>
    <w:rsid w:val="004703DA"/>
    <w:rsid w:val="00472B98"/>
    <w:rsid w:val="00476CFE"/>
    <w:rsid w:val="00482E4B"/>
    <w:rsid w:val="004A6B9C"/>
    <w:rsid w:val="004C4C26"/>
    <w:rsid w:val="004C4C48"/>
    <w:rsid w:val="004D31CE"/>
    <w:rsid w:val="004D7C94"/>
    <w:rsid w:val="00502FC7"/>
    <w:rsid w:val="00504836"/>
    <w:rsid w:val="00530838"/>
    <w:rsid w:val="00533886"/>
    <w:rsid w:val="00536403"/>
    <w:rsid w:val="005411C3"/>
    <w:rsid w:val="0054577F"/>
    <w:rsid w:val="00594604"/>
    <w:rsid w:val="005A1A4A"/>
    <w:rsid w:val="005A70DA"/>
    <w:rsid w:val="005B3514"/>
    <w:rsid w:val="005D60F4"/>
    <w:rsid w:val="005F0026"/>
    <w:rsid w:val="005F77CB"/>
    <w:rsid w:val="0060645E"/>
    <w:rsid w:val="006135F5"/>
    <w:rsid w:val="00615FC3"/>
    <w:rsid w:val="00621757"/>
    <w:rsid w:val="0063433A"/>
    <w:rsid w:val="0065547C"/>
    <w:rsid w:val="00665708"/>
    <w:rsid w:val="006702CF"/>
    <w:rsid w:val="006964D3"/>
    <w:rsid w:val="006A2748"/>
    <w:rsid w:val="00702DCC"/>
    <w:rsid w:val="0071467D"/>
    <w:rsid w:val="0077093A"/>
    <w:rsid w:val="00797075"/>
    <w:rsid w:val="007A285C"/>
    <w:rsid w:val="007A5F55"/>
    <w:rsid w:val="007A7383"/>
    <w:rsid w:val="007E27BC"/>
    <w:rsid w:val="007E3FD6"/>
    <w:rsid w:val="00806D7A"/>
    <w:rsid w:val="00810A67"/>
    <w:rsid w:val="008746C1"/>
    <w:rsid w:val="00884525"/>
    <w:rsid w:val="00886FF8"/>
    <w:rsid w:val="00896EF7"/>
    <w:rsid w:val="008A3CC9"/>
    <w:rsid w:val="008C07EF"/>
    <w:rsid w:val="008D1B13"/>
    <w:rsid w:val="008D31FD"/>
    <w:rsid w:val="008D4E5A"/>
    <w:rsid w:val="008D5FF9"/>
    <w:rsid w:val="008F4327"/>
    <w:rsid w:val="0090750A"/>
    <w:rsid w:val="009111A4"/>
    <w:rsid w:val="0091445C"/>
    <w:rsid w:val="0092780A"/>
    <w:rsid w:val="00961D8F"/>
    <w:rsid w:val="00966974"/>
    <w:rsid w:val="00972E68"/>
    <w:rsid w:val="00973BF0"/>
    <w:rsid w:val="00987666"/>
    <w:rsid w:val="009A0129"/>
    <w:rsid w:val="009B53E4"/>
    <w:rsid w:val="009C2FD4"/>
    <w:rsid w:val="009F127A"/>
    <w:rsid w:val="00A214FD"/>
    <w:rsid w:val="00A27F5A"/>
    <w:rsid w:val="00A35A74"/>
    <w:rsid w:val="00A60A2A"/>
    <w:rsid w:val="00A67F15"/>
    <w:rsid w:val="00A804EC"/>
    <w:rsid w:val="00A84617"/>
    <w:rsid w:val="00AB612B"/>
    <w:rsid w:val="00AF6E4C"/>
    <w:rsid w:val="00B00554"/>
    <w:rsid w:val="00B03076"/>
    <w:rsid w:val="00B048D2"/>
    <w:rsid w:val="00B06FA7"/>
    <w:rsid w:val="00B11124"/>
    <w:rsid w:val="00B16E76"/>
    <w:rsid w:val="00B26176"/>
    <w:rsid w:val="00B27176"/>
    <w:rsid w:val="00B27E3B"/>
    <w:rsid w:val="00B54022"/>
    <w:rsid w:val="00B65AB1"/>
    <w:rsid w:val="00B65B0D"/>
    <w:rsid w:val="00B75A2D"/>
    <w:rsid w:val="00B85A0B"/>
    <w:rsid w:val="00B93F0D"/>
    <w:rsid w:val="00BB0164"/>
    <w:rsid w:val="00BD5676"/>
    <w:rsid w:val="00BE5031"/>
    <w:rsid w:val="00BE677D"/>
    <w:rsid w:val="00C02F00"/>
    <w:rsid w:val="00C24689"/>
    <w:rsid w:val="00C357E2"/>
    <w:rsid w:val="00C35B3A"/>
    <w:rsid w:val="00C42F4B"/>
    <w:rsid w:val="00C43208"/>
    <w:rsid w:val="00C5382B"/>
    <w:rsid w:val="00C54B55"/>
    <w:rsid w:val="00C56562"/>
    <w:rsid w:val="00C61CC6"/>
    <w:rsid w:val="00C62A17"/>
    <w:rsid w:val="00C71B38"/>
    <w:rsid w:val="00C94947"/>
    <w:rsid w:val="00CB42DC"/>
    <w:rsid w:val="00CB7614"/>
    <w:rsid w:val="00CC10F1"/>
    <w:rsid w:val="00CC4496"/>
    <w:rsid w:val="00CD184E"/>
    <w:rsid w:val="00CE6420"/>
    <w:rsid w:val="00CF2EBA"/>
    <w:rsid w:val="00CF447A"/>
    <w:rsid w:val="00CF523F"/>
    <w:rsid w:val="00CF533E"/>
    <w:rsid w:val="00D1641E"/>
    <w:rsid w:val="00D3484F"/>
    <w:rsid w:val="00D37E50"/>
    <w:rsid w:val="00D558EB"/>
    <w:rsid w:val="00D76A60"/>
    <w:rsid w:val="00DD0B89"/>
    <w:rsid w:val="00DE5CBC"/>
    <w:rsid w:val="00E13606"/>
    <w:rsid w:val="00E43577"/>
    <w:rsid w:val="00E60709"/>
    <w:rsid w:val="00E7043B"/>
    <w:rsid w:val="00EA6F5F"/>
    <w:rsid w:val="00EB209D"/>
    <w:rsid w:val="00EE25C1"/>
    <w:rsid w:val="00EE64DA"/>
    <w:rsid w:val="00EF6717"/>
    <w:rsid w:val="00F03825"/>
    <w:rsid w:val="00F057CC"/>
    <w:rsid w:val="00F147DE"/>
    <w:rsid w:val="00F223A0"/>
    <w:rsid w:val="00F3412A"/>
    <w:rsid w:val="00F34EF8"/>
    <w:rsid w:val="00F45107"/>
    <w:rsid w:val="00F811B7"/>
    <w:rsid w:val="00F86D3D"/>
    <w:rsid w:val="00FA6386"/>
    <w:rsid w:val="00FA6395"/>
    <w:rsid w:val="00FB486B"/>
    <w:rsid w:val="00FD7AA5"/>
    <w:rsid w:val="00FE0EE1"/>
    <w:rsid w:val="00FE41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54D1"/>
  <w15:docId w15:val="{F2049F48-B11C-C346-B3A3-27D8DD1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s"/>
    <w:next w:val="NormalIndent"/>
    <w:qFormat/>
    <w:rsid w:val="002703FE"/>
    <w:pPr>
      <w:spacing w:after="0" w:line="360" w:lineRule="exact"/>
      <w:jc w:val="both"/>
    </w:pPr>
    <w:rPr>
      <w:rFonts w:ascii="Minion Pro" w:hAnsi="Minion Pro"/>
      <w:color w:val="000000"/>
      <w:kern w:val="16"/>
      <w:sz w:val="24"/>
      <w:lang w:val="en-US"/>
      <w14:ligatures w14:val="standard"/>
      <w14:numForm w14:val="oldStyle"/>
      <w14:numSpacing w14:val="proportional"/>
    </w:rPr>
  </w:style>
  <w:style w:type="paragraph" w:styleId="Heading1">
    <w:name w:val="heading 1"/>
    <w:aliases w:val="Başlık 1 ens"/>
    <w:basedOn w:val="Normal"/>
    <w:next w:val="Normal"/>
    <w:link w:val="Heading1Char"/>
    <w:uiPriority w:val="3"/>
    <w:qFormat/>
    <w:rsid w:val="002703FE"/>
    <w:pPr>
      <w:keepNext/>
      <w:keepLines/>
      <w:numPr>
        <w:ilvl w:val="1"/>
        <w:numId w:val="6"/>
      </w:numPr>
      <w:spacing w:before="480" w:after="240" w:line="420" w:lineRule="exact"/>
      <w:jc w:val="left"/>
      <w:outlineLvl w:val="0"/>
    </w:pPr>
    <w:rPr>
      <w:sz w:val="28"/>
    </w:rPr>
  </w:style>
  <w:style w:type="paragraph" w:styleId="Heading2">
    <w:name w:val="heading 2"/>
    <w:aliases w:val="Başlık 2 ens"/>
    <w:basedOn w:val="Heading1"/>
    <w:next w:val="Normal"/>
    <w:link w:val="Heading2Char"/>
    <w:uiPriority w:val="3"/>
    <w:qFormat/>
    <w:rsid w:val="002703FE"/>
    <w:pPr>
      <w:numPr>
        <w:ilvl w:val="2"/>
      </w:numPr>
      <w:spacing w:before="300" w:after="180" w:line="360" w:lineRule="exact"/>
      <w:outlineLvl w:val="1"/>
    </w:pPr>
    <w:rPr>
      <w:i/>
      <w:sz w:val="26"/>
      <w:szCs w:val="26"/>
    </w:rPr>
  </w:style>
  <w:style w:type="paragraph" w:styleId="Heading3">
    <w:name w:val="heading 3"/>
    <w:aliases w:val="Başlık 3 ens"/>
    <w:basedOn w:val="Heading2"/>
    <w:next w:val="Normal"/>
    <w:link w:val="Heading3Char"/>
    <w:uiPriority w:val="3"/>
    <w:qFormat/>
    <w:rsid w:val="002703FE"/>
    <w:pPr>
      <w:numPr>
        <w:ilvl w:val="3"/>
      </w:numPr>
      <w:spacing w:before="240" w:after="120"/>
      <w:outlineLvl w:val="2"/>
    </w:pPr>
    <w:rPr>
      <w:i w:val="0"/>
      <w:sz w:val="24"/>
    </w:rPr>
  </w:style>
  <w:style w:type="paragraph" w:styleId="Heading4">
    <w:name w:val="heading 4"/>
    <w:aliases w:val="Başlık 4 ens"/>
    <w:basedOn w:val="Heading3"/>
    <w:next w:val="Normal"/>
    <w:link w:val="Heading4Char"/>
    <w:uiPriority w:val="3"/>
    <w:unhideWhenUsed/>
    <w:qFormat/>
    <w:rsid w:val="002703FE"/>
    <w:pPr>
      <w:numPr>
        <w:ilvl w:val="4"/>
        <w:numId w:val="1"/>
      </w:numPr>
      <w:jc w:val="center"/>
      <w:outlineLvl w:val="3"/>
    </w:pPr>
    <w:rPr>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Girinti ens"/>
    <w:basedOn w:val="Normal"/>
    <w:qFormat/>
    <w:rsid w:val="002703FE"/>
    <w:pPr>
      <w:ind w:firstLine="357"/>
    </w:pPr>
  </w:style>
  <w:style w:type="character" w:customStyle="1" w:styleId="Heading1Char">
    <w:name w:val="Heading 1 Char"/>
    <w:aliases w:val="Başlık 1 ens Char"/>
    <w:basedOn w:val="DefaultParagraphFont"/>
    <w:link w:val="Heading1"/>
    <w:uiPriority w:val="3"/>
    <w:rsid w:val="002703FE"/>
    <w:rPr>
      <w:rFonts w:ascii="Minion Pro" w:hAnsi="Minion Pro"/>
      <w:color w:val="000000"/>
      <w:kern w:val="16"/>
      <w:sz w:val="28"/>
      <w:lang w:val="en-US"/>
      <w14:ligatures w14:val="standard"/>
      <w14:numForm w14:val="oldStyle"/>
      <w14:numSpacing w14:val="proportional"/>
    </w:rPr>
  </w:style>
  <w:style w:type="paragraph" w:styleId="NoSpacing">
    <w:name w:val="No Spacing"/>
    <w:uiPriority w:val="1"/>
    <w:qFormat/>
    <w:rsid w:val="002703FE"/>
    <w:pPr>
      <w:spacing w:after="0" w:line="240" w:lineRule="auto"/>
      <w:jc w:val="both"/>
    </w:pPr>
    <w:rPr>
      <w:rFonts w:ascii="Minion Pro" w:hAnsi="Minion Pro"/>
      <w:color w:val="000000"/>
      <w:kern w:val="16"/>
      <w:sz w:val="24"/>
      <w:lang w:val="en-US"/>
      <w14:ligatures w14:val="standard"/>
      <w14:numForm w14:val="oldStyle"/>
      <w14:numSpacing w14:val="proportional"/>
    </w:rPr>
  </w:style>
  <w:style w:type="paragraph" w:customStyle="1" w:styleId="ChapterTitle">
    <w:name w:val="Chapter Title"/>
    <w:basedOn w:val="Normal"/>
    <w:next w:val="Normal"/>
    <w:uiPriority w:val="2"/>
    <w:qFormat/>
    <w:locked/>
    <w:rsid w:val="002703FE"/>
    <w:pPr>
      <w:keepNext/>
      <w:keepLines/>
      <w:numPr>
        <w:numId w:val="6"/>
      </w:numPr>
      <w:spacing w:before="3000" w:after="720" w:line="480" w:lineRule="exact"/>
      <w:jc w:val="left"/>
      <w:outlineLvl w:val="0"/>
    </w:pPr>
    <w:rPr>
      <w:sz w:val="32"/>
      <w14:ligatures w14:val="historicalDiscretional"/>
    </w:rPr>
  </w:style>
  <w:style w:type="paragraph" w:styleId="Quote">
    <w:name w:val="Quote"/>
    <w:aliases w:val="Alıntı ens"/>
    <w:basedOn w:val="Normal"/>
    <w:next w:val="Normal"/>
    <w:link w:val="QuoteChar"/>
    <w:uiPriority w:val="3"/>
    <w:qFormat/>
    <w:rsid w:val="002703FE"/>
    <w:pPr>
      <w:tabs>
        <w:tab w:val="left" w:pos="714"/>
      </w:tabs>
      <w:spacing w:before="180" w:after="180"/>
      <w:ind w:left="357" w:right="357"/>
      <w:contextualSpacing/>
    </w:pPr>
    <w:rPr>
      <w:iCs/>
    </w:rPr>
  </w:style>
  <w:style w:type="character" w:customStyle="1" w:styleId="QuoteChar">
    <w:name w:val="Quote Char"/>
    <w:aliases w:val="Alıntı ens Char"/>
    <w:basedOn w:val="DefaultParagraphFont"/>
    <w:link w:val="Quote"/>
    <w:uiPriority w:val="3"/>
    <w:rsid w:val="002703FE"/>
    <w:rPr>
      <w:rFonts w:ascii="Minion Pro" w:hAnsi="Minion Pro"/>
      <w:iCs/>
      <w:color w:val="000000"/>
      <w:kern w:val="16"/>
      <w:sz w:val="24"/>
      <w:lang w:val="en-US"/>
      <w14:ligatures w14:val="standard"/>
      <w14:numForm w14:val="oldStyle"/>
      <w14:numSpacing w14:val="proportional"/>
    </w:rPr>
  </w:style>
  <w:style w:type="character" w:customStyle="1" w:styleId="Heading2Char">
    <w:name w:val="Heading 2 Char"/>
    <w:aliases w:val="Başlık 2 ens Char"/>
    <w:basedOn w:val="DefaultParagraphFont"/>
    <w:link w:val="Heading2"/>
    <w:uiPriority w:val="3"/>
    <w:rsid w:val="002703FE"/>
    <w:rPr>
      <w:rFonts w:ascii="Minion Pro" w:hAnsi="Minion Pro"/>
      <w:i/>
      <w:color w:val="000000"/>
      <w:kern w:val="16"/>
      <w:sz w:val="26"/>
      <w:szCs w:val="26"/>
      <w:lang w:val="en-US"/>
      <w14:ligatures w14:val="standard"/>
      <w14:numForm w14:val="oldStyle"/>
      <w14:numSpacing w14:val="proportional"/>
    </w:rPr>
  </w:style>
  <w:style w:type="character" w:customStyle="1" w:styleId="Heading3Char">
    <w:name w:val="Heading 3 Char"/>
    <w:aliases w:val="Başlık 3 ens Char"/>
    <w:basedOn w:val="DefaultParagraphFont"/>
    <w:link w:val="Heading3"/>
    <w:uiPriority w:val="3"/>
    <w:rsid w:val="002703FE"/>
    <w:rPr>
      <w:rFonts w:ascii="Minion Pro" w:hAnsi="Minion Pro"/>
      <w:color w:val="000000"/>
      <w:kern w:val="16"/>
      <w:sz w:val="24"/>
      <w:szCs w:val="26"/>
      <w:lang w:val="en-US"/>
      <w14:ligatures w14:val="standard"/>
      <w14:numForm w14:val="oldStyle"/>
      <w14:numSpacing w14:val="proportional"/>
    </w:rPr>
  </w:style>
  <w:style w:type="character" w:customStyle="1" w:styleId="Heading4Char">
    <w:name w:val="Heading 4 Char"/>
    <w:aliases w:val="Başlık 4 ens Char"/>
    <w:basedOn w:val="DefaultParagraphFont"/>
    <w:link w:val="Heading4"/>
    <w:uiPriority w:val="3"/>
    <w:rsid w:val="002703FE"/>
    <w:rPr>
      <w:rFonts w:ascii="Minion Pro" w:hAnsi="Minion Pro"/>
      <w:caps/>
      <w:color w:val="000000"/>
      <w:kern w:val="16"/>
      <w:sz w:val="20"/>
      <w:szCs w:val="26"/>
      <w:lang w:val="en-US"/>
      <w14:ligatures w14:val="standard"/>
      <w14:numForm w14:val="oldStyle"/>
      <w14:numSpacing w14:val="proportional"/>
    </w:rPr>
  </w:style>
  <w:style w:type="paragraph" w:styleId="FootnoteText">
    <w:name w:val="footnote text"/>
    <w:aliases w:val="Dipnot Metni ens"/>
    <w:basedOn w:val="Normal"/>
    <w:link w:val="FootnoteTextChar"/>
    <w:uiPriority w:val="7"/>
    <w:qFormat/>
    <w:rsid w:val="002703FE"/>
    <w:pPr>
      <w:tabs>
        <w:tab w:val="right" w:pos="-284"/>
        <w:tab w:val="left" w:pos="357"/>
      </w:tabs>
      <w:spacing w:line="300" w:lineRule="exact"/>
      <w:ind w:hanging="567"/>
    </w:pPr>
    <w:rPr>
      <w:sz w:val="20"/>
      <w:szCs w:val="20"/>
    </w:rPr>
  </w:style>
  <w:style w:type="character" w:customStyle="1" w:styleId="FootnoteTextChar">
    <w:name w:val="Footnote Text Char"/>
    <w:aliases w:val="Dipnot Metni ens Char"/>
    <w:basedOn w:val="DefaultParagraphFont"/>
    <w:link w:val="FootnoteText"/>
    <w:uiPriority w:val="7"/>
    <w:rsid w:val="002703FE"/>
    <w:rPr>
      <w:rFonts w:ascii="Minion Pro" w:hAnsi="Minion Pro"/>
      <w:color w:val="000000"/>
      <w:kern w:val="16"/>
      <w:sz w:val="20"/>
      <w:szCs w:val="20"/>
      <w:lang w:val="en-US"/>
      <w14:ligatures w14:val="standard"/>
      <w14:numForm w14:val="oldStyle"/>
      <w14:numSpacing w14:val="proportional"/>
    </w:rPr>
  </w:style>
  <w:style w:type="character" w:styleId="FootnoteReference">
    <w:name w:val="footnote reference"/>
    <w:basedOn w:val="DefaultParagraphFont"/>
    <w:uiPriority w:val="8"/>
    <w:qFormat/>
    <w:rsid w:val="002703FE"/>
    <w:rPr>
      <w:vertAlign w:val="superscript"/>
    </w:rPr>
  </w:style>
  <w:style w:type="paragraph" w:customStyle="1" w:styleId="Epigraph">
    <w:name w:val="Epigraph"/>
    <w:basedOn w:val="Normal"/>
    <w:link w:val="EpigraphChar"/>
    <w:uiPriority w:val="11"/>
    <w:qFormat/>
    <w:rsid w:val="002703FE"/>
    <w:pPr>
      <w:keepNext/>
      <w:keepLines/>
      <w:ind w:left="2500"/>
    </w:pPr>
    <w:rPr>
      <w:i/>
    </w:rPr>
  </w:style>
  <w:style w:type="character" w:customStyle="1" w:styleId="EpigraphChar">
    <w:name w:val="Epigraph Char"/>
    <w:basedOn w:val="DefaultParagraphFont"/>
    <w:link w:val="Epigraph"/>
    <w:uiPriority w:val="11"/>
    <w:rsid w:val="002703FE"/>
    <w:rPr>
      <w:rFonts w:ascii="Minion Pro" w:hAnsi="Minion Pro"/>
      <w:i/>
      <w:color w:val="000000"/>
      <w:kern w:val="16"/>
      <w:sz w:val="24"/>
      <w:lang w:val="en-US"/>
      <w14:ligatures w14:val="standard"/>
      <w14:numForm w14:val="oldStyle"/>
      <w14:numSpacing w14:val="proportional"/>
    </w:rPr>
  </w:style>
  <w:style w:type="paragraph" w:customStyle="1" w:styleId="EpigraphSource">
    <w:name w:val="Epigraph Source"/>
    <w:basedOn w:val="Epigraph"/>
    <w:next w:val="Normal"/>
    <w:link w:val="EpigraphSourceChar"/>
    <w:uiPriority w:val="11"/>
    <w:qFormat/>
    <w:rsid w:val="002703FE"/>
    <w:pPr>
      <w:keepNext w:val="0"/>
      <w:spacing w:before="180" w:after="480"/>
    </w:pPr>
    <w:rPr>
      <w:i w:val="0"/>
    </w:rPr>
  </w:style>
  <w:style w:type="character" w:customStyle="1" w:styleId="EpigraphSourceChar">
    <w:name w:val="Epigraph Source Char"/>
    <w:basedOn w:val="EpigraphChar"/>
    <w:link w:val="EpigraphSource"/>
    <w:uiPriority w:val="11"/>
    <w:rsid w:val="002703FE"/>
    <w:rPr>
      <w:rFonts w:ascii="Minion Pro" w:hAnsi="Minion Pro"/>
      <w:i w:val="0"/>
      <w:color w:val="000000"/>
      <w:kern w:val="16"/>
      <w:sz w:val="24"/>
      <w:lang w:val="en-US"/>
      <w14:ligatures w14:val="standard"/>
      <w14:numForm w14:val="oldStyle"/>
      <w14:numSpacing w14:val="proportional"/>
    </w:rPr>
  </w:style>
  <w:style w:type="character" w:styleId="Hyperlink">
    <w:name w:val="Hyperlink"/>
    <w:basedOn w:val="DefaultParagraphFont"/>
    <w:uiPriority w:val="99"/>
    <w:unhideWhenUsed/>
    <w:rsid w:val="00E7043B"/>
    <w:rPr>
      <w:color w:val="0563C1" w:themeColor="hyperlink"/>
      <w:u w:val="single"/>
    </w:rPr>
  </w:style>
  <w:style w:type="character" w:customStyle="1" w:styleId="UnresolvedMention1">
    <w:name w:val="Unresolved Mention1"/>
    <w:basedOn w:val="DefaultParagraphFont"/>
    <w:uiPriority w:val="99"/>
    <w:semiHidden/>
    <w:unhideWhenUsed/>
    <w:rsid w:val="00806D7A"/>
    <w:rPr>
      <w:color w:val="605E5C"/>
      <w:shd w:val="clear" w:color="auto" w:fill="E1DFDD"/>
    </w:rPr>
  </w:style>
  <w:style w:type="paragraph" w:styleId="NormalWeb">
    <w:name w:val="Normal (Web)"/>
    <w:basedOn w:val="Normal"/>
    <w:uiPriority w:val="99"/>
    <w:semiHidden/>
    <w:unhideWhenUsed/>
    <w:rsid w:val="00615FC3"/>
    <w:pPr>
      <w:spacing w:before="100" w:beforeAutospacing="1" w:after="100" w:afterAutospacing="1" w:line="240" w:lineRule="auto"/>
      <w:jc w:val="left"/>
    </w:pPr>
    <w:rPr>
      <w:rFonts w:ascii="Times New Roman" w:eastAsia="Times New Roman" w:hAnsi="Times New Roman" w:cs="Times New Roman"/>
      <w:color w:val="auto"/>
      <w:kern w:val="0"/>
      <w:szCs w:val="24"/>
      <w:lang w:val="en-GB" w:eastAsia="en-GB"/>
      <w14:ligatures w14:val="none"/>
      <w14:numForm w14:val="default"/>
      <w14:numSpacing w14:val="default"/>
    </w:rPr>
  </w:style>
  <w:style w:type="character" w:styleId="FollowedHyperlink">
    <w:name w:val="FollowedHyperlink"/>
    <w:basedOn w:val="DefaultParagraphFont"/>
    <w:uiPriority w:val="99"/>
    <w:semiHidden/>
    <w:unhideWhenUsed/>
    <w:rsid w:val="00203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4960">
      <w:bodyDiv w:val="1"/>
      <w:marLeft w:val="0"/>
      <w:marRight w:val="0"/>
      <w:marTop w:val="0"/>
      <w:marBottom w:val="0"/>
      <w:divBdr>
        <w:top w:val="none" w:sz="0" w:space="0" w:color="auto"/>
        <w:left w:val="none" w:sz="0" w:space="0" w:color="auto"/>
        <w:bottom w:val="none" w:sz="0" w:space="0" w:color="auto"/>
        <w:right w:val="none" w:sz="0" w:space="0" w:color="auto"/>
      </w:divBdr>
    </w:div>
    <w:div w:id="444540446">
      <w:bodyDiv w:val="1"/>
      <w:marLeft w:val="0"/>
      <w:marRight w:val="0"/>
      <w:marTop w:val="0"/>
      <w:marBottom w:val="0"/>
      <w:divBdr>
        <w:top w:val="none" w:sz="0" w:space="0" w:color="auto"/>
        <w:left w:val="none" w:sz="0" w:space="0" w:color="auto"/>
        <w:bottom w:val="none" w:sz="0" w:space="0" w:color="auto"/>
        <w:right w:val="none" w:sz="0" w:space="0" w:color="auto"/>
      </w:divBdr>
    </w:div>
    <w:div w:id="1001540435">
      <w:bodyDiv w:val="1"/>
      <w:marLeft w:val="0"/>
      <w:marRight w:val="0"/>
      <w:marTop w:val="0"/>
      <w:marBottom w:val="0"/>
      <w:divBdr>
        <w:top w:val="none" w:sz="0" w:space="0" w:color="auto"/>
        <w:left w:val="none" w:sz="0" w:space="0" w:color="auto"/>
        <w:bottom w:val="none" w:sz="0" w:space="0" w:color="auto"/>
        <w:right w:val="none" w:sz="0" w:space="0" w:color="auto"/>
      </w:divBdr>
    </w:div>
    <w:div w:id="1017082122">
      <w:bodyDiv w:val="1"/>
      <w:marLeft w:val="0"/>
      <w:marRight w:val="0"/>
      <w:marTop w:val="0"/>
      <w:marBottom w:val="0"/>
      <w:divBdr>
        <w:top w:val="none" w:sz="0" w:space="0" w:color="auto"/>
        <w:left w:val="none" w:sz="0" w:space="0" w:color="auto"/>
        <w:bottom w:val="none" w:sz="0" w:space="0" w:color="auto"/>
        <w:right w:val="none" w:sz="0" w:space="0" w:color="auto"/>
      </w:divBdr>
    </w:div>
    <w:div w:id="1769229260">
      <w:bodyDiv w:val="1"/>
      <w:marLeft w:val="0"/>
      <w:marRight w:val="0"/>
      <w:marTop w:val="0"/>
      <w:marBottom w:val="0"/>
      <w:divBdr>
        <w:top w:val="none" w:sz="0" w:space="0" w:color="auto"/>
        <w:left w:val="none" w:sz="0" w:space="0" w:color="auto"/>
        <w:bottom w:val="none" w:sz="0" w:space="0" w:color="auto"/>
        <w:right w:val="none" w:sz="0" w:space="0" w:color="auto"/>
      </w:divBdr>
    </w:div>
    <w:div w:id="1842507305">
      <w:bodyDiv w:val="1"/>
      <w:marLeft w:val="0"/>
      <w:marRight w:val="0"/>
      <w:marTop w:val="0"/>
      <w:marBottom w:val="0"/>
      <w:divBdr>
        <w:top w:val="none" w:sz="0" w:space="0" w:color="auto"/>
        <w:left w:val="none" w:sz="0" w:space="0" w:color="auto"/>
        <w:bottom w:val="none" w:sz="0" w:space="0" w:color="auto"/>
        <w:right w:val="none" w:sz="0" w:space="0" w:color="auto"/>
      </w:divBdr>
    </w:div>
    <w:div w:id="18615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8.emf"/></Relationships>
</file>

<file path=word/_rels/footnotes.xml.rels><?xml version="1.0" encoding="UTF-8" standalone="yes"?>
<Relationships xmlns="http://schemas.openxmlformats.org/package/2006/relationships"><Relationship Id="rId3" Type="http://schemas.openxmlformats.org/officeDocument/2006/relationships/hyperlink" Target="file:///C:\Users\ugurcan.acar.BAHCE\Downloads\ugurcan.acar@eas.bau.edu.tr" TargetMode="External"/><Relationship Id="rId7" Type="http://schemas.openxmlformats.org/officeDocument/2006/relationships/hyperlink" Target="https://www.insee.fr/" TargetMode="External"/><Relationship Id="rId2" Type="http://schemas.openxmlformats.org/officeDocument/2006/relationships/hyperlink" Target="file:///C:\Users\ugurcan.acar.BAHCE\Downloads\ozan.bakis@eas.bau.edu.tr" TargetMode="External"/><Relationship Id="rId1" Type="http://schemas.openxmlformats.org/officeDocument/2006/relationships/hyperlink" Target="file:///C:\Users\ugurcan.acar.BAHCE\Downloads\seyfettin.gursel@eas.bau.edu.tr" TargetMode="External"/><Relationship Id="rId6" Type="http://schemas.openxmlformats.org/officeDocument/2006/relationships/hyperlink" Target="https://data.tuik.gov.tr/Bulten/DownloadFile?p=0jEdI2PM0tcbKGkNJ1lv8X7oL96UajjAfd9g1suLAIYJdXLoqnRDzGmNojBVk40dP8scVQyPxKWf2vQKNy1cXMLDMAaN3SDuBQnYqWJieyQ=" TargetMode="External"/><Relationship Id="rId5" Type="http://schemas.openxmlformats.org/officeDocument/2006/relationships/hyperlink" Target="https://betam.bahcesehir.edu.tr/2016/12/eski-ve-yeni-gsyh-serileri-arasindaki-farklar-ve-nedenleri/" TargetMode="External"/><Relationship Id="rId4" Type="http://schemas.openxmlformats.org/officeDocument/2006/relationships/hyperlink" Target="https://betam.bahcesehir.edu.tr/2018/01/buyumede-sasirtici-revizyonla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bahcesehir-my.sharepoint.com/personal/ozan_bakis_eas_bau_edu_tr/Documents/betam_ortak/buyume_degerlendirme/buyume_revizyon/VOL%202/Revizyon_vol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bahcesehir-my.sharepoint.com/personal/ozan_bakis_eas_bau_edu_tr/Documents/betam_ortak/buyume_degerlendirme/buyume_revizyon/VOL%202/Revizyon_vol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bahcesehir-my.sharepoint.com/personal/ozan_bakis_eas_bau_edu_tr/Documents/betam_ortak/buyume_degerlendirme/buyume_revizyon/VOL%202/Revizyon_vol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bahcesehir-my.sharepoint.com/personal/ozan_bakis_eas_bau_edu_tr/Documents/betam_ortak/buyume_degerlendirme/buyume_revizyon/VOL%202/Revizyon_vol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ceyreklik_buyume!$F$4:$O$4</c:f>
              <c:strCache>
                <c:ptCount val="10"/>
                <c:pt idx="0">
                  <c:v>2020Ç1</c:v>
                </c:pt>
                <c:pt idx="1">
                  <c:v>2020Ç2</c:v>
                </c:pt>
                <c:pt idx="2">
                  <c:v>2020Ç3</c:v>
                </c:pt>
                <c:pt idx="3">
                  <c:v>2020Ç4</c:v>
                </c:pt>
                <c:pt idx="4">
                  <c:v>2021Ç1</c:v>
                </c:pt>
                <c:pt idx="5">
                  <c:v>2021Ç2</c:v>
                </c:pt>
                <c:pt idx="6">
                  <c:v>2021Ç3</c:v>
                </c:pt>
                <c:pt idx="7">
                  <c:v>2021Ç4</c:v>
                </c:pt>
                <c:pt idx="8">
                  <c:v>2022Ç1</c:v>
                </c:pt>
                <c:pt idx="9">
                  <c:v>2022Ç2</c:v>
                </c:pt>
              </c:strCache>
            </c:strRef>
          </c:cat>
          <c:val>
            <c:numRef>
              <c:f>ceyreklik_buyume!$F$9:$O$9</c:f>
              <c:numCache>
                <c:formatCode>General</c:formatCode>
                <c:ptCount val="10"/>
                <c:pt idx="0">
                  <c:v>0.6</c:v>
                </c:pt>
                <c:pt idx="1">
                  <c:v>-0.1</c:v>
                </c:pt>
                <c:pt idx="2">
                  <c:v>0.2</c:v>
                </c:pt>
                <c:pt idx="3">
                  <c:v>0.1</c:v>
                </c:pt>
                <c:pt idx="4">
                  <c:v>0.1</c:v>
                </c:pt>
                <c:pt idx="5">
                  <c:v>0.4</c:v>
                </c:pt>
                <c:pt idx="6">
                  <c:v>0.4</c:v>
                </c:pt>
                <c:pt idx="7">
                  <c:v>0.4</c:v>
                </c:pt>
                <c:pt idx="8">
                  <c:v>0.4</c:v>
                </c:pt>
                <c:pt idx="9">
                  <c:v>0.8</c:v>
                </c:pt>
              </c:numCache>
            </c:numRef>
          </c:val>
          <c:smooth val="0"/>
          <c:extLst>
            <c:ext xmlns:c16="http://schemas.microsoft.com/office/drawing/2014/chart" uri="{C3380CC4-5D6E-409C-BE32-E72D297353CC}">
              <c16:uniqueId val="{00000000-4436-4C36-9A8D-3811E6FA5C20}"/>
            </c:ext>
          </c:extLst>
        </c:ser>
        <c:dLbls>
          <c:showLegendKey val="0"/>
          <c:showVal val="0"/>
          <c:showCatName val="0"/>
          <c:showSerName val="0"/>
          <c:showPercent val="0"/>
          <c:showBubbleSize val="0"/>
        </c:dLbls>
        <c:marker val="1"/>
        <c:smooth val="0"/>
        <c:axId val="46997504"/>
        <c:axId val="46999424"/>
      </c:lineChart>
      <c:catAx>
        <c:axId val="4699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99424"/>
        <c:crosses val="autoZero"/>
        <c:auto val="1"/>
        <c:lblAlgn val="ctr"/>
        <c:lblOffset val="100"/>
        <c:noMultiLvlLbl val="0"/>
      </c:catAx>
      <c:valAx>
        <c:axId val="4699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9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'hh tüketimi'!$F$4:$O$4</c:f>
              <c:strCache>
                <c:ptCount val="10"/>
                <c:pt idx="0">
                  <c:v>2020Ç1</c:v>
                </c:pt>
                <c:pt idx="1">
                  <c:v>2020Ç2</c:v>
                </c:pt>
                <c:pt idx="2">
                  <c:v>2020Ç3</c:v>
                </c:pt>
                <c:pt idx="3">
                  <c:v>2020Ç4</c:v>
                </c:pt>
                <c:pt idx="4">
                  <c:v>2021Ç1</c:v>
                </c:pt>
                <c:pt idx="5">
                  <c:v>2021Ç2</c:v>
                </c:pt>
                <c:pt idx="6">
                  <c:v>2021Ç3</c:v>
                </c:pt>
                <c:pt idx="7">
                  <c:v>2021Ç4</c:v>
                </c:pt>
                <c:pt idx="8">
                  <c:v>2022Ç1</c:v>
                </c:pt>
                <c:pt idx="9">
                  <c:v>2022Ç2</c:v>
                </c:pt>
              </c:strCache>
            </c:strRef>
          </c:cat>
          <c:val>
            <c:numRef>
              <c:f>'hh tüketimi'!$F$9:$O$9</c:f>
              <c:numCache>
                <c:formatCode>0.0</c:formatCode>
                <c:ptCount val="10"/>
                <c:pt idx="0">
                  <c:v>2.9180703844909601</c:v>
                </c:pt>
                <c:pt idx="1">
                  <c:v>-2.0298770997023325</c:v>
                </c:pt>
                <c:pt idx="2">
                  <c:v>-1.8697427706816114</c:v>
                </c:pt>
                <c:pt idx="3">
                  <c:v>-1.5821956006321329</c:v>
                </c:pt>
                <c:pt idx="4">
                  <c:v>-1.5821956006183342</c:v>
                </c:pt>
                <c:pt idx="5">
                  <c:v>6.9600242480930774E-2</c:v>
                </c:pt>
                <c:pt idx="6">
                  <c:v>6.9600242480930774E-2</c:v>
                </c:pt>
                <c:pt idx="7">
                  <c:v>6.9600242480930774E-2</c:v>
                </c:pt>
                <c:pt idx="8">
                  <c:v>6.9600242480930774E-2</c:v>
                </c:pt>
                <c:pt idx="9">
                  <c:v>1.5771923915628889</c:v>
                </c:pt>
              </c:numCache>
            </c:numRef>
          </c:val>
          <c:smooth val="0"/>
          <c:extLst>
            <c:ext xmlns:c16="http://schemas.microsoft.com/office/drawing/2014/chart" uri="{C3380CC4-5D6E-409C-BE32-E72D297353CC}">
              <c16:uniqueId val="{00000000-210B-4F4C-89D0-DA63DA56F2C4}"/>
            </c:ext>
          </c:extLst>
        </c:ser>
        <c:dLbls>
          <c:showLegendKey val="0"/>
          <c:showVal val="0"/>
          <c:showCatName val="0"/>
          <c:showSerName val="0"/>
          <c:showPercent val="0"/>
          <c:showBubbleSize val="0"/>
        </c:dLbls>
        <c:marker val="1"/>
        <c:smooth val="0"/>
        <c:axId val="47023232"/>
        <c:axId val="47025152"/>
      </c:lineChart>
      <c:catAx>
        <c:axId val="4702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25152"/>
        <c:crosses val="autoZero"/>
        <c:auto val="1"/>
        <c:lblAlgn val="ctr"/>
        <c:lblOffset val="100"/>
        <c:noMultiLvlLbl val="0"/>
      </c:catAx>
      <c:valAx>
        <c:axId val="47025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702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'hh tüketimi'!$J$4:$O$4</c:f>
              <c:strCache>
                <c:ptCount val="6"/>
                <c:pt idx="0">
                  <c:v>2021Ç1</c:v>
                </c:pt>
                <c:pt idx="1">
                  <c:v>2021Ç2</c:v>
                </c:pt>
                <c:pt idx="2">
                  <c:v>2021Ç3</c:v>
                </c:pt>
                <c:pt idx="3">
                  <c:v>2021Ç4</c:v>
                </c:pt>
                <c:pt idx="4">
                  <c:v>2022Ç1</c:v>
                </c:pt>
                <c:pt idx="5">
                  <c:v>2022Ç2</c:v>
                </c:pt>
              </c:strCache>
            </c:strRef>
          </c:cat>
          <c:val>
            <c:numRef>
              <c:f>'hh tüketimi'!$J$13:$O$13</c:f>
              <c:numCache>
                <c:formatCode>0.0</c:formatCode>
                <c:ptCount val="6"/>
                <c:pt idx="0">
                  <c:v>-1.7354749188379657</c:v>
                </c:pt>
                <c:pt idx="1">
                  <c:v>-0.74384300457896302</c:v>
                </c:pt>
                <c:pt idx="2">
                  <c:v>-0.44306893969942962</c:v>
                </c:pt>
                <c:pt idx="3">
                  <c:v>-0.68194543062489288</c:v>
                </c:pt>
                <c:pt idx="4">
                  <c:v>-0.68194543062489288</c:v>
                </c:pt>
                <c:pt idx="5">
                  <c:v>1.3308714508830235</c:v>
                </c:pt>
              </c:numCache>
            </c:numRef>
          </c:val>
          <c:smooth val="0"/>
          <c:extLst>
            <c:ext xmlns:c16="http://schemas.microsoft.com/office/drawing/2014/chart" uri="{C3380CC4-5D6E-409C-BE32-E72D297353CC}">
              <c16:uniqueId val="{00000000-B8C1-4496-9572-9D0B45A921C5}"/>
            </c:ext>
          </c:extLst>
        </c:ser>
        <c:dLbls>
          <c:showLegendKey val="0"/>
          <c:showVal val="0"/>
          <c:showCatName val="0"/>
          <c:showSerName val="0"/>
          <c:showPercent val="0"/>
          <c:showBubbleSize val="0"/>
        </c:dLbls>
        <c:marker val="1"/>
        <c:smooth val="0"/>
        <c:axId val="47225088"/>
        <c:axId val="47227264"/>
      </c:lineChart>
      <c:catAx>
        <c:axId val="4722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27264"/>
        <c:crosses val="autoZero"/>
        <c:auto val="1"/>
        <c:lblAlgn val="ctr"/>
        <c:lblOffset val="100"/>
        <c:noMultiLvlLbl val="0"/>
      </c:catAx>
      <c:valAx>
        <c:axId val="47227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2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ihracat!$F$4:$O$4</c:f>
              <c:strCache>
                <c:ptCount val="10"/>
                <c:pt idx="0">
                  <c:v>2020Ç1</c:v>
                </c:pt>
                <c:pt idx="1">
                  <c:v>2020Ç2</c:v>
                </c:pt>
                <c:pt idx="2">
                  <c:v>2020Ç3</c:v>
                </c:pt>
                <c:pt idx="3">
                  <c:v>2020Ç4</c:v>
                </c:pt>
                <c:pt idx="4">
                  <c:v>2021Ç1</c:v>
                </c:pt>
                <c:pt idx="5">
                  <c:v>2021Ç2</c:v>
                </c:pt>
                <c:pt idx="6">
                  <c:v>2021Ç3</c:v>
                </c:pt>
                <c:pt idx="7">
                  <c:v>2021Ç4</c:v>
                </c:pt>
                <c:pt idx="8">
                  <c:v>2022Ç1</c:v>
                </c:pt>
                <c:pt idx="9">
                  <c:v>2022Ç2</c:v>
                </c:pt>
              </c:strCache>
            </c:strRef>
          </c:cat>
          <c:val>
            <c:numRef>
              <c:f>ihracat!$F$9:$O$9</c:f>
              <c:numCache>
                <c:formatCode>0.0</c:formatCode>
                <c:ptCount val="10"/>
                <c:pt idx="0">
                  <c:v>-2.2918573510751941</c:v>
                </c:pt>
                <c:pt idx="1">
                  <c:v>-4.394323090661473</c:v>
                </c:pt>
                <c:pt idx="2">
                  <c:v>-5.511664120180086</c:v>
                </c:pt>
                <c:pt idx="3">
                  <c:v>-7.5624551596989704</c:v>
                </c:pt>
                <c:pt idx="4">
                  <c:v>-7.5624551597078096</c:v>
                </c:pt>
                <c:pt idx="5">
                  <c:v>-4.9387521657165507</c:v>
                </c:pt>
                <c:pt idx="6">
                  <c:v>-4.9387521657165507</c:v>
                </c:pt>
                <c:pt idx="7">
                  <c:v>-4.9387521657165507</c:v>
                </c:pt>
                <c:pt idx="8">
                  <c:v>-4.9387521657165507</c:v>
                </c:pt>
                <c:pt idx="9">
                  <c:v>0.94223034517246163</c:v>
                </c:pt>
              </c:numCache>
            </c:numRef>
          </c:val>
          <c:smooth val="0"/>
          <c:extLst>
            <c:ext xmlns:c16="http://schemas.microsoft.com/office/drawing/2014/chart" uri="{C3380CC4-5D6E-409C-BE32-E72D297353CC}">
              <c16:uniqueId val="{00000000-BF61-4F12-B7DF-43BE6E7B51A6}"/>
            </c:ext>
          </c:extLst>
        </c:ser>
        <c:dLbls>
          <c:showLegendKey val="0"/>
          <c:showVal val="0"/>
          <c:showCatName val="0"/>
          <c:showSerName val="0"/>
          <c:showPercent val="0"/>
          <c:showBubbleSize val="0"/>
        </c:dLbls>
        <c:marker val="1"/>
        <c:smooth val="0"/>
        <c:axId val="47242624"/>
        <c:axId val="142218752"/>
      </c:lineChart>
      <c:catAx>
        <c:axId val="4724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18752"/>
        <c:crosses val="autoZero"/>
        <c:auto val="1"/>
        <c:lblAlgn val="ctr"/>
        <c:lblOffset val="100"/>
        <c:noMultiLvlLbl val="0"/>
      </c:catAx>
      <c:valAx>
        <c:axId val="142218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42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2B53-BF68-4402-89D4-6D143208B0F3}">
  <ds:schemaRefs>
    <ds:schemaRef ds:uri="http://schemas.microsoft.com/sharepoint/v3/contenttype/forms"/>
  </ds:schemaRefs>
</ds:datastoreItem>
</file>

<file path=customXml/itemProps2.xml><?xml version="1.0" encoding="utf-8"?>
<ds:datastoreItem xmlns:ds="http://schemas.openxmlformats.org/officeDocument/2006/customXml" ds:itemID="{47955FD6-2A7C-4D7C-80AA-E7FDDF24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CA37F-226F-48E1-852C-2E94790CD7FB}">
  <ds:schemaRefs>
    <ds:schemaRef ds:uri="http://purl.org/dc/terms/"/>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a948c1a1-7427-4f82-bcc1-319815582633"/>
    <ds:schemaRef ds:uri="6a91392b-4aab-4a5a-8abc-e018e4ed1710"/>
  </ds:schemaRefs>
</ds:datastoreItem>
</file>

<file path=customXml/itemProps4.xml><?xml version="1.0" encoding="utf-8"?>
<ds:datastoreItem xmlns:ds="http://schemas.openxmlformats.org/officeDocument/2006/customXml" ds:itemID="{B0FFFF23-0360-43C9-94B5-EBE1610C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1563</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Ugurcan ACAR</dc:creator>
  <cp:lastModifiedBy>Ugurcan ACAR</cp:lastModifiedBy>
  <cp:revision>10</cp:revision>
  <cp:lastPrinted>2022-09-29T09:08:00Z</cp:lastPrinted>
  <dcterms:created xsi:type="dcterms:W3CDTF">2022-09-29T09:07:00Z</dcterms:created>
  <dcterms:modified xsi:type="dcterms:W3CDTF">2022-09-29T11:08:00Z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9af8909242778c0ddee7b9817c0c8b031ea4de17665cc33e72fb50e95257452f</vt:lpwstr>
  </property>
  <property fmtid="{D5CDD505-2E9C-101B-9397-08002B2CF9AE}" pid="3" name="ContentTypeId">
    <vt:lpwstr>0x010100192CDA151078BE4DB52CE2A0BF05C16B</vt:lpwstr>
  </property>
</Properties>
</file>