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41FE1" w14:textId="1C49EEF6" w:rsidR="001F26BB" w:rsidRDefault="00926A71" w:rsidP="00932B01">
      <w:pPr>
        <w:rPr>
          <w:b/>
          <w:sz w:val="30"/>
          <w:szCs w:val="30"/>
        </w:rPr>
      </w:pPr>
      <w:r>
        <w:rPr>
          <w:rFonts w:ascii="Calibri" w:eastAsia="Calibri" w:hAnsi="Calibri" w:cs="Arial"/>
          <w:b/>
          <w:noProof/>
          <w:color w:val="000000"/>
          <w:sz w:val="28"/>
          <w:szCs w:val="28"/>
          <w:lang w:eastAsia="tr-TR"/>
        </w:rPr>
        <mc:AlternateContent>
          <mc:Choice Requires="wps">
            <w:drawing>
              <wp:anchor distT="0" distB="0" distL="114300" distR="114300" simplePos="0" relativeHeight="251658752" behindDoc="0" locked="0" layoutInCell="1" allowOverlap="1" wp14:anchorId="3DDC3C42" wp14:editId="34D82C32">
                <wp:simplePos x="0" y="0"/>
                <wp:positionH relativeFrom="column">
                  <wp:posOffset>1586865</wp:posOffset>
                </wp:positionH>
                <wp:positionV relativeFrom="paragraph">
                  <wp:posOffset>-482099</wp:posOffset>
                </wp:positionV>
                <wp:extent cx="3578087" cy="482600"/>
                <wp:effectExtent l="0" t="0" r="0" b="0"/>
                <wp:wrapNone/>
                <wp:docPr id="50" name="Metin Kutusu 50"/>
                <wp:cNvGraphicFramePr/>
                <a:graphic xmlns:a="http://schemas.openxmlformats.org/drawingml/2006/main">
                  <a:graphicData uri="http://schemas.microsoft.com/office/word/2010/wordprocessingShape">
                    <wps:wsp>
                      <wps:cNvSpPr txBox="1"/>
                      <wps:spPr>
                        <a:xfrm>
                          <a:off x="0" y="0"/>
                          <a:ext cx="3578087" cy="482600"/>
                        </a:xfrm>
                        <a:prstGeom prst="rect">
                          <a:avLst/>
                        </a:prstGeom>
                        <a:noFill/>
                        <a:ln w="6350">
                          <a:noFill/>
                        </a:ln>
                      </wps:spPr>
                      <wps:txbx>
                        <w:txbxContent>
                          <w:p w14:paraId="5C9F3BC1" w14:textId="6ACB3CD2" w:rsidR="00B221B4" w:rsidRPr="008E26C8" w:rsidRDefault="00B221B4" w:rsidP="00B221B4">
                            <w:pPr>
                              <w:rPr>
                                <w:rFonts w:ascii="Times New Roman" w:hAnsi="Times New Roman" w:cs="Times New Roman"/>
                                <w:b/>
                                <w:bCs/>
                                <w:sz w:val="52"/>
                                <w:szCs w:val="52"/>
                              </w:rPr>
                            </w:pPr>
                            <w:r w:rsidRPr="008E26C8">
                              <w:rPr>
                                <w:rFonts w:ascii="Times New Roman" w:hAnsi="Times New Roman" w:cs="Times New Roman"/>
                                <w:b/>
                                <w:bCs/>
                                <w:sz w:val="52"/>
                                <w:szCs w:val="52"/>
                              </w:rPr>
                              <w:t xml:space="preserve">Araştırma Notu </w:t>
                            </w:r>
                            <w:r w:rsidRPr="00E850FF">
                              <w:rPr>
                                <w:rFonts w:ascii="Times New Roman" w:hAnsi="Times New Roman" w:cs="Times New Roman"/>
                                <w:b/>
                                <w:bCs/>
                                <w:sz w:val="52"/>
                                <w:szCs w:val="52"/>
                              </w:rPr>
                              <w:t>22/</w:t>
                            </w:r>
                            <w:r w:rsidR="008A2DA9">
                              <w:rPr>
                                <w:rFonts w:ascii="Times New Roman" w:hAnsi="Times New Roman" w:cs="Times New Roman"/>
                                <w:b/>
                                <w:bCs/>
                                <w:sz w:val="52"/>
                                <w:szCs w:val="52"/>
                              </w:rPr>
                              <w:t>260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DDC3C42" id="_x0000_t202" coordsize="21600,21600" o:spt="202" path="m,l,21600r21600,l21600,xe">
                <v:stroke joinstyle="miter"/>
                <v:path gradientshapeok="t" o:connecttype="rect"/>
              </v:shapetype>
              <v:shape id="Metin Kutusu 50" o:spid="_x0000_s1026" type="#_x0000_t202" style="position:absolute;margin-left:124.95pt;margin-top:-37.95pt;width:281.75pt;height:38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qEkNAIAAFcEAAAOAAAAZHJzL2Uyb0RvYy54bWysVE1v2zAMvQ/YfxB0X+ykSZsZdYqsRYZh&#10;XVugHXpWZDkxYIuaJNfufv2eZKfNup2GXWSKpPjx+Ojzi76p2ZOyriKd8+kk5UxpSUWldzn//rD5&#10;sOTMeaELUZNWOX9Wjl+s3r8770ymZrSnulCWIYh2WWdyvvfeZEni5F41wk3IKA1jSbYRHle7Swor&#10;OkRv6mSWpqdJR7YwlqRyDtqrwchXMX5ZKulvy9Ipz+qcozYfTxvPbTiT1bnIdlaYfSXHMsQ/VNGI&#10;SiPpS6gr4QVrbfVHqKaSlhyVfiKpSagsK6liD+hmmr7p5n4vjIq9ABxnXmBy/y+svHm6s6wqcr4A&#10;PFo0mNE35SvNvra+dS2DGhh1xmVwvTdw9v0n6jHrg95BGVrvS9uEL5pisCPc8wvCqvdMQnmyOFum&#10;yzPOJGzz5ew0jeGT19fGOv9ZUcOCkHOLCUZgxdO186gErgeXkEzTpqrrOMVasy7npyeo+DcLXtQa&#10;D0MPQ61B8v22HxvbUvGMviwN7HBGbiokvxbO3wkLOqAVUNzf4ihrQhIaJc72ZH/+TR/8MSVYOetA&#10;r5y7H62wirP6i8b8Pk7n88DHeJkvzma42GPL9tii2+aSwOAplsnIKAZ/Xx/E0lLziE1Yh6wwCS2R&#10;O+f+IF76gfTYJKnW6+gEBhrhr/W9kSF0AC1A+9A/CmtG/D0md0MHIorszRgG3wHudeuprOKMAsAD&#10;qiPuYG8c3bhpYT2O79Hr9X+w+gUAAP//AwBQSwMEFAAGAAgAAAAhALm80MPgAAAACAEAAA8AAABk&#10;cnMvZG93bnJldi54bWxMj8FOwkAQhu8mvsNmTLzBlgpaareENCEmRg4gF2/b7tA2dmdrd4Hq0zuc&#10;9DaT+fLP92er0XbijINvHSmYTSMQSJUzLdUKDu+bSQLCB01Gd45QwTd6WOW3N5lOjbvQDs/7UAsO&#10;IZ9qBU0IfSqlrxq02k9dj8S3oxusDrwOtTSDvnC47WQcRY/S6pb4Q6N7LBqsPvcnq+C12Gz1roxt&#10;8tMVL2/Hdf91+FgodX83rp9BBBzDHwxXfVaHnJ1KdyLjRacgni+XjCqYPC14YCKZPcxBlFdU5pn8&#10;XyD/BQAA//8DAFBLAQItABQABgAIAAAAIQC2gziS/gAAAOEBAAATAAAAAAAAAAAAAAAAAAAAAABb&#10;Q29udGVudF9UeXBlc10ueG1sUEsBAi0AFAAGAAgAAAAhADj9If/WAAAAlAEAAAsAAAAAAAAAAAAA&#10;AAAALwEAAF9yZWxzLy5yZWxzUEsBAi0AFAAGAAgAAAAhAHouoSQ0AgAAVwQAAA4AAAAAAAAAAAAA&#10;AAAALgIAAGRycy9lMm9Eb2MueG1sUEsBAi0AFAAGAAgAAAAhALm80MPgAAAACAEAAA8AAAAAAAAA&#10;AAAAAAAAjgQAAGRycy9kb3ducmV2LnhtbFBLBQYAAAAABAAEAPMAAACbBQAAAAA=&#10;" filled="f" stroked="f" strokeweight=".5pt">
                <v:textbox>
                  <w:txbxContent>
                    <w:p w14:paraId="5C9F3BC1" w14:textId="6ACB3CD2" w:rsidR="00B221B4" w:rsidRPr="008E26C8" w:rsidRDefault="00B221B4" w:rsidP="00B221B4">
                      <w:pPr>
                        <w:rPr>
                          <w:rFonts w:ascii="Times New Roman" w:hAnsi="Times New Roman" w:cs="Times New Roman"/>
                          <w:b/>
                          <w:bCs/>
                          <w:sz w:val="52"/>
                          <w:szCs w:val="52"/>
                        </w:rPr>
                      </w:pPr>
                      <w:r w:rsidRPr="008E26C8">
                        <w:rPr>
                          <w:rFonts w:ascii="Times New Roman" w:hAnsi="Times New Roman" w:cs="Times New Roman"/>
                          <w:b/>
                          <w:bCs/>
                          <w:sz w:val="52"/>
                          <w:szCs w:val="52"/>
                        </w:rPr>
                        <w:t xml:space="preserve">Araştırma Notu </w:t>
                      </w:r>
                      <w:r w:rsidRPr="00E850FF">
                        <w:rPr>
                          <w:rFonts w:ascii="Times New Roman" w:hAnsi="Times New Roman" w:cs="Times New Roman"/>
                          <w:b/>
                          <w:bCs/>
                          <w:sz w:val="52"/>
                          <w:szCs w:val="52"/>
                        </w:rPr>
                        <w:t>22/</w:t>
                      </w:r>
                      <w:r w:rsidR="008A2DA9">
                        <w:rPr>
                          <w:rFonts w:ascii="Times New Roman" w:hAnsi="Times New Roman" w:cs="Times New Roman"/>
                          <w:b/>
                          <w:bCs/>
                          <w:sz w:val="52"/>
                          <w:szCs w:val="52"/>
                        </w:rPr>
                        <w:t>260</w:t>
                      </w:r>
                    </w:p>
                  </w:txbxContent>
                </v:textbox>
              </v:shape>
            </w:pict>
          </mc:Fallback>
        </mc:AlternateContent>
      </w:r>
      <w:r w:rsidR="00932B01" w:rsidRPr="00C00B75">
        <w:rPr>
          <w:rFonts w:ascii="Calibri" w:eastAsia="Calibri" w:hAnsi="Calibri" w:cs="Arial"/>
          <w:b/>
          <w:noProof/>
          <w:color w:val="000000"/>
          <w:sz w:val="28"/>
          <w:szCs w:val="28"/>
          <w:lang w:eastAsia="tr-TR"/>
        </w:rPr>
        <mc:AlternateContent>
          <mc:Choice Requires="wps">
            <w:drawing>
              <wp:anchor distT="0" distB="0" distL="114935" distR="114935" simplePos="0" relativeHeight="251683840" behindDoc="0" locked="0" layoutInCell="1" allowOverlap="1" wp14:anchorId="6E8C467E" wp14:editId="330B9E5D">
                <wp:simplePos x="0" y="0"/>
                <wp:positionH relativeFrom="margin">
                  <wp:posOffset>5164722</wp:posOffset>
                </wp:positionH>
                <wp:positionV relativeFrom="page">
                  <wp:posOffset>1195036</wp:posOffset>
                </wp:positionV>
                <wp:extent cx="1087120" cy="362309"/>
                <wp:effectExtent l="0" t="0" r="0" b="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87120" cy="362309"/>
                        </a:xfrm>
                        <a:prstGeom prst="rect">
                          <a:avLst/>
                        </a:prstGeom>
                        <a:solidFill>
                          <a:srgbClr val="FFFFFF">
                            <a:alpha val="0"/>
                          </a:srgbClr>
                        </a:solidFill>
                        <a:ln>
                          <a:noFill/>
                        </a:ln>
                      </wps:spPr>
                      <wps:txbx>
                        <w:txbxContent>
                          <w:p w14:paraId="31823BB2" w14:textId="6D0D23C0" w:rsidR="00932B01" w:rsidRPr="00FE6772" w:rsidRDefault="008A2DA9" w:rsidP="00932B01">
                            <w:pPr>
                              <w:jc w:val="center"/>
                              <w:rPr>
                                <w:b/>
                                <w:bCs/>
                                <w:color w:val="FFFFFF" w:themeColor="background1"/>
                              </w:rPr>
                            </w:pPr>
                            <w:r>
                              <w:rPr>
                                <w:b/>
                                <w:bCs/>
                                <w:color w:val="FFFFFF" w:themeColor="background1"/>
                              </w:rPr>
                              <w:t>7</w:t>
                            </w:r>
                            <w:bookmarkStart w:id="0" w:name="_GoBack"/>
                            <w:bookmarkEnd w:id="0"/>
                            <w:r w:rsidR="00932B01" w:rsidRPr="00AA4EE5">
                              <w:rPr>
                                <w:b/>
                                <w:bCs/>
                                <w:color w:val="FFFFFF" w:themeColor="background1"/>
                              </w:rPr>
                              <w:t xml:space="preserve"> </w:t>
                            </w:r>
                            <w:r w:rsidR="00932B01">
                              <w:rPr>
                                <w:b/>
                                <w:bCs/>
                                <w:color w:val="FFFFFF" w:themeColor="background1"/>
                              </w:rPr>
                              <w:t>Eylül</w:t>
                            </w:r>
                            <w:r w:rsidR="00932B01" w:rsidRPr="00AA4EE5">
                              <w:rPr>
                                <w:b/>
                                <w:bCs/>
                                <w:color w:val="FFFFFF" w:themeColor="background1"/>
                              </w:rPr>
                              <w:t xml:space="preserv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C467E" id="Metin Kutusu 18" o:spid="_x0000_s1027" type="#_x0000_t202" style="position:absolute;margin-left:406.65pt;margin-top:94.1pt;width:85.6pt;height:28.55pt;flip:y;z-index:251683840;visibility:visible;mso-wrap-style:square;mso-width-percent:0;mso-height-percent:0;mso-wrap-distance-left:9.05pt;mso-wrap-distance-top:0;mso-wrap-distance-right:9.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0wiEwIAABMEAAAOAAAAZHJzL2Uyb0RvYy54bWysU1Fv0zAQfkfiP1h+p2k7aYyo6TQ6FSE2&#10;QBrw7jhOYuH4zNlpMn49Z7vtBrwh8hCd7fN3d9/3eXM9D4YdFHoNtuKrxZIzZSU02nYV//pl/+qK&#10;Mx+EbYQBqyr+qDy/3r58sZlcqdbQg2kUMgKxvpxcxfsQXFkUXvZqEH4BTlk6bAEHEWiJXdGgmAh9&#10;MMV6ubwsJsDGIUjlPe3e5kO+Tfhtq2T41LZeBWYqTr2F9Mf0r+O/2G5E2aFwvZbHNsQ/dDEIbano&#10;GepWBMFG1H9BDVoieGjDQsJQQNtqqdIMNM1q+cc0D71wKs1C5Hh3psn/P1j58fAZmW5IO1LKioE0&#10;uldBW/ZhDKMfGW0TR5PzJaU+OEoO81uYKT/N690dyO+eWdj1wnbqBhGmXomGelzFm8WzqxnHR5B6&#10;uoeGaokxQAKaWxxYa7T7doImchjVIdUez0qpOTAZiy+vXq/WdCTp7OJyfbF8k4qJMuJEIRz68E7B&#10;wGJQcSQnpDricOdD7OspJaZ7MLrZa2PSArt6Z5AdBLlmn75817he5N3kHMLwOTXh/YZhbESyEDFz&#10;ubiT2IgEZCrCXM+Z/BPJNTSPRA9Cdiq9LAp6wJ+cTeTSivsfo0DFmXlvieJo6VOAp6A+BcJKulrx&#10;wFkOdyFbf3Sou56Qs4gWbkiGVideol65i2O75Lw03vGVRGs/X6esp7e8/QUAAP//AwBQSwMEFAAG&#10;AAgAAAAhAE4O7bvhAAAACwEAAA8AAABkcnMvZG93bnJldi54bWxMj8FugzAQRO+V+g/WVuqtMYEk&#10;cgkmQkhV1VtLIrVHgzeAgm2EHUL/vttTe1zN08zb7LCYgc04+d5ZCetVBAxt43RvWwmn48uTAOaD&#10;sloNzqKEb/RwyO/vMpVqd7MfOFehZVRifaokdCGMKee+6dAov3IjWsrObjIq0Dm1XE/qRuVm4HEU&#10;7bhRvaWFTo1YdthcqquRcFzeSjcv9aksiqq49LvXr3fzKeXjw1LsgQVcwh8Mv/qkDjk51e5qtWeD&#10;BLFOEkIpECIGRsSz2GyB1RLizTYBnmf8/w/5DwAAAP//AwBQSwECLQAUAAYACAAAACEAtoM4kv4A&#10;AADhAQAAEwAAAAAAAAAAAAAAAAAAAAAAW0NvbnRlbnRfVHlwZXNdLnhtbFBLAQItABQABgAIAAAA&#10;IQA4/SH/1gAAAJQBAAALAAAAAAAAAAAAAAAAAC8BAABfcmVscy8ucmVsc1BLAQItABQABgAIAAAA&#10;IQC6W0wiEwIAABMEAAAOAAAAAAAAAAAAAAAAAC4CAABkcnMvZTJvRG9jLnhtbFBLAQItABQABgAI&#10;AAAAIQBODu274QAAAAsBAAAPAAAAAAAAAAAAAAAAAG0EAABkcnMvZG93bnJldi54bWxQSwUGAAAA&#10;AAQABADzAAAAewUAAAAA&#10;" stroked="f">
                <v:fill opacity="0"/>
                <v:textbox inset="0,0,0,0">
                  <w:txbxContent>
                    <w:p w14:paraId="31823BB2" w14:textId="6D0D23C0" w:rsidR="00932B01" w:rsidRPr="00FE6772" w:rsidRDefault="008A2DA9" w:rsidP="00932B01">
                      <w:pPr>
                        <w:jc w:val="center"/>
                        <w:rPr>
                          <w:b/>
                          <w:bCs/>
                          <w:color w:val="FFFFFF" w:themeColor="background1"/>
                        </w:rPr>
                      </w:pPr>
                      <w:r>
                        <w:rPr>
                          <w:b/>
                          <w:bCs/>
                          <w:color w:val="FFFFFF" w:themeColor="background1"/>
                        </w:rPr>
                        <w:t>7</w:t>
                      </w:r>
                      <w:bookmarkStart w:id="1" w:name="_GoBack"/>
                      <w:bookmarkEnd w:id="1"/>
                      <w:r w:rsidR="00932B01" w:rsidRPr="00AA4EE5">
                        <w:rPr>
                          <w:b/>
                          <w:bCs/>
                          <w:color w:val="FFFFFF" w:themeColor="background1"/>
                        </w:rPr>
                        <w:t xml:space="preserve"> </w:t>
                      </w:r>
                      <w:r w:rsidR="00932B01">
                        <w:rPr>
                          <w:b/>
                          <w:bCs/>
                          <w:color w:val="FFFFFF" w:themeColor="background1"/>
                        </w:rPr>
                        <w:t>Eylül</w:t>
                      </w:r>
                      <w:r w:rsidR="00932B01" w:rsidRPr="00AA4EE5">
                        <w:rPr>
                          <w:b/>
                          <w:bCs/>
                          <w:color w:val="FFFFFF" w:themeColor="background1"/>
                        </w:rPr>
                        <w:t xml:space="preserve"> 2022</w:t>
                      </w:r>
                    </w:p>
                  </w:txbxContent>
                </v:textbox>
                <w10:wrap anchorx="margin" anchory="page"/>
              </v:shape>
            </w:pict>
          </mc:Fallback>
        </mc:AlternateContent>
      </w:r>
      <w:r w:rsidR="0070435B" w:rsidRPr="00C00B75">
        <w:rPr>
          <w:rFonts w:ascii="Calibri" w:eastAsia="Calibri" w:hAnsi="Calibri" w:cs="Arial"/>
          <w:b/>
          <w:noProof/>
          <w:color w:val="000000"/>
          <w:sz w:val="28"/>
          <w:szCs w:val="28"/>
          <w:lang w:eastAsia="tr-TR"/>
        </w:rPr>
        <w:drawing>
          <wp:anchor distT="0" distB="0" distL="114300" distR="114300" simplePos="0" relativeHeight="251657728" behindDoc="1" locked="0" layoutInCell="1" allowOverlap="1" wp14:anchorId="12D314B6" wp14:editId="188E7B72">
            <wp:simplePos x="0" y="0"/>
            <wp:positionH relativeFrom="margin">
              <wp:posOffset>-753979</wp:posOffset>
            </wp:positionH>
            <wp:positionV relativeFrom="margin">
              <wp:posOffset>-705719</wp:posOffset>
            </wp:positionV>
            <wp:extent cx="7262495" cy="1318260"/>
            <wp:effectExtent l="0" t="0" r="1905" b="2540"/>
            <wp:wrapTight wrapText="bothSides">
              <wp:wrapPolygon edited="0">
                <wp:start x="0" y="0"/>
                <wp:lineTo x="0" y="21434"/>
                <wp:lineTo x="21568" y="21434"/>
                <wp:lineTo x="21568" y="0"/>
                <wp:lineTo x="0" y="0"/>
              </wp:wrapPolygon>
            </wp:wrapTight>
            <wp:docPr id="17"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banner(TUR).jpg"/>
                    <pic:cNvPicPr>
                      <a:picLocks noChangeAspect="1"/>
                    </pic:cNvPicPr>
                  </pic:nvPicPr>
                  <pic:blipFill>
                    <a:blip r:embed="rId8" cstate="print"/>
                    <a:srcRect/>
                    <a:stretch>
                      <a:fillRect/>
                    </a:stretch>
                  </pic:blipFill>
                  <pic:spPr bwMode="auto">
                    <a:xfrm>
                      <a:off x="0" y="0"/>
                      <a:ext cx="7262495" cy="1318260"/>
                    </a:xfrm>
                    <a:prstGeom prst="rect">
                      <a:avLst/>
                    </a:prstGeom>
                    <a:ln>
                      <a:noFill/>
                    </a:ln>
                    <a:effectLst/>
                  </pic:spPr>
                </pic:pic>
              </a:graphicData>
            </a:graphic>
          </wp:anchor>
        </w:drawing>
      </w:r>
    </w:p>
    <w:p w14:paraId="7A9AFF5D" w14:textId="13B97264" w:rsidR="00372D7A" w:rsidRPr="00373A16" w:rsidRDefault="00D26BB3" w:rsidP="0094314F">
      <w:pPr>
        <w:jc w:val="center"/>
        <w:rPr>
          <w:b/>
          <w:sz w:val="30"/>
          <w:szCs w:val="30"/>
        </w:rPr>
      </w:pPr>
      <w:r w:rsidRPr="00373A16">
        <w:rPr>
          <w:b/>
          <w:sz w:val="30"/>
          <w:szCs w:val="30"/>
        </w:rPr>
        <w:t xml:space="preserve">BÖLGESEL </w:t>
      </w:r>
      <w:r w:rsidR="00111A08" w:rsidRPr="00373A16">
        <w:rPr>
          <w:b/>
          <w:sz w:val="30"/>
          <w:szCs w:val="30"/>
        </w:rPr>
        <w:t>İŞSİZLİK</w:t>
      </w:r>
      <w:r w:rsidRPr="00373A16">
        <w:rPr>
          <w:b/>
          <w:sz w:val="30"/>
          <w:szCs w:val="30"/>
        </w:rPr>
        <w:t>TE MUAZZAM EŞİTSİZLİK</w:t>
      </w:r>
      <w:r w:rsidR="0094314F" w:rsidRPr="00373A16">
        <w:rPr>
          <w:b/>
          <w:sz w:val="30"/>
          <w:szCs w:val="30"/>
        </w:rPr>
        <w:t xml:space="preserve"> VE ÇARPICI GELİŞMELER</w:t>
      </w:r>
    </w:p>
    <w:p w14:paraId="6C1D191E" w14:textId="77777777" w:rsidR="00A63074" w:rsidRPr="000F5BF0" w:rsidRDefault="00A63074" w:rsidP="00A63074">
      <w:pPr>
        <w:spacing w:after="360"/>
        <w:jc w:val="center"/>
        <w:rPr>
          <w:rFonts w:cs="Arial"/>
          <w:b/>
          <w:bCs/>
          <w:sz w:val="20"/>
          <w:szCs w:val="20"/>
        </w:rPr>
      </w:pPr>
      <w:r w:rsidRPr="000F5BF0">
        <w:rPr>
          <w:rFonts w:cs="Arial"/>
          <w:b/>
          <w:bCs/>
          <w:sz w:val="20"/>
          <w:szCs w:val="20"/>
        </w:rPr>
        <w:t>Seyfettin Gürsel</w:t>
      </w:r>
      <w:r w:rsidRPr="000F5BF0">
        <w:rPr>
          <w:rStyle w:val="FootnoteReference"/>
          <w:rFonts w:cs="Arial"/>
          <w:b/>
          <w:bCs/>
          <w:sz w:val="20"/>
          <w:szCs w:val="20"/>
        </w:rPr>
        <w:footnoteReference w:customMarkFollows="1" w:id="1"/>
        <w:t>*</w:t>
      </w:r>
      <w:r w:rsidRPr="000F5BF0">
        <w:rPr>
          <w:rFonts w:cs="Arial"/>
          <w:b/>
          <w:bCs/>
          <w:sz w:val="20"/>
          <w:szCs w:val="20"/>
        </w:rPr>
        <w:t xml:space="preserve">, </w:t>
      </w:r>
      <w:r>
        <w:rPr>
          <w:rFonts w:cs="Arial"/>
          <w:b/>
          <w:bCs/>
          <w:sz w:val="20"/>
          <w:szCs w:val="20"/>
        </w:rPr>
        <w:t>Hamza Mutluay</w:t>
      </w:r>
      <w:r w:rsidRPr="000F5BF0">
        <w:rPr>
          <w:rStyle w:val="FootnoteReference"/>
          <w:rFonts w:cs="Arial"/>
          <w:b/>
          <w:bCs/>
          <w:sz w:val="20"/>
          <w:szCs w:val="20"/>
        </w:rPr>
        <w:footnoteReference w:customMarkFollows="1" w:id="2"/>
        <w:t xml:space="preserve">** </w:t>
      </w:r>
      <w:r w:rsidRPr="000F5BF0">
        <w:rPr>
          <w:rFonts w:cs="Arial"/>
          <w:b/>
          <w:bCs/>
          <w:sz w:val="20"/>
          <w:szCs w:val="20"/>
        </w:rPr>
        <w:t>,</w:t>
      </w:r>
      <w:bookmarkStart w:id="2" w:name="_Hlk66438502"/>
      <w:r>
        <w:rPr>
          <w:rFonts w:cs="Arial"/>
          <w:b/>
          <w:bCs/>
          <w:sz w:val="20"/>
          <w:szCs w:val="20"/>
        </w:rPr>
        <w:t>Zeynep Yılmaz</w:t>
      </w:r>
      <w:r w:rsidRPr="000F5BF0">
        <w:rPr>
          <w:rStyle w:val="FootnoteReference"/>
          <w:rFonts w:cs="Arial"/>
          <w:b/>
          <w:bCs/>
          <w:sz w:val="20"/>
          <w:szCs w:val="20"/>
        </w:rPr>
        <w:footnoteReference w:customMarkFollows="1" w:id="3"/>
        <w:t>***</w:t>
      </w:r>
      <w:bookmarkEnd w:id="2"/>
    </w:p>
    <w:p w14:paraId="4262AFF6" w14:textId="208984DD" w:rsidR="009B1060" w:rsidRPr="00A63074" w:rsidRDefault="009B1060" w:rsidP="006A453B">
      <w:pPr>
        <w:spacing w:after="360"/>
        <w:jc w:val="center"/>
        <w:rPr>
          <w:b/>
          <w:sz w:val="24"/>
          <w:szCs w:val="24"/>
        </w:rPr>
      </w:pPr>
      <w:r w:rsidRPr="00A63074">
        <w:rPr>
          <w:b/>
          <w:sz w:val="24"/>
          <w:szCs w:val="24"/>
        </w:rPr>
        <w:t>Yönetici özeti</w:t>
      </w:r>
    </w:p>
    <w:p w14:paraId="202950BA" w14:textId="0D9CCE11" w:rsidR="00CA577F" w:rsidRPr="00565099" w:rsidRDefault="00CA577F" w:rsidP="00932B01">
      <w:pPr>
        <w:spacing w:line="360" w:lineRule="auto"/>
        <w:jc w:val="both"/>
        <w:rPr>
          <w:sz w:val="24"/>
          <w:szCs w:val="24"/>
        </w:rPr>
      </w:pPr>
      <w:r w:rsidRPr="00565099">
        <w:rPr>
          <w:sz w:val="24"/>
          <w:szCs w:val="24"/>
        </w:rPr>
        <w:t>Bu araştırma notunda birbiriyle bağıntılı iki konuyu incelemeyi amaçlıyoruz: Birincisi, COVID-19 pandemi şokunun bölgesel işgücü piyasaları üzerindeki etkileri</w:t>
      </w:r>
      <w:r w:rsidR="000F2D96">
        <w:rPr>
          <w:sz w:val="24"/>
          <w:szCs w:val="24"/>
        </w:rPr>
        <w:t>,</w:t>
      </w:r>
      <w:r w:rsidRPr="00565099">
        <w:rPr>
          <w:sz w:val="24"/>
          <w:szCs w:val="24"/>
        </w:rPr>
        <w:t xml:space="preserve"> diğeri ise 2021 yılında bölgeleri işsizlik ve istihdam performansı açısından karşılaştırarak ne ölçüde başarılı ya da başarısız olduklarını değerlendirmektir. Pandemi öncesi durumu temsilen 2018 yılını tercih e</w:t>
      </w:r>
      <w:r w:rsidR="007E2F7A" w:rsidRPr="00565099">
        <w:rPr>
          <w:sz w:val="24"/>
          <w:szCs w:val="24"/>
        </w:rPr>
        <w:t>diyoruz</w:t>
      </w:r>
      <w:r w:rsidRPr="00565099">
        <w:rPr>
          <w:sz w:val="24"/>
          <w:szCs w:val="24"/>
        </w:rPr>
        <w:t>. 2018’den 2021’e Türkiye’de tarım dışı işsizlik oranı 1 yüzde puanlık artışla yüzde 13,1’den yüzde 14,1’e yükselmiştir.</w:t>
      </w:r>
      <w:r w:rsidR="007E2F7A" w:rsidRPr="00565099">
        <w:rPr>
          <w:sz w:val="24"/>
          <w:szCs w:val="24"/>
        </w:rPr>
        <w:t xml:space="preserve"> Oysa bölgelerde işsizlik aynı yönde hareket etmemiş,</w:t>
      </w:r>
      <w:r w:rsidRPr="00565099">
        <w:rPr>
          <w:sz w:val="24"/>
          <w:szCs w:val="24"/>
        </w:rPr>
        <w:t xml:space="preserve"> </w:t>
      </w:r>
      <w:r w:rsidR="007E2F7A" w:rsidRPr="00565099">
        <w:rPr>
          <w:sz w:val="24"/>
          <w:szCs w:val="24"/>
        </w:rPr>
        <w:t>t</w:t>
      </w:r>
      <w:r w:rsidR="00C46A70" w:rsidRPr="00565099">
        <w:rPr>
          <w:sz w:val="24"/>
          <w:szCs w:val="24"/>
        </w:rPr>
        <w:t>arım dışı işsizlik oranı</w:t>
      </w:r>
      <w:r w:rsidRPr="00565099">
        <w:rPr>
          <w:sz w:val="24"/>
          <w:szCs w:val="24"/>
        </w:rPr>
        <w:t xml:space="preserve"> 26 bölgenin 20’sinde</w:t>
      </w:r>
      <w:r w:rsidR="00C46A70" w:rsidRPr="00565099">
        <w:rPr>
          <w:sz w:val="24"/>
          <w:szCs w:val="24"/>
        </w:rPr>
        <w:t xml:space="preserve"> artarken 6’sında azalmıştır</w:t>
      </w:r>
      <w:r w:rsidRPr="00565099">
        <w:rPr>
          <w:sz w:val="24"/>
          <w:szCs w:val="24"/>
        </w:rPr>
        <w:t xml:space="preserve">. </w:t>
      </w:r>
      <w:r w:rsidR="00C46A70" w:rsidRPr="00565099">
        <w:rPr>
          <w:sz w:val="24"/>
          <w:szCs w:val="24"/>
        </w:rPr>
        <w:t>Ancak işsizlikte artışlar ve azalışlar çok farklı mertebede olup nedenleri de farklıdır. En şiddetli artış, 14,3 yüzde puanla Kuzeydoğu Anadolu bölgesinde görülürken en şiddetli düşüş de 5,8 yüzde puanla Şanlıurfa-Diyarbakır bölgesinde gerçekleşmiştir. Kuzeydoğu Anadolu’da işsizlik artışı işgücündeki çok yüksek artıştan kaynaklanırken</w:t>
      </w:r>
      <w:r w:rsidR="00524793" w:rsidRPr="00565099">
        <w:rPr>
          <w:sz w:val="24"/>
          <w:szCs w:val="24"/>
        </w:rPr>
        <w:t>,</w:t>
      </w:r>
      <w:r w:rsidR="00C46A70" w:rsidRPr="00565099">
        <w:rPr>
          <w:sz w:val="24"/>
          <w:szCs w:val="24"/>
        </w:rPr>
        <w:t xml:space="preserve"> Şanlıurfa-Diyarbakır’da azalış büyük ölçüde işgücündeki yüksek azalıştan</w:t>
      </w:r>
      <w:r w:rsidR="00EB0F30" w:rsidRPr="00565099">
        <w:rPr>
          <w:sz w:val="24"/>
          <w:szCs w:val="24"/>
        </w:rPr>
        <w:t xml:space="preserve"> kaynaklanmıştır. 2021’de </w:t>
      </w:r>
      <w:r w:rsidR="00524793" w:rsidRPr="00565099">
        <w:rPr>
          <w:sz w:val="24"/>
          <w:szCs w:val="24"/>
        </w:rPr>
        <w:t>tarım dışı i</w:t>
      </w:r>
      <w:r w:rsidR="00EB0F30" w:rsidRPr="00565099">
        <w:rPr>
          <w:sz w:val="24"/>
          <w:szCs w:val="24"/>
        </w:rPr>
        <w:t xml:space="preserve">şsizlik oranı sıralamasında yüzde 33,3 ile Mardin-Batman-Şırnak-Siirt bölgesi ilk sırayı alırken son sırada yüzde 9,1 ile Kastamonu-Çankırı-Sinop bölgesi bulunmaktadır. Tarım dışı işsizlik oranlarının Türkiye genelinden çok yüksek aynı zamanda da tarım dışı istihdam oranlarının çok düşük olduğu 4 bölge </w:t>
      </w:r>
      <w:r w:rsidR="00524793" w:rsidRPr="00565099">
        <w:rPr>
          <w:sz w:val="24"/>
          <w:szCs w:val="24"/>
        </w:rPr>
        <w:t xml:space="preserve">tümüyle </w:t>
      </w:r>
      <w:r w:rsidR="00EB0F30" w:rsidRPr="00565099">
        <w:rPr>
          <w:sz w:val="24"/>
          <w:szCs w:val="24"/>
        </w:rPr>
        <w:t>Doğu ve Güneydoğu Anadolu’da yer almaktadır. Buna karşılık tarım dışı işsizlik oranlarının Türkiye genelinden çok düşük</w:t>
      </w:r>
      <w:r w:rsidR="00524793" w:rsidRPr="00565099">
        <w:rPr>
          <w:sz w:val="24"/>
          <w:szCs w:val="24"/>
        </w:rPr>
        <w:t>, tarım dışı</w:t>
      </w:r>
      <w:r w:rsidR="00EB0F30" w:rsidRPr="00565099">
        <w:rPr>
          <w:sz w:val="24"/>
          <w:szCs w:val="24"/>
        </w:rPr>
        <w:t xml:space="preserve"> istihdam oranlarının ise çok yüksek olduğu 3 bölge mevcuttur: Bu bölgeler Trakya, Güney</w:t>
      </w:r>
      <w:r w:rsidR="00524793" w:rsidRPr="00565099">
        <w:rPr>
          <w:sz w:val="24"/>
          <w:szCs w:val="24"/>
        </w:rPr>
        <w:t xml:space="preserve"> Marmara</w:t>
      </w:r>
      <w:r w:rsidR="00EB0F30" w:rsidRPr="00565099">
        <w:rPr>
          <w:sz w:val="24"/>
          <w:szCs w:val="24"/>
        </w:rPr>
        <w:t xml:space="preserve"> ve Doğu Marmara bölgeleridir. </w:t>
      </w:r>
    </w:p>
    <w:p w14:paraId="013E8C42" w14:textId="77777777" w:rsidR="00565099" w:rsidRDefault="00565099" w:rsidP="00F90E4A">
      <w:pPr>
        <w:rPr>
          <w:b/>
          <w:sz w:val="28"/>
          <w:szCs w:val="28"/>
        </w:rPr>
      </w:pPr>
    </w:p>
    <w:p w14:paraId="1F35BF9D" w14:textId="77777777" w:rsidR="006E2F11" w:rsidRDefault="006E2F11" w:rsidP="000764E3">
      <w:pPr>
        <w:spacing w:after="240"/>
        <w:rPr>
          <w:b/>
          <w:sz w:val="28"/>
          <w:szCs w:val="28"/>
        </w:rPr>
      </w:pPr>
    </w:p>
    <w:p w14:paraId="77D34173" w14:textId="2124E36E" w:rsidR="00950C70" w:rsidRPr="00565099" w:rsidRDefault="00950C70" w:rsidP="000764E3">
      <w:pPr>
        <w:spacing w:after="240"/>
        <w:rPr>
          <w:b/>
          <w:sz w:val="28"/>
          <w:szCs w:val="28"/>
        </w:rPr>
      </w:pPr>
      <w:r w:rsidRPr="00565099">
        <w:rPr>
          <w:b/>
          <w:sz w:val="28"/>
          <w:szCs w:val="28"/>
        </w:rPr>
        <w:lastRenderedPageBreak/>
        <w:t>İşsizliğin bölgesel analizine dair yöntemsel hatırlatma</w:t>
      </w:r>
    </w:p>
    <w:p w14:paraId="6B66FC2C" w14:textId="68C62F7E" w:rsidR="004C2440" w:rsidRPr="00565099" w:rsidRDefault="004C2440" w:rsidP="00565099">
      <w:pPr>
        <w:spacing w:line="360" w:lineRule="auto"/>
        <w:jc w:val="both"/>
        <w:rPr>
          <w:sz w:val="24"/>
          <w:szCs w:val="24"/>
        </w:rPr>
      </w:pPr>
      <w:r w:rsidRPr="00565099">
        <w:rPr>
          <w:sz w:val="24"/>
          <w:szCs w:val="24"/>
        </w:rPr>
        <w:t>TÜİK her ay yayınladığı Hanehalkı İşgücü Anketin</w:t>
      </w:r>
      <w:r w:rsidR="000764E3">
        <w:rPr>
          <w:sz w:val="24"/>
          <w:szCs w:val="24"/>
        </w:rPr>
        <w:t>i</w:t>
      </w:r>
      <w:r w:rsidRPr="00565099">
        <w:rPr>
          <w:sz w:val="24"/>
          <w:szCs w:val="24"/>
        </w:rPr>
        <w:t xml:space="preserve"> (HİA) Mart ayında </w:t>
      </w:r>
      <w:r w:rsidR="00887903" w:rsidRPr="00565099">
        <w:rPr>
          <w:sz w:val="24"/>
          <w:szCs w:val="24"/>
        </w:rPr>
        <w:t>önceki yılı</w:t>
      </w:r>
      <w:r w:rsidRPr="00565099">
        <w:rPr>
          <w:sz w:val="24"/>
          <w:szCs w:val="24"/>
        </w:rPr>
        <w:t xml:space="preserve"> kapsayacak şekilde yayın</w:t>
      </w:r>
      <w:r w:rsidR="0081596A" w:rsidRPr="00565099">
        <w:rPr>
          <w:sz w:val="24"/>
          <w:szCs w:val="24"/>
        </w:rPr>
        <w:t>lamaktadır</w:t>
      </w:r>
      <w:r w:rsidR="004A406C" w:rsidRPr="00565099">
        <w:rPr>
          <w:sz w:val="24"/>
          <w:szCs w:val="24"/>
        </w:rPr>
        <w:t xml:space="preserve">. </w:t>
      </w:r>
      <w:r w:rsidR="00887903" w:rsidRPr="00565099">
        <w:rPr>
          <w:sz w:val="24"/>
          <w:szCs w:val="24"/>
        </w:rPr>
        <w:t xml:space="preserve">Bu vesileyle bölgesel işgücü istatistikleri de yayınlanmaktadır. </w:t>
      </w:r>
      <w:r w:rsidRPr="00565099">
        <w:rPr>
          <w:sz w:val="24"/>
          <w:szCs w:val="24"/>
        </w:rPr>
        <w:t xml:space="preserve">Konuyla ilgili önceki araştırma notlarında vurguladığımız üzere bölgesel işgücü piyasalarının değerlendirmesinde tarım dışı işsizlik oranları genel işsizlik oranlarına kıyasla bölgesel eşitsizlikleri daha gerçekçi bir şekilde </w:t>
      </w:r>
      <w:r w:rsidR="00AC516A" w:rsidRPr="00565099">
        <w:rPr>
          <w:sz w:val="24"/>
          <w:szCs w:val="24"/>
        </w:rPr>
        <w:t>gözlemlemememizi</w:t>
      </w:r>
      <w:r w:rsidRPr="00565099">
        <w:rPr>
          <w:sz w:val="24"/>
          <w:szCs w:val="24"/>
        </w:rPr>
        <w:t xml:space="preserve"> sağl</w:t>
      </w:r>
      <w:r w:rsidR="00887903" w:rsidRPr="00565099">
        <w:rPr>
          <w:sz w:val="24"/>
          <w:szCs w:val="24"/>
        </w:rPr>
        <w:t>amaktadır. Bununla birlikte bu ölçüt</w:t>
      </w:r>
      <w:r w:rsidRPr="00565099">
        <w:rPr>
          <w:sz w:val="24"/>
          <w:szCs w:val="24"/>
        </w:rPr>
        <w:t xml:space="preserve"> </w:t>
      </w:r>
      <w:r w:rsidR="00AC516A" w:rsidRPr="00565099">
        <w:rPr>
          <w:sz w:val="24"/>
          <w:szCs w:val="24"/>
        </w:rPr>
        <w:t>bölgesel işgücü piyasalarının performans</w:t>
      </w:r>
      <w:r w:rsidR="00887903" w:rsidRPr="00565099">
        <w:rPr>
          <w:sz w:val="24"/>
          <w:szCs w:val="24"/>
        </w:rPr>
        <w:t>lar</w:t>
      </w:r>
      <w:r w:rsidR="00AC516A" w:rsidRPr="00565099">
        <w:rPr>
          <w:sz w:val="24"/>
          <w:szCs w:val="24"/>
        </w:rPr>
        <w:t>ını değerlendirmek için y</w:t>
      </w:r>
      <w:r w:rsidRPr="00565099">
        <w:rPr>
          <w:sz w:val="24"/>
          <w:szCs w:val="24"/>
        </w:rPr>
        <w:t xml:space="preserve">eterli değildir. Bölgelerdeki tarım dışı işsizlik oranı kadar bölgedeki </w:t>
      </w:r>
      <w:r w:rsidR="0081596A" w:rsidRPr="00565099">
        <w:rPr>
          <w:sz w:val="24"/>
          <w:szCs w:val="24"/>
        </w:rPr>
        <w:t>“</w:t>
      </w:r>
      <w:r w:rsidRPr="00565099">
        <w:rPr>
          <w:sz w:val="24"/>
          <w:szCs w:val="24"/>
        </w:rPr>
        <w:t>tarım dışı istihdam oranı</w:t>
      </w:r>
      <w:r w:rsidR="0081596A" w:rsidRPr="00565099">
        <w:rPr>
          <w:sz w:val="24"/>
          <w:szCs w:val="24"/>
        </w:rPr>
        <w:t>”</w:t>
      </w:r>
      <w:r w:rsidRPr="00565099">
        <w:rPr>
          <w:sz w:val="24"/>
          <w:szCs w:val="24"/>
        </w:rPr>
        <w:t xml:space="preserve"> da önemlidir.</w:t>
      </w:r>
      <w:r w:rsidR="00C362AD" w:rsidRPr="00565099">
        <w:rPr>
          <w:rStyle w:val="FootnoteReference"/>
          <w:sz w:val="24"/>
          <w:szCs w:val="24"/>
        </w:rPr>
        <w:footnoteReference w:id="4"/>
      </w:r>
      <w:r w:rsidRPr="00565099">
        <w:rPr>
          <w:sz w:val="24"/>
          <w:szCs w:val="24"/>
        </w:rPr>
        <w:t xml:space="preserve"> Bu nedenle bu iki ölçütü </w:t>
      </w:r>
      <w:r w:rsidR="0057788D" w:rsidRPr="00565099">
        <w:rPr>
          <w:sz w:val="24"/>
          <w:szCs w:val="24"/>
        </w:rPr>
        <w:t>dikkate</w:t>
      </w:r>
      <w:r w:rsidRPr="00565099">
        <w:rPr>
          <w:sz w:val="24"/>
          <w:szCs w:val="24"/>
        </w:rPr>
        <w:t xml:space="preserve"> alarak bölgesel işgücü piyasalarının değerlendirmesinin yapılmasının daha </w:t>
      </w:r>
      <w:r w:rsidR="00F11745" w:rsidRPr="00565099">
        <w:rPr>
          <w:sz w:val="24"/>
          <w:szCs w:val="24"/>
        </w:rPr>
        <w:t>öğretici</w:t>
      </w:r>
      <w:r w:rsidRPr="00565099">
        <w:rPr>
          <w:sz w:val="24"/>
          <w:szCs w:val="24"/>
        </w:rPr>
        <w:t xml:space="preserve"> olduğu</w:t>
      </w:r>
      <w:r w:rsidR="001D7E49" w:rsidRPr="00565099">
        <w:rPr>
          <w:sz w:val="24"/>
          <w:szCs w:val="24"/>
        </w:rPr>
        <w:t xml:space="preserve"> kanaatindeyiz</w:t>
      </w:r>
      <w:r w:rsidRPr="00565099">
        <w:rPr>
          <w:sz w:val="24"/>
          <w:szCs w:val="24"/>
        </w:rPr>
        <w:t xml:space="preserve">. Daha </w:t>
      </w:r>
      <w:r w:rsidR="001D7E49" w:rsidRPr="00565099">
        <w:rPr>
          <w:sz w:val="24"/>
          <w:szCs w:val="24"/>
        </w:rPr>
        <w:t>geniş</w:t>
      </w:r>
      <w:r w:rsidRPr="00565099">
        <w:rPr>
          <w:sz w:val="24"/>
          <w:szCs w:val="24"/>
        </w:rPr>
        <w:t xml:space="preserve"> bir a</w:t>
      </w:r>
      <w:r w:rsidR="0057788D" w:rsidRPr="00565099">
        <w:rPr>
          <w:sz w:val="24"/>
          <w:szCs w:val="24"/>
        </w:rPr>
        <w:t>çıklama</w:t>
      </w:r>
      <w:r w:rsidRPr="00565099">
        <w:rPr>
          <w:sz w:val="24"/>
          <w:szCs w:val="24"/>
        </w:rPr>
        <w:t xml:space="preserve"> için “Tarım istihdamının bölgesel işsizlik o</w:t>
      </w:r>
      <w:r w:rsidR="00D93CEB" w:rsidRPr="00565099">
        <w:rPr>
          <w:sz w:val="24"/>
          <w:szCs w:val="24"/>
        </w:rPr>
        <w:t>ranlarına etkisi” başlıklı Kutu</w:t>
      </w:r>
      <w:r w:rsidRPr="00565099">
        <w:rPr>
          <w:sz w:val="24"/>
          <w:szCs w:val="24"/>
        </w:rPr>
        <w:t>ya bakılabilir.</w:t>
      </w:r>
    </w:p>
    <w:p w14:paraId="694567AB" w14:textId="07F35854" w:rsidR="00F16D29" w:rsidRPr="00565099" w:rsidRDefault="00F16D29" w:rsidP="00565099">
      <w:pPr>
        <w:spacing w:line="360" w:lineRule="auto"/>
        <w:jc w:val="both"/>
        <w:rPr>
          <w:sz w:val="24"/>
          <w:szCs w:val="24"/>
        </w:rPr>
      </w:pPr>
      <w:r w:rsidRPr="00565099">
        <w:rPr>
          <w:sz w:val="24"/>
          <w:szCs w:val="24"/>
        </w:rPr>
        <w:t>2018 yılından 2021 yılına Türkiye geneli</w:t>
      </w:r>
      <w:r w:rsidR="002E2839" w:rsidRPr="00565099">
        <w:rPr>
          <w:sz w:val="24"/>
          <w:szCs w:val="24"/>
        </w:rPr>
        <w:t>nde</w:t>
      </w:r>
      <w:r w:rsidRPr="00565099">
        <w:rPr>
          <w:sz w:val="24"/>
          <w:szCs w:val="24"/>
        </w:rPr>
        <w:t xml:space="preserve"> tarım dışı işsizlik oranı yüzde 13,1’den yüzde 14,1’e</w:t>
      </w:r>
      <w:r w:rsidR="0040687D" w:rsidRPr="00565099">
        <w:rPr>
          <w:sz w:val="24"/>
          <w:szCs w:val="24"/>
        </w:rPr>
        <w:t xml:space="preserve"> yüksel</w:t>
      </w:r>
      <w:r w:rsidR="002E2839" w:rsidRPr="00565099">
        <w:rPr>
          <w:sz w:val="24"/>
          <w:szCs w:val="24"/>
        </w:rPr>
        <w:t xml:space="preserve">miştir. Buna karşılık </w:t>
      </w:r>
      <w:r w:rsidR="0040687D" w:rsidRPr="00565099">
        <w:rPr>
          <w:sz w:val="24"/>
          <w:szCs w:val="24"/>
        </w:rPr>
        <w:t>26 bölgenin (Düzey 2) 20’sinde</w:t>
      </w:r>
      <w:r w:rsidRPr="00565099">
        <w:rPr>
          <w:sz w:val="24"/>
          <w:szCs w:val="24"/>
        </w:rPr>
        <w:t xml:space="preserve"> tarım dışı işsizlik oranlarında artış</w:t>
      </w:r>
      <w:r w:rsidR="002E2839" w:rsidRPr="00565099">
        <w:rPr>
          <w:sz w:val="24"/>
          <w:szCs w:val="24"/>
        </w:rPr>
        <w:t>, diğer</w:t>
      </w:r>
      <w:r w:rsidRPr="00565099">
        <w:rPr>
          <w:sz w:val="24"/>
          <w:szCs w:val="24"/>
        </w:rPr>
        <w:t xml:space="preserve"> </w:t>
      </w:r>
      <w:r w:rsidR="0040687D" w:rsidRPr="00565099">
        <w:rPr>
          <w:sz w:val="24"/>
          <w:szCs w:val="24"/>
        </w:rPr>
        <w:t>6</w:t>
      </w:r>
      <w:r w:rsidRPr="00565099">
        <w:rPr>
          <w:sz w:val="24"/>
          <w:szCs w:val="24"/>
        </w:rPr>
        <w:t xml:space="preserve"> bölgede ise </w:t>
      </w:r>
      <w:r w:rsidR="002E2839" w:rsidRPr="00565099">
        <w:rPr>
          <w:sz w:val="24"/>
          <w:szCs w:val="24"/>
        </w:rPr>
        <w:t xml:space="preserve">azalış </w:t>
      </w:r>
      <w:r w:rsidRPr="00565099">
        <w:rPr>
          <w:sz w:val="24"/>
          <w:szCs w:val="24"/>
        </w:rPr>
        <w:t>vardır. Bölgeleri yalnızca işsizlik oranındaki artış veya azalışın şiddetiyle değerlendirmek yeterli değildir. İşsizlik artışı istihdamın azalmasından kaynaklanabileceği gibi güçlü istihdam artışına rağmen daha güçlü bir işgücü artışından da kaynaklanabilir. Birinci şıkta işsizlik artışının vahameti aşikârdır. İkinci şıkta ise söz konusu bölge</w:t>
      </w:r>
      <w:r w:rsidR="00C12408" w:rsidRPr="00565099">
        <w:rPr>
          <w:sz w:val="24"/>
          <w:szCs w:val="24"/>
        </w:rPr>
        <w:t>de</w:t>
      </w:r>
      <w:r w:rsidRPr="00565099">
        <w:rPr>
          <w:sz w:val="24"/>
          <w:szCs w:val="24"/>
        </w:rPr>
        <w:t xml:space="preserve"> işsizli</w:t>
      </w:r>
      <w:r w:rsidR="00C12408" w:rsidRPr="00565099">
        <w:rPr>
          <w:sz w:val="24"/>
          <w:szCs w:val="24"/>
        </w:rPr>
        <w:t>kte artış t</w:t>
      </w:r>
      <w:r w:rsidRPr="00565099">
        <w:rPr>
          <w:sz w:val="24"/>
          <w:szCs w:val="24"/>
        </w:rPr>
        <w:t xml:space="preserve">amamen olumsuz bir gelişme </w:t>
      </w:r>
      <w:r w:rsidR="00C12408" w:rsidRPr="00565099">
        <w:rPr>
          <w:sz w:val="24"/>
          <w:szCs w:val="24"/>
        </w:rPr>
        <w:t>olarak görülmemelidir.</w:t>
      </w:r>
      <w:r w:rsidRPr="00565099">
        <w:rPr>
          <w:sz w:val="24"/>
          <w:szCs w:val="24"/>
        </w:rPr>
        <w:t xml:space="preserve"> Kısacası, işsizli</w:t>
      </w:r>
      <w:r w:rsidR="002E2839" w:rsidRPr="00565099">
        <w:rPr>
          <w:sz w:val="24"/>
          <w:szCs w:val="24"/>
        </w:rPr>
        <w:t>ğin</w:t>
      </w:r>
      <w:r w:rsidRPr="00565099">
        <w:rPr>
          <w:sz w:val="24"/>
          <w:szCs w:val="24"/>
        </w:rPr>
        <w:t xml:space="preserve"> bölgesel karşılaştırmasında</w:t>
      </w:r>
      <w:r w:rsidR="009F580A" w:rsidRPr="00565099">
        <w:rPr>
          <w:sz w:val="24"/>
          <w:szCs w:val="24"/>
        </w:rPr>
        <w:t xml:space="preserve"> işsizlik oranlarındaki değişimlerin yanı sıra</w:t>
      </w:r>
      <w:r w:rsidR="00C12408" w:rsidRPr="00565099">
        <w:rPr>
          <w:sz w:val="24"/>
          <w:szCs w:val="24"/>
        </w:rPr>
        <w:t xml:space="preserve"> istihdamda</w:t>
      </w:r>
      <w:r w:rsidR="009F580A" w:rsidRPr="00565099">
        <w:rPr>
          <w:sz w:val="24"/>
          <w:szCs w:val="24"/>
        </w:rPr>
        <w:t xml:space="preserve"> </w:t>
      </w:r>
      <w:r w:rsidR="00C12408" w:rsidRPr="00565099">
        <w:rPr>
          <w:sz w:val="24"/>
          <w:szCs w:val="24"/>
        </w:rPr>
        <w:t xml:space="preserve">ve işgücünde </w:t>
      </w:r>
      <w:r w:rsidRPr="00565099">
        <w:rPr>
          <w:sz w:val="24"/>
          <w:szCs w:val="24"/>
        </w:rPr>
        <w:t xml:space="preserve">gözlemlenen </w:t>
      </w:r>
      <w:r w:rsidR="00C12408" w:rsidRPr="00565099">
        <w:rPr>
          <w:sz w:val="24"/>
          <w:szCs w:val="24"/>
        </w:rPr>
        <w:t>değişimler</w:t>
      </w:r>
      <w:r w:rsidR="009F580A" w:rsidRPr="00565099">
        <w:rPr>
          <w:sz w:val="24"/>
          <w:szCs w:val="24"/>
        </w:rPr>
        <w:t xml:space="preserve"> de dikkate alınmal</w:t>
      </w:r>
      <w:r w:rsidR="003B1151" w:rsidRPr="00565099">
        <w:rPr>
          <w:sz w:val="24"/>
          <w:szCs w:val="24"/>
        </w:rPr>
        <w:t>ı</w:t>
      </w:r>
      <w:r w:rsidR="009F580A" w:rsidRPr="00565099">
        <w:rPr>
          <w:sz w:val="24"/>
          <w:szCs w:val="24"/>
        </w:rPr>
        <w:t>dır.</w:t>
      </w:r>
      <w:r w:rsidRPr="00565099">
        <w:rPr>
          <w:sz w:val="24"/>
          <w:szCs w:val="24"/>
        </w:rPr>
        <w:t xml:space="preserve"> </w:t>
      </w:r>
    </w:p>
    <w:p w14:paraId="7E3DB62B" w14:textId="40437555" w:rsidR="00950C70" w:rsidRPr="001C530D" w:rsidRDefault="00950C70" w:rsidP="001C3480">
      <w:pPr>
        <w:spacing w:after="240"/>
        <w:rPr>
          <w:b/>
          <w:sz w:val="28"/>
          <w:szCs w:val="28"/>
        </w:rPr>
      </w:pPr>
      <w:r w:rsidRPr="001C530D">
        <w:rPr>
          <w:b/>
          <w:sz w:val="28"/>
          <w:szCs w:val="28"/>
        </w:rPr>
        <w:t>İşsizli</w:t>
      </w:r>
      <w:r w:rsidR="009017B5" w:rsidRPr="001C530D">
        <w:rPr>
          <w:b/>
          <w:sz w:val="28"/>
          <w:szCs w:val="28"/>
        </w:rPr>
        <w:t>kte muazzam eşitsizlik devam ediyor</w:t>
      </w:r>
      <w:r w:rsidR="00ED052C" w:rsidRPr="001C530D">
        <w:rPr>
          <w:b/>
          <w:sz w:val="28"/>
          <w:szCs w:val="28"/>
        </w:rPr>
        <w:t xml:space="preserve">  </w:t>
      </w:r>
    </w:p>
    <w:p w14:paraId="2AB98370" w14:textId="0FBC2E6F" w:rsidR="0053756F" w:rsidRPr="001C530D" w:rsidRDefault="000D7BF5" w:rsidP="001C530D">
      <w:pPr>
        <w:spacing w:line="360" w:lineRule="auto"/>
        <w:jc w:val="both"/>
        <w:rPr>
          <w:sz w:val="24"/>
          <w:szCs w:val="24"/>
        </w:rPr>
      </w:pPr>
      <w:r w:rsidRPr="001C530D">
        <w:rPr>
          <w:sz w:val="24"/>
          <w:szCs w:val="24"/>
        </w:rPr>
        <w:t xml:space="preserve">Şekil 1’de 26 bölgenin 2018 ve 2021 yıllarına ait tarım dışı işsizlik oranları 2021’e göre düşükten yükseğe sıralanarak verilmiştir. </w:t>
      </w:r>
      <w:r w:rsidR="0053756F" w:rsidRPr="001C530D">
        <w:rPr>
          <w:sz w:val="24"/>
          <w:szCs w:val="24"/>
        </w:rPr>
        <w:t xml:space="preserve">2018 yılında yüzde 7,8 ila yüzde 30,0 arasında değişen bölgesel </w:t>
      </w:r>
      <w:r w:rsidR="009F580A" w:rsidRPr="001C530D">
        <w:rPr>
          <w:sz w:val="24"/>
          <w:szCs w:val="24"/>
        </w:rPr>
        <w:t xml:space="preserve">tarım dışı </w:t>
      </w:r>
      <w:r w:rsidR="0053756F" w:rsidRPr="001C530D">
        <w:rPr>
          <w:sz w:val="24"/>
          <w:szCs w:val="24"/>
        </w:rPr>
        <w:t xml:space="preserve">işsizlik oranları, 2021 yılında da yüzde 9,1 ila yüzde 33,3 arasında değişim göstermektedir. </w:t>
      </w:r>
      <w:r w:rsidR="009D630D" w:rsidRPr="001C530D">
        <w:rPr>
          <w:sz w:val="24"/>
          <w:szCs w:val="24"/>
        </w:rPr>
        <w:t>2018’de en yüksek işsizlik oranı en düşük işsizlik oranının 3,85 katı iken 2021’de 3,65 katıdır. Buna karşılık bölgesel işsizlik oranlarının standart sapması 2,4’</w:t>
      </w:r>
      <w:r w:rsidR="001C3480">
        <w:rPr>
          <w:sz w:val="24"/>
          <w:szCs w:val="24"/>
        </w:rPr>
        <w:t>t</w:t>
      </w:r>
      <w:r w:rsidR="009D630D" w:rsidRPr="001C530D">
        <w:rPr>
          <w:sz w:val="24"/>
          <w:szCs w:val="24"/>
        </w:rPr>
        <w:t xml:space="preserve">en 2,5’e </w:t>
      </w:r>
      <w:r w:rsidR="009D630D" w:rsidRPr="001C530D">
        <w:rPr>
          <w:sz w:val="24"/>
          <w:szCs w:val="24"/>
        </w:rPr>
        <w:lastRenderedPageBreak/>
        <w:t xml:space="preserve">yükselmiştir.  </w:t>
      </w:r>
      <w:r w:rsidR="0053756F" w:rsidRPr="001C530D">
        <w:rPr>
          <w:b/>
          <w:sz w:val="24"/>
          <w:szCs w:val="24"/>
        </w:rPr>
        <w:t xml:space="preserve">İşsizlikte </w:t>
      </w:r>
      <w:r w:rsidR="009F580A" w:rsidRPr="001C530D">
        <w:rPr>
          <w:b/>
          <w:sz w:val="24"/>
          <w:szCs w:val="24"/>
        </w:rPr>
        <w:t xml:space="preserve">muazzam </w:t>
      </w:r>
      <w:r w:rsidR="0053756F" w:rsidRPr="001C530D">
        <w:rPr>
          <w:b/>
          <w:sz w:val="24"/>
          <w:szCs w:val="24"/>
        </w:rPr>
        <w:t>bölgesel eşitsizli</w:t>
      </w:r>
      <w:r w:rsidR="009F580A" w:rsidRPr="001C530D">
        <w:rPr>
          <w:b/>
          <w:sz w:val="24"/>
          <w:szCs w:val="24"/>
        </w:rPr>
        <w:t>ğin pandemi öncesi ile sonrasında farklılaşmadığı açıktır.</w:t>
      </w:r>
      <w:r w:rsidR="008A175B" w:rsidRPr="001C530D">
        <w:rPr>
          <w:b/>
          <w:sz w:val="24"/>
          <w:szCs w:val="24"/>
        </w:rPr>
        <w:t xml:space="preserve"> </w:t>
      </w:r>
      <w:r w:rsidR="008A175B" w:rsidRPr="001C530D">
        <w:rPr>
          <w:sz w:val="24"/>
          <w:szCs w:val="24"/>
        </w:rPr>
        <w:t>Sadece bazı bölgeler işsizlik sıralamasında yer değiştirmiştir.</w:t>
      </w:r>
    </w:p>
    <w:p w14:paraId="1BCBA503" w14:textId="3C33CFD9" w:rsidR="00AA4149" w:rsidRPr="001C3480" w:rsidRDefault="00712AC6" w:rsidP="0005487E">
      <w:pPr>
        <w:jc w:val="both"/>
        <w:rPr>
          <w:sz w:val="24"/>
          <w:szCs w:val="24"/>
        </w:rPr>
      </w:pPr>
      <w:r w:rsidRPr="001C3480">
        <w:rPr>
          <w:b/>
          <w:sz w:val="24"/>
          <w:szCs w:val="24"/>
        </w:rPr>
        <w:t>Şekil 1: Bölgelere göre tarım dışı işsizlik oranları (yüzde puan, 2018 ve 2021)</w:t>
      </w:r>
    </w:p>
    <w:p w14:paraId="607FA848" w14:textId="2E913D55" w:rsidR="00195279" w:rsidRPr="00C342EE" w:rsidRDefault="00D970DD" w:rsidP="00195279">
      <w:pPr>
        <w:spacing w:after="480" w:line="360" w:lineRule="auto"/>
        <w:jc w:val="both"/>
        <w:rPr>
          <w:sz w:val="24"/>
          <w:szCs w:val="24"/>
        </w:rPr>
      </w:pPr>
      <w:r w:rsidRPr="0005487E">
        <w:rPr>
          <w:noProof/>
          <w:sz w:val="20"/>
          <w:szCs w:val="20"/>
          <w:lang w:eastAsia="tr-TR"/>
        </w:rPr>
        <mc:AlternateContent>
          <mc:Choice Requires="wps">
            <w:drawing>
              <wp:anchor distT="45720" distB="45720" distL="114300" distR="114300" simplePos="0" relativeHeight="251663360" behindDoc="0" locked="0" layoutInCell="1" allowOverlap="1" wp14:anchorId="68AA04E6" wp14:editId="6271CCC8">
                <wp:simplePos x="0" y="0"/>
                <wp:positionH relativeFrom="margin">
                  <wp:posOffset>6350</wp:posOffset>
                </wp:positionH>
                <wp:positionV relativeFrom="paragraph">
                  <wp:posOffset>2613660</wp:posOffset>
                </wp:positionV>
                <wp:extent cx="5743575" cy="13233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323340"/>
                        </a:xfrm>
                        <a:prstGeom prst="rect">
                          <a:avLst/>
                        </a:prstGeom>
                        <a:solidFill>
                          <a:srgbClr val="FFFFFF"/>
                        </a:solidFill>
                        <a:ln w="9525">
                          <a:noFill/>
                          <a:miter lim="800000"/>
                          <a:headEnd/>
                          <a:tailEnd/>
                        </a:ln>
                      </wps:spPr>
                      <wps:txbx>
                        <w:txbxContent>
                          <w:p w14:paraId="1E131974" w14:textId="45FF7DB7" w:rsidR="00B96B30" w:rsidRPr="00EC4CFB" w:rsidRDefault="00B96B30" w:rsidP="00BC49CB">
                            <w:pPr>
                              <w:jc w:val="both"/>
                              <w:rPr>
                                <w:sz w:val="18"/>
                                <w:szCs w:val="18"/>
                              </w:rPr>
                            </w:pPr>
                            <w:r w:rsidRPr="001C3480">
                              <w:rPr>
                                <w:sz w:val="18"/>
                                <w:szCs w:val="18"/>
                              </w:rPr>
                              <w:t xml:space="preserve">Kaynak: TÜİK, Betam. </w:t>
                            </w:r>
                            <w:r w:rsidRPr="00EC4CFB">
                              <w:rPr>
                                <w:sz w:val="18"/>
                                <w:szCs w:val="18"/>
                              </w:rPr>
                              <w:t>TR82: Kastamonu, Çankırı, Sinop; TR33: Manisa, Afyonkarahisar, Kütahya, Uşak; TR22: Balıkesir, Çanakkale; TR41: Bursa, Eskişehir, Bilecik; TR52: Konya, Karaman; TR21: Tekirdağ, Edirne, Kırklareli; TR42: Kocaeli, Sakarya, Düzce, Bolu, Yalova; TR83: Samsun, Tokat, Çorum, Amasya; TRC1: Gaziantep, Adıyaman, Kilis; TR10: İstanbul; TR32: Aydın, Denizli, Muğla; TR51: Ankara; TRB1: Malatya, Elazığ, Bingöl, Tunceli; TR81: Zonguldak, Karabük, Bartın; TR72: Kayseri, Sivas, Yozgat; TR61: Antalya, Isparta, Burdur; TRA1: Erzurum, Erzincan, Bayburt; TR90: Trabzon, Ordu, Giresun, Rize, Artvin, Gümüşhane; TR62: Adana, Mersin; TR31: İzmir; TR71: Kırıkkale, Aksaray, Niğde, Nevşehir, Kırşehir; TR63: Hatay, Kahramanmaraş, Osmaniye; TRC2: Şanlıurfa, Diyarbakır; TRA2: Ağrı, Kars, Iğdır, Ardahan; TRB2: Van, Muş, Bitlis, Hakkâri; TRC3: Mardin, Batman, Şırnak, Siirt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8AA04E6" id="Text Box 2" o:spid="_x0000_s1028" type="#_x0000_t202" style="position:absolute;left:0;text-align:left;margin-left:.5pt;margin-top:205.8pt;width:452.25pt;height:104.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vRDgIAAPcDAAAOAAAAZHJzL2Uyb0RvYy54bWysU9tu2zAMfR+wfxD0vjg3r60Rp+jSZRjQ&#10;XYBuHyDLcixMFjVKiZ19fSk5TYPubZgeBFKkjsjDo9Xt0Bl2UOg12JLPJlPOlJVQa7sr+c8f23fX&#10;nPkgbC0MWFXyo/L8dv32zap3hZpDC6ZWyAjE+qJ3JW9DcEWWedmqTvgJOGUp2AB2IpCLu6xG0RN6&#10;Z7L5dPo+6wFrhyCV93R6Pwb5OuE3jZLhW9N4FZgpOdUW0o5pr+KerVei2KFwrZanMsQ/VNEJbenR&#10;M9S9CILtUf8F1WmJ4KEJEwldBk2jpUo9UDez6atuHlvhVOqFyPHuTJP/f7Dy6+HRfUcWhg8w0ABT&#10;E949gPzlmYVNK+xO3SFC3ypR08OzSFnWO1+crkaqfeEjSNV/gZqGLPYBEtDQYBdZoT4ZodMAjmfS&#10;1RCYpMP8arnIr3LOJMVmi/lisUxjyUTxfN2hD58UdCwaJUeaaoIXhwcfYjmieE6Jr3kwut5qY5KD&#10;u2pjkB0EKWCbVurgVZqxrC/5TT7PE7KFeD+Jo9OBFGp0V/LraVyjZiIdH22dUoLQZrSpEmNP/ERK&#10;RnLCUA2UGHmqoD4SUwijEunnkNEC/uGsJxWW3P/eC1Scmc+W2L6ZLYkNFpKzzK/m5OBlpLqMCCsJ&#10;quSBs9HchCT1yIOFO5pKoxNfL5WcaiV1JRpPPyHK99JPWS//df0EAAD//wMAUEsDBBQABgAIAAAA&#10;IQDSuBv+4QAAAA4BAAAPAAAAZHJzL2Rvd25yZXYueG1sTI/NboNADITvlfoOK1fqpWoWqkAawhL1&#10;R616TZoHMOAAKutF7CaQt697ai6WRiPPzJdvZ9urM42+c2wgXkSgiCtXd9wYOHx/PD6D8gG5xt4x&#10;GbiQh21xe5NjVruJd3Teh0ZJCPsMDbQhDJnWvmrJol+4gVi8oxstBpFjo+sRJwm3vX6KolRb7Fga&#10;WhzoraXqZ3+yBo5f00OynsrPcFjtlukrdqvSXYy5v5vfN3JeNqACzeH/A/4YZD8UMqx0J6696kUL&#10;TjCwjOMUlPjrKElAlQZSKQdd5Poao/gFAAD//wMAUEsBAi0AFAAGAAgAAAAhALaDOJL+AAAA4QEA&#10;ABMAAAAAAAAAAAAAAAAAAAAAAFtDb250ZW50X1R5cGVzXS54bWxQSwECLQAUAAYACAAAACEAOP0h&#10;/9YAAACUAQAACwAAAAAAAAAAAAAAAAAvAQAAX3JlbHMvLnJlbHNQSwECLQAUAAYACAAAACEAoqwr&#10;0Q4CAAD3AwAADgAAAAAAAAAAAAAAAAAuAgAAZHJzL2Uyb0RvYy54bWxQSwECLQAUAAYACAAAACEA&#10;0rgb/uEAAAAOAQAADwAAAAAAAAAAAAAAAABoBAAAZHJzL2Rvd25yZXYueG1sUEsFBgAAAAAEAAQA&#10;8wAAAHYFAAAAAA==&#10;" stroked="f">
                <v:textbox>
                  <w:txbxContent>
                    <w:p w14:paraId="1E131974" w14:textId="45FF7DB7" w:rsidR="00B96B30" w:rsidRPr="00EC4CFB" w:rsidRDefault="00B96B30" w:rsidP="00BC49CB">
                      <w:pPr>
                        <w:jc w:val="both"/>
                        <w:rPr>
                          <w:sz w:val="18"/>
                          <w:szCs w:val="18"/>
                        </w:rPr>
                      </w:pPr>
                      <w:r w:rsidRPr="001C3480">
                        <w:rPr>
                          <w:sz w:val="18"/>
                          <w:szCs w:val="18"/>
                        </w:rPr>
                        <w:t xml:space="preserve">Kaynak: TÜİK, Betam. </w:t>
                      </w:r>
                      <w:r w:rsidRPr="00EC4CFB">
                        <w:rPr>
                          <w:sz w:val="18"/>
                          <w:szCs w:val="18"/>
                        </w:rPr>
                        <w:t>TR82: Kastamonu, Çankırı, Sinop; TR33: Manisa, Afyonkarahisar, Kütahya, Uşak; TR22: Balıkesir, Çanakkale; TR41: Bursa, Eskişehir, Bilecik; TR52: Konya, Karaman; TR21: Tekirdağ, Edirne, Kırklareli; TR42: Kocaeli, Sakarya, Düzce, Bolu, Yalova; TR83: Samsun, Tokat, Çorum, Amasya; TRC1: Gaziantep, Adıyaman, Kilis; TR10: İstanbul; TR32: Aydın, Denizli, Muğla; TR51: Ankara; TRB1: Malatya, Elazığ, Bingöl, Tunceli; TR81: Zonguldak, Karabük, Bartın; TR72: Kayseri, Sivas, Yozgat; TR61: Antalya, Isparta, Burdur; TRA1: Erzurum, Erzincan, Bayburt; TR90: Trabzon, Ordu, Giresun, Rize, Artvin, Gümüşhane; TR62: Adana, Mersin; TR31: İzmir; TR71: Kırıkkale, Aksaray, Niğde, Nevşehir, Kırşehir; TR63: Hatay, Kahramanmaraş, Osmaniye; TRC2: Şanlıurfa, Diyarbakır; TRA2: Ağrı, Kars, Iğdır, Ardahan; TRB2: Van, Muş, Bitlis, Hakkâri; TRC3: Mardin, Batman, Şırnak, Siirt</w:t>
                      </w:r>
                    </w:p>
                  </w:txbxContent>
                </v:textbox>
                <w10:wrap type="square" anchorx="margin"/>
              </v:shape>
            </w:pict>
          </mc:Fallback>
        </mc:AlternateContent>
      </w:r>
      <w:r w:rsidR="00E610A3" w:rsidRPr="008A1421">
        <w:rPr>
          <w:noProof/>
          <w:sz w:val="20"/>
          <w:szCs w:val="20"/>
          <w:lang w:eastAsia="tr-TR"/>
        </w:rPr>
        <w:drawing>
          <wp:inline distT="0" distB="0" distL="0" distR="0" wp14:anchorId="27FCC2E4" wp14:editId="07FB9E8F">
            <wp:extent cx="5816600" cy="2533650"/>
            <wp:effectExtent l="0" t="0" r="1270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8A175B" w:rsidRPr="00C342EE">
        <w:rPr>
          <w:b/>
          <w:sz w:val="24"/>
          <w:szCs w:val="24"/>
        </w:rPr>
        <w:t>En yüksek tarım dışı işsizlik</w:t>
      </w:r>
      <w:r w:rsidR="008A175B" w:rsidRPr="00C342EE">
        <w:rPr>
          <w:sz w:val="24"/>
          <w:szCs w:val="24"/>
        </w:rPr>
        <w:t xml:space="preserve"> oran</w:t>
      </w:r>
      <w:r w:rsidR="00C9560D" w:rsidRPr="00C342EE">
        <w:rPr>
          <w:sz w:val="24"/>
          <w:szCs w:val="24"/>
        </w:rPr>
        <w:t>ın</w:t>
      </w:r>
      <w:r w:rsidR="008A175B" w:rsidRPr="00C342EE">
        <w:rPr>
          <w:sz w:val="24"/>
          <w:szCs w:val="24"/>
        </w:rPr>
        <w:t xml:space="preserve">a sahip iki bölge </w:t>
      </w:r>
      <w:r w:rsidR="009F580A" w:rsidRPr="00C342EE">
        <w:rPr>
          <w:sz w:val="24"/>
          <w:szCs w:val="24"/>
        </w:rPr>
        <w:t>2018 ve 2021’de değişmemiştir.</w:t>
      </w:r>
      <w:r w:rsidR="009F580A" w:rsidRPr="00C342EE">
        <w:rPr>
          <w:b/>
          <w:sz w:val="24"/>
          <w:szCs w:val="24"/>
        </w:rPr>
        <w:t xml:space="preserve"> </w:t>
      </w:r>
      <w:r w:rsidR="004A406C" w:rsidRPr="00C342EE">
        <w:rPr>
          <w:sz w:val="24"/>
          <w:szCs w:val="24"/>
        </w:rPr>
        <w:t xml:space="preserve">2018’de işsizlik sıralamasında ikinci sırada yer alan </w:t>
      </w:r>
      <w:r w:rsidR="009F580A" w:rsidRPr="00C342EE">
        <w:rPr>
          <w:b/>
          <w:sz w:val="24"/>
          <w:szCs w:val="24"/>
        </w:rPr>
        <w:t xml:space="preserve">Mardin, Batman, Şırnak, Siirt (TRC3) </w:t>
      </w:r>
      <w:r w:rsidR="009F580A" w:rsidRPr="00C342EE">
        <w:rPr>
          <w:sz w:val="24"/>
          <w:szCs w:val="24"/>
        </w:rPr>
        <w:t xml:space="preserve">bölgesi 2021’de </w:t>
      </w:r>
      <w:r w:rsidR="00AF2050" w:rsidRPr="00C342EE">
        <w:rPr>
          <w:sz w:val="24"/>
          <w:szCs w:val="24"/>
        </w:rPr>
        <w:t>yüzde 33,3’lük tarım dışı işsizlik oranı</w:t>
      </w:r>
      <w:r w:rsidR="00AF2050" w:rsidRPr="00C342EE">
        <w:rPr>
          <w:b/>
          <w:sz w:val="24"/>
          <w:szCs w:val="24"/>
        </w:rPr>
        <w:t xml:space="preserve"> </w:t>
      </w:r>
      <w:r w:rsidR="008A175B" w:rsidRPr="00C342EE">
        <w:rPr>
          <w:sz w:val="24"/>
          <w:szCs w:val="24"/>
        </w:rPr>
        <w:t xml:space="preserve">ile </w:t>
      </w:r>
      <w:r w:rsidR="004A406C" w:rsidRPr="00C342EE">
        <w:rPr>
          <w:sz w:val="24"/>
          <w:szCs w:val="24"/>
        </w:rPr>
        <w:t>birinci sıra</w:t>
      </w:r>
      <w:r w:rsidR="008A175B" w:rsidRPr="00C342EE">
        <w:rPr>
          <w:sz w:val="24"/>
          <w:szCs w:val="24"/>
        </w:rPr>
        <w:t>ya yükselirken,</w:t>
      </w:r>
      <w:r w:rsidR="004A406C" w:rsidRPr="00C342EE">
        <w:rPr>
          <w:sz w:val="24"/>
          <w:szCs w:val="24"/>
        </w:rPr>
        <w:t xml:space="preserve"> 2018’de birinci sırada yer alan </w:t>
      </w:r>
      <w:r w:rsidR="004A406C" w:rsidRPr="00C342EE">
        <w:rPr>
          <w:b/>
          <w:sz w:val="24"/>
          <w:szCs w:val="24"/>
        </w:rPr>
        <w:t xml:space="preserve">Van, Muş, Bitlis, Hakkâri (TRB2) </w:t>
      </w:r>
      <w:r w:rsidR="004A406C" w:rsidRPr="00C342EE">
        <w:rPr>
          <w:sz w:val="24"/>
          <w:szCs w:val="24"/>
        </w:rPr>
        <w:t xml:space="preserve">bölgesi </w:t>
      </w:r>
      <w:r w:rsidR="008A175B" w:rsidRPr="00C342EE">
        <w:rPr>
          <w:sz w:val="24"/>
          <w:szCs w:val="24"/>
        </w:rPr>
        <w:t>y</w:t>
      </w:r>
      <w:r w:rsidR="00AF2050" w:rsidRPr="00C342EE">
        <w:rPr>
          <w:sz w:val="24"/>
          <w:szCs w:val="24"/>
        </w:rPr>
        <w:t xml:space="preserve">üzde 29,2’luk </w:t>
      </w:r>
      <w:r w:rsidR="004A406C" w:rsidRPr="00C342EE">
        <w:rPr>
          <w:sz w:val="24"/>
          <w:szCs w:val="24"/>
        </w:rPr>
        <w:t xml:space="preserve">tarım dışı işsizlik oranı </w:t>
      </w:r>
      <w:r w:rsidR="008A175B" w:rsidRPr="00C342EE">
        <w:rPr>
          <w:sz w:val="24"/>
          <w:szCs w:val="24"/>
        </w:rPr>
        <w:t xml:space="preserve">ile </w:t>
      </w:r>
      <w:r w:rsidR="004A406C" w:rsidRPr="00C342EE">
        <w:rPr>
          <w:sz w:val="24"/>
          <w:szCs w:val="24"/>
        </w:rPr>
        <w:t>ikinci sıra</w:t>
      </w:r>
      <w:r w:rsidR="008A175B" w:rsidRPr="00C342EE">
        <w:rPr>
          <w:sz w:val="24"/>
          <w:szCs w:val="24"/>
        </w:rPr>
        <w:t>ya inmiştir</w:t>
      </w:r>
      <w:r w:rsidR="004A406C" w:rsidRPr="00C342EE">
        <w:rPr>
          <w:sz w:val="24"/>
          <w:szCs w:val="24"/>
        </w:rPr>
        <w:t xml:space="preserve">. </w:t>
      </w:r>
      <w:r w:rsidR="00C9560D" w:rsidRPr="00C342EE">
        <w:rPr>
          <w:sz w:val="24"/>
          <w:szCs w:val="24"/>
        </w:rPr>
        <w:t xml:space="preserve">2018’de </w:t>
      </w:r>
      <w:r w:rsidR="00C9560D" w:rsidRPr="00C342EE">
        <w:rPr>
          <w:b/>
          <w:sz w:val="24"/>
          <w:szCs w:val="24"/>
        </w:rPr>
        <w:t>en düşük tarım dışı işsizlik</w:t>
      </w:r>
      <w:r w:rsidR="00C9560D" w:rsidRPr="00C342EE">
        <w:rPr>
          <w:sz w:val="24"/>
          <w:szCs w:val="24"/>
        </w:rPr>
        <w:t xml:space="preserve"> oranına sahip iki bölge 2021’de değişmemiştir. Bu bölgeler </w:t>
      </w:r>
      <w:r w:rsidR="00381947" w:rsidRPr="00C342EE">
        <w:rPr>
          <w:sz w:val="24"/>
          <w:szCs w:val="24"/>
        </w:rPr>
        <w:t>yüzde 9,1 v</w:t>
      </w:r>
      <w:r w:rsidR="00985395">
        <w:rPr>
          <w:sz w:val="24"/>
          <w:szCs w:val="24"/>
        </w:rPr>
        <w:t xml:space="preserve">e </w:t>
      </w:r>
      <w:r w:rsidR="00381947" w:rsidRPr="00C342EE">
        <w:rPr>
          <w:sz w:val="24"/>
          <w:szCs w:val="24"/>
        </w:rPr>
        <w:t xml:space="preserve">9,6 oranlarıyla </w:t>
      </w:r>
      <w:r w:rsidR="00381947" w:rsidRPr="00C342EE">
        <w:rPr>
          <w:b/>
          <w:sz w:val="24"/>
          <w:szCs w:val="24"/>
        </w:rPr>
        <w:t xml:space="preserve">Kastamonu- Çankırı-Sinop (TR82) </w:t>
      </w:r>
      <w:r w:rsidR="00381947" w:rsidRPr="00C342EE">
        <w:rPr>
          <w:sz w:val="24"/>
          <w:szCs w:val="24"/>
        </w:rPr>
        <w:t>ile</w:t>
      </w:r>
      <w:r w:rsidR="00381947" w:rsidRPr="00C342EE">
        <w:rPr>
          <w:b/>
          <w:sz w:val="24"/>
          <w:szCs w:val="24"/>
        </w:rPr>
        <w:t xml:space="preserve"> </w:t>
      </w:r>
      <w:r w:rsidR="00C9560D" w:rsidRPr="00C342EE">
        <w:rPr>
          <w:b/>
          <w:sz w:val="24"/>
          <w:szCs w:val="24"/>
        </w:rPr>
        <w:t>Manisa- Afyonkarahisar-Kütahya-Uşak</w:t>
      </w:r>
      <w:r w:rsidR="00381947" w:rsidRPr="00C342EE">
        <w:rPr>
          <w:b/>
          <w:sz w:val="24"/>
          <w:szCs w:val="24"/>
        </w:rPr>
        <w:t xml:space="preserve"> (TR33)</w:t>
      </w:r>
      <w:r w:rsidR="00C9560D" w:rsidRPr="00C342EE">
        <w:rPr>
          <w:sz w:val="24"/>
          <w:szCs w:val="24"/>
        </w:rPr>
        <w:t xml:space="preserve"> </w:t>
      </w:r>
      <w:r w:rsidR="00381947" w:rsidRPr="00C342EE">
        <w:rPr>
          <w:sz w:val="24"/>
          <w:szCs w:val="24"/>
        </w:rPr>
        <w:t>bölgeleridir.</w:t>
      </w:r>
    </w:p>
    <w:p w14:paraId="5AB52E2A" w14:textId="77777777" w:rsidR="001C763A" w:rsidRPr="00195279" w:rsidRDefault="001C763A" w:rsidP="00985395">
      <w:pPr>
        <w:spacing w:after="240"/>
        <w:rPr>
          <w:b/>
          <w:sz w:val="28"/>
          <w:szCs w:val="28"/>
        </w:rPr>
      </w:pPr>
      <w:r w:rsidRPr="00195279">
        <w:rPr>
          <w:b/>
          <w:sz w:val="28"/>
          <w:szCs w:val="28"/>
        </w:rPr>
        <w:t xml:space="preserve">İşsizliğin arttığı bölgeler: Ağrı-Kars-Iğdır-Ardahan’da büyük sarsıntı   </w:t>
      </w:r>
    </w:p>
    <w:p w14:paraId="73B8E67C" w14:textId="316A2046" w:rsidR="001C763A" w:rsidRPr="00195279" w:rsidRDefault="001C763A" w:rsidP="00195279">
      <w:pPr>
        <w:spacing w:line="360" w:lineRule="auto"/>
        <w:jc w:val="both"/>
        <w:rPr>
          <w:sz w:val="24"/>
          <w:szCs w:val="24"/>
        </w:rPr>
      </w:pPr>
      <w:r w:rsidRPr="00195279">
        <w:rPr>
          <w:sz w:val="24"/>
          <w:szCs w:val="24"/>
        </w:rPr>
        <w:t xml:space="preserve">2018’den 2021’e </w:t>
      </w:r>
      <w:r w:rsidRPr="00195279">
        <w:rPr>
          <w:b/>
          <w:sz w:val="24"/>
          <w:szCs w:val="24"/>
        </w:rPr>
        <w:t xml:space="preserve">26 bölgenin 20’sinde işsizlikte artışlar </w:t>
      </w:r>
      <w:r w:rsidR="000B1842" w:rsidRPr="00195279">
        <w:rPr>
          <w:b/>
          <w:sz w:val="24"/>
          <w:szCs w:val="24"/>
        </w:rPr>
        <w:t>ortaya çıkmıştır</w:t>
      </w:r>
      <w:r w:rsidRPr="00195279">
        <w:rPr>
          <w:sz w:val="24"/>
          <w:szCs w:val="24"/>
        </w:rPr>
        <w:t xml:space="preserve">. Şekil </w:t>
      </w:r>
      <w:r w:rsidR="000B1842" w:rsidRPr="00195279">
        <w:rPr>
          <w:sz w:val="24"/>
          <w:szCs w:val="24"/>
        </w:rPr>
        <w:t>2’de</w:t>
      </w:r>
      <w:r w:rsidRPr="00195279">
        <w:rPr>
          <w:sz w:val="24"/>
          <w:szCs w:val="24"/>
        </w:rPr>
        <w:t xml:space="preserve"> tarım dışı işsizliğin arttığı bölgeler düşükten yükseğe sıralanmıştır. Yukarıda “yöntemsel hatırlatma” bölümünde belirtiğimiz gibi </w:t>
      </w:r>
      <w:r w:rsidRPr="00195279">
        <w:rPr>
          <w:b/>
          <w:sz w:val="24"/>
          <w:szCs w:val="24"/>
        </w:rPr>
        <w:t>işsizlik artışı farklı nedenlerden</w:t>
      </w:r>
      <w:r w:rsidRPr="00195279">
        <w:rPr>
          <w:sz w:val="24"/>
          <w:szCs w:val="24"/>
        </w:rPr>
        <w:t xml:space="preserve"> kaynaklanabilir. Bir neden </w:t>
      </w:r>
      <w:r w:rsidRPr="00195279">
        <w:rPr>
          <w:b/>
          <w:sz w:val="24"/>
          <w:szCs w:val="24"/>
        </w:rPr>
        <w:t xml:space="preserve">istihdam azalırken işgücünde artışın </w:t>
      </w:r>
      <w:r w:rsidRPr="00195279">
        <w:rPr>
          <w:sz w:val="24"/>
          <w:szCs w:val="24"/>
        </w:rPr>
        <w:t xml:space="preserve">ortaya çıkmasıdır. Bu koşullarda </w:t>
      </w:r>
      <w:r w:rsidRPr="00195279">
        <w:rPr>
          <w:b/>
          <w:sz w:val="24"/>
          <w:szCs w:val="24"/>
        </w:rPr>
        <w:t>işsizlikte artış şiddetli</w:t>
      </w:r>
      <w:r w:rsidRPr="00195279">
        <w:rPr>
          <w:sz w:val="24"/>
          <w:szCs w:val="24"/>
        </w:rPr>
        <w:t xml:space="preserve"> olabilir. </w:t>
      </w:r>
    </w:p>
    <w:p w14:paraId="176F0C19" w14:textId="49C0C2E0" w:rsidR="001C763A" w:rsidRPr="00195279" w:rsidRDefault="001C763A" w:rsidP="00195279">
      <w:pPr>
        <w:spacing w:line="360" w:lineRule="auto"/>
        <w:jc w:val="both"/>
        <w:rPr>
          <w:sz w:val="24"/>
          <w:szCs w:val="24"/>
        </w:rPr>
      </w:pPr>
      <w:r w:rsidRPr="00195279">
        <w:rPr>
          <w:sz w:val="24"/>
          <w:szCs w:val="24"/>
        </w:rPr>
        <w:lastRenderedPageBreak/>
        <w:t xml:space="preserve">İşsizliğin bu şekilde arttığı iki bölge mevcuttur: </w:t>
      </w:r>
      <w:r w:rsidRPr="00195279">
        <w:rPr>
          <w:b/>
          <w:sz w:val="24"/>
          <w:szCs w:val="24"/>
        </w:rPr>
        <w:t xml:space="preserve">Ağrı-Kars-Iğdır-Ardahan (TRA2) ve Kapadokya (TR71) </w:t>
      </w:r>
      <w:r w:rsidRPr="00195279">
        <w:rPr>
          <w:sz w:val="24"/>
          <w:szCs w:val="24"/>
        </w:rPr>
        <w:t xml:space="preserve">bölgeleridir. </w:t>
      </w:r>
      <w:r w:rsidRPr="00195279">
        <w:rPr>
          <w:b/>
          <w:sz w:val="24"/>
          <w:szCs w:val="24"/>
        </w:rPr>
        <w:t xml:space="preserve">Bu dönemde TRA2’de işsizlikte çok şiddetli bir artış yaşanmıştır. </w:t>
      </w:r>
      <w:r w:rsidRPr="00195279">
        <w:rPr>
          <w:sz w:val="24"/>
          <w:szCs w:val="24"/>
        </w:rPr>
        <w:t>Tarım dışı işsizlik oranı</w:t>
      </w:r>
      <w:r w:rsidRPr="00195279">
        <w:rPr>
          <w:b/>
          <w:sz w:val="24"/>
          <w:szCs w:val="24"/>
        </w:rPr>
        <w:t xml:space="preserve"> </w:t>
      </w:r>
      <w:r w:rsidRPr="00195279">
        <w:rPr>
          <w:sz w:val="24"/>
          <w:szCs w:val="24"/>
        </w:rPr>
        <w:t>üç yılda yüzde 10,5’ten 24,8’e yükselerek tam 14,3 yüzde puan artmıştır. Bu şiddetli artış, tarım dışı istihdamda 4 binlik kayıp ( yüzde 2,5) ile tarım dışı işgücünde 29 binlik artışın (yüzde 16) sonucudur</w:t>
      </w:r>
      <w:r w:rsidR="00F73E42" w:rsidRPr="00195279">
        <w:rPr>
          <w:sz w:val="24"/>
          <w:szCs w:val="24"/>
        </w:rPr>
        <w:t xml:space="preserve"> (T</w:t>
      </w:r>
      <w:r w:rsidR="00742EC9" w:rsidRPr="00195279">
        <w:rPr>
          <w:sz w:val="24"/>
          <w:szCs w:val="24"/>
        </w:rPr>
        <w:t>ablo 1)</w:t>
      </w:r>
      <w:r w:rsidRPr="00195279">
        <w:rPr>
          <w:sz w:val="24"/>
          <w:szCs w:val="24"/>
        </w:rPr>
        <w:t xml:space="preserve">. </w:t>
      </w:r>
      <w:r w:rsidR="008A175B" w:rsidRPr="00195279">
        <w:rPr>
          <w:sz w:val="24"/>
          <w:szCs w:val="24"/>
        </w:rPr>
        <w:t>2018 yılında on altıncı sırada yer alan bu bölgede 2021’de üçüncü sırada yer almıştır.</w:t>
      </w:r>
      <w:r w:rsidR="00B96B30" w:rsidRPr="00195279">
        <w:rPr>
          <w:sz w:val="24"/>
          <w:szCs w:val="24"/>
        </w:rPr>
        <w:t xml:space="preserve">  </w:t>
      </w:r>
      <w:r w:rsidRPr="00195279">
        <w:rPr>
          <w:b/>
          <w:sz w:val="24"/>
          <w:szCs w:val="24"/>
        </w:rPr>
        <w:t>Kapadokya’da istihdam kaybı ile işgücü artışı sınırlı</w:t>
      </w:r>
      <w:r w:rsidRPr="00195279">
        <w:rPr>
          <w:sz w:val="24"/>
          <w:szCs w:val="24"/>
        </w:rPr>
        <w:t xml:space="preserve"> olmakla birlikte (Tablo 1) işsizlik oranı yüzde 14,7’den 17,5’e yükselmiştir (</w:t>
      </w:r>
      <w:r w:rsidR="00742EC9" w:rsidRPr="00195279">
        <w:rPr>
          <w:sz w:val="24"/>
          <w:szCs w:val="24"/>
        </w:rPr>
        <w:t>Şekil 1</w:t>
      </w:r>
      <w:r w:rsidRPr="00195279">
        <w:rPr>
          <w:sz w:val="24"/>
          <w:szCs w:val="24"/>
        </w:rPr>
        <w:t xml:space="preserve">). </w:t>
      </w:r>
    </w:p>
    <w:p w14:paraId="1A2FE7E3" w14:textId="5E92533F" w:rsidR="001C763A" w:rsidRPr="00195279" w:rsidRDefault="001C763A" w:rsidP="00195279">
      <w:pPr>
        <w:spacing w:line="360" w:lineRule="auto"/>
        <w:jc w:val="both"/>
        <w:rPr>
          <w:b/>
          <w:sz w:val="24"/>
          <w:szCs w:val="24"/>
        </w:rPr>
      </w:pPr>
      <w:r w:rsidRPr="00195279">
        <w:rPr>
          <w:sz w:val="24"/>
          <w:szCs w:val="24"/>
        </w:rPr>
        <w:t xml:space="preserve">İşsizlik artışının bir diğer nedeni </w:t>
      </w:r>
      <w:r w:rsidRPr="00195279">
        <w:rPr>
          <w:b/>
          <w:sz w:val="24"/>
          <w:szCs w:val="24"/>
        </w:rPr>
        <w:t>istihdamda artışa rağmen işgücünde daha yüksek bir artışın</w:t>
      </w:r>
      <w:r w:rsidRPr="00195279">
        <w:rPr>
          <w:sz w:val="24"/>
          <w:szCs w:val="24"/>
        </w:rPr>
        <w:t xml:space="preserve"> ortaya çıkmasıdır. Bu </w:t>
      </w:r>
      <w:r w:rsidRPr="00195279">
        <w:rPr>
          <w:b/>
          <w:sz w:val="24"/>
          <w:szCs w:val="24"/>
        </w:rPr>
        <w:t>kısmen olumsuz kısmen olumlu</w:t>
      </w:r>
      <w:r w:rsidRPr="00195279">
        <w:rPr>
          <w:sz w:val="24"/>
          <w:szCs w:val="24"/>
        </w:rPr>
        <w:t xml:space="preserve"> bir gelişmedir. İşsizliğin artığı 20 bölgeden 16’sı bu kategoridedir. Bunların içinde en yüksek işsizlik artışları (5,6 ve 5,1 yüzde puan</w:t>
      </w:r>
      <w:r w:rsidRPr="00195279">
        <w:rPr>
          <w:b/>
          <w:sz w:val="24"/>
          <w:szCs w:val="24"/>
        </w:rPr>
        <w:t xml:space="preserve">) Doğu Karadeniz (TR90) ve Mardin, Batman, Şırnak, Siirt (TRC3) </w:t>
      </w:r>
      <w:r w:rsidRPr="00195279">
        <w:rPr>
          <w:sz w:val="24"/>
          <w:szCs w:val="24"/>
        </w:rPr>
        <w:t xml:space="preserve">bölgelerinde gerçekleşmiştir. Bu bölgelerde istihdamda artışlar olsa da </w:t>
      </w:r>
      <w:r w:rsidRPr="006C562A">
        <w:rPr>
          <w:sz w:val="24"/>
          <w:szCs w:val="24"/>
        </w:rPr>
        <w:t xml:space="preserve">işgücünde </w:t>
      </w:r>
      <w:r w:rsidRPr="00195279">
        <w:rPr>
          <w:sz w:val="24"/>
          <w:szCs w:val="24"/>
        </w:rPr>
        <w:t>çok daha yüksek artışlar vardır</w:t>
      </w:r>
      <w:r w:rsidR="006C562A">
        <w:rPr>
          <w:sz w:val="24"/>
          <w:szCs w:val="24"/>
        </w:rPr>
        <w:t xml:space="preserve"> (</w:t>
      </w:r>
      <w:r w:rsidR="006C562A" w:rsidRPr="006C562A">
        <w:rPr>
          <w:sz w:val="24"/>
          <w:szCs w:val="24"/>
        </w:rPr>
        <w:t xml:space="preserve">iş arayan </w:t>
      </w:r>
      <w:r w:rsidR="006C562A">
        <w:rPr>
          <w:sz w:val="24"/>
          <w:szCs w:val="24"/>
        </w:rPr>
        <w:t>sa</w:t>
      </w:r>
      <w:r w:rsidR="006C562A" w:rsidRPr="006C562A">
        <w:rPr>
          <w:sz w:val="24"/>
          <w:szCs w:val="24"/>
        </w:rPr>
        <w:t>yısı</w:t>
      </w:r>
      <w:r w:rsidR="006C562A">
        <w:rPr>
          <w:sz w:val="24"/>
          <w:szCs w:val="24"/>
        </w:rPr>
        <w:t xml:space="preserve"> istihdam artışına rağmen artıyordur)</w:t>
      </w:r>
      <w:r w:rsidRPr="006C562A">
        <w:rPr>
          <w:sz w:val="24"/>
          <w:szCs w:val="24"/>
        </w:rPr>
        <w:t xml:space="preserve"> </w:t>
      </w:r>
      <w:r w:rsidRPr="00195279">
        <w:rPr>
          <w:sz w:val="24"/>
          <w:szCs w:val="24"/>
        </w:rPr>
        <w:t xml:space="preserve">(Tablo 1).   </w:t>
      </w:r>
    </w:p>
    <w:p w14:paraId="3ADFA9E9" w14:textId="7B8B2AC2" w:rsidR="001C763A" w:rsidRPr="00195279" w:rsidRDefault="001C763A" w:rsidP="00195279">
      <w:pPr>
        <w:spacing w:line="360" w:lineRule="auto"/>
        <w:jc w:val="both"/>
        <w:rPr>
          <w:sz w:val="24"/>
          <w:szCs w:val="24"/>
        </w:rPr>
      </w:pPr>
      <w:r w:rsidRPr="00195279">
        <w:rPr>
          <w:b/>
          <w:sz w:val="24"/>
          <w:szCs w:val="24"/>
        </w:rPr>
        <w:t>İşsizlik</w:t>
      </w:r>
      <w:r w:rsidR="00C90345" w:rsidRPr="00195279">
        <w:rPr>
          <w:b/>
          <w:sz w:val="24"/>
          <w:szCs w:val="24"/>
        </w:rPr>
        <w:t>te</w:t>
      </w:r>
      <w:r w:rsidRPr="00195279">
        <w:rPr>
          <w:b/>
          <w:sz w:val="24"/>
          <w:szCs w:val="24"/>
        </w:rPr>
        <w:t xml:space="preserve"> artışın istihdam ve işgücünün aynı zamanda azalmasından</w:t>
      </w:r>
      <w:r w:rsidRPr="00195279">
        <w:rPr>
          <w:sz w:val="24"/>
          <w:szCs w:val="24"/>
        </w:rPr>
        <w:t xml:space="preserve"> kaynaklanması da mümkündür; istihdamda azalma işgücünde azalmadan daha şiddetli </w:t>
      </w:r>
      <w:r w:rsidR="00C90345" w:rsidRPr="00195279">
        <w:rPr>
          <w:sz w:val="24"/>
          <w:szCs w:val="24"/>
        </w:rPr>
        <w:t>olursa</w:t>
      </w:r>
      <w:r w:rsidRPr="00195279">
        <w:rPr>
          <w:sz w:val="24"/>
          <w:szCs w:val="24"/>
        </w:rPr>
        <w:t xml:space="preserve">. Bu durumda işsizlik oranında artış doğal olarak sınırlı olacaktır ancak bu </w:t>
      </w:r>
      <w:r w:rsidRPr="00195279">
        <w:rPr>
          <w:b/>
          <w:sz w:val="24"/>
          <w:szCs w:val="24"/>
        </w:rPr>
        <w:t>son derce olumsuz</w:t>
      </w:r>
      <w:r w:rsidRPr="00195279">
        <w:rPr>
          <w:sz w:val="24"/>
          <w:szCs w:val="24"/>
        </w:rPr>
        <w:t xml:space="preserve"> bir gelişmedir. İşsizliğin bu nedenle arttığı iki bölge </w:t>
      </w:r>
      <w:r w:rsidR="00C90345" w:rsidRPr="00195279">
        <w:rPr>
          <w:sz w:val="24"/>
          <w:szCs w:val="24"/>
        </w:rPr>
        <w:t>mevcuttur</w:t>
      </w:r>
      <w:r w:rsidRPr="00195279">
        <w:rPr>
          <w:sz w:val="24"/>
          <w:szCs w:val="24"/>
        </w:rPr>
        <w:t xml:space="preserve">: </w:t>
      </w:r>
      <w:r w:rsidRPr="00195279">
        <w:rPr>
          <w:b/>
          <w:sz w:val="24"/>
          <w:szCs w:val="24"/>
        </w:rPr>
        <w:t xml:space="preserve">İzmir (TR31) ve İç Ege (TR33). </w:t>
      </w:r>
      <w:r w:rsidRPr="00195279">
        <w:rPr>
          <w:sz w:val="24"/>
          <w:szCs w:val="24"/>
        </w:rPr>
        <w:t>İşsizlik oranında artış İç Ege’de</w:t>
      </w:r>
      <w:r w:rsidRPr="00195279">
        <w:rPr>
          <w:b/>
          <w:sz w:val="24"/>
          <w:szCs w:val="24"/>
        </w:rPr>
        <w:t xml:space="preserve"> </w:t>
      </w:r>
      <w:r w:rsidRPr="00195279">
        <w:rPr>
          <w:sz w:val="24"/>
          <w:szCs w:val="24"/>
        </w:rPr>
        <w:t xml:space="preserve">0,1 yüzde puandan ibarettir. </w:t>
      </w:r>
    </w:p>
    <w:p w14:paraId="31861D32" w14:textId="7BABCD7F" w:rsidR="001C763A" w:rsidRPr="00195279" w:rsidRDefault="001C763A" w:rsidP="00195279">
      <w:pPr>
        <w:spacing w:line="360" w:lineRule="auto"/>
        <w:jc w:val="both"/>
        <w:rPr>
          <w:b/>
          <w:sz w:val="24"/>
          <w:szCs w:val="24"/>
        </w:rPr>
      </w:pPr>
      <w:r w:rsidRPr="00195279">
        <w:rPr>
          <w:sz w:val="24"/>
          <w:szCs w:val="24"/>
        </w:rPr>
        <w:t xml:space="preserve">Ancak </w:t>
      </w:r>
      <w:r w:rsidRPr="00195279">
        <w:rPr>
          <w:b/>
          <w:sz w:val="24"/>
          <w:szCs w:val="24"/>
        </w:rPr>
        <w:t>İzmir’de işsizlik üç yılda yüzde 14,8’den 15,9’a yükselerek 1,1 yüzde puan artmıştır</w:t>
      </w:r>
      <w:r w:rsidR="00F73E42" w:rsidRPr="00195279">
        <w:rPr>
          <w:b/>
          <w:sz w:val="24"/>
          <w:szCs w:val="24"/>
        </w:rPr>
        <w:t xml:space="preserve"> </w:t>
      </w:r>
      <w:r w:rsidR="00F73E42" w:rsidRPr="00195279">
        <w:rPr>
          <w:sz w:val="24"/>
          <w:szCs w:val="24"/>
        </w:rPr>
        <w:t>(Şekil 1)</w:t>
      </w:r>
      <w:r w:rsidRPr="00195279">
        <w:rPr>
          <w:sz w:val="24"/>
          <w:szCs w:val="24"/>
        </w:rPr>
        <w:t>.</w:t>
      </w:r>
      <w:r w:rsidRPr="00195279">
        <w:rPr>
          <w:b/>
          <w:sz w:val="24"/>
          <w:szCs w:val="24"/>
        </w:rPr>
        <w:t xml:space="preserve"> </w:t>
      </w:r>
      <w:r w:rsidRPr="00195279">
        <w:rPr>
          <w:sz w:val="24"/>
          <w:szCs w:val="24"/>
        </w:rPr>
        <w:t xml:space="preserve">Tarım dışı istihdam yüzde 5, tarım dışı işgücü ise yüzde 3,6 azalmıştır. </w:t>
      </w:r>
      <w:r w:rsidRPr="00195279">
        <w:rPr>
          <w:b/>
          <w:sz w:val="24"/>
          <w:szCs w:val="24"/>
        </w:rPr>
        <w:t xml:space="preserve">İşgücü piyasasından </w:t>
      </w:r>
      <w:r w:rsidR="00C90345" w:rsidRPr="00195279">
        <w:rPr>
          <w:b/>
          <w:sz w:val="24"/>
          <w:szCs w:val="24"/>
        </w:rPr>
        <w:t xml:space="preserve">özellikle kadınlarda </w:t>
      </w:r>
      <w:r w:rsidRPr="00195279">
        <w:rPr>
          <w:b/>
          <w:sz w:val="24"/>
          <w:szCs w:val="24"/>
        </w:rPr>
        <w:t>büyük miktarda çıkış</w:t>
      </w:r>
      <w:r w:rsidRPr="00195279">
        <w:rPr>
          <w:sz w:val="24"/>
          <w:szCs w:val="24"/>
        </w:rPr>
        <w:t xml:space="preserve"> olduğu anlaşılmaktadır. </w:t>
      </w:r>
      <w:r w:rsidRPr="00195279">
        <w:rPr>
          <w:b/>
          <w:sz w:val="24"/>
          <w:szCs w:val="24"/>
        </w:rPr>
        <w:t xml:space="preserve">İzmir kadın işgücünde ciddi kayıp söz konusudur. </w:t>
      </w:r>
      <w:r w:rsidRPr="00195279">
        <w:rPr>
          <w:sz w:val="24"/>
          <w:szCs w:val="24"/>
        </w:rPr>
        <w:t xml:space="preserve">Nitekim İzmir’de kadın işgücü 2018’den 2021’e 669 binden 640 bine gerilerken, işgücüne katılım oranı da yüzde 38,7’den 35,5’e düşmüştür. Aynı dönemde Türkiye genelinde kadın işgücü az da olsa (87 bin) artmış, işgücüne katılım oranı da yüzde 34,2’den 32,8’e daha sınırlı ölçüde azalmıştır. </w:t>
      </w:r>
    </w:p>
    <w:p w14:paraId="26AE4C28" w14:textId="77777777" w:rsidR="00446D11" w:rsidRDefault="00446D11" w:rsidP="001C763A">
      <w:pPr>
        <w:jc w:val="both"/>
        <w:rPr>
          <w:b/>
        </w:rPr>
      </w:pPr>
    </w:p>
    <w:p w14:paraId="7D63B8E8" w14:textId="77777777" w:rsidR="00446D11" w:rsidRDefault="00446D11" w:rsidP="001C763A">
      <w:pPr>
        <w:jc w:val="both"/>
        <w:rPr>
          <w:b/>
        </w:rPr>
      </w:pPr>
    </w:p>
    <w:p w14:paraId="6A426EFC" w14:textId="77777777" w:rsidR="00446D11" w:rsidRDefault="00446D11" w:rsidP="001C763A">
      <w:pPr>
        <w:jc w:val="both"/>
        <w:rPr>
          <w:b/>
        </w:rPr>
      </w:pPr>
    </w:p>
    <w:p w14:paraId="0E8F2795" w14:textId="77777777" w:rsidR="00446D11" w:rsidRDefault="00446D11" w:rsidP="001C763A">
      <w:pPr>
        <w:jc w:val="both"/>
        <w:rPr>
          <w:b/>
        </w:rPr>
      </w:pPr>
    </w:p>
    <w:p w14:paraId="643D11C4" w14:textId="77777777" w:rsidR="00446D11" w:rsidRDefault="00446D11" w:rsidP="001C763A">
      <w:pPr>
        <w:jc w:val="both"/>
        <w:rPr>
          <w:b/>
        </w:rPr>
      </w:pPr>
    </w:p>
    <w:p w14:paraId="7F33D529" w14:textId="24EE4796" w:rsidR="001C763A" w:rsidRPr="00985395" w:rsidRDefault="001C763A" w:rsidP="001C763A">
      <w:pPr>
        <w:jc w:val="both"/>
        <w:rPr>
          <w:b/>
          <w:sz w:val="24"/>
          <w:szCs w:val="24"/>
        </w:rPr>
      </w:pPr>
      <w:r w:rsidRPr="00985395">
        <w:rPr>
          <w:b/>
          <w:sz w:val="24"/>
          <w:szCs w:val="24"/>
        </w:rPr>
        <w:lastRenderedPageBreak/>
        <w:t xml:space="preserve">Şekil </w:t>
      </w:r>
      <w:r w:rsidR="000B1842" w:rsidRPr="00985395">
        <w:rPr>
          <w:b/>
          <w:sz w:val="24"/>
          <w:szCs w:val="24"/>
        </w:rPr>
        <w:t>2</w:t>
      </w:r>
      <w:r w:rsidRPr="00985395">
        <w:rPr>
          <w:b/>
          <w:sz w:val="24"/>
          <w:szCs w:val="24"/>
        </w:rPr>
        <w:t>: Tarım dışı işsizlik oranı artan bölgeler (yüzde puan), 2018-2021</w:t>
      </w:r>
    </w:p>
    <w:p w14:paraId="514E9A0F" w14:textId="540EC8B6" w:rsidR="001C763A" w:rsidRPr="00D970DD" w:rsidRDefault="001C763A" w:rsidP="004A406C">
      <w:pPr>
        <w:jc w:val="both"/>
        <w:rPr>
          <w:b/>
          <w:sz w:val="20"/>
          <w:szCs w:val="20"/>
        </w:rPr>
      </w:pPr>
      <w:r w:rsidRPr="008A1421">
        <w:rPr>
          <w:noProof/>
          <w:sz w:val="20"/>
          <w:szCs w:val="20"/>
          <w:lang w:eastAsia="tr-TR"/>
        </w:rPr>
        <w:drawing>
          <wp:inline distT="0" distB="0" distL="0" distR="0" wp14:anchorId="5636CFD3" wp14:editId="197CFEBD">
            <wp:extent cx="5760720" cy="2719137"/>
            <wp:effectExtent l="0" t="0" r="17780" b="11430"/>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C7C7E48" w14:textId="77777777" w:rsidR="001C763A" w:rsidRPr="00C320C3" w:rsidRDefault="001C763A" w:rsidP="001C763A">
      <w:pPr>
        <w:jc w:val="both"/>
        <w:rPr>
          <w:sz w:val="18"/>
          <w:szCs w:val="18"/>
        </w:rPr>
      </w:pPr>
      <w:r w:rsidRPr="00761447">
        <w:rPr>
          <w:sz w:val="18"/>
          <w:szCs w:val="18"/>
        </w:rPr>
        <w:t xml:space="preserve">Kaynak: TÜİK, Betam. </w:t>
      </w:r>
    </w:p>
    <w:p w14:paraId="28A74722" w14:textId="77777777" w:rsidR="00F3446C" w:rsidRDefault="00F3446C" w:rsidP="001C763A">
      <w:pPr>
        <w:rPr>
          <w:b/>
        </w:rPr>
      </w:pPr>
    </w:p>
    <w:p w14:paraId="3460BCF8" w14:textId="77777777" w:rsidR="00F3446C" w:rsidRDefault="00F3446C" w:rsidP="001C763A">
      <w:pPr>
        <w:rPr>
          <w:b/>
        </w:rPr>
      </w:pPr>
    </w:p>
    <w:p w14:paraId="2B9B21E5" w14:textId="667479C4" w:rsidR="001C763A" w:rsidRPr="00985395" w:rsidRDefault="001C763A" w:rsidP="001C763A">
      <w:r w:rsidRPr="00985395">
        <w:rPr>
          <w:b/>
        </w:rPr>
        <w:t>Tablo 1: Tarım dışı işsizliğin arttığı bölgelerde işgü</w:t>
      </w:r>
      <w:r w:rsidR="00F439C1" w:rsidRPr="00985395">
        <w:rPr>
          <w:b/>
        </w:rPr>
        <w:t>cü</w:t>
      </w:r>
      <w:r w:rsidRPr="00985395">
        <w:rPr>
          <w:b/>
        </w:rPr>
        <w:t xml:space="preserve"> göstergelerinde değişim (000), 2018-2021</w:t>
      </w:r>
    </w:p>
    <w:tbl>
      <w:tblPr>
        <w:tblW w:w="8431" w:type="dxa"/>
        <w:tblInd w:w="70" w:type="dxa"/>
        <w:tblCellMar>
          <w:left w:w="70" w:type="dxa"/>
          <w:right w:w="70" w:type="dxa"/>
        </w:tblCellMar>
        <w:tblLook w:val="04A0" w:firstRow="1" w:lastRow="0" w:firstColumn="1" w:lastColumn="0" w:noHBand="0" w:noVBand="1"/>
      </w:tblPr>
      <w:tblGrid>
        <w:gridCol w:w="4952"/>
        <w:gridCol w:w="1261"/>
        <w:gridCol w:w="1183"/>
        <w:gridCol w:w="1035"/>
      </w:tblGrid>
      <w:tr w:rsidR="001C763A" w:rsidRPr="008A1421" w14:paraId="447889B2" w14:textId="77777777" w:rsidTr="004440BD">
        <w:trPr>
          <w:trHeight w:val="325"/>
        </w:trPr>
        <w:tc>
          <w:tcPr>
            <w:tcW w:w="4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012D3" w14:textId="77777777" w:rsidR="001C763A" w:rsidRPr="00F36279" w:rsidRDefault="001C763A" w:rsidP="00B96B30">
            <w:pPr>
              <w:spacing w:after="0" w:line="240" w:lineRule="auto"/>
              <w:rPr>
                <w:rFonts w:eastAsia="Times New Roman" w:cs="Times New Roman"/>
                <w:b/>
                <w:color w:val="000000"/>
                <w:lang w:eastAsia="tr-TR"/>
              </w:rPr>
            </w:pPr>
            <w:r w:rsidRPr="00F36279">
              <w:rPr>
                <w:rFonts w:eastAsia="Times New Roman" w:cs="Times New Roman"/>
                <w:b/>
                <w:color w:val="000000"/>
                <w:lang w:eastAsia="tr-TR"/>
              </w:rPr>
              <w:t>Bölgeler</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B8F112D"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Δ</w:t>
            </w:r>
            <w:r>
              <w:rPr>
                <w:rFonts w:eastAsia="Times New Roman" w:cs="Times New Roman"/>
                <w:color w:val="000000"/>
                <w:lang w:eastAsia="tr-TR"/>
              </w:rPr>
              <w:t xml:space="preserve"> İşgücü</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1A92D42D"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Δ</w:t>
            </w:r>
            <w:r>
              <w:rPr>
                <w:rFonts w:eastAsia="Times New Roman" w:cs="Times New Roman"/>
                <w:color w:val="000000"/>
                <w:lang w:eastAsia="tr-TR"/>
              </w:rPr>
              <w:t xml:space="preserve"> İstihdam </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14:paraId="0DE27A3F"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Δ</w:t>
            </w:r>
            <w:r>
              <w:rPr>
                <w:rFonts w:eastAsia="Times New Roman" w:cs="Times New Roman"/>
                <w:color w:val="000000"/>
                <w:lang w:eastAsia="tr-TR"/>
              </w:rPr>
              <w:t>İO</w:t>
            </w:r>
            <w:r w:rsidRPr="001F26BB">
              <w:rPr>
                <w:rFonts w:eastAsia="Times New Roman" w:cs="Times New Roman"/>
                <w:color w:val="000000"/>
                <w:lang w:eastAsia="tr-TR"/>
              </w:rPr>
              <w:t xml:space="preserve"> </w:t>
            </w:r>
          </w:p>
        </w:tc>
      </w:tr>
      <w:tr w:rsidR="001C763A" w:rsidRPr="008A1421" w14:paraId="3F1342F7" w14:textId="77777777" w:rsidTr="004440BD">
        <w:trPr>
          <w:trHeight w:val="325"/>
        </w:trPr>
        <w:tc>
          <w:tcPr>
            <w:tcW w:w="4952" w:type="dxa"/>
            <w:tcBorders>
              <w:top w:val="nil"/>
              <w:left w:val="single" w:sz="4" w:space="0" w:color="auto"/>
              <w:bottom w:val="single" w:sz="4" w:space="0" w:color="auto"/>
              <w:right w:val="single" w:sz="4" w:space="0" w:color="auto"/>
            </w:tcBorders>
            <w:shd w:val="clear" w:color="auto" w:fill="auto"/>
            <w:noWrap/>
            <w:vAlign w:val="bottom"/>
            <w:hideMark/>
          </w:tcPr>
          <w:p w14:paraId="5F473E17" w14:textId="77777777" w:rsidR="001C763A" w:rsidRPr="001F26BB" w:rsidRDefault="001C763A" w:rsidP="00B96B30">
            <w:pPr>
              <w:spacing w:after="0" w:line="240" w:lineRule="auto"/>
              <w:rPr>
                <w:rFonts w:eastAsia="Times New Roman" w:cs="Times New Roman"/>
                <w:color w:val="000000"/>
                <w:lang w:eastAsia="tr-TR"/>
              </w:rPr>
            </w:pPr>
            <w:r w:rsidRPr="001F26BB">
              <w:rPr>
                <w:rFonts w:eastAsia="Times New Roman" w:cs="Times New Roman"/>
                <w:color w:val="000000"/>
                <w:lang w:eastAsia="tr-TR"/>
              </w:rPr>
              <w:t>TR33 (Manisa, Afyonkarahisar, Kütahya, Uşak)</w:t>
            </w:r>
          </w:p>
        </w:tc>
        <w:tc>
          <w:tcPr>
            <w:tcW w:w="1261" w:type="dxa"/>
            <w:tcBorders>
              <w:top w:val="nil"/>
              <w:left w:val="nil"/>
              <w:bottom w:val="single" w:sz="4" w:space="0" w:color="auto"/>
              <w:right w:val="single" w:sz="4" w:space="0" w:color="auto"/>
            </w:tcBorders>
            <w:shd w:val="clear" w:color="auto" w:fill="auto"/>
            <w:noWrap/>
            <w:vAlign w:val="bottom"/>
            <w:hideMark/>
          </w:tcPr>
          <w:p w14:paraId="4B25DCAF"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-18</w:t>
            </w:r>
          </w:p>
        </w:tc>
        <w:tc>
          <w:tcPr>
            <w:tcW w:w="1183" w:type="dxa"/>
            <w:tcBorders>
              <w:top w:val="nil"/>
              <w:left w:val="nil"/>
              <w:bottom w:val="single" w:sz="4" w:space="0" w:color="auto"/>
              <w:right w:val="single" w:sz="4" w:space="0" w:color="auto"/>
            </w:tcBorders>
            <w:shd w:val="clear" w:color="auto" w:fill="auto"/>
            <w:noWrap/>
            <w:vAlign w:val="bottom"/>
            <w:hideMark/>
          </w:tcPr>
          <w:p w14:paraId="069007BC"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-17</w:t>
            </w:r>
          </w:p>
        </w:tc>
        <w:tc>
          <w:tcPr>
            <w:tcW w:w="1035" w:type="dxa"/>
            <w:tcBorders>
              <w:top w:val="nil"/>
              <w:left w:val="nil"/>
              <w:bottom w:val="single" w:sz="4" w:space="0" w:color="auto"/>
              <w:right w:val="single" w:sz="4" w:space="0" w:color="auto"/>
            </w:tcBorders>
            <w:shd w:val="clear" w:color="auto" w:fill="auto"/>
            <w:noWrap/>
            <w:vAlign w:val="bottom"/>
            <w:hideMark/>
          </w:tcPr>
          <w:p w14:paraId="5E8568D3"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0,1</w:t>
            </w:r>
          </w:p>
        </w:tc>
      </w:tr>
      <w:tr w:rsidR="001C763A" w:rsidRPr="008A1421" w14:paraId="0E5DD192" w14:textId="77777777" w:rsidTr="004440BD">
        <w:trPr>
          <w:trHeight w:val="325"/>
        </w:trPr>
        <w:tc>
          <w:tcPr>
            <w:tcW w:w="4952" w:type="dxa"/>
            <w:tcBorders>
              <w:top w:val="nil"/>
              <w:left w:val="single" w:sz="4" w:space="0" w:color="auto"/>
              <w:bottom w:val="single" w:sz="4" w:space="0" w:color="auto"/>
              <w:right w:val="single" w:sz="4" w:space="0" w:color="auto"/>
            </w:tcBorders>
            <w:shd w:val="clear" w:color="auto" w:fill="auto"/>
            <w:noWrap/>
            <w:vAlign w:val="bottom"/>
            <w:hideMark/>
          </w:tcPr>
          <w:p w14:paraId="60FCCF2D" w14:textId="77777777" w:rsidR="001C763A" w:rsidRPr="001F26BB" w:rsidRDefault="001C763A" w:rsidP="00B96B30">
            <w:pPr>
              <w:spacing w:after="0" w:line="240" w:lineRule="auto"/>
              <w:rPr>
                <w:rFonts w:eastAsia="Times New Roman" w:cs="Times New Roman"/>
                <w:color w:val="000000"/>
                <w:lang w:eastAsia="tr-TR"/>
              </w:rPr>
            </w:pPr>
            <w:r w:rsidRPr="001F26BB">
              <w:rPr>
                <w:rFonts w:eastAsia="Times New Roman" w:cs="Times New Roman"/>
                <w:color w:val="000000"/>
                <w:lang w:eastAsia="tr-TR"/>
              </w:rPr>
              <w:t>TR41 (Bursa, Eskişehir, Bilecik)</w:t>
            </w:r>
          </w:p>
        </w:tc>
        <w:tc>
          <w:tcPr>
            <w:tcW w:w="1261" w:type="dxa"/>
            <w:tcBorders>
              <w:top w:val="nil"/>
              <w:left w:val="nil"/>
              <w:bottom w:val="single" w:sz="4" w:space="0" w:color="auto"/>
              <w:right w:val="single" w:sz="4" w:space="0" w:color="auto"/>
            </w:tcBorders>
            <w:shd w:val="clear" w:color="auto" w:fill="auto"/>
            <w:noWrap/>
            <w:vAlign w:val="bottom"/>
            <w:hideMark/>
          </w:tcPr>
          <w:p w14:paraId="5DA4DC32"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106</w:t>
            </w:r>
          </w:p>
        </w:tc>
        <w:tc>
          <w:tcPr>
            <w:tcW w:w="1183" w:type="dxa"/>
            <w:tcBorders>
              <w:top w:val="nil"/>
              <w:left w:val="nil"/>
              <w:bottom w:val="single" w:sz="4" w:space="0" w:color="auto"/>
              <w:right w:val="single" w:sz="4" w:space="0" w:color="auto"/>
            </w:tcBorders>
            <w:shd w:val="clear" w:color="auto" w:fill="auto"/>
            <w:noWrap/>
            <w:vAlign w:val="bottom"/>
            <w:hideMark/>
          </w:tcPr>
          <w:p w14:paraId="18A044C1"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92</w:t>
            </w:r>
          </w:p>
        </w:tc>
        <w:tc>
          <w:tcPr>
            <w:tcW w:w="1035" w:type="dxa"/>
            <w:tcBorders>
              <w:top w:val="nil"/>
              <w:left w:val="nil"/>
              <w:bottom w:val="single" w:sz="4" w:space="0" w:color="auto"/>
              <w:right w:val="single" w:sz="4" w:space="0" w:color="auto"/>
            </w:tcBorders>
            <w:shd w:val="clear" w:color="auto" w:fill="auto"/>
            <w:noWrap/>
            <w:vAlign w:val="bottom"/>
            <w:hideMark/>
          </w:tcPr>
          <w:p w14:paraId="577A6ABE"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0,2</w:t>
            </w:r>
          </w:p>
        </w:tc>
      </w:tr>
      <w:tr w:rsidR="001C763A" w:rsidRPr="008A1421" w14:paraId="6C2ED1B7" w14:textId="77777777" w:rsidTr="004440BD">
        <w:trPr>
          <w:trHeight w:val="325"/>
        </w:trPr>
        <w:tc>
          <w:tcPr>
            <w:tcW w:w="4952" w:type="dxa"/>
            <w:tcBorders>
              <w:top w:val="nil"/>
              <w:left w:val="single" w:sz="4" w:space="0" w:color="auto"/>
              <w:bottom w:val="single" w:sz="4" w:space="0" w:color="auto"/>
              <w:right w:val="single" w:sz="4" w:space="0" w:color="auto"/>
            </w:tcBorders>
            <w:shd w:val="clear" w:color="auto" w:fill="auto"/>
            <w:noWrap/>
            <w:vAlign w:val="bottom"/>
            <w:hideMark/>
          </w:tcPr>
          <w:p w14:paraId="403D79A6" w14:textId="77777777" w:rsidR="001C763A" w:rsidRPr="001F26BB" w:rsidRDefault="001C763A" w:rsidP="00B96B30">
            <w:pPr>
              <w:spacing w:after="0" w:line="240" w:lineRule="auto"/>
              <w:rPr>
                <w:rFonts w:eastAsia="Times New Roman" w:cs="Times New Roman"/>
                <w:color w:val="000000"/>
                <w:lang w:eastAsia="tr-TR"/>
              </w:rPr>
            </w:pPr>
            <w:r w:rsidRPr="001F26BB">
              <w:rPr>
                <w:rFonts w:eastAsia="Times New Roman" w:cs="Times New Roman"/>
                <w:color w:val="000000"/>
                <w:lang w:eastAsia="tr-TR"/>
              </w:rPr>
              <w:t>TR82 (Kastamonu, Çankırı, Sinop)</w:t>
            </w:r>
          </w:p>
        </w:tc>
        <w:tc>
          <w:tcPr>
            <w:tcW w:w="1261" w:type="dxa"/>
            <w:tcBorders>
              <w:top w:val="nil"/>
              <w:left w:val="nil"/>
              <w:bottom w:val="single" w:sz="4" w:space="0" w:color="auto"/>
              <w:right w:val="single" w:sz="4" w:space="0" w:color="auto"/>
            </w:tcBorders>
            <w:shd w:val="clear" w:color="auto" w:fill="auto"/>
            <w:noWrap/>
            <w:vAlign w:val="bottom"/>
            <w:hideMark/>
          </w:tcPr>
          <w:p w14:paraId="1170A435"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13</w:t>
            </w:r>
          </w:p>
        </w:tc>
        <w:tc>
          <w:tcPr>
            <w:tcW w:w="1183" w:type="dxa"/>
            <w:tcBorders>
              <w:top w:val="nil"/>
              <w:left w:val="nil"/>
              <w:bottom w:val="single" w:sz="4" w:space="0" w:color="auto"/>
              <w:right w:val="single" w:sz="4" w:space="0" w:color="auto"/>
            </w:tcBorders>
            <w:shd w:val="clear" w:color="auto" w:fill="auto"/>
            <w:noWrap/>
            <w:vAlign w:val="bottom"/>
            <w:hideMark/>
          </w:tcPr>
          <w:p w14:paraId="295842FF"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11</w:t>
            </w:r>
          </w:p>
        </w:tc>
        <w:tc>
          <w:tcPr>
            <w:tcW w:w="1035" w:type="dxa"/>
            <w:tcBorders>
              <w:top w:val="nil"/>
              <w:left w:val="nil"/>
              <w:bottom w:val="single" w:sz="4" w:space="0" w:color="auto"/>
              <w:right w:val="single" w:sz="4" w:space="0" w:color="auto"/>
            </w:tcBorders>
            <w:shd w:val="clear" w:color="auto" w:fill="auto"/>
            <w:noWrap/>
            <w:vAlign w:val="bottom"/>
            <w:hideMark/>
          </w:tcPr>
          <w:p w14:paraId="3A0EFDE3"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0,4</w:t>
            </w:r>
          </w:p>
        </w:tc>
      </w:tr>
      <w:tr w:rsidR="001C763A" w:rsidRPr="008A1421" w14:paraId="76DE6469" w14:textId="77777777" w:rsidTr="004440BD">
        <w:trPr>
          <w:trHeight w:val="325"/>
        </w:trPr>
        <w:tc>
          <w:tcPr>
            <w:tcW w:w="4952" w:type="dxa"/>
            <w:tcBorders>
              <w:top w:val="nil"/>
              <w:left w:val="single" w:sz="4" w:space="0" w:color="auto"/>
              <w:bottom w:val="single" w:sz="4" w:space="0" w:color="auto"/>
              <w:right w:val="single" w:sz="4" w:space="0" w:color="auto"/>
            </w:tcBorders>
            <w:shd w:val="clear" w:color="auto" w:fill="auto"/>
            <w:noWrap/>
            <w:vAlign w:val="bottom"/>
            <w:hideMark/>
          </w:tcPr>
          <w:p w14:paraId="5B305B08" w14:textId="77777777" w:rsidR="001C763A" w:rsidRPr="001F26BB" w:rsidRDefault="001C763A" w:rsidP="00B96B30">
            <w:pPr>
              <w:spacing w:after="0" w:line="240" w:lineRule="auto"/>
              <w:rPr>
                <w:rFonts w:eastAsia="Times New Roman" w:cs="Times New Roman"/>
                <w:color w:val="000000"/>
                <w:lang w:eastAsia="tr-TR"/>
              </w:rPr>
            </w:pPr>
            <w:r w:rsidRPr="001F26BB">
              <w:rPr>
                <w:rFonts w:eastAsia="Times New Roman" w:cs="Times New Roman"/>
                <w:color w:val="000000"/>
                <w:lang w:eastAsia="tr-TR"/>
              </w:rPr>
              <w:t>TR61 (Antalya, Isparta, Burdur)</w:t>
            </w:r>
          </w:p>
        </w:tc>
        <w:tc>
          <w:tcPr>
            <w:tcW w:w="1261" w:type="dxa"/>
            <w:tcBorders>
              <w:top w:val="nil"/>
              <w:left w:val="nil"/>
              <w:bottom w:val="single" w:sz="4" w:space="0" w:color="auto"/>
              <w:right w:val="single" w:sz="4" w:space="0" w:color="auto"/>
            </w:tcBorders>
            <w:shd w:val="clear" w:color="auto" w:fill="auto"/>
            <w:noWrap/>
            <w:vAlign w:val="bottom"/>
            <w:hideMark/>
          </w:tcPr>
          <w:p w14:paraId="69211DFE"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58</w:t>
            </w:r>
          </w:p>
        </w:tc>
        <w:tc>
          <w:tcPr>
            <w:tcW w:w="1183" w:type="dxa"/>
            <w:tcBorders>
              <w:top w:val="nil"/>
              <w:left w:val="nil"/>
              <w:bottom w:val="single" w:sz="4" w:space="0" w:color="auto"/>
              <w:right w:val="single" w:sz="4" w:space="0" w:color="auto"/>
            </w:tcBorders>
            <w:shd w:val="clear" w:color="auto" w:fill="auto"/>
            <w:noWrap/>
            <w:vAlign w:val="bottom"/>
            <w:hideMark/>
          </w:tcPr>
          <w:p w14:paraId="36887C2E"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45</w:t>
            </w:r>
          </w:p>
        </w:tc>
        <w:tc>
          <w:tcPr>
            <w:tcW w:w="1035" w:type="dxa"/>
            <w:tcBorders>
              <w:top w:val="nil"/>
              <w:left w:val="nil"/>
              <w:bottom w:val="single" w:sz="4" w:space="0" w:color="auto"/>
              <w:right w:val="single" w:sz="4" w:space="0" w:color="auto"/>
            </w:tcBorders>
            <w:shd w:val="clear" w:color="auto" w:fill="auto"/>
            <w:noWrap/>
            <w:vAlign w:val="bottom"/>
            <w:hideMark/>
          </w:tcPr>
          <w:p w14:paraId="2D10C18F"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0,4</w:t>
            </w:r>
          </w:p>
        </w:tc>
      </w:tr>
      <w:tr w:rsidR="001C763A" w:rsidRPr="008A1421" w14:paraId="1FDC9DAF" w14:textId="77777777" w:rsidTr="004440BD">
        <w:trPr>
          <w:trHeight w:val="325"/>
        </w:trPr>
        <w:tc>
          <w:tcPr>
            <w:tcW w:w="4952" w:type="dxa"/>
            <w:tcBorders>
              <w:top w:val="nil"/>
              <w:left w:val="single" w:sz="4" w:space="0" w:color="auto"/>
              <w:bottom w:val="single" w:sz="4" w:space="0" w:color="auto"/>
              <w:right w:val="single" w:sz="4" w:space="0" w:color="auto"/>
            </w:tcBorders>
            <w:shd w:val="clear" w:color="auto" w:fill="auto"/>
            <w:noWrap/>
            <w:vAlign w:val="bottom"/>
            <w:hideMark/>
          </w:tcPr>
          <w:p w14:paraId="4CBF0BB3" w14:textId="77777777" w:rsidR="001C763A" w:rsidRPr="001F26BB" w:rsidRDefault="001C763A" w:rsidP="00B96B30">
            <w:pPr>
              <w:spacing w:after="0" w:line="240" w:lineRule="auto"/>
              <w:rPr>
                <w:rFonts w:eastAsia="Times New Roman" w:cs="Times New Roman"/>
                <w:color w:val="000000"/>
                <w:lang w:eastAsia="tr-TR"/>
              </w:rPr>
            </w:pPr>
            <w:r w:rsidRPr="001F26BB">
              <w:rPr>
                <w:rFonts w:eastAsia="Times New Roman" w:cs="Times New Roman"/>
                <w:color w:val="000000"/>
                <w:lang w:eastAsia="tr-TR"/>
              </w:rPr>
              <w:t>TR31 (İzmir)</w:t>
            </w:r>
          </w:p>
        </w:tc>
        <w:tc>
          <w:tcPr>
            <w:tcW w:w="1261" w:type="dxa"/>
            <w:tcBorders>
              <w:top w:val="nil"/>
              <w:left w:val="nil"/>
              <w:bottom w:val="single" w:sz="4" w:space="0" w:color="auto"/>
              <w:right w:val="single" w:sz="4" w:space="0" w:color="auto"/>
            </w:tcBorders>
            <w:shd w:val="clear" w:color="auto" w:fill="auto"/>
            <w:noWrap/>
            <w:vAlign w:val="bottom"/>
            <w:hideMark/>
          </w:tcPr>
          <w:p w14:paraId="5830C019"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-68</w:t>
            </w:r>
          </w:p>
        </w:tc>
        <w:tc>
          <w:tcPr>
            <w:tcW w:w="1183" w:type="dxa"/>
            <w:tcBorders>
              <w:top w:val="nil"/>
              <w:left w:val="nil"/>
              <w:bottom w:val="single" w:sz="4" w:space="0" w:color="auto"/>
              <w:right w:val="single" w:sz="4" w:space="0" w:color="auto"/>
            </w:tcBorders>
            <w:shd w:val="clear" w:color="auto" w:fill="auto"/>
            <w:noWrap/>
            <w:vAlign w:val="bottom"/>
            <w:hideMark/>
          </w:tcPr>
          <w:p w14:paraId="61465267"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-76</w:t>
            </w:r>
          </w:p>
        </w:tc>
        <w:tc>
          <w:tcPr>
            <w:tcW w:w="1035" w:type="dxa"/>
            <w:tcBorders>
              <w:top w:val="nil"/>
              <w:left w:val="nil"/>
              <w:bottom w:val="single" w:sz="4" w:space="0" w:color="auto"/>
              <w:right w:val="single" w:sz="4" w:space="0" w:color="auto"/>
            </w:tcBorders>
            <w:shd w:val="clear" w:color="auto" w:fill="auto"/>
            <w:noWrap/>
            <w:vAlign w:val="bottom"/>
            <w:hideMark/>
          </w:tcPr>
          <w:p w14:paraId="61D412A8"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1,1</w:t>
            </w:r>
          </w:p>
        </w:tc>
      </w:tr>
      <w:tr w:rsidR="001C763A" w:rsidRPr="008A1421" w14:paraId="49D28874" w14:textId="77777777" w:rsidTr="004440BD">
        <w:trPr>
          <w:trHeight w:val="325"/>
        </w:trPr>
        <w:tc>
          <w:tcPr>
            <w:tcW w:w="4952" w:type="dxa"/>
            <w:tcBorders>
              <w:top w:val="nil"/>
              <w:left w:val="single" w:sz="4" w:space="0" w:color="auto"/>
              <w:bottom w:val="single" w:sz="4" w:space="0" w:color="auto"/>
              <w:right w:val="single" w:sz="4" w:space="0" w:color="auto"/>
            </w:tcBorders>
            <w:shd w:val="clear" w:color="auto" w:fill="auto"/>
            <w:noWrap/>
            <w:vAlign w:val="bottom"/>
            <w:hideMark/>
          </w:tcPr>
          <w:p w14:paraId="6D9A1691" w14:textId="77777777" w:rsidR="001C763A" w:rsidRPr="001F26BB" w:rsidRDefault="001C763A" w:rsidP="00B96B30">
            <w:pPr>
              <w:spacing w:after="0" w:line="240" w:lineRule="auto"/>
              <w:rPr>
                <w:rFonts w:eastAsia="Times New Roman" w:cs="Times New Roman"/>
                <w:color w:val="000000"/>
                <w:lang w:eastAsia="tr-TR"/>
              </w:rPr>
            </w:pPr>
            <w:r w:rsidRPr="001F26BB">
              <w:rPr>
                <w:rFonts w:eastAsia="Times New Roman" w:cs="Times New Roman"/>
                <w:color w:val="000000"/>
                <w:lang w:eastAsia="tr-TR"/>
              </w:rPr>
              <w:t>TR83 (Samsun, Tokat, Çorum, Amasya)</w:t>
            </w:r>
          </w:p>
        </w:tc>
        <w:tc>
          <w:tcPr>
            <w:tcW w:w="1261" w:type="dxa"/>
            <w:tcBorders>
              <w:top w:val="nil"/>
              <w:left w:val="nil"/>
              <w:bottom w:val="single" w:sz="4" w:space="0" w:color="auto"/>
              <w:right w:val="single" w:sz="4" w:space="0" w:color="auto"/>
            </w:tcBorders>
            <w:shd w:val="clear" w:color="auto" w:fill="auto"/>
            <w:noWrap/>
            <w:vAlign w:val="bottom"/>
            <w:hideMark/>
          </w:tcPr>
          <w:p w14:paraId="4B60AA44"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56</w:t>
            </w:r>
          </w:p>
        </w:tc>
        <w:tc>
          <w:tcPr>
            <w:tcW w:w="1183" w:type="dxa"/>
            <w:tcBorders>
              <w:top w:val="nil"/>
              <w:left w:val="nil"/>
              <w:bottom w:val="single" w:sz="4" w:space="0" w:color="auto"/>
              <w:right w:val="single" w:sz="4" w:space="0" w:color="auto"/>
            </w:tcBorders>
            <w:shd w:val="clear" w:color="auto" w:fill="auto"/>
            <w:noWrap/>
            <w:vAlign w:val="bottom"/>
            <w:hideMark/>
          </w:tcPr>
          <w:p w14:paraId="5670DAA1"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37</w:t>
            </w:r>
          </w:p>
        </w:tc>
        <w:tc>
          <w:tcPr>
            <w:tcW w:w="1035" w:type="dxa"/>
            <w:tcBorders>
              <w:top w:val="nil"/>
              <w:left w:val="nil"/>
              <w:bottom w:val="single" w:sz="4" w:space="0" w:color="auto"/>
              <w:right w:val="single" w:sz="4" w:space="0" w:color="auto"/>
            </w:tcBorders>
            <w:shd w:val="clear" w:color="auto" w:fill="auto"/>
            <w:noWrap/>
            <w:vAlign w:val="bottom"/>
            <w:hideMark/>
          </w:tcPr>
          <w:p w14:paraId="428029DB"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1,7</w:t>
            </w:r>
          </w:p>
        </w:tc>
      </w:tr>
      <w:tr w:rsidR="001C763A" w:rsidRPr="008A1421" w14:paraId="6852D759" w14:textId="77777777" w:rsidTr="004440BD">
        <w:trPr>
          <w:trHeight w:val="325"/>
        </w:trPr>
        <w:tc>
          <w:tcPr>
            <w:tcW w:w="4952" w:type="dxa"/>
            <w:tcBorders>
              <w:top w:val="nil"/>
              <w:left w:val="single" w:sz="4" w:space="0" w:color="auto"/>
              <w:bottom w:val="single" w:sz="4" w:space="0" w:color="auto"/>
              <w:right w:val="single" w:sz="4" w:space="0" w:color="auto"/>
            </w:tcBorders>
            <w:shd w:val="clear" w:color="auto" w:fill="auto"/>
            <w:noWrap/>
            <w:vAlign w:val="bottom"/>
            <w:hideMark/>
          </w:tcPr>
          <w:p w14:paraId="2CC9B870" w14:textId="77777777" w:rsidR="001C763A" w:rsidRPr="001F26BB" w:rsidRDefault="001C763A" w:rsidP="00B96B30">
            <w:pPr>
              <w:spacing w:after="0" w:line="240" w:lineRule="auto"/>
              <w:rPr>
                <w:rFonts w:eastAsia="Times New Roman" w:cs="Times New Roman"/>
                <w:color w:val="000000"/>
                <w:lang w:eastAsia="tr-TR"/>
              </w:rPr>
            </w:pPr>
            <w:r w:rsidRPr="001F26BB">
              <w:rPr>
                <w:rFonts w:eastAsia="Times New Roman" w:cs="Times New Roman"/>
                <w:color w:val="000000"/>
                <w:lang w:eastAsia="tr-TR"/>
              </w:rPr>
              <w:t>TR21 (Tekirdağ, Edirne, Kırklareli)</w:t>
            </w:r>
          </w:p>
        </w:tc>
        <w:tc>
          <w:tcPr>
            <w:tcW w:w="1261" w:type="dxa"/>
            <w:tcBorders>
              <w:top w:val="nil"/>
              <w:left w:val="nil"/>
              <w:bottom w:val="single" w:sz="4" w:space="0" w:color="auto"/>
              <w:right w:val="single" w:sz="4" w:space="0" w:color="auto"/>
            </w:tcBorders>
            <w:shd w:val="clear" w:color="auto" w:fill="auto"/>
            <w:noWrap/>
            <w:vAlign w:val="bottom"/>
            <w:hideMark/>
          </w:tcPr>
          <w:p w14:paraId="51B5628C"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30</w:t>
            </w:r>
          </w:p>
        </w:tc>
        <w:tc>
          <w:tcPr>
            <w:tcW w:w="1183" w:type="dxa"/>
            <w:tcBorders>
              <w:top w:val="nil"/>
              <w:left w:val="nil"/>
              <w:bottom w:val="single" w:sz="4" w:space="0" w:color="auto"/>
              <w:right w:val="single" w:sz="4" w:space="0" w:color="auto"/>
            </w:tcBorders>
            <w:shd w:val="clear" w:color="auto" w:fill="auto"/>
            <w:noWrap/>
            <w:vAlign w:val="bottom"/>
            <w:hideMark/>
          </w:tcPr>
          <w:p w14:paraId="3692881A"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12</w:t>
            </w:r>
          </w:p>
        </w:tc>
        <w:tc>
          <w:tcPr>
            <w:tcW w:w="1035" w:type="dxa"/>
            <w:tcBorders>
              <w:top w:val="nil"/>
              <w:left w:val="nil"/>
              <w:bottom w:val="single" w:sz="4" w:space="0" w:color="auto"/>
              <w:right w:val="single" w:sz="4" w:space="0" w:color="auto"/>
            </w:tcBorders>
            <w:shd w:val="clear" w:color="auto" w:fill="auto"/>
            <w:noWrap/>
            <w:vAlign w:val="bottom"/>
            <w:hideMark/>
          </w:tcPr>
          <w:p w14:paraId="2E7C0EDC"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2,1</w:t>
            </w:r>
          </w:p>
        </w:tc>
      </w:tr>
      <w:tr w:rsidR="001C763A" w:rsidRPr="008A1421" w14:paraId="6E5E7C05" w14:textId="77777777" w:rsidTr="004440BD">
        <w:trPr>
          <w:trHeight w:val="325"/>
        </w:trPr>
        <w:tc>
          <w:tcPr>
            <w:tcW w:w="4952" w:type="dxa"/>
            <w:tcBorders>
              <w:top w:val="nil"/>
              <w:left w:val="single" w:sz="4" w:space="0" w:color="auto"/>
              <w:bottom w:val="single" w:sz="4" w:space="0" w:color="auto"/>
              <w:right w:val="single" w:sz="4" w:space="0" w:color="auto"/>
            </w:tcBorders>
            <w:shd w:val="clear" w:color="auto" w:fill="auto"/>
            <w:noWrap/>
            <w:vAlign w:val="bottom"/>
            <w:hideMark/>
          </w:tcPr>
          <w:p w14:paraId="4D1C71D5" w14:textId="77777777" w:rsidR="001C763A" w:rsidRPr="001F26BB" w:rsidRDefault="001C763A" w:rsidP="00B96B30">
            <w:pPr>
              <w:spacing w:after="0" w:line="240" w:lineRule="auto"/>
              <w:rPr>
                <w:rFonts w:eastAsia="Times New Roman" w:cs="Times New Roman"/>
                <w:color w:val="000000"/>
                <w:lang w:eastAsia="tr-TR"/>
              </w:rPr>
            </w:pPr>
            <w:r w:rsidRPr="001F26BB">
              <w:rPr>
                <w:rFonts w:eastAsia="Times New Roman" w:cs="Times New Roman"/>
                <w:color w:val="000000"/>
                <w:lang w:eastAsia="tr-TR"/>
              </w:rPr>
              <w:t>TRB1 (Malatya, Elazığ, Bingöl, Tunceli)</w:t>
            </w:r>
          </w:p>
        </w:tc>
        <w:tc>
          <w:tcPr>
            <w:tcW w:w="1261" w:type="dxa"/>
            <w:tcBorders>
              <w:top w:val="nil"/>
              <w:left w:val="nil"/>
              <w:bottom w:val="single" w:sz="4" w:space="0" w:color="auto"/>
              <w:right w:val="single" w:sz="4" w:space="0" w:color="auto"/>
            </w:tcBorders>
            <w:shd w:val="clear" w:color="auto" w:fill="auto"/>
            <w:noWrap/>
            <w:vAlign w:val="bottom"/>
            <w:hideMark/>
          </w:tcPr>
          <w:p w14:paraId="5747E5EC"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22</w:t>
            </w:r>
          </w:p>
        </w:tc>
        <w:tc>
          <w:tcPr>
            <w:tcW w:w="1183" w:type="dxa"/>
            <w:tcBorders>
              <w:top w:val="nil"/>
              <w:left w:val="nil"/>
              <w:bottom w:val="single" w:sz="4" w:space="0" w:color="auto"/>
              <w:right w:val="single" w:sz="4" w:space="0" w:color="auto"/>
            </w:tcBorders>
            <w:shd w:val="clear" w:color="auto" w:fill="auto"/>
            <w:noWrap/>
            <w:vAlign w:val="bottom"/>
            <w:hideMark/>
          </w:tcPr>
          <w:p w14:paraId="7C4C7E00"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9</w:t>
            </w:r>
          </w:p>
        </w:tc>
        <w:tc>
          <w:tcPr>
            <w:tcW w:w="1035" w:type="dxa"/>
            <w:tcBorders>
              <w:top w:val="nil"/>
              <w:left w:val="nil"/>
              <w:bottom w:val="single" w:sz="4" w:space="0" w:color="auto"/>
              <w:right w:val="single" w:sz="4" w:space="0" w:color="auto"/>
            </w:tcBorders>
            <w:shd w:val="clear" w:color="auto" w:fill="auto"/>
            <w:noWrap/>
            <w:vAlign w:val="bottom"/>
            <w:hideMark/>
          </w:tcPr>
          <w:p w14:paraId="1D8ABC17"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2,2</w:t>
            </w:r>
          </w:p>
        </w:tc>
      </w:tr>
      <w:tr w:rsidR="001C763A" w:rsidRPr="008A1421" w14:paraId="507D4E79" w14:textId="77777777" w:rsidTr="004440BD">
        <w:trPr>
          <w:trHeight w:val="325"/>
        </w:trPr>
        <w:tc>
          <w:tcPr>
            <w:tcW w:w="4952" w:type="dxa"/>
            <w:tcBorders>
              <w:top w:val="nil"/>
              <w:left w:val="single" w:sz="4" w:space="0" w:color="auto"/>
              <w:bottom w:val="single" w:sz="4" w:space="0" w:color="auto"/>
              <w:right w:val="single" w:sz="4" w:space="0" w:color="auto"/>
            </w:tcBorders>
            <w:shd w:val="clear" w:color="auto" w:fill="auto"/>
            <w:noWrap/>
            <w:vAlign w:val="bottom"/>
            <w:hideMark/>
          </w:tcPr>
          <w:p w14:paraId="39C8B877" w14:textId="77777777" w:rsidR="001C763A" w:rsidRPr="001F26BB" w:rsidRDefault="001C763A" w:rsidP="00B96B30">
            <w:pPr>
              <w:spacing w:after="0" w:line="240" w:lineRule="auto"/>
              <w:rPr>
                <w:rFonts w:eastAsia="Times New Roman" w:cs="Times New Roman"/>
                <w:color w:val="000000"/>
                <w:lang w:eastAsia="tr-TR"/>
              </w:rPr>
            </w:pPr>
            <w:r w:rsidRPr="001F26BB">
              <w:rPr>
                <w:rFonts w:eastAsia="Times New Roman" w:cs="Times New Roman"/>
                <w:color w:val="000000"/>
                <w:lang w:eastAsia="tr-TR"/>
              </w:rPr>
              <w:t>TR62 (Adana, Mersin)</w:t>
            </w:r>
          </w:p>
        </w:tc>
        <w:tc>
          <w:tcPr>
            <w:tcW w:w="1261" w:type="dxa"/>
            <w:tcBorders>
              <w:top w:val="nil"/>
              <w:left w:val="nil"/>
              <w:bottom w:val="single" w:sz="4" w:space="0" w:color="auto"/>
              <w:right w:val="single" w:sz="4" w:space="0" w:color="auto"/>
            </w:tcBorders>
            <w:shd w:val="clear" w:color="auto" w:fill="auto"/>
            <w:noWrap/>
            <w:vAlign w:val="bottom"/>
            <w:hideMark/>
          </w:tcPr>
          <w:p w14:paraId="64596F3E"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80</w:t>
            </w:r>
          </w:p>
        </w:tc>
        <w:tc>
          <w:tcPr>
            <w:tcW w:w="1183" w:type="dxa"/>
            <w:tcBorders>
              <w:top w:val="nil"/>
              <w:left w:val="nil"/>
              <w:bottom w:val="single" w:sz="4" w:space="0" w:color="auto"/>
              <w:right w:val="single" w:sz="4" w:space="0" w:color="auto"/>
            </w:tcBorders>
            <w:shd w:val="clear" w:color="auto" w:fill="auto"/>
            <w:noWrap/>
            <w:vAlign w:val="bottom"/>
            <w:hideMark/>
          </w:tcPr>
          <w:p w14:paraId="560D7856"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40</w:t>
            </w:r>
          </w:p>
        </w:tc>
        <w:tc>
          <w:tcPr>
            <w:tcW w:w="1035" w:type="dxa"/>
            <w:tcBorders>
              <w:top w:val="nil"/>
              <w:left w:val="nil"/>
              <w:bottom w:val="single" w:sz="4" w:space="0" w:color="auto"/>
              <w:right w:val="single" w:sz="4" w:space="0" w:color="auto"/>
            </w:tcBorders>
            <w:shd w:val="clear" w:color="auto" w:fill="auto"/>
            <w:noWrap/>
            <w:vAlign w:val="bottom"/>
            <w:hideMark/>
          </w:tcPr>
          <w:p w14:paraId="5DCE5AC6"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2,2</w:t>
            </w:r>
          </w:p>
        </w:tc>
      </w:tr>
      <w:tr w:rsidR="001C763A" w:rsidRPr="008A1421" w14:paraId="742F52E7" w14:textId="77777777" w:rsidTr="004440BD">
        <w:trPr>
          <w:trHeight w:val="325"/>
        </w:trPr>
        <w:tc>
          <w:tcPr>
            <w:tcW w:w="4952" w:type="dxa"/>
            <w:tcBorders>
              <w:top w:val="nil"/>
              <w:left w:val="single" w:sz="4" w:space="0" w:color="auto"/>
              <w:bottom w:val="single" w:sz="4" w:space="0" w:color="auto"/>
              <w:right w:val="single" w:sz="4" w:space="0" w:color="auto"/>
            </w:tcBorders>
            <w:shd w:val="clear" w:color="auto" w:fill="auto"/>
            <w:noWrap/>
            <w:vAlign w:val="bottom"/>
            <w:hideMark/>
          </w:tcPr>
          <w:p w14:paraId="72384B0D" w14:textId="77777777" w:rsidR="001C763A" w:rsidRPr="001F26BB" w:rsidRDefault="001C763A" w:rsidP="00B96B30">
            <w:pPr>
              <w:spacing w:after="0" w:line="240" w:lineRule="auto"/>
              <w:rPr>
                <w:rFonts w:eastAsia="Times New Roman" w:cs="Times New Roman"/>
                <w:color w:val="000000"/>
                <w:lang w:eastAsia="tr-TR"/>
              </w:rPr>
            </w:pPr>
            <w:r w:rsidRPr="001F26BB">
              <w:rPr>
                <w:rFonts w:eastAsia="Times New Roman" w:cs="Times New Roman"/>
                <w:color w:val="000000"/>
                <w:lang w:eastAsia="tr-TR"/>
              </w:rPr>
              <w:t>TR22 (Balıkesir, Çanakkale)</w:t>
            </w:r>
          </w:p>
        </w:tc>
        <w:tc>
          <w:tcPr>
            <w:tcW w:w="1261" w:type="dxa"/>
            <w:tcBorders>
              <w:top w:val="nil"/>
              <w:left w:val="nil"/>
              <w:bottom w:val="single" w:sz="4" w:space="0" w:color="auto"/>
              <w:right w:val="single" w:sz="4" w:space="0" w:color="auto"/>
            </w:tcBorders>
            <w:shd w:val="clear" w:color="auto" w:fill="auto"/>
            <w:noWrap/>
            <w:vAlign w:val="bottom"/>
            <w:hideMark/>
          </w:tcPr>
          <w:p w14:paraId="74A41C6B"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62</w:t>
            </w:r>
          </w:p>
        </w:tc>
        <w:tc>
          <w:tcPr>
            <w:tcW w:w="1183" w:type="dxa"/>
            <w:tcBorders>
              <w:top w:val="nil"/>
              <w:left w:val="nil"/>
              <w:bottom w:val="single" w:sz="4" w:space="0" w:color="auto"/>
              <w:right w:val="single" w:sz="4" w:space="0" w:color="auto"/>
            </w:tcBorders>
            <w:shd w:val="clear" w:color="auto" w:fill="auto"/>
            <w:noWrap/>
            <w:vAlign w:val="bottom"/>
            <w:hideMark/>
          </w:tcPr>
          <w:p w14:paraId="56E327E3"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44</w:t>
            </w:r>
          </w:p>
        </w:tc>
        <w:tc>
          <w:tcPr>
            <w:tcW w:w="1035" w:type="dxa"/>
            <w:tcBorders>
              <w:top w:val="nil"/>
              <w:left w:val="nil"/>
              <w:bottom w:val="single" w:sz="4" w:space="0" w:color="auto"/>
              <w:right w:val="single" w:sz="4" w:space="0" w:color="auto"/>
            </w:tcBorders>
            <w:shd w:val="clear" w:color="auto" w:fill="auto"/>
            <w:noWrap/>
            <w:vAlign w:val="bottom"/>
            <w:hideMark/>
          </w:tcPr>
          <w:p w14:paraId="637E0269"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2,3</w:t>
            </w:r>
          </w:p>
        </w:tc>
      </w:tr>
      <w:tr w:rsidR="001C763A" w:rsidRPr="008A1421" w14:paraId="100E92DC" w14:textId="77777777" w:rsidTr="004440BD">
        <w:trPr>
          <w:trHeight w:val="325"/>
        </w:trPr>
        <w:tc>
          <w:tcPr>
            <w:tcW w:w="4952" w:type="dxa"/>
            <w:tcBorders>
              <w:top w:val="nil"/>
              <w:left w:val="single" w:sz="4" w:space="0" w:color="auto"/>
              <w:bottom w:val="single" w:sz="4" w:space="0" w:color="auto"/>
              <w:right w:val="single" w:sz="4" w:space="0" w:color="auto"/>
            </w:tcBorders>
            <w:shd w:val="clear" w:color="auto" w:fill="auto"/>
            <w:noWrap/>
            <w:vAlign w:val="bottom"/>
            <w:hideMark/>
          </w:tcPr>
          <w:p w14:paraId="568C632D" w14:textId="77777777" w:rsidR="001C763A" w:rsidRPr="001F26BB" w:rsidRDefault="001C763A" w:rsidP="00B96B30">
            <w:pPr>
              <w:spacing w:after="0" w:line="240" w:lineRule="auto"/>
              <w:rPr>
                <w:rFonts w:eastAsia="Times New Roman" w:cs="Times New Roman"/>
                <w:color w:val="000000"/>
                <w:lang w:eastAsia="tr-TR"/>
              </w:rPr>
            </w:pPr>
            <w:r w:rsidRPr="001F26BB">
              <w:rPr>
                <w:rFonts w:eastAsia="Times New Roman" w:cs="Times New Roman"/>
                <w:color w:val="000000"/>
                <w:lang w:eastAsia="tr-TR"/>
              </w:rPr>
              <w:t>TR81 (Zonguldak, Karabük, Bartın)</w:t>
            </w:r>
          </w:p>
        </w:tc>
        <w:tc>
          <w:tcPr>
            <w:tcW w:w="1261" w:type="dxa"/>
            <w:tcBorders>
              <w:top w:val="nil"/>
              <w:left w:val="nil"/>
              <w:bottom w:val="single" w:sz="4" w:space="0" w:color="auto"/>
              <w:right w:val="single" w:sz="4" w:space="0" w:color="auto"/>
            </w:tcBorders>
            <w:shd w:val="clear" w:color="auto" w:fill="auto"/>
            <w:noWrap/>
            <w:vAlign w:val="bottom"/>
            <w:hideMark/>
          </w:tcPr>
          <w:p w14:paraId="62C5878B"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29</w:t>
            </w:r>
          </w:p>
        </w:tc>
        <w:tc>
          <w:tcPr>
            <w:tcW w:w="1183" w:type="dxa"/>
            <w:tcBorders>
              <w:top w:val="nil"/>
              <w:left w:val="nil"/>
              <w:bottom w:val="single" w:sz="4" w:space="0" w:color="auto"/>
              <w:right w:val="single" w:sz="4" w:space="0" w:color="auto"/>
            </w:tcBorders>
            <w:shd w:val="clear" w:color="auto" w:fill="auto"/>
            <w:noWrap/>
            <w:vAlign w:val="bottom"/>
            <w:hideMark/>
          </w:tcPr>
          <w:p w14:paraId="4EEDC34D"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18</w:t>
            </w:r>
          </w:p>
        </w:tc>
        <w:tc>
          <w:tcPr>
            <w:tcW w:w="1035" w:type="dxa"/>
            <w:tcBorders>
              <w:top w:val="nil"/>
              <w:left w:val="nil"/>
              <w:bottom w:val="single" w:sz="4" w:space="0" w:color="auto"/>
              <w:right w:val="single" w:sz="4" w:space="0" w:color="auto"/>
            </w:tcBorders>
            <w:shd w:val="clear" w:color="auto" w:fill="auto"/>
            <w:noWrap/>
            <w:vAlign w:val="bottom"/>
            <w:hideMark/>
          </w:tcPr>
          <w:p w14:paraId="126A38B7"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2,4</w:t>
            </w:r>
          </w:p>
        </w:tc>
      </w:tr>
      <w:tr w:rsidR="001C763A" w:rsidRPr="008A1421" w14:paraId="1FC6C23C" w14:textId="77777777" w:rsidTr="004440BD">
        <w:trPr>
          <w:trHeight w:val="325"/>
        </w:trPr>
        <w:tc>
          <w:tcPr>
            <w:tcW w:w="4952" w:type="dxa"/>
            <w:tcBorders>
              <w:top w:val="nil"/>
              <w:left w:val="single" w:sz="4" w:space="0" w:color="auto"/>
              <w:bottom w:val="single" w:sz="4" w:space="0" w:color="auto"/>
              <w:right w:val="single" w:sz="4" w:space="0" w:color="auto"/>
            </w:tcBorders>
            <w:shd w:val="clear" w:color="auto" w:fill="auto"/>
            <w:noWrap/>
            <w:vAlign w:val="bottom"/>
            <w:hideMark/>
          </w:tcPr>
          <w:p w14:paraId="1A24B540" w14:textId="77777777" w:rsidR="001C763A" w:rsidRPr="001F26BB" w:rsidRDefault="001C763A" w:rsidP="00B96B30">
            <w:pPr>
              <w:spacing w:after="0" w:line="240" w:lineRule="auto"/>
              <w:rPr>
                <w:rFonts w:eastAsia="Times New Roman" w:cs="Times New Roman"/>
                <w:color w:val="000000"/>
                <w:lang w:eastAsia="tr-TR"/>
              </w:rPr>
            </w:pPr>
            <w:r w:rsidRPr="001F26BB">
              <w:rPr>
                <w:rFonts w:eastAsia="Times New Roman" w:cs="Times New Roman"/>
                <w:color w:val="000000"/>
                <w:lang w:eastAsia="tr-TR"/>
              </w:rPr>
              <w:t>TR63 (Hatay, Kahramanmaraş, Osmaniye)</w:t>
            </w:r>
          </w:p>
        </w:tc>
        <w:tc>
          <w:tcPr>
            <w:tcW w:w="1261" w:type="dxa"/>
            <w:tcBorders>
              <w:top w:val="nil"/>
              <w:left w:val="nil"/>
              <w:bottom w:val="single" w:sz="4" w:space="0" w:color="auto"/>
              <w:right w:val="single" w:sz="4" w:space="0" w:color="auto"/>
            </w:tcBorders>
            <w:shd w:val="clear" w:color="auto" w:fill="auto"/>
            <w:noWrap/>
            <w:vAlign w:val="bottom"/>
            <w:hideMark/>
          </w:tcPr>
          <w:p w14:paraId="0D4A1BFD"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78</w:t>
            </w:r>
          </w:p>
        </w:tc>
        <w:tc>
          <w:tcPr>
            <w:tcW w:w="1183" w:type="dxa"/>
            <w:tcBorders>
              <w:top w:val="nil"/>
              <w:left w:val="nil"/>
              <w:bottom w:val="single" w:sz="4" w:space="0" w:color="auto"/>
              <w:right w:val="single" w:sz="4" w:space="0" w:color="auto"/>
            </w:tcBorders>
            <w:shd w:val="clear" w:color="auto" w:fill="auto"/>
            <w:noWrap/>
            <w:vAlign w:val="bottom"/>
            <w:hideMark/>
          </w:tcPr>
          <w:p w14:paraId="6F20742D"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39</w:t>
            </w:r>
          </w:p>
        </w:tc>
        <w:tc>
          <w:tcPr>
            <w:tcW w:w="1035" w:type="dxa"/>
            <w:tcBorders>
              <w:top w:val="nil"/>
              <w:left w:val="nil"/>
              <w:bottom w:val="single" w:sz="4" w:space="0" w:color="auto"/>
              <w:right w:val="single" w:sz="4" w:space="0" w:color="auto"/>
            </w:tcBorders>
            <w:shd w:val="clear" w:color="auto" w:fill="auto"/>
            <w:noWrap/>
            <w:vAlign w:val="bottom"/>
            <w:hideMark/>
          </w:tcPr>
          <w:p w14:paraId="4B15D630"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2,6</w:t>
            </w:r>
          </w:p>
        </w:tc>
      </w:tr>
      <w:tr w:rsidR="001C763A" w:rsidRPr="008A1421" w14:paraId="03E9DE89" w14:textId="77777777" w:rsidTr="004440BD">
        <w:trPr>
          <w:trHeight w:val="325"/>
        </w:trPr>
        <w:tc>
          <w:tcPr>
            <w:tcW w:w="4952" w:type="dxa"/>
            <w:tcBorders>
              <w:top w:val="nil"/>
              <w:left w:val="single" w:sz="4" w:space="0" w:color="auto"/>
              <w:bottom w:val="single" w:sz="4" w:space="0" w:color="auto"/>
              <w:right w:val="single" w:sz="4" w:space="0" w:color="auto"/>
            </w:tcBorders>
            <w:shd w:val="clear" w:color="auto" w:fill="auto"/>
            <w:noWrap/>
            <w:vAlign w:val="bottom"/>
            <w:hideMark/>
          </w:tcPr>
          <w:p w14:paraId="271646A0" w14:textId="77777777" w:rsidR="001C763A" w:rsidRPr="001F26BB" w:rsidRDefault="001C763A" w:rsidP="00B96B30">
            <w:pPr>
              <w:spacing w:after="0" w:line="240" w:lineRule="auto"/>
              <w:rPr>
                <w:rFonts w:eastAsia="Times New Roman" w:cs="Times New Roman"/>
                <w:color w:val="000000"/>
                <w:lang w:eastAsia="tr-TR"/>
              </w:rPr>
            </w:pPr>
            <w:r w:rsidRPr="001F26BB">
              <w:rPr>
                <w:rFonts w:eastAsia="Times New Roman" w:cs="Times New Roman"/>
                <w:color w:val="000000"/>
                <w:lang w:eastAsia="tr-TR"/>
              </w:rPr>
              <w:t>TR52 (Konya, Karaman)</w:t>
            </w:r>
          </w:p>
        </w:tc>
        <w:tc>
          <w:tcPr>
            <w:tcW w:w="1261" w:type="dxa"/>
            <w:tcBorders>
              <w:top w:val="nil"/>
              <w:left w:val="nil"/>
              <w:bottom w:val="single" w:sz="4" w:space="0" w:color="auto"/>
              <w:right w:val="single" w:sz="4" w:space="0" w:color="auto"/>
            </w:tcBorders>
            <w:shd w:val="clear" w:color="auto" w:fill="auto"/>
            <w:noWrap/>
            <w:vAlign w:val="bottom"/>
            <w:hideMark/>
          </w:tcPr>
          <w:p w14:paraId="1CA01EE6"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31</w:t>
            </w:r>
          </w:p>
        </w:tc>
        <w:tc>
          <w:tcPr>
            <w:tcW w:w="1183" w:type="dxa"/>
            <w:tcBorders>
              <w:top w:val="nil"/>
              <w:left w:val="nil"/>
              <w:bottom w:val="single" w:sz="4" w:space="0" w:color="auto"/>
              <w:right w:val="single" w:sz="4" w:space="0" w:color="auto"/>
            </w:tcBorders>
            <w:shd w:val="clear" w:color="auto" w:fill="auto"/>
            <w:noWrap/>
            <w:vAlign w:val="bottom"/>
            <w:hideMark/>
          </w:tcPr>
          <w:p w14:paraId="45CE2EED"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10</w:t>
            </w:r>
          </w:p>
        </w:tc>
        <w:tc>
          <w:tcPr>
            <w:tcW w:w="1035" w:type="dxa"/>
            <w:tcBorders>
              <w:top w:val="nil"/>
              <w:left w:val="nil"/>
              <w:bottom w:val="single" w:sz="4" w:space="0" w:color="auto"/>
              <w:right w:val="single" w:sz="4" w:space="0" w:color="auto"/>
            </w:tcBorders>
            <w:shd w:val="clear" w:color="auto" w:fill="auto"/>
            <w:noWrap/>
            <w:vAlign w:val="bottom"/>
            <w:hideMark/>
          </w:tcPr>
          <w:p w14:paraId="11EB1DFB"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2,6</w:t>
            </w:r>
          </w:p>
        </w:tc>
      </w:tr>
      <w:tr w:rsidR="001C763A" w:rsidRPr="008A1421" w14:paraId="74878F61" w14:textId="77777777" w:rsidTr="004440BD">
        <w:trPr>
          <w:trHeight w:val="325"/>
        </w:trPr>
        <w:tc>
          <w:tcPr>
            <w:tcW w:w="4952" w:type="dxa"/>
            <w:tcBorders>
              <w:top w:val="nil"/>
              <w:left w:val="single" w:sz="4" w:space="0" w:color="auto"/>
              <w:bottom w:val="single" w:sz="4" w:space="0" w:color="auto"/>
              <w:right w:val="single" w:sz="4" w:space="0" w:color="auto"/>
            </w:tcBorders>
            <w:shd w:val="clear" w:color="auto" w:fill="auto"/>
            <w:noWrap/>
            <w:vAlign w:val="bottom"/>
            <w:hideMark/>
          </w:tcPr>
          <w:p w14:paraId="3E0AD1A9" w14:textId="77777777" w:rsidR="001C763A" w:rsidRPr="001F26BB" w:rsidRDefault="001C763A" w:rsidP="00B96B30">
            <w:pPr>
              <w:spacing w:after="0" w:line="240" w:lineRule="auto"/>
              <w:rPr>
                <w:rFonts w:eastAsia="Times New Roman" w:cs="Times New Roman"/>
                <w:color w:val="000000"/>
                <w:lang w:eastAsia="tr-TR"/>
              </w:rPr>
            </w:pPr>
            <w:r w:rsidRPr="001F26BB">
              <w:rPr>
                <w:rFonts w:eastAsia="Times New Roman" w:cs="Times New Roman"/>
                <w:color w:val="000000"/>
                <w:lang w:eastAsia="tr-TR"/>
              </w:rPr>
              <w:t>TR71 (Kırıkkale, Aksaray, Niğde, Nevşehir, Kırşehir)</w:t>
            </w:r>
          </w:p>
        </w:tc>
        <w:tc>
          <w:tcPr>
            <w:tcW w:w="1261" w:type="dxa"/>
            <w:tcBorders>
              <w:top w:val="nil"/>
              <w:left w:val="nil"/>
              <w:bottom w:val="single" w:sz="4" w:space="0" w:color="auto"/>
              <w:right w:val="single" w:sz="4" w:space="0" w:color="auto"/>
            </w:tcBorders>
            <w:shd w:val="clear" w:color="auto" w:fill="auto"/>
            <w:noWrap/>
            <w:vAlign w:val="bottom"/>
            <w:hideMark/>
          </w:tcPr>
          <w:p w14:paraId="401A1A75"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4</w:t>
            </w:r>
          </w:p>
        </w:tc>
        <w:tc>
          <w:tcPr>
            <w:tcW w:w="1183" w:type="dxa"/>
            <w:tcBorders>
              <w:top w:val="nil"/>
              <w:left w:val="nil"/>
              <w:bottom w:val="single" w:sz="4" w:space="0" w:color="auto"/>
              <w:right w:val="single" w:sz="4" w:space="0" w:color="auto"/>
            </w:tcBorders>
            <w:shd w:val="clear" w:color="auto" w:fill="auto"/>
            <w:noWrap/>
            <w:vAlign w:val="bottom"/>
            <w:hideMark/>
          </w:tcPr>
          <w:p w14:paraId="4475E115"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-9</w:t>
            </w:r>
          </w:p>
        </w:tc>
        <w:tc>
          <w:tcPr>
            <w:tcW w:w="1035" w:type="dxa"/>
            <w:tcBorders>
              <w:top w:val="nil"/>
              <w:left w:val="nil"/>
              <w:bottom w:val="single" w:sz="4" w:space="0" w:color="auto"/>
              <w:right w:val="single" w:sz="4" w:space="0" w:color="auto"/>
            </w:tcBorders>
            <w:shd w:val="clear" w:color="auto" w:fill="auto"/>
            <w:noWrap/>
            <w:vAlign w:val="bottom"/>
            <w:hideMark/>
          </w:tcPr>
          <w:p w14:paraId="7948AFA7"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2,7</w:t>
            </w:r>
          </w:p>
        </w:tc>
      </w:tr>
      <w:tr w:rsidR="001C763A" w:rsidRPr="008A1421" w14:paraId="7A77BD32" w14:textId="77777777" w:rsidTr="004440BD">
        <w:trPr>
          <w:trHeight w:val="325"/>
        </w:trPr>
        <w:tc>
          <w:tcPr>
            <w:tcW w:w="4952" w:type="dxa"/>
            <w:tcBorders>
              <w:top w:val="nil"/>
              <w:left w:val="single" w:sz="4" w:space="0" w:color="auto"/>
              <w:bottom w:val="single" w:sz="4" w:space="0" w:color="auto"/>
              <w:right w:val="single" w:sz="4" w:space="0" w:color="auto"/>
            </w:tcBorders>
            <w:shd w:val="clear" w:color="auto" w:fill="auto"/>
            <w:noWrap/>
            <w:vAlign w:val="bottom"/>
            <w:hideMark/>
          </w:tcPr>
          <w:p w14:paraId="0F9463DE" w14:textId="77777777" w:rsidR="001C763A" w:rsidRPr="001F26BB" w:rsidRDefault="001C763A" w:rsidP="00B96B30">
            <w:pPr>
              <w:spacing w:after="0" w:line="240" w:lineRule="auto"/>
              <w:rPr>
                <w:rFonts w:eastAsia="Times New Roman" w:cs="Times New Roman"/>
                <w:color w:val="000000"/>
                <w:lang w:eastAsia="tr-TR"/>
              </w:rPr>
            </w:pPr>
            <w:r w:rsidRPr="001F26BB">
              <w:rPr>
                <w:rFonts w:eastAsia="Times New Roman" w:cs="Times New Roman"/>
                <w:color w:val="000000"/>
                <w:lang w:eastAsia="tr-TR"/>
              </w:rPr>
              <w:t>TRA1 (Erzurum, Erzincan, Bayburt)</w:t>
            </w:r>
          </w:p>
        </w:tc>
        <w:tc>
          <w:tcPr>
            <w:tcW w:w="1261" w:type="dxa"/>
            <w:tcBorders>
              <w:top w:val="nil"/>
              <w:left w:val="nil"/>
              <w:bottom w:val="single" w:sz="4" w:space="0" w:color="auto"/>
              <w:right w:val="single" w:sz="4" w:space="0" w:color="auto"/>
            </w:tcBorders>
            <w:shd w:val="clear" w:color="auto" w:fill="auto"/>
            <w:noWrap/>
            <w:vAlign w:val="bottom"/>
            <w:hideMark/>
          </w:tcPr>
          <w:p w14:paraId="4AC7F737"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17</w:t>
            </w:r>
          </w:p>
        </w:tc>
        <w:tc>
          <w:tcPr>
            <w:tcW w:w="1183" w:type="dxa"/>
            <w:tcBorders>
              <w:top w:val="nil"/>
              <w:left w:val="nil"/>
              <w:bottom w:val="single" w:sz="4" w:space="0" w:color="auto"/>
              <w:right w:val="single" w:sz="4" w:space="0" w:color="auto"/>
            </w:tcBorders>
            <w:shd w:val="clear" w:color="auto" w:fill="auto"/>
            <w:noWrap/>
            <w:vAlign w:val="bottom"/>
            <w:hideMark/>
          </w:tcPr>
          <w:p w14:paraId="7463E254"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7</w:t>
            </w:r>
          </w:p>
        </w:tc>
        <w:tc>
          <w:tcPr>
            <w:tcW w:w="1035" w:type="dxa"/>
            <w:tcBorders>
              <w:top w:val="nil"/>
              <w:left w:val="nil"/>
              <w:bottom w:val="single" w:sz="4" w:space="0" w:color="auto"/>
              <w:right w:val="single" w:sz="4" w:space="0" w:color="auto"/>
            </w:tcBorders>
            <w:shd w:val="clear" w:color="auto" w:fill="auto"/>
            <w:noWrap/>
            <w:vAlign w:val="bottom"/>
            <w:hideMark/>
          </w:tcPr>
          <w:p w14:paraId="36EE9931"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3,0</w:t>
            </w:r>
          </w:p>
        </w:tc>
      </w:tr>
      <w:tr w:rsidR="001C763A" w:rsidRPr="008A1421" w14:paraId="39425C9F" w14:textId="77777777" w:rsidTr="004440BD">
        <w:trPr>
          <w:trHeight w:val="325"/>
        </w:trPr>
        <w:tc>
          <w:tcPr>
            <w:tcW w:w="4952" w:type="dxa"/>
            <w:tcBorders>
              <w:top w:val="nil"/>
              <w:left w:val="single" w:sz="4" w:space="0" w:color="auto"/>
              <w:bottom w:val="single" w:sz="4" w:space="0" w:color="auto"/>
              <w:right w:val="single" w:sz="4" w:space="0" w:color="auto"/>
            </w:tcBorders>
            <w:shd w:val="clear" w:color="auto" w:fill="auto"/>
            <w:noWrap/>
            <w:vAlign w:val="bottom"/>
            <w:hideMark/>
          </w:tcPr>
          <w:p w14:paraId="5EA2238B" w14:textId="77777777" w:rsidR="001C763A" w:rsidRPr="001F26BB" w:rsidRDefault="001C763A" w:rsidP="00B96B30">
            <w:pPr>
              <w:spacing w:after="0" w:line="240" w:lineRule="auto"/>
              <w:rPr>
                <w:rFonts w:eastAsia="Times New Roman" w:cs="Times New Roman"/>
                <w:color w:val="000000"/>
                <w:lang w:eastAsia="tr-TR"/>
              </w:rPr>
            </w:pPr>
            <w:r w:rsidRPr="001F26BB">
              <w:rPr>
                <w:rFonts w:eastAsia="Times New Roman" w:cs="Times New Roman"/>
                <w:color w:val="000000"/>
                <w:lang w:eastAsia="tr-TR"/>
              </w:rPr>
              <w:t>TR51 (Ankara)</w:t>
            </w:r>
          </w:p>
        </w:tc>
        <w:tc>
          <w:tcPr>
            <w:tcW w:w="1261" w:type="dxa"/>
            <w:tcBorders>
              <w:top w:val="nil"/>
              <w:left w:val="nil"/>
              <w:bottom w:val="single" w:sz="4" w:space="0" w:color="auto"/>
              <w:right w:val="single" w:sz="4" w:space="0" w:color="auto"/>
            </w:tcBorders>
            <w:shd w:val="clear" w:color="auto" w:fill="auto"/>
            <w:noWrap/>
            <w:vAlign w:val="bottom"/>
            <w:hideMark/>
          </w:tcPr>
          <w:p w14:paraId="0D3A796B"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115</w:t>
            </w:r>
          </w:p>
        </w:tc>
        <w:tc>
          <w:tcPr>
            <w:tcW w:w="1183" w:type="dxa"/>
            <w:tcBorders>
              <w:top w:val="nil"/>
              <w:left w:val="nil"/>
              <w:bottom w:val="single" w:sz="4" w:space="0" w:color="auto"/>
              <w:right w:val="single" w:sz="4" w:space="0" w:color="auto"/>
            </w:tcBorders>
            <w:shd w:val="clear" w:color="auto" w:fill="auto"/>
            <w:noWrap/>
            <w:vAlign w:val="bottom"/>
            <w:hideMark/>
          </w:tcPr>
          <w:p w14:paraId="1750C342"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26</w:t>
            </w:r>
          </w:p>
        </w:tc>
        <w:tc>
          <w:tcPr>
            <w:tcW w:w="1035" w:type="dxa"/>
            <w:tcBorders>
              <w:top w:val="nil"/>
              <w:left w:val="nil"/>
              <w:bottom w:val="single" w:sz="4" w:space="0" w:color="auto"/>
              <w:right w:val="single" w:sz="4" w:space="0" w:color="auto"/>
            </w:tcBorders>
            <w:shd w:val="clear" w:color="auto" w:fill="auto"/>
            <w:noWrap/>
            <w:vAlign w:val="bottom"/>
            <w:hideMark/>
          </w:tcPr>
          <w:p w14:paraId="105F7619"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3,4</w:t>
            </w:r>
          </w:p>
        </w:tc>
      </w:tr>
      <w:tr w:rsidR="001C763A" w:rsidRPr="008A1421" w14:paraId="2B6BAFB7" w14:textId="77777777" w:rsidTr="004440BD">
        <w:trPr>
          <w:trHeight w:val="325"/>
        </w:trPr>
        <w:tc>
          <w:tcPr>
            <w:tcW w:w="4952" w:type="dxa"/>
            <w:tcBorders>
              <w:top w:val="nil"/>
              <w:left w:val="single" w:sz="4" w:space="0" w:color="auto"/>
              <w:bottom w:val="single" w:sz="4" w:space="0" w:color="auto"/>
              <w:right w:val="single" w:sz="4" w:space="0" w:color="auto"/>
            </w:tcBorders>
            <w:shd w:val="clear" w:color="auto" w:fill="auto"/>
            <w:noWrap/>
            <w:vAlign w:val="bottom"/>
            <w:hideMark/>
          </w:tcPr>
          <w:p w14:paraId="41E81ACD" w14:textId="77777777" w:rsidR="001C763A" w:rsidRPr="001F26BB" w:rsidRDefault="001C763A" w:rsidP="00B96B30">
            <w:pPr>
              <w:spacing w:after="0" w:line="240" w:lineRule="auto"/>
              <w:rPr>
                <w:rFonts w:eastAsia="Times New Roman" w:cs="Times New Roman"/>
                <w:color w:val="000000"/>
                <w:lang w:eastAsia="tr-TR"/>
              </w:rPr>
            </w:pPr>
            <w:r w:rsidRPr="001F26BB">
              <w:rPr>
                <w:rFonts w:eastAsia="Times New Roman" w:cs="Times New Roman"/>
                <w:color w:val="000000"/>
                <w:lang w:eastAsia="tr-TR"/>
              </w:rPr>
              <w:t>TR32 (Aydın, Denizli, Muğla)</w:t>
            </w:r>
          </w:p>
        </w:tc>
        <w:tc>
          <w:tcPr>
            <w:tcW w:w="1261" w:type="dxa"/>
            <w:tcBorders>
              <w:top w:val="nil"/>
              <w:left w:val="nil"/>
              <w:bottom w:val="single" w:sz="4" w:space="0" w:color="auto"/>
              <w:right w:val="single" w:sz="4" w:space="0" w:color="auto"/>
            </w:tcBorders>
            <w:shd w:val="clear" w:color="auto" w:fill="auto"/>
            <w:noWrap/>
            <w:vAlign w:val="bottom"/>
            <w:hideMark/>
          </w:tcPr>
          <w:p w14:paraId="0058F88D"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57</w:t>
            </w:r>
          </w:p>
        </w:tc>
        <w:tc>
          <w:tcPr>
            <w:tcW w:w="1183" w:type="dxa"/>
            <w:tcBorders>
              <w:top w:val="nil"/>
              <w:left w:val="nil"/>
              <w:bottom w:val="single" w:sz="4" w:space="0" w:color="auto"/>
              <w:right w:val="single" w:sz="4" w:space="0" w:color="auto"/>
            </w:tcBorders>
            <w:shd w:val="clear" w:color="auto" w:fill="auto"/>
            <w:noWrap/>
            <w:vAlign w:val="bottom"/>
            <w:hideMark/>
          </w:tcPr>
          <w:p w14:paraId="7043F709"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12</w:t>
            </w:r>
          </w:p>
        </w:tc>
        <w:tc>
          <w:tcPr>
            <w:tcW w:w="1035" w:type="dxa"/>
            <w:tcBorders>
              <w:top w:val="nil"/>
              <w:left w:val="nil"/>
              <w:bottom w:val="single" w:sz="4" w:space="0" w:color="auto"/>
              <w:right w:val="single" w:sz="4" w:space="0" w:color="auto"/>
            </w:tcBorders>
            <w:shd w:val="clear" w:color="auto" w:fill="auto"/>
            <w:noWrap/>
            <w:vAlign w:val="bottom"/>
            <w:hideMark/>
          </w:tcPr>
          <w:p w14:paraId="7A690EDA"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3,7</w:t>
            </w:r>
          </w:p>
        </w:tc>
      </w:tr>
      <w:tr w:rsidR="001C763A" w:rsidRPr="008A1421" w14:paraId="53D411E2" w14:textId="77777777" w:rsidTr="004440BD">
        <w:trPr>
          <w:trHeight w:val="325"/>
        </w:trPr>
        <w:tc>
          <w:tcPr>
            <w:tcW w:w="4952" w:type="dxa"/>
            <w:tcBorders>
              <w:top w:val="nil"/>
              <w:left w:val="single" w:sz="4" w:space="0" w:color="auto"/>
              <w:bottom w:val="single" w:sz="4" w:space="0" w:color="auto"/>
              <w:right w:val="single" w:sz="4" w:space="0" w:color="auto"/>
            </w:tcBorders>
            <w:shd w:val="clear" w:color="auto" w:fill="auto"/>
            <w:noWrap/>
            <w:vAlign w:val="bottom"/>
            <w:hideMark/>
          </w:tcPr>
          <w:p w14:paraId="5D40D652" w14:textId="77777777" w:rsidR="001C763A" w:rsidRPr="001F26BB" w:rsidRDefault="001C763A" w:rsidP="00B96B30">
            <w:pPr>
              <w:spacing w:after="0" w:line="240" w:lineRule="auto"/>
              <w:rPr>
                <w:rFonts w:eastAsia="Times New Roman" w:cs="Times New Roman"/>
                <w:color w:val="000000"/>
                <w:lang w:eastAsia="tr-TR"/>
              </w:rPr>
            </w:pPr>
            <w:r w:rsidRPr="001F26BB">
              <w:rPr>
                <w:rFonts w:eastAsia="Times New Roman" w:cs="Times New Roman"/>
                <w:color w:val="000000"/>
                <w:lang w:eastAsia="tr-TR"/>
              </w:rPr>
              <w:t>TRC3 (Mardin, Batman, Şırnak, Siirt)</w:t>
            </w:r>
          </w:p>
        </w:tc>
        <w:tc>
          <w:tcPr>
            <w:tcW w:w="1261" w:type="dxa"/>
            <w:tcBorders>
              <w:top w:val="nil"/>
              <w:left w:val="nil"/>
              <w:bottom w:val="single" w:sz="4" w:space="0" w:color="auto"/>
              <w:right w:val="single" w:sz="4" w:space="0" w:color="auto"/>
            </w:tcBorders>
            <w:shd w:val="clear" w:color="auto" w:fill="auto"/>
            <w:noWrap/>
            <w:vAlign w:val="bottom"/>
            <w:hideMark/>
          </w:tcPr>
          <w:p w14:paraId="1B6AF5A3"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58</w:t>
            </w:r>
          </w:p>
        </w:tc>
        <w:tc>
          <w:tcPr>
            <w:tcW w:w="1183" w:type="dxa"/>
            <w:tcBorders>
              <w:top w:val="nil"/>
              <w:left w:val="nil"/>
              <w:bottom w:val="single" w:sz="4" w:space="0" w:color="auto"/>
              <w:right w:val="single" w:sz="4" w:space="0" w:color="auto"/>
            </w:tcBorders>
            <w:shd w:val="clear" w:color="auto" w:fill="auto"/>
            <w:noWrap/>
            <w:vAlign w:val="bottom"/>
            <w:hideMark/>
          </w:tcPr>
          <w:p w14:paraId="715E2CA1"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12</w:t>
            </w:r>
          </w:p>
        </w:tc>
        <w:tc>
          <w:tcPr>
            <w:tcW w:w="1035" w:type="dxa"/>
            <w:tcBorders>
              <w:top w:val="nil"/>
              <w:left w:val="nil"/>
              <w:bottom w:val="single" w:sz="4" w:space="0" w:color="auto"/>
              <w:right w:val="single" w:sz="4" w:space="0" w:color="auto"/>
            </w:tcBorders>
            <w:shd w:val="clear" w:color="auto" w:fill="auto"/>
            <w:noWrap/>
            <w:vAlign w:val="bottom"/>
            <w:hideMark/>
          </w:tcPr>
          <w:p w14:paraId="44E30217"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5,1</w:t>
            </w:r>
          </w:p>
        </w:tc>
      </w:tr>
      <w:tr w:rsidR="001C763A" w:rsidRPr="008A1421" w14:paraId="337F2EB3" w14:textId="77777777" w:rsidTr="004440BD">
        <w:trPr>
          <w:trHeight w:val="325"/>
        </w:trPr>
        <w:tc>
          <w:tcPr>
            <w:tcW w:w="4952" w:type="dxa"/>
            <w:tcBorders>
              <w:top w:val="nil"/>
              <w:left w:val="single" w:sz="4" w:space="0" w:color="auto"/>
              <w:bottom w:val="single" w:sz="4" w:space="0" w:color="auto"/>
              <w:right w:val="single" w:sz="4" w:space="0" w:color="auto"/>
            </w:tcBorders>
            <w:shd w:val="clear" w:color="auto" w:fill="auto"/>
            <w:noWrap/>
            <w:vAlign w:val="bottom"/>
            <w:hideMark/>
          </w:tcPr>
          <w:p w14:paraId="09BEE9AA" w14:textId="77777777" w:rsidR="001C763A" w:rsidRPr="001F26BB" w:rsidRDefault="001C763A" w:rsidP="00B96B30">
            <w:pPr>
              <w:spacing w:after="0" w:line="240" w:lineRule="auto"/>
              <w:rPr>
                <w:rFonts w:eastAsia="Times New Roman" w:cs="Times New Roman"/>
                <w:color w:val="000000"/>
                <w:lang w:eastAsia="tr-TR"/>
              </w:rPr>
            </w:pPr>
            <w:r w:rsidRPr="001F26BB">
              <w:rPr>
                <w:rFonts w:eastAsia="Times New Roman" w:cs="Times New Roman"/>
                <w:color w:val="000000"/>
                <w:lang w:eastAsia="tr-TR"/>
              </w:rPr>
              <w:t>TR90 (Trabz</w:t>
            </w:r>
            <w:r>
              <w:rPr>
                <w:rFonts w:eastAsia="Times New Roman" w:cs="Times New Roman"/>
                <w:color w:val="000000"/>
                <w:lang w:eastAsia="tr-TR"/>
              </w:rPr>
              <w:t>.,</w:t>
            </w:r>
            <w:r w:rsidRPr="001F26BB">
              <w:rPr>
                <w:rFonts w:eastAsia="Times New Roman" w:cs="Times New Roman"/>
                <w:color w:val="000000"/>
                <w:lang w:eastAsia="tr-TR"/>
              </w:rPr>
              <w:t xml:space="preserve"> Ordu, Giresun, Rize, Artv</w:t>
            </w:r>
            <w:r>
              <w:rPr>
                <w:rFonts w:eastAsia="Times New Roman" w:cs="Times New Roman"/>
                <w:color w:val="000000"/>
                <w:lang w:eastAsia="tr-TR"/>
              </w:rPr>
              <w:t>.</w:t>
            </w:r>
            <w:r w:rsidRPr="001F26BB">
              <w:rPr>
                <w:rFonts w:eastAsia="Times New Roman" w:cs="Times New Roman"/>
                <w:color w:val="000000"/>
                <w:lang w:eastAsia="tr-TR"/>
              </w:rPr>
              <w:t>, Gümüşha</w:t>
            </w:r>
            <w:r>
              <w:rPr>
                <w:rFonts w:eastAsia="Times New Roman" w:cs="Times New Roman"/>
                <w:color w:val="000000"/>
                <w:lang w:eastAsia="tr-TR"/>
              </w:rPr>
              <w:t>.</w:t>
            </w:r>
            <w:r w:rsidRPr="001F26BB">
              <w:rPr>
                <w:rFonts w:eastAsia="Times New Roman" w:cs="Times New Roman"/>
                <w:color w:val="000000"/>
                <w:lang w:eastAsia="tr-TR"/>
              </w:rPr>
              <w:t>)</w:t>
            </w:r>
          </w:p>
        </w:tc>
        <w:tc>
          <w:tcPr>
            <w:tcW w:w="1261" w:type="dxa"/>
            <w:tcBorders>
              <w:top w:val="nil"/>
              <w:left w:val="nil"/>
              <w:bottom w:val="single" w:sz="4" w:space="0" w:color="auto"/>
              <w:right w:val="single" w:sz="4" w:space="0" w:color="auto"/>
            </w:tcBorders>
            <w:shd w:val="clear" w:color="auto" w:fill="auto"/>
            <w:noWrap/>
            <w:vAlign w:val="bottom"/>
            <w:hideMark/>
          </w:tcPr>
          <w:p w14:paraId="7C16DB12"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47</w:t>
            </w:r>
          </w:p>
        </w:tc>
        <w:tc>
          <w:tcPr>
            <w:tcW w:w="1183" w:type="dxa"/>
            <w:tcBorders>
              <w:top w:val="nil"/>
              <w:left w:val="nil"/>
              <w:bottom w:val="single" w:sz="4" w:space="0" w:color="auto"/>
              <w:right w:val="single" w:sz="4" w:space="0" w:color="auto"/>
            </w:tcBorders>
            <w:shd w:val="clear" w:color="auto" w:fill="auto"/>
            <w:noWrap/>
            <w:vAlign w:val="bottom"/>
            <w:hideMark/>
          </w:tcPr>
          <w:p w14:paraId="13DF4A36"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1</w:t>
            </w:r>
          </w:p>
        </w:tc>
        <w:tc>
          <w:tcPr>
            <w:tcW w:w="1035" w:type="dxa"/>
            <w:tcBorders>
              <w:top w:val="nil"/>
              <w:left w:val="nil"/>
              <w:bottom w:val="single" w:sz="4" w:space="0" w:color="auto"/>
              <w:right w:val="single" w:sz="4" w:space="0" w:color="auto"/>
            </w:tcBorders>
            <w:shd w:val="clear" w:color="auto" w:fill="auto"/>
            <w:noWrap/>
            <w:vAlign w:val="bottom"/>
            <w:hideMark/>
          </w:tcPr>
          <w:p w14:paraId="782EB914"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5,6</w:t>
            </w:r>
          </w:p>
        </w:tc>
      </w:tr>
      <w:tr w:rsidR="001C763A" w:rsidRPr="008A1421" w14:paraId="4F7593CE" w14:textId="77777777" w:rsidTr="004440BD">
        <w:trPr>
          <w:trHeight w:val="325"/>
        </w:trPr>
        <w:tc>
          <w:tcPr>
            <w:tcW w:w="4952" w:type="dxa"/>
            <w:tcBorders>
              <w:top w:val="nil"/>
              <w:left w:val="single" w:sz="4" w:space="0" w:color="auto"/>
              <w:bottom w:val="single" w:sz="4" w:space="0" w:color="auto"/>
              <w:right w:val="single" w:sz="4" w:space="0" w:color="auto"/>
            </w:tcBorders>
            <w:shd w:val="clear" w:color="auto" w:fill="auto"/>
            <w:noWrap/>
            <w:vAlign w:val="bottom"/>
            <w:hideMark/>
          </w:tcPr>
          <w:p w14:paraId="312F5B3A" w14:textId="77777777" w:rsidR="001C763A" w:rsidRPr="001F26BB" w:rsidRDefault="001C763A" w:rsidP="00B96B30">
            <w:pPr>
              <w:spacing w:after="0" w:line="240" w:lineRule="auto"/>
              <w:rPr>
                <w:rFonts w:eastAsia="Times New Roman" w:cs="Times New Roman"/>
                <w:color w:val="000000"/>
                <w:lang w:eastAsia="tr-TR"/>
              </w:rPr>
            </w:pPr>
            <w:r w:rsidRPr="001F26BB">
              <w:rPr>
                <w:rFonts w:eastAsia="Times New Roman" w:cs="Times New Roman"/>
                <w:color w:val="000000"/>
                <w:lang w:eastAsia="tr-TR"/>
              </w:rPr>
              <w:t>TRA2 (Ağrı, Kars, Iğdır, Ardahan)</w:t>
            </w:r>
          </w:p>
        </w:tc>
        <w:tc>
          <w:tcPr>
            <w:tcW w:w="1261" w:type="dxa"/>
            <w:tcBorders>
              <w:top w:val="nil"/>
              <w:left w:val="nil"/>
              <w:bottom w:val="single" w:sz="4" w:space="0" w:color="auto"/>
              <w:right w:val="single" w:sz="4" w:space="0" w:color="auto"/>
            </w:tcBorders>
            <w:shd w:val="clear" w:color="auto" w:fill="auto"/>
            <w:noWrap/>
            <w:vAlign w:val="bottom"/>
            <w:hideMark/>
          </w:tcPr>
          <w:p w14:paraId="00CB7D84"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29</w:t>
            </w:r>
          </w:p>
        </w:tc>
        <w:tc>
          <w:tcPr>
            <w:tcW w:w="1183" w:type="dxa"/>
            <w:tcBorders>
              <w:top w:val="nil"/>
              <w:left w:val="nil"/>
              <w:bottom w:val="single" w:sz="4" w:space="0" w:color="auto"/>
              <w:right w:val="single" w:sz="4" w:space="0" w:color="auto"/>
            </w:tcBorders>
            <w:shd w:val="clear" w:color="auto" w:fill="auto"/>
            <w:noWrap/>
            <w:vAlign w:val="bottom"/>
            <w:hideMark/>
          </w:tcPr>
          <w:p w14:paraId="199AE255"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-4</w:t>
            </w:r>
          </w:p>
        </w:tc>
        <w:tc>
          <w:tcPr>
            <w:tcW w:w="1035" w:type="dxa"/>
            <w:tcBorders>
              <w:top w:val="nil"/>
              <w:left w:val="nil"/>
              <w:bottom w:val="single" w:sz="4" w:space="0" w:color="auto"/>
              <w:right w:val="single" w:sz="4" w:space="0" w:color="auto"/>
            </w:tcBorders>
            <w:shd w:val="clear" w:color="auto" w:fill="auto"/>
            <w:noWrap/>
            <w:vAlign w:val="bottom"/>
            <w:hideMark/>
          </w:tcPr>
          <w:p w14:paraId="65E9A541"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14,3</w:t>
            </w:r>
          </w:p>
        </w:tc>
      </w:tr>
    </w:tbl>
    <w:p w14:paraId="0BA09248" w14:textId="04F8D889" w:rsidR="00F439C1" w:rsidRPr="00195543" w:rsidRDefault="001C763A" w:rsidP="00195543">
      <w:pPr>
        <w:jc w:val="both"/>
        <w:rPr>
          <w:sz w:val="18"/>
          <w:szCs w:val="18"/>
        </w:rPr>
      </w:pPr>
      <w:r w:rsidRPr="00761447">
        <w:rPr>
          <w:sz w:val="18"/>
          <w:szCs w:val="18"/>
        </w:rPr>
        <w:t xml:space="preserve">Kaynak: TÜİK, Betam. </w:t>
      </w:r>
    </w:p>
    <w:p w14:paraId="54136E52" w14:textId="7F62C806" w:rsidR="001C763A" w:rsidRPr="00F439C1" w:rsidRDefault="001C763A" w:rsidP="00195543">
      <w:pPr>
        <w:spacing w:after="240"/>
        <w:rPr>
          <w:sz w:val="28"/>
          <w:szCs w:val="28"/>
        </w:rPr>
      </w:pPr>
      <w:r w:rsidRPr="00F439C1">
        <w:rPr>
          <w:b/>
          <w:sz w:val="28"/>
          <w:szCs w:val="28"/>
        </w:rPr>
        <w:lastRenderedPageBreak/>
        <w:t xml:space="preserve">İşsizliğin azaldığı bölgeler: Şanlıurfa-Diyarbakır’da </w:t>
      </w:r>
      <w:r w:rsidR="00742EC9" w:rsidRPr="00F439C1">
        <w:rPr>
          <w:b/>
          <w:sz w:val="28"/>
          <w:szCs w:val="28"/>
        </w:rPr>
        <w:t>çarpıcı</w:t>
      </w:r>
      <w:r w:rsidRPr="00F439C1">
        <w:rPr>
          <w:b/>
          <w:sz w:val="28"/>
          <w:szCs w:val="28"/>
        </w:rPr>
        <w:t xml:space="preserve"> ama sağlıksız azalış</w:t>
      </w:r>
    </w:p>
    <w:p w14:paraId="27538D1E" w14:textId="451987A2" w:rsidR="001C763A" w:rsidRPr="00F439C1" w:rsidRDefault="001C763A" w:rsidP="00F439C1">
      <w:pPr>
        <w:spacing w:line="360" w:lineRule="auto"/>
        <w:jc w:val="both"/>
        <w:rPr>
          <w:sz w:val="24"/>
          <w:szCs w:val="24"/>
        </w:rPr>
      </w:pPr>
      <w:r w:rsidRPr="00F439C1">
        <w:rPr>
          <w:sz w:val="24"/>
          <w:szCs w:val="24"/>
        </w:rPr>
        <w:t xml:space="preserve">2018’den 2021’e tarım dışı işsizlik oranı </w:t>
      </w:r>
      <w:r w:rsidRPr="00F439C1">
        <w:rPr>
          <w:b/>
          <w:sz w:val="24"/>
          <w:szCs w:val="24"/>
        </w:rPr>
        <w:t xml:space="preserve">altı bölgede </w:t>
      </w:r>
      <w:r w:rsidRPr="00F439C1">
        <w:rPr>
          <w:sz w:val="24"/>
          <w:szCs w:val="24"/>
        </w:rPr>
        <w:t>azalmıştır.</w:t>
      </w:r>
      <w:r w:rsidRPr="00F439C1">
        <w:rPr>
          <w:b/>
          <w:sz w:val="24"/>
          <w:szCs w:val="24"/>
        </w:rPr>
        <w:t xml:space="preserve"> </w:t>
      </w:r>
      <w:r w:rsidRPr="00F439C1">
        <w:rPr>
          <w:sz w:val="24"/>
          <w:szCs w:val="24"/>
        </w:rPr>
        <w:t xml:space="preserve">Şekil </w:t>
      </w:r>
      <w:r w:rsidR="00742EC9" w:rsidRPr="00F439C1">
        <w:rPr>
          <w:sz w:val="24"/>
          <w:szCs w:val="24"/>
        </w:rPr>
        <w:t>3</w:t>
      </w:r>
      <w:r w:rsidRPr="00F439C1">
        <w:rPr>
          <w:sz w:val="24"/>
          <w:szCs w:val="24"/>
        </w:rPr>
        <w:t xml:space="preserve">’te bu altı bölge sıralı halde verilmiştir. 5,8 yüzde puan ile en yüksek azalış </w:t>
      </w:r>
      <w:r w:rsidRPr="00F439C1">
        <w:rPr>
          <w:b/>
          <w:sz w:val="24"/>
          <w:szCs w:val="24"/>
        </w:rPr>
        <w:t>Şanlıurfa</w:t>
      </w:r>
      <w:r w:rsidR="000F0757" w:rsidRPr="00F439C1">
        <w:rPr>
          <w:b/>
          <w:sz w:val="24"/>
          <w:szCs w:val="24"/>
        </w:rPr>
        <w:t>-</w:t>
      </w:r>
      <w:r w:rsidRPr="00F439C1">
        <w:rPr>
          <w:b/>
          <w:sz w:val="24"/>
          <w:szCs w:val="24"/>
        </w:rPr>
        <w:t>Diyarbakır (TRC2)</w:t>
      </w:r>
      <w:r w:rsidRPr="00F439C1">
        <w:rPr>
          <w:sz w:val="24"/>
          <w:szCs w:val="24"/>
        </w:rPr>
        <w:t xml:space="preserve"> bölgesinde gerçekleşmiştir. </w:t>
      </w:r>
      <w:r w:rsidR="000F0757" w:rsidRPr="00F439C1">
        <w:rPr>
          <w:sz w:val="24"/>
          <w:szCs w:val="24"/>
        </w:rPr>
        <w:t>Bu bölgede</w:t>
      </w:r>
      <w:r w:rsidRPr="00F439C1">
        <w:rPr>
          <w:sz w:val="24"/>
          <w:szCs w:val="24"/>
        </w:rPr>
        <w:t xml:space="preserve"> tarım dışı istihdamda 7 bin gibi (yüzde</w:t>
      </w:r>
      <w:r w:rsidR="000F0757" w:rsidRPr="00F439C1">
        <w:rPr>
          <w:sz w:val="24"/>
          <w:szCs w:val="24"/>
        </w:rPr>
        <w:t xml:space="preserve"> </w:t>
      </w:r>
      <w:r w:rsidRPr="00F439C1">
        <w:rPr>
          <w:sz w:val="24"/>
          <w:szCs w:val="24"/>
        </w:rPr>
        <w:t xml:space="preserve">1,1) az da olsa bir artış vardır. </w:t>
      </w:r>
      <w:r w:rsidRPr="006C562A">
        <w:rPr>
          <w:sz w:val="24"/>
          <w:szCs w:val="24"/>
        </w:rPr>
        <w:t>Normalde işsizli</w:t>
      </w:r>
      <w:r w:rsidR="006C562A" w:rsidRPr="006C562A">
        <w:rPr>
          <w:sz w:val="24"/>
          <w:szCs w:val="24"/>
        </w:rPr>
        <w:t>kte de çok sınırlı bir azalma olabilirdi</w:t>
      </w:r>
      <w:r w:rsidRPr="00F439C1">
        <w:rPr>
          <w:sz w:val="24"/>
          <w:szCs w:val="24"/>
        </w:rPr>
        <w:t xml:space="preserve">. Oysa tarım dışı işsizlik oranında </w:t>
      </w:r>
      <w:r w:rsidRPr="00F439C1">
        <w:rPr>
          <w:b/>
          <w:sz w:val="24"/>
          <w:szCs w:val="24"/>
        </w:rPr>
        <w:t xml:space="preserve">5,8 yüzde puanlık çok yüksek bir düşüş </w:t>
      </w:r>
      <w:r w:rsidRPr="00F439C1">
        <w:rPr>
          <w:sz w:val="24"/>
          <w:szCs w:val="24"/>
        </w:rPr>
        <w:t>g</w:t>
      </w:r>
      <w:r w:rsidR="000F0757" w:rsidRPr="00F439C1">
        <w:rPr>
          <w:sz w:val="24"/>
          <w:szCs w:val="24"/>
        </w:rPr>
        <w:t>erçekleşmiştir</w:t>
      </w:r>
      <w:r w:rsidRPr="00F439C1">
        <w:rPr>
          <w:sz w:val="24"/>
          <w:szCs w:val="24"/>
        </w:rPr>
        <w:t>. Bunun nedeni</w:t>
      </w:r>
      <w:r w:rsidRPr="00F439C1">
        <w:rPr>
          <w:b/>
          <w:sz w:val="24"/>
          <w:szCs w:val="24"/>
        </w:rPr>
        <w:t xml:space="preserve"> </w:t>
      </w:r>
      <w:r w:rsidRPr="00F439C1">
        <w:rPr>
          <w:sz w:val="24"/>
          <w:szCs w:val="24"/>
        </w:rPr>
        <w:t xml:space="preserve">işgücündeki 48 binlik (yüzde 6,2) şiddetli azalmadır. Bu kuşkusuz sağlıklı olmayan </w:t>
      </w:r>
      <w:r w:rsidRPr="00F439C1">
        <w:rPr>
          <w:b/>
          <w:sz w:val="24"/>
          <w:szCs w:val="24"/>
        </w:rPr>
        <w:t xml:space="preserve">olumsuz </w:t>
      </w:r>
      <w:r w:rsidRPr="00F439C1">
        <w:rPr>
          <w:sz w:val="24"/>
          <w:szCs w:val="24"/>
        </w:rPr>
        <w:t xml:space="preserve">bir gelişmedir (Tablo 2). </w:t>
      </w:r>
    </w:p>
    <w:p w14:paraId="4B598A65" w14:textId="391FADDC" w:rsidR="001C763A" w:rsidRPr="00F439C1" w:rsidRDefault="000F0757" w:rsidP="00F439C1">
      <w:pPr>
        <w:spacing w:line="360" w:lineRule="auto"/>
        <w:jc w:val="both"/>
        <w:rPr>
          <w:sz w:val="24"/>
          <w:szCs w:val="24"/>
        </w:rPr>
      </w:pPr>
      <w:r w:rsidRPr="00F439C1">
        <w:rPr>
          <w:b/>
          <w:sz w:val="24"/>
          <w:szCs w:val="24"/>
        </w:rPr>
        <w:t xml:space="preserve">Farklı türden </w:t>
      </w:r>
      <w:r w:rsidR="001C763A" w:rsidRPr="00F439C1">
        <w:rPr>
          <w:b/>
          <w:sz w:val="24"/>
          <w:szCs w:val="24"/>
        </w:rPr>
        <w:t xml:space="preserve">bir olumsuzluk Van-Muş-Bitlis-Hakkâri (TRB2) </w:t>
      </w:r>
      <w:r w:rsidR="001C763A" w:rsidRPr="00F439C1">
        <w:rPr>
          <w:sz w:val="24"/>
          <w:szCs w:val="24"/>
        </w:rPr>
        <w:t>ile</w:t>
      </w:r>
      <w:r w:rsidR="001C763A" w:rsidRPr="00F439C1">
        <w:rPr>
          <w:b/>
          <w:sz w:val="24"/>
          <w:szCs w:val="24"/>
        </w:rPr>
        <w:t xml:space="preserve"> İstanbul (TR10)</w:t>
      </w:r>
      <w:r w:rsidR="001C763A" w:rsidRPr="00F439C1">
        <w:rPr>
          <w:sz w:val="24"/>
          <w:szCs w:val="24"/>
        </w:rPr>
        <w:t xml:space="preserve"> bölgelerinde de gözlemlenmektedir. Bu iki bölgede tarım dışı işsizlik oranları sırasıyla 0,8 ve 0,2 puan azalmıştır. Nedeni tarım dışı işgücün</w:t>
      </w:r>
      <w:r w:rsidRPr="00F439C1">
        <w:rPr>
          <w:sz w:val="24"/>
          <w:szCs w:val="24"/>
        </w:rPr>
        <w:t>de azalmanın</w:t>
      </w:r>
      <w:r w:rsidR="001C763A" w:rsidRPr="00F439C1">
        <w:rPr>
          <w:sz w:val="24"/>
          <w:szCs w:val="24"/>
        </w:rPr>
        <w:t xml:space="preserve"> tarım dışı istihdamdaki azalmadan daha güçlü olmasıdır. Nitekim tarım dışı istihdam TRB2’de bin (yüzde 0,3) işgücü ise 7 bin (yüzde 1,6) azalırken, İstanbul’da 75 bin (yüzde 1,3) ve 100 bin (yüzde 1,5) azalmıştır. İstihdam</w:t>
      </w:r>
      <w:r w:rsidR="003250B8" w:rsidRPr="00F439C1">
        <w:rPr>
          <w:sz w:val="24"/>
          <w:szCs w:val="24"/>
        </w:rPr>
        <w:t>ın azalmasına</w:t>
      </w:r>
      <w:r w:rsidR="001C763A" w:rsidRPr="00F439C1">
        <w:rPr>
          <w:sz w:val="24"/>
          <w:szCs w:val="24"/>
        </w:rPr>
        <w:t xml:space="preserve"> rağmen bu iki bölgede işsizlik</w:t>
      </w:r>
      <w:r w:rsidR="003250B8" w:rsidRPr="00F439C1">
        <w:rPr>
          <w:sz w:val="24"/>
          <w:szCs w:val="24"/>
        </w:rPr>
        <w:t>te</w:t>
      </w:r>
      <w:r w:rsidR="001C763A" w:rsidRPr="00F439C1">
        <w:rPr>
          <w:sz w:val="24"/>
          <w:szCs w:val="24"/>
        </w:rPr>
        <w:t xml:space="preserve"> düşüş, </w:t>
      </w:r>
      <w:r w:rsidR="001C763A" w:rsidRPr="00F439C1">
        <w:rPr>
          <w:b/>
          <w:sz w:val="24"/>
          <w:szCs w:val="24"/>
        </w:rPr>
        <w:t>işgücünden çıkışların</w:t>
      </w:r>
      <w:r w:rsidR="001C763A" w:rsidRPr="00F439C1">
        <w:rPr>
          <w:sz w:val="24"/>
          <w:szCs w:val="24"/>
        </w:rPr>
        <w:t xml:space="preserve"> sonucudur. Bu </w:t>
      </w:r>
      <w:r w:rsidRPr="00F439C1">
        <w:rPr>
          <w:sz w:val="24"/>
          <w:szCs w:val="24"/>
        </w:rPr>
        <w:t xml:space="preserve">da </w:t>
      </w:r>
      <w:r w:rsidR="001C763A" w:rsidRPr="00F439C1">
        <w:rPr>
          <w:sz w:val="24"/>
          <w:szCs w:val="24"/>
        </w:rPr>
        <w:t xml:space="preserve">elbette </w:t>
      </w:r>
      <w:r w:rsidR="001C763A" w:rsidRPr="00F439C1">
        <w:rPr>
          <w:b/>
          <w:sz w:val="24"/>
          <w:szCs w:val="24"/>
        </w:rPr>
        <w:t xml:space="preserve">olumsuz </w:t>
      </w:r>
      <w:r w:rsidR="001C763A" w:rsidRPr="00F439C1">
        <w:rPr>
          <w:sz w:val="24"/>
          <w:szCs w:val="24"/>
        </w:rPr>
        <w:t>bir gelişmedir.</w:t>
      </w:r>
    </w:p>
    <w:p w14:paraId="1179E623" w14:textId="1B54770B" w:rsidR="00862F0E" w:rsidRPr="00195543" w:rsidRDefault="001C763A" w:rsidP="00195543">
      <w:pPr>
        <w:spacing w:after="0" w:line="360" w:lineRule="auto"/>
        <w:jc w:val="both"/>
        <w:rPr>
          <w:sz w:val="24"/>
          <w:szCs w:val="24"/>
        </w:rPr>
      </w:pPr>
      <w:r w:rsidRPr="00F439C1">
        <w:rPr>
          <w:sz w:val="24"/>
          <w:szCs w:val="24"/>
        </w:rPr>
        <w:t xml:space="preserve">Buna karışlık </w:t>
      </w:r>
      <w:r w:rsidR="00862F0E" w:rsidRPr="00F439C1">
        <w:rPr>
          <w:sz w:val="24"/>
          <w:szCs w:val="24"/>
        </w:rPr>
        <w:t>işsizliğin a</w:t>
      </w:r>
      <w:r w:rsidR="002D3ED9">
        <w:rPr>
          <w:sz w:val="24"/>
          <w:szCs w:val="24"/>
        </w:rPr>
        <w:t>zaldığı</w:t>
      </w:r>
      <w:r w:rsidR="00862F0E" w:rsidRPr="00F439C1">
        <w:rPr>
          <w:sz w:val="24"/>
          <w:szCs w:val="24"/>
        </w:rPr>
        <w:t xml:space="preserve"> diğer </w:t>
      </w:r>
      <w:r w:rsidRPr="00F439C1">
        <w:rPr>
          <w:sz w:val="24"/>
          <w:szCs w:val="24"/>
        </w:rPr>
        <w:t>üç bölgede</w:t>
      </w:r>
      <w:r w:rsidR="00862F0E" w:rsidRPr="00F439C1">
        <w:rPr>
          <w:sz w:val="24"/>
          <w:szCs w:val="24"/>
        </w:rPr>
        <w:t xml:space="preserve">, </w:t>
      </w:r>
      <w:r w:rsidRPr="00F439C1">
        <w:rPr>
          <w:b/>
          <w:sz w:val="24"/>
          <w:szCs w:val="24"/>
        </w:rPr>
        <w:t>Gaziantep</w:t>
      </w:r>
      <w:r w:rsidR="00862F0E" w:rsidRPr="00F439C1">
        <w:rPr>
          <w:b/>
          <w:sz w:val="24"/>
          <w:szCs w:val="24"/>
        </w:rPr>
        <w:t>-</w:t>
      </w:r>
      <w:r w:rsidRPr="00F439C1">
        <w:rPr>
          <w:b/>
          <w:sz w:val="24"/>
          <w:szCs w:val="24"/>
        </w:rPr>
        <w:t>Adıyaman</w:t>
      </w:r>
      <w:r w:rsidR="00862F0E" w:rsidRPr="00F439C1">
        <w:rPr>
          <w:b/>
          <w:sz w:val="24"/>
          <w:szCs w:val="24"/>
        </w:rPr>
        <w:t>-</w:t>
      </w:r>
      <w:r w:rsidRPr="00F439C1">
        <w:rPr>
          <w:b/>
          <w:sz w:val="24"/>
          <w:szCs w:val="24"/>
        </w:rPr>
        <w:t>Kilis (TRC1)</w:t>
      </w:r>
      <w:r w:rsidR="00862F0E" w:rsidRPr="00F439C1">
        <w:rPr>
          <w:b/>
          <w:sz w:val="24"/>
          <w:szCs w:val="24"/>
        </w:rPr>
        <w:t>,</w:t>
      </w:r>
      <w:r w:rsidRPr="00F439C1">
        <w:rPr>
          <w:b/>
          <w:sz w:val="24"/>
          <w:szCs w:val="24"/>
        </w:rPr>
        <w:t xml:space="preserve"> Kayseri</w:t>
      </w:r>
      <w:r w:rsidR="00862F0E" w:rsidRPr="00F439C1">
        <w:rPr>
          <w:b/>
          <w:sz w:val="24"/>
          <w:szCs w:val="24"/>
        </w:rPr>
        <w:t>-</w:t>
      </w:r>
      <w:r w:rsidRPr="00F439C1">
        <w:rPr>
          <w:b/>
          <w:sz w:val="24"/>
          <w:szCs w:val="24"/>
        </w:rPr>
        <w:t>Sivas</w:t>
      </w:r>
      <w:r w:rsidR="00862F0E" w:rsidRPr="00F439C1">
        <w:rPr>
          <w:b/>
          <w:sz w:val="24"/>
          <w:szCs w:val="24"/>
        </w:rPr>
        <w:t xml:space="preserve">- Yozgat </w:t>
      </w:r>
      <w:r w:rsidRPr="00F439C1">
        <w:rPr>
          <w:b/>
          <w:sz w:val="24"/>
          <w:szCs w:val="24"/>
        </w:rPr>
        <w:t>(TR72)</w:t>
      </w:r>
      <w:r w:rsidR="00862F0E" w:rsidRPr="00F439C1">
        <w:rPr>
          <w:b/>
          <w:sz w:val="24"/>
          <w:szCs w:val="24"/>
        </w:rPr>
        <w:t xml:space="preserve"> ve </w:t>
      </w:r>
      <w:r w:rsidRPr="00F439C1">
        <w:rPr>
          <w:b/>
          <w:sz w:val="24"/>
          <w:szCs w:val="24"/>
        </w:rPr>
        <w:t>Kocaeli</w:t>
      </w:r>
      <w:r w:rsidR="00862F0E" w:rsidRPr="00F439C1">
        <w:rPr>
          <w:b/>
          <w:sz w:val="24"/>
          <w:szCs w:val="24"/>
        </w:rPr>
        <w:t>-</w:t>
      </w:r>
      <w:r w:rsidRPr="00F439C1">
        <w:rPr>
          <w:b/>
          <w:sz w:val="24"/>
          <w:szCs w:val="24"/>
        </w:rPr>
        <w:t>Sakarya</w:t>
      </w:r>
      <w:r w:rsidR="00862F0E" w:rsidRPr="00F439C1">
        <w:rPr>
          <w:b/>
          <w:sz w:val="24"/>
          <w:szCs w:val="24"/>
        </w:rPr>
        <w:t>-</w:t>
      </w:r>
      <w:r w:rsidRPr="00F439C1">
        <w:rPr>
          <w:b/>
          <w:sz w:val="24"/>
          <w:szCs w:val="24"/>
        </w:rPr>
        <w:t>Düzce</w:t>
      </w:r>
      <w:r w:rsidR="00862F0E" w:rsidRPr="00F439C1">
        <w:rPr>
          <w:b/>
          <w:sz w:val="24"/>
          <w:szCs w:val="24"/>
        </w:rPr>
        <w:t>-</w:t>
      </w:r>
      <w:r w:rsidRPr="00F439C1">
        <w:rPr>
          <w:b/>
          <w:sz w:val="24"/>
          <w:szCs w:val="24"/>
        </w:rPr>
        <w:t>Bolu</w:t>
      </w:r>
      <w:r w:rsidR="00862F0E" w:rsidRPr="00F439C1">
        <w:rPr>
          <w:b/>
          <w:sz w:val="24"/>
          <w:szCs w:val="24"/>
        </w:rPr>
        <w:t>-</w:t>
      </w:r>
      <w:r w:rsidRPr="00F439C1">
        <w:rPr>
          <w:b/>
          <w:sz w:val="24"/>
          <w:szCs w:val="24"/>
        </w:rPr>
        <w:t>Yalova (TR42</w:t>
      </w:r>
      <w:r w:rsidRPr="002D3ED9">
        <w:rPr>
          <w:b/>
          <w:sz w:val="24"/>
          <w:szCs w:val="24"/>
        </w:rPr>
        <w:t>)</w:t>
      </w:r>
      <w:r w:rsidR="00862F0E" w:rsidRPr="002D3ED9">
        <w:rPr>
          <w:b/>
          <w:sz w:val="24"/>
          <w:szCs w:val="24"/>
        </w:rPr>
        <w:t>,</w:t>
      </w:r>
      <w:r w:rsidRPr="002D3ED9">
        <w:rPr>
          <w:b/>
          <w:sz w:val="24"/>
          <w:szCs w:val="24"/>
        </w:rPr>
        <w:t xml:space="preserve"> işsizlik</w:t>
      </w:r>
      <w:r w:rsidR="00862F0E" w:rsidRPr="002D3ED9">
        <w:rPr>
          <w:b/>
          <w:sz w:val="24"/>
          <w:szCs w:val="24"/>
        </w:rPr>
        <w:t>te a</w:t>
      </w:r>
      <w:r w:rsidR="002D3ED9" w:rsidRPr="002D3ED9">
        <w:rPr>
          <w:b/>
          <w:sz w:val="24"/>
          <w:szCs w:val="24"/>
        </w:rPr>
        <w:t>zalış</w:t>
      </w:r>
      <w:r w:rsidRPr="002D3ED9">
        <w:rPr>
          <w:b/>
          <w:sz w:val="24"/>
          <w:szCs w:val="24"/>
        </w:rPr>
        <w:t xml:space="preserve"> tarım dışı istihdam artış</w:t>
      </w:r>
      <w:r w:rsidR="00862F0E" w:rsidRPr="002D3ED9">
        <w:rPr>
          <w:b/>
          <w:sz w:val="24"/>
          <w:szCs w:val="24"/>
        </w:rPr>
        <w:t>ının</w:t>
      </w:r>
      <w:r w:rsidRPr="002D3ED9">
        <w:rPr>
          <w:b/>
          <w:sz w:val="24"/>
          <w:szCs w:val="24"/>
        </w:rPr>
        <w:t xml:space="preserve"> işgücü artış</w:t>
      </w:r>
      <w:r w:rsidR="00862F0E" w:rsidRPr="002D3ED9">
        <w:rPr>
          <w:b/>
          <w:sz w:val="24"/>
          <w:szCs w:val="24"/>
        </w:rPr>
        <w:t>ından daha güçlü olmasının</w:t>
      </w:r>
      <w:r w:rsidRPr="002D3ED9">
        <w:rPr>
          <w:b/>
          <w:sz w:val="24"/>
          <w:szCs w:val="24"/>
        </w:rPr>
        <w:t xml:space="preserve"> sonucu</w:t>
      </w:r>
      <w:r w:rsidR="00862F0E" w:rsidRPr="002D3ED9">
        <w:rPr>
          <w:b/>
          <w:sz w:val="24"/>
          <w:szCs w:val="24"/>
        </w:rPr>
        <w:t>dur</w:t>
      </w:r>
      <w:r w:rsidRPr="002D3ED9">
        <w:rPr>
          <w:b/>
          <w:sz w:val="24"/>
          <w:szCs w:val="24"/>
        </w:rPr>
        <w:t>.</w:t>
      </w:r>
      <w:r w:rsidRPr="00F439C1">
        <w:rPr>
          <w:sz w:val="24"/>
          <w:szCs w:val="24"/>
        </w:rPr>
        <w:t xml:space="preserve"> Bu bölgelerde tarım dışı istihdam ve işgücünde artışlar sırasıyla 55 bine 41</w:t>
      </w:r>
      <w:r w:rsidR="00862F0E" w:rsidRPr="00F439C1">
        <w:rPr>
          <w:sz w:val="24"/>
          <w:szCs w:val="24"/>
        </w:rPr>
        <w:t xml:space="preserve"> bin</w:t>
      </w:r>
      <w:r w:rsidRPr="00F439C1">
        <w:rPr>
          <w:sz w:val="24"/>
          <w:szCs w:val="24"/>
        </w:rPr>
        <w:t>, 52 bine 44 bin ve 62 bine 56 bindir</w:t>
      </w:r>
      <w:r w:rsidR="00862F0E" w:rsidRPr="00F439C1">
        <w:rPr>
          <w:sz w:val="24"/>
          <w:szCs w:val="24"/>
        </w:rPr>
        <w:t xml:space="preserve"> (Tablo 2)</w:t>
      </w:r>
      <w:r w:rsidRPr="00F439C1">
        <w:rPr>
          <w:sz w:val="24"/>
          <w:szCs w:val="24"/>
        </w:rPr>
        <w:t xml:space="preserve">. </w:t>
      </w:r>
      <w:r w:rsidR="00862F0E" w:rsidRPr="00F439C1">
        <w:rPr>
          <w:sz w:val="24"/>
          <w:szCs w:val="24"/>
        </w:rPr>
        <w:t>İ</w:t>
      </w:r>
      <w:r w:rsidRPr="00F439C1">
        <w:rPr>
          <w:sz w:val="24"/>
          <w:szCs w:val="24"/>
        </w:rPr>
        <w:t xml:space="preserve">şsizlik oranlarında </w:t>
      </w:r>
      <w:r w:rsidR="00862F0E" w:rsidRPr="00F439C1">
        <w:rPr>
          <w:sz w:val="24"/>
          <w:szCs w:val="24"/>
        </w:rPr>
        <w:t xml:space="preserve">da </w:t>
      </w:r>
      <w:r w:rsidRPr="00F439C1">
        <w:rPr>
          <w:sz w:val="24"/>
          <w:szCs w:val="24"/>
        </w:rPr>
        <w:t>sırasıyla 2,5, 2,1 ve 0,9 yüzde puanlık düşüşler gerçekleşmiştir.</w:t>
      </w:r>
    </w:p>
    <w:p w14:paraId="3A9F1026" w14:textId="650132D3" w:rsidR="001C763A" w:rsidRPr="001F26BB" w:rsidRDefault="001C763A" w:rsidP="001C763A">
      <w:pPr>
        <w:jc w:val="both"/>
      </w:pPr>
      <w:r w:rsidRPr="001F26BB">
        <w:rPr>
          <w:b/>
        </w:rPr>
        <w:t xml:space="preserve">Şekil </w:t>
      </w:r>
      <w:r w:rsidR="00742EC9">
        <w:rPr>
          <w:b/>
        </w:rPr>
        <w:t>3</w:t>
      </w:r>
      <w:r w:rsidRPr="001F26BB">
        <w:rPr>
          <w:b/>
        </w:rPr>
        <w:t>: Tarım dışı işsizlik oranı azalan bölgeler: (yüzde puan</w:t>
      </w:r>
      <w:r>
        <w:rPr>
          <w:b/>
        </w:rPr>
        <w:t>),</w:t>
      </w:r>
      <w:r w:rsidRPr="001F26BB">
        <w:rPr>
          <w:b/>
        </w:rPr>
        <w:t xml:space="preserve"> 2018-2021</w:t>
      </w:r>
    </w:p>
    <w:p w14:paraId="55111C6E" w14:textId="675A64E5" w:rsidR="001C763A" w:rsidRDefault="001C763A" w:rsidP="00591D97">
      <w:pPr>
        <w:rPr>
          <w:b/>
          <w:sz w:val="24"/>
          <w:szCs w:val="24"/>
        </w:rPr>
      </w:pPr>
      <w:r w:rsidRPr="008A1421">
        <w:rPr>
          <w:noProof/>
          <w:sz w:val="20"/>
          <w:szCs w:val="20"/>
          <w:lang w:eastAsia="tr-TR"/>
        </w:rPr>
        <w:drawing>
          <wp:inline distT="0" distB="0" distL="0" distR="0" wp14:anchorId="11DDA40C" wp14:editId="60E5C028">
            <wp:extent cx="4572000" cy="2189747"/>
            <wp:effectExtent l="0" t="0" r="12700" b="7620"/>
            <wp:docPr id="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0EA0A19" w14:textId="195DB28B" w:rsidR="00F439C1" w:rsidRPr="004440BD" w:rsidRDefault="001C763A" w:rsidP="004440BD">
      <w:pPr>
        <w:jc w:val="both"/>
        <w:rPr>
          <w:sz w:val="18"/>
          <w:szCs w:val="18"/>
        </w:rPr>
      </w:pPr>
      <w:r w:rsidRPr="00761447">
        <w:rPr>
          <w:sz w:val="18"/>
          <w:szCs w:val="18"/>
        </w:rPr>
        <w:t xml:space="preserve">Kaynak: TÜİK, Betam. </w:t>
      </w:r>
    </w:p>
    <w:p w14:paraId="0C9F5D17" w14:textId="77777777" w:rsidR="00262BCD" w:rsidRDefault="00262BCD" w:rsidP="001C763A">
      <w:pPr>
        <w:rPr>
          <w:b/>
        </w:rPr>
      </w:pPr>
    </w:p>
    <w:p w14:paraId="41AC1164" w14:textId="7ED35636" w:rsidR="001C763A" w:rsidRPr="00F36279" w:rsidRDefault="001C763A" w:rsidP="001C763A">
      <w:r>
        <w:rPr>
          <w:b/>
        </w:rPr>
        <w:lastRenderedPageBreak/>
        <w:t>Ta</w:t>
      </w:r>
      <w:r w:rsidRPr="001F26BB">
        <w:rPr>
          <w:b/>
        </w:rPr>
        <w:t>blo 2: Tarım dışı işsizli</w:t>
      </w:r>
      <w:r>
        <w:rPr>
          <w:b/>
        </w:rPr>
        <w:t>ğin</w:t>
      </w:r>
      <w:r w:rsidRPr="001F26BB">
        <w:rPr>
          <w:b/>
        </w:rPr>
        <w:t xml:space="preserve"> azal</w:t>
      </w:r>
      <w:r>
        <w:rPr>
          <w:b/>
        </w:rPr>
        <w:t xml:space="preserve">dığı </w:t>
      </w:r>
      <w:r w:rsidRPr="001F26BB">
        <w:rPr>
          <w:b/>
        </w:rPr>
        <w:t>bölgeler</w:t>
      </w:r>
      <w:r>
        <w:rPr>
          <w:b/>
        </w:rPr>
        <w:t>de işgücü göstergelerinde değişim (000), 20</w:t>
      </w:r>
      <w:r w:rsidRPr="001F26BB">
        <w:rPr>
          <w:b/>
        </w:rPr>
        <w:t>18-2021</w:t>
      </w:r>
    </w:p>
    <w:tbl>
      <w:tblPr>
        <w:tblW w:w="8568" w:type="dxa"/>
        <w:tblInd w:w="70" w:type="dxa"/>
        <w:tblCellMar>
          <w:left w:w="70" w:type="dxa"/>
          <w:right w:w="70" w:type="dxa"/>
        </w:tblCellMar>
        <w:tblLook w:val="04A0" w:firstRow="1" w:lastRow="0" w:firstColumn="1" w:lastColumn="0" w:noHBand="0" w:noVBand="1"/>
      </w:tblPr>
      <w:tblGrid>
        <w:gridCol w:w="4692"/>
        <w:gridCol w:w="1405"/>
        <w:gridCol w:w="1318"/>
        <w:gridCol w:w="1153"/>
      </w:tblGrid>
      <w:tr w:rsidR="001C763A" w:rsidRPr="001F26BB" w14:paraId="732405BF" w14:textId="77777777" w:rsidTr="004440BD">
        <w:trPr>
          <w:trHeight w:val="366"/>
        </w:trPr>
        <w:tc>
          <w:tcPr>
            <w:tcW w:w="4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3FB9B" w14:textId="77777777" w:rsidR="001C763A" w:rsidRPr="001F26BB" w:rsidRDefault="001C763A" w:rsidP="00B96B30">
            <w:pPr>
              <w:spacing w:after="0" w:line="240" w:lineRule="auto"/>
              <w:rPr>
                <w:rFonts w:eastAsia="Times New Roman" w:cs="Times New Roman"/>
                <w:color w:val="000000"/>
                <w:lang w:eastAsia="tr-TR"/>
              </w:rPr>
            </w:pPr>
            <w:r w:rsidRPr="001F26BB">
              <w:rPr>
                <w:rFonts w:eastAsia="Times New Roman" w:cs="Times New Roman"/>
                <w:color w:val="000000"/>
                <w:lang w:eastAsia="tr-TR"/>
              </w:rPr>
              <w:t>Bölgeler</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14:paraId="5C78075A"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Δ</w:t>
            </w:r>
            <w:r>
              <w:rPr>
                <w:rFonts w:eastAsia="Times New Roman" w:cs="Times New Roman"/>
                <w:color w:val="000000"/>
                <w:lang w:eastAsia="tr-TR"/>
              </w:rPr>
              <w:t xml:space="preserve"> İşgücü</w:t>
            </w:r>
            <w:r w:rsidRPr="001F26BB">
              <w:rPr>
                <w:rFonts w:eastAsia="Times New Roman" w:cs="Times New Roman"/>
                <w:color w:val="000000"/>
                <w:lang w:eastAsia="tr-TR"/>
              </w:rPr>
              <w:t xml:space="preserve"> </w:t>
            </w:r>
          </w:p>
        </w:tc>
        <w:tc>
          <w:tcPr>
            <w:tcW w:w="1318" w:type="dxa"/>
            <w:tcBorders>
              <w:top w:val="single" w:sz="4" w:space="0" w:color="auto"/>
              <w:left w:val="nil"/>
              <w:bottom w:val="single" w:sz="4" w:space="0" w:color="auto"/>
              <w:right w:val="single" w:sz="4" w:space="0" w:color="auto"/>
            </w:tcBorders>
            <w:shd w:val="clear" w:color="auto" w:fill="auto"/>
            <w:noWrap/>
            <w:vAlign w:val="bottom"/>
            <w:hideMark/>
          </w:tcPr>
          <w:p w14:paraId="03BF01AF"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Δ</w:t>
            </w:r>
            <w:r>
              <w:rPr>
                <w:rFonts w:eastAsia="Times New Roman" w:cs="Times New Roman"/>
                <w:color w:val="000000"/>
                <w:lang w:eastAsia="tr-TR"/>
              </w:rPr>
              <w:t xml:space="preserve"> İstihdam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14:paraId="51B04A6D"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Δ</w:t>
            </w:r>
            <w:r>
              <w:rPr>
                <w:rFonts w:eastAsia="Times New Roman" w:cs="Times New Roman"/>
                <w:color w:val="000000"/>
                <w:lang w:eastAsia="tr-TR"/>
              </w:rPr>
              <w:t>İO</w:t>
            </w:r>
            <w:r w:rsidRPr="001F26BB">
              <w:rPr>
                <w:rFonts w:eastAsia="Times New Roman" w:cs="Times New Roman"/>
                <w:color w:val="000000"/>
                <w:lang w:eastAsia="tr-TR"/>
              </w:rPr>
              <w:t xml:space="preserve"> (%)</w:t>
            </w:r>
          </w:p>
        </w:tc>
      </w:tr>
      <w:tr w:rsidR="001C763A" w:rsidRPr="001F26BB" w14:paraId="1E5D944A" w14:textId="77777777" w:rsidTr="004440BD">
        <w:trPr>
          <w:trHeight w:val="366"/>
        </w:trPr>
        <w:tc>
          <w:tcPr>
            <w:tcW w:w="4692" w:type="dxa"/>
            <w:tcBorders>
              <w:top w:val="nil"/>
              <w:left w:val="single" w:sz="4" w:space="0" w:color="auto"/>
              <w:bottom w:val="single" w:sz="4" w:space="0" w:color="auto"/>
              <w:right w:val="single" w:sz="4" w:space="0" w:color="auto"/>
            </w:tcBorders>
            <w:shd w:val="clear" w:color="auto" w:fill="auto"/>
            <w:noWrap/>
            <w:vAlign w:val="bottom"/>
            <w:hideMark/>
          </w:tcPr>
          <w:p w14:paraId="47FD5B89" w14:textId="77777777" w:rsidR="001C763A" w:rsidRPr="001F26BB" w:rsidRDefault="001C763A" w:rsidP="00B96B30">
            <w:pPr>
              <w:spacing w:after="0" w:line="240" w:lineRule="auto"/>
              <w:rPr>
                <w:rFonts w:eastAsia="Times New Roman" w:cs="Times New Roman"/>
                <w:color w:val="000000"/>
                <w:lang w:eastAsia="tr-TR"/>
              </w:rPr>
            </w:pPr>
            <w:r w:rsidRPr="001F26BB">
              <w:rPr>
                <w:rFonts w:eastAsia="Times New Roman" w:cs="Times New Roman"/>
                <w:color w:val="000000"/>
                <w:lang w:eastAsia="tr-TR"/>
              </w:rPr>
              <w:t>TRC2 (Şanlıurfa, Diyarbakır)</w:t>
            </w:r>
          </w:p>
        </w:tc>
        <w:tc>
          <w:tcPr>
            <w:tcW w:w="1405" w:type="dxa"/>
            <w:tcBorders>
              <w:top w:val="nil"/>
              <w:left w:val="nil"/>
              <w:bottom w:val="single" w:sz="4" w:space="0" w:color="auto"/>
              <w:right w:val="single" w:sz="4" w:space="0" w:color="auto"/>
            </w:tcBorders>
            <w:shd w:val="clear" w:color="auto" w:fill="auto"/>
            <w:noWrap/>
            <w:vAlign w:val="bottom"/>
            <w:hideMark/>
          </w:tcPr>
          <w:p w14:paraId="5DAD66DE"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-48</w:t>
            </w:r>
          </w:p>
        </w:tc>
        <w:tc>
          <w:tcPr>
            <w:tcW w:w="1318" w:type="dxa"/>
            <w:tcBorders>
              <w:top w:val="nil"/>
              <w:left w:val="nil"/>
              <w:bottom w:val="single" w:sz="4" w:space="0" w:color="auto"/>
              <w:right w:val="single" w:sz="4" w:space="0" w:color="auto"/>
            </w:tcBorders>
            <w:shd w:val="clear" w:color="auto" w:fill="auto"/>
            <w:noWrap/>
            <w:vAlign w:val="bottom"/>
            <w:hideMark/>
          </w:tcPr>
          <w:p w14:paraId="60503328"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7</w:t>
            </w:r>
          </w:p>
        </w:tc>
        <w:tc>
          <w:tcPr>
            <w:tcW w:w="1153" w:type="dxa"/>
            <w:tcBorders>
              <w:top w:val="nil"/>
              <w:left w:val="nil"/>
              <w:bottom w:val="single" w:sz="4" w:space="0" w:color="auto"/>
              <w:right w:val="single" w:sz="4" w:space="0" w:color="auto"/>
            </w:tcBorders>
            <w:shd w:val="clear" w:color="auto" w:fill="auto"/>
            <w:noWrap/>
            <w:vAlign w:val="bottom"/>
            <w:hideMark/>
          </w:tcPr>
          <w:p w14:paraId="7FC75D92"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-5,8</w:t>
            </w:r>
          </w:p>
        </w:tc>
      </w:tr>
      <w:tr w:rsidR="001C763A" w:rsidRPr="001F26BB" w14:paraId="5A3184D1" w14:textId="77777777" w:rsidTr="004440BD">
        <w:trPr>
          <w:trHeight w:val="366"/>
        </w:trPr>
        <w:tc>
          <w:tcPr>
            <w:tcW w:w="4692" w:type="dxa"/>
            <w:tcBorders>
              <w:top w:val="nil"/>
              <w:left w:val="single" w:sz="4" w:space="0" w:color="auto"/>
              <w:bottom w:val="single" w:sz="4" w:space="0" w:color="auto"/>
              <w:right w:val="single" w:sz="4" w:space="0" w:color="auto"/>
            </w:tcBorders>
            <w:shd w:val="clear" w:color="auto" w:fill="auto"/>
            <w:noWrap/>
            <w:vAlign w:val="bottom"/>
            <w:hideMark/>
          </w:tcPr>
          <w:p w14:paraId="070EA417" w14:textId="77777777" w:rsidR="001C763A" w:rsidRPr="001F26BB" w:rsidRDefault="001C763A" w:rsidP="00B96B30">
            <w:pPr>
              <w:spacing w:after="0" w:line="240" w:lineRule="auto"/>
              <w:rPr>
                <w:rFonts w:eastAsia="Times New Roman" w:cs="Times New Roman"/>
                <w:color w:val="000000"/>
                <w:lang w:eastAsia="tr-TR"/>
              </w:rPr>
            </w:pPr>
            <w:r w:rsidRPr="001F26BB">
              <w:rPr>
                <w:rFonts w:eastAsia="Times New Roman" w:cs="Times New Roman"/>
                <w:color w:val="000000"/>
                <w:lang w:eastAsia="tr-TR"/>
              </w:rPr>
              <w:t>TRC1 (Gaziantep, Adıyaman, Kilis)</w:t>
            </w:r>
          </w:p>
        </w:tc>
        <w:tc>
          <w:tcPr>
            <w:tcW w:w="1405" w:type="dxa"/>
            <w:tcBorders>
              <w:top w:val="nil"/>
              <w:left w:val="nil"/>
              <w:bottom w:val="single" w:sz="4" w:space="0" w:color="auto"/>
              <w:right w:val="single" w:sz="4" w:space="0" w:color="auto"/>
            </w:tcBorders>
            <w:shd w:val="clear" w:color="auto" w:fill="auto"/>
            <w:noWrap/>
            <w:vAlign w:val="bottom"/>
            <w:hideMark/>
          </w:tcPr>
          <w:p w14:paraId="57B9CB97"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41</w:t>
            </w:r>
          </w:p>
        </w:tc>
        <w:tc>
          <w:tcPr>
            <w:tcW w:w="1318" w:type="dxa"/>
            <w:tcBorders>
              <w:top w:val="nil"/>
              <w:left w:val="nil"/>
              <w:bottom w:val="single" w:sz="4" w:space="0" w:color="auto"/>
              <w:right w:val="single" w:sz="4" w:space="0" w:color="auto"/>
            </w:tcBorders>
            <w:shd w:val="clear" w:color="auto" w:fill="auto"/>
            <w:noWrap/>
            <w:vAlign w:val="bottom"/>
            <w:hideMark/>
          </w:tcPr>
          <w:p w14:paraId="0DC43367"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55</w:t>
            </w:r>
          </w:p>
        </w:tc>
        <w:tc>
          <w:tcPr>
            <w:tcW w:w="1153" w:type="dxa"/>
            <w:tcBorders>
              <w:top w:val="nil"/>
              <w:left w:val="nil"/>
              <w:bottom w:val="single" w:sz="4" w:space="0" w:color="auto"/>
              <w:right w:val="single" w:sz="4" w:space="0" w:color="auto"/>
            </w:tcBorders>
            <w:shd w:val="clear" w:color="auto" w:fill="auto"/>
            <w:noWrap/>
            <w:vAlign w:val="bottom"/>
            <w:hideMark/>
          </w:tcPr>
          <w:p w14:paraId="3AF4BE33"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-2,5</w:t>
            </w:r>
          </w:p>
        </w:tc>
      </w:tr>
      <w:tr w:rsidR="001C763A" w:rsidRPr="001F26BB" w14:paraId="42B21978" w14:textId="77777777" w:rsidTr="004440BD">
        <w:trPr>
          <w:trHeight w:val="366"/>
        </w:trPr>
        <w:tc>
          <w:tcPr>
            <w:tcW w:w="4692" w:type="dxa"/>
            <w:tcBorders>
              <w:top w:val="nil"/>
              <w:left w:val="single" w:sz="4" w:space="0" w:color="auto"/>
              <w:bottom w:val="single" w:sz="4" w:space="0" w:color="auto"/>
              <w:right w:val="single" w:sz="4" w:space="0" w:color="auto"/>
            </w:tcBorders>
            <w:shd w:val="clear" w:color="auto" w:fill="auto"/>
            <w:noWrap/>
            <w:vAlign w:val="bottom"/>
            <w:hideMark/>
          </w:tcPr>
          <w:p w14:paraId="38C11B0C" w14:textId="77777777" w:rsidR="001C763A" w:rsidRPr="001F26BB" w:rsidRDefault="001C763A" w:rsidP="00B96B30">
            <w:pPr>
              <w:spacing w:after="0" w:line="240" w:lineRule="auto"/>
              <w:rPr>
                <w:rFonts w:eastAsia="Times New Roman" w:cs="Times New Roman"/>
                <w:color w:val="000000"/>
                <w:lang w:eastAsia="tr-TR"/>
              </w:rPr>
            </w:pPr>
            <w:r w:rsidRPr="001F26BB">
              <w:rPr>
                <w:rFonts w:eastAsia="Times New Roman" w:cs="Times New Roman"/>
                <w:color w:val="000000"/>
                <w:lang w:eastAsia="tr-TR"/>
              </w:rPr>
              <w:t>TR72 (Kayseri, Sivas, Yozgat)</w:t>
            </w:r>
          </w:p>
        </w:tc>
        <w:tc>
          <w:tcPr>
            <w:tcW w:w="1405" w:type="dxa"/>
            <w:tcBorders>
              <w:top w:val="nil"/>
              <w:left w:val="nil"/>
              <w:bottom w:val="single" w:sz="4" w:space="0" w:color="auto"/>
              <w:right w:val="single" w:sz="4" w:space="0" w:color="auto"/>
            </w:tcBorders>
            <w:shd w:val="clear" w:color="auto" w:fill="auto"/>
            <w:noWrap/>
            <w:vAlign w:val="bottom"/>
            <w:hideMark/>
          </w:tcPr>
          <w:p w14:paraId="63375C05"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44</w:t>
            </w:r>
          </w:p>
        </w:tc>
        <w:tc>
          <w:tcPr>
            <w:tcW w:w="1318" w:type="dxa"/>
            <w:tcBorders>
              <w:top w:val="nil"/>
              <w:left w:val="nil"/>
              <w:bottom w:val="single" w:sz="4" w:space="0" w:color="auto"/>
              <w:right w:val="single" w:sz="4" w:space="0" w:color="auto"/>
            </w:tcBorders>
            <w:shd w:val="clear" w:color="auto" w:fill="auto"/>
            <w:noWrap/>
            <w:vAlign w:val="bottom"/>
            <w:hideMark/>
          </w:tcPr>
          <w:p w14:paraId="5DD222A7"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52</w:t>
            </w:r>
          </w:p>
        </w:tc>
        <w:tc>
          <w:tcPr>
            <w:tcW w:w="1153" w:type="dxa"/>
            <w:tcBorders>
              <w:top w:val="nil"/>
              <w:left w:val="nil"/>
              <w:bottom w:val="single" w:sz="4" w:space="0" w:color="auto"/>
              <w:right w:val="single" w:sz="4" w:space="0" w:color="auto"/>
            </w:tcBorders>
            <w:shd w:val="clear" w:color="auto" w:fill="auto"/>
            <w:noWrap/>
            <w:vAlign w:val="bottom"/>
            <w:hideMark/>
          </w:tcPr>
          <w:p w14:paraId="61883DA7"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-2,1</w:t>
            </w:r>
          </w:p>
        </w:tc>
      </w:tr>
      <w:tr w:rsidR="001C763A" w:rsidRPr="001F26BB" w14:paraId="109BE56E" w14:textId="77777777" w:rsidTr="004440BD">
        <w:trPr>
          <w:trHeight w:val="366"/>
        </w:trPr>
        <w:tc>
          <w:tcPr>
            <w:tcW w:w="4692" w:type="dxa"/>
            <w:tcBorders>
              <w:top w:val="nil"/>
              <w:left w:val="single" w:sz="4" w:space="0" w:color="auto"/>
              <w:bottom w:val="single" w:sz="4" w:space="0" w:color="auto"/>
              <w:right w:val="single" w:sz="4" w:space="0" w:color="auto"/>
            </w:tcBorders>
            <w:shd w:val="clear" w:color="auto" w:fill="auto"/>
            <w:noWrap/>
            <w:vAlign w:val="bottom"/>
            <w:hideMark/>
          </w:tcPr>
          <w:p w14:paraId="4587D65A" w14:textId="77777777" w:rsidR="001C763A" w:rsidRPr="001F26BB" w:rsidRDefault="001C763A" w:rsidP="00B96B30">
            <w:pPr>
              <w:spacing w:after="0" w:line="240" w:lineRule="auto"/>
              <w:rPr>
                <w:rFonts w:eastAsia="Times New Roman" w:cs="Times New Roman"/>
                <w:color w:val="000000"/>
                <w:lang w:eastAsia="tr-TR"/>
              </w:rPr>
            </w:pPr>
            <w:r w:rsidRPr="001F26BB">
              <w:rPr>
                <w:rFonts w:eastAsia="Times New Roman" w:cs="Times New Roman"/>
                <w:color w:val="000000"/>
                <w:lang w:eastAsia="tr-TR"/>
              </w:rPr>
              <w:t>TR42 (Kocaeli, Sakarya, Düzce, Bolu, Yalova)</w:t>
            </w:r>
          </w:p>
        </w:tc>
        <w:tc>
          <w:tcPr>
            <w:tcW w:w="1405" w:type="dxa"/>
            <w:tcBorders>
              <w:top w:val="nil"/>
              <w:left w:val="nil"/>
              <w:bottom w:val="single" w:sz="4" w:space="0" w:color="auto"/>
              <w:right w:val="single" w:sz="4" w:space="0" w:color="auto"/>
            </w:tcBorders>
            <w:shd w:val="clear" w:color="auto" w:fill="auto"/>
            <w:noWrap/>
            <w:vAlign w:val="bottom"/>
            <w:hideMark/>
          </w:tcPr>
          <w:p w14:paraId="073718A9"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56</w:t>
            </w:r>
          </w:p>
        </w:tc>
        <w:tc>
          <w:tcPr>
            <w:tcW w:w="1318" w:type="dxa"/>
            <w:tcBorders>
              <w:top w:val="nil"/>
              <w:left w:val="nil"/>
              <w:bottom w:val="single" w:sz="4" w:space="0" w:color="auto"/>
              <w:right w:val="single" w:sz="4" w:space="0" w:color="auto"/>
            </w:tcBorders>
            <w:shd w:val="clear" w:color="auto" w:fill="auto"/>
            <w:noWrap/>
            <w:vAlign w:val="bottom"/>
            <w:hideMark/>
          </w:tcPr>
          <w:p w14:paraId="67B9B654"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62</w:t>
            </w:r>
          </w:p>
        </w:tc>
        <w:tc>
          <w:tcPr>
            <w:tcW w:w="1153" w:type="dxa"/>
            <w:tcBorders>
              <w:top w:val="nil"/>
              <w:left w:val="nil"/>
              <w:bottom w:val="single" w:sz="4" w:space="0" w:color="auto"/>
              <w:right w:val="single" w:sz="4" w:space="0" w:color="auto"/>
            </w:tcBorders>
            <w:shd w:val="clear" w:color="auto" w:fill="auto"/>
            <w:noWrap/>
            <w:vAlign w:val="bottom"/>
            <w:hideMark/>
          </w:tcPr>
          <w:p w14:paraId="5A94916D"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-0,9</w:t>
            </w:r>
          </w:p>
        </w:tc>
      </w:tr>
      <w:tr w:rsidR="001C763A" w:rsidRPr="001F26BB" w14:paraId="6798A577" w14:textId="77777777" w:rsidTr="004440BD">
        <w:trPr>
          <w:trHeight w:val="366"/>
        </w:trPr>
        <w:tc>
          <w:tcPr>
            <w:tcW w:w="4692" w:type="dxa"/>
            <w:tcBorders>
              <w:top w:val="nil"/>
              <w:left w:val="single" w:sz="4" w:space="0" w:color="auto"/>
              <w:bottom w:val="single" w:sz="4" w:space="0" w:color="auto"/>
              <w:right w:val="single" w:sz="4" w:space="0" w:color="auto"/>
            </w:tcBorders>
            <w:shd w:val="clear" w:color="auto" w:fill="auto"/>
            <w:noWrap/>
            <w:vAlign w:val="bottom"/>
            <w:hideMark/>
          </w:tcPr>
          <w:p w14:paraId="47BD76D7" w14:textId="77777777" w:rsidR="001C763A" w:rsidRPr="001F26BB" w:rsidRDefault="001C763A" w:rsidP="00B96B30">
            <w:pPr>
              <w:spacing w:after="0" w:line="240" w:lineRule="auto"/>
              <w:rPr>
                <w:rFonts w:eastAsia="Times New Roman" w:cs="Times New Roman"/>
                <w:color w:val="000000"/>
                <w:lang w:eastAsia="tr-TR"/>
              </w:rPr>
            </w:pPr>
            <w:r w:rsidRPr="001F26BB">
              <w:rPr>
                <w:rFonts w:eastAsia="Times New Roman" w:cs="Times New Roman"/>
                <w:color w:val="000000"/>
                <w:lang w:eastAsia="tr-TR"/>
              </w:rPr>
              <w:t>TRB2 (Van, Muş, Bitlis, Hakkâri)</w:t>
            </w:r>
          </w:p>
        </w:tc>
        <w:tc>
          <w:tcPr>
            <w:tcW w:w="1405" w:type="dxa"/>
            <w:tcBorders>
              <w:top w:val="nil"/>
              <w:left w:val="nil"/>
              <w:bottom w:val="single" w:sz="4" w:space="0" w:color="auto"/>
              <w:right w:val="single" w:sz="4" w:space="0" w:color="auto"/>
            </w:tcBorders>
            <w:shd w:val="clear" w:color="auto" w:fill="auto"/>
            <w:noWrap/>
            <w:vAlign w:val="bottom"/>
            <w:hideMark/>
          </w:tcPr>
          <w:p w14:paraId="4A84F3B1"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-7</w:t>
            </w:r>
          </w:p>
        </w:tc>
        <w:tc>
          <w:tcPr>
            <w:tcW w:w="1318" w:type="dxa"/>
            <w:tcBorders>
              <w:top w:val="nil"/>
              <w:left w:val="nil"/>
              <w:bottom w:val="single" w:sz="4" w:space="0" w:color="auto"/>
              <w:right w:val="single" w:sz="4" w:space="0" w:color="auto"/>
            </w:tcBorders>
            <w:shd w:val="clear" w:color="auto" w:fill="auto"/>
            <w:noWrap/>
            <w:vAlign w:val="bottom"/>
            <w:hideMark/>
          </w:tcPr>
          <w:p w14:paraId="6985A21E"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-1</w:t>
            </w:r>
          </w:p>
        </w:tc>
        <w:tc>
          <w:tcPr>
            <w:tcW w:w="1153" w:type="dxa"/>
            <w:tcBorders>
              <w:top w:val="nil"/>
              <w:left w:val="nil"/>
              <w:bottom w:val="single" w:sz="4" w:space="0" w:color="auto"/>
              <w:right w:val="single" w:sz="4" w:space="0" w:color="auto"/>
            </w:tcBorders>
            <w:shd w:val="clear" w:color="auto" w:fill="auto"/>
            <w:noWrap/>
            <w:vAlign w:val="bottom"/>
            <w:hideMark/>
          </w:tcPr>
          <w:p w14:paraId="46A94A6A"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-0,8</w:t>
            </w:r>
          </w:p>
        </w:tc>
      </w:tr>
      <w:tr w:rsidR="001C763A" w:rsidRPr="001F26BB" w14:paraId="7160BD82" w14:textId="77777777" w:rsidTr="004440BD">
        <w:trPr>
          <w:trHeight w:val="366"/>
        </w:trPr>
        <w:tc>
          <w:tcPr>
            <w:tcW w:w="4692" w:type="dxa"/>
            <w:tcBorders>
              <w:top w:val="nil"/>
              <w:left w:val="single" w:sz="4" w:space="0" w:color="auto"/>
              <w:bottom w:val="single" w:sz="4" w:space="0" w:color="auto"/>
              <w:right w:val="single" w:sz="4" w:space="0" w:color="auto"/>
            </w:tcBorders>
            <w:shd w:val="clear" w:color="auto" w:fill="auto"/>
            <w:noWrap/>
            <w:vAlign w:val="bottom"/>
            <w:hideMark/>
          </w:tcPr>
          <w:p w14:paraId="6610A1B7" w14:textId="77777777" w:rsidR="001C763A" w:rsidRPr="001F26BB" w:rsidRDefault="001C763A" w:rsidP="00B96B30">
            <w:pPr>
              <w:spacing w:after="0" w:line="240" w:lineRule="auto"/>
              <w:rPr>
                <w:rFonts w:eastAsia="Times New Roman" w:cs="Times New Roman"/>
                <w:color w:val="000000"/>
                <w:lang w:eastAsia="tr-TR"/>
              </w:rPr>
            </w:pPr>
            <w:r w:rsidRPr="001F26BB">
              <w:rPr>
                <w:rFonts w:eastAsia="Times New Roman" w:cs="Times New Roman"/>
                <w:color w:val="000000"/>
                <w:lang w:eastAsia="tr-TR"/>
              </w:rPr>
              <w:t>TR10 (İstanbul)</w:t>
            </w:r>
          </w:p>
        </w:tc>
        <w:tc>
          <w:tcPr>
            <w:tcW w:w="1405" w:type="dxa"/>
            <w:tcBorders>
              <w:top w:val="nil"/>
              <w:left w:val="nil"/>
              <w:bottom w:val="single" w:sz="4" w:space="0" w:color="auto"/>
              <w:right w:val="single" w:sz="4" w:space="0" w:color="auto"/>
            </w:tcBorders>
            <w:shd w:val="clear" w:color="auto" w:fill="auto"/>
            <w:noWrap/>
            <w:vAlign w:val="bottom"/>
            <w:hideMark/>
          </w:tcPr>
          <w:p w14:paraId="2718E15E"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-100</w:t>
            </w:r>
          </w:p>
        </w:tc>
        <w:tc>
          <w:tcPr>
            <w:tcW w:w="1318" w:type="dxa"/>
            <w:tcBorders>
              <w:top w:val="nil"/>
              <w:left w:val="nil"/>
              <w:bottom w:val="single" w:sz="4" w:space="0" w:color="auto"/>
              <w:right w:val="single" w:sz="4" w:space="0" w:color="auto"/>
            </w:tcBorders>
            <w:shd w:val="clear" w:color="auto" w:fill="auto"/>
            <w:noWrap/>
            <w:vAlign w:val="bottom"/>
            <w:hideMark/>
          </w:tcPr>
          <w:p w14:paraId="008A9E9B"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-75</w:t>
            </w:r>
          </w:p>
        </w:tc>
        <w:tc>
          <w:tcPr>
            <w:tcW w:w="1153" w:type="dxa"/>
            <w:tcBorders>
              <w:top w:val="nil"/>
              <w:left w:val="nil"/>
              <w:bottom w:val="single" w:sz="4" w:space="0" w:color="auto"/>
              <w:right w:val="single" w:sz="4" w:space="0" w:color="auto"/>
            </w:tcBorders>
            <w:shd w:val="clear" w:color="auto" w:fill="auto"/>
            <w:noWrap/>
            <w:vAlign w:val="bottom"/>
            <w:hideMark/>
          </w:tcPr>
          <w:p w14:paraId="60F35069" w14:textId="77777777" w:rsidR="001C763A" w:rsidRPr="001F26BB" w:rsidRDefault="001C763A" w:rsidP="00B96B30">
            <w:pPr>
              <w:spacing w:after="0" w:line="240" w:lineRule="auto"/>
              <w:jc w:val="center"/>
              <w:rPr>
                <w:rFonts w:eastAsia="Times New Roman" w:cs="Times New Roman"/>
                <w:color w:val="000000"/>
                <w:lang w:eastAsia="tr-TR"/>
              </w:rPr>
            </w:pPr>
            <w:r w:rsidRPr="001F26BB">
              <w:rPr>
                <w:rFonts w:eastAsia="Times New Roman" w:cs="Times New Roman"/>
                <w:color w:val="000000"/>
                <w:lang w:eastAsia="tr-TR"/>
              </w:rPr>
              <w:t>-0,2</w:t>
            </w:r>
          </w:p>
        </w:tc>
      </w:tr>
    </w:tbl>
    <w:p w14:paraId="5D6F2954" w14:textId="44529826" w:rsidR="001C763A" w:rsidRPr="002F2BE2" w:rsidRDefault="002F2BE2" w:rsidP="004440BD">
      <w:pPr>
        <w:spacing w:after="360"/>
        <w:jc w:val="both"/>
        <w:rPr>
          <w:sz w:val="18"/>
          <w:szCs w:val="18"/>
        </w:rPr>
      </w:pPr>
      <w:r>
        <w:rPr>
          <w:sz w:val="18"/>
          <w:szCs w:val="18"/>
        </w:rPr>
        <w:t xml:space="preserve">Kaynak: TÜİK, Betam. </w:t>
      </w:r>
    </w:p>
    <w:p w14:paraId="7939551E" w14:textId="42DD666E" w:rsidR="00650293" w:rsidRPr="004440BD" w:rsidRDefault="00591D97" w:rsidP="009306C8">
      <w:pPr>
        <w:spacing w:after="240"/>
        <w:rPr>
          <w:b/>
          <w:sz w:val="28"/>
          <w:szCs w:val="28"/>
        </w:rPr>
      </w:pPr>
      <w:r w:rsidRPr="004440BD">
        <w:rPr>
          <w:b/>
          <w:sz w:val="28"/>
          <w:szCs w:val="28"/>
        </w:rPr>
        <w:t>İşsizli</w:t>
      </w:r>
      <w:r w:rsidR="00501C3A" w:rsidRPr="004440BD">
        <w:rPr>
          <w:b/>
          <w:sz w:val="28"/>
          <w:szCs w:val="28"/>
        </w:rPr>
        <w:t xml:space="preserve">k ve istihdam oranları itibariyle </w:t>
      </w:r>
      <w:r w:rsidR="003C41C7" w:rsidRPr="004440BD">
        <w:rPr>
          <w:b/>
          <w:sz w:val="28"/>
          <w:szCs w:val="28"/>
        </w:rPr>
        <w:t xml:space="preserve">bölgelerin </w:t>
      </w:r>
      <w:r w:rsidR="008B7849" w:rsidRPr="004440BD">
        <w:rPr>
          <w:b/>
          <w:sz w:val="28"/>
          <w:szCs w:val="28"/>
        </w:rPr>
        <w:t>konumları</w:t>
      </w:r>
    </w:p>
    <w:p w14:paraId="13603261" w14:textId="1FFD3275" w:rsidR="003C41C7" w:rsidRPr="009128F3" w:rsidRDefault="00650293" w:rsidP="004440BD">
      <w:pPr>
        <w:spacing w:line="360" w:lineRule="auto"/>
        <w:jc w:val="both"/>
        <w:rPr>
          <w:sz w:val="24"/>
          <w:szCs w:val="24"/>
          <w:highlight w:val="yellow"/>
        </w:rPr>
      </w:pPr>
      <w:r w:rsidRPr="009128F3">
        <w:rPr>
          <w:sz w:val="24"/>
          <w:szCs w:val="24"/>
        </w:rPr>
        <w:t xml:space="preserve">Tarım dışı işsizlik oranlarının karşılaştırılmasının bölgesel işgücü piyasalarının değerlendirilmesinde yetersiz olabileceğini belirtmiş, bu ölçütün yanı sıra tarım dışı istihdam oranlarının da dikkate alınması gerektiğini vurgulamıştık. </w:t>
      </w:r>
      <w:r w:rsidR="004A0FE5" w:rsidRPr="009128F3">
        <w:rPr>
          <w:sz w:val="24"/>
          <w:szCs w:val="24"/>
        </w:rPr>
        <w:t xml:space="preserve">Bu iki ölçüt birlikte </w:t>
      </w:r>
      <w:r w:rsidR="00F6643D" w:rsidRPr="009128F3">
        <w:rPr>
          <w:sz w:val="24"/>
          <w:szCs w:val="24"/>
        </w:rPr>
        <w:t>dikkat alındığında</w:t>
      </w:r>
      <w:r w:rsidR="004A0FE5" w:rsidRPr="009128F3">
        <w:rPr>
          <w:sz w:val="24"/>
          <w:szCs w:val="24"/>
        </w:rPr>
        <w:t xml:space="preserve"> </w:t>
      </w:r>
      <w:r w:rsidR="00F6643D" w:rsidRPr="009128F3">
        <w:rPr>
          <w:sz w:val="24"/>
          <w:szCs w:val="24"/>
        </w:rPr>
        <w:t xml:space="preserve">bölgesel </w:t>
      </w:r>
      <w:r w:rsidR="004A0FE5" w:rsidRPr="009128F3">
        <w:rPr>
          <w:sz w:val="24"/>
          <w:szCs w:val="24"/>
        </w:rPr>
        <w:t>işgücü piyasası performans</w:t>
      </w:r>
      <w:r w:rsidR="00F6643D" w:rsidRPr="009128F3">
        <w:rPr>
          <w:sz w:val="24"/>
          <w:szCs w:val="24"/>
        </w:rPr>
        <w:t>ları</w:t>
      </w:r>
      <w:r w:rsidR="004A0FE5" w:rsidRPr="009128F3">
        <w:rPr>
          <w:sz w:val="24"/>
          <w:szCs w:val="24"/>
        </w:rPr>
        <w:t xml:space="preserve"> </w:t>
      </w:r>
      <w:r w:rsidR="007A4EE0" w:rsidRPr="009128F3">
        <w:rPr>
          <w:sz w:val="24"/>
          <w:szCs w:val="24"/>
        </w:rPr>
        <w:t xml:space="preserve">daha </w:t>
      </w:r>
      <w:r w:rsidR="00F6643D" w:rsidRPr="009128F3">
        <w:rPr>
          <w:sz w:val="24"/>
          <w:szCs w:val="24"/>
        </w:rPr>
        <w:t>anlamlı</w:t>
      </w:r>
      <w:r w:rsidRPr="009128F3">
        <w:rPr>
          <w:sz w:val="24"/>
          <w:szCs w:val="24"/>
        </w:rPr>
        <w:t xml:space="preserve"> bir şekilde </w:t>
      </w:r>
      <w:r w:rsidR="001A3B9C" w:rsidRPr="009128F3">
        <w:rPr>
          <w:sz w:val="24"/>
          <w:szCs w:val="24"/>
        </w:rPr>
        <w:t>değerlendirilebilir</w:t>
      </w:r>
      <w:r w:rsidR="004A0FE5" w:rsidRPr="009128F3">
        <w:rPr>
          <w:sz w:val="24"/>
          <w:szCs w:val="24"/>
        </w:rPr>
        <w:t xml:space="preserve">. </w:t>
      </w:r>
    </w:p>
    <w:p w14:paraId="73A8C983" w14:textId="28A00B21" w:rsidR="003C41C7" w:rsidRPr="009128F3" w:rsidRDefault="007A4EE0" w:rsidP="004440BD">
      <w:pPr>
        <w:spacing w:line="360" w:lineRule="auto"/>
        <w:jc w:val="both"/>
        <w:rPr>
          <w:sz w:val="24"/>
          <w:szCs w:val="24"/>
        </w:rPr>
      </w:pPr>
      <w:r w:rsidRPr="009128F3">
        <w:rPr>
          <w:sz w:val="24"/>
          <w:szCs w:val="24"/>
        </w:rPr>
        <w:t xml:space="preserve">Şekil </w:t>
      </w:r>
      <w:r w:rsidR="009967B4" w:rsidRPr="009128F3">
        <w:rPr>
          <w:sz w:val="24"/>
          <w:szCs w:val="24"/>
        </w:rPr>
        <w:t>3’t</w:t>
      </w:r>
      <w:r w:rsidRPr="009128F3">
        <w:rPr>
          <w:sz w:val="24"/>
          <w:szCs w:val="24"/>
        </w:rPr>
        <w:t>e t</w:t>
      </w:r>
      <w:r w:rsidR="004A0FE5" w:rsidRPr="009128F3">
        <w:rPr>
          <w:sz w:val="24"/>
          <w:szCs w:val="24"/>
        </w:rPr>
        <w:t>arım dışı işsizlik ve tarım dışı istihdam oranların</w:t>
      </w:r>
      <w:r w:rsidR="001A3B9C" w:rsidRPr="009128F3">
        <w:rPr>
          <w:sz w:val="24"/>
          <w:szCs w:val="24"/>
        </w:rPr>
        <w:t>dan oluşan</w:t>
      </w:r>
      <w:r w:rsidR="004A0FE5" w:rsidRPr="009128F3">
        <w:rPr>
          <w:sz w:val="24"/>
          <w:szCs w:val="24"/>
        </w:rPr>
        <w:t xml:space="preserve"> bir planda </w:t>
      </w:r>
      <w:r w:rsidR="001A3B9C" w:rsidRPr="009128F3">
        <w:rPr>
          <w:sz w:val="24"/>
          <w:szCs w:val="24"/>
        </w:rPr>
        <w:t xml:space="preserve">2021 verileri itibariyle </w:t>
      </w:r>
      <w:r w:rsidR="004A0FE5" w:rsidRPr="009128F3">
        <w:rPr>
          <w:sz w:val="24"/>
          <w:szCs w:val="24"/>
        </w:rPr>
        <w:t>26 bölge konumlandırılmıştır. Bölgelerin yer aldığı plan</w:t>
      </w:r>
      <w:r w:rsidR="009967B4" w:rsidRPr="009128F3">
        <w:rPr>
          <w:sz w:val="24"/>
          <w:szCs w:val="24"/>
        </w:rPr>
        <w:t>,</w:t>
      </w:r>
      <w:r w:rsidR="004A0FE5" w:rsidRPr="009128F3">
        <w:rPr>
          <w:sz w:val="24"/>
          <w:szCs w:val="24"/>
        </w:rPr>
        <w:t xml:space="preserve"> Türkiye </w:t>
      </w:r>
      <w:r w:rsidR="00DE04B7" w:rsidRPr="009128F3">
        <w:rPr>
          <w:sz w:val="24"/>
          <w:szCs w:val="24"/>
        </w:rPr>
        <w:t xml:space="preserve">geneli </w:t>
      </w:r>
      <w:r w:rsidR="001A3B9C" w:rsidRPr="009128F3">
        <w:rPr>
          <w:sz w:val="24"/>
          <w:szCs w:val="24"/>
        </w:rPr>
        <w:t xml:space="preserve">tarım dışı </w:t>
      </w:r>
      <w:r w:rsidR="00DE04B7" w:rsidRPr="009128F3">
        <w:rPr>
          <w:sz w:val="24"/>
          <w:szCs w:val="24"/>
        </w:rPr>
        <w:t>işsizlik ve tarım dışı istihdam oran</w:t>
      </w:r>
      <w:r w:rsidR="001A3B9C" w:rsidRPr="009128F3">
        <w:rPr>
          <w:sz w:val="24"/>
          <w:szCs w:val="24"/>
        </w:rPr>
        <w:t>lar</w:t>
      </w:r>
      <w:r w:rsidR="00DE04B7" w:rsidRPr="009128F3">
        <w:rPr>
          <w:sz w:val="24"/>
          <w:szCs w:val="24"/>
        </w:rPr>
        <w:t>ı</w:t>
      </w:r>
      <w:r w:rsidR="001A3B9C" w:rsidRPr="009128F3">
        <w:rPr>
          <w:sz w:val="24"/>
          <w:szCs w:val="24"/>
        </w:rPr>
        <w:t xml:space="preserve"> (yüzde 14,1 ve 40,6)</w:t>
      </w:r>
      <w:r w:rsidR="00DE04B7" w:rsidRPr="009128F3">
        <w:rPr>
          <w:sz w:val="24"/>
          <w:szCs w:val="24"/>
        </w:rPr>
        <w:t xml:space="preserve"> itibariyle </w:t>
      </w:r>
      <w:r w:rsidR="001A3B9C" w:rsidRPr="009128F3">
        <w:rPr>
          <w:sz w:val="24"/>
          <w:szCs w:val="24"/>
        </w:rPr>
        <w:t xml:space="preserve">ayrıştırıldığında </w:t>
      </w:r>
      <w:r w:rsidR="004A0FE5" w:rsidRPr="009128F3">
        <w:rPr>
          <w:sz w:val="24"/>
          <w:szCs w:val="24"/>
        </w:rPr>
        <w:t xml:space="preserve">ortaya dört </w:t>
      </w:r>
      <w:r w:rsidR="00DE04B7" w:rsidRPr="009128F3">
        <w:rPr>
          <w:sz w:val="24"/>
          <w:szCs w:val="24"/>
        </w:rPr>
        <w:t xml:space="preserve">farklı </w:t>
      </w:r>
      <w:r w:rsidR="004A0FE5" w:rsidRPr="009128F3">
        <w:rPr>
          <w:sz w:val="24"/>
          <w:szCs w:val="24"/>
        </w:rPr>
        <w:t>alan çıkmaktadır</w:t>
      </w:r>
      <w:r w:rsidR="009967B4" w:rsidRPr="009128F3">
        <w:rPr>
          <w:sz w:val="24"/>
          <w:szCs w:val="24"/>
        </w:rPr>
        <w:t>.</w:t>
      </w:r>
      <w:r w:rsidR="004A0FE5" w:rsidRPr="009128F3">
        <w:rPr>
          <w:sz w:val="24"/>
          <w:szCs w:val="24"/>
        </w:rPr>
        <w:t xml:space="preserve"> Bu dört alan </w:t>
      </w:r>
      <w:r w:rsidR="001A3B9C" w:rsidRPr="009128F3">
        <w:rPr>
          <w:sz w:val="24"/>
          <w:szCs w:val="24"/>
        </w:rPr>
        <w:t>dört</w:t>
      </w:r>
      <w:r w:rsidR="00DE04B7" w:rsidRPr="009128F3">
        <w:rPr>
          <w:sz w:val="24"/>
          <w:szCs w:val="24"/>
        </w:rPr>
        <w:t xml:space="preserve"> farklı performansa işaret etmektedir. </w:t>
      </w:r>
      <w:r w:rsidR="004A0FE5" w:rsidRPr="009128F3">
        <w:rPr>
          <w:b/>
          <w:sz w:val="24"/>
          <w:szCs w:val="24"/>
        </w:rPr>
        <w:t>Sol üst alandaki bölgeler</w:t>
      </w:r>
      <w:r w:rsidR="00650293" w:rsidRPr="009128F3">
        <w:rPr>
          <w:b/>
          <w:sz w:val="24"/>
          <w:szCs w:val="24"/>
        </w:rPr>
        <w:t xml:space="preserve"> bariz bir şekilde </w:t>
      </w:r>
      <w:r w:rsidR="00627779" w:rsidRPr="009128F3">
        <w:rPr>
          <w:b/>
          <w:sz w:val="24"/>
          <w:szCs w:val="24"/>
        </w:rPr>
        <w:t xml:space="preserve">düşük </w:t>
      </w:r>
      <w:r w:rsidR="004A0FE5" w:rsidRPr="009128F3">
        <w:rPr>
          <w:b/>
          <w:sz w:val="24"/>
          <w:szCs w:val="24"/>
        </w:rPr>
        <w:t>işgücü piyasası performansın</w:t>
      </w:r>
      <w:r w:rsidR="00627779" w:rsidRPr="009128F3">
        <w:rPr>
          <w:b/>
          <w:sz w:val="24"/>
          <w:szCs w:val="24"/>
        </w:rPr>
        <w:t>a sahip</w:t>
      </w:r>
      <w:r w:rsidR="004A0FE5" w:rsidRPr="009128F3">
        <w:rPr>
          <w:b/>
          <w:sz w:val="24"/>
          <w:szCs w:val="24"/>
        </w:rPr>
        <w:t xml:space="preserve"> </w:t>
      </w:r>
      <w:r w:rsidR="004A0FE5" w:rsidRPr="009128F3">
        <w:rPr>
          <w:sz w:val="24"/>
          <w:szCs w:val="24"/>
        </w:rPr>
        <w:t>bölgelerdir</w:t>
      </w:r>
      <w:r w:rsidR="00627779" w:rsidRPr="009128F3">
        <w:rPr>
          <w:b/>
          <w:sz w:val="24"/>
          <w:szCs w:val="24"/>
        </w:rPr>
        <w:t>.</w:t>
      </w:r>
      <w:r w:rsidR="004A0FE5" w:rsidRPr="009128F3">
        <w:rPr>
          <w:sz w:val="24"/>
          <w:szCs w:val="24"/>
        </w:rPr>
        <w:t xml:space="preserve"> </w:t>
      </w:r>
      <w:r w:rsidR="00627779" w:rsidRPr="009128F3">
        <w:rPr>
          <w:sz w:val="24"/>
          <w:szCs w:val="24"/>
        </w:rPr>
        <w:t>B</w:t>
      </w:r>
      <w:r w:rsidR="004A0FE5" w:rsidRPr="009128F3">
        <w:rPr>
          <w:sz w:val="24"/>
          <w:szCs w:val="24"/>
        </w:rPr>
        <w:t xml:space="preserve">u bölgelerde işsizlik </w:t>
      </w:r>
      <w:r w:rsidR="009967B4" w:rsidRPr="009128F3">
        <w:rPr>
          <w:sz w:val="24"/>
          <w:szCs w:val="24"/>
        </w:rPr>
        <w:t>oranı Türkiye genelinden</w:t>
      </w:r>
      <w:r w:rsidR="004A0FE5" w:rsidRPr="009128F3">
        <w:rPr>
          <w:sz w:val="24"/>
          <w:szCs w:val="24"/>
        </w:rPr>
        <w:t xml:space="preserve"> yüksek</w:t>
      </w:r>
      <w:r w:rsidR="00161187" w:rsidRPr="009128F3">
        <w:rPr>
          <w:sz w:val="24"/>
          <w:szCs w:val="24"/>
        </w:rPr>
        <w:t>,</w:t>
      </w:r>
      <w:r w:rsidR="004A0FE5" w:rsidRPr="009128F3">
        <w:rPr>
          <w:sz w:val="24"/>
          <w:szCs w:val="24"/>
        </w:rPr>
        <w:t xml:space="preserve"> istihdam oranı ise düşüktür. </w:t>
      </w:r>
      <w:r w:rsidR="004A0FE5" w:rsidRPr="009128F3">
        <w:rPr>
          <w:b/>
          <w:sz w:val="24"/>
          <w:szCs w:val="24"/>
        </w:rPr>
        <w:t xml:space="preserve">Sağ alt alandaki bölgeler ise </w:t>
      </w:r>
      <w:r w:rsidR="00650293" w:rsidRPr="009128F3">
        <w:rPr>
          <w:b/>
          <w:sz w:val="24"/>
          <w:szCs w:val="24"/>
        </w:rPr>
        <w:t xml:space="preserve">bariz bir şekilde </w:t>
      </w:r>
      <w:r w:rsidR="00627779" w:rsidRPr="009128F3">
        <w:rPr>
          <w:b/>
          <w:sz w:val="24"/>
          <w:szCs w:val="24"/>
        </w:rPr>
        <w:t xml:space="preserve">yüksek </w:t>
      </w:r>
      <w:r w:rsidR="004A0FE5" w:rsidRPr="009128F3">
        <w:rPr>
          <w:b/>
          <w:sz w:val="24"/>
          <w:szCs w:val="24"/>
        </w:rPr>
        <w:t xml:space="preserve">işgücü piyasası performansına </w:t>
      </w:r>
      <w:r w:rsidR="00627779" w:rsidRPr="009128F3">
        <w:rPr>
          <w:b/>
          <w:sz w:val="24"/>
          <w:szCs w:val="24"/>
        </w:rPr>
        <w:t xml:space="preserve">sahip </w:t>
      </w:r>
      <w:r w:rsidR="004A0FE5" w:rsidRPr="009128F3">
        <w:rPr>
          <w:sz w:val="24"/>
          <w:szCs w:val="24"/>
        </w:rPr>
        <w:t>bölgelerdir</w:t>
      </w:r>
      <w:r w:rsidR="00627779" w:rsidRPr="009128F3">
        <w:rPr>
          <w:b/>
          <w:sz w:val="24"/>
          <w:szCs w:val="24"/>
        </w:rPr>
        <w:t>.</w:t>
      </w:r>
      <w:r w:rsidR="004A0FE5" w:rsidRPr="009128F3">
        <w:rPr>
          <w:sz w:val="24"/>
          <w:szCs w:val="24"/>
        </w:rPr>
        <w:t xml:space="preserve"> </w:t>
      </w:r>
      <w:r w:rsidR="00627779" w:rsidRPr="009128F3">
        <w:rPr>
          <w:sz w:val="24"/>
          <w:szCs w:val="24"/>
        </w:rPr>
        <w:t>B</w:t>
      </w:r>
      <w:r w:rsidR="004A0FE5" w:rsidRPr="009128F3">
        <w:rPr>
          <w:sz w:val="24"/>
          <w:szCs w:val="24"/>
        </w:rPr>
        <w:t xml:space="preserve">u bölgelerde işsizlik </w:t>
      </w:r>
      <w:r w:rsidR="009967B4" w:rsidRPr="009128F3">
        <w:rPr>
          <w:sz w:val="24"/>
          <w:szCs w:val="24"/>
        </w:rPr>
        <w:t>oranı Türkiye genelinden düşük</w:t>
      </w:r>
      <w:r w:rsidR="009128F3" w:rsidRPr="009128F3">
        <w:rPr>
          <w:sz w:val="24"/>
          <w:szCs w:val="24"/>
        </w:rPr>
        <w:t>,</w:t>
      </w:r>
      <w:r w:rsidR="004A0FE5" w:rsidRPr="009128F3">
        <w:rPr>
          <w:sz w:val="24"/>
          <w:szCs w:val="24"/>
        </w:rPr>
        <w:t xml:space="preserve"> istihdam oranı ise </w:t>
      </w:r>
      <w:r w:rsidR="009967B4" w:rsidRPr="009128F3">
        <w:rPr>
          <w:sz w:val="24"/>
          <w:szCs w:val="24"/>
        </w:rPr>
        <w:t>yüksektir</w:t>
      </w:r>
      <w:r w:rsidR="004A0FE5" w:rsidRPr="009128F3">
        <w:rPr>
          <w:sz w:val="24"/>
          <w:szCs w:val="24"/>
        </w:rPr>
        <w:t>.</w:t>
      </w:r>
      <w:r w:rsidR="00063F70" w:rsidRPr="009128F3">
        <w:rPr>
          <w:sz w:val="24"/>
          <w:szCs w:val="24"/>
        </w:rPr>
        <w:t xml:space="preserve"> Sol alt ve sağ üst alanlar</w:t>
      </w:r>
      <w:r w:rsidR="00DE04B7" w:rsidRPr="009128F3">
        <w:rPr>
          <w:sz w:val="24"/>
          <w:szCs w:val="24"/>
        </w:rPr>
        <w:t xml:space="preserve">ın işaret </w:t>
      </w:r>
      <w:r w:rsidR="00EA4C58" w:rsidRPr="009128F3">
        <w:rPr>
          <w:sz w:val="24"/>
          <w:szCs w:val="24"/>
        </w:rPr>
        <w:t>e</w:t>
      </w:r>
      <w:r w:rsidR="00DE04B7" w:rsidRPr="009128F3">
        <w:rPr>
          <w:sz w:val="24"/>
          <w:szCs w:val="24"/>
        </w:rPr>
        <w:t xml:space="preserve">ttiği performans bu kadar </w:t>
      </w:r>
      <w:r w:rsidR="00063F70" w:rsidRPr="009128F3">
        <w:rPr>
          <w:sz w:val="24"/>
          <w:szCs w:val="24"/>
        </w:rPr>
        <w:t xml:space="preserve">net </w:t>
      </w:r>
      <w:r w:rsidR="00EA4C58" w:rsidRPr="009128F3">
        <w:rPr>
          <w:sz w:val="24"/>
          <w:szCs w:val="24"/>
        </w:rPr>
        <w:t>değildir: S</w:t>
      </w:r>
      <w:r w:rsidR="00063F70" w:rsidRPr="009128F3">
        <w:rPr>
          <w:sz w:val="24"/>
          <w:szCs w:val="24"/>
        </w:rPr>
        <w:t>ol alt alanda tarım dışı işsizlik ve istihdam oranları düşük bölgeler yer alırken, sağ üst alanda tarım dışı işsizlik ve istihdam oranları yüksek bölgeler yer almaktadır.</w:t>
      </w:r>
    </w:p>
    <w:p w14:paraId="22D959F3" w14:textId="56196BAD" w:rsidR="004440BD" w:rsidRPr="009128F3" w:rsidRDefault="009967B4" w:rsidP="009128F3">
      <w:pPr>
        <w:spacing w:line="360" w:lineRule="auto"/>
        <w:jc w:val="both"/>
        <w:rPr>
          <w:sz w:val="24"/>
          <w:szCs w:val="24"/>
          <w:highlight w:val="yellow"/>
        </w:rPr>
      </w:pPr>
      <w:r w:rsidRPr="009128F3">
        <w:rPr>
          <w:sz w:val="24"/>
          <w:szCs w:val="24"/>
        </w:rPr>
        <w:t xml:space="preserve">Öncelikle bariz bir şekilde </w:t>
      </w:r>
      <w:r w:rsidRPr="00262BCD">
        <w:rPr>
          <w:sz w:val="24"/>
          <w:szCs w:val="24"/>
        </w:rPr>
        <w:t xml:space="preserve">en </w:t>
      </w:r>
      <w:r w:rsidR="00262BCD" w:rsidRPr="00262BCD">
        <w:rPr>
          <w:sz w:val="24"/>
          <w:szCs w:val="24"/>
        </w:rPr>
        <w:t xml:space="preserve">düşük </w:t>
      </w:r>
      <w:r w:rsidRPr="00262BCD">
        <w:rPr>
          <w:sz w:val="24"/>
          <w:szCs w:val="24"/>
        </w:rPr>
        <w:t>performansa</w:t>
      </w:r>
      <w:r w:rsidRPr="009128F3">
        <w:rPr>
          <w:sz w:val="24"/>
          <w:szCs w:val="24"/>
        </w:rPr>
        <w:t xml:space="preserve"> sahip bölgelere sırasıyla odaklanmak yerinde olacaktır. Bu bağlamda</w:t>
      </w:r>
      <w:r w:rsidR="009128F3">
        <w:rPr>
          <w:sz w:val="24"/>
          <w:szCs w:val="24"/>
        </w:rPr>
        <w:t xml:space="preserve"> </w:t>
      </w:r>
      <w:r w:rsidRPr="009128F3">
        <w:rPr>
          <w:sz w:val="24"/>
          <w:szCs w:val="24"/>
        </w:rPr>
        <w:t>aynı alanda yer alan bölgeleri performans açısından karşılaştırmak</w:t>
      </w:r>
      <w:r w:rsidR="009128F3">
        <w:rPr>
          <w:sz w:val="24"/>
          <w:szCs w:val="24"/>
        </w:rPr>
        <w:t>,</w:t>
      </w:r>
      <w:r w:rsidRPr="009128F3">
        <w:rPr>
          <w:sz w:val="24"/>
          <w:szCs w:val="24"/>
        </w:rPr>
        <w:t xml:space="preserve"> işsizlik ve istihdam ölçütlerini birleştiren bir ölçüt tasarlanmadığı takdirde kolay </w:t>
      </w:r>
      <w:r w:rsidR="009128F3">
        <w:rPr>
          <w:sz w:val="24"/>
          <w:szCs w:val="24"/>
        </w:rPr>
        <w:t>olmadığını belirtmek isteriz</w:t>
      </w:r>
      <w:r w:rsidRPr="009128F3">
        <w:rPr>
          <w:sz w:val="24"/>
          <w:szCs w:val="24"/>
        </w:rPr>
        <w:t xml:space="preserve">. Bununla birlikte işsizlik oranlarının çok yakın olduğu bölgelerde istihdam oranları dikkate alınarak performans karşılaştırması yapılabilir. Keza istihdam oranlarının </w:t>
      </w:r>
      <w:r w:rsidRPr="009128F3">
        <w:rPr>
          <w:sz w:val="24"/>
          <w:szCs w:val="24"/>
        </w:rPr>
        <w:lastRenderedPageBreak/>
        <w:t xml:space="preserve">birbirine çok yakın olduğu bölgelerde de işsizlik oranları itibariyle karşılaştırma yapmak mümkündür. </w:t>
      </w:r>
    </w:p>
    <w:p w14:paraId="1448871A" w14:textId="085AC0D1" w:rsidR="00712AC6" w:rsidRPr="009128F3" w:rsidRDefault="00712AC6" w:rsidP="00712AC6">
      <w:pPr>
        <w:jc w:val="both"/>
        <w:rPr>
          <w:sz w:val="24"/>
          <w:szCs w:val="24"/>
        </w:rPr>
      </w:pPr>
      <w:r w:rsidRPr="009128F3">
        <w:rPr>
          <w:b/>
          <w:sz w:val="24"/>
          <w:szCs w:val="24"/>
        </w:rPr>
        <w:t xml:space="preserve">Şekil </w:t>
      </w:r>
      <w:r w:rsidR="009967B4" w:rsidRPr="009128F3">
        <w:rPr>
          <w:b/>
          <w:sz w:val="24"/>
          <w:szCs w:val="24"/>
        </w:rPr>
        <w:t>3</w:t>
      </w:r>
      <w:r w:rsidRPr="009128F3">
        <w:rPr>
          <w:b/>
          <w:sz w:val="24"/>
          <w:szCs w:val="24"/>
        </w:rPr>
        <w:t xml:space="preserve">: Bölgelerin tarım dışı işsizlik </w:t>
      </w:r>
      <w:r w:rsidR="00372D7A" w:rsidRPr="009128F3">
        <w:rPr>
          <w:b/>
          <w:sz w:val="24"/>
          <w:szCs w:val="24"/>
        </w:rPr>
        <w:t xml:space="preserve">ve </w:t>
      </w:r>
      <w:r w:rsidRPr="009128F3">
        <w:rPr>
          <w:b/>
          <w:sz w:val="24"/>
          <w:szCs w:val="24"/>
        </w:rPr>
        <w:t>istihdam oranları itibariyle dağılımı (2021)</w:t>
      </w:r>
    </w:p>
    <w:p w14:paraId="3712986B" w14:textId="662C0835" w:rsidR="00392D69" w:rsidRDefault="00892D1D" w:rsidP="003D3113">
      <w:pPr>
        <w:spacing w:after="0"/>
        <w:jc w:val="both"/>
        <w:rPr>
          <w:sz w:val="20"/>
          <w:szCs w:val="20"/>
        </w:rPr>
      </w:pPr>
      <w:r>
        <w:rPr>
          <w:noProof/>
          <w:lang w:eastAsia="tr-TR"/>
        </w:rPr>
        <w:drawing>
          <wp:inline distT="0" distB="0" distL="0" distR="0" wp14:anchorId="4243B737" wp14:editId="6859324D">
            <wp:extent cx="5759355" cy="3214048"/>
            <wp:effectExtent l="0" t="0" r="13335" b="2476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0332B0E" w14:textId="07AE0830" w:rsidR="001F26BB" w:rsidRDefault="00D970DD" w:rsidP="00D31F60">
      <w:pPr>
        <w:spacing w:after="480"/>
        <w:jc w:val="both"/>
      </w:pPr>
      <w:r>
        <w:t xml:space="preserve">Kaynak: </w:t>
      </w:r>
      <w:r w:rsidR="00FB5E6C">
        <w:t>Tüik,</w:t>
      </w:r>
      <w:r w:rsidR="007002BE">
        <w:t xml:space="preserve"> Betam </w:t>
      </w:r>
    </w:p>
    <w:p w14:paraId="4AEA4217" w14:textId="4DE87933" w:rsidR="003C41C7" w:rsidRPr="00D31F60" w:rsidRDefault="002714DB" w:rsidP="009128F3">
      <w:pPr>
        <w:spacing w:after="240"/>
        <w:rPr>
          <w:b/>
          <w:sz w:val="28"/>
          <w:szCs w:val="28"/>
        </w:rPr>
      </w:pPr>
      <w:r w:rsidRPr="00D31F60">
        <w:rPr>
          <w:b/>
          <w:sz w:val="28"/>
          <w:szCs w:val="28"/>
        </w:rPr>
        <w:t>Düşük performans</w:t>
      </w:r>
      <w:r w:rsidR="003C41C7" w:rsidRPr="00D31F60">
        <w:rPr>
          <w:b/>
          <w:sz w:val="28"/>
          <w:szCs w:val="28"/>
        </w:rPr>
        <w:t>a</w:t>
      </w:r>
      <w:r w:rsidRPr="00D31F60">
        <w:rPr>
          <w:b/>
          <w:sz w:val="28"/>
          <w:szCs w:val="28"/>
        </w:rPr>
        <w:t xml:space="preserve"> sahip bölgeler</w:t>
      </w:r>
    </w:p>
    <w:p w14:paraId="721315EA" w14:textId="55B849D4" w:rsidR="00E17434" w:rsidRPr="00DB0688" w:rsidRDefault="00A37537" w:rsidP="00DB0688">
      <w:pPr>
        <w:spacing w:line="360" w:lineRule="auto"/>
        <w:jc w:val="both"/>
        <w:rPr>
          <w:b/>
          <w:sz w:val="24"/>
          <w:szCs w:val="24"/>
        </w:rPr>
      </w:pPr>
      <w:r w:rsidRPr="00DB0688">
        <w:rPr>
          <w:b/>
          <w:sz w:val="24"/>
          <w:szCs w:val="24"/>
        </w:rPr>
        <w:t>Düşük performans alanında 8 bölge</w:t>
      </w:r>
      <w:r w:rsidRPr="00DB0688">
        <w:rPr>
          <w:sz w:val="24"/>
          <w:szCs w:val="24"/>
        </w:rPr>
        <w:t xml:space="preserve"> yer almaktadır. Bu bölgelerden dördünün (TRC3, TRB2, TRA2 ve TRC2)</w:t>
      </w:r>
      <w:r w:rsidRPr="00DB0688">
        <w:rPr>
          <w:b/>
          <w:sz w:val="24"/>
          <w:szCs w:val="24"/>
        </w:rPr>
        <w:t xml:space="preserve"> </w:t>
      </w:r>
      <w:r w:rsidRPr="00DB0688">
        <w:rPr>
          <w:sz w:val="24"/>
          <w:szCs w:val="24"/>
        </w:rPr>
        <w:t>diğer dördünden</w:t>
      </w:r>
      <w:r w:rsidRPr="00DB0688">
        <w:rPr>
          <w:b/>
          <w:sz w:val="24"/>
          <w:szCs w:val="24"/>
        </w:rPr>
        <w:t xml:space="preserve"> </w:t>
      </w:r>
      <w:r w:rsidRPr="00DB0688">
        <w:rPr>
          <w:sz w:val="24"/>
          <w:szCs w:val="24"/>
        </w:rPr>
        <w:t xml:space="preserve">(TR63, </w:t>
      </w:r>
      <w:r w:rsidR="00FA7580" w:rsidRPr="00DB0688">
        <w:rPr>
          <w:sz w:val="24"/>
          <w:szCs w:val="24"/>
        </w:rPr>
        <w:t xml:space="preserve">TR71, TR90 ve TR62) </w:t>
      </w:r>
      <w:r w:rsidR="00FA7580" w:rsidRPr="00DB0688">
        <w:rPr>
          <w:b/>
          <w:sz w:val="24"/>
          <w:szCs w:val="24"/>
        </w:rPr>
        <w:t xml:space="preserve">çok </w:t>
      </w:r>
      <w:r w:rsidR="00FB6F82" w:rsidRPr="00DB0688">
        <w:rPr>
          <w:b/>
          <w:sz w:val="24"/>
          <w:szCs w:val="24"/>
        </w:rPr>
        <w:t>d</w:t>
      </w:r>
      <w:r w:rsidR="00F8095E" w:rsidRPr="00DB0688">
        <w:rPr>
          <w:b/>
          <w:sz w:val="24"/>
          <w:szCs w:val="24"/>
        </w:rPr>
        <w:t xml:space="preserve">aha </w:t>
      </w:r>
      <w:r w:rsidR="00FB6F82" w:rsidRPr="00DB0688">
        <w:rPr>
          <w:b/>
          <w:sz w:val="24"/>
          <w:szCs w:val="24"/>
        </w:rPr>
        <w:t xml:space="preserve">düşük </w:t>
      </w:r>
      <w:r w:rsidR="00FA7580" w:rsidRPr="00DB0688">
        <w:rPr>
          <w:b/>
          <w:sz w:val="24"/>
          <w:szCs w:val="24"/>
        </w:rPr>
        <w:t xml:space="preserve">bir </w:t>
      </w:r>
      <w:r w:rsidR="00655098" w:rsidRPr="00DB0688">
        <w:rPr>
          <w:b/>
          <w:sz w:val="24"/>
          <w:szCs w:val="24"/>
        </w:rPr>
        <w:t>performansa sahip</w:t>
      </w:r>
      <w:r w:rsidR="00FB6F82" w:rsidRPr="00DB0688">
        <w:rPr>
          <w:b/>
          <w:sz w:val="24"/>
          <w:szCs w:val="24"/>
        </w:rPr>
        <w:t xml:space="preserve"> oldukları açıkça görülmektedir.</w:t>
      </w:r>
      <w:r w:rsidR="00655098" w:rsidRPr="00DB0688">
        <w:rPr>
          <w:b/>
          <w:sz w:val="24"/>
          <w:szCs w:val="24"/>
        </w:rPr>
        <w:t xml:space="preserve"> </w:t>
      </w:r>
      <w:r w:rsidR="00FA7580" w:rsidRPr="00DB0688">
        <w:rPr>
          <w:b/>
          <w:sz w:val="24"/>
          <w:szCs w:val="24"/>
        </w:rPr>
        <w:t xml:space="preserve">Bu </w:t>
      </w:r>
      <w:r w:rsidR="00655098" w:rsidRPr="00DB0688">
        <w:rPr>
          <w:b/>
          <w:sz w:val="24"/>
          <w:szCs w:val="24"/>
        </w:rPr>
        <w:t>4</w:t>
      </w:r>
      <w:r w:rsidR="00FA7580" w:rsidRPr="00DB0688">
        <w:rPr>
          <w:b/>
          <w:sz w:val="24"/>
          <w:szCs w:val="24"/>
        </w:rPr>
        <w:t xml:space="preserve"> bölge Doğu ve Güneydoğu Anadolu bölgeleridir.</w:t>
      </w:r>
      <w:r w:rsidR="00FA7580" w:rsidRPr="00DB0688">
        <w:rPr>
          <w:sz w:val="24"/>
          <w:szCs w:val="24"/>
        </w:rPr>
        <w:t xml:space="preserve"> </w:t>
      </w:r>
      <w:r w:rsidR="00A42FFC" w:rsidRPr="00DB0688">
        <w:rPr>
          <w:sz w:val="24"/>
          <w:szCs w:val="24"/>
        </w:rPr>
        <w:t xml:space="preserve">Bu bölgelerde tarım dışı istihdam oranları hemen hemen aynı düşük seviyededir: Yüzde 26-27 (Şekil </w:t>
      </w:r>
      <w:r w:rsidR="002714DB" w:rsidRPr="00DB0688">
        <w:rPr>
          <w:sz w:val="24"/>
          <w:szCs w:val="24"/>
        </w:rPr>
        <w:t>3</w:t>
      </w:r>
      <w:r w:rsidR="00A42FFC" w:rsidRPr="00DB0688">
        <w:rPr>
          <w:sz w:val="24"/>
          <w:szCs w:val="24"/>
        </w:rPr>
        <w:t xml:space="preserve"> </w:t>
      </w:r>
      <w:r w:rsidR="00A42FFC" w:rsidRPr="00A61812">
        <w:rPr>
          <w:sz w:val="24"/>
          <w:szCs w:val="24"/>
        </w:rPr>
        <w:t xml:space="preserve">ve </w:t>
      </w:r>
      <w:r w:rsidR="007648C1" w:rsidRPr="00A61812">
        <w:rPr>
          <w:sz w:val="24"/>
          <w:szCs w:val="24"/>
        </w:rPr>
        <w:t>Harita 2</w:t>
      </w:r>
      <w:r w:rsidR="00A42FFC" w:rsidRPr="00A61812">
        <w:rPr>
          <w:sz w:val="24"/>
          <w:szCs w:val="24"/>
        </w:rPr>
        <w:t>).</w:t>
      </w:r>
      <w:r w:rsidR="00A42FFC" w:rsidRPr="00DB0688">
        <w:rPr>
          <w:sz w:val="24"/>
          <w:szCs w:val="24"/>
        </w:rPr>
        <w:t xml:space="preserve"> Tarım dışı işsizlik oranları ise farklıdır ve </w:t>
      </w:r>
      <w:r w:rsidR="00810332" w:rsidRPr="00DB0688">
        <w:rPr>
          <w:sz w:val="24"/>
          <w:szCs w:val="24"/>
        </w:rPr>
        <w:t xml:space="preserve">bu </w:t>
      </w:r>
      <w:r w:rsidR="00A42FFC" w:rsidRPr="00DB0688">
        <w:rPr>
          <w:sz w:val="24"/>
          <w:szCs w:val="24"/>
        </w:rPr>
        <w:t xml:space="preserve">sayede işgücü performansı bakımından sıralanabilirler. </w:t>
      </w:r>
      <w:r w:rsidR="00E17434" w:rsidRPr="00DB0688">
        <w:rPr>
          <w:b/>
          <w:sz w:val="24"/>
          <w:szCs w:val="24"/>
        </w:rPr>
        <w:t>Mardin, Batman, Şırnak, Siirt</w:t>
      </w:r>
      <w:r w:rsidR="00E17434" w:rsidRPr="00DB0688">
        <w:rPr>
          <w:sz w:val="24"/>
          <w:szCs w:val="24"/>
        </w:rPr>
        <w:t xml:space="preserve"> (TRC3) bölgesi </w:t>
      </w:r>
      <w:r w:rsidR="00655098" w:rsidRPr="00DB0688">
        <w:rPr>
          <w:b/>
          <w:sz w:val="24"/>
          <w:szCs w:val="24"/>
        </w:rPr>
        <w:t>en başarısız</w:t>
      </w:r>
      <w:r w:rsidR="00810332" w:rsidRPr="00DB0688">
        <w:rPr>
          <w:sz w:val="24"/>
          <w:szCs w:val="24"/>
        </w:rPr>
        <w:t xml:space="preserve"> bölgedir</w:t>
      </w:r>
      <w:r w:rsidR="00655098" w:rsidRPr="00DB0688">
        <w:rPr>
          <w:sz w:val="24"/>
          <w:szCs w:val="24"/>
        </w:rPr>
        <w:t xml:space="preserve">. </w:t>
      </w:r>
      <w:r w:rsidR="00810332" w:rsidRPr="00DB0688">
        <w:rPr>
          <w:sz w:val="24"/>
          <w:szCs w:val="24"/>
        </w:rPr>
        <w:t xml:space="preserve">En yüksek işsizlik oranı (yüzde 33,4) bu </w:t>
      </w:r>
      <w:r w:rsidR="007648C1" w:rsidRPr="00A61812">
        <w:rPr>
          <w:sz w:val="24"/>
          <w:szCs w:val="24"/>
        </w:rPr>
        <w:t>bölgededir (Harita 1)</w:t>
      </w:r>
      <w:r w:rsidR="00810332" w:rsidRPr="00A61812">
        <w:rPr>
          <w:sz w:val="24"/>
          <w:szCs w:val="24"/>
        </w:rPr>
        <w:t xml:space="preserve">. </w:t>
      </w:r>
      <w:r w:rsidR="00E17434" w:rsidRPr="00A61812">
        <w:rPr>
          <w:sz w:val="24"/>
          <w:szCs w:val="24"/>
        </w:rPr>
        <w:t>Bu</w:t>
      </w:r>
      <w:r w:rsidR="00E17434" w:rsidRPr="00DB0688">
        <w:rPr>
          <w:sz w:val="24"/>
          <w:szCs w:val="24"/>
        </w:rPr>
        <w:t xml:space="preserve"> bölgey</w:t>
      </w:r>
      <w:r w:rsidR="00810332" w:rsidRPr="00DB0688">
        <w:rPr>
          <w:sz w:val="24"/>
          <w:szCs w:val="24"/>
        </w:rPr>
        <w:t>i</w:t>
      </w:r>
      <w:r w:rsidR="00E17434" w:rsidRPr="00DB0688">
        <w:rPr>
          <w:sz w:val="24"/>
          <w:szCs w:val="24"/>
        </w:rPr>
        <w:t xml:space="preserve"> </w:t>
      </w:r>
      <w:r w:rsidR="00E17434" w:rsidRPr="00DB0688">
        <w:rPr>
          <w:b/>
          <w:sz w:val="24"/>
          <w:szCs w:val="24"/>
        </w:rPr>
        <w:t xml:space="preserve">Van, Muş, Bitlis, </w:t>
      </w:r>
      <w:r w:rsidR="00046471" w:rsidRPr="00DB0688">
        <w:rPr>
          <w:b/>
          <w:sz w:val="24"/>
          <w:szCs w:val="24"/>
        </w:rPr>
        <w:t>Hakkâri</w:t>
      </w:r>
      <w:r w:rsidR="00E17434" w:rsidRPr="00DB0688">
        <w:rPr>
          <w:b/>
          <w:sz w:val="24"/>
          <w:szCs w:val="24"/>
        </w:rPr>
        <w:t xml:space="preserve"> </w:t>
      </w:r>
      <w:r w:rsidR="00E17434" w:rsidRPr="00DB0688">
        <w:rPr>
          <w:sz w:val="24"/>
          <w:szCs w:val="24"/>
        </w:rPr>
        <w:t>(TRB2)</w:t>
      </w:r>
      <w:r w:rsidR="00810332" w:rsidRPr="00DB0688">
        <w:rPr>
          <w:sz w:val="24"/>
          <w:szCs w:val="24"/>
        </w:rPr>
        <w:t xml:space="preserve"> (yüzde 29,2),</w:t>
      </w:r>
      <w:r w:rsidR="00E17434" w:rsidRPr="00DB0688">
        <w:rPr>
          <w:sz w:val="24"/>
          <w:szCs w:val="24"/>
        </w:rPr>
        <w:t xml:space="preserve"> </w:t>
      </w:r>
      <w:r w:rsidR="00E17434" w:rsidRPr="00DB0688">
        <w:rPr>
          <w:b/>
          <w:sz w:val="24"/>
          <w:szCs w:val="24"/>
        </w:rPr>
        <w:t>Ağr</w:t>
      </w:r>
      <w:r w:rsidR="00DE7734" w:rsidRPr="00DB0688">
        <w:rPr>
          <w:b/>
          <w:sz w:val="24"/>
          <w:szCs w:val="24"/>
        </w:rPr>
        <w:t>ı, Kars, Iğdır, Ardahan</w:t>
      </w:r>
      <w:r w:rsidR="00DE7734" w:rsidRPr="00DB0688">
        <w:rPr>
          <w:sz w:val="24"/>
          <w:szCs w:val="24"/>
        </w:rPr>
        <w:t xml:space="preserve"> (TRA2)</w:t>
      </w:r>
      <w:r w:rsidR="00810332" w:rsidRPr="00DB0688">
        <w:rPr>
          <w:sz w:val="24"/>
          <w:szCs w:val="24"/>
        </w:rPr>
        <w:t xml:space="preserve"> (yüzde 24,8) ve </w:t>
      </w:r>
      <w:r w:rsidR="00E17434" w:rsidRPr="00DB0688">
        <w:rPr>
          <w:b/>
          <w:sz w:val="24"/>
          <w:szCs w:val="24"/>
        </w:rPr>
        <w:t>Şanlıurfa, Diyarbakır</w:t>
      </w:r>
      <w:r w:rsidR="00E17434" w:rsidRPr="00DB0688">
        <w:rPr>
          <w:sz w:val="24"/>
          <w:szCs w:val="24"/>
        </w:rPr>
        <w:t xml:space="preserve"> (TRC2</w:t>
      </w:r>
      <w:r w:rsidR="00046471" w:rsidRPr="00DB0688">
        <w:rPr>
          <w:sz w:val="24"/>
          <w:szCs w:val="24"/>
        </w:rPr>
        <w:t>)</w:t>
      </w:r>
      <w:r w:rsidR="00810332" w:rsidRPr="00DB0688">
        <w:rPr>
          <w:sz w:val="24"/>
          <w:szCs w:val="24"/>
        </w:rPr>
        <w:t xml:space="preserve"> (yüzde 20,6) takip etmektedir</w:t>
      </w:r>
      <w:r w:rsidR="002714DB" w:rsidRPr="00DB0688">
        <w:rPr>
          <w:sz w:val="24"/>
          <w:szCs w:val="24"/>
        </w:rPr>
        <w:t>.</w:t>
      </w:r>
      <w:r w:rsidR="00EA6E28" w:rsidRPr="00DB0688">
        <w:rPr>
          <w:sz w:val="24"/>
          <w:szCs w:val="24"/>
        </w:rPr>
        <w:t xml:space="preserve"> </w:t>
      </w:r>
    </w:p>
    <w:p w14:paraId="754E41E5" w14:textId="3EFFD08F" w:rsidR="00763679" w:rsidRPr="00DB0688" w:rsidRDefault="002714DB" w:rsidP="00DB0688">
      <w:pPr>
        <w:spacing w:line="360" w:lineRule="auto"/>
        <w:jc w:val="both"/>
        <w:rPr>
          <w:b/>
          <w:sz w:val="24"/>
          <w:szCs w:val="24"/>
        </w:rPr>
      </w:pPr>
      <w:r w:rsidRPr="00DB0688">
        <w:rPr>
          <w:sz w:val="24"/>
          <w:szCs w:val="24"/>
        </w:rPr>
        <w:t>D</w:t>
      </w:r>
      <w:r w:rsidR="00896961" w:rsidRPr="00DB0688">
        <w:rPr>
          <w:sz w:val="24"/>
          <w:szCs w:val="24"/>
        </w:rPr>
        <w:t>üşük performans alnında yer alan diğer 4 bölge Doğu ve Güneydoğu bölgelerinden ayrışmış durumdadırlar. Bu bölgelerin i</w:t>
      </w:r>
      <w:r w:rsidR="00CA4295" w:rsidRPr="00DB0688">
        <w:rPr>
          <w:sz w:val="24"/>
          <w:szCs w:val="24"/>
        </w:rPr>
        <w:t xml:space="preserve">kisinde, </w:t>
      </w:r>
      <w:r w:rsidR="00CA4295" w:rsidRPr="00DB0688">
        <w:rPr>
          <w:b/>
          <w:sz w:val="24"/>
          <w:szCs w:val="24"/>
        </w:rPr>
        <w:t>Doğu Karadeniz</w:t>
      </w:r>
      <w:r w:rsidR="00172CF1" w:rsidRPr="00DB0688">
        <w:rPr>
          <w:sz w:val="24"/>
          <w:szCs w:val="24"/>
        </w:rPr>
        <w:t xml:space="preserve"> (TR90)</w:t>
      </w:r>
      <w:r w:rsidR="00CA4295" w:rsidRPr="00DB0688">
        <w:rPr>
          <w:sz w:val="24"/>
          <w:szCs w:val="24"/>
        </w:rPr>
        <w:t xml:space="preserve"> ile </w:t>
      </w:r>
      <w:r w:rsidR="00CA4295" w:rsidRPr="00DB0688">
        <w:rPr>
          <w:b/>
          <w:sz w:val="24"/>
          <w:szCs w:val="24"/>
        </w:rPr>
        <w:t>Adana-Mersin</w:t>
      </w:r>
      <w:r w:rsidR="00172CF1" w:rsidRPr="00DB0688">
        <w:rPr>
          <w:sz w:val="24"/>
          <w:szCs w:val="24"/>
        </w:rPr>
        <w:t xml:space="preserve"> (TR62)</w:t>
      </w:r>
      <w:r w:rsidR="00CA4295" w:rsidRPr="00DB0688">
        <w:rPr>
          <w:sz w:val="24"/>
          <w:szCs w:val="24"/>
        </w:rPr>
        <w:t>, işsizlik oranları</w:t>
      </w:r>
      <w:r w:rsidR="00046471" w:rsidRPr="00DB0688">
        <w:rPr>
          <w:sz w:val="24"/>
          <w:szCs w:val="24"/>
        </w:rPr>
        <w:t xml:space="preserve"> </w:t>
      </w:r>
      <w:r w:rsidR="00A020B9" w:rsidRPr="00DB0688">
        <w:rPr>
          <w:sz w:val="24"/>
          <w:szCs w:val="24"/>
        </w:rPr>
        <w:t xml:space="preserve">(yüzde 15,6 ve 15,8) </w:t>
      </w:r>
      <w:r w:rsidR="00046471" w:rsidRPr="00DB0688">
        <w:rPr>
          <w:sz w:val="24"/>
          <w:szCs w:val="24"/>
        </w:rPr>
        <w:t xml:space="preserve">Türkiye </w:t>
      </w:r>
      <w:r w:rsidRPr="00DB0688">
        <w:rPr>
          <w:sz w:val="24"/>
          <w:szCs w:val="24"/>
        </w:rPr>
        <w:t>geneline</w:t>
      </w:r>
      <w:r w:rsidR="00046471" w:rsidRPr="00DB0688">
        <w:rPr>
          <w:sz w:val="24"/>
          <w:szCs w:val="24"/>
        </w:rPr>
        <w:t xml:space="preserve"> </w:t>
      </w:r>
      <w:r w:rsidR="00A020B9" w:rsidRPr="00DB0688">
        <w:rPr>
          <w:sz w:val="24"/>
          <w:szCs w:val="24"/>
        </w:rPr>
        <w:t xml:space="preserve">oldukça </w:t>
      </w:r>
      <w:r w:rsidR="00CA4295" w:rsidRPr="00DB0688">
        <w:rPr>
          <w:sz w:val="24"/>
          <w:szCs w:val="24"/>
        </w:rPr>
        <w:t>çok yakındır.</w:t>
      </w:r>
      <w:r w:rsidR="00591D97" w:rsidRPr="00DB0688">
        <w:rPr>
          <w:sz w:val="24"/>
          <w:szCs w:val="24"/>
        </w:rPr>
        <w:t xml:space="preserve"> Buna karşılık istihdam oranı bakımından Adana-Mersin Doğu Karadeniz’e kıyasla daha iyi durumdadır.</w:t>
      </w:r>
      <w:r w:rsidR="00A020B9" w:rsidRPr="00DB0688">
        <w:rPr>
          <w:sz w:val="24"/>
          <w:szCs w:val="24"/>
        </w:rPr>
        <w:t xml:space="preserve"> </w:t>
      </w:r>
      <w:r w:rsidR="00CA4295" w:rsidRPr="00DB0688">
        <w:rPr>
          <w:sz w:val="24"/>
          <w:szCs w:val="24"/>
        </w:rPr>
        <w:t xml:space="preserve">Diğer iki bölge, </w:t>
      </w:r>
      <w:r w:rsidR="00CA4295" w:rsidRPr="00DB0688">
        <w:rPr>
          <w:b/>
          <w:sz w:val="24"/>
          <w:szCs w:val="24"/>
        </w:rPr>
        <w:lastRenderedPageBreak/>
        <w:t>Kapadokya ve Hatay-Kahramanmaraş-Osmaniye</w:t>
      </w:r>
      <w:r w:rsidR="00591D97" w:rsidRPr="00DB0688">
        <w:rPr>
          <w:b/>
          <w:sz w:val="24"/>
          <w:szCs w:val="24"/>
        </w:rPr>
        <w:t xml:space="preserve"> (TR63)</w:t>
      </w:r>
      <w:r w:rsidR="00046471" w:rsidRPr="00DB0688">
        <w:rPr>
          <w:b/>
          <w:sz w:val="24"/>
          <w:szCs w:val="24"/>
        </w:rPr>
        <w:t xml:space="preserve"> </w:t>
      </w:r>
      <w:r w:rsidR="00CA4295" w:rsidRPr="00DB0688">
        <w:rPr>
          <w:b/>
          <w:sz w:val="24"/>
          <w:szCs w:val="24"/>
        </w:rPr>
        <w:t xml:space="preserve">oldukça </w:t>
      </w:r>
      <w:r w:rsidRPr="00DB0688">
        <w:rPr>
          <w:b/>
          <w:sz w:val="24"/>
          <w:szCs w:val="24"/>
        </w:rPr>
        <w:t>düşük</w:t>
      </w:r>
      <w:r w:rsidR="00CA4295" w:rsidRPr="00DB0688">
        <w:rPr>
          <w:b/>
          <w:sz w:val="24"/>
          <w:szCs w:val="24"/>
        </w:rPr>
        <w:t xml:space="preserve"> performansa</w:t>
      </w:r>
      <w:r w:rsidR="00CA4295" w:rsidRPr="00DB0688">
        <w:rPr>
          <w:sz w:val="24"/>
          <w:szCs w:val="24"/>
        </w:rPr>
        <w:t xml:space="preserve"> sahiptir</w:t>
      </w:r>
      <w:r w:rsidRPr="00DB0688">
        <w:rPr>
          <w:sz w:val="24"/>
          <w:szCs w:val="24"/>
        </w:rPr>
        <w:t>ler</w:t>
      </w:r>
      <w:r w:rsidR="00CA4295" w:rsidRPr="00DB0688">
        <w:rPr>
          <w:sz w:val="24"/>
          <w:szCs w:val="24"/>
        </w:rPr>
        <w:t xml:space="preserve">. </w:t>
      </w:r>
      <w:r w:rsidR="00591D97" w:rsidRPr="00DB0688">
        <w:rPr>
          <w:sz w:val="24"/>
          <w:szCs w:val="24"/>
        </w:rPr>
        <w:t xml:space="preserve">Bu iki bölgede işsizlik oranları sırasıyla yüzde 17,5 ve 20,4 istihdam oranları ise yüzde 35,5 ve 34,7’dir. </w:t>
      </w:r>
    </w:p>
    <w:p w14:paraId="66E3D25E" w14:textId="3B6223E5" w:rsidR="00950C70" w:rsidRPr="00DB0688" w:rsidRDefault="002714DB" w:rsidP="009128F3">
      <w:pPr>
        <w:spacing w:after="240"/>
        <w:rPr>
          <w:b/>
          <w:sz w:val="28"/>
          <w:szCs w:val="28"/>
        </w:rPr>
      </w:pPr>
      <w:r w:rsidRPr="00DB0688">
        <w:rPr>
          <w:b/>
          <w:sz w:val="28"/>
          <w:szCs w:val="28"/>
        </w:rPr>
        <w:t>Y</w:t>
      </w:r>
      <w:r w:rsidR="00501C3A" w:rsidRPr="00DB0688">
        <w:rPr>
          <w:b/>
          <w:sz w:val="28"/>
          <w:szCs w:val="28"/>
        </w:rPr>
        <w:t>üksek performansa</w:t>
      </w:r>
      <w:r w:rsidRPr="00DB0688">
        <w:rPr>
          <w:b/>
          <w:sz w:val="28"/>
          <w:szCs w:val="28"/>
        </w:rPr>
        <w:t xml:space="preserve"> sahip bölgeler</w:t>
      </w:r>
    </w:p>
    <w:p w14:paraId="1F22BE13" w14:textId="54EC5844" w:rsidR="00104E0C" w:rsidRPr="00DB0688" w:rsidRDefault="00950842" w:rsidP="00DB0688">
      <w:pPr>
        <w:spacing w:line="360" w:lineRule="auto"/>
        <w:jc w:val="both"/>
        <w:rPr>
          <w:sz w:val="24"/>
          <w:szCs w:val="24"/>
        </w:rPr>
      </w:pPr>
      <w:r w:rsidRPr="00DB0688">
        <w:rPr>
          <w:sz w:val="24"/>
          <w:szCs w:val="24"/>
        </w:rPr>
        <w:t>Tarım dışı i</w:t>
      </w:r>
      <w:r w:rsidR="00876FFA" w:rsidRPr="00DB0688">
        <w:rPr>
          <w:sz w:val="24"/>
          <w:szCs w:val="24"/>
        </w:rPr>
        <w:t xml:space="preserve">şsizlik oranın </w:t>
      </w:r>
      <w:r w:rsidR="002714DB" w:rsidRPr="00DB0688">
        <w:rPr>
          <w:sz w:val="24"/>
          <w:szCs w:val="24"/>
        </w:rPr>
        <w:t>Türkiye genelinden düşük</w:t>
      </w:r>
      <w:r w:rsidR="00876FFA" w:rsidRPr="00DB0688">
        <w:rPr>
          <w:sz w:val="24"/>
          <w:szCs w:val="24"/>
        </w:rPr>
        <w:t xml:space="preserve"> tarım dışı istihdam oranın ise </w:t>
      </w:r>
      <w:r w:rsidRPr="00DB0688">
        <w:rPr>
          <w:sz w:val="24"/>
          <w:szCs w:val="24"/>
        </w:rPr>
        <w:t>yüksek</w:t>
      </w:r>
      <w:r w:rsidR="00876FFA" w:rsidRPr="00DB0688">
        <w:rPr>
          <w:sz w:val="24"/>
          <w:szCs w:val="24"/>
        </w:rPr>
        <w:t xml:space="preserve"> olduğu diğer ifadeyle</w:t>
      </w:r>
      <w:r w:rsidR="00CA4295" w:rsidRPr="00DB0688">
        <w:rPr>
          <w:sz w:val="24"/>
          <w:szCs w:val="24"/>
        </w:rPr>
        <w:t xml:space="preserve"> </w:t>
      </w:r>
      <w:r w:rsidRPr="00DB0688">
        <w:rPr>
          <w:b/>
          <w:sz w:val="24"/>
          <w:szCs w:val="24"/>
        </w:rPr>
        <w:t>yüksek</w:t>
      </w:r>
      <w:r w:rsidRPr="00DB0688">
        <w:rPr>
          <w:sz w:val="24"/>
          <w:szCs w:val="24"/>
        </w:rPr>
        <w:t xml:space="preserve"> </w:t>
      </w:r>
      <w:r w:rsidR="00104E0C" w:rsidRPr="00DB0688">
        <w:rPr>
          <w:b/>
          <w:sz w:val="24"/>
          <w:szCs w:val="24"/>
        </w:rPr>
        <w:t>performansa sahip</w:t>
      </w:r>
      <w:r w:rsidR="00CA4295" w:rsidRPr="00DB0688">
        <w:rPr>
          <w:b/>
          <w:sz w:val="24"/>
          <w:szCs w:val="24"/>
        </w:rPr>
        <w:t xml:space="preserve"> </w:t>
      </w:r>
      <w:r w:rsidR="00876FFA" w:rsidRPr="00DB0688">
        <w:rPr>
          <w:sz w:val="24"/>
          <w:szCs w:val="24"/>
        </w:rPr>
        <w:t xml:space="preserve">5 bölge </w:t>
      </w:r>
      <w:r w:rsidR="00104E0C" w:rsidRPr="00DB0688">
        <w:rPr>
          <w:sz w:val="24"/>
          <w:szCs w:val="24"/>
        </w:rPr>
        <w:t xml:space="preserve">mevcuttur: </w:t>
      </w:r>
      <w:r w:rsidR="00876FFA" w:rsidRPr="00DB0688">
        <w:rPr>
          <w:sz w:val="24"/>
          <w:szCs w:val="24"/>
        </w:rPr>
        <w:t>Bursa</w:t>
      </w:r>
      <w:r w:rsidRPr="00DB0688">
        <w:rPr>
          <w:sz w:val="24"/>
          <w:szCs w:val="24"/>
        </w:rPr>
        <w:t>-</w:t>
      </w:r>
      <w:r w:rsidR="00876FFA" w:rsidRPr="00DB0688">
        <w:rPr>
          <w:sz w:val="24"/>
          <w:szCs w:val="24"/>
        </w:rPr>
        <w:t>Eskişehir</w:t>
      </w:r>
      <w:r w:rsidRPr="00DB0688">
        <w:rPr>
          <w:sz w:val="24"/>
          <w:szCs w:val="24"/>
        </w:rPr>
        <w:t>-</w:t>
      </w:r>
      <w:r w:rsidR="00876FFA" w:rsidRPr="00DB0688">
        <w:rPr>
          <w:sz w:val="24"/>
          <w:szCs w:val="24"/>
        </w:rPr>
        <w:t>Bilecik (TR41)</w:t>
      </w:r>
      <w:r w:rsidRPr="00DB0688">
        <w:rPr>
          <w:sz w:val="24"/>
          <w:szCs w:val="24"/>
        </w:rPr>
        <w:t>,</w:t>
      </w:r>
      <w:r w:rsidR="00876FFA" w:rsidRPr="00DB0688">
        <w:rPr>
          <w:sz w:val="24"/>
          <w:szCs w:val="24"/>
        </w:rPr>
        <w:t xml:space="preserve"> Tekirdağ</w:t>
      </w:r>
      <w:r w:rsidRPr="00DB0688">
        <w:rPr>
          <w:sz w:val="24"/>
          <w:szCs w:val="24"/>
        </w:rPr>
        <w:t>-</w:t>
      </w:r>
      <w:r w:rsidR="00876FFA" w:rsidRPr="00DB0688">
        <w:rPr>
          <w:sz w:val="24"/>
          <w:szCs w:val="24"/>
        </w:rPr>
        <w:t xml:space="preserve"> Edirne</w:t>
      </w:r>
      <w:r w:rsidRPr="00DB0688">
        <w:rPr>
          <w:sz w:val="24"/>
          <w:szCs w:val="24"/>
        </w:rPr>
        <w:t>-</w:t>
      </w:r>
      <w:r w:rsidR="00876FFA" w:rsidRPr="00DB0688">
        <w:rPr>
          <w:sz w:val="24"/>
          <w:szCs w:val="24"/>
        </w:rPr>
        <w:t>Kırklareli (TR21)</w:t>
      </w:r>
      <w:r w:rsidRPr="00DB0688">
        <w:rPr>
          <w:sz w:val="24"/>
          <w:szCs w:val="24"/>
        </w:rPr>
        <w:t>,</w:t>
      </w:r>
      <w:r w:rsidR="00876FFA" w:rsidRPr="00DB0688">
        <w:rPr>
          <w:sz w:val="24"/>
          <w:szCs w:val="24"/>
        </w:rPr>
        <w:t xml:space="preserve"> Kocaeli</w:t>
      </w:r>
      <w:r w:rsidRPr="00DB0688">
        <w:rPr>
          <w:sz w:val="24"/>
          <w:szCs w:val="24"/>
        </w:rPr>
        <w:t>-</w:t>
      </w:r>
      <w:r w:rsidR="00876FFA" w:rsidRPr="00DB0688">
        <w:rPr>
          <w:sz w:val="24"/>
          <w:szCs w:val="24"/>
        </w:rPr>
        <w:t>Sakarya</w:t>
      </w:r>
      <w:r w:rsidRPr="00DB0688">
        <w:rPr>
          <w:sz w:val="24"/>
          <w:szCs w:val="24"/>
        </w:rPr>
        <w:t>-</w:t>
      </w:r>
      <w:r w:rsidR="00876FFA" w:rsidRPr="00DB0688">
        <w:rPr>
          <w:sz w:val="24"/>
          <w:szCs w:val="24"/>
        </w:rPr>
        <w:t>Düzce</w:t>
      </w:r>
      <w:r w:rsidRPr="00DB0688">
        <w:rPr>
          <w:sz w:val="24"/>
          <w:szCs w:val="24"/>
        </w:rPr>
        <w:t>-</w:t>
      </w:r>
      <w:r w:rsidR="00876FFA" w:rsidRPr="00DB0688">
        <w:rPr>
          <w:sz w:val="24"/>
          <w:szCs w:val="24"/>
        </w:rPr>
        <w:t>Bolu</w:t>
      </w:r>
      <w:r w:rsidRPr="00DB0688">
        <w:rPr>
          <w:sz w:val="24"/>
          <w:szCs w:val="24"/>
        </w:rPr>
        <w:t>-</w:t>
      </w:r>
      <w:r w:rsidR="00876FFA" w:rsidRPr="00DB0688">
        <w:rPr>
          <w:sz w:val="24"/>
          <w:szCs w:val="24"/>
        </w:rPr>
        <w:t>Yalova (TR42)</w:t>
      </w:r>
      <w:r w:rsidRPr="00DB0688">
        <w:rPr>
          <w:sz w:val="24"/>
          <w:szCs w:val="24"/>
        </w:rPr>
        <w:t>,</w:t>
      </w:r>
      <w:r w:rsidR="00876FFA" w:rsidRPr="00DB0688">
        <w:rPr>
          <w:sz w:val="24"/>
          <w:szCs w:val="24"/>
        </w:rPr>
        <w:t xml:space="preserve"> İstanbul (TR10)</w:t>
      </w:r>
      <w:r w:rsidRPr="00DB0688">
        <w:rPr>
          <w:sz w:val="24"/>
          <w:szCs w:val="24"/>
        </w:rPr>
        <w:t xml:space="preserve"> ve</w:t>
      </w:r>
      <w:r w:rsidR="00876FFA" w:rsidRPr="00DB0688">
        <w:rPr>
          <w:sz w:val="24"/>
          <w:szCs w:val="24"/>
        </w:rPr>
        <w:t xml:space="preserve"> Aydın</w:t>
      </w:r>
      <w:r w:rsidRPr="00DB0688">
        <w:rPr>
          <w:sz w:val="24"/>
          <w:szCs w:val="24"/>
        </w:rPr>
        <w:t>-</w:t>
      </w:r>
      <w:r w:rsidR="00876FFA" w:rsidRPr="00DB0688">
        <w:rPr>
          <w:sz w:val="24"/>
          <w:szCs w:val="24"/>
        </w:rPr>
        <w:t>Denizli</w:t>
      </w:r>
      <w:r w:rsidRPr="00DB0688">
        <w:rPr>
          <w:sz w:val="24"/>
          <w:szCs w:val="24"/>
        </w:rPr>
        <w:t>-</w:t>
      </w:r>
      <w:r w:rsidR="00876FFA" w:rsidRPr="00DB0688">
        <w:rPr>
          <w:sz w:val="24"/>
          <w:szCs w:val="24"/>
        </w:rPr>
        <w:t xml:space="preserve">Muğla (TR32). </w:t>
      </w:r>
    </w:p>
    <w:p w14:paraId="16B164F1" w14:textId="77777777" w:rsidR="00401950" w:rsidRPr="00DB0688" w:rsidRDefault="007A308C" w:rsidP="00DB0688">
      <w:pPr>
        <w:spacing w:line="360" w:lineRule="auto"/>
        <w:jc w:val="both"/>
        <w:rPr>
          <w:sz w:val="24"/>
          <w:szCs w:val="24"/>
        </w:rPr>
      </w:pPr>
      <w:r w:rsidRPr="00DB0688">
        <w:rPr>
          <w:sz w:val="24"/>
          <w:szCs w:val="24"/>
        </w:rPr>
        <w:t>B</w:t>
      </w:r>
      <w:r w:rsidR="00EA6E28" w:rsidRPr="00DB0688">
        <w:rPr>
          <w:sz w:val="24"/>
          <w:szCs w:val="24"/>
        </w:rPr>
        <w:t>u</w:t>
      </w:r>
      <w:r w:rsidRPr="00DB0688">
        <w:rPr>
          <w:sz w:val="24"/>
          <w:szCs w:val="24"/>
        </w:rPr>
        <w:t xml:space="preserve"> 5 bölge arasında </w:t>
      </w:r>
      <w:r w:rsidRPr="00DB0688">
        <w:rPr>
          <w:b/>
          <w:sz w:val="24"/>
          <w:szCs w:val="24"/>
        </w:rPr>
        <w:t>en düşük işsizlik oranı</w:t>
      </w:r>
      <w:r w:rsidRPr="00DB0688">
        <w:rPr>
          <w:sz w:val="24"/>
          <w:szCs w:val="24"/>
        </w:rPr>
        <w:t xml:space="preserve"> (yüzde 10,2) </w:t>
      </w:r>
      <w:r w:rsidRPr="00DB0688">
        <w:rPr>
          <w:b/>
          <w:sz w:val="24"/>
          <w:szCs w:val="24"/>
        </w:rPr>
        <w:t>Bursa-Eskişehir-Bilecik</w:t>
      </w:r>
      <w:r w:rsidRPr="00DB0688">
        <w:rPr>
          <w:sz w:val="24"/>
          <w:szCs w:val="24"/>
        </w:rPr>
        <w:t xml:space="preserve"> (TR41) bölgesindedir. Ancak bu bölge tarım dışı istihdam oranı itibariyle üçüncü sıradadır. </w:t>
      </w:r>
      <w:r w:rsidRPr="00DB0688">
        <w:rPr>
          <w:b/>
          <w:sz w:val="24"/>
          <w:szCs w:val="24"/>
        </w:rPr>
        <w:t xml:space="preserve">Düşük </w:t>
      </w:r>
      <w:r w:rsidR="00EA6E28" w:rsidRPr="00DB0688">
        <w:rPr>
          <w:b/>
          <w:sz w:val="24"/>
          <w:szCs w:val="24"/>
        </w:rPr>
        <w:t>işsizlik</w:t>
      </w:r>
      <w:r w:rsidRPr="00DB0688">
        <w:rPr>
          <w:sz w:val="24"/>
          <w:szCs w:val="24"/>
        </w:rPr>
        <w:t xml:space="preserve"> oran</w:t>
      </w:r>
      <w:r w:rsidR="00EA6E28" w:rsidRPr="00DB0688">
        <w:rPr>
          <w:sz w:val="24"/>
          <w:szCs w:val="24"/>
        </w:rPr>
        <w:t>ına (yüzde 10,9)</w:t>
      </w:r>
      <w:r w:rsidRPr="00DB0688">
        <w:rPr>
          <w:sz w:val="24"/>
          <w:szCs w:val="24"/>
        </w:rPr>
        <w:t xml:space="preserve"> sahip diğer</w:t>
      </w:r>
      <w:r w:rsidR="00EA6E28" w:rsidRPr="00DB0688">
        <w:rPr>
          <w:sz w:val="24"/>
          <w:szCs w:val="24"/>
        </w:rPr>
        <w:t xml:space="preserve"> iki bölge </w:t>
      </w:r>
      <w:r w:rsidR="00EA6E28" w:rsidRPr="00DB0688">
        <w:rPr>
          <w:b/>
          <w:sz w:val="24"/>
          <w:szCs w:val="24"/>
        </w:rPr>
        <w:t>Trakya (TR21) ve Doğu Marmara (TR42)</w:t>
      </w:r>
      <w:r w:rsidR="00EA6E28" w:rsidRPr="00DB0688">
        <w:rPr>
          <w:sz w:val="24"/>
          <w:szCs w:val="24"/>
        </w:rPr>
        <w:t xml:space="preserve"> bölgeleridir. Trakya yüzde 47,6 en yüksek tarım dışı istihdam oranına sahip iken Doğu Marmara’da bu oran yüzde 43,9’dur</w:t>
      </w:r>
      <w:r w:rsidR="00104E0C" w:rsidRPr="00DB0688">
        <w:rPr>
          <w:sz w:val="24"/>
          <w:szCs w:val="24"/>
        </w:rPr>
        <w:t>. Trakya’nın daha iyi bir performansa sahip olduğu aşikârdır.</w:t>
      </w:r>
      <w:r w:rsidR="00EA6E28" w:rsidRPr="00DB0688">
        <w:rPr>
          <w:sz w:val="24"/>
          <w:szCs w:val="24"/>
        </w:rPr>
        <w:t xml:space="preserve"> </w:t>
      </w:r>
    </w:p>
    <w:p w14:paraId="1650EC23" w14:textId="0A0312BB" w:rsidR="0068371D" w:rsidRPr="00DB0688" w:rsidRDefault="00EA6E28" w:rsidP="00DB0688">
      <w:pPr>
        <w:spacing w:line="360" w:lineRule="auto"/>
        <w:jc w:val="both"/>
        <w:rPr>
          <w:sz w:val="24"/>
          <w:szCs w:val="24"/>
        </w:rPr>
      </w:pPr>
      <w:r w:rsidRPr="00DB0688">
        <w:rPr>
          <w:sz w:val="24"/>
          <w:szCs w:val="24"/>
        </w:rPr>
        <w:t xml:space="preserve"> </w:t>
      </w:r>
      <w:r w:rsidR="007613FA" w:rsidRPr="00DB0688">
        <w:rPr>
          <w:b/>
          <w:sz w:val="24"/>
          <w:szCs w:val="24"/>
        </w:rPr>
        <w:t>İstanbul (TR10) ve Güney Batı (TR32)</w:t>
      </w:r>
      <w:r w:rsidR="00401950" w:rsidRPr="00DB0688">
        <w:rPr>
          <w:b/>
          <w:sz w:val="24"/>
          <w:szCs w:val="24"/>
        </w:rPr>
        <w:t xml:space="preserve"> </w:t>
      </w:r>
      <w:r w:rsidR="00FD02F9" w:rsidRPr="00DB0688">
        <w:rPr>
          <w:b/>
          <w:sz w:val="24"/>
          <w:szCs w:val="24"/>
        </w:rPr>
        <w:t xml:space="preserve">işsizlik oranları nispeten yüksek </w:t>
      </w:r>
      <w:r w:rsidR="00FD02F9" w:rsidRPr="00DB0688">
        <w:rPr>
          <w:sz w:val="24"/>
          <w:szCs w:val="24"/>
        </w:rPr>
        <w:t>(sırasıyla yüzde 12,4 ve 12,8) buna karşılık tarım dışı istihdam oran</w:t>
      </w:r>
      <w:r w:rsidR="00401950" w:rsidRPr="00DB0688">
        <w:rPr>
          <w:sz w:val="24"/>
          <w:szCs w:val="24"/>
        </w:rPr>
        <w:t xml:space="preserve">ı </w:t>
      </w:r>
      <w:r w:rsidR="00FD02F9" w:rsidRPr="00DB0688">
        <w:rPr>
          <w:sz w:val="24"/>
          <w:szCs w:val="24"/>
        </w:rPr>
        <w:t>İstanbul’da oldukça yüksek</w:t>
      </w:r>
      <w:r w:rsidR="00FD02F9" w:rsidRPr="00DB0688">
        <w:rPr>
          <w:b/>
          <w:sz w:val="24"/>
          <w:szCs w:val="24"/>
        </w:rPr>
        <w:t xml:space="preserve"> </w:t>
      </w:r>
      <w:r w:rsidR="00FD02F9" w:rsidRPr="00DB0688">
        <w:rPr>
          <w:sz w:val="24"/>
          <w:szCs w:val="24"/>
        </w:rPr>
        <w:t>(yüzde 47,2) Güney Batı’da ise nispeten düşüktür (yüzde 41,4). İstanbul</w:t>
      </w:r>
      <w:r w:rsidR="00401950" w:rsidRPr="00DB0688">
        <w:rPr>
          <w:sz w:val="24"/>
          <w:szCs w:val="24"/>
        </w:rPr>
        <w:t xml:space="preserve"> işgücü piyasasının</w:t>
      </w:r>
      <w:r w:rsidR="00FD02F9" w:rsidRPr="00DB0688">
        <w:rPr>
          <w:sz w:val="24"/>
          <w:szCs w:val="24"/>
        </w:rPr>
        <w:t xml:space="preserve"> </w:t>
      </w:r>
      <w:r w:rsidR="00401950" w:rsidRPr="00DB0688">
        <w:rPr>
          <w:sz w:val="24"/>
          <w:szCs w:val="24"/>
        </w:rPr>
        <w:t xml:space="preserve">Güney Batı’ya kıyasla daha iyi durumda olduğu </w:t>
      </w:r>
      <w:r w:rsidR="004F4450" w:rsidRPr="00DB0688">
        <w:rPr>
          <w:sz w:val="24"/>
          <w:szCs w:val="24"/>
        </w:rPr>
        <w:t>söylenebilir</w:t>
      </w:r>
      <w:r w:rsidR="00401950" w:rsidRPr="00DB0688">
        <w:rPr>
          <w:sz w:val="24"/>
          <w:szCs w:val="24"/>
        </w:rPr>
        <w:t>.</w:t>
      </w:r>
      <w:r w:rsidR="00FD02F9" w:rsidRPr="00DB0688">
        <w:rPr>
          <w:sz w:val="24"/>
          <w:szCs w:val="24"/>
        </w:rPr>
        <w:t xml:space="preserve"> </w:t>
      </w:r>
      <w:r w:rsidR="00401950" w:rsidRPr="00DB0688">
        <w:rPr>
          <w:sz w:val="24"/>
          <w:szCs w:val="24"/>
        </w:rPr>
        <w:t>A</w:t>
      </w:r>
      <w:r w:rsidR="00FD02F9" w:rsidRPr="00DB0688">
        <w:rPr>
          <w:sz w:val="24"/>
          <w:szCs w:val="24"/>
        </w:rPr>
        <w:t>ncak İstanbul’da tarım istihdamının yüzde 1 gibi çok düşük bir paya sahip olduğu, Güney Batı’n</w:t>
      </w:r>
      <w:r w:rsidR="00DA78EF" w:rsidRPr="00DB0688">
        <w:rPr>
          <w:sz w:val="24"/>
          <w:szCs w:val="24"/>
        </w:rPr>
        <w:t>ı</w:t>
      </w:r>
      <w:r w:rsidR="00FD02F9" w:rsidRPr="00DB0688">
        <w:rPr>
          <w:sz w:val="24"/>
          <w:szCs w:val="24"/>
        </w:rPr>
        <w:t xml:space="preserve">n ise geniş ve nispeten gelişmiş bir tarım kesimine sahip olduğu unutulmalıdır. </w:t>
      </w:r>
      <w:r w:rsidR="00DA78EF" w:rsidRPr="00DB0688">
        <w:rPr>
          <w:sz w:val="24"/>
          <w:szCs w:val="24"/>
        </w:rPr>
        <w:t>Nitekim genel işsizlik oranı İstanbul’da yüzde 12,3 iken Güney Batı’da yüzde 10,2’dir.</w:t>
      </w:r>
      <w:r w:rsidR="0068371D" w:rsidRPr="00DB0688">
        <w:rPr>
          <w:sz w:val="24"/>
          <w:szCs w:val="24"/>
        </w:rPr>
        <w:t xml:space="preserve"> </w:t>
      </w:r>
    </w:p>
    <w:p w14:paraId="13C4C7FB" w14:textId="2755ECB1" w:rsidR="0068371D" w:rsidRPr="00DB0688" w:rsidRDefault="0068371D" w:rsidP="00DB0688">
      <w:pPr>
        <w:spacing w:after="360" w:line="360" w:lineRule="auto"/>
        <w:jc w:val="both"/>
        <w:rPr>
          <w:sz w:val="24"/>
          <w:szCs w:val="24"/>
        </w:rPr>
      </w:pPr>
      <w:r w:rsidRPr="00DB0688">
        <w:rPr>
          <w:b/>
          <w:sz w:val="24"/>
          <w:szCs w:val="24"/>
        </w:rPr>
        <w:t xml:space="preserve">Bu 5 bölgenin Türkiye’nin batısında yer alan sanayileşmiş bölgelerden oluştuğunu vurgulamak isteriz. </w:t>
      </w:r>
      <w:r w:rsidR="00401950" w:rsidRPr="00DB0688">
        <w:rPr>
          <w:sz w:val="24"/>
          <w:szCs w:val="24"/>
        </w:rPr>
        <w:t xml:space="preserve">Yukarıda belirttiğimiz üzere elimizde işsizlik ve istihdam oranlarını birleştiren bir ölçüt olmadığından bu 5 bölgeyi </w:t>
      </w:r>
      <w:r w:rsidR="00A42FFC" w:rsidRPr="00DB0688">
        <w:rPr>
          <w:sz w:val="24"/>
          <w:szCs w:val="24"/>
        </w:rPr>
        <w:t>performans bakımından sıralamak mümkün değildir.</w:t>
      </w:r>
      <w:r w:rsidR="00A42FFC" w:rsidRPr="00DB0688">
        <w:rPr>
          <w:b/>
          <w:sz w:val="24"/>
          <w:szCs w:val="24"/>
        </w:rPr>
        <w:t xml:space="preserve"> </w:t>
      </w:r>
    </w:p>
    <w:p w14:paraId="6DF4C475" w14:textId="1ADC884C" w:rsidR="00650293" w:rsidRPr="00DB0688" w:rsidRDefault="0078299E" w:rsidP="005975B3">
      <w:pPr>
        <w:jc w:val="both"/>
        <w:rPr>
          <w:b/>
          <w:sz w:val="28"/>
          <w:szCs w:val="28"/>
        </w:rPr>
      </w:pPr>
      <w:r w:rsidRPr="00DB0688">
        <w:rPr>
          <w:b/>
          <w:sz w:val="28"/>
          <w:szCs w:val="28"/>
        </w:rPr>
        <w:t>Performansları t</w:t>
      </w:r>
      <w:r w:rsidR="00650293" w:rsidRPr="00DB0688">
        <w:rPr>
          <w:b/>
          <w:sz w:val="28"/>
          <w:szCs w:val="28"/>
        </w:rPr>
        <w:t>artışmalı bölgeler</w:t>
      </w:r>
    </w:p>
    <w:p w14:paraId="6F064CD1" w14:textId="1219A3BB" w:rsidR="00650293" w:rsidRPr="00341C70" w:rsidRDefault="004F4450" w:rsidP="00DB0688">
      <w:pPr>
        <w:spacing w:line="360" w:lineRule="auto"/>
        <w:jc w:val="both"/>
        <w:rPr>
          <w:sz w:val="24"/>
          <w:szCs w:val="24"/>
        </w:rPr>
      </w:pPr>
      <w:r w:rsidRPr="00341C70">
        <w:rPr>
          <w:sz w:val="24"/>
          <w:szCs w:val="24"/>
        </w:rPr>
        <w:t xml:space="preserve">Bu 5 bölgenin içinde İzmir’in (TR31) yer almaması dikkat çekicidir.  </w:t>
      </w:r>
      <w:r w:rsidRPr="00341C70">
        <w:rPr>
          <w:b/>
          <w:sz w:val="24"/>
          <w:szCs w:val="24"/>
        </w:rPr>
        <w:t xml:space="preserve">İzmir </w:t>
      </w:r>
      <w:r w:rsidRPr="00341C70">
        <w:rPr>
          <w:sz w:val="24"/>
          <w:szCs w:val="24"/>
        </w:rPr>
        <w:t xml:space="preserve">Şekil </w:t>
      </w:r>
      <w:r w:rsidR="00A22DDD" w:rsidRPr="00341C70">
        <w:rPr>
          <w:sz w:val="24"/>
          <w:szCs w:val="24"/>
        </w:rPr>
        <w:t>3</w:t>
      </w:r>
      <w:r w:rsidRPr="00341C70">
        <w:rPr>
          <w:sz w:val="24"/>
          <w:szCs w:val="24"/>
        </w:rPr>
        <w:t>’</w:t>
      </w:r>
      <w:r w:rsidR="00A22DDD" w:rsidRPr="00341C70">
        <w:rPr>
          <w:sz w:val="24"/>
          <w:szCs w:val="24"/>
        </w:rPr>
        <w:t>ün</w:t>
      </w:r>
      <w:r w:rsidRPr="00341C70">
        <w:rPr>
          <w:sz w:val="24"/>
          <w:szCs w:val="24"/>
        </w:rPr>
        <w:t xml:space="preserve"> sağ üst alanında yer alan yani</w:t>
      </w:r>
      <w:r w:rsidRPr="00341C70">
        <w:rPr>
          <w:b/>
          <w:sz w:val="24"/>
          <w:szCs w:val="24"/>
        </w:rPr>
        <w:t xml:space="preserve"> işsizlik ve istihdam oranlarının Türkiye </w:t>
      </w:r>
      <w:r w:rsidR="00A22DDD" w:rsidRPr="00341C70">
        <w:rPr>
          <w:b/>
          <w:sz w:val="24"/>
          <w:szCs w:val="24"/>
        </w:rPr>
        <w:t>genelinden yüksek</w:t>
      </w:r>
      <w:r w:rsidRPr="00341C70">
        <w:rPr>
          <w:b/>
          <w:sz w:val="24"/>
          <w:szCs w:val="24"/>
        </w:rPr>
        <w:t xml:space="preserve"> olduğu yegâne bölgedir; </w:t>
      </w:r>
      <w:r w:rsidRPr="00341C70">
        <w:rPr>
          <w:sz w:val="24"/>
          <w:szCs w:val="24"/>
        </w:rPr>
        <w:t xml:space="preserve">tarım dışı istihdam oranı (yüzde 42,1) nispeten yüksek ama işsizlik oranı da </w:t>
      </w:r>
      <w:r w:rsidRPr="00341C70">
        <w:rPr>
          <w:sz w:val="24"/>
          <w:szCs w:val="24"/>
        </w:rPr>
        <w:lastRenderedPageBreak/>
        <w:t xml:space="preserve">(yüzde 15,9) yüksektir. Bu bakımdan </w:t>
      </w:r>
      <w:r w:rsidRPr="00341C70">
        <w:rPr>
          <w:b/>
          <w:sz w:val="24"/>
          <w:szCs w:val="24"/>
        </w:rPr>
        <w:t>İzmir Batı</w:t>
      </w:r>
      <w:r w:rsidR="00A22DDD" w:rsidRPr="00341C70">
        <w:rPr>
          <w:b/>
          <w:sz w:val="24"/>
          <w:szCs w:val="24"/>
        </w:rPr>
        <w:t>da</w:t>
      </w:r>
      <w:r w:rsidRPr="00341C70">
        <w:rPr>
          <w:b/>
          <w:sz w:val="24"/>
          <w:szCs w:val="24"/>
        </w:rPr>
        <w:t xml:space="preserve"> istisna</w:t>
      </w:r>
      <w:r w:rsidRPr="00341C70">
        <w:rPr>
          <w:sz w:val="24"/>
          <w:szCs w:val="24"/>
        </w:rPr>
        <w:t xml:space="preserve"> oluşturmaktadır. İzmir işgücü piyasasına odaklı bir araştırma, kadınların işgücüne katılım oranını oldukça yüksek buna karşılık işsizlik oranın da oldukça yüksek olduğunu göstermiştir.</w:t>
      </w:r>
      <w:r w:rsidRPr="00341C70">
        <w:rPr>
          <w:rStyle w:val="FootnoteReference"/>
          <w:sz w:val="24"/>
          <w:szCs w:val="24"/>
        </w:rPr>
        <w:footnoteReference w:id="5"/>
      </w:r>
      <w:r w:rsidRPr="00341C70">
        <w:rPr>
          <w:sz w:val="24"/>
          <w:szCs w:val="24"/>
        </w:rPr>
        <w:t xml:space="preserve"> </w:t>
      </w:r>
    </w:p>
    <w:p w14:paraId="2BF0D6A1" w14:textId="173F1428" w:rsidR="0078299E" w:rsidRPr="00DB0688" w:rsidRDefault="00650293" w:rsidP="00DB0688">
      <w:pPr>
        <w:spacing w:line="360" w:lineRule="auto"/>
        <w:jc w:val="both"/>
        <w:rPr>
          <w:sz w:val="24"/>
          <w:szCs w:val="24"/>
        </w:rPr>
      </w:pPr>
      <w:r w:rsidRPr="00DB0688">
        <w:rPr>
          <w:b/>
          <w:sz w:val="24"/>
          <w:szCs w:val="24"/>
        </w:rPr>
        <w:t>Türkiye</w:t>
      </w:r>
      <w:r w:rsidR="00AA46DB" w:rsidRPr="00DB0688">
        <w:rPr>
          <w:b/>
          <w:sz w:val="24"/>
          <w:szCs w:val="24"/>
        </w:rPr>
        <w:t xml:space="preserve"> geneline kıyasla</w:t>
      </w:r>
      <w:r w:rsidRPr="00DB0688">
        <w:rPr>
          <w:b/>
          <w:sz w:val="24"/>
          <w:szCs w:val="24"/>
        </w:rPr>
        <w:t xml:space="preserve"> </w:t>
      </w:r>
      <w:r w:rsidR="00AA46DB" w:rsidRPr="00DB0688">
        <w:rPr>
          <w:b/>
          <w:sz w:val="24"/>
          <w:szCs w:val="24"/>
        </w:rPr>
        <w:t xml:space="preserve">işsizliğin </w:t>
      </w:r>
      <w:r w:rsidRPr="00DB0688">
        <w:rPr>
          <w:b/>
          <w:sz w:val="24"/>
          <w:szCs w:val="24"/>
        </w:rPr>
        <w:t xml:space="preserve">düşük ama aynı zamanda </w:t>
      </w:r>
      <w:r w:rsidR="008A552A" w:rsidRPr="00DB0688">
        <w:rPr>
          <w:b/>
          <w:sz w:val="24"/>
          <w:szCs w:val="24"/>
        </w:rPr>
        <w:t>istihdam oranının da</w:t>
      </w:r>
      <w:r w:rsidRPr="00DB0688">
        <w:rPr>
          <w:b/>
          <w:sz w:val="24"/>
          <w:szCs w:val="24"/>
        </w:rPr>
        <w:t xml:space="preserve"> düşük </w:t>
      </w:r>
      <w:r w:rsidR="00953922" w:rsidRPr="00DB0688">
        <w:rPr>
          <w:sz w:val="24"/>
          <w:szCs w:val="24"/>
        </w:rPr>
        <w:t>olduğu</w:t>
      </w:r>
      <w:r w:rsidRPr="00DB0688">
        <w:rPr>
          <w:sz w:val="24"/>
          <w:szCs w:val="24"/>
        </w:rPr>
        <w:t xml:space="preserve"> 6 bölge (</w:t>
      </w:r>
      <w:r w:rsidR="0078299E" w:rsidRPr="00DB0688">
        <w:rPr>
          <w:sz w:val="24"/>
          <w:szCs w:val="24"/>
        </w:rPr>
        <w:t>s</w:t>
      </w:r>
      <w:r w:rsidRPr="00DB0688">
        <w:rPr>
          <w:sz w:val="24"/>
          <w:szCs w:val="24"/>
        </w:rPr>
        <w:t>ol alt alan)</w:t>
      </w:r>
      <w:r w:rsidR="00AA46DB" w:rsidRPr="00DB0688">
        <w:rPr>
          <w:sz w:val="24"/>
          <w:szCs w:val="24"/>
        </w:rPr>
        <w:t xml:space="preserve"> mevcuttur:</w:t>
      </w:r>
      <w:r w:rsidRPr="00DB0688">
        <w:rPr>
          <w:sz w:val="24"/>
          <w:szCs w:val="24"/>
        </w:rPr>
        <w:t xml:space="preserve"> </w:t>
      </w:r>
      <w:r w:rsidR="00AA46DB" w:rsidRPr="00DB0688">
        <w:rPr>
          <w:sz w:val="24"/>
          <w:szCs w:val="24"/>
        </w:rPr>
        <w:t xml:space="preserve">Sentetik bir performans ölçütü olmadığından bu bölgeleri </w:t>
      </w:r>
      <w:r w:rsidR="00953922" w:rsidRPr="00DB0688">
        <w:rPr>
          <w:sz w:val="24"/>
          <w:szCs w:val="24"/>
        </w:rPr>
        <w:t xml:space="preserve">performans açısından sistematik bir şekilde değerlendirmek </w:t>
      </w:r>
      <w:r w:rsidR="00AA46DB" w:rsidRPr="00DB0688">
        <w:rPr>
          <w:sz w:val="24"/>
          <w:szCs w:val="24"/>
        </w:rPr>
        <w:t xml:space="preserve">mümkün değildir. </w:t>
      </w:r>
      <w:r w:rsidRPr="00DB0688">
        <w:rPr>
          <w:sz w:val="24"/>
          <w:szCs w:val="24"/>
        </w:rPr>
        <w:t xml:space="preserve">Bununla birlikte </w:t>
      </w:r>
      <w:r w:rsidR="00AA46DB" w:rsidRPr="00DB0688">
        <w:rPr>
          <w:sz w:val="24"/>
          <w:szCs w:val="24"/>
        </w:rPr>
        <w:t xml:space="preserve">bazı ilginç özelikler not edilebilir. 2021 yılında en düşük </w:t>
      </w:r>
      <w:r w:rsidR="00104352" w:rsidRPr="00DB0688">
        <w:rPr>
          <w:sz w:val="24"/>
          <w:szCs w:val="24"/>
        </w:rPr>
        <w:t xml:space="preserve">iki tarım dışı işsizlik </w:t>
      </w:r>
      <w:r w:rsidR="00AA46DB" w:rsidRPr="00DB0688">
        <w:rPr>
          <w:sz w:val="24"/>
          <w:szCs w:val="24"/>
        </w:rPr>
        <w:t xml:space="preserve">oranına </w:t>
      </w:r>
      <w:r w:rsidR="00EC6308" w:rsidRPr="00DB0688">
        <w:rPr>
          <w:sz w:val="24"/>
          <w:szCs w:val="24"/>
        </w:rPr>
        <w:t xml:space="preserve">sahip </w:t>
      </w:r>
      <w:r w:rsidR="00AA46DB" w:rsidRPr="00DB0688">
        <w:rPr>
          <w:b/>
          <w:sz w:val="24"/>
          <w:szCs w:val="24"/>
        </w:rPr>
        <w:t>Kastamonu-Çankırı-Sinop</w:t>
      </w:r>
      <w:r w:rsidR="00AA46DB" w:rsidRPr="00DB0688">
        <w:rPr>
          <w:sz w:val="24"/>
          <w:szCs w:val="24"/>
        </w:rPr>
        <w:t xml:space="preserve"> </w:t>
      </w:r>
      <w:r w:rsidR="00EC6308" w:rsidRPr="00DB0688">
        <w:rPr>
          <w:sz w:val="24"/>
          <w:szCs w:val="24"/>
        </w:rPr>
        <w:t xml:space="preserve">ve </w:t>
      </w:r>
      <w:r w:rsidR="00104352" w:rsidRPr="00DB0688">
        <w:rPr>
          <w:rFonts w:ascii="Calibri" w:eastAsia="Times New Roman" w:hAnsi="Calibri" w:cs="Times New Roman"/>
          <w:color w:val="000000"/>
          <w:sz w:val="24"/>
          <w:szCs w:val="24"/>
          <w:lang w:eastAsia="tr-TR"/>
        </w:rPr>
        <w:t>Manisa</w:t>
      </w:r>
      <w:r w:rsidR="00EC6308" w:rsidRPr="00DB0688">
        <w:rPr>
          <w:rFonts w:ascii="Calibri" w:eastAsia="Times New Roman" w:hAnsi="Calibri" w:cs="Times New Roman"/>
          <w:color w:val="000000"/>
          <w:sz w:val="24"/>
          <w:szCs w:val="24"/>
          <w:lang w:eastAsia="tr-TR"/>
        </w:rPr>
        <w:t>-</w:t>
      </w:r>
      <w:r w:rsidR="00104352" w:rsidRPr="00DB0688">
        <w:rPr>
          <w:rFonts w:ascii="Calibri" w:eastAsia="Times New Roman" w:hAnsi="Calibri" w:cs="Times New Roman"/>
          <w:color w:val="000000"/>
          <w:sz w:val="24"/>
          <w:szCs w:val="24"/>
          <w:lang w:eastAsia="tr-TR"/>
        </w:rPr>
        <w:t>Afyonkarahisar</w:t>
      </w:r>
      <w:r w:rsidR="00EC6308" w:rsidRPr="00DB0688">
        <w:rPr>
          <w:rFonts w:ascii="Calibri" w:eastAsia="Times New Roman" w:hAnsi="Calibri" w:cs="Times New Roman"/>
          <w:color w:val="000000"/>
          <w:sz w:val="24"/>
          <w:szCs w:val="24"/>
          <w:lang w:eastAsia="tr-TR"/>
        </w:rPr>
        <w:t>-</w:t>
      </w:r>
      <w:r w:rsidR="00104352" w:rsidRPr="00DB0688">
        <w:rPr>
          <w:rFonts w:ascii="Calibri" w:eastAsia="Times New Roman" w:hAnsi="Calibri" w:cs="Times New Roman"/>
          <w:color w:val="000000"/>
          <w:sz w:val="24"/>
          <w:szCs w:val="24"/>
          <w:lang w:eastAsia="tr-TR"/>
        </w:rPr>
        <w:t>Kütahya</w:t>
      </w:r>
      <w:r w:rsidR="00EC6308" w:rsidRPr="00DB0688">
        <w:rPr>
          <w:rFonts w:ascii="Calibri" w:eastAsia="Times New Roman" w:hAnsi="Calibri" w:cs="Times New Roman"/>
          <w:color w:val="000000"/>
          <w:sz w:val="24"/>
          <w:szCs w:val="24"/>
          <w:lang w:eastAsia="tr-TR"/>
        </w:rPr>
        <w:t>-</w:t>
      </w:r>
      <w:r w:rsidR="00104352" w:rsidRPr="00DB0688">
        <w:rPr>
          <w:rFonts w:ascii="Calibri" w:eastAsia="Times New Roman" w:hAnsi="Calibri" w:cs="Times New Roman"/>
          <w:color w:val="000000"/>
          <w:sz w:val="24"/>
          <w:szCs w:val="24"/>
          <w:lang w:eastAsia="tr-TR"/>
        </w:rPr>
        <w:t>Uşak</w:t>
      </w:r>
      <w:r w:rsidR="00EC6308" w:rsidRPr="00DB0688">
        <w:rPr>
          <w:rFonts w:ascii="Calibri" w:eastAsia="Times New Roman" w:hAnsi="Calibri" w:cs="Times New Roman"/>
          <w:color w:val="000000"/>
          <w:sz w:val="24"/>
          <w:szCs w:val="24"/>
          <w:lang w:eastAsia="tr-TR"/>
        </w:rPr>
        <w:t xml:space="preserve"> </w:t>
      </w:r>
      <w:r w:rsidR="00AA46DB" w:rsidRPr="00DB0688">
        <w:rPr>
          <w:sz w:val="24"/>
          <w:szCs w:val="24"/>
        </w:rPr>
        <w:t xml:space="preserve">bu alandadır. </w:t>
      </w:r>
      <w:r w:rsidR="00104352" w:rsidRPr="00DB0688">
        <w:rPr>
          <w:sz w:val="24"/>
          <w:szCs w:val="24"/>
        </w:rPr>
        <w:t>Ancak tarım dışı istihdam oran</w:t>
      </w:r>
      <w:r w:rsidR="00EC6308" w:rsidRPr="00DB0688">
        <w:rPr>
          <w:sz w:val="24"/>
          <w:szCs w:val="24"/>
        </w:rPr>
        <w:t>ları</w:t>
      </w:r>
      <w:r w:rsidR="00104352" w:rsidRPr="00DB0688">
        <w:rPr>
          <w:sz w:val="24"/>
          <w:szCs w:val="24"/>
        </w:rPr>
        <w:t xml:space="preserve"> </w:t>
      </w:r>
      <w:r w:rsidR="00EC6308" w:rsidRPr="00DB0688">
        <w:rPr>
          <w:sz w:val="24"/>
          <w:szCs w:val="24"/>
        </w:rPr>
        <w:t xml:space="preserve">da, sırasıyla </w:t>
      </w:r>
      <w:r w:rsidR="00104352" w:rsidRPr="00DB0688">
        <w:rPr>
          <w:sz w:val="24"/>
          <w:szCs w:val="24"/>
        </w:rPr>
        <w:t>yüzde 36,8</w:t>
      </w:r>
      <w:r w:rsidR="00EC6308" w:rsidRPr="00DB0688">
        <w:rPr>
          <w:sz w:val="24"/>
          <w:szCs w:val="24"/>
        </w:rPr>
        <w:t xml:space="preserve"> ve yüzde 38,7</w:t>
      </w:r>
      <w:r w:rsidR="00953922" w:rsidRPr="00DB0688">
        <w:rPr>
          <w:sz w:val="24"/>
          <w:szCs w:val="24"/>
        </w:rPr>
        <w:t>,</w:t>
      </w:r>
      <w:r w:rsidR="00EC6308" w:rsidRPr="00DB0688">
        <w:rPr>
          <w:sz w:val="24"/>
          <w:szCs w:val="24"/>
        </w:rPr>
        <w:t xml:space="preserve"> nispeten düşüktür</w:t>
      </w:r>
      <w:r w:rsidR="00104352" w:rsidRPr="00DB0688">
        <w:rPr>
          <w:sz w:val="24"/>
          <w:szCs w:val="24"/>
        </w:rPr>
        <w:t xml:space="preserve">. </w:t>
      </w:r>
      <w:r w:rsidR="00EC6308" w:rsidRPr="00DB0688">
        <w:rPr>
          <w:sz w:val="24"/>
          <w:szCs w:val="24"/>
        </w:rPr>
        <w:t xml:space="preserve">Bu alanda yer alan </w:t>
      </w:r>
      <w:r w:rsidRPr="00DB0688">
        <w:rPr>
          <w:b/>
          <w:sz w:val="24"/>
          <w:szCs w:val="24"/>
        </w:rPr>
        <w:t>Samsun</w:t>
      </w:r>
      <w:r w:rsidR="00EC6308" w:rsidRPr="00DB0688">
        <w:rPr>
          <w:b/>
          <w:sz w:val="24"/>
          <w:szCs w:val="24"/>
        </w:rPr>
        <w:t>-</w:t>
      </w:r>
      <w:r w:rsidRPr="00DB0688">
        <w:rPr>
          <w:b/>
          <w:sz w:val="24"/>
          <w:szCs w:val="24"/>
        </w:rPr>
        <w:t>Tokat</w:t>
      </w:r>
      <w:r w:rsidR="00EC6308" w:rsidRPr="00DB0688">
        <w:rPr>
          <w:b/>
          <w:sz w:val="24"/>
          <w:szCs w:val="24"/>
        </w:rPr>
        <w:t>-</w:t>
      </w:r>
      <w:r w:rsidRPr="00DB0688">
        <w:rPr>
          <w:b/>
          <w:sz w:val="24"/>
          <w:szCs w:val="24"/>
        </w:rPr>
        <w:t>Çorum</w:t>
      </w:r>
      <w:r w:rsidR="00EC6308" w:rsidRPr="00DB0688">
        <w:rPr>
          <w:b/>
          <w:sz w:val="24"/>
          <w:szCs w:val="24"/>
        </w:rPr>
        <w:t>-</w:t>
      </w:r>
      <w:r w:rsidRPr="00DB0688">
        <w:rPr>
          <w:b/>
          <w:sz w:val="24"/>
          <w:szCs w:val="24"/>
        </w:rPr>
        <w:t>Amasya</w:t>
      </w:r>
      <w:r w:rsidR="00EC6308" w:rsidRPr="00DB0688">
        <w:rPr>
          <w:sz w:val="24"/>
          <w:szCs w:val="24"/>
        </w:rPr>
        <w:t xml:space="preserve"> </w:t>
      </w:r>
      <w:r w:rsidRPr="00DB0688">
        <w:rPr>
          <w:sz w:val="24"/>
          <w:szCs w:val="24"/>
        </w:rPr>
        <w:t xml:space="preserve">ve </w:t>
      </w:r>
      <w:r w:rsidRPr="00DB0688">
        <w:rPr>
          <w:b/>
          <w:sz w:val="24"/>
          <w:szCs w:val="24"/>
        </w:rPr>
        <w:t>Gaziantep</w:t>
      </w:r>
      <w:r w:rsidR="00EC6308" w:rsidRPr="00DB0688">
        <w:rPr>
          <w:b/>
          <w:sz w:val="24"/>
          <w:szCs w:val="24"/>
        </w:rPr>
        <w:t>-</w:t>
      </w:r>
      <w:r w:rsidRPr="00DB0688">
        <w:rPr>
          <w:b/>
          <w:sz w:val="24"/>
          <w:szCs w:val="24"/>
        </w:rPr>
        <w:t>Kilis</w:t>
      </w:r>
      <w:r w:rsidR="00EC6308" w:rsidRPr="00DB0688">
        <w:rPr>
          <w:b/>
          <w:sz w:val="24"/>
          <w:szCs w:val="24"/>
        </w:rPr>
        <w:t>-</w:t>
      </w:r>
      <w:r w:rsidRPr="00DB0688">
        <w:rPr>
          <w:b/>
          <w:sz w:val="24"/>
          <w:szCs w:val="24"/>
        </w:rPr>
        <w:t>Adıyaman</w:t>
      </w:r>
      <w:r w:rsidR="00EC6308" w:rsidRPr="00DB0688">
        <w:rPr>
          <w:sz w:val="24"/>
          <w:szCs w:val="24"/>
        </w:rPr>
        <w:t xml:space="preserve"> </w:t>
      </w:r>
      <w:r w:rsidRPr="00DB0688">
        <w:rPr>
          <w:sz w:val="24"/>
          <w:szCs w:val="24"/>
        </w:rPr>
        <w:t xml:space="preserve">bölgelerinde tarım dışı işsizlik oranlarının (yüzde 12,2) eşit olduğu dikkat çekmektedir. Ancak tarım dışı istihdam oranı </w:t>
      </w:r>
      <w:r w:rsidR="00953922" w:rsidRPr="00DB0688">
        <w:rPr>
          <w:sz w:val="24"/>
          <w:szCs w:val="24"/>
        </w:rPr>
        <w:t>Gaziantep bölgesinde</w:t>
      </w:r>
      <w:r w:rsidRPr="00DB0688">
        <w:rPr>
          <w:sz w:val="24"/>
          <w:szCs w:val="24"/>
        </w:rPr>
        <w:t xml:space="preserve"> (yüzde 39,8) </w:t>
      </w:r>
      <w:r w:rsidR="00953922" w:rsidRPr="00DB0688">
        <w:rPr>
          <w:sz w:val="24"/>
          <w:szCs w:val="24"/>
        </w:rPr>
        <w:t>Samsun bölgesine</w:t>
      </w:r>
      <w:r w:rsidRPr="00DB0688">
        <w:rPr>
          <w:sz w:val="24"/>
          <w:szCs w:val="24"/>
        </w:rPr>
        <w:t xml:space="preserve"> (</w:t>
      </w:r>
      <w:r w:rsidR="00953922" w:rsidRPr="00DB0688">
        <w:rPr>
          <w:sz w:val="24"/>
          <w:szCs w:val="24"/>
        </w:rPr>
        <w:t xml:space="preserve">yüzde </w:t>
      </w:r>
      <w:r w:rsidRPr="00DB0688">
        <w:rPr>
          <w:sz w:val="24"/>
          <w:szCs w:val="24"/>
        </w:rPr>
        <w:t xml:space="preserve">37,2) kıyasla daha yüksektir. </w:t>
      </w:r>
      <w:r w:rsidR="00953922" w:rsidRPr="00DB0688">
        <w:rPr>
          <w:sz w:val="24"/>
          <w:szCs w:val="24"/>
        </w:rPr>
        <w:t>Gaziantep’in daha iyi</w:t>
      </w:r>
      <w:r w:rsidRPr="00DB0688">
        <w:rPr>
          <w:sz w:val="24"/>
          <w:szCs w:val="24"/>
        </w:rPr>
        <w:t xml:space="preserve"> bir performansa sahip olduğu </w:t>
      </w:r>
      <w:r w:rsidR="00BD41EF" w:rsidRPr="00DB0688">
        <w:rPr>
          <w:sz w:val="24"/>
          <w:szCs w:val="24"/>
        </w:rPr>
        <w:t>aşikârdır</w:t>
      </w:r>
      <w:r w:rsidRPr="00DB0688">
        <w:rPr>
          <w:sz w:val="24"/>
          <w:szCs w:val="24"/>
        </w:rPr>
        <w:t>.</w:t>
      </w:r>
      <w:r w:rsidR="00953922" w:rsidRPr="00DB0688">
        <w:rPr>
          <w:sz w:val="24"/>
          <w:szCs w:val="24"/>
        </w:rPr>
        <w:t xml:space="preserve"> </w:t>
      </w:r>
    </w:p>
    <w:p w14:paraId="0419DD78" w14:textId="59589EC4" w:rsidR="005072FB" w:rsidRPr="00DB0688" w:rsidRDefault="0078299E" w:rsidP="00DB0688">
      <w:pPr>
        <w:spacing w:after="360" w:line="360" w:lineRule="auto"/>
        <w:jc w:val="both"/>
        <w:rPr>
          <w:sz w:val="24"/>
          <w:szCs w:val="24"/>
        </w:rPr>
      </w:pPr>
      <w:r w:rsidRPr="00DB0688">
        <w:rPr>
          <w:sz w:val="24"/>
          <w:szCs w:val="24"/>
        </w:rPr>
        <w:t>Son olarak</w:t>
      </w:r>
      <w:r w:rsidR="00104352" w:rsidRPr="00DB0688">
        <w:rPr>
          <w:sz w:val="24"/>
          <w:szCs w:val="24"/>
        </w:rPr>
        <w:t xml:space="preserve"> </w:t>
      </w:r>
      <w:r w:rsidR="00104352" w:rsidRPr="00DB0688">
        <w:rPr>
          <w:b/>
          <w:sz w:val="24"/>
          <w:szCs w:val="24"/>
        </w:rPr>
        <w:t xml:space="preserve">Türkiye </w:t>
      </w:r>
      <w:r w:rsidR="00BD41EF" w:rsidRPr="00DB0688">
        <w:rPr>
          <w:b/>
          <w:sz w:val="24"/>
          <w:szCs w:val="24"/>
        </w:rPr>
        <w:t>geneli tarım dışı işsizlik oranına (yüzde 14,1) çok yakın oranlara</w:t>
      </w:r>
      <w:r w:rsidR="00BD41EF" w:rsidRPr="00DB0688">
        <w:rPr>
          <w:sz w:val="24"/>
          <w:szCs w:val="24"/>
        </w:rPr>
        <w:t xml:space="preserve"> sahip, bu nedenle de neredeyse Türkiye </w:t>
      </w:r>
      <w:r w:rsidR="00104352" w:rsidRPr="00DB0688">
        <w:rPr>
          <w:sz w:val="24"/>
          <w:szCs w:val="24"/>
        </w:rPr>
        <w:t xml:space="preserve">işsizlik </w:t>
      </w:r>
      <w:r w:rsidR="00BD41EF" w:rsidRPr="00DB0688">
        <w:rPr>
          <w:sz w:val="24"/>
          <w:szCs w:val="24"/>
        </w:rPr>
        <w:t xml:space="preserve">oranı </w:t>
      </w:r>
      <w:r w:rsidR="00104352" w:rsidRPr="00DB0688">
        <w:rPr>
          <w:sz w:val="24"/>
          <w:szCs w:val="24"/>
        </w:rPr>
        <w:t xml:space="preserve">çizgisi üzerinde </w:t>
      </w:r>
      <w:r w:rsidR="00BD41EF" w:rsidRPr="00DB0688">
        <w:rPr>
          <w:sz w:val="24"/>
          <w:szCs w:val="24"/>
        </w:rPr>
        <w:t xml:space="preserve">konumlanan </w:t>
      </w:r>
      <w:r w:rsidR="009F01AC" w:rsidRPr="00DB0688">
        <w:rPr>
          <w:sz w:val="24"/>
          <w:szCs w:val="24"/>
        </w:rPr>
        <w:t xml:space="preserve">6 </w:t>
      </w:r>
      <w:r w:rsidR="00104352" w:rsidRPr="00DB0688">
        <w:rPr>
          <w:sz w:val="24"/>
          <w:szCs w:val="24"/>
        </w:rPr>
        <w:t>bölge</w:t>
      </w:r>
      <w:r w:rsidR="009F01AC" w:rsidRPr="00DB0688">
        <w:rPr>
          <w:sz w:val="24"/>
          <w:szCs w:val="24"/>
        </w:rPr>
        <w:t>ye</w:t>
      </w:r>
      <w:r w:rsidR="00104352" w:rsidRPr="00DB0688">
        <w:rPr>
          <w:sz w:val="24"/>
          <w:szCs w:val="24"/>
        </w:rPr>
        <w:t xml:space="preserve"> kısaca değinmek isteriz (Şekil 2). </w:t>
      </w:r>
      <w:r w:rsidR="009F01AC" w:rsidRPr="00DB0688">
        <w:rPr>
          <w:sz w:val="24"/>
          <w:szCs w:val="24"/>
        </w:rPr>
        <w:t xml:space="preserve">Bu bölgelerde </w:t>
      </w:r>
      <w:r w:rsidR="009F01AC" w:rsidRPr="00DB0688">
        <w:rPr>
          <w:b/>
          <w:sz w:val="24"/>
          <w:szCs w:val="24"/>
        </w:rPr>
        <w:t>tarım dışı istihdam oranları</w:t>
      </w:r>
      <w:r w:rsidR="00BD41EF" w:rsidRPr="00DB0688">
        <w:rPr>
          <w:b/>
          <w:sz w:val="24"/>
          <w:szCs w:val="24"/>
        </w:rPr>
        <w:t>nın</w:t>
      </w:r>
      <w:r w:rsidR="009F01AC" w:rsidRPr="00DB0688">
        <w:rPr>
          <w:b/>
          <w:sz w:val="24"/>
          <w:szCs w:val="24"/>
        </w:rPr>
        <w:t xml:space="preserve"> çok farklı</w:t>
      </w:r>
      <w:r w:rsidR="00BD41EF" w:rsidRPr="00DB0688">
        <w:rPr>
          <w:sz w:val="24"/>
          <w:szCs w:val="24"/>
        </w:rPr>
        <w:t xml:space="preserve"> olduğu hemen göze çarpmaktadır</w:t>
      </w:r>
      <w:r w:rsidR="009F01AC" w:rsidRPr="00DB0688">
        <w:rPr>
          <w:sz w:val="24"/>
          <w:szCs w:val="24"/>
        </w:rPr>
        <w:t xml:space="preserve">. İki bölgede istihdam oranları oldukça yüksektir. Bu oran </w:t>
      </w:r>
      <w:r w:rsidR="009F01AC" w:rsidRPr="00DB0688">
        <w:rPr>
          <w:b/>
          <w:sz w:val="24"/>
          <w:szCs w:val="24"/>
        </w:rPr>
        <w:t>Ankara bölgesinde yüzde 44,1, işsizlik oranı da yüzde 13,9’dur.</w:t>
      </w:r>
      <w:r w:rsidR="009F01AC" w:rsidRPr="00DB0688">
        <w:rPr>
          <w:sz w:val="24"/>
          <w:szCs w:val="24"/>
        </w:rPr>
        <w:t xml:space="preserve"> </w:t>
      </w:r>
      <w:r w:rsidR="00F23571" w:rsidRPr="00DB0688">
        <w:rPr>
          <w:sz w:val="24"/>
          <w:szCs w:val="24"/>
        </w:rPr>
        <w:t>Bu rakamlar itibariyle</w:t>
      </w:r>
      <w:r w:rsidR="00BD41EF" w:rsidRPr="00DB0688">
        <w:rPr>
          <w:sz w:val="24"/>
          <w:szCs w:val="24"/>
        </w:rPr>
        <w:t xml:space="preserve"> Ankara bölgesi</w:t>
      </w:r>
      <w:r w:rsidR="00F23571" w:rsidRPr="00DB0688">
        <w:rPr>
          <w:sz w:val="24"/>
          <w:szCs w:val="24"/>
        </w:rPr>
        <w:t>nin</w:t>
      </w:r>
      <w:r w:rsidR="00BD41EF" w:rsidRPr="00DB0688">
        <w:rPr>
          <w:sz w:val="24"/>
          <w:szCs w:val="24"/>
        </w:rPr>
        <w:t xml:space="preserve"> ucundan yüksek performan</w:t>
      </w:r>
      <w:r w:rsidR="00F23571" w:rsidRPr="00DB0688">
        <w:rPr>
          <w:sz w:val="24"/>
          <w:szCs w:val="24"/>
        </w:rPr>
        <w:t>s</w:t>
      </w:r>
      <w:r w:rsidR="00BD41EF" w:rsidRPr="00DB0688">
        <w:rPr>
          <w:sz w:val="24"/>
          <w:szCs w:val="24"/>
        </w:rPr>
        <w:t>lı</w:t>
      </w:r>
      <w:r w:rsidR="00F23571" w:rsidRPr="00DB0688">
        <w:rPr>
          <w:sz w:val="24"/>
          <w:szCs w:val="24"/>
        </w:rPr>
        <w:t xml:space="preserve"> bölgeler arasında yer aldığı söylenebilir. </w:t>
      </w:r>
      <w:r w:rsidR="00F44773" w:rsidRPr="00DB0688">
        <w:rPr>
          <w:sz w:val="24"/>
          <w:szCs w:val="24"/>
        </w:rPr>
        <w:t>Diğer bölge</w:t>
      </w:r>
      <w:r w:rsidR="00F44773" w:rsidRPr="00DB0688">
        <w:rPr>
          <w:rFonts w:ascii="Calibri" w:eastAsia="Times New Roman" w:hAnsi="Calibri" w:cs="Times New Roman"/>
          <w:color w:val="000000"/>
          <w:sz w:val="24"/>
          <w:szCs w:val="24"/>
          <w:lang w:eastAsia="tr-TR"/>
        </w:rPr>
        <w:t xml:space="preserve"> </w:t>
      </w:r>
      <w:r w:rsidR="00BD41EF" w:rsidRPr="00DB0688">
        <w:rPr>
          <w:rFonts w:ascii="Calibri" w:eastAsia="Times New Roman" w:hAnsi="Calibri" w:cs="Times New Roman"/>
          <w:color w:val="000000"/>
          <w:sz w:val="24"/>
          <w:szCs w:val="24"/>
          <w:lang w:eastAsia="tr-TR"/>
        </w:rPr>
        <w:t xml:space="preserve">yüzde </w:t>
      </w:r>
      <w:r w:rsidR="00F23571" w:rsidRPr="00DB0688">
        <w:rPr>
          <w:rFonts w:ascii="Calibri" w:eastAsia="Times New Roman" w:hAnsi="Calibri" w:cs="Times New Roman"/>
          <w:color w:val="000000"/>
          <w:sz w:val="24"/>
          <w:szCs w:val="24"/>
          <w:lang w:eastAsia="tr-TR"/>
        </w:rPr>
        <w:t xml:space="preserve">43,1 istihdam ve yüzde 14,3 işsizlik oranına sahip olan </w:t>
      </w:r>
      <w:r w:rsidR="00F44773" w:rsidRPr="00DB0688">
        <w:rPr>
          <w:rFonts w:ascii="Calibri" w:eastAsia="Times New Roman" w:hAnsi="Calibri" w:cs="Times New Roman"/>
          <w:b/>
          <w:color w:val="000000"/>
          <w:sz w:val="24"/>
          <w:szCs w:val="24"/>
          <w:lang w:eastAsia="tr-TR"/>
        </w:rPr>
        <w:t>Antalya-Isparta-Burdur</w:t>
      </w:r>
      <w:r w:rsidR="00F44773" w:rsidRPr="00DB0688">
        <w:rPr>
          <w:rFonts w:ascii="Calibri" w:eastAsia="Times New Roman" w:hAnsi="Calibri" w:cs="Times New Roman"/>
          <w:color w:val="000000"/>
          <w:sz w:val="24"/>
          <w:szCs w:val="24"/>
          <w:lang w:eastAsia="tr-TR"/>
        </w:rPr>
        <w:t xml:space="preserve"> </w:t>
      </w:r>
      <w:r w:rsidR="00680113" w:rsidRPr="00DB0688">
        <w:rPr>
          <w:rFonts w:ascii="Calibri" w:eastAsia="Times New Roman" w:hAnsi="Calibri" w:cs="Times New Roman"/>
          <w:color w:val="000000"/>
          <w:sz w:val="24"/>
          <w:szCs w:val="24"/>
          <w:lang w:eastAsia="tr-TR"/>
        </w:rPr>
        <w:t xml:space="preserve">bölgesidir. Bu </w:t>
      </w:r>
      <w:r w:rsidR="00F23571" w:rsidRPr="00DB0688">
        <w:rPr>
          <w:rFonts w:ascii="Calibri" w:eastAsia="Times New Roman" w:hAnsi="Calibri" w:cs="Times New Roman"/>
          <w:color w:val="000000"/>
          <w:sz w:val="24"/>
          <w:szCs w:val="24"/>
          <w:lang w:eastAsia="tr-TR"/>
        </w:rPr>
        <w:t xml:space="preserve">6 </w:t>
      </w:r>
      <w:r w:rsidR="00680113" w:rsidRPr="00DB0688">
        <w:rPr>
          <w:rFonts w:ascii="Calibri" w:eastAsia="Times New Roman" w:hAnsi="Calibri" w:cs="Times New Roman"/>
          <w:color w:val="000000"/>
          <w:sz w:val="24"/>
          <w:szCs w:val="24"/>
          <w:lang w:eastAsia="tr-TR"/>
        </w:rPr>
        <w:t>bölge</w:t>
      </w:r>
      <w:r w:rsidR="00F23571" w:rsidRPr="00DB0688">
        <w:rPr>
          <w:rFonts w:ascii="Calibri" w:eastAsia="Times New Roman" w:hAnsi="Calibri" w:cs="Times New Roman"/>
          <w:color w:val="000000"/>
          <w:sz w:val="24"/>
          <w:szCs w:val="24"/>
          <w:lang w:eastAsia="tr-TR"/>
        </w:rPr>
        <w:t xml:space="preserve"> arasında</w:t>
      </w:r>
      <w:r w:rsidR="00680113" w:rsidRPr="00DB0688">
        <w:rPr>
          <w:rFonts w:ascii="Calibri" w:eastAsia="Times New Roman" w:hAnsi="Calibri" w:cs="Times New Roman"/>
          <w:color w:val="000000"/>
          <w:sz w:val="24"/>
          <w:szCs w:val="24"/>
          <w:lang w:eastAsia="tr-TR"/>
        </w:rPr>
        <w:t xml:space="preserve"> </w:t>
      </w:r>
      <w:r w:rsidR="00F23571" w:rsidRPr="00DB0688">
        <w:rPr>
          <w:rFonts w:ascii="Calibri" w:eastAsia="Times New Roman" w:hAnsi="Calibri" w:cs="Times New Roman"/>
          <w:color w:val="000000"/>
          <w:sz w:val="24"/>
          <w:szCs w:val="24"/>
          <w:lang w:eastAsia="tr-TR"/>
        </w:rPr>
        <w:t xml:space="preserve">yüzde 33,6 ile </w:t>
      </w:r>
      <w:r w:rsidR="00680113" w:rsidRPr="00DB0688">
        <w:rPr>
          <w:rFonts w:ascii="Calibri" w:eastAsia="Times New Roman" w:hAnsi="Calibri" w:cs="Times New Roman"/>
          <w:color w:val="000000"/>
          <w:sz w:val="24"/>
          <w:szCs w:val="24"/>
          <w:lang w:eastAsia="tr-TR"/>
        </w:rPr>
        <w:t xml:space="preserve">en düşük istihdam oranına sahip olan </w:t>
      </w:r>
      <w:r w:rsidR="00680113" w:rsidRPr="00DB0688">
        <w:rPr>
          <w:rFonts w:ascii="Calibri" w:eastAsia="Times New Roman" w:hAnsi="Calibri" w:cs="Times New Roman"/>
          <w:b/>
          <w:color w:val="000000"/>
          <w:sz w:val="24"/>
          <w:szCs w:val="24"/>
          <w:lang w:eastAsia="tr-TR"/>
        </w:rPr>
        <w:t>Erzurum-Erzincan-Bayburt</w:t>
      </w:r>
      <w:r w:rsidR="00680113" w:rsidRPr="00DB0688">
        <w:rPr>
          <w:rFonts w:ascii="Calibri" w:eastAsia="Times New Roman" w:hAnsi="Calibri" w:cs="Times New Roman"/>
          <w:color w:val="000000"/>
          <w:sz w:val="24"/>
          <w:szCs w:val="24"/>
          <w:lang w:eastAsia="tr-TR"/>
        </w:rPr>
        <w:t xml:space="preserve"> bölgesidir</w:t>
      </w:r>
      <w:r w:rsidR="00F23571" w:rsidRPr="00DB0688">
        <w:rPr>
          <w:rFonts w:ascii="Calibri" w:eastAsia="Times New Roman" w:hAnsi="Calibri" w:cs="Times New Roman"/>
          <w:color w:val="000000"/>
          <w:sz w:val="24"/>
          <w:szCs w:val="24"/>
          <w:lang w:eastAsia="tr-TR"/>
        </w:rPr>
        <w:t xml:space="preserve">; işsizlik oranı da yüzde 14,3’tür. Bu bölgenin de </w:t>
      </w:r>
      <w:r w:rsidR="00F23571" w:rsidRPr="00DB0688">
        <w:rPr>
          <w:sz w:val="24"/>
          <w:szCs w:val="24"/>
        </w:rPr>
        <w:t xml:space="preserve">ucundan düşük performanslı bölgeler arasında yer aldığı </w:t>
      </w:r>
      <w:r w:rsidR="00F23571" w:rsidRPr="00A61812">
        <w:rPr>
          <w:sz w:val="24"/>
          <w:szCs w:val="24"/>
        </w:rPr>
        <w:t>söylenebilir (</w:t>
      </w:r>
      <w:r w:rsidR="00746878" w:rsidRPr="00A61812">
        <w:rPr>
          <w:sz w:val="24"/>
          <w:szCs w:val="24"/>
        </w:rPr>
        <w:t>Harita 1 ve Harita 2</w:t>
      </w:r>
      <w:r w:rsidR="00F23571" w:rsidRPr="00A61812">
        <w:rPr>
          <w:sz w:val="24"/>
          <w:szCs w:val="24"/>
        </w:rPr>
        <w:t>).</w:t>
      </w:r>
      <w:r w:rsidR="00F23571" w:rsidRPr="00DB0688">
        <w:rPr>
          <w:sz w:val="24"/>
          <w:szCs w:val="24"/>
        </w:rPr>
        <w:t xml:space="preserve"> </w:t>
      </w:r>
    </w:p>
    <w:p w14:paraId="3E162E55" w14:textId="4B5AE8E4" w:rsidR="0005487E" w:rsidRPr="00DB0688" w:rsidRDefault="009B1060" w:rsidP="00817B4A">
      <w:pPr>
        <w:rPr>
          <w:b/>
          <w:sz w:val="28"/>
          <w:szCs w:val="28"/>
        </w:rPr>
      </w:pPr>
      <w:r w:rsidRPr="00DB0688">
        <w:rPr>
          <w:b/>
          <w:sz w:val="28"/>
          <w:szCs w:val="28"/>
        </w:rPr>
        <w:t>Genel değerlendirme</w:t>
      </w:r>
    </w:p>
    <w:p w14:paraId="4DFB9FDE" w14:textId="5C062E51" w:rsidR="007E5C47" w:rsidRPr="00DB0688" w:rsidRDefault="007E5C47" w:rsidP="00341C70">
      <w:pPr>
        <w:spacing w:line="360" w:lineRule="auto"/>
        <w:jc w:val="both"/>
        <w:rPr>
          <w:sz w:val="24"/>
          <w:szCs w:val="24"/>
        </w:rPr>
      </w:pPr>
      <w:r w:rsidRPr="00DB0688">
        <w:rPr>
          <w:sz w:val="24"/>
          <w:szCs w:val="24"/>
        </w:rPr>
        <w:t>COVID-19 pandemi</w:t>
      </w:r>
      <w:r w:rsidR="00A35D3E" w:rsidRPr="00DB0688">
        <w:rPr>
          <w:sz w:val="24"/>
          <w:szCs w:val="24"/>
        </w:rPr>
        <w:t xml:space="preserve"> şokunun</w:t>
      </w:r>
      <w:r w:rsidRPr="00DB0688">
        <w:rPr>
          <w:sz w:val="24"/>
          <w:szCs w:val="24"/>
        </w:rPr>
        <w:t xml:space="preserve"> bölgesel işgücü piyasalarında yarattığı etkileri belirlemek aynı zamanda da bölgesel işgücü piyasalarının performanslarını karşılaştırmalı olarak değerlendirmek amacını güden bu araştırma notunda şu sorulara yanıt arandığı söylenebilir:</w:t>
      </w:r>
    </w:p>
    <w:p w14:paraId="2A8F8A5D" w14:textId="578A22AE" w:rsidR="007E5C47" w:rsidRPr="00DB0688" w:rsidRDefault="00A35D3E" w:rsidP="00341C70">
      <w:pPr>
        <w:pStyle w:val="ListParagraph"/>
        <w:numPr>
          <w:ilvl w:val="0"/>
          <w:numId w:val="2"/>
        </w:numPr>
        <w:spacing w:line="360" w:lineRule="auto"/>
        <w:jc w:val="both"/>
        <w:rPr>
          <w:sz w:val="24"/>
          <w:szCs w:val="24"/>
        </w:rPr>
      </w:pPr>
      <w:r w:rsidRPr="00DB0688">
        <w:rPr>
          <w:sz w:val="24"/>
          <w:szCs w:val="24"/>
        </w:rPr>
        <w:lastRenderedPageBreak/>
        <w:t>2018’den (şok öncesi) 2021’e (şok sonrası) Türkiye genelinde artan işsizlik bölgelere nasıl ve ne ölçüde yansımıştır?</w:t>
      </w:r>
    </w:p>
    <w:p w14:paraId="48636A8B" w14:textId="61962158" w:rsidR="00A35D3E" w:rsidRPr="00341C70" w:rsidRDefault="00A35D3E" w:rsidP="00341C70">
      <w:pPr>
        <w:pStyle w:val="ListParagraph"/>
        <w:numPr>
          <w:ilvl w:val="0"/>
          <w:numId w:val="2"/>
        </w:numPr>
        <w:spacing w:line="360" w:lineRule="auto"/>
        <w:jc w:val="both"/>
        <w:rPr>
          <w:sz w:val="24"/>
          <w:szCs w:val="24"/>
        </w:rPr>
      </w:pPr>
      <w:r w:rsidRPr="00341C70">
        <w:rPr>
          <w:sz w:val="24"/>
          <w:szCs w:val="24"/>
        </w:rPr>
        <w:t>Türkiye işgücü piyasasının en önemli yapısal sorunlarından biri olan işsizlikte muazzam bölgesel eşitsizlikte dikkate değer bir değişim olmuş mudur?</w:t>
      </w:r>
    </w:p>
    <w:p w14:paraId="696154C2" w14:textId="6C3C6CD4" w:rsidR="00A35D3E" w:rsidRPr="00341C70" w:rsidRDefault="00F4568A" w:rsidP="00341C70">
      <w:pPr>
        <w:pStyle w:val="ListParagraph"/>
        <w:numPr>
          <w:ilvl w:val="0"/>
          <w:numId w:val="2"/>
        </w:numPr>
        <w:spacing w:line="360" w:lineRule="auto"/>
        <w:jc w:val="both"/>
        <w:rPr>
          <w:sz w:val="24"/>
          <w:szCs w:val="24"/>
        </w:rPr>
      </w:pPr>
      <w:r w:rsidRPr="00341C70">
        <w:rPr>
          <w:sz w:val="24"/>
          <w:szCs w:val="24"/>
        </w:rPr>
        <w:t>İşsizlik hangi bölgelerde artmış hangi bölgelerde azalmıştır? Artış ve azalışların nedenleri nelerdir?</w:t>
      </w:r>
    </w:p>
    <w:p w14:paraId="78417D4E" w14:textId="6255CF81" w:rsidR="00F4568A" w:rsidRPr="00341C70" w:rsidRDefault="00F4568A" w:rsidP="00341C70">
      <w:pPr>
        <w:pStyle w:val="ListParagraph"/>
        <w:numPr>
          <w:ilvl w:val="0"/>
          <w:numId w:val="2"/>
        </w:numPr>
        <w:spacing w:line="360" w:lineRule="auto"/>
        <w:jc w:val="both"/>
        <w:rPr>
          <w:sz w:val="24"/>
          <w:szCs w:val="24"/>
        </w:rPr>
      </w:pPr>
      <w:r w:rsidRPr="00341C70">
        <w:rPr>
          <w:sz w:val="24"/>
          <w:szCs w:val="24"/>
        </w:rPr>
        <w:t>2021’de bölgesel işgücü piyasalarının performansları karşılaştırmalı olarak irdelendiğinde bölgeler nasıl konumlanmaktadır?</w:t>
      </w:r>
    </w:p>
    <w:p w14:paraId="4676185F" w14:textId="5B8CD382" w:rsidR="00843BE9" w:rsidRPr="00341C70" w:rsidRDefault="008470EE" w:rsidP="00DB0688">
      <w:pPr>
        <w:spacing w:line="360" w:lineRule="auto"/>
        <w:jc w:val="both"/>
        <w:rPr>
          <w:sz w:val="24"/>
          <w:szCs w:val="24"/>
        </w:rPr>
      </w:pPr>
      <w:r w:rsidRPr="00341C70">
        <w:rPr>
          <w:sz w:val="24"/>
          <w:szCs w:val="24"/>
        </w:rPr>
        <w:t xml:space="preserve">İlk soruya yanıt oldukça yalındır: Türkiye genelinde tarım dışı işsizlik oranı yüzde 13,1’den 14,1’e yükselirken </w:t>
      </w:r>
      <w:r w:rsidR="00843BE9" w:rsidRPr="00341C70">
        <w:rPr>
          <w:sz w:val="24"/>
          <w:szCs w:val="24"/>
        </w:rPr>
        <w:t>b</w:t>
      </w:r>
      <w:r w:rsidR="00EB66B9" w:rsidRPr="00341C70">
        <w:rPr>
          <w:sz w:val="24"/>
          <w:szCs w:val="24"/>
        </w:rPr>
        <w:t>u</w:t>
      </w:r>
      <w:r w:rsidR="00843BE9" w:rsidRPr="00341C70">
        <w:rPr>
          <w:sz w:val="24"/>
          <w:szCs w:val="24"/>
        </w:rPr>
        <w:t xml:space="preserve"> oran </w:t>
      </w:r>
      <w:r w:rsidRPr="00341C70">
        <w:rPr>
          <w:sz w:val="24"/>
          <w:szCs w:val="24"/>
        </w:rPr>
        <w:t xml:space="preserve">20 bölgede artmış 6 bölgede ise azalmıştır. </w:t>
      </w:r>
      <w:r w:rsidR="002E484F" w:rsidRPr="00341C70">
        <w:rPr>
          <w:sz w:val="24"/>
          <w:szCs w:val="24"/>
        </w:rPr>
        <w:t xml:space="preserve">Yani pandemi şokunun yeknesak bir etkiye sahip olduğu söylenemez. </w:t>
      </w:r>
      <w:r w:rsidRPr="00341C70">
        <w:rPr>
          <w:sz w:val="24"/>
          <w:szCs w:val="24"/>
        </w:rPr>
        <w:t xml:space="preserve">Bununla birlikte 2018’de en düşük </w:t>
      </w:r>
      <w:r w:rsidR="00843BE9" w:rsidRPr="00341C70">
        <w:rPr>
          <w:sz w:val="24"/>
          <w:szCs w:val="24"/>
        </w:rPr>
        <w:t xml:space="preserve">ve en yüksek </w:t>
      </w:r>
      <w:r w:rsidRPr="00341C70">
        <w:rPr>
          <w:sz w:val="24"/>
          <w:szCs w:val="24"/>
        </w:rPr>
        <w:t>tarım dışı işsizlik oran</w:t>
      </w:r>
      <w:r w:rsidR="00843BE9" w:rsidRPr="00341C70">
        <w:rPr>
          <w:sz w:val="24"/>
          <w:szCs w:val="24"/>
        </w:rPr>
        <w:t>ları</w:t>
      </w:r>
      <w:r w:rsidRPr="00341C70">
        <w:rPr>
          <w:sz w:val="24"/>
          <w:szCs w:val="24"/>
        </w:rPr>
        <w:t xml:space="preserve"> 7,8 </w:t>
      </w:r>
      <w:r w:rsidR="00843BE9" w:rsidRPr="00341C70">
        <w:rPr>
          <w:sz w:val="24"/>
          <w:szCs w:val="24"/>
        </w:rPr>
        <w:t xml:space="preserve">ve yüzde 30 iken bu oranlar 2021’de yüzde 9,1 ve yüzde 33,3’e yükselmiştir. </w:t>
      </w:r>
    </w:p>
    <w:p w14:paraId="5D7567DA" w14:textId="5D5A0AA4" w:rsidR="001C221F" w:rsidRPr="00341C70" w:rsidRDefault="00843BE9" w:rsidP="00DB0688">
      <w:pPr>
        <w:spacing w:line="360" w:lineRule="auto"/>
        <w:jc w:val="both"/>
        <w:rPr>
          <w:sz w:val="24"/>
          <w:szCs w:val="24"/>
        </w:rPr>
      </w:pPr>
      <w:r w:rsidRPr="00341C70">
        <w:rPr>
          <w:sz w:val="24"/>
          <w:szCs w:val="24"/>
        </w:rPr>
        <w:t>Bölgeler arasında eşitsizlikte dikkate değer bir değişim olmamıştır. 2018’de en yüksek işsizlik oranı en düşük işsizlik oranının 3,85 katı iken 2021’de 3,65</w:t>
      </w:r>
      <w:r w:rsidR="001C221F" w:rsidRPr="00341C70">
        <w:rPr>
          <w:sz w:val="24"/>
          <w:szCs w:val="24"/>
        </w:rPr>
        <w:t xml:space="preserve"> katıdır. Buna karşılık bölgesel işsizlik oranlarının standart sapması </w:t>
      </w:r>
      <w:r w:rsidR="00341C70" w:rsidRPr="00341C70">
        <w:rPr>
          <w:sz w:val="24"/>
          <w:szCs w:val="24"/>
        </w:rPr>
        <w:t>2,4’ten</w:t>
      </w:r>
      <w:r w:rsidR="001C221F" w:rsidRPr="00341C70">
        <w:rPr>
          <w:sz w:val="24"/>
          <w:szCs w:val="24"/>
        </w:rPr>
        <w:t xml:space="preserve"> 2,5’e yükselmiştir. </w:t>
      </w:r>
      <w:r w:rsidRPr="00341C70">
        <w:rPr>
          <w:sz w:val="24"/>
          <w:szCs w:val="24"/>
        </w:rPr>
        <w:t xml:space="preserve"> </w:t>
      </w:r>
      <w:r w:rsidR="001C221F" w:rsidRPr="00341C70">
        <w:rPr>
          <w:sz w:val="24"/>
          <w:szCs w:val="24"/>
        </w:rPr>
        <w:t xml:space="preserve">İşsizlikte bölgesel eşitsizlik bakımından Türkiye, İspanya ve İtalya ile birlikte Avrupa’nın ilk sıralarında yer almaya devam etmektedir. </w:t>
      </w:r>
    </w:p>
    <w:p w14:paraId="34D4FE08" w14:textId="458E05FA" w:rsidR="00A7376D" w:rsidRPr="00341C70" w:rsidRDefault="001C221F" w:rsidP="00DB0688">
      <w:pPr>
        <w:spacing w:line="360" w:lineRule="auto"/>
        <w:jc w:val="both"/>
        <w:rPr>
          <w:sz w:val="24"/>
          <w:szCs w:val="24"/>
        </w:rPr>
      </w:pPr>
      <w:r w:rsidRPr="00341C70">
        <w:rPr>
          <w:sz w:val="24"/>
          <w:szCs w:val="24"/>
        </w:rPr>
        <w:t xml:space="preserve">Tarım dışı işsizliğin </w:t>
      </w:r>
      <w:r w:rsidR="00EB66B9" w:rsidRPr="00341C70">
        <w:rPr>
          <w:sz w:val="24"/>
          <w:szCs w:val="24"/>
        </w:rPr>
        <w:t>Türkiye genelindeki artışla beraber bölgelerin çoğunda artmış ol</w:t>
      </w:r>
      <w:r w:rsidR="002E484F" w:rsidRPr="00341C70">
        <w:rPr>
          <w:sz w:val="24"/>
          <w:szCs w:val="24"/>
        </w:rPr>
        <w:t>sa da</w:t>
      </w:r>
      <w:r w:rsidR="00EB66B9" w:rsidRPr="00341C70">
        <w:rPr>
          <w:sz w:val="24"/>
          <w:szCs w:val="24"/>
        </w:rPr>
        <w:t xml:space="preserve"> işsizlik artışlarının nedenleri</w:t>
      </w:r>
      <w:r w:rsidR="002E484F" w:rsidRPr="00341C70">
        <w:rPr>
          <w:sz w:val="24"/>
          <w:szCs w:val="24"/>
        </w:rPr>
        <w:t xml:space="preserve"> bölgeden bölgeye çok farklıdır</w:t>
      </w:r>
      <w:r w:rsidR="00341C70">
        <w:rPr>
          <w:rStyle w:val="FootnoteReference"/>
          <w:sz w:val="24"/>
          <w:szCs w:val="24"/>
        </w:rPr>
        <w:footnoteReference w:id="6"/>
      </w:r>
      <w:r w:rsidR="00EB66B9" w:rsidRPr="00341C70">
        <w:rPr>
          <w:sz w:val="24"/>
          <w:szCs w:val="24"/>
        </w:rPr>
        <w:t xml:space="preserve">. </w:t>
      </w:r>
      <w:r w:rsidR="003D1181" w:rsidRPr="00341C70">
        <w:rPr>
          <w:sz w:val="24"/>
          <w:szCs w:val="24"/>
        </w:rPr>
        <w:t>İ</w:t>
      </w:r>
      <w:r w:rsidR="000305DE" w:rsidRPr="00341C70">
        <w:rPr>
          <w:sz w:val="24"/>
          <w:szCs w:val="24"/>
        </w:rPr>
        <w:t xml:space="preserve">şsizliğin arttığı 20 bölgenin </w:t>
      </w:r>
      <w:r w:rsidR="003D1181" w:rsidRPr="00341C70">
        <w:rPr>
          <w:sz w:val="24"/>
          <w:szCs w:val="24"/>
        </w:rPr>
        <w:t>16’sında</w:t>
      </w:r>
      <w:r w:rsidR="000305DE" w:rsidRPr="00341C70">
        <w:rPr>
          <w:sz w:val="24"/>
          <w:szCs w:val="24"/>
        </w:rPr>
        <w:t xml:space="preserve"> işsizlik </w:t>
      </w:r>
      <w:r w:rsidR="00341C70" w:rsidRPr="00341C70">
        <w:rPr>
          <w:sz w:val="24"/>
          <w:szCs w:val="24"/>
        </w:rPr>
        <w:t>artışı, Türkiye</w:t>
      </w:r>
      <w:r w:rsidR="003D1181" w:rsidRPr="00341C70">
        <w:rPr>
          <w:sz w:val="24"/>
          <w:szCs w:val="24"/>
        </w:rPr>
        <w:t xml:space="preserve"> genelinde olduğu gibi, </w:t>
      </w:r>
      <w:r w:rsidR="000305DE" w:rsidRPr="00341C70">
        <w:rPr>
          <w:sz w:val="24"/>
          <w:szCs w:val="24"/>
        </w:rPr>
        <w:t>işgücünün istihdam artışından daha güçlü olmasının sonucudur.</w:t>
      </w:r>
      <w:r w:rsidR="003D1181" w:rsidRPr="00341C70">
        <w:rPr>
          <w:sz w:val="24"/>
          <w:szCs w:val="24"/>
        </w:rPr>
        <w:t xml:space="preserve"> </w:t>
      </w:r>
      <w:r w:rsidR="000305DE" w:rsidRPr="00341C70">
        <w:rPr>
          <w:sz w:val="24"/>
          <w:szCs w:val="24"/>
        </w:rPr>
        <w:t xml:space="preserve"> </w:t>
      </w:r>
      <w:r w:rsidR="003D1181" w:rsidRPr="00341C70">
        <w:rPr>
          <w:sz w:val="24"/>
          <w:szCs w:val="24"/>
        </w:rPr>
        <w:t xml:space="preserve">Bununla birlikte artışların boyutu çok farklıdır. </w:t>
      </w:r>
      <w:r w:rsidR="007B299A" w:rsidRPr="00341C70">
        <w:rPr>
          <w:sz w:val="24"/>
          <w:szCs w:val="24"/>
        </w:rPr>
        <w:t xml:space="preserve">Bursa-Eskişehir-Bilecik bölgesinde işsizlik oranı artışı 0,2 yüzde puan ile sınırlı kalırken Trabzon- Ordu-Giresun-Rize-Artvin-Gümüşhane bölesinde 5,6 puandır. </w:t>
      </w:r>
    </w:p>
    <w:p w14:paraId="44682AE6" w14:textId="77777777" w:rsidR="00A7376D" w:rsidRPr="00341C70" w:rsidRDefault="000240E8" w:rsidP="00DB0688">
      <w:pPr>
        <w:spacing w:line="360" w:lineRule="auto"/>
        <w:jc w:val="both"/>
        <w:rPr>
          <w:sz w:val="24"/>
          <w:szCs w:val="24"/>
        </w:rPr>
      </w:pPr>
      <w:r w:rsidRPr="00341C70">
        <w:rPr>
          <w:sz w:val="24"/>
          <w:szCs w:val="24"/>
        </w:rPr>
        <w:t xml:space="preserve">İki bölgede, İzmir ve İç Ege işsizlik artışı hem işgücünde hem de istihdamda düşüşlerin sonucudur. İç Ege’de işsizlik artışı 0,1 puanla sınırlı kalırken İzmir’de 1,1 puandır. </w:t>
      </w:r>
      <w:r w:rsidR="0028787E" w:rsidRPr="00341C70">
        <w:rPr>
          <w:sz w:val="24"/>
          <w:szCs w:val="24"/>
        </w:rPr>
        <w:t xml:space="preserve">Artışın boyutu düşük olsa da bu oldukça olumsuz gelişmedir. </w:t>
      </w:r>
    </w:p>
    <w:p w14:paraId="467E4524" w14:textId="4493C9DE" w:rsidR="007509C0" w:rsidRPr="00945E91" w:rsidRDefault="0028787E" w:rsidP="00DB0688">
      <w:pPr>
        <w:spacing w:line="360" w:lineRule="auto"/>
        <w:jc w:val="both"/>
        <w:rPr>
          <w:sz w:val="24"/>
          <w:szCs w:val="24"/>
        </w:rPr>
      </w:pPr>
      <w:r w:rsidRPr="00945E91">
        <w:rPr>
          <w:sz w:val="24"/>
          <w:szCs w:val="24"/>
        </w:rPr>
        <w:lastRenderedPageBreak/>
        <w:t xml:space="preserve">Kapadokya ve Kuzeydoğu Anadolu bölgelerinde işsizlik işgücü artarken istihdamın azalması nedeniyle artmıştır. Kapadokya’da işsizlik oranı 2,7 puan artarken Kuzeydoğu Anadolu’da </w:t>
      </w:r>
      <w:r w:rsidR="00A7376D" w:rsidRPr="00945E91">
        <w:rPr>
          <w:sz w:val="24"/>
          <w:szCs w:val="24"/>
        </w:rPr>
        <w:t xml:space="preserve">14,3 puanlık </w:t>
      </w:r>
      <w:r w:rsidRPr="00945E91">
        <w:rPr>
          <w:sz w:val="24"/>
          <w:szCs w:val="24"/>
        </w:rPr>
        <w:t>çok şiddetli bir artış yaşanmıştır. İşgücünde artış yüzde 16’dır</w:t>
      </w:r>
      <w:r w:rsidR="004634BA" w:rsidRPr="00945E91">
        <w:rPr>
          <w:sz w:val="24"/>
          <w:szCs w:val="24"/>
        </w:rPr>
        <w:t xml:space="preserve">. </w:t>
      </w:r>
    </w:p>
    <w:p w14:paraId="2D186F80" w14:textId="209B66F1" w:rsidR="009024E9" w:rsidRPr="00DB0688" w:rsidRDefault="004634BA" w:rsidP="00DB0688">
      <w:pPr>
        <w:spacing w:line="360" w:lineRule="auto"/>
        <w:jc w:val="both"/>
        <w:rPr>
          <w:sz w:val="24"/>
          <w:szCs w:val="24"/>
        </w:rPr>
      </w:pPr>
      <w:r w:rsidRPr="00DB0688">
        <w:rPr>
          <w:sz w:val="24"/>
          <w:szCs w:val="24"/>
        </w:rPr>
        <w:t>İşsizliğin azaldığı 6 bölgeden üç</w:t>
      </w:r>
      <w:r w:rsidR="009024E9" w:rsidRPr="00DB0688">
        <w:rPr>
          <w:sz w:val="24"/>
          <w:szCs w:val="24"/>
        </w:rPr>
        <w:t>ünde</w:t>
      </w:r>
      <w:r w:rsidRPr="00DB0688">
        <w:rPr>
          <w:sz w:val="24"/>
          <w:szCs w:val="24"/>
        </w:rPr>
        <w:t xml:space="preserve"> azalışın nedeni</w:t>
      </w:r>
      <w:r w:rsidR="00945E91">
        <w:rPr>
          <w:sz w:val="24"/>
          <w:szCs w:val="24"/>
        </w:rPr>
        <w:t>,</w:t>
      </w:r>
      <w:r w:rsidRPr="00DB0688">
        <w:rPr>
          <w:sz w:val="24"/>
          <w:szCs w:val="24"/>
        </w:rPr>
        <w:t xml:space="preserve"> istihdam artışının işgücü artışından daha güçlü olmasıdır. Bu bölgeler Gaziantep</w:t>
      </w:r>
      <w:r w:rsidR="00BD036B" w:rsidRPr="00DB0688">
        <w:rPr>
          <w:sz w:val="24"/>
          <w:szCs w:val="24"/>
        </w:rPr>
        <w:t>-</w:t>
      </w:r>
      <w:r w:rsidRPr="00DB0688">
        <w:rPr>
          <w:sz w:val="24"/>
          <w:szCs w:val="24"/>
        </w:rPr>
        <w:t>Adıyaman</w:t>
      </w:r>
      <w:r w:rsidR="00BD036B" w:rsidRPr="00DB0688">
        <w:rPr>
          <w:sz w:val="24"/>
          <w:szCs w:val="24"/>
        </w:rPr>
        <w:t>-</w:t>
      </w:r>
      <w:r w:rsidRPr="00DB0688">
        <w:rPr>
          <w:sz w:val="24"/>
          <w:szCs w:val="24"/>
        </w:rPr>
        <w:t xml:space="preserve">Kilis </w:t>
      </w:r>
      <w:r w:rsidR="009024E9" w:rsidRPr="00DB0688">
        <w:rPr>
          <w:sz w:val="24"/>
          <w:szCs w:val="24"/>
        </w:rPr>
        <w:t xml:space="preserve"> </w:t>
      </w:r>
      <w:r w:rsidR="00BD036B" w:rsidRPr="00DB0688">
        <w:rPr>
          <w:sz w:val="24"/>
          <w:szCs w:val="24"/>
        </w:rPr>
        <w:t>(-2,5 puan)</w:t>
      </w:r>
      <w:r w:rsidRPr="00DB0688">
        <w:rPr>
          <w:sz w:val="24"/>
          <w:szCs w:val="24"/>
        </w:rPr>
        <w:t>, Kayseri</w:t>
      </w:r>
      <w:r w:rsidR="00BD036B" w:rsidRPr="00DB0688">
        <w:rPr>
          <w:sz w:val="24"/>
          <w:szCs w:val="24"/>
        </w:rPr>
        <w:t>-</w:t>
      </w:r>
      <w:r w:rsidRPr="00DB0688">
        <w:rPr>
          <w:sz w:val="24"/>
          <w:szCs w:val="24"/>
        </w:rPr>
        <w:t>Sivas</w:t>
      </w:r>
      <w:r w:rsidR="00BD036B" w:rsidRPr="00DB0688">
        <w:rPr>
          <w:sz w:val="24"/>
          <w:szCs w:val="24"/>
        </w:rPr>
        <w:t>-</w:t>
      </w:r>
      <w:r w:rsidRPr="00DB0688">
        <w:rPr>
          <w:sz w:val="24"/>
          <w:szCs w:val="24"/>
        </w:rPr>
        <w:t xml:space="preserve">Yozgat </w:t>
      </w:r>
      <w:r w:rsidR="00BD036B" w:rsidRPr="00DB0688">
        <w:rPr>
          <w:sz w:val="24"/>
          <w:szCs w:val="24"/>
        </w:rPr>
        <w:t xml:space="preserve">(-2,1 puan) </w:t>
      </w:r>
      <w:r w:rsidRPr="00DB0688">
        <w:rPr>
          <w:sz w:val="24"/>
          <w:szCs w:val="24"/>
        </w:rPr>
        <w:t>ve Doğu Marmara</w:t>
      </w:r>
      <w:r w:rsidR="00BD036B" w:rsidRPr="00DB0688">
        <w:rPr>
          <w:sz w:val="24"/>
          <w:szCs w:val="24"/>
        </w:rPr>
        <w:t xml:space="preserve">’dır (-0,9 puan). İşsizliğin bu yoldan azalması kuşkusuz çok olumludur. </w:t>
      </w:r>
    </w:p>
    <w:p w14:paraId="3AD346CC" w14:textId="77777777" w:rsidR="00E35A47" w:rsidRPr="00DB0688" w:rsidRDefault="00BD036B" w:rsidP="00DB0688">
      <w:pPr>
        <w:spacing w:line="360" w:lineRule="auto"/>
        <w:jc w:val="both"/>
        <w:rPr>
          <w:sz w:val="24"/>
          <w:szCs w:val="24"/>
        </w:rPr>
      </w:pPr>
      <w:r w:rsidRPr="00DB0688">
        <w:rPr>
          <w:sz w:val="24"/>
          <w:szCs w:val="24"/>
        </w:rPr>
        <w:t>Doğu Anadolu (-0,8</w:t>
      </w:r>
      <w:r w:rsidR="009024E9" w:rsidRPr="00DB0688">
        <w:rPr>
          <w:sz w:val="24"/>
          <w:szCs w:val="24"/>
        </w:rPr>
        <w:t xml:space="preserve"> puan</w:t>
      </w:r>
      <w:r w:rsidRPr="00DB0688">
        <w:rPr>
          <w:sz w:val="24"/>
          <w:szCs w:val="24"/>
        </w:rPr>
        <w:t>) ve İstanbul’da (-0,2</w:t>
      </w:r>
      <w:r w:rsidR="009024E9" w:rsidRPr="00DB0688">
        <w:rPr>
          <w:sz w:val="24"/>
          <w:szCs w:val="24"/>
        </w:rPr>
        <w:t xml:space="preserve"> puan</w:t>
      </w:r>
      <w:r w:rsidRPr="00DB0688">
        <w:rPr>
          <w:sz w:val="24"/>
          <w:szCs w:val="24"/>
        </w:rPr>
        <w:t xml:space="preserve">) işgücü istihdamdan daha büyük </w:t>
      </w:r>
      <w:r w:rsidR="00996D19" w:rsidRPr="00DB0688">
        <w:rPr>
          <w:sz w:val="24"/>
          <w:szCs w:val="24"/>
        </w:rPr>
        <w:t>çapta azaldığı için işsizlik azalmıştır. Bu olumlu bir gelişme olarak görülemez. İşsizliğin uzak ara en çok azaldığı</w:t>
      </w:r>
      <w:r w:rsidR="009024E9" w:rsidRPr="00DB0688">
        <w:rPr>
          <w:sz w:val="24"/>
          <w:szCs w:val="24"/>
        </w:rPr>
        <w:t xml:space="preserve"> (-5,8 puan)</w:t>
      </w:r>
      <w:r w:rsidR="00996D19" w:rsidRPr="00DB0688">
        <w:rPr>
          <w:sz w:val="24"/>
          <w:szCs w:val="24"/>
        </w:rPr>
        <w:t xml:space="preserve"> bölge </w:t>
      </w:r>
      <w:r w:rsidR="004634BA" w:rsidRPr="00DB0688">
        <w:rPr>
          <w:sz w:val="24"/>
          <w:szCs w:val="24"/>
        </w:rPr>
        <w:t>Şanlıurfa</w:t>
      </w:r>
      <w:r w:rsidR="00996D19" w:rsidRPr="00DB0688">
        <w:rPr>
          <w:sz w:val="24"/>
          <w:szCs w:val="24"/>
        </w:rPr>
        <w:t>-</w:t>
      </w:r>
      <w:r w:rsidR="004634BA" w:rsidRPr="00DB0688">
        <w:rPr>
          <w:sz w:val="24"/>
          <w:szCs w:val="24"/>
        </w:rPr>
        <w:t>Diyarbakır</w:t>
      </w:r>
      <w:r w:rsidR="009024E9" w:rsidRPr="00DB0688">
        <w:rPr>
          <w:sz w:val="24"/>
          <w:szCs w:val="24"/>
        </w:rPr>
        <w:t>’dır</w:t>
      </w:r>
      <w:r w:rsidR="00996D19" w:rsidRPr="00DB0688">
        <w:rPr>
          <w:sz w:val="24"/>
          <w:szCs w:val="24"/>
        </w:rPr>
        <w:t>. İstihdam az da olsa artmış ama işsizlik oranını düşüren esas etken işgücündeki şiddetli azalma</w:t>
      </w:r>
      <w:r w:rsidR="00F04D7C" w:rsidRPr="00DB0688">
        <w:rPr>
          <w:sz w:val="24"/>
          <w:szCs w:val="24"/>
        </w:rPr>
        <w:t xml:space="preserve"> </w:t>
      </w:r>
      <w:r w:rsidR="009024E9" w:rsidRPr="00DB0688">
        <w:rPr>
          <w:sz w:val="24"/>
          <w:szCs w:val="24"/>
        </w:rPr>
        <w:t>(</w:t>
      </w:r>
      <w:r w:rsidR="00F04D7C" w:rsidRPr="00DB0688">
        <w:rPr>
          <w:sz w:val="24"/>
          <w:szCs w:val="24"/>
        </w:rPr>
        <w:t>yüzde 6,2</w:t>
      </w:r>
      <w:r w:rsidR="009024E9" w:rsidRPr="00DB0688">
        <w:rPr>
          <w:sz w:val="24"/>
          <w:szCs w:val="24"/>
        </w:rPr>
        <w:t>) olmuştur</w:t>
      </w:r>
      <w:r w:rsidR="00F04D7C" w:rsidRPr="00DB0688">
        <w:rPr>
          <w:sz w:val="24"/>
          <w:szCs w:val="24"/>
        </w:rPr>
        <w:t>. Bu da kuşkusuz olum</w:t>
      </w:r>
      <w:r w:rsidR="009024E9" w:rsidRPr="00DB0688">
        <w:rPr>
          <w:sz w:val="24"/>
          <w:szCs w:val="24"/>
        </w:rPr>
        <w:t xml:space="preserve">suz </w:t>
      </w:r>
      <w:r w:rsidR="00F04D7C" w:rsidRPr="00DB0688">
        <w:rPr>
          <w:sz w:val="24"/>
          <w:szCs w:val="24"/>
        </w:rPr>
        <w:t>bir gelişme</w:t>
      </w:r>
      <w:r w:rsidR="009024E9" w:rsidRPr="00DB0688">
        <w:rPr>
          <w:sz w:val="24"/>
          <w:szCs w:val="24"/>
        </w:rPr>
        <w:t>dir</w:t>
      </w:r>
      <w:r w:rsidR="00F04D7C" w:rsidRPr="00DB0688">
        <w:rPr>
          <w:sz w:val="24"/>
          <w:szCs w:val="24"/>
        </w:rPr>
        <w:t>.</w:t>
      </w:r>
    </w:p>
    <w:p w14:paraId="7A551F05" w14:textId="0CDAF743" w:rsidR="00F04D7C" w:rsidRPr="00DB0688" w:rsidRDefault="00F04D7C" w:rsidP="00DB0688">
      <w:pPr>
        <w:spacing w:line="360" w:lineRule="auto"/>
        <w:jc w:val="both"/>
        <w:rPr>
          <w:sz w:val="24"/>
          <w:szCs w:val="24"/>
        </w:rPr>
      </w:pPr>
      <w:r w:rsidRPr="00DB0688">
        <w:rPr>
          <w:sz w:val="24"/>
          <w:szCs w:val="24"/>
        </w:rPr>
        <w:t xml:space="preserve">Son olarak bölgesel işgücü piyasalarının 2021’de tarım dışı işsizlik </w:t>
      </w:r>
      <w:r w:rsidR="00E35A47" w:rsidRPr="00DB0688">
        <w:rPr>
          <w:sz w:val="24"/>
          <w:szCs w:val="24"/>
        </w:rPr>
        <w:t>ve</w:t>
      </w:r>
      <w:r w:rsidRPr="00DB0688">
        <w:rPr>
          <w:sz w:val="24"/>
          <w:szCs w:val="24"/>
        </w:rPr>
        <w:t xml:space="preserve"> tarım dışı istihdam oran</w:t>
      </w:r>
      <w:r w:rsidR="00E35A47" w:rsidRPr="00DB0688">
        <w:rPr>
          <w:sz w:val="24"/>
          <w:szCs w:val="24"/>
        </w:rPr>
        <w:t>ları</w:t>
      </w:r>
      <w:r w:rsidRPr="00DB0688">
        <w:rPr>
          <w:sz w:val="24"/>
          <w:szCs w:val="24"/>
        </w:rPr>
        <w:t xml:space="preserve"> itibariyle karşılaştırılması sonucu </w:t>
      </w:r>
      <w:r w:rsidR="00E35A47" w:rsidRPr="00DB0688">
        <w:rPr>
          <w:sz w:val="24"/>
          <w:szCs w:val="24"/>
        </w:rPr>
        <w:t>ortaya çıkan</w:t>
      </w:r>
      <w:r w:rsidRPr="00DB0688">
        <w:rPr>
          <w:sz w:val="24"/>
          <w:szCs w:val="24"/>
        </w:rPr>
        <w:t xml:space="preserve"> en çarpıcı bulguları kısaca hatırlatalım. </w:t>
      </w:r>
      <w:r w:rsidR="00165B5E" w:rsidRPr="00DB0688">
        <w:rPr>
          <w:sz w:val="24"/>
          <w:szCs w:val="24"/>
        </w:rPr>
        <w:t xml:space="preserve">Türkiye tarım dışı işsizlik oranı (yüzde 14,1) ile tarım dışı istihdam </w:t>
      </w:r>
      <w:r w:rsidR="00165B5E" w:rsidRPr="00641FDF">
        <w:rPr>
          <w:sz w:val="24"/>
          <w:szCs w:val="24"/>
        </w:rPr>
        <w:t>oranını (yüzde 40,6) nirengi</w:t>
      </w:r>
      <w:r w:rsidR="00165B5E" w:rsidRPr="00DB0688">
        <w:rPr>
          <w:sz w:val="24"/>
          <w:szCs w:val="24"/>
        </w:rPr>
        <w:t xml:space="preserve"> noktaları olarak kabul etiğimizde 8 bölgenin daha yüksek işsizlik ve daha düşük istihdam oranlarına sahip olduğu görülmektedir. Bu bölgeler</w:t>
      </w:r>
      <w:r w:rsidR="00CE113B" w:rsidRPr="00DB0688">
        <w:rPr>
          <w:sz w:val="24"/>
          <w:szCs w:val="24"/>
        </w:rPr>
        <w:t xml:space="preserve"> işgücü piyasası performansı bakımından en sorunlu bölgelerdir. Uzak ara en sorunlu bölgeler ise </w:t>
      </w:r>
      <w:r w:rsidR="00165B5E" w:rsidRPr="00DB0688">
        <w:rPr>
          <w:sz w:val="24"/>
          <w:szCs w:val="24"/>
        </w:rPr>
        <w:t>Doğu ve Güneydoğu Anadolu</w:t>
      </w:r>
      <w:r w:rsidR="00DA6251" w:rsidRPr="00DB0688">
        <w:rPr>
          <w:sz w:val="24"/>
          <w:szCs w:val="24"/>
        </w:rPr>
        <w:t>’da</w:t>
      </w:r>
      <w:r w:rsidR="00CE113B" w:rsidRPr="00DB0688">
        <w:rPr>
          <w:sz w:val="24"/>
          <w:szCs w:val="24"/>
        </w:rPr>
        <w:t>dır</w:t>
      </w:r>
      <w:r w:rsidR="00DA6251" w:rsidRPr="00DB0688">
        <w:rPr>
          <w:sz w:val="24"/>
          <w:szCs w:val="24"/>
        </w:rPr>
        <w:t xml:space="preserve">. Bu bölgeler hem </w:t>
      </w:r>
      <w:r w:rsidR="00CE113B" w:rsidRPr="00DB0688">
        <w:rPr>
          <w:sz w:val="24"/>
          <w:szCs w:val="24"/>
        </w:rPr>
        <w:t>çok</w:t>
      </w:r>
      <w:r w:rsidR="00DA6251" w:rsidRPr="00DB0688">
        <w:rPr>
          <w:sz w:val="24"/>
          <w:szCs w:val="24"/>
        </w:rPr>
        <w:t xml:space="preserve"> yüksek işsizlik oranlarına (yüzde 33,3-</w:t>
      </w:r>
      <w:r w:rsidR="00CE113B" w:rsidRPr="00DB0688">
        <w:rPr>
          <w:sz w:val="24"/>
          <w:szCs w:val="24"/>
        </w:rPr>
        <w:t>20,6)</w:t>
      </w:r>
      <w:r w:rsidR="00DA6251" w:rsidRPr="00DB0688">
        <w:rPr>
          <w:sz w:val="24"/>
          <w:szCs w:val="24"/>
        </w:rPr>
        <w:t xml:space="preserve"> hem de </w:t>
      </w:r>
      <w:r w:rsidR="00CE113B" w:rsidRPr="00DB0688">
        <w:rPr>
          <w:sz w:val="24"/>
          <w:szCs w:val="24"/>
        </w:rPr>
        <w:t>çok</w:t>
      </w:r>
      <w:r w:rsidR="00DA6251" w:rsidRPr="00DB0688">
        <w:rPr>
          <w:sz w:val="24"/>
          <w:szCs w:val="24"/>
        </w:rPr>
        <w:t xml:space="preserve"> düşük istihdam oranlarına (yüzde 26,</w:t>
      </w:r>
      <w:r w:rsidR="00CE113B" w:rsidRPr="00DB0688">
        <w:rPr>
          <w:sz w:val="24"/>
          <w:szCs w:val="24"/>
        </w:rPr>
        <w:t>4</w:t>
      </w:r>
      <w:r w:rsidR="00DA6251" w:rsidRPr="00DB0688">
        <w:rPr>
          <w:sz w:val="24"/>
          <w:szCs w:val="24"/>
        </w:rPr>
        <w:t>-27,1) sahiptirler.</w:t>
      </w:r>
      <w:r w:rsidRPr="00DB0688">
        <w:rPr>
          <w:sz w:val="24"/>
          <w:szCs w:val="24"/>
        </w:rPr>
        <w:t xml:space="preserve"> </w:t>
      </w:r>
    </w:p>
    <w:p w14:paraId="4CA665E8" w14:textId="0E83CFE6" w:rsidR="000D60E2" w:rsidRPr="00DB0688" w:rsidRDefault="00DA6251" w:rsidP="00DB0688">
      <w:pPr>
        <w:spacing w:line="360" w:lineRule="auto"/>
        <w:jc w:val="both"/>
        <w:rPr>
          <w:sz w:val="24"/>
          <w:szCs w:val="24"/>
        </w:rPr>
      </w:pPr>
      <w:r w:rsidRPr="00DB0688">
        <w:rPr>
          <w:sz w:val="24"/>
          <w:szCs w:val="24"/>
        </w:rPr>
        <w:t xml:space="preserve">Buna karşılık </w:t>
      </w:r>
      <w:r w:rsidR="00F546A2" w:rsidRPr="00DB0688">
        <w:rPr>
          <w:sz w:val="24"/>
          <w:szCs w:val="24"/>
        </w:rPr>
        <w:t>5 bölge Türkiye geneline kıyasla daha düşük işsizlik ve daha yüksek istihdam oranlarına sahiptirler ve bu bakımdan yüksek performanslı işgücü piyasalarına sahiptirler. Bu bölgelerin tümü Türkiye’nin batısında yer alan sanayileşmiş bölgelerd</w:t>
      </w:r>
      <w:r w:rsidR="00564244" w:rsidRPr="00DB0688">
        <w:rPr>
          <w:sz w:val="24"/>
          <w:szCs w:val="24"/>
        </w:rPr>
        <w:t>ir</w:t>
      </w:r>
      <w:r w:rsidR="00F546A2" w:rsidRPr="00746878">
        <w:rPr>
          <w:sz w:val="24"/>
          <w:szCs w:val="24"/>
        </w:rPr>
        <w:t xml:space="preserve">. </w:t>
      </w:r>
      <w:r w:rsidR="00564244" w:rsidRPr="00746878">
        <w:rPr>
          <w:sz w:val="24"/>
          <w:szCs w:val="24"/>
        </w:rPr>
        <w:t>Ö</w:t>
      </w:r>
      <w:r w:rsidR="00F546A2" w:rsidRPr="00DB0688">
        <w:rPr>
          <w:sz w:val="24"/>
          <w:szCs w:val="24"/>
        </w:rPr>
        <w:t xml:space="preserve">zellikle </w:t>
      </w:r>
      <w:r w:rsidR="00564244" w:rsidRPr="00DB0688">
        <w:rPr>
          <w:sz w:val="24"/>
          <w:szCs w:val="24"/>
        </w:rPr>
        <w:t>üçü</w:t>
      </w:r>
      <w:r w:rsidR="00F546A2" w:rsidRPr="00DB0688">
        <w:rPr>
          <w:sz w:val="24"/>
          <w:szCs w:val="24"/>
        </w:rPr>
        <w:t>, Güney</w:t>
      </w:r>
      <w:r w:rsidR="00564244" w:rsidRPr="00DB0688">
        <w:rPr>
          <w:sz w:val="24"/>
          <w:szCs w:val="24"/>
        </w:rPr>
        <w:t xml:space="preserve"> Marmara (TR41), Trakya (TR21) ve Doğu Marmara (TR42), son derece düşük </w:t>
      </w:r>
      <w:r w:rsidR="00C31A60" w:rsidRPr="00DB0688">
        <w:rPr>
          <w:sz w:val="24"/>
          <w:szCs w:val="24"/>
        </w:rPr>
        <w:t>işsizlik oranlarına (yüzde 10,2-</w:t>
      </w:r>
      <w:r w:rsidR="00564244" w:rsidRPr="00DB0688">
        <w:rPr>
          <w:sz w:val="24"/>
          <w:szCs w:val="24"/>
        </w:rPr>
        <w:t xml:space="preserve">10,9) </w:t>
      </w:r>
      <w:r w:rsidR="00C31A60" w:rsidRPr="00DB0688">
        <w:rPr>
          <w:sz w:val="24"/>
          <w:szCs w:val="24"/>
        </w:rPr>
        <w:t xml:space="preserve">aynı zamanda da yüksek istihdam oranlarına (yüzde 47,6-43,9) </w:t>
      </w:r>
      <w:r w:rsidR="00564244" w:rsidRPr="00DB0688">
        <w:rPr>
          <w:sz w:val="24"/>
          <w:szCs w:val="24"/>
        </w:rPr>
        <w:t xml:space="preserve">sahiptirler. </w:t>
      </w:r>
    </w:p>
    <w:p w14:paraId="2E8B10FB" w14:textId="77777777" w:rsidR="00DB0688" w:rsidRDefault="00DB0688">
      <w:pPr>
        <w:rPr>
          <w:b/>
        </w:rPr>
      </w:pPr>
      <w:r>
        <w:rPr>
          <w:b/>
        </w:rPr>
        <w:br w:type="page"/>
      </w:r>
    </w:p>
    <w:p w14:paraId="1142A721" w14:textId="17B9E30B" w:rsidR="0030332E" w:rsidRPr="001F26BB" w:rsidRDefault="00746878" w:rsidP="00817B4A">
      <w:pPr>
        <w:rPr>
          <w:b/>
        </w:rPr>
      </w:pPr>
      <w:r>
        <w:rPr>
          <w:b/>
        </w:rPr>
        <w:lastRenderedPageBreak/>
        <w:t>Harita</w:t>
      </w:r>
      <w:r w:rsidR="0030332E" w:rsidRPr="001F26BB">
        <w:rPr>
          <w:b/>
        </w:rPr>
        <w:t xml:space="preserve"> 1: </w:t>
      </w:r>
      <w:r w:rsidR="00C634BC" w:rsidRPr="001F26BB">
        <w:rPr>
          <w:b/>
        </w:rPr>
        <w:t>Bölgelere göre tarım dışı işsizlik oranları (</w:t>
      </w:r>
      <w:r w:rsidR="00510DC1">
        <w:rPr>
          <w:b/>
        </w:rPr>
        <w:t xml:space="preserve">%, </w:t>
      </w:r>
      <w:r w:rsidR="00C634BC" w:rsidRPr="001F26BB">
        <w:rPr>
          <w:b/>
        </w:rPr>
        <w:t>2021)</w:t>
      </w:r>
    </w:p>
    <w:p w14:paraId="5B393102" w14:textId="35B8C03A" w:rsidR="001F26BB" w:rsidRDefault="008A2DA9" w:rsidP="00817B4A">
      <w:pPr>
        <w:rPr>
          <w:b/>
          <w:sz w:val="20"/>
          <w:szCs w:val="20"/>
        </w:rPr>
      </w:pPr>
      <w:r>
        <w:rPr>
          <w:noProof/>
          <w:lang w:eastAsia="tr-TR"/>
        </w:rPr>
        <w:pict w14:anchorId="6110E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177.75pt">
            <v:imagedata r:id="rId13" o:title="td_nuts2_issiz_3"/>
          </v:shape>
        </w:pict>
      </w:r>
    </w:p>
    <w:p w14:paraId="317EB5D7" w14:textId="4785F9C1" w:rsidR="002E3172" w:rsidRDefault="002E3172" w:rsidP="00817B4A">
      <w:pPr>
        <w:rPr>
          <w:b/>
        </w:rPr>
      </w:pPr>
    </w:p>
    <w:p w14:paraId="79CB467D" w14:textId="70081732" w:rsidR="00746878" w:rsidRDefault="00746878" w:rsidP="00817B4A">
      <w:pPr>
        <w:rPr>
          <w:b/>
        </w:rPr>
      </w:pPr>
    </w:p>
    <w:p w14:paraId="016ECA63" w14:textId="0AEB96BE" w:rsidR="00A61812" w:rsidRDefault="00A61812" w:rsidP="00817B4A">
      <w:pPr>
        <w:rPr>
          <w:b/>
        </w:rPr>
      </w:pPr>
    </w:p>
    <w:p w14:paraId="0B02B24C" w14:textId="77777777" w:rsidR="00A61812" w:rsidRDefault="00A61812" w:rsidP="00817B4A">
      <w:pPr>
        <w:rPr>
          <w:b/>
        </w:rPr>
      </w:pPr>
    </w:p>
    <w:p w14:paraId="43CB53FE" w14:textId="614A938B" w:rsidR="00746878" w:rsidRPr="001F26BB" w:rsidRDefault="00746878" w:rsidP="00746878">
      <w:pPr>
        <w:rPr>
          <w:b/>
        </w:rPr>
      </w:pPr>
      <w:r>
        <w:rPr>
          <w:b/>
        </w:rPr>
        <w:t>Harita</w:t>
      </w:r>
      <w:r w:rsidRPr="001F26BB">
        <w:rPr>
          <w:b/>
        </w:rPr>
        <w:t xml:space="preserve"> </w:t>
      </w:r>
      <w:r>
        <w:rPr>
          <w:b/>
        </w:rPr>
        <w:t>2</w:t>
      </w:r>
      <w:r w:rsidRPr="001F26BB">
        <w:rPr>
          <w:b/>
        </w:rPr>
        <w:t xml:space="preserve">: Bölgelere göre tarım dışı </w:t>
      </w:r>
      <w:r>
        <w:rPr>
          <w:b/>
        </w:rPr>
        <w:t>istihdam</w:t>
      </w:r>
      <w:r w:rsidRPr="001F26BB">
        <w:rPr>
          <w:b/>
        </w:rPr>
        <w:t xml:space="preserve"> oranları (</w:t>
      </w:r>
      <w:r>
        <w:rPr>
          <w:b/>
        </w:rPr>
        <w:t xml:space="preserve">%, </w:t>
      </w:r>
      <w:r w:rsidRPr="001F26BB">
        <w:rPr>
          <w:b/>
        </w:rPr>
        <w:t>2021)</w:t>
      </w:r>
    </w:p>
    <w:p w14:paraId="5ADC33F8" w14:textId="7C1D8A01" w:rsidR="002E3172" w:rsidRDefault="008A2DA9" w:rsidP="00817B4A">
      <w:pPr>
        <w:rPr>
          <w:b/>
        </w:rPr>
      </w:pPr>
      <w:r>
        <w:rPr>
          <w:noProof/>
          <w:lang w:eastAsia="tr-TR"/>
        </w:rPr>
        <w:pict w14:anchorId="5107929B">
          <v:shape id="_x0000_i1026" type="#_x0000_t75" style="width:478.5pt;height:179.25pt">
            <v:imagedata r:id="rId14" o:title="td_nuts2_istihdam_3"/>
          </v:shape>
        </w:pict>
      </w:r>
    </w:p>
    <w:p w14:paraId="7E2CA98B" w14:textId="77777777" w:rsidR="00786D7C" w:rsidRDefault="00420EF0" w:rsidP="00817B4A">
      <w:pPr>
        <w:rPr>
          <w:b/>
          <w:sz w:val="20"/>
          <w:szCs w:val="20"/>
        </w:rPr>
      </w:pPr>
      <w:r w:rsidRPr="00420EF0">
        <w:rPr>
          <w:b/>
          <w:noProof/>
          <w:sz w:val="20"/>
          <w:szCs w:val="20"/>
          <w:lang w:eastAsia="tr-TR"/>
        </w:rPr>
        <w:lastRenderedPageBreak/>
        <mc:AlternateContent>
          <mc:Choice Requires="wps">
            <w:drawing>
              <wp:anchor distT="45720" distB="45720" distL="114300" distR="114300" simplePos="0" relativeHeight="251677696" behindDoc="0" locked="0" layoutInCell="1" allowOverlap="1" wp14:anchorId="063C1D0D" wp14:editId="7278EA0F">
                <wp:simplePos x="0" y="0"/>
                <wp:positionH relativeFrom="margin">
                  <wp:align>right</wp:align>
                </wp:positionH>
                <wp:positionV relativeFrom="paragraph">
                  <wp:posOffset>508</wp:posOffset>
                </wp:positionV>
                <wp:extent cx="5740400" cy="6570980"/>
                <wp:effectExtent l="0" t="0" r="12700"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6570980"/>
                        </a:xfrm>
                        <a:prstGeom prst="rect">
                          <a:avLst/>
                        </a:prstGeom>
                        <a:solidFill>
                          <a:srgbClr val="FFFFFF"/>
                        </a:solidFill>
                        <a:ln w="9525">
                          <a:solidFill>
                            <a:srgbClr val="000000"/>
                          </a:solidFill>
                          <a:miter lim="800000"/>
                          <a:headEnd/>
                          <a:tailEnd/>
                        </a:ln>
                      </wps:spPr>
                      <wps:txbx>
                        <w:txbxContent>
                          <w:p w14:paraId="1A47855A" w14:textId="148505C2" w:rsidR="00B96B30" w:rsidRPr="001F26BB" w:rsidRDefault="00B96B30">
                            <w:pPr>
                              <w:rPr>
                                <w:b/>
                              </w:rPr>
                            </w:pPr>
                            <w:r w:rsidRPr="001F26BB">
                              <w:rPr>
                                <w:b/>
                              </w:rPr>
                              <w:t>KUTU: Tarım istihdamının bölgesel işsizlik oranlarına etkisi</w:t>
                            </w:r>
                          </w:p>
                          <w:p w14:paraId="4E3A942E" w14:textId="02830CBF" w:rsidR="00B96B30" w:rsidRPr="001F26BB" w:rsidRDefault="00B96B30" w:rsidP="00DA3B58">
                            <w:pPr>
                              <w:jc w:val="both"/>
                            </w:pPr>
                            <w:r>
                              <w:t>Türkiye’de genel işsizlik oranı ile tarım dışı işsizlik oranı arasında önemli bir fark mevcuttur. Nedeni tarım istihdamının toplam içinde sürekli azalıyor olsa da önemli bir paya sahip olmasıdır. Türkiye’de tarım istihdamı çok büyük ölçüde kendi hesabına ve ücretsiz aile işçilerinden oluştuğundan işsiz (iş arayan) sayısına etkisi de ihmal edilebilecek kadar düşüktür. Bu koşullarda b</w:t>
                            </w:r>
                            <w:r w:rsidRPr="001F26BB">
                              <w:t xml:space="preserve">ölgesel işsizlik karşılaştırmalı olarak değerlendirilmek istendiğinde hangi işsizlik oranının seçileceği meşru bir sorudur çünkü tarım istihdamının toplam içindeki payı bölgeden bölgeye </w:t>
                            </w:r>
                            <w:r>
                              <w:t xml:space="preserve">çok </w:t>
                            </w:r>
                            <w:r w:rsidRPr="001F26BB">
                              <w:t>farklı</w:t>
                            </w:r>
                            <w:r>
                              <w:t>dır</w:t>
                            </w:r>
                            <w:r w:rsidRPr="001F26BB">
                              <w:t xml:space="preserve">. </w:t>
                            </w:r>
                            <w:r>
                              <w:t xml:space="preserve">Bu nedenle bazı </w:t>
                            </w:r>
                            <w:r w:rsidRPr="001F26BB">
                              <w:t xml:space="preserve">bölgelerde genel işsizlik oranı ile tarım dışı işsizlik oranları arasında farklar büyük boyutlara ulaşabildiği gibi, daha önemlisi, </w:t>
                            </w:r>
                            <w:r>
                              <w:t xml:space="preserve">bölgelerin </w:t>
                            </w:r>
                            <w:r w:rsidRPr="001F26BB">
                              <w:t>işsizlik oranları itibariyle sıralamasını da değiştirebilmektedir.</w:t>
                            </w:r>
                          </w:p>
                          <w:p w14:paraId="7C5EB6EF" w14:textId="6BE3E1D8" w:rsidR="00B96B30" w:rsidRPr="001F26BB" w:rsidRDefault="00B96B30" w:rsidP="00DA3B58">
                            <w:pPr>
                              <w:jc w:val="both"/>
                            </w:pPr>
                            <w:r w:rsidRPr="001F26BB">
                              <w:t>Tarım istihdamının ağırlığı itibariyle tarım dışı işsizlik oranı ile genel işsizlik oranı arasındaki bağıntıyı toplam işsiz sayısının tarım dışı işsiz sayısına eşit olduğu varsayımı altında matematiksel olarak şöyle gösterebiliriz:</w:t>
                            </w:r>
                          </w:p>
                          <w:p w14:paraId="205C1EAC" w14:textId="5649E3AD" w:rsidR="00B96B30" w:rsidRPr="001F26BB" w:rsidRDefault="00B96B30" w:rsidP="00DA3B58">
                            <w:pPr>
                              <w:jc w:val="both"/>
                              <w:rPr>
                                <w:rFonts w:eastAsiaTheme="minorEastAsia"/>
                              </w:rPr>
                            </w:pPr>
                            <m:oMathPara>
                              <m:oMath>
                                <m:r>
                                  <w:rPr>
                                    <w:rFonts w:ascii="Cambria Math" w:hAnsi="Cambria Math"/>
                                  </w:rPr>
                                  <m:t>U~</m:t>
                                </m:r>
                                <m:sSub>
                                  <m:sSubPr>
                                    <m:ctrlPr>
                                      <w:rPr>
                                        <w:rFonts w:ascii="Cambria Math" w:hAnsi="Cambria Math"/>
                                        <w:i/>
                                      </w:rPr>
                                    </m:ctrlPr>
                                  </m:sSubPr>
                                  <m:e>
                                    <m:r>
                                      <w:rPr>
                                        <w:rFonts w:ascii="Cambria Math" w:hAnsi="Cambria Math"/>
                                      </w:rPr>
                                      <m:t>U</m:t>
                                    </m:r>
                                  </m:e>
                                  <m:sub>
                                    <m:r>
                                      <w:rPr>
                                        <w:rFonts w:ascii="Cambria Math" w:hAnsi="Cambria Math"/>
                                      </w:rPr>
                                      <m:t>td</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td</m:t>
                                        </m:r>
                                      </m:sub>
                                    </m:sSub>
                                  </m:num>
                                  <m:den>
                                    <m:r>
                                      <w:rPr>
                                        <w:rFonts w:ascii="Cambria Math" w:hAnsi="Cambria Math"/>
                                      </w:rPr>
                                      <m:t>u</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td</m:t>
                                        </m:r>
                                      </m:sub>
                                    </m:sSub>
                                  </m:num>
                                  <m:den>
                                    <m:sSub>
                                      <m:sSubPr>
                                        <m:ctrlPr>
                                          <w:rPr>
                                            <w:rFonts w:ascii="Cambria Math" w:hAnsi="Cambria Math"/>
                                            <w:i/>
                                          </w:rPr>
                                        </m:ctrlPr>
                                      </m:sSubPr>
                                      <m:e>
                                        <m:r>
                                          <w:rPr>
                                            <w:rFonts w:ascii="Cambria Math" w:hAnsi="Cambria Math"/>
                                          </w:rPr>
                                          <m:t>LF</m:t>
                                        </m:r>
                                      </m:e>
                                      <m:sub>
                                        <m:r>
                                          <w:rPr>
                                            <w:rFonts w:ascii="Cambria Math" w:hAnsi="Cambria Math"/>
                                          </w:rPr>
                                          <m:t>td</m:t>
                                        </m:r>
                                      </m:sub>
                                    </m:sSub>
                                  </m:den>
                                </m:f>
                                <m:r>
                                  <w:rPr>
                                    <w:rFonts w:ascii="Cambria Math" w:hAnsi="Cambria Math"/>
                                  </w:rPr>
                                  <m:t>×</m:t>
                                </m:r>
                                <m:f>
                                  <m:fPr>
                                    <m:ctrlPr>
                                      <w:rPr>
                                        <w:rFonts w:ascii="Cambria Math" w:hAnsi="Cambria Math"/>
                                        <w:i/>
                                      </w:rPr>
                                    </m:ctrlPr>
                                  </m:fPr>
                                  <m:num>
                                    <m:r>
                                      <w:rPr>
                                        <w:rFonts w:ascii="Cambria Math" w:hAnsi="Cambria Math"/>
                                      </w:rPr>
                                      <m:t>LF</m:t>
                                    </m:r>
                                  </m:num>
                                  <m:den>
                                    <m:r>
                                      <w:rPr>
                                        <w:rFonts w:ascii="Cambria Math" w:hAnsi="Cambria Math"/>
                                      </w:rPr>
                                      <m:t>U</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LF</m:t>
                                        </m:r>
                                      </m:e>
                                      <m:sub>
                                        <m:r>
                                          <w:rPr>
                                            <w:rFonts w:ascii="Cambria Math" w:hAnsi="Cambria Math"/>
                                          </w:rPr>
                                          <m:t>td</m:t>
                                        </m:r>
                                      </m:sub>
                                    </m:sSub>
                                    <m:r>
                                      <w:rPr>
                                        <w:rFonts w:ascii="Cambria Math" w:hAnsi="Cambria Math"/>
                                      </w:rPr>
                                      <m:t>+</m:t>
                                    </m:r>
                                    <m:sSub>
                                      <m:sSubPr>
                                        <m:ctrlPr>
                                          <w:rPr>
                                            <w:rFonts w:ascii="Cambria Math" w:hAnsi="Cambria Math"/>
                                            <w:i/>
                                          </w:rPr>
                                        </m:ctrlPr>
                                      </m:sSubPr>
                                      <m:e>
                                        <m:r>
                                          <w:rPr>
                                            <w:rFonts w:ascii="Cambria Math" w:hAnsi="Cambria Math"/>
                                          </w:rPr>
                                          <m:t>LF</m:t>
                                        </m:r>
                                      </m:e>
                                      <m:sub>
                                        <m:r>
                                          <w:rPr>
                                            <w:rFonts w:ascii="Cambria Math" w:hAnsi="Cambria Math"/>
                                          </w:rPr>
                                          <m:t>t</m:t>
                                        </m:r>
                                      </m:sub>
                                    </m:sSub>
                                  </m:num>
                                  <m:den>
                                    <m:sSub>
                                      <m:sSubPr>
                                        <m:ctrlPr>
                                          <w:rPr>
                                            <w:rFonts w:ascii="Cambria Math" w:hAnsi="Cambria Math"/>
                                            <w:i/>
                                          </w:rPr>
                                        </m:ctrlPr>
                                      </m:sSubPr>
                                      <m:e>
                                        <m:r>
                                          <w:rPr>
                                            <w:rFonts w:ascii="Cambria Math" w:hAnsi="Cambria Math"/>
                                          </w:rPr>
                                          <m:t>LF</m:t>
                                        </m:r>
                                      </m:e>
                                      <m:sub>
                                        <m:r>
                                          <w:rPr>
                                            <w:rFonts w:ascii="Cambria Math" w:hAnsi="Cambria Math"/>
                                          </w:rPr>
                                          <m:t>td</m:t>
                                        </m:r>
                                      </m:sub>
                                    </m:sSub>
                                  </m:den>
                                </m:f>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LF</m:t>
                                        </m:r>
                                      </m:e>
                                      <m:sub>
                                        <m:r>
                                          <w:rPr>
                                            <w:rFonts w:ascii="Cambria Math" w:hAnsi="Cambria Math"/>
                                          </w:rPr>
                                          <m:t>t</m:t>
                                        </m:r>
                                      </m:sub>
                                    </m:sSub>
                                  </m:num>
                                  <m:den>
                                    <m:sSub>
                                      <m:sSubPr>
                                        <m:ctrlPr>
                                          <w:rPr>
                                            <w:rFonts w:ascii="Cambria Math" w:hAnsi="Cambria Math"/>
                                            <w:i/>
                                          </w:rPr>
                                        </m:ctrlPr>
                                      </m:sSubPr>
                                      <m:e>
                                        <m:r>
                                          <w:rPr>
                                            <w:rFonts w:ascii="Cambria Math" w:hAnsi="Cambria Math"/>
                                          </w:rPr>
                                          <m:t>LF</m:t>
                                        </m:r>
                                      </m:e>
                                      <m:sub>
                                        <m:r>
                                          <w:rPr>
                                            <w:rFonts w:ascii="Cambria Math" w:hAnsi="Cambria Math"/>
                                          </w:rPr>
                                          <m:t>td</m:t>
                                        </m:r>
                                      </m:sub>
                                    </m:sSub>
                                  </m:den>
                                </m:f>
                              </m:oMath>
                            </m:oMathPara>
                          </w:p>
                          <w:p w14:paraId="78163D77" w14:textId="23841A48" w:rsidR="00B96B30" w:rsidRPr="001F26BB" w:rsidRDefault="00B96B30" w:rsidP="00DA3B58">
                            <w:pPr>
                              <w:jc w:val="both"/>
                              <w:rPr>
                                <w:rFonts w:eastAsiaTheme="minorEastAsia"/>
                              </w:rPr>
                            </w:pPr>
                            <m:oMath>
                              <m:r>
                                <w:rPr>
                                  <w:rFonts w:ascii="Cambria Math" w:hAnsi="Cambria Math"/>
                                </w:rPr>
                                <m:t>U</m:t>
                              </m:r>
                            </m:oMath>
                            <w:r w:rsidRPr="001F26BB">
                              <w:rPr>
                                <w:rFonts w:eastAsiaTheme="minorEastAsia"/>
                              </w:rPr>
                              <w:t xml:space="preserve">: Toplam işsiz sayısı;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td</m:t>
                                  </m:r>
                                </m:sub>
                              </m:sSub>
                            </m:oMath>
                            <w:r w:rsidRPr="001F26BB">
                              <w:rPr>
                                <w:rFonts w:eastAsiaTheme="minorEastAsia"/>
                              </w:rPr>
                              <w:t xml:space="preserve">: Tarım dışı işsiz sayısı; </w:t>
                            </w:r>
                            <m:oMath>
                              <m:r>
                                <w:rPr>
                                  <w:rFonts w:ascii="Cambria Math" w:eastAsiaTheme="minorEastAsia" w:hAnsi="Cambria Math"/>
                                </w:rPr>
                                <m:t>u</m:t>
                              </m:r>
                            </m:oMath>
                            <w:r w:rsidRPr="001F26BB">
                              <w:rPr>
                                <w:rFonts w:eastAsiaTheme="minorEastAsia"/>
                              </w:rPr>
                              <w:t>: Genel işsizlik oranı</w:t>
                            </w:r>
                          </w:p>
                          <w:p w14:paraId="1DF10656" w14:textId="6878C985" w:rsidR="00B96B30" w:rsidRPr="001F26BB" w:rsidRDefault="00645E52" w:rsidP="00DA3B58">
                            <w:pPr>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td</m:t>
                                  </m:r>
                                </m:sub>
                              </m:sSub>
                            </m:oMath>
                            <w:r w:rsidR="00B96B30" w:rsidRPr="001F26BB">
                              <w:rPr>
                                <w:rFonts w:eastAsiaTheme="minorEastAsia"/>
                              </w:rPr>
                              <w:t xml:space="preserve">: Tarım dışı işsizlik oranı; </w:t>
                            </w:r>
                            <m:oMath>
                              <m:r>
                                <w:rPr>
                                  <w:rFonts w:ascii="Cambria Math" w:eastAsiaTheme="minorEastAsia" w:hAnsi="Cambria Math"/>
                                </w:rPr>
                                <m:t>LF</m:t>
                              </m:r>
                            </m:oMath>
                            <w:r w:rsidR="00B96B30" w:rsidRPr="001F26BB">
                              <w:rPr>
                                <w:rFonts w:eastAsiaTheme="minorEastAsia"/>
                              </w:rPr>
                              <w:t xml:space="preserve">: Toplam işgücü; </w:t>
                            </w:r>
                            <m:oMath>
                              <m:sSub>
                                <m:sSubPr>
                                  <m:ctrlPr>
                                    <w:rPr>
                                      <w:rFonts w:ascii="Cambria Math" w:eastAsiaTheme="minorEastAsia" w:hAnsi="Cambria Math"/>
                                      <w:i/>
                                    </w:rPr>
                                  </m:ctrlPr>
                                </m:sSubPr>
                                <m:e>
                                  <m:r>
                                    <w:rPr>
                                      <w:rFonts w:ascii="Cambria Math" w:eastAsiaTheme="minorEastAsia" w:hAnsi="Cambria Math"/>
                                    </w:rPr>
                                    <m:t>LF</m:t>
                                  </m:r>
                                </m:e>
                                <m:sub>
                                  <m:r>
                                    <w:rPr>
                                      <w:rFonts w:ascii="Cambria Math" w:eastAsiaTheme="minorEastAsia" w:hAnsi="Cambria Math"/>
                                    </w:rPr>
                                    <m:t>td</m:t>
                                  </m:r>
                                </m:sub>
                              </m:sSub>
                            </m:oMath>
                            <w:r w:rsidR="00B96B30" w:rsidRPr="001F26BB">
                              <w:rPr>
                                <w:rFonts w:eastAsiaTheme="minorEastAsia"/>
                              </w:rPr>
                              <w:t xml:space="preserve">: Tarım dışı işgücü; </w:t>
                            </w:r>
                            <m:oMath>
                              <m:sSub>
                                <m:sSubPr>
                                  <m:ctrlPr>
                                    <w:rPr>
                                      <w:rFonts w:ascii="Cambria Math" w:eastAsiaTheme="minorEastAsia" w:hAnsi="Cambria Math"/>
                                      <w:i/>
                                    </w:rPr>
                                  </m:ctrlPr>
                                </m:sSubPr>
                                <m:e>
                                  <m:r>
                                    <w:rPr>
                                      <w:rFonts w:ascii="Cambria Math" w:eastAsiaTheme="minorEastAsia" w:hAnsi="Cambria Math"/>
                                    </w:rPr>
                                    <m:t>LF</m:t>
                                  </m:r>
                                </m:e>
                                <m:sub>
                                  <m:r>
                                    <w:rPr>
                                      <w:rFonts w:ascii="Cambria Math" w:eastAsiaTheme="minorEastAsia" w:hAnsi="Cambria Math"/>
                                    </w:rPr>
                                    <m:t>t</m:t>
                                  </m:r>
                                </m:sub>
                              </m:sSub>
                            </m:oMath>
                            <w:r w:rsidR="00B96B30" w:rsidRPr="001F26BB">
                              <w:rPr>
                                <w:rFonts w:eastAsiaTheme="minorEastAsia"/>
                              </w:rPr>
                              <w:t>: Tarım işgücü</w:t>
                            </w:r>
                          </w:p>
                          <w:p w14:paraId="7CD7E551" w14:textId="60F27559" w:rsidR="00B96B30" w:rsidRPr="001F26BB" w:rsidRDefault="00B96B30" w:rsidP="002E39B7">
                            <w:pPr>
                              <w:jc w:val="center"/>
                              <w:rPr>
                                <w:rFonts w:eastAsiaTheme="minorEastAsia"/>
                              </w:rPr>
                            </w:pPr>
                            <m:oMath>
                              <m:r>
                                <w:rPr>
                                  <w:rFonts w:ascii="Cambria Math" w:eastAsiaTheme="minorEastAsia" w:hAnsi="Cambria Math"/>
                                </w:rPr>
                                <m:t>U~</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td</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LF</m:t>
                                  </m:r>
                                </m:e>
                                <m:sub>
                                  <m:r>
                                    <w:rPr>
                                      <w:rFonts w:ascii="Cambria Math" w:eastAsiaTheme="minorEastAsia" w:hAnsi="Cambria Math"/>
                                    </w:rPr>
                                    <m:t>t</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 xml:space="preserve"> E</m:t>
                                  </m:r>
                                </m:e>
                                <m:sub>
                                  <m:r>
                                    <w:rPr>
                                      <w:rFonts w:ascii="Cambria Math" w:eastAsiaTheme="minorEastAsia" w:hAnsi="Cambria Math"/>
                                    </w:rPr>
                                    <m:t xml:space="preserve">t </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t</m:t>
                                  </m:r>
                                </m:sub>
                              </m:sSub>
                            </m:oMath>
                            <w:r w:rsidRPr="001F26BB">
                              <w:rPr>
                                <w:rFonts w:eastAsiaTheme="minorEastAsia"/>
                              </w:rPr>
                              <w:t xml:space="preserve"> = Tarım istihdamı</w:t>
                            </w:r>
                          </w:p>
                          <w:p w14:paraId="508CBFC8" w14:textId="30513F87" w:rsidR="00B96B30" w:rsidRPr="001F26BB" w:rsidRDefault="00645E52" w:rsidP="002E39B7">
                            <w:pPr>
                              <w:jc w:val="center"/>
                              <w:rPr>
                                <w:rFonts w:eastAsiaTheme="minorEastAsia"/>
                              </w:rPr>
                            </w:pPr>
                            <m:oMathPara>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td</m:t>
                                        </m:r>
                                      </m:sub>
                                    </m:sSub>
                                  </m:num>
                                  <m:den>
                                    <m:r>
                                      <w:rPr>
                                        <w:rFonts w:ascii="Cambria Math" w:eastAsiaTheme="minorEastAsia" w:hAnsi="Cambria Math"/>
                                      </w:rPr>
                                      <m:t>u</m:t>
                                    </m:r>
                                  </m:den>
                                </m:f>
                                <m:r>
                                  <w:rPr>
                                    <w:rFonts w:ascii="Cambria Math" w:eastAsiaTheme="minorEastAsia" w:hAnsi="Cambria Math"/>
                                  </w:rPr>
                                  <m:t>=1+</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t</m:t>
                                        </m:r>
                                      </m:sub>
                                    </m:sSub>
                                  </m:num>
                                  <m:den>
                                    <m:sSub>
                                      <m:sSubPr>
                                        <m:ctrlPr>
                                          <w:rPr>
                                            <w:rFonts w:ascii="Cambria Math" w:eastAsiaTheme="minorEastAsia" w:hAnsi="Cambria Math"/>
                                            <w:i/>
                                          </w:rPr>
                                        </m:ctrlPr>
                                      </m:sSubPr>
                                      <m:e>
                                        <m:r>
                                          <w:rPr>
                                            <w:rFonts w:ascii="Cambria Math" w:eastAsiaTheme="minorEastAsia" w:hAnsi="Cambria Math"/>
                                          </w:rPr>
                                          <m:t>LF</m:t>
                                        </m:r>
                                      </m:e>
                                      <m:sub>
                                        <m:r>
                                          <w:rPr>
                                            <w:rFonts w:ascii="Cambria Math" w:eastAsiaTheme="minorEastAsia" w:hAnsi="Cambria Math"/>
                                          </w:rPr>
                                          <m:t>td</m:t>
                                        </m:r>
                                      </m:sub>
                                    </m:sSub>
                                  </m:den>
                                </m:f>
                              </m:oMath>
                            </m:oMathPara>
                          </w:p>
                          <w:p w14:paraId="37FEF662" w14:textId="40A8A74A" w:rsidR="00B96B30" w:rsidRPr="001F26BB" w:rsidRDefault="00645E52" w:rsidP="00AA5104">
                            <w:pPr>
                              <w:jc w:val="both"/>
                              <w:rPr>
                                <w:rFonts w:eastAsiaTheme="minorEastAsia"/>
                              </w:rPr>
                            </w:pP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td</m:t>
                                      </m:r>
                                    </m:sub>
                                  </m:sSub>
                                </m:num>
                                <m:den>
                                  <m:r>
                                    <w:rPr>
                                      <w:rFonts w:ascii="Cambria Math" w:eastAsiaTheme="minorEastAsia" w:hAnsi="Cambria Math"/>
                                    </w:rPr>
                                    <m:t>u</m:t>
                                  </m:r>
                                </m:den>
                              </m:f>
                            </m:oMath>
                            <w:r w:rsidR="00B96B30" w:rsidRPr="001F26BB">
                              <w:rPr>
                                <w:rFonts w:eastAsiaTheme="minorEastAsia"/>
                              </w:rPr>
                              <w:t xml:space="preserve"> tarım dışı işsizlik oranı ile genel işsizlik oranı arasındaki göreli farklılığı temsil ederken, </w:t>
                            </w: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t</m:t>
                                      </m:r>
                                    </m:sub>
                                  </m:sSub>
                                </m:num>
                                <m:den>
                                  <m:sSub>
                                    <m:sSubPr>
                                      <m:ctrlPr>
                                        <w:rPr>
                                          <w:rFonts w:ascii="Cambria Math" w:eastAsiaTheme="minorEastAsia" w:hAnsi="Cambria Math"/>
                                          <w:i/>
                                        </w:rPr>
                                      </m:ctrlPr>
                                    </m:sSubPr>
                                    <m:e>
                                      <m:r>
                                        <w:rPr>
                                          <w:rFonts w:ascii="Cambria Math" w:eastAsiaTheme="minorEastAsia" w:hAnsi="Cambria Math"/>
                                        </w:rPr>
                                        <m:t>LF</m:t>
                                      </m:r>
                                    </m:e>
                                    <m:sub>
                                      <m:r>
                                        <w:rPr>
                                          <w:rFonts w:ascii="Cambria Math" w:eastAsiaTheme="minorEastAsia" w:hAnsi="Cambria Math"/>
                                        </w:rPr>
                                        <m:t>td</m:t>
                                      </m:r>
                                    </m:sub>
                                  </m:sSub>
                                </m:den>
                              </m:f>
                            </m:oMath>
                            <w:r w:rsidR="00B96B30" w:rsidRPr="001F26BB">
                              <w:rPr>
                                <w:rFonts w:eastAsiaTheme="minorEastAsia"/>
                              </w:rPr>
                              <w:t xml:space="preserve">  tarım istihdamının göreli ağırlığını temsil etmektedir.</w:t>
                            </w:r>
                            <w:r w:rsidR="00B96B30">
                              <w:rPr>
                                <w:rFonts w:eastAsiaTheme="minorEastAsia"/>
                              </w:rPr>
                              <w:t xml:space="preserve"> Tarım istihdamı toplam istihdam içinde ne kadar büyük bir paya sahip olursa </w:t>
                            </w: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t</m:t>
                                      </m:r>
                                    </m:sub>
                                  </m:sSub>
                                </m:num>
                                <m:den>
                                  <m:sSub>
                                    <m:sSubPr>
                                      <m:ctrlPr>
                                        <w:rPr>
                                          <w:rFonts w:ascii="Cambria Math" w:eastAsiaTheme="minorEastAsia" w:hAnsi="Cambria Math"/>
                                          <w:i/>
                                        </w:rPr>
                                      </m:ctrlPr>
                                    </m:sSubPr>
                                    <m:e>
                                      <m:r>
                                        <w:rPr>
                                          <w:rFonts w:ascii="Cambria Math" w:eastAsiaTheme="minorEastAsia" w:hAnsi="Cambria Math"/>
                                        </w:rPr>
                                        <m:t>LF</m:t>
                                      </m:r>
                                    </m:e>
                                    <m:sub>
                                      <m:r>
                                        <w:rPr>
                                          <w:rFonts w:ascii="Cambria Math" w:eastAsiaTheme="minorEastAsia" w:hAnsi="Cambria Math"/>
                                        </w:rPr>
                                        <m:t>td</m:t>
                                      </m:r>
                                    </m:sub>
                                  </m:sSub>
                                </m:den>
                              </m:f>
                            </m:oMath>
                            <w:r w:rsidR="00B96B30" w:rsidRPr="001F26BB">
                              <w:rPr>
                                <w:rFonts w:eastAsiaTheme="minorEastAsia"/>
                              </w:rPr>
                              <w:t xml:space="preserve"> </w:t>
                            </w:r>
                            <w:r w:rsidR="00B96B30">
                              <w:rPr>
                                <w:rFonts w:eastAsiaTheme="minorEastAsia"/>
                              </w:rPr>
                              <w:t xml:space="preserve">oranı da o ölçüde yüksek olacak dolayısıyla tarım dışı işsizlik oranı ile genel işsizlik oranı arasındaki fark büyüyecektir. Örneğin 2021’de İstanbul’da tarım istihdamının payı yüzde 0,5’tir. Dolayısıyla  </w:t>
                            </w: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t</m:t>
                                      </m:r>
                                    </m:sub>
                                  </m:sSub>
                                </m:num>
                                <m:den>
                                  <m:sSub>
                                    <m:sSubPr>
                                      <m:ctrlPr>
                                        <w:rPr>
                                          <w:rFonts w:ascii="Cambria Math" w:eastAsiaTheme="minorEastAsia" w:hAnsi="Cambria Math"/>
                                          <w:i/>
                                        </w:rPr>
                                      </m:ctrlPr>
                                    </m:sSubPr>
                                    <m:e>
                                      <m:r>
                                        <w:rPr>
                                          <w:rFonts w:ascii="Cambria Math" w:eastAsiaTheme="minorEastAsia" w:hAnsi="Cambria Math"/>
                                        </w:rPr>
                                        <m:t>LF</m:t>
                                      </m:r>
                                    </m:e>
                                    <m:sub>
                                      <m:r>
                                        <w:rPr>
                                          <w:rFonts w:ascii="Cambria Math" w:eastAsiaTheme="minorEastAsia" w:hAnsi="Cambria Math"/>
                                        </w:rPr>
                                        <m:t>td</m:t>
                                      </m:r>
                                    </m:sub>
                                  </m:sSub>
                                </m:den>
                              </m:f>
                            </m:oMath>
                            <w:r w:rsidR="00B96B30">
                              <w:rPr>
                                <w:rFonts w:eastAsiaTheme="minorEastAsia"/>
                              </w:rPr>
                              <w:t xml:space="preserve"> sıfıra, </w:t>
                            </w: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td</m:t>
                                      </m:r>
                                    </m:sub>
                                  </m:sSub>
                                </m:num>
                                <m:den>
                                  <m:r>
                                    <w:rPr>
                                      <w:rFonts w:ascii="Cambria Math" w:eastAsiaTheme="minorEastAsia" w:hAnsi="Cambria Math"/>
                                    </w:rPr>
                                    <m:t>u</m:t>
                                  </m:r>
                                </m:den>
                              </m:f>
                            </m:oMath>
                            <w:r w:rsidR="00B96B30">
                              <w:rPr>
                                <w:rFonts w:eastAsiaTheme="minorEastAsia"/>
                              </w:rPr>
                              <w:t xml:space="preserve"> de 1’e çok yakındır. Buna karşılık Ağrı-Kars-Iğdır-Ardahan bölgesinde tarım istihdamının payı yüzde 52’dir. Dolayısıyla bu bölgede tarım dışı işsizlik oranı genel işsizlik oranından yaklaşık 1,5 kat daha yüksektir.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63C1D0D" id="_x0000_s1029" type="#_x0000_t202" style="position:absolute;margin-left:400.8pt;margin-top:.05pt;width:452pt;height:517.4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FUEwIAACcEAAAOAAAAZHJzL2Uyb0RvYy54bWysk82O2yAQx++V+g6Ie2MnSjaJFWe1zTZV&#10;pe2HtO0DYIxjVGAokNjp03fA3my0bS9VOSCGgT8zvxk2t71W5CScl2BKOp3klAjDoZbmUNJvX/dv&#10;VpT4wEzNFBhR0rPw9Hb7+tWms4WYQQuqFo6giPFFZ0vahmCLLPO8FZr5CVhh0NmA0yyg6Q5Z7ViH&#10;6lplszy/yTpwtXXAhfe4ez846TbpN43g4XPTeBGIKinGFtLs0lzFOdtuWHFwzLaSj2Gwf4hCM2nw&#10;0YvUPQuMHJ38TUpL7sBDEyYcdAZNI7lIOWA20/xFNo8tsyLlgnC8vWDy/0+Wfzo92i+OhP4t9FjA&#10;lIS3D8C/e2Jg1zJzEHfOQdcKVuPD04gs66wvxqsRtS98FKm6j1BjkdkxQBLqG6cjFcyToDoW4HyB&#10;LvpAOG4ulvN8nqOLo+9msczXq1SWjBVP163z4b0ATeKipA6rmuTZ6cGHGA4rno7E1zwoWe+lUslw&#10;h2qnHDkx7IB9GimDF8eUIV1J14vZYiDwV4k8jT9JaBmwlZXUJV1dDrEicntn6tRogUk1rDFkZUaQ&#10;kd1AMfRVT2Q9Uo5cK6jPSNbB0Ln403DRgvtJSYddW1L/48icoER9MFid9XQ+j22ejPliOUPDXXuq&#10;aw8zHKVKGigZlruQvkbkZuAOq9jIxPc5kjFk7MaEffw5sd2v7XTq+X9vfwEAAP//AwBQSwMEFAAG&#10;AAgAAAAhADVU3A3fAAAACwEAAA8AAABkcnMvZG93bnJldi54bWxMj0FPwzAMhe9I/IfISFwQS2DV&#10;WLumEwKB4AYDwTVrvLYicUqTdeXf453gYun5yc/vK9eTd2LEIXaBNFzNFAikOtiOGg3vbw+XSxAx&#10;GbLGBUINPxhhXZ2elKaw4UCvOG5SIziEYmE0tCn1hZSxbtGbOAs9Enu7MHiTWA6NtIM5cLh38lqp&#10;hfSmI/7Qmh7vWqy/NnuvYZk9jZ/xef7yUS92Lk8XN+Pj96D1+dl0v+JxuwKRcEp/F3Bk4P5QcbFt&#10;2JONwmlgmnTcCvZylbHcslTzLAdZlfI/Q/ULAAD//wMAUEsBAi0AFAAGAAgAAAAhALaDOJL+AAAA&#10;4QEAABMAAAAAAAAAAAAAAAAAAAAAAFtDb250ZW50X1R5cGVzXS54bWxQSwECLQAUAAYACAAAACEA&#10;OP0h/9YAAACUAQAACwAAAAAAAAAAAAAAAAAvAQAAX3JlbHMvLnJlbHNQSwECLQAUAAYACAAAACEA&#10;Iq5BVBMCAAAnBAAADgAAAAAAAAAAAAAAAAAuAgAAZHJzL2Uyb0RvYy54bWxQSwECLQAUAAYACAAA&#10;ACEANVTcDd8AAAALAQAADwAAAAAAAAAAAAAAAABtBAAAZHJzL2Rvd25yZXYueG1sUEsFBgAAAAAE&#10;AAQA8wAAAHkFAAAAAA==&#10;">
                <v:textbox>
                  <w:txbxContent>
                    <w:p w14:paraId="1A47855A" w14:textId="148505C2" w:rsidR="00B96B30" w:rsidRPr="001F26BB" w:rsidRDefault="00B96B30">
                      <w:pPr>
                        <w:rPr>
                          <w:b/>
                        </w:rPr>
                      </w:pPr>
                      <w:r w:rsidRPr="001F26BB">
                        <w:rPr>
                          <w:b/>
                        </w:rPr>
                        <w:t>KUTU: Tarım istihdamının bölgesel işsizlik oranlarına etkisi</w:t>
                      </w:r>
                    </w:p>
                    <w:p w14:paraId="4E3A942E" w14:textId="02830CBF" w:rsidR="00B96B30" w:rsidRPr="001F26BB" w:rsidRDefault="00B96B30" w:rsidP="00DA3B58">
                      <w:pPr>
                        <w:jc w:val="both"/>
                      </w:pPr>
                      <w:r>
                        <w:t>Türkiye’de genel işsizlik oranı ile tarım dışı işsizlik oranı arasında önemli bir fark mevcuttur. Nedeni tarım istihdamının toplam içinde sürekli azalıyor olsa da önemli bir paya sahip olmasıdır. Türkiye’de tarım istihdamı çok büyük ölçüde kendi hesabına ve ücretsiz aile işçilerinden oluştuğundan işsiz (iş arayan) sayısına etkisi de ihmal edilebilecek kadar düşüktür. Bu koşullarda b</w:t>
                      </w:r>
                      <w:r w:rsidRPr="001F26BB">
                        <w:t xml:space="preserve">ölgesel işsizlik karşılaştırmalı olarak değerlendirilmek istendiğinde hangi işsizlik oranının seçileceği meşru bir sorudur çünkü tarım istihdamının toplam içindeki payı bölgeden bölgeye </w:t>
                      </w:r>
                      <w:r>
                        <w:t xml:space="preserve">çok </w:t>
                      </w:r>
                      <w:r w:rsidRPr="001F26BB">
                        <w:t>farklı</w:t>
                      </w:r>
                      <w:r>
                        <w:t>dır</w:t>
                      </w:r>
                      <w:r w:rsidRPr="001F26BB">
                        <w:t xml:space="preserve">. </w:t>
                      </w:r>
                      <w:r>
                        <w:t xml:space="preserve">Bu nedenle bazı </w:t>
                      </w:r>
                      <w:r w:rsidRPr="001F26BB">
                        <w:t xml:space="preserve">bölgelerde genel işsizlik oranı ile tarım dışı işsizlik oranları arasında farklar büyük boyutlara ulaşabildiği gibi, daha önemlisi, </w:t>
                      </w:r>
                      <w:r>
                        <w:t xml:space="preserve">bölgelerin </w:t>
                      </w:r>
                      <w:r w:rsidRPr="001F26BB">
                        <w:t>işsizlik oranları itibariyle sıralamasını da değiştirebilmektedir.</w:t>
                      </w:r>
                    </w:p>
                    <w:p w14:paraId="7C5EB6EF" w14:textId="6BE3E1D8" w:rsidR="00B96B30" w:rsidRPr="001F26BB" w:rsidRDefault="00B96B30" w:rsidP="00DA3B58">
                      <w:pPr>
                        <w:jc w:val="both"/>
                      </w:pPr>
                      <w:r w:rsidRPr="001F26BB">
                        <w:t>Tarım istihdamının ağırlığı itibariyle tarım dışı işsizlik oranı ile genel işsizlik oranı arasındaki bağıntıyı toplam işsiz sayısının tarım dışı işsiz sayısına eşit olduğu varsayımı altında matematiksel olarak şöyle gösterebiliriz:</w:t>
                      </w:r>
                    </w:p>
                    <w:p w14:paraId="205C1EAC" w14:textId="5649E3AD" w:rsidR="00B96B30" w:rsidRPr="001F26BB" w:rsidRDefault="00B96B30" w:rsidP="00DA3B58">
                      <w:pPr>
                        <w:jc w:val="both"/>
                        <w:rPr>
                          <w:rFonts w:eastAsiaTheme="minorEastAsia"/>
                        </w:rPr>
                      </w:pPr>
                      <m:oMathPara>
                        <m:oMath>
                          <m:r>
                            <w:rPr>
                              <w:rFonts w:ascii="Cambria Math" w:hAnsi="Cambria Math"/>
                            </w:rPr>
                            <m:t>U~</m:t>
                          </m:r>
                          <m:sSub>
                            <m:sSubPr>
                              <m:ctrlPr>
                                <w:rPr>
                                  <w:rFonts w:ascii="Cambria Math" w:hAnsi="Cambria Math"/>
                                  <w:i/>
                                </w:rPr>
                              </m:ctrlPr>
                            </m:sSubPr>
                            <m:e>
                              <m:r>
                                <w:rPr>
                                  <w:rFonts w:ascii="Cambria Math" w:hAnsi="Cambria Math"/>
                                </w:rPr>
                                <m:t>U</m:t>
                              </m:r>
                            </m:e>
                            <m:sub>
                              <m:r>
                                <w:rPr>
                                  <w:rFonts w:ascii="Cambria Math" w:hAnsi="Cambria Math"/>
                                </w:rPr>
                                <m:t>td</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td</m:t>
                                  </m:r>
                                </m:sub>
                              </m:sSub>
                            </m:num>
                            <m:den>
                              <m:r>
                                <w:rPr>
                                  <w:rFonts w:ascii="Cambria Math" w:hAnsi="Cambria Math"/>
                                </w:rPr>
                                <m:t>u</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td</m:t>
                                  </m:r>
                                </m:sub>
                              </m:sSub>
                            </m:num>
                            <m:den>
                              <m:sSub>
                                <m:sSubPr>
                                  <m:ctrlPr>
                                    <w:rPr>
                                      <w:rFonts w:ascii="Cambria Math" w:hAnsi="Cambria Math"/>
                                      <w:i/>
                                    </w:rPr>
                                  </m:ctrlPr>
                                </m:sSubPr>
                                <m:e>
                                  <m:r>
                                    <w:rPr>
                                      <w:rFonts w:ascii="Cambria Math" w:hAnsi="Cambria Math"/>
                                    </w:rPr>
                                    <m:t>LF</m:t>
                                  </m:r>
                                </m:e>
                                <m:sub>
                                  <m:r>
                                    <w:rPr>
                                      <w:rFonts w:ascii="Cambria Math" w:hAnsi="Cambria Math"/>
                                    </w:rPr>
                                    <m:t>td</m:t>
                                  </m:r>
                                </m:sub>
                              </m:sSub>
                            </m:den>
                          </m:f>
                          <m:r>
                            <w:rPr>
                              <w:rFonts w:ascii="Cambria Math" w:hAnsi="Cambria Math"/>
                            </w:rPr>
                            <m:t>×</m:t>
                          </m:r>
                          <m:f>
                            <m:fPr>
                              <m:ctrlPr>
                                <w:rPr>
                                  <w:rFonts w:ascii="Cambria Math" w:hAnsi="Cambria Math"/>
                                  <w:i/>
                                </w:rPr>
                              </m:ctrlPr>
                            </m:fPr>
                            <m:num>
                              <m:r>
                                <w:rPr>
                                  <w:rFonts w:ascii="Cambria Math" w:hAnsi="Cambria Math"/>
                                </w:rPr>
                                <m:t>LF</m:t>
                              </m:r>
                            </m:num>
                            <m:den>
                              <m:r>
                                <w:rPr>
                                  <w:rFonts w:ascii="Cambria Math" w:hAnsi="Cambria Math"/>
                                </w:rPr>
                                <m:t>U</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LF</m:t>
                                  </m:r>
                                </m:e>
                                <m:sub>
                                  <m:r>
                                    <w:rPr>
                                      <w:rFonts w:ascii="Cambria Math" w:hAnsi="Cambria Math"/>
                                    </w:rPr>
                                    <m:t>td</m:t>
                                  </m:r>
                                </m:sub>
                              </m:sSub>
                              <m:r>
                                <w:rPr>
                                  <w:rFonts w:ascii="Cambria Math" w:hAnsi="Cambria Math"/>
                                </w:rPr>
                                <m:t>+</m:t>
                              </m:r>
                              <m:sSub>
                                <m:sSubPr>
                                  <m:ctrlPr>
                                    <w:rPr>
                                      <w:rFonts w:ascii="Cambria Math" w:hAnsi="Cambria Math"/>
                                      <w:i/>
                                    </w:rPr>
                                  </m:ctrlPr>
                                </m:sSubPr>
                                <m:e>
                                  <m:r>
                                    <w:rPr>
                                      <w:rFonts w:ascii="Cambria Math" w:hAnsi="Cambria Math"/>
                                    </w:rPr>
                                    <m:t>LF</m:t>
                                  </m:r>
                                </m:e>
                                <m:sub>
                                  <m:r>
                                    <w:rPr>
                                      <w:rFonts w:ascii="Cambria Math" w:hAnsi="Cambria Math"/>
                                    </w:rPr>
                                    <m:t>t</m:t>
                                  </m:r>
                                </m:sub>
                              </m:sSub>
                            </m:num>
                            <m:den>
                              <m:sSub>
                                <m:sSubPr>
                                  <m:ctrlPr>
                                    <w:rPr>
                                      <w:rFonts w:ascii="Cambria Math" w:hAnsi="Cambria Math"/>
                                      <w:i/>
                                    </w:rPr>
                                  </m:ctrlPr>
                                </m:sSubPr>
                                <m:e>
                                  <m:r>
                                    <w:rPr>
                                      <w:rFonts w:ascii="Cambria Math" w:hAnsi="Cambria Math"/>
                                    </w:rPr>
                                    <m:t>LF</m:t>
                                  </m:r>
                                </m:e>
                                <m:sub>
                                  <m:r>
                                    <w:rPr>
                                      <w:rFonts w:ascii="Cambria Math" w:hAnsi="Cambria Math"/>
                                    </w:rPr>
                                    <m:t>td</m:t>
                                  </m:r>
                                </m:sub>
                              </m:sSub>
                            </m:den>
                          </m:f>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LF</m:t>
                                  </m:r>
                                </m:e>
                                <m:sub>
                                  <m:r>
                                    <w:rPr>
                                      <w:rFonts w:ascii="Cambria Math" w:hAnsi="Cambria Math"/>
                                    </w:rPr>
                                    <m:t>t</m:t>
                                  </m:r>
                                </m:sub>
                              </m:sSub>
                            </m:num>
                            <m:den>
                              <m:sSub>
                                <m:sSubPr>
                                  <m:ctrlPr>
                                    <w:rPr>
                                      <w:rFonts w:ascii="Cambria Math" w:hAnsi="Cambria Math"/>
                                      <w:i/>
                                    </w:rPr>
                                  </m:ctrlPr>
                                </m:sSubPr>
                                <m:e>
                                  <m:r>
                                    <w:rPr>
                                      <w:rFonts w:ascii="Cambria Math" w:hAnsi="Cambria Math"/>
                                    </w:rPr>
                                    <m:t>LF</m:t>
                                  </m:r>
                                </m:e>
                                <m:sub>
                                  <m:r>
                                    <w:rPr>
                                      <w:rFonts w:ascii="Cambria Math" w:hAnsi="Cambria Math"/>
                                    </w:rPr>
                                    <m:t>td</m:t>
                                  </m:r>
                                </m:sub>
                              </m:sSub>
                            </m:den>
                          </m:f>
                        </m:oMath>
                      </m:oMathPara>
                    </w:p>
                    <w:p w14:paraId="78163D77" w14:textId="23841A48" w:rsidR="00B96B30" w:rsidRPr="001F26BB" w:rsidRDefault="00B96B30" w:rsidP="00DA3B58">
                      <w:pPr>
                        <w:jc w:val="both"/>
                        <w:rPr>
                          <w:rFonts w:eastAsiaTheme="minorEastAsia"/>
                        </w:rPr>
                      </w:pPr>
                      <m:oMath>
                        <m:r>
                          <w:rPr>
                            <w:rFonts w:ascii="Cambria Math" w:hAnsi="Cambria Math"/>
                          </w:rPr>
                          <m:t>U</m:t>
                        </m:r>
                      </m:oMath>
                      <w:r w:rsidRPr="001F26BB">
                        <w:rPr>
                          <w:rFonts w:eastAsiaTheme="minorEastAsia"/>
                        </w:rPr>
                        <w:t xml:space="preserve">: Toplam işsiz sayısı;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td</m:t>
                            </m:r>
                          </m:sub>
                        </m:sSub>
                      </m:oMath>
                      <w:r w:rsidRPr="001F26BB">
                        <w:rPr>
                          <w:rFonts w:eastAsiaTheme="minorEastAsia"/>
                        </w:rPr>
                        <w:t xml:space="preserve">: Tarım dışı işsiz sayısı; </w:t>
                      </w:r>
                      <m:oMath>
                        <m:r>
                          <w:rPr>
                            <w:rFonts w:ascii="Cambria Math" w:eastAsiaTheme="minorEastAsia" w:hAnsi="Cambria Math"/>
                          </w:rPr>
                          <m:t>u</m:t>
                        </m:r>
                      </m:oMath>
                      <w:r w:rsidRPr="001F26BB">
                        <w:rPr>
                          <w:rFonts w:eastAsiaTheme="minorEastAsia"/>
                        </w:rPr>
                        <w:t>: Genel işsizlik oranı</w:t>
                      </w:r>
                    </w:p>
                    <w:p w14:paraId="1DF10656" w14:textId="6878C985" w:rsidR="00B96B30" w:rsidRPr="001F26BB" w:rsidRDefault="009452C9" w:rsidP="00DA3B58">
                      <w:pPr>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td</m:t>
                            </m:r>
                          </m:sub>
                        </m:sSub>
                      </m:oMath>
                      <w:r w:rsidR="00B96B30" w:rsidRPr="001F26BB">
                        <w:rPr>
                          <w:rFonts w:eastAsiaTheme="minorEastAsia"/>
                        </w:rPr>
                        <w:t xml:space="preserve">: Tarım dışı işsizlik oranı; </w:t>
                      </w:r>
                      <m:oMath>
                        <m:r>
                          <w:rPr>
                            <w:rFonts w:ascii="Cambria Math" w:eastAsiaTheme="minorEastAsia" w:hAnsi="Cambria Math"/>
                          </w:rPr>
                          <m:t>LF</m:t>
                        </m:r>
                      </m:oMath>
                      <w:r w:rsidR="00B96B30" w:rsidRPr="001F26BB">
                        <w:rPr>
                          <w:rFonts w:eastAsiaTheme="minorEastAsia"/>
                        </w:rPr>
                        <w:t xml:space="preserve">: Toplam işgücü; </w:t>
                      </w:r>
                      <m:oMath>
                        <m:sSub>
                          <m:sSubPr>
                            <m:ctrlPr>
                              <w:rPr>
                                <w:rFonts w:ascii="Cambria Math" w:eastAsiaTheme="minorEastAsia" w:hAnsi="Cambria Math"/>
                                <w:i/>
                              </w:rPr>
                            </m:ctrlPr>
                          </m:sSubPr>
                          <m:e>
                            <m:r>
                              <w:rPr>
                                <w:rFonts w:ascii="Cambria Math" w:eastAsiaTheme="minorEastAsia" w:hAnsi="Cambria Math"/>
                              </w:rPr>
                              <m:t>LF</m:t>
                            </m:r>
                          </m:e>
                          <m:sub>
                            <m:r>
                              <w:rPr>
                                <w:rFonts w:ascii="Cambria Math" w:eastAsiaTheme="minorEastAsia" w:hAnsi="Cambria Math"/>
                              </w:rPr>
                              <m:t>td</m:t>
                            </m:r>
                          </m:sub>
                        </m:sSub>
                      </m:oMath>
                      <w:r w:rsidR="00B96B30" w:rsidRPr="001F26BB">
                        <w:rPr>
                          <w:rFonts w:eastAsiaTheme="minorEastAsia"/>
                        </w:rPr>
                        <w:t xml:space="preserve">: Tarım dışı işgücü; </w:t>
                      </w:r>
                      <m:oMath>
                        <m:sSub>
                          <m:sSubPr>
                            <m:ctrlPr>
                              <w:rPr>
                                <w:rFonts w:ascii="Cambria Math" w:eastAsiaTheme="minorEastAsia" w:hAnsi="Cambria Math"/>
                                <w:i/>
                              </w:rPr>
                            </m:ctrlPr>
                          </m:sSubPr>
                          <m:e>
                            <m:r>
                              <w:rPr>
                                <w:rFonts w:ascii="Cambria Math" w:eastAsiaTheme="minorEastAsia" w:hAnsi="Cambria Math"/>
                              </w:rPr>
                              <m:t>LF</m:t>
                            </m:r>
                          </m:e>
                          <m:sub>
                            <m:r>
                              <w:rPr>
                                <w:rFonts w:ascii="Cambria Math" w:eastAsiaTheme="minorEastAsia" w:hAnsi="Cambria Math"/>
                              </w:rPr>
                              <m:t>t</m:t>
                            </m:r>
                          </m:sub>
                        </m:sSub>
                      </m:oMath>
                      <w:r w:rsidR="00B96B30" w:rsidRPr="001F26BB">
                        <w:rPr>
                          <w:rFonts w:eastAsiaTheme="minorEastAsia"/>
                        </w:rPr>
                        <w:t>: Tarım işgücü</w:t>
                      </w:r>
                    </w:p>
                    <w:p w14:paraId="7CD7E551" w14:textId="60F27559" w:rsidR="00B96B30" w:rsidRPr="001F26BB" w:rsidRDefault="00B96B30" w:rsidP="002E39B7">
                      <w:pPr>
                        <w:jc w:val="center"/>
                        <w:rPr>
                          <w:rFonts w:eastAsiaTheme="minorEastAsia"/>
                        </w:rPr>
                      </w:pPr>
                      <m:oMath>
                        <m:r>
                          <w:rPr>
                            <w:rFonts w:ascii="Cambria Math" w:eastAsiaTheme="minorEastAsia" w:hAnsi="Cambria Math"/>
                          </w:rPr>
                          <m:t>U~</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td</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LF</m:t>
                            </m:r>
                          </m:e>
                          <m:sub>
                            <m:r>
                              <w:rPr>
                                <w:rFonts w:ascii="Cambria Math" w:eastAsiaTheme="minorEastAsia" w:hAnsi="Cambria Math"/>
                              </w:rPr>
                              <m:t>t</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 xml:space="preserve"> E</m:t>
                            </m:r>
                          </m:e>
                          <m:sub>
                            <m:r>
                              <w:rPr>
                                <w:rFonts w:ascii="Cambria Math" w:eastAsiaTheme="minorEastAsia" w:hAnsi="Cambria Math"/>
                              </w:rPr>
                              <m:t xml:space="preserve">t </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t</m:t>
                            </m:r>
                          </m:sub>
                        </m:sSub>
                      </m:oMath>
                      <w:r w:rsidRPr="001F26BB">
                        <w:rPr>
                          <w:rFonts w:eastAsiaTheme="minorEastAsia"/>
                        </w:rPr>
                        <w:t xml:space="preserve"> = Tarım istihdamı</w:t>
                      </w:r>
                    </w:p>
                    <w:p w14:paraId="508CBFC8" w14:textId="30513F87" w:rsidR="00B96B30" w:rsidRPr="001F26BB" w:rsidRDefault="009452C9" w:rsidP="002E39B7">
                      <w:pPr>
                        <w:jc w:val="center"/>
                        <w:rPr>
                          <w:rFonts w:eastAsiaTheme="minorEastAsia"/>
                        </w:rPr>
                      </w:pPr>
                      <m:oMathPara>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td</m:t>
                                  </m:r>
                                </m:sub>
                              </m:sSub>
                            </m:num>
                            <m:den>
                              <m:r>
                                <w:rPr>
                                  <w:rFonts w:ascii="Cambria Math" w:eastAsiaTheme="minorEastAsia" w:hAnsi="Cambria Math"/>
                                </w:rPr>
                                <m:t>u</m:t>
                              </m:r>
                            </m:den>
                          </m:f>
                          <m:r>
                            <w:rPr>
                              <w:rFonts w:ascii="Cambria Math" w:eastAsiaTheme="minorEastAsia" w:hAnsi="Cambria Math"/>
                            </w:rPr>
                            <m:t>=1+</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t</m:t>
                                  </m:r>
                                </m:sub>
                              </m:sSub>
                            </m:num>
                            <m:den>
                              <m:sSub>
                                <m:sSubPr>
                                  <m:ctrlPr>
                                    <w:rPr>
                                      <w:rFonts w:ascii="Cambria Math" w:eastAsiaTheme="minorEastAsia" w:hAnsi="Cambria Math"/>
                                      <w:i/>
                                    </w:rPr>
                                  </m:ctrlPr>
                                </m:sSubPr>
                                <m:e>
                                  <m:r>
                                    <w:rPr>
                                      <w:rFonts w:ascii="Cambria Math" w:eastAsiaTheme="minorEastAsia" w:hAnsi="Cambria Math"/>
                                    </w:rPr>
                                    <m:t>LF</m:t>
                                  </m:r>
                                </m:e>
                                <m:sub>
                                  <m:r>
                                    <w:rPr>
                                      <w:rFonts w:ascii="Cambria Math" w:eastAsiaTheme="minorEastAsia" w:hAnsi="Cambria Math"/>
                                    </w:rPr>
                                    <m:t>td</m:t>
                                  </m:r>
                                </m:sub>
                              </m:sSub>
                            </m:den>
                          </m:f>
                        </m:oMath>
                      </m:oMathPara>
                    </w:p>
                    <w:p w14:paraId="37FEF662" w14:textId="40A8A74A" w:rsidR="00B96B30" w:rsidRPr="001F26BB" w:rsidRDefault="009452C9" w:rsidP="00AA5104">
                      <w:pPr>
                        <w:jc w:val="both"/>
                        <w:rPr>
                          <w:rFonts w:eastAsiaTheme="minorEastAsia"/>
                        </w:rPr>
                      </w:pP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td</m:t>
                                </m:r>
                              </m:sub>
                            </m:sSub>
                          </m:num>
                          <m:den>
                            <m:r>
                              <w:rPr>
                                <w:rFonts w:ascii="Cambria Math" w:eastAsiaTheme="minorEastAsia" w:hAnsi="Cambria Math"/>
                              </w:rPr>
                              <m:t>u</m:t>
                            </m:r>
                          </m:den>
                        </m:f>
                      </m:oMath>
                      <w:r w:rsidR="00B96B30" w:rsidRPr="001F26BB">
                        <w:rPr>
                          <w:rFonts w:eastAsiaTheme="minorEastAsia"/>
                        </w:rPr>
                        <w:t xml:space="preserve"> </w:t>
                      </w:r>
                      <w:proofErr w:type="gramStart"/>
                      <w:r w:rsidR="00B96B30" w:rsidRPr="001F26BB">
                        <w:rPr>
                          <w:rFonts w:eastAsiaTheme="minorEastAsia"/>
                        </w:rPr>
                        <w:t>tarım</w:t>
                      </w:r>
                      <w:proofErr w:type="gramEnd"/>
                      <w:r w:rsidR="00B96B30" w:rsidRPr="001F26BB">
                        <w:rPr>
                          <w:rFonts w:eastAsiaTheme="minorEastAsia"/>
                        </w:rPr>
                        <w:t xml:space="preserve"> dışı işsizlik oranı ile genel işsizlik oranı arasındaki göreli farklılığı temsil ederken, </w:t>
                      </w: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t</m:t>
                                </m:r>
                              </m:sub>
                            </m:sSub>
                          </m:num>
                          <m:den>
                            <m:sSub>
                              <m:sSubPr>
                                <m:ctrlPr>
                                  <w:rPr>
                                    <w:rFonts w:ascii="Cambria Math" w:eastAsiaTheme="minorEastAsia" w:hAnsi="Cambria Math"/>
                                    <w:i/>
                                  </w:rPr>
                                </m:ctrlPr>
                              </m:sSubPr>
                              <m:e>
                                <m:r>
                                  <w:rPr>
                                    <w:rFonts w:ascii="Cambria Math" w:eastAsiaTheme="minorEastAsia" w:hAnsi="Cambria Math"/>
                                  </w:rPr>
                                  <m:t>LF</m:t>
                                </m:r>
                              </m:e>
                              <m:sub>
                                <m:r>
                                  <w:rPr>
                                    <w:rFonts w:ascii="Cambria Math" w:eastAsiaTheme="minorEastAsia" w:hAnsi="Cambria Math"/>
                                  </w:rPr>
                                  <m:t>td</m:t>
                                </m:r>
                              </m:sub>
                            </m:sSub>
                          </m:den>
                        </m:f>
                      </m:oMath>
                      <w:r w:rsidR="00B96B30" w:rsidRPr="001F26BB">
                        <w:rPr>
                          <w:rFonts w:eastAsiaTheme="minorEastAsia"/>
                        </w:rPr>
                        <w:t xml:space="preserve">  tarım istihdamının göreli ağırlığını temsil etmektedir.</w:t>
                      </w:r>
                      <w:r w:rsidR="00B96B30">
                        <w:rPr>
                          <w:rFonts w:eastAsiaTheme="minorEastAsia"/>
                        </w:rPr>
                        <w:t xml:space="preserve"> Tarım istihdamı toplam istihdam içinde ne kadar büyük bir paya sahip olursa </w:t>
                      </w: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t</m:t>
                                </m:r>
                              </m:sub>
                            </m:sSub>
                          </m:num>
                          <m:den>
                            <m:sSub>
                              <m:sSubPr>
                                <m:ctrlPr>
                                  <w:rPr>
                                    <w:rFonts w:ascii="Cambria Math" w:eastAsiaTheme="minorEastAsia" w:hAnsi="Cambria Math"/>
                                    <w:i/>
                                  </w:rPr>
                                </m:ctrlPr>
                              </m:sSubPr>
                              <m:e>
                                <m:r>
                                  <w:rPr>
                                    <w:rFonts w:ascii="Cambria Math" w:eastAsiaTheme="minorEastAsia" w:hAnsi="Cambria Math"/>
                                  </w:rPr>
                                  <m:t>LF</m:t>
                                </m:r>
                              </m:e>
                              <m:sub>
                                <m:r>
                                  <w:rPr>
                                    <w:rFonts w:ascii="Cambria Math" w:eastAsiaTheme="minorEastAsia" w:hAnsi="Cambria Math"/>
                                  </w:rPr>
                                  <m:t>td</m:t>
                                </m:r>
                              </m:sub>
                            </m:sSub>
                          </m:den>
                        </m:f>
                      </m:oMath>
                      <w:r w:rsidR="00B96B30" w:rsidRPr="001F26BB">
                        <w:rPr>
                          <w:rFonts w:eastAsiaTheme="minorEastAsia"/>
                        </w:rPr>
                        <w:t xml:space="preserve"> </w:t>
                      </w:r>
                      <w:r w:rsidR="00B96B30">
                        <w:rPr>
                          <w:rFonts w:eastAsiaTheme="minorEastAsia"/>
                        </w:rPr>
                        <w:t xml:space="preserve">oranı da o ölçüde yüksek olacak dolayısıyla tarım dışı işsizlik oranı ile genel işsizlik oranı arasındaki fark büyüyecektir. Örneğin 2021’de İstanbul’da tarım istihdamının payı yüzde 0,5’tir. Dolayısıyla  </w:t>
                      </w: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t</m:t>
                                </m:r>
                              </m:sub>
                            </m:sSub>
                          </m:num>
                          <m:den>
                            <m:sSub>
                              <m:sSubPr>
                                <m:ctrlPr>
                                  <w:rPr>
                                    <w:rFonts w:ascii="Cambria Math" w:eastAsiaTheme="minorEastAsia" w:hAnsi="Cambria Math"/>
                                    <w:i/>
                                  </w:rPr>
                                </m:ctrlPr>
                              </m:sSubPr>
                              <m:e>
                                <m:r>
                                  <w:rPr>
                                    <w:rFonts w:ascii="Cambria Math" w:eastAsiaTheme="minorEastAsia" w:hAnsi="Cambria Math"/>
                                  </w:rPr>
                                  <m:t>LF</m:t>
                                </m:r>
                              </m:e>
                              <m:sub>
                                <m:r>
                                  <w:rPr>
                                    <w:rFonts w:ascii="Cambria Math" w:eastAsiaTheme="minorEastAsia" w:hAnsi="Cambria Math"/>
                                  </w:rPr>
                                  <m:t>td</m:t>
                                </m:r>
                              </m:sub>
                            </m:sSub>
                          </m:den>
                        </m:f>
                      </m:oMath>
                      <w:r w:rsidR="00B96B30">
                        <w:rPr>
                          <w:rFonts w:eastAsiaTheme="minorEastAsia"/>
                        </w:rPr>
                        <w:t xml:space="preserve"> sıfıra, </w:t>
                      </w: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td</m:t>
                                </m:r>
                              </m:sub>
                            </m:sSub>
                          </m:num>
                          <m:den>
                            <m:r>
                              <w:rPr>
                                <w:rFonts w:ascii="Cambria Math" w:eastAsiaTheme="minorEastAsia" w:hAnsi="Cambria Math"/>
                              </w:rPr>
                              <m:t>u</m:t>
                            </m:r>
                          </m:den>
                        </m:f>
                      </m:oMath>
                      <w:r w:rsidR="00B96B30">
                        <w:rPr>
                          <w:rFonts w:eastAsiaTheme="minorEastAsia"/>
                        </w:rPr>
                        <w:t xml:space="preserve"> de 1’e çok yakındır. Buna karşılık Ağrı-Kars-Iğdır-Ardahan bölgesinde tarım istihdamının payı yüzde 52’dir. Dolayısıyla bu bölgede tarım dışı işsizlik oranı genel işsizlik oranından yaklaşık 1,5 kat daha yüksektir.</w:t>
                      </w:r>
                    </w:p>
                  </w:txbxContent>
                </v:textbox>
                <w10:wrap type="square" anchorx="margin"/>
              </v:shape>
            </w:pict>
          </mc:Fallback>
        </mc:AlternateContent>
      </w:r>
    </w:p>
    <w:p w14:paraId="7079256E" w14:textId="77777777" w:rsidR="00E94358" w:rsidRDefault="00E94358" w:rsidP="00817B4A">
      <w:pPr>
        <w:rPr>
          <w:b/>
          <w:sz w:val="20"/>
          <w:szCs w:val="20"/>
        </w:rPr>
      </w:pPr>
    </w:p>
    <w:sectPr w:rsidR="00E94358" w:rsidSect="0033332E">
      <w:footerReference w:type="default" r:id="rId15"/>
      <w:head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1D373" w14:textId="77777777" w:rsidR="00645E52" w:rsidRDefault="00645E52" w:rsidP="009B1060">
      <w:pPr>
        <w:spacing w:after="0" w:line="240" w:lineRule="auto"/>
      </w:pPr>
      <w:r>
        <w:separator/>
      </w:r>
    </w:p>
  </w:endnote>
  <w:endnote w:type="continuationSeparator" w:id="0">
    <w:p w14:paraId="014105FE" w14:textId="77777777" w:rsidR="00645E52" w:rsidRDefault="00645E52" w:rsidP="009B1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748289"/>
      <w:docPartObj>
        <w:docPartGallery w:val="Page Numbers (Bottom of Page)"/>
        <w:docPartUnique/>
      </w:docPartObj>
    </w:sdtPr>
    <w:sdtEndPr/>
    <w:sdtContent>
      <w:p w14:paraId="5F5901F1" w14:textId="42BE0AC6" w:rsidR="00B96B30" w:rsidRDefault="00B96B30">
        <w:pPr>
          <w:pStyle w:val="Footer"/>
          <w:jc w:val="right"/>
        </w:pPr>
        <w:r>
          <w:fldChar w:fldCharType="begin"/>
        </w:r>
        <w:r>
          <w:instrText>PAGE   \* MERGEFORMAT</w:instrText>
        </w:r>
        <w:r>
          <w:fldChar w:fldCharType="separate"/>
        </w:r>
        <w:r w:rsidR="008A2DA9">
          <w:rPr>
            <w:noProof/>
          </w:rPr>
          <w:t>1</w:t>
        </w:r>
        <w:r>
          <w:fldChar w:fldCharType="end"/>
        </w:r>
      </w:p>
    </w:sdtContent>
  </w:sdt>
  <w:p w14:paraId="2DEE271B" w14:textId="77777777" w:rsidR="00B96B30" w:rsidRDefault="00B96B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2ACB9" w14:textId="77777777" w:rsidR="00645E52" w:rsidRDefault="00645E52" w:rsidP="009B1060">
      <w:pPr>
        <w:spacing w:after="0" w:line="240" w:lineRule="auto"/>
      </w:pPr>
      <w:r>
        <w:separator/>
      </w:r>
    </w:p>
  </w:footnote>
  <w:footnote w:type="continuationSeparator" w:id="0">
    <w:p w14:paraId="6DDF1D72" w14:textId="77777777" w:rsidR="00645E52" w:rsidRDefault="00645E52" w:rsidP="009B1060">
      <w:pPr>
        <w:spacing w:after="0" w:line="240" w:lineRule="auto"/>
      </w:pPr>
      <w:r>
        <w:continuationSeparator/>
      </w:r>
    </w:p>
  </w:footnote>
  <w:footnote w:id="1">
    <w:p w14:paraId="33599201" w14:textId="77777777" w:rsidR="00A63074" w:rsidRPr="000F5BF0" w:rsidRDefault="00A63074" w:rsidP="00A63074">
      <w:pPr>
        <w:pStyle w:val="FootnoteText"/>
        <w:rPr>
          <w:rFonts w:cs="Arial"/>
          <w:sz w:val="16"/>
        </w:rPr>
      </w:pPr>
      <w:r w:rsidRPr="000F5BF0">
        <w:rPr>
          <w:rStyle w:val="FootnoteReference"/>
          <w:rFonts w:cs="Arial"/>
          <w:b/>
          <w:bCs/>
          <w:sz w:val="16"/>
        </w:rPr>
        <w:t>*</w:t>
      </w:r>
      <w:r w:rsidRPr="000F5BF0">
        <w:rPr>
          <w:rFonts w:cs="Arial"/>
          <w:sz w:val="16"/>
        </w:rPr>
        <w:t xml:space="preserve"> </w:t>
      </w:r>
      <w:r w:rsidRPr="000F5BF0">
        <w:rPr>
          <w:rFonts w:cs="Arial"/>
          <w:sz w:val="18"/>
          <w:szCs w:val="18"/>
        </w:rPr>
        <w:t xml:space="preserve">Prof. Dr. Seyfettin Gürsel, Betam, Direktör, </w:t>
      </w:r>
      <w:hyperlink r:id="rId1" w:history="1">
        <w:r w:rsidRPr="000F5BF0">
          <w:rPr>
            <w:rStyle w:val="Hyperlink"/>
            <w:rFonts w:cs="Arial"/>
            <w:sz w:val="18"/>
            <w:szCs w:val="18"/>
          </w:rPr>
          <w:t>seyfettin.gursel@eas.bau.edu.tr</w:t>
        </w:r>
      </w:hyperlink>
    </w:p>
  </w:footnote>
  <w:footnote w:id="2">
    <w:p w14:paraId="0E42FED1" w14:textId="7C682C3D" w:rsidR="00A63074" w:rsidRPr="000F5BF0" w:rsidRDefault="00A63074" w:rsidP="00A63074">
      <w:pPr>
        <w:pStyle w:val="FootnoteText"/>
        <w:rPr>
          <w:rFonts w:cs="Arial"/>
          <w:sz w:val="16"/>
        </w:rPr>
      </w:pPr>
      <w:r w:rsidRPr="000F5BF0">
        <w:rPr>
          <w:rStyle w:val="FootnoteReference"/>
          <w:rFonts w:cs="Arial"/>
          <w:b/>
          <w:bCs/>
          <w:sz w:val="16"/>
        </w:rPr>
        <w:t>**</w:t>
      </w:r>
      <w:r w:rsidRPr="000F5BF0">
        <w:t xml:space="preserve"> </w:t>
      </w:r>
      <w:r>
        <w:rPr>
          <w:sz w:val="18"/>
        </w:rPr>
        <w:t>Hamza Mutluay</w:t>
      </w:r>
      <w:r w:rsidRPr="000F5BF0">
        <w:rPr>
          <w:sz w:val="18"/>
        </w:rPr>
        <w:t xml:space="preserve">, </w:t>
      </w:r>
      <w:r w:rsidRPr="000F5BF0">
        <w:rPr>
          <w:bCs/>
          <w:sz w:val="18"/>
        </w:rPr>
        <w:t>Betam</w:t>
      </w:r>
      <w:r w:rsidRPr="000F5BF0">
        <w:rPr>
          <w:sz w:val="18"/>
        </w:rPr>
        <w:t xml:space="preserve">, </w:t>
      </w:r>
      <w:r>
        <w:rPr>
          <w:sz w:val="18"/>
        </w:rPr>
        <w:t>Araştırma Görevlisi</w:t>
      </w:r>
      <w:r w:rsidRPr="000F5BF0">
        <w:rPr>
          <w:sz w:val="18"/>
        </w:rPr>
        <w:t>,</w:t>
      </w:r>
      <w:r w:rsidRPr="000F5BF0">
        <w:rPr>
          <w:sz w:val="18"/>
          <w:szCs w:val="24"/>
        </w:rPr>
        <w:t xml:space="preserve"> </w:t>
      </w:r>
      <w:hyperlink r:id="rId2" w:history="1">
        <w:r w:rsidR="000F2D96" w:rsidRPr="00DD1DD8">
          <w:rPr>
            <w:rStyle w:val="Hyperlink"/>
            <w:sz w:val="18"/>
            <w:szCs w:val="24"/>
          </w:rPr>
          <w:t>hamza.mutluay@eas.bau.edu.tr</w:t>
        </w:r>
      </w:hyperlink>
      <w:r w:rsidR="000F2D96">
        <w:rPr>
          <w:sz w:val="18"/>
          <w:szCs w:val="24"/>
        </w:rPr>
        <w:t xml:space="preserve"> </w:t>
      </w:r>
    </w:p>
  </w:footnote>
  <w:footnote w:id="3">
    <w:p w14:paraId="3B365238" w14:textId="77777777" w:rsidR="00A63074" w:rsidRPr="000F5BF0" w:rsidRDefault="00A63074" w:rsidP="00A63074">
      <w:pPr>
        <w:pStyle w:val="FootnoteText"/>
        <w:rPr>
          <w:rFonts w:cs="Arial"/>
          <w:sz w:val="14"/>
        </w:rPr>
      </w:pPr>
      <w:r w:rsidRPr="000F5BF0">
        <w:rPr>
          <w:rStyle w:val="FootnoteReference"/>
          <w:rFonts w:cs="Arial"/>
          <w:b/>
          <w:bCs/>
          <w:sz w:val="16"/>
        </w:rPr>
        <w:t>***</w:t>
      </w:r>
      <w:r w:rsidRPr="000F5BF0">
        <w:rPr>
          <w:rFonts w:cs="Arial"/>
        </w:rPr>
        <w:t xml:space="preserve"> </w:t>
      </w:r>
      <w:r>
        <w:rPr>
          <w:rFonts w:cs="Arial"/>
          <w:sz w:val="18"/>
        </w:rPr>
        <w:t>Zeynep Yılmaz</w:t>
      </w:r>
      <w:r w:rsidRPr="000F5BF0">
        <w:rPr>
          <w:rFonts w:cs="Arial"/>
          <w:sz w:val="18"/>
        </w:rPr>
        <w:t xml:space="preserve">, Betam, </w:t>
      </w:r>
      <w:r>
        <w:rPr>
          <w:rFonts w:cs="Arial"/>
          <w:sz w:val="18"/>
        </w:rPr>
        <w:t>Stajyer</w:t>
      </w:r>
      <w:r w:rsidRPr="000F5BF0">
        <w:rPr>
          <w:rFonts w:cs="Arial"/>
          <w:sz w:val="18"/>
        </w:rPr>
        <w:t>,</w:t>
      </w:r>
      <w:r>
        <w:rPr>
          <w:rFonts w:cs="Arial"/>
          <w:sz w:val="18"/>
        </w:rPr>
        <w:t xml:space="preserve"> </w:t>
      </w:r>
      <w:hyperlink r:id="rId3" w:history="1">
        <w:r w:rsidRPr="00DD1DD8">
          <w:rPr>
            <w:rStyle w:val="Hyperlink"/>
            <w:rFonts w:cs="Arial"/>
            <w:sz w:val="18"/>
          </w:rPr>
          <w:t>zeyilmaz17@gmail.com</w:t>
        </w:r>
      </w:hyperlink>
      <w:r>
        <w:rPr>
          <w:rFonts w:cs="Arial"/>
          <w:sz w:val="18"/>
        </w:rPr>
        <w:t xml:space="preserve"> </w:t>
      </w:r>
    </w:p>
    <w:p w14:paraId="2DFD1453" w14:textId="77777777" w:rsidR="00A63074" w:rsidRPr="00EF1A81" w:rsidRDefault="00A63074" w:rsidP="00A63074">
      <w:pPr>
        <w:pStyle w:val="FootnoteText"/>
        <w:spacing w:after="120"/>
        <w:rPr>
          <w:rFonts w:cs="Arial"/>
          <w:sz w:val="16"/>
        </w:rPr>
      </w:pPr>
      <w:r>
        <w:rPr>
          <w:rFonts w:cs="Arial"/>
          <w:sz w:val="16"/>
        </w:rPr>
        <w:t xml:space="preserve"> </w:t>
      </w:r>
    </w:p>
  </w:footnote>
  <w:footnote w:id="4">
    <w:p w14:paraId="5E2F4D8A" w14:textId="1D257E1C" w:rsidR="00B96B30" w:rsidRDefault="00B96B30">
      <w:pPr>
        <w:pStyle w:val="FootnoteText"/>
      </w:pPr>
      <w:r>
        <w:rPr>
          <w:rStyle w:val="FootnoteReference"/>
        </w:rPr>
        <w:footnoteRef/>
      </w:r>
      <w:r>
        <w:t xml:space="preserve"> Tarım dışı istihdam / Çalışabilir nüfus - Tarım istihdamı şeklinde tanımladığımız “tarım dışı istihdam oranı” gerçek oranı bir miktar düşük göstermektedir. Doğru tanım,  Tarım dışı istihdam / Tarım dışı çalışabilir nüfus olmalıdır. Ancak “tarım dışı çalışabilir nüfus” istatistiki olarak mevcut değildir.  Toplam çalışabilir nüfus – Tarım istihdamı tarım dışı çalışabilir nüfusu temsil kabiliyetine sahiptir. Bu nedenle tanımımızın bölgesel karşılaştırmalarda tarım dışı istihdamın bölgeler düzeyinde göreli ağırlığını yeterince dikkate aldığını düşünüyoruz.  </w:t>
      </w:r>
    </w:p>
  </w:footnote>
  <w:footnote w:id="5">
    <w:p w14:paraId="70747D84" w14:textId="77777777" w:rsidR="00B96B30" w:rsidRDefault="00B96B30" w:rsidP="004F4450">
      <w:pPr>
        <w:pStyle w:val="FootnoteText"/>
      </w:pPr>
      <w:r>
        <w:rPr>
          <w:rStyle w:val="FootnoteReference"/>
        </w:rPr>
        <w:footnoteRef/>
      </w:r>
      <w:r>
        <w:t xml:space="preserve"> “İzmir Büyükşehir Belediyesinin İzmir Ekonomisine ve İstihdamına Katkısı, 2004-2016” (Şubat 2018), BETAM Araştırma Raporu </w:t>
      </w:r>
    </w:p>
  </w:footnote>
  <w:footnote w:id="6">
    <w:p w14:paraId="650DC021" w14:textId="77777777" w:rsidR="00341C70" w:rsidRPr="002E484F" w:rsidRDefault="00341C70" w:rsidP="00341C70">
      <w:pPr>
        <w:pStyle w:val="FootnoteText"/>
        <w:jc w:val="both"/>
        <w:rPr>
          <w:sz w:val="18"/>
          <w:szCs w:val="18"/>
        </w:rPr>
      </w:pPr>
      <w:r>
        <w:rPr>
          <w:rStyle w:val="FootnoteReference"/>
        </w:rPr>
        <w:footnoteRef/>
      </w:r>
      <w:r>
        <w:t xml:space="preserve"> </w:t>
      </w:r>
      <w:r w:rsidRPr="002E484F">
        <w:rPr>
          <w:sz w:val="18"/>
          <w:szCs w:val="18"/>
        </w:rPr>
        <w:t>Türkiye genelinde artışın nedeni, tarım dışı işgücü üç yılda 790 bin artarken tarım dışı istihdamda artışın 407 binde kalmasıdır</w:t>
      </w:r>
      <w:r>
        <w:rPr>
          <w:sz w:val="18"/>
          <w:szCs w:val="18"/>
        </w:rPr>
        <w:t>.</w:t>
      </w:r>
      <w:r w:rsidRPr="002E484F">
        <w:t xml:space="preserve"> </w:t>
      </w:r>
      <w:r w:rsidRPr="002E484F">
        <w:rPr>
          <w:sz w:val="18"/>
          <w:szCs w:val="18"/>
        </w:rPr>
        <w:t>İşsiz (iş arayan) sayısında artış 383 binden ibarettir. Kurumsal olmayan çalışabilir nüfus doğal artışını üç yıl boyunca sürdürdüğünden işsiz sayısında artışın çok daha büyük olması beklenirdi. Bu durum normal zamanlara kıyasla işgücü piyasasından daha fazla çıkışların ve işgücü piyasasına daha az girişlerin gerçekleştiğini göstermektedir.</w:t>
      </w:r>
      <w:r>
        <w:rPr>
          <w:sz w:val="18"/>
          <w:szCs w:val="18"/>
        </w:rPr>
        <w:t xml:space="preserve"> Nitekim</w:t>
      </w:r>
      <w:r w:rsidRPr="002E484F">
        <w:rPr>
          <w:sz w:val="18"/>
          <w:szCs w:val="18"/>
        </w:rPr>
        <w:t xml:space="preserve"> istihdam oranı yüzde 42,3’ten 40,6’ya işgücüne katılım oranı ise yüzde 48,7’den 47,3’e gerilemiştir.  </w:t>
      </w:r>
    </w:p>
    <w:p w14:paraId="74882A80" w14:textId="5B90A65A" w:rsidR="00341C70" w:rsidRDefault="00341C70">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40448" w14:textId="63F23E0F" w:rsidR="00B96B30" w:rsidRDefault="00B96B30" w:rsidP="001F26BB">
    <w:pPr>
      <w:pStyle w:val="Header"/>
    </w:pPr>
    <w:r>
      <w:rPr>
        <w:noProof/>
        <w:lang w:eastAsia="tr-TR"/>
      </w:rPr>
      <mc:AlternateContent>
        <mc:Choice Requires="wps">
          <w:drawing>
            <wp:anchor distT="45720" distB="45720" distL="114300" distR="114300" simplePos="0" relativeHeight="251661312" behindDoc="0" locked="0" layoutInCell="1" allowOverlap="1" wp14:anchorId="51502B44" wp14:editId="34188694">
              <wp:simplePos x="0" y="0"/>
              <wp:positionH relativeFrom="column">
                <wp:posOffset>1596961</wp:posOffset>
              </wp:positionH>
              <wp:positionV relativeFrom="paragraph">
                <wp:posOffset>-50474</wp:posOffset>
              </wp:positionV>
              <wp:extent cx="3879850" cy="46101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461010"/>
                      </a:xfrm>
                      <a:prstGeom prst="rect">
                        <a:avLst/>
                      </a:prstGeom>
                      <a:noFill/>
                      <a:ln w="9525">
                        <a:noFill/>
                        <a:miter lim="800000"/>
                        <a:headEnd/>
                        <a:tailEnd/>
                      </a:ln>
                    </wps:spPr>
                    <wps:txbx>
                      <w:txbxContent>
                        <w:p w14:paraId="10616BB8" w14:textId="4941F781" w:rsidR="00B96B30" w:rsidRPr="00567425" w:rsidRDefault="00B96B30" w:rsidP="00567425">
                          <w:pPr>
                            <w:jc w:val="center"/>
                            <w:rPr>
                              <w:sz w:val="40"/>
                              <w:szCs w:val="40"/>
                            </w:rPr>
                          </w:pPr>
                          <w:r w:rsidRPr="00567425">
                            <w:rPr>
                              <w:sz w:val="40"/>
                              <w:szCs w:val="40"/>
                            </w:rPr>
                            <w:t>Araştırma Notu 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1502B44" id="_x0000_t202" coordsize="21600,21600" o:spt="202" path="m,l,21600r21600,l21600,xe">
              <v:stroke joinstyle="miter"/>
              <v:path gradientshapeok="t" o:connecttype="rect"/>
            </v:shapetype>
            <v:shape id="_x0000_s1030" type="#_x0000_t202" style="position:absolute;margin-left:125.75pt;margin-top:-3.95pt;width:305.5pt;height:3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0f+AEAAM0DAAAOAAAAZHJzL2Uyb0RvYy54bWysU8tu2zAQvBfoPxC815JdO7EFy0GaNEWB&#10;9AGk/QCaoiyiJJdd0pbcr++SchyjvRXVgeBqydmd2eH6ZrCGHRQGDa7m00nJmXISGu12Nf/+7eHN&#10;krMQhWuEAadqflSB32xev1r3vlIz6MA0ChmBuFD1vuZdjL4qiiA7ZUWYgFeOki2gFZFC3BUNip7Q&#10;rSlmZXlV9ICNR5AqBPp7Pyb5JuO3rZLxS9sGFZmpOfUW84p53aa12KxFtUPhOy1PbYh/6MIK7ajo&#10;GepeRMH2qP+CsloiBGjjRIItoG21VJkDsZmWf7B56oRXmQuJE/xZpvD/YOXnw5P/iiwO72CgAWYS&#10;wT+C/BGYg7tOuJ26RYS+U6KhwtMkWdH7UJ2uJqlDFRLItv8EDQ1Z7CNkoKFFm1QhnozQaQDHs+hq&#10;iEzSz7fL69VyQSlJufnVlGTIJUT1fNtjiB8UWJY2NUcaakYXh8cQUzeiej6Sijl40MbkwRrH+pqv&#10;FrNFvnCRsTqS74y2NV+W6RudkEi+d02+HIU2454KGHdinYiOlOOwHehgYr+F5kj8EUZ/0XugTQf4&#10;i7OevFXz8HMvUHFmPjrScDWdz5MZczBfXM8owMvM9jIjnCSomkfOxu1dzAYeud6S1q3OMrx0cuqV&#10;PJPVOfk7mfIyzqdeXuHmNwAAAP//AwBQSwMEFAAGAAgAAAAhAHR035niAAAADgEAAA8AAABkcnMv&#10;ZG93bnJldi54bWxMT01PwzAMvSPxHyIjcduSVWu3dU0nxMQVxPiQuGWN11Y0TtVka/n3mBO7WLLf&#10;8/sodpPrxAWH0HrSsJgrEEiVty3VGt7fnmZrECEasqbzhBp+MMCuvL0pTG79SK94OcRasAiF3Gho&#10;YuxzKUPVoDNh7nskxk5+cCbyOtTSDmZkcdfJRKlMOtMSOzSmx8cGq+/D2Wn4eD59fS7VS713aT/6&#10;SUlyG6n1/d203/J42IKIOMX/D/jrwPmh5GBHfyYbRKchSRcpUzXMVhsQTFhnCR+OGrLlCmRZyOsa&#10;5S8AAAD//wMAUEsBAi0AFAAGAAgAAAAhALaDOJL+AAAA4QEAABMAAAAAAAAAAAAAAAAAAAAAAFtD&#10;b250ZW50X1R5cGVzXS54bWxQSwECLQAUAAYACAAAACEAOP0h/9YAAACUAQAACwAAAAAAAAAAAAAA&#10;AAAvAQAAX3JlbHMvLnJlbHNQSwECLQAUAAYACAAAACEAAqD9H/gBAADNAwAADgAAAAAAAAAAAAAA&#10;AAAuAgAAZHJzL2Uyb0RvYy54bWxQSwECLQAUAAYACAAAACEAdHTfmeIAAAAOAQAADwAAAAAAAAAA&#10;AAAAAABSBAAAZHJzL2Rvd25yZXYueG1sUEsFBgAAAAAEAAQA8wAAAGEFAAAAAA==&#10;" filled="f" stroked="f">
              <v:textbox>
                <w:txbxContent>
                  <w:p w14:paraId="10616BB8" w14:textId="4941F781" w:rsidR="00B96B30" w:rsidRPr="00567425" w:rsidRDefault="00B96B30" w:rsidP="00567425">
                    <w:pPr>
                      <w:jc w:val="center"/>
                      <w:rPr>
                        <w:sz w:val="40"/>
                        <w:szCs w:val="40"/>
                      </w:rPr>
                    </w:pPr>
                    <w:r w:rsidRPr="00567425">
                      <w:rPr>
                        <w:sz w:val="40"/>
                        <w:szCs w:val="40"/>
                      </w:rPr>
                      <w:t>Araştırma Notu 22/</w:t>
                    </w:r>
                  </w:p>
                </w:txbxContent>
              </v:textbox>
              <w10:wrap type="square"/>
            </v:shape>
          </w:pict>
        </mc:Fallback>
      </mc:AlternateContent>
    </w:r>
    <w:r>
      <w:rPr>
        <w:noProof/>
        <w:lang w:eastAsia="tr-TR"/>
      </w:rPr>
      <mc:AlternateContent>
        <mc:Choice Requires="wps">
          <w:drawing>
            <wp:anchor distT="45720" distB="45720" distL="114300" distR="114300" simplePos="0" relativeHeight="251663360" behindDoc="0" locked="0" layoutInCell="1" allowOverlap="1" wp14:anchorId="11D78D4F" wp14:editId="1A57DD13">
              <wp:simplePos x="0" y="0"/>
              <wp:positionH relativeFrom="column">
                <wp:posOffset>4847590</wp:posOffset>
              </wp:positionH>
              <wp:positionV relativeFrom="paragraph">
                <wp:posOffset>541655</wp:posOffset>
              </wp:positionV>
              <wp:extent cx="1677670" cy="299085"/>
              <wp:effectExtent l="0" t="0" r="0" b="571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299085"/>
                      </a:xfrm>
                      <a:prstGeom prst="rect">
                        <a:avLst/>
                      </a:prstGeom>
                      <a:noFill/>
                      <a:ln w="9525">
                        <a:noFill/>
                        <a:miter lim="800000"/>
                        <a:headEnd/>
                        <a:tailEnd/>
                      </a:ln>
                    </wps:spPr>
                    <wps:txbx>
                      <w:txbxContent>
                        <w:p w14:paraId="37A739BF" w14:textId="1755D963" w:rsidR="00B96B30" w:rsidRPr="008104BB" w:rsidRDefault="00B96B30" w:rsidP="008104BB">
                          <w:pPr>
                            <w:jc w:val="right"/>
                            <w:rPr>
                              <w:color w:val="FFFFFF" w:themeColor="background1"/>
                            </w:rPr>
                          </w:pPr>
                          <w:r w:rsidRPr="008104BB">
                            <w:rPr>
                              <w:color w:val="FFFFFF" w:themeColor="background1"/>
                            </w:rPr>
                            <w:t>Temmuz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1D78D4F" id="_x0000_s1031" type="#_x0000_t202" style="position:absolute;margin-left:381.7pt;margin-top:42.65pt;width:132.1pt;height:23.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vvu+QEAANQDAAAOAAAAZHJzL2Uyb0RvYy54bWysU9uO0zAQfUfiHyy/06RRr1HT1bLLIqRl&#10;QVr4AMdxGgvbY2y3Sfl6xk62W8EbIg+WJ2OfmXPmeHczaEVOwnkJpqLzWU6JMBwaaQ4V/f7t4d2G&#10;Eh+YaZgCIyp6Fp7e7N++2fW2FAV0oBrhCIIYX/a2ol0ItswyzzuhmZ+BFQaTLTjNAobukDWO9Yiu&#10;VVbk+SrrwTXWARfe49/7MUn3Cb9tBQ9f2taLQFRFsbeQVpfWOq7ZfsfKg2O2k3xqg/1DF5pJg0Uv&#10;UPcsMHJ08i8oLbkDD22YcdAZtK3kInFANvP8DzbPHbMicUFxvL3I5P8fLH86PduvjoThPQw4wETC&#10;20fgPzwxcNcxcxC3zkHfCdZg4XmULOutL6erUWpf+ghS95+hwSGzY4AENLROR1WQJ0F0HMD5IroY&#10;AuGx5Gq9Xq0xxTFXbLf5ZplKsPLltnU+fBSgSdxU1OFQEzo7PfoQu2Hly5FYzMCDVCoNVhnSV3S7&#10;LJbpwlVGy4C+U1JXdJPHb3RCJPnBNOlyYFKNeyygzMQ6Eh0ph6EeiGwmSaIINTRnlMHBaDN8Frjp&#10;wP2ipEeLVdT/PDInKFGfDEq5nS8W0ZMpWCzXBQbuOlNfZ5jhCFXRQMm4vQvJxyPlW5S8lUmN106m&#10;ltE6SaTJ5tGb13E69foY978BAAD//wMAUEsDBBQABgAIAAAAIQB++s9X4gAAABABAAAPAAAAZHJz&#10;L2Rvd25yZXYueG1sTE9NT8MwDL0j8R8iI3FjCW3Xja7phJi4gjZg0m5Z67UVjVM12Vr+Pd4JLpat&#10;9/w+8vVkO3HBwbeONDzOFAik0lUt1Ro+P14fliB8MFSZzhFq+EEP6+L2JjdZ5Uba4mUXasEi5DOj&#10;oQmhz6T0ZYPW+JnrkRg7ucGawOdQy2owI4vbTkZKpdKaltihMT2+NFh+785Ww9fb6bBP1Hu9sfN+&#10;dJOSZJ+k1vd302bF43kFIuAU/j7g2oHzQ8HBju5MlRedhkUaJ0zVsJzHIK4EFS1SEEfe4igBWeTy&#10;f5HiFwAA//8DAFBLAQItABQABgAIAAAAIQC2gziS/gAAAOEBAAATAAAAAAAAAAAAAAAAAAAAAABb&#10;Q29udGVudF9UeXBlc10ueG1sUEsBAi0AFAAGAAgAAAAhADj9If/WAAAAlAEAAAsAAAAAAAAAAAAA&#10;AAAALwEAAF9yZWxzLy5yZWxzUEsBAi0AFAAGAAgAAAAhAHqG++75AQAA1AMAAA4AAAAAAAAAAAAA&#10;AAAALgIAAGRycy9lMm9Eb2MueG1sUEsBAi0AFAAGAAgAAAAhAH76z1fiAAAAEAEAAA8AAAAAAAAA&#10;AAAAAAAAUwQAAGRycy9kb3ducmV2LnhtbFBLBQYAAAAABAAEAPMAAABiBQAAAAA=&#10;" filled="f" stroked="f">
              <v:textbox>
                <w:txbxContent>
                  <w:p w14:paraId="37A739BF" w14:textId="1755D963" w:rsidR="00B96B30" w:rsidRPr="008104BB" w:rsidRDefault="00B96B30" w:rsidP="008104BB">
                    <w:pPr>
                      <w:jc w:val="right"/>
                      <w:rPr>
                        <w:color w:val="FFFFFF" w:themeColor="background1"/>
                      </w:rPr>
                    </w:pPr>
                    <w:r w:rsidRPr="008104BB">
                      <w:rPr>
                        <w:color w:val="FFFFFF" w:themeColor="background1"/>
                      </w:rPr>
                      <w:t>Temmuz 2022</w:t>
                    </w:r>
                  </w:p>
                </w:txbxContent>
              </v:textbox>
              <w10:wrap type="square"/>
            </v:shape>
          </w:pict>
        </mc:Fallback>
      </mc:AlternateContent>
    </w:r>
    <w:r w:rsidRPr="009B4428">
      <w:rPr>
        <w:noProof/>
        <w:lang w:eastAsia="tr-TR"/>
      </w:rPr>
      <w:drawing>
        <wp:anchor distT="0" distB="0" distL="114300" distR="114300" simplePos="0" relativeHeight="251659264" behindDoc="1" locked="0" layoutInCell="1" allowOverlap="1" wp14:anchorId="26FC0C90" wp14:editId="157DE522">
          <wp:simplePos x="0" y="0"/>
          <wp:positionH relativeFrom="page">
            <wp:posOffset>13335</wp:posOffset>
          </wp:positionH>
          <wp:positionV relativeFrom="paragraph">
            <wp:posOffset>-449059</wp:posOffset>
          </wp:positionV>
          <wp:extent cx="7547212" cy="1343025"/>
          <wp:effectExtent l="0" t="0" r="0" b="0"/>
          <wp:wrapNone/>
          <wp:docPr id="19"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1" cstate="print"/>
                  <a:srcRect/>
                  <a:stretch>
                    <a:fillRect/>
                  </a:stretch>
                </pic:blipFill>
                <pic:spPr bwMode="auto">
                  <a:xfrm>
                    <a:off x="0" y="0"/>
                    <a:ext cx="7547212" cy="1343025"/>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D65D3"/>
    <w:multiLevelType w:val="hybridMultilevel"/>
    <w:tmpl w:val="2CFAE594"/>
    <w:lvl w:ilvl="0" w:tplc="B9C64F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6D6D50"/>
    <w:multiLevelType w:val="hybridMultilevel"/>
    <w:tmpl w:val="BC989F60"/>
    <w:lvl w:ilvl="0" w:tplc="CA62BE3C">
      <w:start w:val="201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3C6"/>
    <w:rsid w:val="000058F9"/>
    <w:rsid w:val="000132D3"/>
    <w:rsid w:val="00020037"/>
    <w:rsid w:val="000240E8"/>
    <w:rsid w:val="000256EF"/>
    <w:rsid w:val="000305DE"/>
    <w:rsid w:val="00041B9D"/>
    <w:rsid w:val="00046471"/>
    <w:rsid w:val="000526B1"/>
    <w:rsid w:val="00054546"/>
    <w:rsid w:val="0005487E"/>
    <w:rsid w:val="000606E5"/>
    <w:rsid w:val="00063F70"/>
    <w:rsid w:val="000764E3"/>
    <w:rsid w:val="00083764"/>
    <w:rsid w:val="00090296"/>
    <w:rsid w:val="000A435A"/>
    <w:rsid w:val="000A507F"/>
    <w:rsid w:val="000B0C70"/>
    <w:rsid w:val="000B1842"/>
    <w:rsid w:val="000D505C"/>
    <w:rsid w:val="000D60E2"/>
    <w:rsid w:val="000D7BF5"/>
    <w:rsid w:val="000F0757"/>
    <w:rsid w:val="000F2D96"/>
    <w:rsid w:val="000F7912"/>
    <w:rsid w:val="00104352"/>
    <w:rsid w:val="00104E0C"/>
    <w:rsid w:val="00110ED4"/>
    <w:rsid w:val="00111A08"/>
    <w:rsid w:val="001179B4"/>
    <w:rsid w:val="00126036"/>
    <w:rsid w:val="00126DCD"/>
    <w:rsid w:val="001467FF"/>
    <w:rsid w:val="00161187"/>
    <w:rsid w:val="00165B5E"/>
    <w:rsid w:val="00172B8D"/>
    <w:rsid w:val="00172CF1"/>
    <w:rsid w:val="00173A2B"/>
    <w:rsid w:val="001803D0"/>
    <w:rsid w:val="00183771"/>
    <w:rsid w:val="001837DB"/>
    <w:rsid w:val="00185AB7"/>
    <w:rsid w:val="00195279"/>
    <w:rsid w:val="00195543"/>
    <w:rsid w:val="001A1A36"/>
    <w:rsid w:val="001A3B9C"/>
    <w:rsid w:val="001A6332"/>
    <w:rsid w:val="001A6F17"/>
    <w:rsid w:val="001B2E89"/>
    <w:rsid w:val="001C221F"/>
    <w:rsid w:val="001C27A3"/>
    <w:rsid w:val="001C3480"/>
    <w:rsid w:val="001C530D"/>
    <w:rsid w:val="001C763A"/>
    <w:rsid w:val="001D5204"/>
    <w:rsid w:val="001D7E49"/>
    <w:rsid w:val="001E5E0B"/>
    <w:rsid w:val="001F26BB"/>
    <w:rsid w:val="001F7EA2"/>
    <w:rsid w:val="00212046"/>
    <w:rsid w:val="0022683C"/>
    <w:rsid w:val="00262BCD"/>
    <w:rsid w:val="00262D3B"/>
    <w:rsid w:val="002714DB"/>
    <w:rsid w:val="00283C96"/>
    <w:rsid w:val="0028787E"/>
    <w:rsid w:val="00291F05"/>
    <w:rsid w:val="002A4AD7"/>
    <w:rsid w:val="002B0BFA"/>
    <w:rsid w:val="002B3C49"/>
    <w:rsid w:val="002D3ED9"/>
    <w:rsid w:val="002D6B15"/>
    <w:rsid w:val="002E2839"/>
    <w:rsid w:val="002E3172"/>
    <w:rsid w:val="002E39B7"/>
    <w:rsid w:val="002E484F"/>
    <w:rsid w:val="002E485B"/>
    <w:rsid w:val="002E67AA"/>
    <w:rsid w:val="002F2BE2"/>
    <w:rsid w:val="0030332E"/>
    <w:rsid w:val="00316715"/>
    <w:rsid w:val="00320570"/>
    <w:rsid w:val="003242ED"/>
    <w:rsid w:val="003250B8"/>
    <w:rsid w:val="003251F0"/>
    <w:rsid w:val="00326CBB"/>
    <w:rsid w:val="0033332E"/>
    <w:rsid w:val="00341C70"/>
    <w:rsid w:val="003533B9"/>
    <w:rsid w:val="0036006C"/>
    <w:rsid w:val="00362AE7"/>
    <w:rsid w:val="00371D13"/>
    <w:rsid w:val="00372D7A"/>
    <w:rsid w:val="00373A16"/>
    <w:rsid w:val="00381947"/>
    <w:rsid w:val="00392D69"/>
    <w:rsid w:val="003A50DB"/>
    <w:rsid w:val="003B1151"/>
    <w:rsid w:val="003C41C7"/>
    <w:rsid w:val="003C7FCF"/>
    <w:rsid w:val="003D1181"/>
    <w:rsid w:val="003D3113"/>
    <w:rsid w:val="003D3AD0"/>
    <w:rsid w:val="003F20C1"/>
    <w:rsid w:val="004002EA"/>
    <w:rsid w:val="00401950"/>
    <w:rsid w:val="00404CCE"/>
    <w:rsid w:val="0040687D"/>
    <w:rsid w:val="004075EF"/>
    <w:rsid w:val="0041468D"/>
    <w:rsid w:val="00420174"/>
    <w:rsid w:val="00420EF0"/>
    <w:rsid w:val="004219CB"/>
    <w:rsid w:val="004308DC"/>
    <w:rsid w:val="004432F0"/>
    <w:rsid w:val="004440BD"/>
    <w:rsid w:val="00446D11"/>
    <w:rsid w:val="004634BA"/>
    <w:rsid w:val="00464A11"/>
    <w:rsid w:val="00475EA8"/>
    <w:rsid w:val="0049085F"/>
    <w:rsid w:val="004A0FE5"/>
    <w:rsid w:val="004A299F"/>
    <w:rsid w:val="004A406C"/>
    <w:rsid w:val="004B128D"/>
    <w:rsid w:val="004B15CB"/>
    <w:rsid w:val="004C2440"/>
    <w:rsid w:val="004D0AF3"/>
    <w:rsid w:val="004F2901"/>
    <w:rsid w:val="004F4450"/>
    <w:rsid w:val="00501C3A"/>
    <w:rsid w:val="005072FB"/>
    <w:rsid w:val="00510DC1"/>
    <w:rsid w:val="00515484"/>
    <w:rsid w:val="00524793"/>
    <w:rsid w:val="0053756F"/>
    <w:rsid w:val="00540B72"/>
    <w:rsid w:val="005443C6"/>
    <w:rsid w:val="00550AD0"/>
    <w:rsid w:val="00551E0D"/>
    <w:rsid w:val="00563A4E"/>
    <w:rsid w:val="00564244"/>
    <w:rsid w:val="00565099"/>
    <w:rsid w:val="00567425"/>
    <w:rsid w:val="0057585C"/>
    <w:rsid w:val="0057788D"/>
    <w:rsid w:val="00577B52"/>
    <w:rsid w:val="00590235"/>
    <w:rsid w:val="00591D97"/>
    <w:rsid w:val="00593AC1"/>
    <w:rsid w:val="0059668A"/>
    <w:rsid w:val="005975B3"/>
    <w:rsid w:val="005A6B63"/>
    <w:rsid w:val="005B4637"/>
    <w:rsid w:val="005C56FB"/>
    <w:rsid w:val="005C5F1A"/>
    <w:rsid w:val="005C72D6"/>
    <w:rsid w:val="005E1BF2"/>
    <w:rsid w:val="005E2E4A"/>
    <w:rsid w:val="005E7398"/>
    <w:rsid w:val="005F13C2"/>
    <w:rsid w:val="00601C4B"/>
    <w:rsid w:val="00610929"/>
    <w:rsid w:val="0062238F"/>
    <w:rsid w:val="00627779"/>
    <w:rsid w:val="00636344"/>
    <w:rsid w:val="00641FDF"/>
    <w:rsid w:val="00643E41"/>
    <w:rsid w:val="00644AEC"/>
    <w:rsid w:val="00645E52"/>
    <w:rsid w:val="00650293"/>
    <w:rsid w:val="006520CB"/>
    <w:rsid w:val="00655098"/>
    <w:rsid w:val="00671FF7"/>
    <w:rsid w:val="0067424C"/>
    <w:rsid w:val="006778AC"/>
    <w:rsid w:val="00680113"/>
    <w:rsid w:val="00680FA3"/>
    <w:rsid w:val="0068371D"/>
    <w:rsid w:val="00687564"/>
    <w:rsid w:val="00695B57"/>
    <w:rsid w:val="006A453B"/>
    <w:rsid w:val="006A6B96"/>
    <w:rsid w:val="006B27BA"/>
    <w:rsid w:val="006B2FD4"/>
    <w:rsid w:val="006C27FC"/>
    <w:rsid w:val="006C562A"/>
    <w:rsid w:val="006C7D24"/>
    <w:rsid w:val="006E089D"/>
    <w:rsid w:val="006E2F11"/>
    <w:rsid w:val="006E48ED"/>
    <w:rsid w:val="006F3EDA"/>
    <w:rsid w:val="006F7EA9"/>
    <w:rsid w:val="007002BE"/>
    <w:rsid w:val="0070435B"/>
    <w:rsid w:val="00706924"/>
    <w:rsid w:val="00712AC6"/>
    <w:rsid w:val="00714DA5"/>
    <w:rsid w:val="007323FE"/>
    <w:rsid w:val="007379D6"/>
    <w:rsid w:val="00742EC9"/>
    <w:rsid w:val="00746785"/>
    <w:rsid w:val="00746878"/>
    <w:rsid w:val="007509C0"/>
    <w:rsid w:val="00751D12"/>
    <w:rsid w:val="007613FA"/>
    <w:rsid w:val="00761447"/>
    <w:rsid w:val="00763679"/>
    <w:rsid w:val="007648C1"/>
    <w:rsid w:val="00771639"/>
    <w:rsid w:val="0078299E"/>
    <w:rsid w:val="00786D7C"/>
    <w:rsid w:val="00787908"/>
    <w:rsid w:val="00792404"/>
    <w:rsid w:val="007A308C"/>
    <w:rsid w:val="007A4EE0"/>
    <w:rsid w:val="007A532A"/>
    <w:rsid w:val="007B2862"/>
    <w:rsid w:val="007B299A"/>
    <w:rsid w:val="007E00E4"/>
    <w:rsid w:val="007E2F7A"/>
    <w:rsid w:val="007E5C47"/>
    <w:rsid w:val="007F232E"/>
    <w:rsid w:val="008007E3"/>
    <w:rsid w:val="00810332"/>
    <w:rsid w:val="008104BB"/>
    <w:rsid w:val="0081596A"/>
    <w:rsid w:val="00817B4A"/>
    <w:rsid w:val="008418FE"/>
    <w:rsid w:val="00843BE9"/>
    <w:rsid w:val="00845ADC"/>
    <w:rsid w:val="008470EE"/>
    <w:rsid w:val="00862F0E"/>
    <w:rsid w:val="00867E0D"/>
    <w:rsid w:val="008716DB"/>
    <w:rsid w:val="00876FFA"/>
    <w:rsid w:val="00881F5A"/>
    <w:rsid w:val="00884001"/>
    <w:rsid w:val="008861F9"/>
    <w:rsid w:val="00887903"/>
    <w:rsid w:val="00891DDE"/>
    <w:rsid w:val="00892D1D"/>
    <w:rsid w:val="00896961"/>
    <w:rsid w:val="008A1421"/>
    <w:rsid w:val="008A175B"/>
    <w:rsid w:val="008A2D7C"/>
    <w:rsid w:val="008A2DA9"/>
    <w:rsid w:val="008A552A"/>
    <w:rsid w:val="008A6FB6"/>
    <w:rsid w:val="008B1242"/>
    <w:rsid w:val="008B7849"/>
    <w:rsid w:val="008C0A1D"/>
    <w:rsid w:val="008C1CA0"/>
    <w:rsid w:val="008C3D6D"/>
    <w:rsid w:val="008C7783"/>
    <w:rsid w:val="008D0264"/>
    <w:rsid w:val="008D183A"/>
    <w:rsid w:val="008D4E2E"/>
    <w:rsid w:val="009017B5"/>
    <w:rsid w:val="009024E9"/>
    <w:rsid w:val="00911505"/>
    <w:rsid w:val="009128F3"/>
    <w:rsid w:val="00926A71"/>
    <w:rsid w:val="009306C8"/>
    <w:rsid w:val="00932B01"/>
    <w:rsid w:val="009349ED"/>
    <w:rsid w:val="0093724D"/>
    <w:rsid w:val="00940801"/>
    <w:rsid w:val="0094314F"/>
    <w:rsid w:val="009452C9"/>
    <w:rsid w:val="00945E91"/>
    <w:rsid w:val="00950842"/>
    <w:rsid w:val="00950C70"/>
    <w:rsid w:val="00951E9E"/>
    <w:rsid w:val="00953922"/>
    <w:rsid w:val="00955BB7"/>
    <w:rsid w:val="009701E7"/>
    <w:rsid w:val="00974F96"/>
    <w:rsid w:val="009829E0"/>
    <w:rsid w:val="00985395"/>
    <w:rsid w:val="009967B4"/>
    <w:rsid w:val="00996D19"/>
    <w:rsid w:val="009B064C"/>
    <w:rsid w:val="009B1060"/>
    <w:rsid w:val="009B1632"/>
    <w:rsid w:val="009C7A09"/>
    <w:rsid w:val="009D54F8"/>
    <w:rsid w:val="009D630D"/>
    <w:rsid w:val="009E5003"/>
    <w:rsid w:val="009F01AC"/>
    <w:rsid w:val="009F2C8C"/>
    <w:rsid w:val="009F580A"/>
    <w:rsid w:val="00A01C10"/>
    <w:rsid w:val="00A020B9"/>
    <w:rsid w:val="00A04353"/>
    <w:rsid w:val="00A13672"/>
    <w:rsid w:val="00A22DDD"/>
    <w:rsid w:val="00A33D71"/>
    <w:rsid w:val="00A35D3E"/>
    <w:rsid w:val="00A37537"/>
    <w:rsid w:val="00A42FFC"/>
    <w:rsid w:val="00A44A8E"/>
    <w:rsid w:val="00A47085"/>
    <w:rsid w:val="00A5023D"/>
    <w:rsid w:val="00A507B0"/>
    <w:rsid w:val="00A5402B"/>
    <w:rsid w:val="00A61812"/>
    <w:rsid w:val="00A63074"/>
    <w:rsid w:val="00A63488"/>
    <w:rsid w:val="00A7376D"/>
    <w:rsid w:val="00A802EE"/>
    <w:rsid w:val="00A82E39"/>
    <w:rsid w:val="00A87D8B"/>
    <w:rsid w:val="00AA4149"/>
    <w:rsid w:val="00AA46DB"/>
    <w:rsid w:val="00AA5104"/>
    <w:rsid w:val="00AB2978"/>
    <w:rsid w:val="00AB6C40"/>
    <w:rsid w:val="00AC1BC0"/>
    <w:rsid w:val="00AC516A"/>
    <w:rsid w:val="00AC5AAB"/>
    <w:rsid w:val="00AC78A9"/>
    <w:rsid w:val="00AD25DC"/>
    <w:rsid w:val="00AF2050"/>
    <w:rsid w:val="00B03C49"/>
    <w:rsid w:val="00B045FD"/>
    <w:rsid w:val="00B04BC9"/>
    <w:rsid w:val="00B04D8D"/>
    <w:rsid w:val="00B061D0"/>
    <w:rsid w:val="00B13458"/>
    <w:rsid w:val="00B221B4"/>
    <w:rsid w:val="00B44141"/>
    <w:rsid w:val="00B652AC"/>
    <w:rsid w:val="00B65E1C"/>
    <w:rsid w:val="00B707A5"/>
    <w:rsid w:val="00B804FE"/>
    <w:rsid w:val="00B85A09"/>
    <w:rsid w:val="00B903B3"/>
    <w:rsid w:val="00B96B30"/>
    <w:rsid w:val="00BB1CA2"/>
    <w:rsid w:val="00BB539C"/>
    <w:rsid w:val="00BB588B"/>
    <w:rsid w:val="00BC3E65"/>
    <w:rsid w:val="00BC49CB"/>
    <w:rsid w:val="00BD036B"/>
    <w:rsid w:val="00BD41EF"/>
    <w:rsid w:val="00BD5139"/>
    <w:rsid w:val="00C105AA"/>
    <w:rsid w:val="00C12408"/>
    <w:rsid w:val="00C228E4"/>
    <w:rsid w:val="00C31A60"/>
    <w:rsid w:val="00C320C3"/>
    <w:rsid w:val="00C342EE"/>
    <w:rsid w:val="00C362AD"/>
    <w:rsid w:val="00C414EA"/>
    <w:rsid w:val="00C4664D"/>
    <w:rsid w:val="00C466A5"/>
    <w:rsid w:val="00C46A70"/>
    <w:rsid w:val="00C515B6"/>
    <w:rsid w:val="00C634BC"/>
    <w:rsid w:val="00C6441A"/>
    <w:rsid w:val="00C65DA7"/>
    <w:rsid w:val="00C747AD"/>
    <w:rsid w:val="00C74AAA"/>
    <w:rsid w:val="00C76D0B"/>
    <w:rsid w:val="00C80D90"/>
    <w:rsid w:val="00C840F4"/>
    <w:rsid w:val="00C90345"/>
    <w:rsid w:val="00C94D08"/>
    <w:rsid w:val="00C9560D"/>
    <w:rsid w:val="00CA2436"/>
    <w:rsid w:val="00CA4295"/>
    <w:rsid w:val="00CA4C84"/>
    <w:rsid w:val="00CA577F"/>
    <w:rsid w:val="00CB0E73"/>
    <w:rsid w:val="00CC6068"/>
    <w:rsid w:val="00CC6EA2"/>
    <w:rsid w:val="00CD1CB9"/>
    <w:rsid w:val="00CE0301"/>
    <w:rsid w:val="00CE113B"/>
    <w:rsid w:val="00CF58F6"/>
    <w:rsid w:val="00D22FB1"/>
    <w:rsid w:val="00D26BB3"/>
    <w:rsid w:val="00D306BD"/>
    <w:rsid w:val="00D31F60"/>
    <w:rsid w:val="00D35162"/>
    <w:rsid w:val="00D54410"/>
    <w:rsid w:val="00D56872"/>
    <w:rsid w:val="00D6086A"/>
    <w:rsid w:val="00D640DF"/>
    <w:rsid w:val="00D66E1B"/>
    <w:rsid w:val="00D74106"/>
    <w:rsid w:val="00D93CEB"/>
    <w:rsid w:val="00D95AE9"/>
    <w:rsid w:val="00D964DF"/>
    <w:rsid w:val="00D970DD"/>
    <w:rsid w:val="00DA3B58"/>
    <w:rsid w:val="00DA6251"/>
    <w:rsid w:val="00DA7581"/>
    <w:rsid w:val="00DA78EF"/>
    <w:rsid w:val="00DB0688"/>
    <w:rsid w:val="00DB291D"/>
    <w:rsid w:val="00DC6049"/>
    <w:rsid w:val="00DE04B7"/>
    <w:rsid w:val="00DE6CC6"/>
    <w:rsid w:val="00DE7734"/>
    <w:rsid w:val="00E01478"/>
    <w:rsid w:val="00E07A9C"/>
    <w:rsid w:val="00E129AB"/>
    <w:rsid w:val="00E171B7"/>
    <w:rsid w:val="00E17434"/>
    <w:rsid w:val="00E26AF6"/>
    <w:rsid w:val="00E35A47"/>
    <w:rsid w:val="00E419C7"/>
    <w:rsid w:val="00E5770F"/>
    <w:rsid w:val="00E610A3"/>
    <w:rsid w:val="00E6544F"/>
    <w:rsid w:val="00E67D89"/>
    <w:rsid w:val="00E94358"/>
    <w:rsid w:val="00E96162"/>
    <w:rsid w:val="00E9727E"/>
    <w:rsid w:val="00EA3546"/>
    <w:rsid w:val="00EA4C58"/>
    <w:rsid w:val="00EA6E28"/>
    <w:rsid w:val="00EB0F30"/>
    <w:rsid w:val="00EB66B9"/>
    <w:rsid w:val="00EC2D52"/>
    <w:rsid w:val="00EC4CFB"/>
    <w:rsid w:val="00EC6308"/>
    <w:rsid w:val="00ED052C"/>
    <w:rsid w:val="00EE53C5"/>
    <w:rsid w:val="00EF53B8"/>
    <w:rsid w:val="00F04D7C"/>
    <w:rsid w:val="00F11745"/>
    <w:rsid w:val="00F1233B"/>
    <w:rsid w:val="00F13E1E"/>
    <w:rsid w:val="00F16CE4"/>
    <w:rsid w:val="00F16D29"/>
    <w:rsid w:val="00F23571"/>
    <w:rsid w:val="00F25AE2"/>
    <w:rsid w:val="00F3446C"/>
    <w:rsid w:val="00F35067"/>
    <w:rsid w:val="00F36279"/>
    <w:rsid w:val="00F439C1"/>
    <w:rsid w:val="00F44773"/>
    <w:rsid w:val="00F4568A"/>
    <w:rsid w:val="00F546A2"/>
    <w:rsid w:val="00F6643D"/>
    <w:rsid w:val="00F73E42"/>
    <w:rsid w:val="00F8095E"/>
    <w:rsid w:val="00F841E1"/>
    <w:rsid w:val="00F90E4A"/>
    <w:rsid w:val="00FA7580"/>
    <w:rsid w:val="00FB0D46"/>
    <w:rsid w:val="00FB5E6C"/>
    <w:rsid w:val="00FB6F82"/>
    <w:rsid w:val="00FD02F9"/>
    <w:rsid w:val="00FD4025"/>
    <w:rsid w:val="00FD5EA6"/>
    <w:rsid w:val="00FE5113"/>
    <w:rsid w:val="00FE6B8C"/>
    <w:rsid w:val="00FF36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5DF48"/>
  <w15:docId w15:val="{0364E0A7-8D20-2F4B-8B8A-16E577A0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478"/>
    <w:pPr>
      <w:ind w:left="720"/>
      <w:contextualSpacing/>
    </w:pPr>
  </w:style>
  <w:style w:type="character" w:styleId="CommentReference">
    <w:name w:val="annotation reference"/>
    <w:basedOn w:val="DefaultParagraphFont"/>
    <w:uiPriority w:val="99"/>
    <w:semiHidden/>
    <w:unhideWhenUsed/>
    <w:rsid w:val="00C228E4"/>
    <w:rPr>
      <w:sz w:val="16"/>
      <w:szCs w:val="16"/>
    </w:rPr>
  </w:style>
  <w:style w:type="paragraph" w:styleId="CommentText">
    <w:name w:val="annotation text"/>
    <w:basedOn w:val="Normal"/>
    <w:link w:val="CommentTextChar"/>
    <w:uiPriority w:val="99"/>
    <w:semiHidden/>
    <w:unhideWhenUsed/>
    <w:rsid w:val="00C228E4"/>
    <w:pPr>
      <w:spacing w:line="240" w:lineRule="auto"/>
    </w:pPr>
    <w:rPr>
      <w:sz w:val="20"/>
      <w:szCs w:val="20"/>
    </w:rPr>
  </w:style>
  <w:style w:type="character" w:customStyle="1" w:styleId="CommentTextChar">
    <w:name w:val="Comment Text Char"/>
    <w:basedOn w:val="DefaultParagraphFont"/>
    <w:link w:val="CommentText"/>
    <w:uiPriority w:val="99"/>
    <w:semiHidden/>
    <w:rsid w:val="00C228E4"/>
    <w:rPr>
      <w:sz w:val="20"/>
      <w:szCs w:val="20"/>
    </w:rPr>
  </w:style>
  <w:style w:type="paragraph" w:styleId="CommentSubject">
    <w:name w:val="annotation subject"/>
    <w:basedOn w:val="CommentText"/>
    <w:next w:val="CommentText"/>
    <w:link w:val="CommentSubjectChar"/>
    <w:uiPriority w:val="99"/>
    <w:semiHidden/>
    <w:unhideWhenUsed/>
    <w:rsid w:val="00C228E4"/>
    <w:rPr>
      <w:b/>
      <w:bCs/>
    </w:rPr>
  </w:style>
  <w:style w:type="character" w:customStyle="1" w:styleId="CommentSubjectChar">
    <w:name w:val="Comment Subject Char"/>
    <w:basedOn w:val="CommentTextChar"/>
    <w:link w:val="CommentSubject"/>
    <w:uiPriority w:val="99"/>
    <w:semiHidden/>
    <w:rsid w:val="00C228E4"/>
    <w:rPr>
      <w:b/>
      <w:bCs/>
      <w:sz w:val="20"/>
      <w:szCs w:val="20"/>
    </w:rPr>
  </w:style>
  <w:style w:type="paragraph" w:styleId="BalloonText">
    <w:name w:val="Balloon Text"/>
    <w:basedOn w:val="Normal"/>
    <w:link w:val="BalloonTextChar"/>
    <w:uiPriority w:val="99"/>
    <w:semiHidden/>
    <w:unhideWhenUsed/>
    <w:rsid w:val="00C22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8E4"/>
    <w:rPr>
      <w:rFonts w:ascii="Segoe UI" w:hAnsi="Segoe UI" w:cs="Segoe UI"/>
      <w:sz w:val="18"/>
      <w:szCs w:val="18"/>
    </w:rPr>
  </w:style>
  <w:style w:type="character" w:styleId="PlaceholderText">
    <w:name w:val="Placeholder Text"/>
    <w:basedOn w:val="DefaultParagraphFont"/>
    <w:uiPriority w:val="99"/>
    <w:semiHidden/>
    <w:rsid w:val="001837DB"/>
    <w:rPr>
      <w:color w:val="808080"/>
    </w:rPr>
  </w:style>
  <w:style w:type="paragraph" w:styleId="Header">
    <w:name w:val="header"/>
    <w:basedOn w:val="Normal"/>
    <w:link w:val="HeaderChar"/>
    <w:uiPriority w:val="99"/>
    <w:unhideWhenUsed/>
    <w:rsid w:val="009B10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1060"/>
  </w:style>
  <w:style w:type="paragraph" w:styleId="Footer">
    <w:name w:val="footer"/>
    <w:basedOn w:val="Normal"/>
    <w:link w:val="FooterChar"/>
    <w:uiPriority w:val="99"/>
    <w:unhideWhenUsed/>
    <w:rsid w:val="009B10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1060"/>
  </w:style>
  <w:style w:type="paragraph" w:styleId="FootnoteText">
    <w:name w:val="footnote text"/>
    <w:basedOn w:val="Normal"/>
    <w:link w:val="FootnoteTextChar"/>
    <w:uiPriority w:val="99"/>
    <w:semiHidden/>
    <w:unhideWhenUsed/>
    <w:rsid w:val="00C362AD"/>
    <w:pPr>
      <w:spacing w:after="0" w:line="240" w:lineRule="auto"/>
    </w:pPr>
    <w:rPr>
      <w:sz w:val="20"/>
      <w:szCs w:val="20"/>
    </w:rPr>
  </w:style>
  <w:style w:type="character" w:customStyle="1" w:styleId="FootnoteTextChar">
    <w:name w:val="Footnote Text Char"/>
    <w:basedOn w:val="DefaultParagraphFont"/>
    <w:link w:val="FootnoteText"/>
    <w:uiPriority w:val="99"/>
    <w:rsid w:val="00C362AD"/>
    <w:rPr>
      <w:sz w:val="20"/>
      <w:szCs w:val="20"/>
    </w:rPr>
  </w:style>
  <w:style w:type="character" w:styleId="FootnoteReference">
    <w:name w:val="footnote reference"/>
    <w:basedOn w:val="DefaultParagraphFont"/>
    <w:uiPriority w:val="99"/>
    <w:semiHidden/>
    <w:unhideWhenUsed/>
    <w:rsid w:val="00C362AD"/>
    <w:rPr>
      <w:vertAlign w:val="superscript"/>
    </w:rPr>
  </w:style>
  <w:style w:type="character" w:styleId="Hyperlink">
    <w:name w:val="Hyperlink"/>
    <w:basedOn w:val="DefaultParagraphFont"/>
    <w:uiPriority w:val="99"/>
    <w:unhideWhenUsed/>
    <w:rsid w:val="00A63074"/>
    <w:rPr>
      <w:color w:val="0563C1" w:themeColor="hyperlink"/>
      <w:u w:val="single"/>
    </w:rPr>
  </w:style>
  <w:style w:type="character" w:styleId="FollowedHyperlink">
    <w:name w:val="FollowedHyperlink"/>
    <w:basedOn w:val="DefaultParagraphFont"/>
    <w:uiPriority w:val="99"/>
    <w:semiHidden/>
    <w:unhideWhenUsed/>
    <w:rsid w:val="000F2D96"/>
    <w:rPr>
      <w:color w:val="954F72" w:themeColor="followedHyperlink"/>
      <w:u w:val="single"/>
    </w:rPr>
  </w:style>
  <w:style w:type="character" w:customStyle="1" w:styleId="UnresolvedMention">
    <w:name w:val="Unresolved Mention"/>
    <w:basedOn w:val="DefaultParagraphFont"/>
    <w:uiPriority w:val="99"/>
    <w:semiHidden/>
    <w:unhideWhenUsed/>
    <w:rsid w:val="000F2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3587">
      <w:bodyDiv w:val="1"/>
      <w:marLeft w:val="0"/>
      <w:marRight w:val="0"/>
      <w:marTop w:val="0"/>
      <w:marBottom w:val="0"/>
      <w:divBdr>
        <w:top w:val="none" w:sz="0" w:space="0" w:color="auto"/>
        <w:left w:val="none" w:sz="0" w:space="0" w:color="auto"/>
        <w:bottom w:val="none" w:sz="0" w:space="0" w:color="auto"/>
        <w:right w:val="none" w:sz="0" w:space="0" w:color="auto"/>
      </w:divBdr>
    </w:div>
    <w:div w:id="361711736">
      <w:bodyDiv w:val="1"/>
      <w:marLeft w:val="0"/>
      <w:marRight w:val="0"/>
      <w:marTop w:val="0"/>
      <w:marBottom w:val="0"/>
      <w:divBdr>
        <w:top w:val="none" w:sz="0" w:space="0" w:color="auto"/>
        <w:left w:val="none" w:sz="0" w:space="0" w:color="auto"/>
        <w:bottom w:val="none" w:sz="0" w:space="0" w:color="auto"/>
        <w:right w:val="none" w:sz="0" w:space="0" w:color="auto"/>
      </w:divBdr>
    </w:div>
    <w:div w:id="379672453">
      <w:bodyDiv w:val="1"/>
      <w:marLeft w:val="0"/>
      <w:marRight w:val="0"/>
      <w:marTop w:val="0"/>
      <w:marBottom w:val="0"/>
      <w:divBdr>
        <w:top w:val="none" w:sz="0" w:space="0" w:color="auto"/>
        <w:left w:val="none" w:sz="0" w:space="0" w:color="auto"/>
        <w:bottom w:val="none" w:sz="0" w:space="0" w:color="auto"/>
        <w:right w:val="none" w:sz="0" w:space="0" w:color="auto"/>
      </w:divBdr>
    </w:div>
    <w:div w:id="737751461">
      <w:bodyDiv w:val="1"/>
      <w:marLeft w:val="0"/>
      <w:marRight w:val="0"/>
      <w:marTop w:val="0"/>
      <w:marBottom w:val="0"/>
      <w:divBdr>
        <w:top w:val="none" w:sz="0" w:space="0" w:color="auto"/>
        <w:left w:val="none" w:sz="0" w:space="0" w:color="auto"/>
        <w:bottom w:val="none" w:sz="0" w:space="0" w:color="auto"/>
        <w:right w:val="none" w:sz="0" w:space="0" w:color="auto"/>
      </w:divBdr>
    </w:div>
    <w:div w:id="1094865319">
      <w:bodyDiv w:val="1"/>
      <w:marLeft w:val="0"/>
      <w:marRight w:val="0"/>
      <w:marTop w:val="0"/>
      <w:marBottom w:val="0"/>
      <w:divBdr>
        <w:top w:val="none" w:sz="0" w:space="0" w:color="auto"/>
        <w:left w:val="none" w:sz="0" w:space="0" w:color="auto"/>
        <w:bottom w:val="none" w:sz="0" w:space="0" w:color="auto"/>
        <w:right w:val="none" w:sz="0" w:space="0" w:color="auto"/>
      </w:divBdr>
    </w:div>
    <w:div w:id="1492867107">
      <w:bodyDiv w:val="1"/>
      <w:marLeft w:val="0"/>
      <w:marRight w:val="0"/>
      <w:marTop w:val="0"/>
      <w:marBottom w:val="0"/>
      <w:divBdr>
        <w:top w:val="none" w:sz="0" w:space="0" w:color="auto"/>
        <w:left w:val="none" w:sz="0" w:space="0" w:color="auto"/>
        <w:bottom w:val="none" w:sz="0" w:space="0" w:color="auto"/>
        <w:right w:val="none" w:sz="0" w:space="0" w:color="auto"/>
      </w:divBdr>
    </w:div>
    <w:div w:id="1619413039">
      <w:bodyDiv w:val="1"/>
      <w:marLeft w:val="0"/>
      <w:marRight w:val="0"/>
      <w:marTop w:val="0"/>
      <w:marBottom w:val="0"/>
      <w:divBdr>
        <w:top w:val="none" w:sz="0" w:space="0" w:color="auto"/>
        <w:left w:val="none" w:sz="0" w:space="0" w:color="auto"/>
        <w:bottom w:val="none" w:sz="0" w:space="0" w:color="auto"/>
        <w:right w:val="none" w:sz="0" w:space="0" w:color="auto"/>
      </w:divBdr>
    </w:div>
    <w:div w:id="1793593771">
      <w:bodyDiv w:val="1"/>
      <w:marLeft w:val="0"/>
      <w:marRight w:val="0"/>
      <w:marTop w:val="0"/>
      <w:marBottom w:val="0"/>
      <w:divBdr>
        <w:top w:val="none" w:sz="0" w:space="0" w:color="auto"/>
        <w:left w:val="none" w:sz="0" w:space="0" w:color="auto"/>
        <w:bottom w:val="none" w:sz="0" w:space="0" w:color="auto"/>
        <w:right w:val="none" w:sz="0" w:space="0" w:color="auto"/>
      </w:divBdr>
    </w:div>
    <w:div w:id="1825394253">
      <w:bodyDiv w:val="1"/>
      <w:marLeft w:val="0"/>
      <w:marRight w:val="0"/>
      <w:marTop w:val="0"/>
      <w:marBottom w:val="0"/>
      <w:divBdr>
        <w:top w:val="none" w:sz="0" w:space="0" w:color="auto"/>
        <w:left w:val="none" w:sz="0" w:space="0" w:color="auto"/>
        <w:bottom w:val="none" w:sz="0" w:space="0" w:color="auto"/>
        <w:right w:val="none" w:sz="0" w:space="0" w:color="auto"/>
      </w:divBdr>
    </w:div>
    <w:div w:id="202100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mailto:zeyilmaz17@gmail.com" TargetMode="External"/><Relationship Id="rId2" Type="http://schemas.openxmlformats.org/officeDocument/2006/relationships/hyperlink" Target="mailto:hamza.mutluay@eas.bau.edu.tr" TargetMode="External"/><Relationship Id="rId1" Type="http://schemas.openxmlformats.org/officeDocument/2006/relationships/hyperlink" Target="mailto:seyfettin.gursel@eas.ba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merve.akgul\Desktop\zeynep_staj\utd\utd_2018_2021.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hamza.mutluay\Desktop\Bolgesel%20i&#351;sizli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şekil1!$B$2</c:f>
              <c:strCache>
                <c:ptCount val="1"/>
                <c:pt idx="0">
                  <c:v>2018</c:v>
                </c:pt>
              </c:strCache>
            </c:strRef>
          </c:tx>
          <c:spPr>
            <a:solidFill>
              <a:schemeClr val="accent1"/>
            </a:solidFill>
            <a:ln>
              <a:noFill/>
            </a:ln>
            <a:effectLst/>
          </c:spPr>
          <c:invertIfNegative val="0"/>
          <c:dPt>
            <c:idx val="14"/>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01-B6D1-41F0-84EE-9321A4875249}"/>
              </c:ext>
            </c:extLst>
          </c:dPt>
          <c:dLbls>
            <c:spPr>
              <a:noFill/>
              <a:ln>
                <a:noFill/>
              </a:ln>
              <a:effectLst/>
            </c:spPr>
            <c:txPr>
              <a:bodyPr rot="5400000" spcFirstLastPara="1" vertOverflow="ellipsis"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şekil1!$A$3:$A$29</c:f>
              <c:strCache>
                <c:ptCount val="27"/>
                <c:pt idx="0">
                  <c:v>TR82</c:v>
                </c:pt>
                <c:pt idx="1">
                  <c:v>TR33</c:v>
                </c:pt>
                <c:pt idx="2">
                  <c:v>TR22</c:v>
                </c:pt>
                <c:pt idx="3">
                  <c:v>TR41</c:v>
                </c:pt>
                <c:pt idx="4">
                  <c:v>TR52</c:v>
                </c:pt>
                <c:pt idx="5">
                  <c:v>TR21</c:v>
                </c:pt>
                <c:pt idx="6">
                  <c:v>TR42</c:v>
                </c:pt>
                <c:pt idx="7">
                  <c:v>TR83</c:v>
                </c:pt>
                <c:pt idx="8">
                  <c:v>TRC1</c:v>
                </c:pt>
                <c:pt idx="9">
                  <c:v>TR10</c:v>
                </c:pt>
                <c:pt idx="10">
                  <c:v>TR32</c:v>
                </c:pt>
                <c:pt idx="11">
                  <c:v>TR51</c:v>
                </c:pt>
                <c:pt idx="12">
                  <c:v>TRB1</c:v>
                </c:pt>
                <c:pt idx="13">
                  <c:v>TR81</c:v>
                </c:pt>
                <c:pt idx="14">
                  <c:v>Türkiye</c:v>
                </c:pt>
                <c:pt idx="15">
                  <c:v>TR72</c:v>
                </c:pt>
                <c:pt idx="16">
                  <c:v>TR61</c:v>
                </c:pt>
                <c:pt idx="17">
                  <c:v>TRA1</c:v>
                </c:pt>
                <c:pt idx="18">
                  <c:v>TR90</c:v>
                </c:pt>
                <c:pt idx="19">
                  <c:v>TR62</c:v>
                </c:pt>
                <c:pt idx="20">
                  <c:v>TR31</c:v>
                </c:pt>
                <c:pt idx="21">
                  <c:v>TR71</c:v>
                </c:pt>
                <c:pt idx="22">
                  <c:v>TR63</c:v>
                </c:pt>
                <c:pt idx="23">
                  <c:v>TRC2</c:v>
                </c:pt>
                <c:pt idx="24">
                  <c:v>TRA2</c:v>
                </c:pt>
                <c:pt idx="25">
                  <c:v>TRB2</c:v>
                </c:pt>
                <c:pt idx="26">
                  <c:v>TRC3</c:v>
                </c:pt>
              </c:strCache>
            </c:strRef>
          </c:cat>
          <c:val>
            <c:numRef>
              <c:f>şekil1!$B$3:$B$29</c:f>
              <c:numCache>
                <c:formatCode>0.0</c:formatCode>
                <c:ptCount val="27"/>
                <c:pt idx="0">
                  <c:v>8.6734693877551017</c:v>
                </c:pt>
                <c:pt idx="1">
                  <c:v>9.5394736842105274</c:v>
                </c:pt>
                <c:pt idx="2">
                  <c:v>7.8470824949698192</c:v>
                </c:pt>
                <c:pt idx="3">
                  <c:v>10.006715916722634</c:v>
                </c:pt>
                <c:pt idx="4">
                  <c:v>7.7826725403817907</c:v>
                </c:pt>
                <c:pt idx="5">
                  <c:v>8.7943262411347511</c:v>
                </c:pt>
                <c:pt idx="6">
                  <c:v>11.76470588235294</c:v>
                </c:pt>
                <c:pt idx="7">
                  <c:v>10.48158640226629</c:v>
                </c:pt>
                <c:pt idx="8">
                  <c:v>14.717477003942181</c:v>
                </c:pt>
                <c:pt idx="9">
                  <c:v>12.582483503299342</c:v>
                </c:pt>
                <c:pt idx="10">
                  <c:v>9.1087169441723805</c:v>
                </c:pt>
                <c:pt idx="11">
                  <c:v>10.469986040018615</c:v>
                </c:pt>
                <c:pt idx="12">
                  <c:v>11.713665943600867</c:v>
                </c:pt>
                <c:pt idx="13">
                  <c:v>11.498257839721255</c:v>
                </c:pt>
                <c:pt idx="14">
                  <c:v>13.110682778560308</c:v>
                </c:pt>
                <c:pt idx="15">
                  <c:v>16.329479768786126</c:v>
                </c:pt>
                <c:pt idx="16">
                  <c:v>13.888888888888889</c:v>
                </c:pt>
                <c:pt idx="17">
                  <c:v>11.29032258064516</c:v>
                </c:pt>
                <c:pt idx="18">
                  <c:v>10.014513788098693</c:v>
                </c:pt>
                <c:pt idx="19">
                  <c:v>13.570274636510501</c:v>
                </c:pt>
                <c:pt idx="20">
                  <c:v>14.837625979843224</c:v>
                </c:pt>
                <c:pt idx="21">
                  <c:v>14.732142857142858</c:v>
                </c:pt>
                <c:pt idx="22">
                  <c:v>17.812852311161219</c:v>
                </c:pt>
                <c:pt idx="23">
                  <c:v>26.376440460947503</c:v>
                </c:pt>
                <c:pt idx="24">
                  <c:v>10.497237569060774</c:v>
                </c:pt>
                <c:pt idx="25">
                  <c:v>30</c:v>
                </c:pt>
                <c:pt idx="26">
                  <c:v>28.185328185328185</c:v>
                </c:pt>
              </c:numCache>
            </c:numRef>
          </c:val>
          <c:extLst>
            <c:ext xmlns:c16="http://schemas.microsoft.com/office/drawing/2014/chart" uri="{C3380CC4-5D6E-409C-BE32-E72D297353CC}">
              <c16:uniqueId val="{00000002-B6D1-41F0-84EE-9321A4875249}"/>
            </c:ext>
          </c:extLst>
        </c:ser>
        <c:ser>
          <c:idx val="1"/>
          <c:order val="1"/>
          <c:tx>
            <c:strRef>
              <c:f>şekil1!$C$2</c:f>
              <c:strCache>
                <c:ptCount val="1"/>
                <c:pt idx="0">
                  <c:v>2021</c:v>
                </c:pt>
              </c:strCache>
            </c:strRef>
          </c:tx>
          <c:spPr>
            <a:solidFill>
              <a:srgbClr val="FF9797"/>
            </a:solidFill>
            <a:ln>
              <a:noFill/>
            </a:ln>
            <a:effectLst/>
          </c:spPr>
          <c:invertIfNegative val="0"/>
          <c:dPt>
            <c:idx val="14"/>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04-B6D1-41F0-84EE-9321A4875249}"/>
              </c:ext>
            </c:extLst>
          </c:dPt>
          <c:dLbls>
            <c:spPr>
              <a:noFill/>
              <a:ln>
                <a:noFill/>
              </a:ln>
              <a:effectLst/>
            </c:spPr>
            <c:txPr>
              <a:bodyPr rot="5400000" spcFirstLastPara="1" vertOverflow="ellipsis"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şekil1!$A$3:$A$29</c:f>
              <c:strCache>
                <c:ptCount val="27"/>
                <c:pt idx="0">
                  <c:v>TR82</c:v>
                </c:pt>
                <c:pt idx="1">
                  <c:v>TR33</c:v>
                </c:pt>
                <c:pt idx="2">
                  <c:v>TR22</c:v>
                </c:pt>
                <c:pt idx="3">
                  <c:v>TR41</c:v>
                </c:pt>
                <c:pt idx="4">
                  <c:v>TR52</c:v>
                </c:pt>
                <c:pt idx="5">
                  <c:v>TR21</c:v>
                </c:pt>
                <c:pt idx="6">
                  <c:v>TR42</c:v>
                </c:pt>
                <c:pt idx="7">
                  <c:v>TR83</c:v>
                </c:pt>
                <c:pt idx="8">
                  <c:v>TRC1</c:v>
                </c:pt>
                <c:pt idx="9">
                  <c:v>TR10</c:v>
                </c:pt>
                <c:pt idx="10">
                  <c:v>TR32</c:v>
                </c:pt>
                <c:pt idx="11">
                  <c:v>TR51</c:v>
                </c:pt>
                <c:pt idx="12">
                  <c:v>TRB1</c:v>
                </c:pt>
                <c:pt idx="13">
                  <c:v>TR81</c:v>
                </c:pt>
                <c:pt idx="14">
                  <c:v>Türkiye</c:v>
                </c:pt>
                <c:pt idx="15">
                  <c:v>TR72</c:v>
                </c:pt>
                <c:pt idx="16">
                  <c:v>TR61</c:v>
                </c:pt>
                <c:pt idx="17">
                  <c:v>TRA1</c:v>
                </c:pt>
                <c:pt idx="18">
                  <c:v>TR90</c:v>
                </c:pt>
                <c:pt idx="19">
                  <c:v>TR62</c:v>
                </c:pt>
                <c:pt idx="20">
                  <c:v>TR31</c:v>
                </c:pt>
                <c:pt idx="21">
                  <c:v>TR71</c:v>
                </c:pt>
                <c:pt idx="22">
                  <c:v>TR63</c:v>
                </c:pt>
                <c:pt idx="23">
                  <c:v>TRC2</c:v>
                </c:pt>
                <c:pt idx="24">
                  <c:v>TRA2</c:v>
                </c:pt>
                <c:pt idx="25">
                  <c:v>TRB2</c:v>
                </c:pt>
                <c:pt idx="26">
                  <c:v>TRC3</c:v>
                </c:pt>
              </c:strCache>
            </c:strRef>
          </c:cat>
          <c:val>
            <c:numRef>
              <c:f>şekil1!$C$3:$C$29</c:f>
              <c:numCache>
                <c:formatCode>0.0</c:formatCode>
                <c:ptCount val="27"/>
                <c:pt idx="0">
                  <c:v>9.0909090909090917</c:v>
                </c:pt>
                <c:pt idx="1">
                  <c:v>9.6196868008948542</c:v>
                </c:pt>
                <c:pt idx="2">
                  <c:v>10.196779964221825</c:v>
                </c:pt>
                <c:pt idx="3">
                  <c:v>10.219435736677115</c:v>
                </c:pt>
                <c:pt idx="4">
                  <c:v>10.393258426966293</c:v>
                </c:pt>
                <c:pt idx="5">
                  <c:v>10.884353741496598</c:v>
                </c:pt>
                <c:pt idx="6">
                  <c:v>10.886252616887649</c:v>
                </c:pt>
                <c:pt idx="7">
                  <c:v>12.204724409448819</c:v>
                </c:pt>
                <c:pt idx="8">
                  <c:v>12.219451371571072</c:v>
                </c:pt>
                <c:pt idx="9">
                  <c:v>12.393422655298417</c:v>
                </c:pt>
                <c:pt idx="10">
                  <c:v>12.80148423005566</c:v>
                </c:pt>
                <c:pt idx="11">
                  <c:v>13.869257950530034</c:v>
                </c:pt>
                <c:pt idx="12">
                  <c:v>13.871635610766045</c:v>
                </c:pt>
                <c:pt idx="13">
                  <c:v>13.924050632911392</c:v>
                </c:pt>
                <c:pt idx="14">
                  <c:v>14.113876183959375</c:v>
                </c:pt>
                <c:pt idx="15">
                  <c:v>14.266304347826086</c:v>
                </c:pt>
                <c:pt idx="16">
                  <c:v>14.310051107325384</c:v>
                </c:pt>
                <c:pt idx="17">
                  <c:v>14.339622641509434</c:v>
                </c:pt>
                <c:pt idx="18">
                  <c:v>15.625</c:v>
                </c:pt>
                <c:pt idx="19">
                  <c:v>15.781487101669194</c:v>
                </c:pt>
                <c:pt idx="20">
                  <c:v>15.890570430733412</c:v>
                </c:pt>
                <c:pt idx="21">
                  <c:v>17.477876106194689</c:v>
                </c:pt>
                <c:pt idx="22">
                  <c:v>20.414507772020727</c:v>
                </c:pt>
                <c:pt idx="23">
                  <c:v>20.600272851296044</c:v>
                </c:pt>
                <c:pt idx="24">
                  <c:v>24.761904761904763</c:v>
                </c:pt>
                <c:pt idx="25">
                  <c:v>29.175475687103592</c:v>
                </c:pt>
                <c:pt idx="26">
                  <c:v>33.333333333333329</c:v>
                </c:pt>
              </c:numCache>
            </c:numRef>
          </c:val>
          <c:extLst>
            <c:ext xmlns:c16="http://schemas.microsoft.com/office/drawing/2014/chart" uri="{C3380CC4-5D6E-409C-BE32-E72D297353CC}">
              <c16:uniqueId val="{00000005-B6D1-41F0-84EE-9321A4875249}"/>
            </c:ext>
          </c:extLst>
        </c:ser>
        <c:dLbls>
          <c:dLblPos val="outEnd"/>
          <c:showLegendKey val="0"/>
          <c:showVal val="1"/>
          <c:showCatName val="0"/>
          <c:showSerName val="0"/>
          <c:showPercent val="0"/>
          <c:showBubbleSize val="0"/>
        </c:dLbls>
        <c:gapWidth val="219"/>
        <c:overlap val="-27"/>
        <c:axId val="242993792"/>
        <c:axId val="210561280"/>
      </c:barChart>
      <c:catAx>
        <c:axId val="242993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10561280"/>
        <c:crosses val="autoZero"/>
        <c:auto val="1"/>
        <c:lblAlgn val="ctr"/>
        <c:lblOffset val="100"/>
        <c:noMultiLvlLbl val="0"/>
      </c:catAx>
      <c:valAx>
        <c:axId val="21056128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42993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'şekil3-4'!$A$8:$A$27</c:f>
              <c:strCache>
                <c:ptCount val="20"/>
                <c:pt idx="0">
                  <c:v>TR33</c:v>
                </c:pt>
                <c:pt idx="1">
                  <c:v>TR41</c:v>
                </c:pt>
                <c:pt idx="2">
                  <c:v>TR82</c:v>
                </c:pt>
                <c:pt idx="3">
                  <c:v>TR61</c:v>
                </c:pt>
                <c:pt idx="4">
                  <c:v>TR31</c:v>
                </c:pt>
                <c:pt idx="5">
                  <c:v>TR83</c:v>
                </c:pt>
                <c:pt idx="6">
                  <c:v>TR21</c:v>
                </c:pt>
                <c:pt idx="7">
                  <c:v>TRB1</c:v>
                </c:pt>
                <c:pt idx="8">
                  <c:v>TR62</c:v>
                </c:pt>
                <c:pt idx="9">
                  <c:v>TR22</c:v>
                </c:pt>
                <c:pt idx="10">
                  <c:v>TR81</c:v>
                </c:pt>
                <c:pt idx="11">
                  <c:v>TR63</c:v>
                </c:pt>
                <c:pt idx="12">
                  <c:v>TR52</c:v>
                </c:pt>
                <c:pt idx="13">
                  <c:v>TR71</c:v>
                </c:pt>
                <c:pt idx="14">
                  <c:v>TRA1</c:v>
                </c:pt>
                <c:pt idx="15">
                  <c:v>TR51</c:v>
                </c:pt>
                <c:pt idx="16">
                  <c:v>TR32</c:v>
                </c:pt>
                <c:pt idx="17">
                  <c:v>TRC3</c:v>
                </c:pt>
                <c:pt idx="18">
                  <c:v>TR90</c:v>
                </c:pt>
                <c:pt idx="19">
                  <c:v>TRA2</c:v>
                </c:pt>
              </c:strCache>
            </c:strRef>
          </c:cat>
          <c:val>
            <c:numRef>
              <c:f>'şekil3-4'!$B$8:$B$27</c:f>
              <c:numCache>
                <c:formatCode>0.0</c:formatCode>
                <c:ptCount val="20"/>
                <c:pt idx="0">
                  <c:v>8.0213116684326735E-2</c:v>
                </c:pt>
                <c:pt idx="1">
                  <c:v>0.21271981995448108</c:v>
                </c:pt>
                <c:pt idx="2">
                  <c:v>0.41743970315399004</c:v>
                </c:pt>
                <c:pt idx="3">
                  <c:v>0.42116221843649448</c:v>
                </c:pt>
                <c:pt idx="4">
                  <c:v>1.0529444508901875</c:v>
                </c:pt>
                <c:pt idx="5">
                  <c:v>1.7231380071825289</c:v>
                </c:pt>
                <c:pt idx="6">
                  <c:v>2.0900275003618471</c:v>
                </c:pt>
                <c:pt idx="7">
                  <c:v>2.1579696671651778</c:v>
                </c:pt>
                <c:pt idx="8">
                  <c:v>2.2112124651586935</c:v>
                </c:pt>
                <c:pt idx="9">
                  <c:v>2.3496974692520061</c:v>
                </c:pt>
                <c:pt idx="10">
                  <c:v>2.4257927931901371</c:v>
                </c:pt>
                <c:pt idx="11">
                  <c:v>2.6016554608595079</c:v>
                </c:pt>
                <c:pt idx="12">
                  <c:v>2.6105858865845022</c:v>
                </c:pt>
                <c:pt idx="13">
                  <c:v>2.7457332490518311</c:v>
                </c:pt>
                <c:pt idx="14">
                  <c:v>3.0493000608642742</c:v>
                </c:pt>
                <c:pt idx="15">
                  <c:v>3.3992719105114197</c:v>
                </c:pt>
                <c:pt idx="16">
                  <c:v>3.6927672858832796</c:v>
                </c:pt>
                <c:pt idx="17">
                  <c:v>5.1480051480051436</c:v>
                </c:pt>
                <c:pt idx="18">
                  <c:v>5.610486211901307</c:v>
                </c:pt>
                <c:pt idx="19">
                  <c:v>14.264667192843989</c:v>
                </c:pt>
              </c:numCache>
            </c:numRef>
          </c:val>
          <c:extLst>
            <c:ext xmlns:c16="http://schemas.microsoft.com/office/drawing/2014/chart" uri="{C3380CC4-5D6E-409C-BE32-E72D297353CC}">
              <c16:uniqueId val="{00000000-309C-49A4-9B54-951A1D96BA7F}"/>
            </c:ext>
          </c:extLst>
        </c:ser>
        <c:dLbls>
          <c:showLegendKey val="0"/>
          <c:showVal val="0"/>
          <c:showCatName val="0"/>
          <c:showSerName val="0"/>
          <c:showPercent val="0"/>
          <c:showBubbleSize val="0"/>
        </c:dLbls>
        <c:gapWidth val="219"/>
        <c:overlap val="-27"/>
        <c:axId val="211543936"/>
        <c:axId val="211545472"/>
      </c:barChart>
      <c:catAx>
        <c:axId val="211543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11545472"/>
        <c:crosses val="autoZero"/>
        <c:auto val="1"/>
        <c:lblAlgn val="ctr"/>
        <c:lblOffset val="100"/>
        <c:noMultiLvlLbl val="0"/>
      </c:catAx>
      <c:valAx>
        <c:axId val="211545472"/>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11543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047003499562555E-2"/>
          <c:y val="0.17171296296296298"/>
          <c:w val="0.88897440944881889"/>
          <c:h val="0.77736111111111106"/>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'şekil3-4'!$A$2:$A$7</c:f>
              <c:strCache>
                <c:ptCount val="6"/>
                <c:pt idx="0">
                  <c:v>TRC2</c:v>
                </c:pt>
                <c:pt idx="1">
                  <c:v>TRC1</c:v>
                </c:pt>
                <c:pt idx="2">
                  <c:v>TR72</c:v>
                </c:pt>
                <c:pt idx="3">
                  <c:v>TR42</c:v>
                </c:pt>
                <c:pt idx="4">
                  <c:v>TRB2</c:v>
                </c:pt>
                <c:pt idx="5">
                  <c:v>TR10</c:v>
                </c:pt>
              </c:strCache>
            </c:strRef>
          </c:cat>
          <c:val>
            <c:numRef>
              <c:f>'şekil3-4'!$B$2:$B$7</c:f>
              <c:numCache>
                <c:formatCode>0.0</c:formatCode>
                <c:ptCount val="6"/>
                <c:pt idx="0">
                  <c:v>-5.7761676096514591</c:v>
                </c:pt>
                <c:pt idx="1">
                  <c:v>-2.4980256323711085</c:v>
                </c:pt>
                <c:pt idx="2">
                  <c:v>-2.0631754209600395</c:v>
                </c:pt>
                <c:pt idx="3">
                  <c:v>-0.87845326546529101</c:v>
                </c:pt>
                <c:pt idx="4">
                  <c:v>-0.82452431289640771</c:v>
                </c:pt>
                <c:pt idx="5">
                  <c:v>-0.18906084800092415</c:v>
                </c:pt>
              </c:numCache>
            </c:numRef>
          </c:val>
          <c:extLst>
            <c:ext xmlns:c16="http://schemas.microsoft.com/office/drawing/2014/chart" uri="{C3380CC4-5D6E-409C-BE32-E72D297353CC}">
              <c16:uniqueId val="{00000000-8DC7-4BEB-B784-D50896BE8EAF}"/>
            </c:ext>
          </c:extLst>
        </c:ser>
        <c:dLbls>
          <c:dLblPos val="outEnd"/>
          <c:showLegendKey val="0"/>
          <c:showVal val="1"/>
          <c:showCatName val="0"/>
          <c:showSerName val="0"/>
          <c:showPercent val="0"/>
          <c:showBubbleSize val="0"/>
        </c:dLbls>
        <c:gapWidth val="219"/>
        <c:overlap val="-27"/>
        <c:axId val="211904768"/>
        <c:axId val="211911808"/>
      </c:barChart>
      <c:catAx>
        <c:axId val="211904768"/>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11911808"/>
        <c:crosses val="autoZero"/>
        <c:auto val="1"/>
        <c:lblAlgn val="ctr"/>
        <c:lblOffset val="100"/>
        <c:noMultiLvlLbl val="0"/>
      </c:catAx>
      <c:valAx>
        <c:axId val="21191180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11904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19693371661875"/>
          <c:y val="2.8645833333333332E-2"/>
          <c:w val="0.858237338388257"/>
          <c:h val="0.80755569861943355"/>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dPt>
            <c:idx val="26"/>
            <c:marker>
              <c:spPr>
                <a:solidFill>
                  <a:srgbClr val="FF0000"/>
                </a:solidFill>
                <a:ln w="9525">
                  <a:solidFill>
                    <a:srgbClr val="FF0000"/>
                  </a:solidFill>
                </a:ln>
                <a:effectLst/>
              </c:spPr>
            </c:marker>
            <c:bubble3D val="0"/>
            <c:extLst>
              <c:ext xmlns:c16="http://schemas.microsoft.com/office/drawing/2014/chart" uri="{C3380CC4-5D6E-409C-BE32-E72D297353CC}">
                <c16:uniqueId val="{00000000-3E73-4E6A-A208-54213AD2D387}"/>
              </c:ext>
            </c:extLst>
          </c:dPt>
          <c:dLbls>
            <c:dLbl>
              <c:idx val="0"/>
              <c:tx>
                <c:rich>
                  <a:bodyPr/>
                  <a:lstStyle/>
                  <a:p>
                    <a:fld id="{F05BE812-6B0C-42E4-BC13-3BC0EA9136C1}" type="CELLRANGE">
                      <a:rPr lang="en-US"/>
                      <a:pPr/>
                      <a:t>[CELLRANGE]</a:t>
                    </a:fld>
                    <a:endParaRPr lang="tr-T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3E73-4E6A-A208-54213AD2D387}"/>
                </c:ext>
              </c:extLst>
            </c:dLbl>
            <c:dLbl>
              <c:idx val="1"/>
              <c:tx>
                <c:rich>
                  <a:bodyPr/>
                  <a:lstStyle/>
                  <a:p>
                    <a:fld id="{582BEDC8-354B-4806-B18D-F7F7162B027A}" type="CELLRANGE">
                      <a:rPr lang="tr-TR"/>
                      <a:pPr/>
                      <a:t>[CELLRANGE]</a:t>
                    </a:fld>
                    <a:endParaRPr lang="tr-T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3E73-4E6A-A208-54213AD2D387}"/>
                </c:ext>
              </c:extLst>
            </c:dLbl>
            <c:dLbl>
              <c:idx val="2"/>
              <c:tx>
                <c:rich>
                  <a:bodyPr/>
                  <a:lstStyle/>
                  <a:p>
                    <a:fld id="{EAFE5BAE-ADFC-42C1-BAB6-03F44DED4F05}" type="CELLRANGE">
                      <a:rPr lang="tr-TR"/>
                      <a:pPr/>
                      <a:t>[CELLRANGE]</a:t>
                    </a:fld>
                    <a:endParaRPr lang="tr-T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3E73-4E6A-A208-54213AD2D387}"/>
                </c:ext>
              </c:extLst>
            </c:dLbl>
            <c:dLbl>
              <c:idx val="3"/>
              <c:tx>
                <c:rich>
                  <a:bodyPr/>
                  <a:lstStyle/>
                  <a:p>
                    <a:fld id="{BC3B6FDD-E236-4C0E-9B41-F3A60B4D8776}" type="CELLRANGE">
                      <a:rPr lang="tr-TR"/>
                      <a:pPr/>
                      <a:t>[CELLRANGE]</a:t>
                    </a:fld>
                    <a:endParaRPr lang="tr-T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3E73-4E6A-A208-54213AD2D387}"/>
                </c:ext>
              </c:extLst>
            </c:dLbl>
            <c:dLbl>
              <c:idx val="4"/>
              <c:layout>
                <c:manualLayout>
                  <c:x val="-1.1022927689594356E-2"/>
                  <c:y val="-7.0909413224606865E-3"/>
                </c:manualLayout>
              </c:layout>
              <c:tx>
                <c:rich>
                  <a:bodyPr/>
                  <a:lstStyle/>
                  <a:p>
                    <a:fld id="{297A56A7-7125-4AEE-A5A9-2D62C8B479DA}" type="CELLRANGE">
                      <a:rPr lang="en-US"/>
                      <a:pPr/>
                      <a:t>[CELLRANGE]</a:t>
                    </a:fld>
                    <a:endParaRPr lang="tr-T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3E73-4E6A-A208-54213AD2D387}"/>
                </c:ext>
              </c:extLst>
            </c:dLbl>
            <c:dLbl>
              <c:idx val="5"/>
              <c:layout>
                <c:manualLayout>
                  <c:x val="-8.8183421516754845E-3"/>
                  <c:y val="-7.0909413224606215E-3"/>
                </c:manualLayout>
              </c:layout>
              <c:tx>
                <c:rich>
                  <a:bodyPr/>
                  <a:lstStyle/>
                  <a:p>
                    <a:fld id="{23828062-20BC-4CCF-B7DC-86AAA4CDF8B4}" type="CELLRANGE">
                      <a:rPr lang="en-US"/>
                      <a:pPr/>
                      <a:t>[CELLRANGE]</a:t>
                    </a:fld>
                    <a:endParaRPr lang="tr-T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6-3E73-4E6A-A208-54213AD2D387}"/>
                </c:ext>
              </c:extLst>
            </c:dLbl>
            <c:dLbl>
              <c:idx val="6"/>
              <c:layout>
                <c:manualLayout>
                  <c:x val="-6.6137566137566134E-3"/>
                  <c:y val="-7.0909413224606215E-3"/>
                </c:manualLayout>
              </c:layout>
              <c:tx>
                <c:rich>
                  <a:bodyPr/>
                  <a:lstStyle/>
                  <a:p>
                    <a:fld id="{2ED40E30-B495-470A-9CE1-D73604F8D048}" type="CELLRANGE">
                      <a:rPr lang="en-US"/>
                      <a:pPr/>
                      <a:t>[CELLRANGE]</a:t>
                    </a:fld>
                    <a:endParaRPr lang="tr-T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3E73-4E6A-A208-54213AD2D387}"/>
                </c:ext>
              </c:extLst>
            </c:dLbl>
            <c:dLbl>
              <c:idx val="7"/>
              <c:layout>
                <c:manualLayout>
                  <c:x val="-6.6137566137566134E-3"/>
                  <c:y val="-3.5454706612302782E-3"/>
                </c:manualLayout>
              </c:layout>
              <c:tx>
                <c:rich>
                  <a:bodyPr/>
                  <a:lstStyle/>
                  <a:p>
                    <a:fld id="{4862651F-EE95-4758-8F55-6A2DEBD626C7}" type="CELLRANGE">
                      <a:rPr lang="en-US"/>
                      <a:pPr/>
                      <a:t>[CELLRANGE]</a:t>
                    </a:fld>
                    <a:endParaRPr lang="tr-T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8-3E73-4E6A-A208-54213AD2D387}"/>
                </c:ext>
              </c:extLst>
            </c:dLbl>
            <c:dLbl>
              <c:idx val="8"/>
              <c:layout>
                <c:manualLayout>
                  <c:x val="-1.5432098765432179E-2"/>
                  <c:y val="0"/>
                </c:manualLayout>
              </c:layout>
              <c:tx>
                <c:rich>
                  <a:bodyPr/>
                  <a:lstStyle/>
                  <a:p>
                    <a:fld id="{AEAD6675-0F29-4392-AEC6-87EC17DB22F8}" type="CELLRANGE">
                      <a:rPr lang="en-US"/>
                      <a:pPr/>
                      <a:t>[CELLRANGE]</a:t>
                    </a:fld>
                    <a:endParaRPr lang="tr-T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9-3E73-4E6A-A208-54213AD2D387}"/>
                </c:ext>
              </c:extLst>
            </c:dLbl>
            <c:dLbl>
              <c:idx val="9"/>
              <c:layout>
                <c:manualLayout>
                  <c:x val="-6.6137566137566949E-3"/>
                  <c:y val="-1.2999908915120574E-16"/>
                </c:manualLayout>
              </c:layout>
              <c:tx>
                <c:rich>
                  <a:bodyPr/>
                  <a:lstStyle/>
                  <a:p>
                    <a:fld id="{20F31F60-D88B-4C6F-8CAA-A5B22D4A40C4}" type="CELLRANGE">
                      <a:rPr lang="en-US"/>
                      <a:pPr/>
                      <a:t>[CELLRANGE]</a:t>
                    </a:fld>
                    <a:endParaRPr lang="tr-T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A-3E73-4E6A-A208-54213AD2D387}"/>
                </c:ext>
              </c:extLst>
            </c:dLbl>
            <c:dLbl>
              <c:idx val="10"/>
              <c:layout>
                <c:manualLayout>
                  <c:x val="-5.2577521117365474E-2"/>
                  <c:y val="-1.0416666666666571E-2"/>
                </c:manualLayout>
              </c:layout>
              <c:tx>
                <c:rich>
                  <a:bodyPr/>
                  <a:lstStyle/>
                  <a:p>
                    <a:fld id="{7F773C3C-DAAA-45B7-A375-BA2F7A545438}" type="CELLRANGE">
                      <a:rPr lang="en-US"/>
                      <a:pPr/>
                      <a:t>[CELLRANGE]</a:t>
                    </a:fld>
                    <a:endParaRPr lang="tr-T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B-3E73-4E6A-A208-54213AD2D387}"/>
                </c:ext>
              </c:extLst>
            </c:dLbl>
            <c:dLbl>
              <c:idx val="11"/>
              <c:layout>
                <c:manualLayout>
                  <c:x val="-1.5951999055673679E-2"/>
                  <c:y val="1.895068026973494E-2"/>
                </c:manualLayout>
              </c:layout>
              <c:tx>
                <c:rich>
                  <a:bodyPr/>
                  <a:lstStyle/>
                  <a:p>
                    <a:fld id="{7289764F-E0FB-4CF7-B706-C6442DB1E674}" type="CELLRANGE">
                      <a:rPr lang="en-US"/>
                      <a:pPr/>
                      <a:t>[CELLRANGE]</a:t>
                    </a:fld>
                    <a:endParaRPr lang="tr-T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C-3E73-4E6A-A208-54213AD2D387}"/>
                </c:ext>
              </c:extLst>
            </c:dLbl>
            <c:dLbl>
              <c:idx val="12"/>
              <c:layout>
                <c:manualLayout>
                  <c:x val="-6.6137566137566134E-3"/>
                  <c:y val="0"/>
                </c:manualLayout>
              </c:layout>
              <c:tx>
                <c:rich>
                  <a:bodyPr/>
                  <a:lstStyle/>
                  <a:p>
                    <a:fld id="{2C3B99F3-AD27-4BC3-888F-AE0361F34C48}" type="CELLRANGE">
                      <a:rPr lang="en-US"/>
                      <a:pPr/>
                      <a:t>[CELLRANGE]</a:t>
                    </a:fld>
                    <a:endParaRPr lang="tr-T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D-3E73-4E6A-A208-54213AD2D387}"/>
                </c:ext>
              </c:extLst>
            </c:dLbl>
            <c:dLbl>
              <c:idx val="13"/>
              <c:tx>
                <c:rich>
                  <a:bodyPr/>
                  <a:lstStyle/>
                  <a:p>
                    <a:fld id="{DB15E85D-F685-4A17-A7D4-CC86073F58D8}" type="CELLRANGE">
                      <a:rPr lang="tr-TR"/>
                      <a:pPr/>
                      <a:t>[CELLRANGE]</a:t>
                    </a:fld>
                    <a:endParaRPr lang="tr-T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3E73-4E6A-A208-54213AD2D387}"/>
                </c:ext>
              </c:extLst>
            </c:dLbl>
            <c:dLbl>
              <c:idx val="14"/>
              <c:layout>
                <c:manualLayout>
                  <c:x val="-6.6137566137566949E-3"/>
                  <c:y val="0"/>
                </c:manualLayout>
              </c:layout>
              <c:tx>
                <c:rich>
                  <a:bodyPr/>
                  <a:lstStyle/>
                  <a:p>
                    <a:fld id="{903698AF-0FD2-4A37-A5D5-154BA1CF4416}" type="CELLRANGE">
                      <a:rPr lang="en-US"/>
                      <a:pPr/>
                      <a:t>[CELLRANGE]</a:t>
                    </a:fld>
                    <a:endParaRPr lang="tr-T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F-3E73-4E6A-A208-54213AD2D387}"/>
                </c:ext>
              </c:extLst>
            </c:dLbl>
            <c:dLbl>
              <c:idx val="15"/>
              <c:layout>
                <c:manualLayout>
                  <c:x val="-6.5721901396706842E-3"/>
                  <c:y val="1.0416666666666571E-2"/>
                </c:manualLayout>
              </c:layout>
              <c:tx>
                <c:rich>
                  <a:bodyPr/>
                  <a:lstStyle/>
                  <a:p>
                    <a:fld id="{44908467-F327-4542-B5CB-0B368791E0E5}" type="CELLRANGE">
                      <a:rPr lang="en-US"/>
                      <a:pPr/>
                      <a:t>[CELLRANGE]</a:t>
                    </a:fld>
                    <a:endParaRPr lang="tr-T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0-3E73-4E6A-A208-54213AD2D387}"/>
                </c:ext>
              </c:extLst>
            </c:dLbl>
            <c:dLbl>
              <c:idx val="16"/>
              <c:layout>
                <c:manualLayout>
                  <c:x val="-8.8183421516755661E-3"/>
                  <c:y val="-1.2999908915120574E-16"/>
                </c:manualLayout>
              </c:layout>
              <c:tx>
                <c:rich>
                  <a:bodyPr/>
                  <a:lstStyle/>
                  <a:p>
                    <a:fld id="{C057C304-2847-423D-914C-828AF43464CC}" type="CELLRANGE">
                      <a:rPr lang="en-US"/>
                      <a:pPr/>
                      <a:t>[CELLRANGE]</a:t>
                    </a:fld>
                    <a:endParaRPr lang="tr-T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1-3E73-4E6A-A208-54213AD2D387}"/>
                </c:ext>
              </c:extLst>
            </c:dLbl>
            <c:dLbl>
              <c:idx val="17"/>
              <c:layout>
                <c:manualLayout>
                  <c:x val="-2.95748556285182E-2"/>
                  <c:y val="2.0833333333333239E-2"/>
                </c:manualLayout>
              </c:layout>
              <c:tx>
                <c:rich>
                  <a:bodyPr/>
                  <a:lstStyle/>
                  <a:p>
                    <a:fld id="{04DBB22C-99D6-414D-951F-0D900E1EF5B3}" type="CELLRANGE">
                      <a:rPr lang="en-US"/>
                      <a:pPr/>
                      <a:t>[CELLRANGE]</a:t>
                    </a:fld>
                    <a:endParaRPr lang="tr-T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2-3E73-4E6A-A208-54213AD2D387}"/>
                </c:ext>
              </c:extLst>
            </c:dLbl>
            <c:dLbl>
              <c:idx val="18"/>
              <c:tx>
                <c:rich>
                  <a:bodyPr/>
                  <a:lstStyle/>
                  <a:p>
                    <a:fld id="{0DF48C35-06C2-4112-8D3F-B3CD7756AE6E}" type="CELLRANGE">
                      <a:rPr lang="tr-TR"/>
                      <a:pPr/>
                      <a:t>[CELLRANGE]</a:t>
                    </a:fld>
                    <a:endParaRPr lang="tr-T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3-3E73-4E6A-A208-54213AD2D387}"/>
                </c:ext>
              </c:extLst>
            </c:dLbl>
            <c:dLbl>
              <c:idx val="19"/>
              <c:layout>
                <c:manualLayout>
                  <c:x val="-2.6455026455026454E-2"/>
                  <c:y val="2.8363765289842226E-2"/>
                </c:manualLayout>
              </c:layout>
              <c:tx>
                <c:rich>
                  <a:bodyPr/>
                  <a:lstStyle/>
                  <a:p>
                    <a:fld id="{321C3958-EC63-4251-AA24-C3E62EB1B297}" type="CELLRANGE">
                      <a:rPr lang="en-US"/>
                      <a:pPr/>
                      <a:t>[CELLRANGE]</a:t>
                    </a:fld>
                    <a:endParaRPr lang="tr-T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4-3E73-4E6A-A208-54213AD2D387}"/>
                </c:ext>
              </c:extLst>
            </c:dLbl>
            <c:dLbl>
              <c:idx val="20"/>
              <c:tx>
                <c:rich>
                  <a:bodyPr/>
                  <a:lstStyle/>
                  <a:p>
                    <a:fld id="{116BD7FB-55FA-46EB-91A3-F4A5B8D94D9D}" type="CELLRANGE">
                      <a:rPr lang="tr-TR"/>
                      <a:pPr/>
                      <a:t>[CELLRANGE]</a:t>
                    </a:fld>
                    <a:endParaRPr lang="tr-T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5-3E73-4E6A-A208-54213AD2D387}"/>
                </c:ext>
              </c:extLst>
            </c:dLbl>
            <c:dLbl>
              <c:idx val="21"/>
              <c:layout>
                <c:manualLayout>
                  <c:x val="-2.7931808093600408E-2"/>
                  <c:y val="-2.0833333333333429E-2"/>
                </c:manualLayout>
              </c:layout>
              <c:tx>
                <c:rich>
                  <a:bodyPr/>
                  <a:lstStyle/>
                  <a:p>
                    <a:fld id="{B45705FB-FF54-4CD2-8A27-EFF34A013FB0}" type="CELLRANGE">
                      <a:rPr lang="en-US"/>
                      <a:pPr/>
                      <a:t>[CELLRANGE]</a:t>
                    </a:fld>
                    <a:endParaRPr lang="tr-TR"/>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6-3E73-4E6A-A208-54213AD2D387}"/>
                </c:ext>
              </c:extLst>
            </c:dLbl>
            <c:dLbl>
              <c:idx val="22"/>
              <c:tx>
                <c:rich>
                  <a:bodyPr/>
                  <a:lstStyle/>
                  <a:p>
                    <a:fld id="{FDDB5B9A-26DE-4957-A2D4-01A749A6106A}" type="CELLRANGE">
                      <a:rPr lang="tr-TR"/>
                      <a:pPr/>
                      <a:t>[CELLRANGE]</a:t>
                    </a:fld>
                    <a:endParaRPr lang="tr-T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7-3E73-4E6A-A208-54213AD2D387}"/>
                </c:ext>
              </c:extLst>
            </c:dLbl>
            <c:dLbl>
              <c:idx val="23"/>
              <c:tx>
                <c:rich>
                  <a:bodyPr/>
                  <a:lstStyle/>
                  <a:p>
                    <a:fld id="{E20DE876-35C5-4B92-8EBD-3FC41D3BB046}" type="CELLRANGE">
                      <a:rPr lang="tr-TR"/>
                      <a:pPr/>
                      <a:t>[CELLRANGE]</a:t>
                    </a:fld>
                    <a:endParaRPr lang="tr-T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8-3E73-4E6A-A208-54213AD2D387}"/>
                </c:ext>
              </c:extLst>
            </c:dLbl>
            <c:dLbl>
              <c:idx val="24"/>
              <c:tx>
                <c:rich>
                  <a:bodyPr/>
                  <a:lstStyle/>
                  <a:p>
                    <a:fld id="{C4BEC20F-9D74-48CD-92CB-75B8FED02C7E}" type="CELLRANGE">
                      <a:rPr lang="tr-TR"/>
                      <a:pPr/>
                      <a:t>[CELLRANGE]</a:t>
                    </a:fld>
                    <a:endParaRPr lang="tr-T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9-3E73-4E6A-A208-54213AD2D387}"/>
                </c:ext>
              </c:extLst>
            </c:dLbl>
            <c:dLbl>
              <c:idx val="25"/>
              <c:tx>
                <c:rich>
                  <a:bodyPr/>
                  <a:lstStyle/>
                  <a:p>
                    <a:fld id="{2307FA7F-00A3-455D-8293-6DC1AA0A4C7B}" type="CELLRANGE">
                      <a:rPr lang="tr-TR"/>
                      <a:pPr/>
                      <a:t>[CELLRANGE]</a:t>
                    </a:fld>
                    <a:endParaRPr lang="tr-TR"/>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A-3E73-4E6A-A208-54213AD2D387}"/>
                </c:ext>
              </c:extLst>
            </c:dLbl>
            <c:dLbl>
              <c:idx val="26"/>
              <c:layout>
                <c:manualLayout>
                  <c:x val="-3.3983946451138052E-2"/>
                  <c:y val="-2.5320243939548393E-2"/>
                </c:manualLayout>
              </c:layout>
              <c:tx>
                <c:rich>
                  <a:bodyPr rot="0" spcFirstLastPara="1" vertOverflow="ellipsis"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fld id="{930469E5-D8D7-4878-A7A5-5E4637C3C129}" type="CELLRANGE">
                      <a:rPr lang="en-US"/>
                      <a:pPr>
                        <a:defRPr sz="800" b="0" i="0" u="none" strike="noStrike" kern="1200" baseline="0">
                          <a:solidFill>
                            <a:srgbClr val="FF0000"/>
                          </a:solidFill>
                          <a:latin typeface="+mn-lt"/>
                          <a:ea typeface="+mn-ea"/>
                          <a:cs typeface="+mn-cs"/>
                        </a:defRPr>
                      </a:pPr>
                      <a:t>[CELLRANGE]</a:t>
                    </a:fld>
                    <a:endParaRPr lang="tr-TR"/>
                  </a:p>
                </c:rich>
              </c:tx>
              <c:spPr>
                <a:noFill/>
                <a:ln>
                  <a:noFill/>
                </a:ln>
                <a:effectLst/>
              </c:spP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3E73-4E6A-A208-54213AD2D387}"/>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xVal>
            <c:numRef>
              <c:f>Sheet1!$F$6:$F$32</c:f>
              <c:numCache>
                <c:formatCode>General</c:formatCode>
                <c:ptCount val="27"/>
                <c:pt idx="0">
                  <c:v>47.6</c:v>
                </c:pt>
                <c:pt idx="1">
                  <c:v>47.2</c:v>
                </c:pt>
                <c:pt idx="2">
                  <c:v>45.1</c:v>
                </c:pt>
                <c:pt idx="3">
                  <c:v>44.4</c:v>
                </c:pt>
                <c:pt idx="4">
                  <c:v>43.9</c:v>
                </c:pt>
                <c:pt idx="5">
                  <c:v>43.1</c:v>
                </c:pt>
                <c:pt idx="6">
                  <c:v>42.1</c:v>
                </c:pt>
                <c:pt idx="7">
                  <c:v>41.4</c:v>
                </c:pt>
                <c:pt idx="8">
                  <c:v>39.799999999999997</c:v>
                </c:pt>
                <c:pt idx="9">
                  <c:v>39.1</c:v>
                </c:pt>
                <c:pt idx="10">
                  <c:v>38.799999999999997</c:v>
                </c:pt>
                <c:pt idx="11">
                  <c:v>38.700000000000003</c:v>
                </c:pt>
                <c:pt idx="12">
                  <c:v>38.6</c:v>
                </c:pt>
                <c:pt idx="13">
                  <c:v>37.299999999999997</c:v>
                </c:pt>
                <c:pt idx="14">
                  <c:v>37.200000000000003</c:v>
                </c:pt>
                <c:pt idx="15">
                  <c:v>37</c:v>
                </c:pt>
                <c:pt idx="16">
                  <c:v>36.9</c:v>
                </c:pt>
                <c:pt idx="17">
                  <c:v>36.799999999999997</c:v>
                </c:pt>
                <c:pt idx="18">
                  <c:v>35.5</c:v>
                </c:pt>
                <c:pt idx="19">
                  <c:v>35.200000000000003</c:v>
                </c:pt>
                <c:pt idx="20">
                  <c:v>34.700000000000003</c:v>
                </c:pt>
                <c:pt idx="21">
                  <c:v>33.6</c:v>
                </c:pt>
                <c:pt idx="22">
                  <c:v>27.1</c:v>
                </c:pt>
                <c:pt idx="23">
                  <c:v>26.9</c:v>
                </c:pt>
                <c:pt idx="24">
                  <c:v>26.6</c:v>
                </c:pt>
                <c:pt idx="25">
                  <c:v>26.4</c:v>
                </c:pt>
                <c:pt idx="26">
                  <c:v>40.6</c:v>
                </c:pt>
              </c:numCache>
            </c:numRef>
          </c:xVal>
          <c:yVal>
            <c:numRef>
              <c:f>Sheet1!$G$6:$G$32</c:f>
              <c:numCache>
                <c:formatCode>General</c:formatCode>
                <c:ptCount val="27"/>
                <c:pt idx="0">
                  <c:v>10.9</c:v>
                </c:pt>
                <c:pt idx="1">
                  <c:v>12.4</c:v>
                </c:pt>
                <c:pt idx="2">
                  <c:v>10.199999999999999</c:v>
                </c:pt>
                <c:pt idx="3">
                  <c:v>13.9</c:v>
                </c:pt>
                <c:pt idx="4">
                  <c:v>10.9</c:v>
                </c:pt>
                <c:pt idx="5">
                  <c:v>14.3</c:v>
                </c:pt>
                <c:pt idx="6">
                  <c:v>15.9</c:v>
                </c:pt>
                <c:pt idx="7">
                  <c:v>12.8</c:v>
                </c:pt>
                <c:pt idx="8">
                  <c:v>12.2</c:v>
                </c:pt>
                <c:pt idx="9">
                  <c:v>10.4</c:v>
                </c:pt>
                <c:pt idx="10">
                  <c:v>10.199999999999999</c:v>
                </c:pt>
                <c:pt idx="11">
                  <c:v>9.6</c:v>
                </c:pt>
                <c:pt idx="12">
                  <c:v>15.8</c:v>
                </c:pt>
                <c:pt idx="13">
                  <c:v>14.3</c:v>
                </c:pt>
                <c:pt idx="14">
                  <c:v>12.2</c:v>
                </c:pt>
                <c:pt idx="15">
                  <c:v>13.9</c:v>
                </c:pt>
                <c:pt idx="16">
                  <c:v>15.6</c:v>
                </c:pt>
                <c:pt idx="17">
                  <c:v>9.1</c:v>
                </c:pt>
                <c:pt idx="18">
                  <c:v>17.5</c:v>
                </c:pt>
                <c:pt idx="19">
                  <c:v>13.9</c:v>
                </c:pt>
                <c:pt idx="20">
                  <c:v>20.399999999999999</c:v>
                </c:pt>
                <c:pt idx="21">
                  <c:v>14.3</c:v>
                </c:pt>
                <c:pt idx="22">
                  <c:v>24.8</c:v>
                </c:pt>
                <c:pt idx="23">
                  <c:v>29.2</c:v>
                </c:pt>
                <c:pt idx="24">
                  <c:v>33.299999999999997</c:v>
                </c:pt>
                <c:pt idx="25">
                  <c:v>20.6</c:v>
                </c:pt>
                <c:pt idx="26">
                  <c:v>14.1</c:v>
                </c:pt>
              </c:numCache>
            </c:numRef>
          </c:yVal>
          <c:smooth val="0"/>
          <c:extLst>
            <c:ext xmlns:c15="http://schemas.microsoft.com/office/drawing/2012/chart" uri="{02D57815-91ED-43cb-92C2-25804820EDAC}">
              <c15:datalabelsRange>
                <c15:f>Sheet1!$D$6:$D$32</c15:f>
                <c15:dlblRangeCache>
                  <c:ptCount val="27"/>
                  <c:pt idx="0">
                    <c:v>TR21</c:v>
                  </c:pt>
                  <c:pt idx="1">
                    <c:v>TR10 </c:v>
                  </c:pt>
                  <c:pt idx="2">
                    <c:v>TR41 </c:v>
                  </c:pt>
                  <c:pt idx="3">
                    <c:v>TR51</c:v>
                  </c:pt>
                  <c:pt idx="4">
                    <c:v>TR42</c:v>
                  </c:pt>
                  <c:pt idx="5">
                    <c:v>TR61 </c:v>
                  </c:pt>
                  <c:pt idx="6">
                    <c:v>TR31 </c:v>
                  </c:pt>
                  <c:pt idx="7">
                    <c:v>TR32 </c:v>
                  </c:pt>
                  <c:pt idx="8">
                    <c:v>TRC1</c:v>
                  </c:pt>
                  <c:pt idx="9">
                    <c:v>TR52 </c:v>
                  </c:pt>
                  <c:pt idx="10">
                    <c:v>TR22 </c:v>
                  </c:pt>
                  <c:pt idx="11">
                    <c:v>TR33 </c:v>
                  </c:pt>
                  <c:pt idx="12">
                    <c:v>TR62 </c:v>
                  </c:pt>
                  <c:pt idx="13">
                    <c:v>TR72 </c:v>
                  </c:pt>
                  <c:pt idx="14">
                    <c:v>TR83 </c:v>
                  </c:pt>
                  <c:pt idx="15">
                    <c:v>TR81</c:v>
                  </c:pt>
                  <c:pt idx="16">
                    <c:v>TR90 </c:v>
                  </c:pt>
                  <c:pt idx="17">
                    <c:v>TR82 </c:v>
                  </c:pt>
                  <c:pt idx="18">
                    <c:v>TR71 </c:v>
                  </c:pt>
                  <c:pt idx="19">
                    <c:v>TRB1 </c:v>
                  </c:pt>
                  <c:pt idx="20">
                    <c:v>TR63 </c:v>
                  </c:pt>
                  <c:pt idx="21">
                    <c:v>TRA1 </c:v>
                  </c:pt>
                  <c:pt idx="22">
                    <c:v>TRA2</c:v>
                  </c:pt>
                  <c:pt idx="23">
                    <c:v>TRB2 </c:v>
                  </c:pt>
                  <c:pt idx="24">
                    <c:v>TRC3 </c:v>
                  </c:pt>
                  <c:pt idx="25">
                    <c:v>TRC2 </c:v>
                  </c:pt>
                  <c:pt idx="26">
                    <c:v>Türkiye</c:v>
                  </c:pt>
                </c15:dlblRangeCache>
              </c15:datalabelsRange>
            </c:ext>
            <c:ext xmlns:c16="http://schemas.microsoft.com/office/drawing/2014/chart" uri="{C3380CC4-5D6E-409C-BE32-E72D297353CC}">
              <c16:uniqueId val="{0000001B-3E73-4E6A-A208-54213AD2D387}"/>
            </c:ext>
          </c:extLst>
        </c:ser>
        <c:dLbls>
          <c:showLegendKey val="0"/>
          <c:showVal val="0"/>
          <c:showCatName val="0"/>
          <c:showSerName val="0"/>
          <c:showPercent val="0"/>
          <c:showBubbleSize val="0"/>
        </c:dLbls>
        <c:axId val="213795200"/>
        <c:axId val="213797120"/>
      </c:scatterChart>
      <c:valAx>
        <c:axId val="213795200"/>
        <c:scaling>
          <c:orientation val="minMax"/>
          <c:min val="20"/>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tr-TR" sz="1100"/>
                  <a:t>Tarım</a:t>
                </a:r>
                <a:r>
                  <a:rPr lang="tr-TR" sz="1100" baseline="0"/>
                  <a:t> dışı istihdam oranı(%)</a:t>
                </a:r>
                <a:endParaRPr lang="tr-TR" sz="1100"/>
              </a:p>
            </c:rich>
          </c:tx>
          <c:layout>
            <c:manualLayout>
              <c:xMode val="edge"/>
              <c:yMode val="edge"/>
              <c:x val="0.39798844588870835"/>
              <c:y val="0.9246668444054846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13797120"/>
        <c:crosses val="autoZero"/>
        <c:crossBetween val="midCat"/>
        <c:majorUnit val="5"/>
      </c:valAx>
      <c:valAx>
        <c:axId val="213797120"/>
        <c:scaling>
          <c:orientation val="minMax"/>
          <c:min val="5"/>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tr-TR" sz="1100"/>
                  <a:t>Tarım dışı işsizlik</a:t>
                </a:r>
                <a:r>
                  <a:rPr lang="tr-TR" sz="1100" baseline="0"/>
                  <a:t> oranı (%)</a:t>
                </a:r>
                <a:endParaRPr lang="tr-TR" sz="1100"/>
              </a:p>
            </c:rich>
          </c:tx>
          <c:layout>
            <c:manualLayout>
              <c:xMode val="edge"/>
              <c:yMode val="edge"/>
              <c:x val="2.4645713023765066E-2"/>
              <c:y val="0.2813172572178477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13795200"/>
        <c:crosses val="autoZero"/>
        <c:crossBetween val="midCat"/>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0.1149</cdr:x>
      <cdr:y>0.58103</cdr:y>
    </cdr:from>
    <cdr:to>
      <cdr:x>0.99517</cdr:x>
      <cdr:y>0.58842</cdr:y>
    </cdr:to>
    <cdr:cxnSp macro="">
      <cdr:nvCxnSpPr>
        <cdr:cNvPr id="3" name="Straight Connector 2"/>
        <cdr:cNvCxnSpPr/>
      </cdr:nvCxnSpPr>
      <cdr:spPr>
        <a:xfrm xmlns:a="http://schemas.openxmlformats.org/drawingml/2006/main">
          <a:off x="661917" y="2081283"/>
          <a:ext cx="5070984" cy="26474"/>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0.70362</cdr:x>
      <cdr:y>0.01143</cdr:y>
    </cdr:from>
    <cdr:to>
      <cdr:x>0.70481</cdr:x>
      <cdr:y>0.82869</cdr:y>
    </cdr:to>
    <cdr:cxnSp macro="">
      <cdr:nvCxnSpPr>
        <cdr:cNvPr id="4" name="Straight Connector 3"/>
        <cdr:cNvCxnSpPr/>
      </cdr:nvCxnSpPr>
      <cdr:spPr>
        <a:xfrm xmlns:a="http://schemas.openxmlformats.org/drawingml/2006/main">
          <a:off x="4053385" y="40943"/>
          <a:ext cx="6828" cy="2927454"/>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9F9FF-D6A4-43A8-B192-4BEC68543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3437</Words>
  <Characters>19591</Characters>
  <Application>Microsoft Office Word</Application>
  <DocSecurity>0</DocSecurity>
  <Lines>163</Lines>
  <Paragraphs>45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merve.akgul</dc:creator>
  <cp:lastModifiedBy>merve.akgul</cp:lastModifiedBy>
  <cp:revision>4</cp:revision>
  <cp:lastPrinted>2022-09-07T06:53:00Z</cp:lastPrinted>
  <dcterms:created xsi:type="dcterms:W3CDTF">2022-09-06T09:30:00Z</dcterms:created>
  <dcterms:modified xsi:type="dcterms:W3CDTF">2022-09-07T06:53:00Z</dcterms:modified>
</cp:coreProperties>
</file>