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79FA" w14:textId="0D144C41" w:rsidR="008E26C8" w:rsidRDefault="00F03396" w:rsidP="00F33A0D">
      <w:pPr>
        <w:jc w:val="center"/>
        <w:rPr>
          <w:b/>
          <w:bCs/>
          <w:sz w:val="28"/>
          <w:szCs w:val="28"/>
          <w:lang w:val="tr-TR"/>
        </w:rPr>
      </w:pPr>
      <w:r>
        <w:rPr>
          <w:rFonts w:ascii="Calibri" w:eastAsia="Calibri" w:hAnsi="Calibri" w:cs="Arial"/>
          <w:b/>
          <w:noProof/>
          <w:color w:val="000000"/>
          <w:sz w:val="28"/>
          <w:szCs w:val="28"/>
          <w:lang w:val="tr-TR" w:eastAsia="tr-TR"/>
        </w:rPr>
        <mc:AlternateContent>
          <mc:Choice Requires="wps">
            <w:drawing>
              <wp:anchor distT="0" distB="0" distL="114300" distR="114300" simplePos="0" relativeHeight="251658241" behindDoc="0" locked="0" layoutInCell="1" allowOverlap="1" wp14:anchorId="01EEA182" wp14:editId="53A24EC8">
                <wp:simplePos x="0" y="0"/>
                <wp:positionH relativeFrom="column">
                  <wp:posOffset>1960481</wp:posOffset>
                </wp:positionH>
                <wp:positionV relativeFrom="paragraph">
                  <wp:posOffset>-526446</wp:posOffset>
                </wp:positionV>
                <wp:extent cx="3578087" cy="482600"/>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3578087" cy="482600"/>
                        </a:xfrm>
                        <a:prstGeom prst="rect">
                          <a:avLst/>
                        </a:prstGeom>
                        <a:noFill/>
                        <a:ln w="6350">
                          <a:noFill/>
                        </a:ln>
                      </wps:spPr>
                      <wps:txbx>
                        <w:txbxContent>
                          <w:p w14:paraId="0E729839" w14:textId="3DEAA8E4" w:rsidR="008E26C8" w:rsidRPr="008E26C8" w:rsidRDefault="008E26C8">
                            <w:pPr>
                              <w:rPr>
                                <w:rFonts w:ascii="Times New Roman" w:hAnsi="Times New Roman" w:cs="Times New Roman"/>
                                <w:b/>
                                <w:bCs/>
                                <w:sz w:val="52"/>
                                <w:szCs w:val="52"/>
                                <w:lang w:val="tr-TR"/>
                              </w:rPr>
                            </w:pPr>
                            <w:r w:rsidRPr="008E26C8">
                              <w:rPr>
                                <w:rFonts w:ascii="Times New Roman" w:hAnsi="Times New Roman" w:cs="Times New Roman"/>
                                <w:b/>
                                <w:bCs/>
                                <w:sz w:val="52"/>
                                <w:szCs w:val="52"/>
                                <w:lang w:val="tr-TR"/>
                              </w:rPr>
                              <w:t xml:space="preserve">Araştırma Notu </w:t>
                            </w:r>
                            <w:r w:rsidRPr="00E850FF">
                              <w:rPr>
                                <w:rFonts w:ascii="Times New Roman" w:hAnsi="Times New Roman" w:cs="Times New Roman"/>
                                <w:b/>
                                <w:bCs/>
                                <w:sz w:val="52"/>
                                <w:szCs w:val="52"/>
                                <w:lang w:val="tr-TR"/>
                              </w:rPr>
                              <w:t>22/</w:t>
                            </w:r>
                            <w:r w:rsidR="00F33A0D" w:rsidRPr="00E850FF">
                              <w:rPr>
                                <w:rFonts w:ascii="Times New Roman" w:hAnsi="Times New Roman" w:cs="Times New Roman"/>
                                <w:b/>
                                <w:bCs/>
                                <w:sz w:val="52"/>
                                <w:szCs w:val="52"/>
                                <w:lang w:val="tr-TR"/>
                              </w:rPr>
                              <w:t>25</w:t>
                            </w:r>
                            <w:r w:rsidR="00E850FF" w:rsidRPr="00E850FF">
                              <w:rPr>
                                <w:rFonts w:ascii="Times New Roman" w:hAnsi="Times New Roman" w:cs="Times New Roman"/>
                                <w:b/>
                                <w:bCs/>
                                <w:sz w:val="52"/>
                                <w:szCs w:val="52"/>
                                <w:lang w:val="tr-TR"/>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EA182" id="_x0000_t202" coordsize="21600,21600" o:spt="202" path="m,l,21600r21600,l21600,xe">
                <v:stroke joinstyle="miter"/>
                <v:path gradientshapeok="t" o:connecttype="rect"/>
              </v:shapetype>
              <v:shape id="Metin Kutusu 50" o:spid="_x0000_s1026" type="#_x0000_t202" style="position:absolute;left:0;text-align:left;margin-left:154.35pt;margin-top:-41.45pt;width:281.75pt;height:3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" filled="f" stroked="f" strokeweight=".5pt">
                <v:textbox>
                  <w:txbxContent>
                    <w:p w14:paraId="0E729839" w14:textId="3DEAA8E4" w:rsidR="008E26C8" w:rsidRPr="008E26C8" w:rsidRDefault="008E26C8">
                      <w:pPr>
                        <w:rPr>
                          <w:rFonts w:ascii="Times New Roman" w:hAnsi="Times New Roman" w:cs="Times New Roman"/>
                          <w:b/>
                          <w:bCs/>
                          <w:sz w:val="52"/>
                          <w:szCs w:val="52"/>
                          <w:lang w:val="tr-TR"/>
                        </w:rPr>
                      </w:pPr>
                      <w:r w:rsidRPr="008E26C8">
                        <w:rPr>
                          <w:rFonts w:ascii="Times New Roman" w:hAnsi="Times New Roman" w:cs="Times New Roman"/>
                          <w:b/>
                          <w:bCs/>
                          <w:sz w:val="52"/>
                          <w:szCs w:val="52"/>
                          <w:lang w:val="tr-TR"/>
                        </w:rPr>
                        <w:t xml:space="preserve">Araştırma Notu </w:t>
                      </w:r>
                      <w:r w:rsidRPr="00E850FF">
                        <w:rPr>
                          <w:rFonts w:ascii="Times New Roman" w:hAnsi="Times New Roman" w:cs="Times New Roman"/>
                          <w:b/>
                          <w:bCs/>
                          <w:sz w:val="52"/>
                          <w:szCs w:val="52"/>
                          <w:lang w:val="tr-TR"/>
                        </w:rPr>
                        <w:t>22/</w:t>
                      </w:r>
                      <w:r w:rsidR="00F33A0D" w:rsidRPr="00E850FF">
                        <w:rPr>
                          <w:rFonts w:ascii="Times New Roman" w:hAnsi="Times New Roman" w:cs="Times New Roman"/>
                          <w:b/>
                          <w:bCs/>
                          <w:sz w:val="52"/>
                          <w:szCs w:val="52"/>
                          <w:lang w:val="tr-TR"/>
                        </w:rPr>
                        <w:t>25</w:t>
                      </w:r>
                      <w:r w:rsidR="00E850FF" w:rsidRPr="00E850FF">
                        <w:rPr>
                          <w:rFonts w:ascii="Times New Roman" w:hAnsi="Times New Roman" w:cs="Times New Roman"/>
                          <w:b/>
                          <w:bCs/>
                          <w:sz w:val="52"/>
                          <w:szCs w:val="52"/>
                          <w:lang w:val="tr-TR"/>
                        </w:rPr>
                        <w:t>9</w:t>
                      </w:r>
                    </w:p>
                  </w:txbxContent>
                </v:textbox>
              </v:shape>
            </w:pict>
          </mc:Fallback>
        </mc:AlternateContent>
      </w:r>
      <w:r w:rsidR="00DF5883" w:rsidRPr="00C00B75">
        <w:rPr>
          <w:rFonts w:ascii="Calibri" w:eastAsia="Calibri" w:hAnsi="Calibri" w:cs="Arial"/>
          <w:b/>
          <w:noProof/>
          <w:color w:val="000000"/>
          <w:sz w:val="28"/>
          <w:szCs w:val="28"/>
          <w:lang w:val="tr-TR" w:eastAsia="tr-TR"/>
        </w:rPr>
        <mc:AlternateContent>
          <mc:Choice Requires="wps">
            <w:drawing>
              <wp:anchor distT="0" distB="0" distL="114935" distR="114935" simplePos="0" relativeHeight="251658242" behindDoc="0" locked="0" layoutInCell="1" allowOverlap="1" wp14:anchorId="19FD28A2" wp14:editId="0988A934">
                <wp:simplePos x="0" y="0"/>
                <wp:positionH relativeFrom="margin">
                  <wp:posOffset>5138887</wp:posOffset>
                </wp:positionH>
                <wp:positionV relativeFrom="page">
                  <wp:posOffset>1241760</wp:posOffset>
                </wp:positionV>
                <wp:extent cx="1087120" cy="362309"/>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120" cy="362309"/>
                        </a:xfrm>
                        <a:prstGeom prst="rect">
                          <a:avLst/>
                        </a:prstGeom>
                        <a:solidFill>
                          <a:srgbClr val="FFFFFF">
                            <a:alpha val="0"/>
                          </a:srgbClr>
                        </a:solidFill>
                        <a:ln>
                          <a:noFill/>
                        </a:ln>
                      </wps:spPr>
                      <wps:txbx>
                        <w:txbxContent>
                          <w:p w14:paraId="0CD2D933" w14:textId="00A801D9" w:rsidR="00DF5883" w:rsidRPr="00FE6772" w:rsidRDefault="00AA4EE5" w:rsidP="00DF5883">
                            <w:pPr>
                              <w:jc w:val="center"/>
                              <w:rPr>
                                <w:b/>
                                <w:bCs/>
                                <w:color w:val="FFFFFF" w:themeColor="background1"/>
                              </w:rPr>
                            </w:pPr>
                            <w:r>
                              <w:rPr>
                                <w:b/>
                                <w:bCs/>
                                <w:color w:val="FFFFFF" w:themeColor="background1"/>
                              </w:rPr>
                              <w:t>2</w:t>
                            </w:r>
                            <w:r w:rsidR="00120CF7">
                              <w:rPr>
                                <w:b/>
                                <w:bCs/>
                                <w:color w:val="FFFFFF" w:themeColor="background1"/>
                              </w:rPr>
                              <w:t>3</w:t>
                            </w:r>
                            <w:r w:rsidR="00DF5883" w:rsidRPr="00AA4EE5">
                              <w:rPr>
                                <w:b/>
                                <w:bCs/>
                                <w:color w:val="FFFFFF" w:themeColor="background1"/>
                              </w:rPr>
                              <w:t xml:space="preserve"> </w:t>
                            </w:r>
                            <w:r w:rsidRPr="000F5BF0">
                              <w:rPr>
                                <w:b/>
                                <w:bCs/>
                                <w:color w:val="FFFFFF" w:themeColor="background1"/>
                                <w:lang w:val="tr-TR"/>
                              </w:rPr>
                              <w:t>Ağustos</w:t>
                            </w:r>
                            <w:r w:rsidR="00DF5883" w:rsidRPr="00AA4EE5">
                              <w:rPr>
                                <w:b/>
                                <w:bCs/>
                                <w:color w:val="FFFFFF" w:themeColor="background1"/>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FD28A2" id="Metin Kutusu 18" o:spid="_x0000_s1027" type="#_x0000_t202" style="position:absolute;left:0;text-align:left;margin-left:404.65pt;margin-top:97.8pt;width:85.6pt;height:28.55pt;flip:y;z-index:251658242;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" stroked="f">
                <v:fill opacity="0"/>
                <v:textbox inset="0,0,0,0">
                  <w:txbxContent>
                    <w:p w14:paraId="0CD2D933" w14:textId="00A801D9" w:rsidR="00DF5883" w:rsidRPr="00FE6772" w:rsidRDefault="00AA4EE5" w:rsidP="00DF5883">
                      <w:pPr>
                        <w:jc w:val="center"/>
                        <w:rPr>
                          <w:b/>
                          <w:bCs/>
                          <w:color w:val="FFFFFF" w:themeColor="background1"/>
                        </w:rPr>
                      </w:pPr>
                      <w:r>
                        <w:rPr>
                          <w:b/>
                          <w:bCs/>
                          <w:color w:val="FFFFFF" w:themeColor="background1"/>
                        </w:rPr>
                        <w:t>2</w:t>
                      </w:r>
                      <w:r w:rsidR="00120CF7">
                        <w:rPr>
                          <w:b/>
                          <w:bCs/>
                          <w:color w:val="FFFFFF" w:themeColor="background1"/>
                        </w:rPr>
                        <w:t>3</w:t>
                      </w:r>
                      <w:r w:rsidR="00DF5883" w:rsidRPr="00AA4EE5">
                        <w:rPr>
                          <w:b/>
                          <w:bCs/>
                          <w:color w:val="FFFFFF" w:themeColor="background1"/>
                        </w:rPr>
                        <w:t xml:space="preserve"> </w:t>
                      </w:r>
                      <w:r w:rsidRPr="000F5BF0">
                        <w:rPr>
                          <w:b/>
                          <w:bCs/>
                          <w:color w:val="FFFFFF" w:themeColor="background1"/>
                          <w:lang w:val="tr-TR"/>
                        </w:rPr>
                        <w:t>Ağustos</w:t>
                      </w:r>
                      <w:r w:rsidR="00DF5883" w:rsidRPr="00AA4EE5">
                        <w:rPr>
                          <w:b/>
                          <w:bCs/>
                          <w:color w:val="FFFFFF" w:themeColor="background1"/>
                        </w:rPr>
                        <w:t xml:space="preserve"> 2022</w:t>
                      </w:r>
                    </w:p>
                  </w:txbxContent>
                </v:textbox>
                <w10:wrap anchorx="margin" anchory="page"/>
              </v:shape>
            </w:pict>
          </mc:Fallback>
        </mc:AlternateContent>
      </w:r>
      <w:r w:rsidR="008E26C8" w:rsidRPr="00C00B75">
        <w:rPr>
          <w:rFonts w:ascii="Calibri" w:eastAsia="Calibri" w:hAnsi="Calibri" w:cs="Arial"/>
          <w:b/>
          <w:noProof/>
          <w:color w:val="000000"/>
          <w:sz w:val="28"/>
          <w:szCs w:val="28"/>
          <w:lang w:val="tr-TR" w:eastAsia="tr-TR"/>
        </w:rPr>
        <w:drawing>
          <wp:anchor distT="0" distB="0" distL="114300" distR="114300" simplePos="0" relativeHeight="251658240" behindDoc="1" locked="0" layoutInCell="1" allowOverlap="1" wp14:anchorId="03A38CE6" wp14:editId="428D59FC">
            <wp:simplePos x="0" y="0"/>
            <wp:positionH relativeFrom="margin">
              <wp:posOffset>-724619</wp:posOffset>
            </wp:positionH>
            <wp:positionV relativeFrom="margin">
              <wp:posOffset>-724871</wp:posOffset>
            </wp:positionV>
            <wp:extent cx="7262495" cy="1318260"/>
            <wp:effectExtent l="0" t="0" r="1905" b="2540"/>
            <wp:wrapTight wrapText="bothSides">
              <wp:wrapPolygon edited="0">
                <wp:start x="0" y="0"/>
                <wp:lineTo x="0" y="21434"/>
                <wp:lineTo x="21568" y="21434"/>
                <wp:lineTo x="21568"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a:graphicData>
            </a:graphic>
          </wp:anchor>
        </w:drawing>
      </w:r>
    </w:p>
    <w:p w14:paraId="055DBC1A" w14:textId="1265EA0C" w:rsidR="00C7459D" w:rsidRDefault="00AA4EE5" w:rsidP="00706397">
      <w:pPr>
        <w:jc w:val="center"/>
        <w:rPr>
          <w:b/>
          <w:bCs/>
          <w:sz w:val="28"/>
          <w:szCs w:val="28"/>
          <w:lang w:val="tr-TR"/>
        </w:rPr>
      </w:pPr>
      <w:r>
        <w:rPr>
          <w:b/>
          <w:bCs/>
          <w:sz w:val="28"/>
          <w:szCs w:val="28"/>
          <w:lang w:val="tr-TR"/>
        </w:rPr>
        <w:t>YÜKSEK ENFLASYON ASGARİ ÜCRET ARTIŞINI ERİTTİ</w:t>
      </w:r>
    </w:p>
    <w:p w14:paraId="5A4E446A" w14:textId="631514E8" w:rsidR="000F5BF0" w:rsidRPr="000F5BF0" w:rsidRDefault="000F5BF0" w:rsidP="000F5BF0">
      <w:pPr>
        <w:spacing w:after="360"/>
        <w:jc w:val="center"/>
        <w:rPr>
          <w:rFonts w:cs="Arial"/>
          <w:b/>
          <w:bCs/>
          <w:sz w:val="20"/>
          <w:szCs w:val="20"/>
          <w:lang w:val="tr-TR"/>
        </w:rPr>
      </w:pPr>
      <w:r w:rsidRPr="000F5BF0">
        <w:rPr>
          <w:rFonts w:cs="Arial"/>
          <w:b/>
          <w:bCs/>
          <w:sz w:val="20"/>
          <w:szCs w:val="20"/>
          <w:lang w:val="tr-TR"/>
        </w:rPr>
        <w:t>Seyfettin Gürsel</w:t>
      </w:r>
      <w:r w:rsidRPr="000F5BF0">
        <w:rPr>
          <w:rStyle w:val="FootnoteReference"/>
          <w:rFonts w:cs="Arial"/>
          <w:b/>
          <w:bCs/>
          <w:sz w:val="20"/>
          <w:szCs w:val="20"/>
          <w:lang w:val="tr-TR"/>
        </w:rPr>
        <w:footnoteReference w:customMarkFollows="1" w:id="2"/>
        <w:t>*</w:t>
      </w:r>
      <w:r w:rsidRPr="000F5BF0">
        <w:rPr>
          <w:rFonts w:cs="Arial"/>
          <w:b/>
          <w:bCs/>
          <w:sz w:val="20"/>
          <w:szCs w:val="20"/>
          <w:lang w:val="tr-TR"/>
        </w:rPr>
        <w:t>, Ozan Bakış</w:t>
      </w:r>
      <w:r w:rsidRPr="000F5BF0">
        <w:rPr>
          <w:rStyle w:val="FootnoteReference"/>
          <w:rFonts w:cs="Arial"/>
          <w:b/>
          <w:bCs/>
          <w:sz w:val="20"/>
          <w:szCs w:val="20"/>
          <w:lang w:val="tr-TR"/>
        </w:rPr>
        <w:footnoteReference w:customMarkFollows="1" w:id="3"/>
        <w:t xml:space="preserve">** </w:t>
      </w:r>
      <w:r w:rsidRPr="000F5BF0">
        <w:rPr>
          <w:rFonts w:cs="Arial"/>
          <w:b/>
          <w:bCs/>
          <w:sz w:val="20"/>
          <w:szCs w:val="20"/>
          <w:lang w:val="tr-TR"/>
        </w:rPr>
        <w:t>,</w:t>
      </w:r>
      <w:bookmarkStart w:id="0" w:name="_Hlk66438502"/>
      <w:r w:rsidRPr="000F5BF0">
        <w:rPr>
          <w:rFonts w:cs="Arial"/>
          <w:b/>
          <w:bCs/>
          <w:sz w:val="20"/>
          <w:szCs w:val="20"/>
          <w:lang w:val="tr-TR"/>
        </w:rPr>
        <w:t>Hamza Mutluay</w:t>
      </w:r>
      <w:r w:rsidRPr="000F5BF0">
        <w:rPr>
          <w:rStyle w:val="FootnoteReference"/>
          <w:rFonts w:cs="Arial"/>
          <w:b/>
          <w:bCs/>
          <w:sz w:val="20"/>
          <w:szCs w:val="20"/>
          <w:lang w:val="tr-TR"/>
        </w:rPr>
        <w:footnoteReference w:customMarkFollows="1" w:id="4"/>
        <w:t>***</w:t>
      </w:r>
      <w:bookmarkEnd w:id="0"/>
    </w:p>
    <w:p w14:paraId="67CEAFA3" w14:textId="29471545" w:rsidR="00685013" w:rsidRDefault="00685013" w:rsidP="006F4155">
      <w:pPr>
        <w:spacing w:after="360"/>
        <w:jc w:val="center"/>
        <w:rPr>
          <w:b/>
          <w:bCs/>
          <w:sz w:val="24"/>
          <w:szCs w:val="24"/>
          <w:lang w:val="tr-TR"/>
        </w:rPr>
      </w:pPr>
      <w:r>
        <w:rPr>
          <w:b/>
          <w:bCs/>
          <w:sz w:val="24"/>
          <w:szCs w:val="24"/>
          <w:lang w:val="tr-TR"/>
        </w:rPr>
        <w:t>Yönetici Özeti</w:t>
      </w:r>
    </w:p>
    <w:p w14:paraId="01630B00" w14:textId="1ADB61CE" w:rsidR="001C581A" w:rsidRPr="001C581A" w:rsidRDefault="001C581A" w:rsidP="00AB7CC4">
      <w:pPr>
        <w:spacing w:after="120" w:line="360" w:lineRule="auto"/>
        <w:jc w:val="both"/>
        <w:rPr>
          <w:sz w:val="24"/>
          <w:lang w:val="tr-TR"/>
        </w:rPr>
      </w:pPr>
      <w:r w:rsidRPr="001C581A">
        <w:rPr>
          <w:sz w:val="24"/>
          <w:lang w:val="tr-TR"/>
        </w:rPr>
        <w:t xml:space="preserve">Bu araştırma notunda 2022 yılının </w:t>
      </w:r>
      <w:r w:rsidR="00A47B43">
        <w:rPr>
          <w:sz w:val="24"/>
          <w:lang w:val="tr-TR"/>
        </w:rPr>
        <w:t>O</w:t>
      </w:r>
      <w:bookmarkStart w:id="1" w:name="_GoBack"/>
      <w:bookmarkEnd w:id="1"/>
      <w:r w:rsidRPr="001C581A">
        <w:rPr>
          <w:sz w:val="24"/>
          <w:lang w:val="tr-TR"/>
        </w:rPr>
        <w:t xml:space="preserve">cak ayı ile birlikte yılın ilk yarısında geçerli olan asgari ücret artışının bireylerin satın alma gücü üzerindeki etkisi, Ocak 2016 yılındaki asgari ücret artışı ile karşılaştırmalı olarak incelenmektedir. Asgari ücret artışı, tüketicileri fiyat artışlarına karşı koruyup alım gücünü arttırsa da veriler son dönemlerde enflasyon oranlarında görülen çarpıcı artışlar sonucunda 2022 yılının ilk yarısında yapılan zammın çok </w:t>
      </w:r>
      <w:r w:rsidR="00FF2D5D">
        <w:rPr>
          <w:sz w:val="24"/>
          <w:lang w:val="tr-TR"/>
        </w:rPr>
        <w:t>büyük</w:t>
      </w:r>
      <w:r w:rsidRPr="001C581A">
        <w:rPr>
          <w:sz w:val="24"/>
          <w:lang w:val="tr-TR"/>
        </w:rPr>
        <w:t xml:space="preserve"> oranda eridiğini göstermektedir. Özellikle yoksul kesimin tüketim sepetinde büyük yer kaplayan gıda, elektrik, gaz ve diğer yakıtlar kaleminde görülen çarpıcı fiyat artışlarının yılın ilk yarısında asgar</w:t>
      </w:r>
      <w:r w:rsidR="00E872D9">
        <w:rPr>
          <w:sz w:val="24"/>
          <w:lang w:val="tr-TR"/>
        </w:rPr>
        <w:t>i ücret</w:t>
      </w:r>
      <w:r w:rsidR="00FF2D5D">
        <w:rPr>
          <w:sz w:val="24"/>
          <w:lang w:val="tr-TR"/>
        </w:rPr>
        <w:t>teki artışı</w:t>
      </w:r>
      <w:r w:rsidR="00E872D9">
        <w:rPr>
          <w:sz w:val="24"/>
          <w:lang w:val="tr-TR"/>
        </w:rPr>
        <w:t xml:space="preserve"> büyük </w:t>
      </w:r>
      <w:r w:rsidR="00FF2D5D">
        <w:rPr>
          <w:sz w:val="24"/>
          <w:lang w:val="tr-TR"/>
        </w:rPr>
        <w:t>ölçüde erittiği görülmektedir.</w:t>
      </w:r>
      <w:r w:rsidRPr="001C581A">
        <w:rPr>
          <w:sz w:val="24"/>
          <w:lang w:val="tr-TR"/>
        </w:rPr>
        <w:t xml:space="preserve"> </w:t>
      </w:r>
    </w:p>
    <w:p w14:paraId="6EC11C2E" w14:textId="311B9306" w:rsidR="001C581A" w:rsidRPr="001C581A" w:rsidRDefault="001C581A" w:rsidP="001C581A">
      <w:pPr>
        <w:spacing w:line="360" w:lineRule="auto"/>
        <w:jc w:val="both"/>
        <w:rPr>
          <w:sz w:val="24"/>
          <w:lang w:val="tr-TR"/>
        </w:rPr>
      </w:pPr>
      <w:r w:rsidRPr="001C581A">
        <w:rPr>
          <w:sz w:val="24"/>
          <w:lang w:val="tr-TR"/>
        </w:rPr>
        <w:t xml:space="preserve">Enflasyonun yıkıcı etkisini </w:t>
      </w:r>
      <w:r w:rsidR="00FF2D5D">
        <w:rPr>
          <w:sz w:val="24"/>
          <w:lang w:val="tr-TR"/>
        </w:rPr>
        <w:t>az da olsa</w:t>
      </w:r>
      <w:r w:rsidRPr="001C581A">
        <w:rPr>
          <w:sz w:val="24"/>
          <w:lang w:val="tr-TR"/>
        </w:rPr>
        <w:t xml:space="preserve"> bertaraf etmek için hükümet 1 Temmuz’dan itibaren geçerli olmak üzere asgari ücrette ara zamma gitmiştir. 4</w:t>
      </w:r>
      <w:r w:rsidR="008B1E55">
        <w:rPr>
          <w:sz w:val="24"/>
          <w:lang w:val="tr-TR"/>
        </w:rPr>
        <w:t>.</w:t>
      </w:r>
      <w:r w:rsidRPr="001C581A">
        <w:rPr>
          <w:sz w:val="24"/>
          <w:lang w:val="tr-TR"/>
        </w:rPr>
        <w:t>253 TL olan asgari ücret yaklaşık yüzde 30’luk nominal artışla 5</w:t>
      </w:r>
      <w:r w:rsidR="008B1E55">
        <w:rPr>
          <w:sz w:val="24"/>
          <w:lang w:val="tr-TR"/>
        </w:rPr>
        <w:t>.</w:t>
      </w:r>
      <w:r w:rsidRPr="001C581A">
        <w:rPr>
          <w:sz w:val="24"/>
          <w:lang w:val="tr-TR"/>
        </w:rPr>
        <w:t>500 TL’ye yükselmiştir. Yeni asgari ücret artışının temmuz ayından itibaren geçerli olması sebebiyle henüz elimizde yeterli veri olmadığı için tablo ve grafiklerde kullandığımız verilerin son gözlem noktası Haziran ayıdır. İlerleyen dönemlerde bu yapılan ara zammın etkileri Betam tarafından incelenerek araştırma notu güncellenecektir.</w:t>
      </w:r>
    </w:p>
    <w:p w14:paraId="0B0471EC" w14:textId="08DEC8C7" w:rsidR="001C581A" w:rsidRPr="00345660" w:rsidRDefault="001C581A" w:rsidP="00DE156B">
      <w:pPr>
        <w:rPr>
          <w:b/>
          <w:sz w:val="28"/>
          <w:lang w:val="tr-TR"/>
        </w:rPr>
      </w:pPr>
      <w:r w:rsidRPr="00345660">
        <w:rPr>
          <w:b/>
          <w:sz w:val="28"/>
          <w:lang w:val="tr-TR"/>
        </w:rPr>
        <w:t xml:space="preserve">Asgari ücret ve altında kazananların </w:t>
      </w:r>
      <w:r w:rsidR="008B1E55">
        <w:rPr>
          <w:b/>
          <w:sz w:val="28"/>
          <w:lang w:val="tr-TR"/>
        </w:rPr>
        <w:t>ağırlığı</w:t>
      </w:r>
    </w:p>
    <w:p w14:paraId="20C59CC2" w14:textId="5CAD93A6" w:rsidR="001C581A" w:rsidRPr="000F5BF0" w:rsidRDefault="001C581A" w:rsidP="00AA5582">
      <w:pPr>
        <w:spacing w:after="120" w:line="360" w:lineRule="auto"/>
        <w:jc w:val="both"/>
        <w:rPr>
          <w:sz w:val="24"/>
          <w:lang w:val="tr-TR"/>
        </w:rPr>
      </w:pPr>
      <w:r w:rsidRPr="000F5BF0">
        <w:rPr>
          <w:sz w:val="24"/>
          <w:lang w:val="tr-TR"/>
        </w:rPr>
        <w:t xml:space="preserve">Tablo 1 asgari ücret ve altında kazananların oranının yıllar içindeki seyrini göstermektedir. Yıllar içinde değişkenlik olmakla birlikte, yaklaşık olarak her üç çalışandan birinin asgari ücret veya altında ücret geliri elde ettiği görülmektedir. </w:t>
      </w:r>
      <w:r w:rsidR="00D346F4">
        <w:rPr>
          <w:sz w:val="24"/>
          <w:lang w:val="tr-TR"/>
        </w:rPr>
        <w:t>Kayıt</w:t>
      </w:r>
      <w:r w:rsidRPr="000F5BF0">
        <w:rPr>
          <w:sz w:val="24"/>
          <w:lang w:val="tr-TR"/>
        </w:rPr>
        <w:t xml:space="preserve"> dışı çalışanlar için bu oran çok daha yüksektir (yaklaşık olarak yüzde 60). Öte yandan kayıtlı çalışanlarda ise son yıllarda bu oranın</w:t>
      </w:r>
      <w:r w:rsidRPr="00FF2D5D">
        <w:rPr>
          <w:sz w:val="24"/>
          <w:lang w:val="tr-TR"/>
        </w:rPr>
        <w:t xml:space="preserve"> </w:t>
      </w:r>
      <w:r w:rsidRPr="000F5BF0">
        <w:rPr>
          <w:sz w:val="24"/>
          <w:lang w:val="tr-TR"/>
        </w:rPr>
        <w:t xml:space="preserve">artış eğiliminde olduğu dikkat çekmektedir. 2021 yılında asgari ücret ve altında kazananların </w:t>
      </w:r>
      <w:r w:rsidRPr="000F5BF0">
        <w:rPr>
          <w:sz w:val="24"/>
          <w:lang w:val="tr-TR"/>
        </w:rPr>
        <w:lastRenderedPageBreak/>
        <w:t>oranı toplamda yüzde 33,6, kayıtlı ve kayıt dışı çalışanlarda ise sırasıyla yüzde 29,9 ve yüzde 61’dir. Asgari ücretin kayıt dışı istihdamda bir nevi referans ücret olarak alındığı düşünüldüğünde Türkiye’de ücretli çalışanların büyük bir çoğunluğu</w:t>
      </w:r>
      <w:r w:rsidR="001E5372" w:rsidRPr="008B1E55">
        <w:rPr>
          <w:sz w:val="24"/>
          <w:lang w:val="tr-TR"/>
        </w:rPr>
        <w:t>nun</w:t>
      </w:r>
      <w:r w:rsidRPr="000F5BF0">
        <w:rPr>
          <w:sz w:val="24"/>
          <w:lang w:val="tr-TR"/>
        </w:rPr>
        <w:t xml:space="preserve"> asgari ücret </w:t>
      </w:r>
      <w:r w:rsidR="001E5372" w:rsidRPr="008B1E55">
        <w:rPr>
          <w:sz w:val="24"/>
          <w:lang w:val="tr-TR"/>
        </w:rPr>
        <w:t>artışlarından</w:t>
      </w:r>
      <w:r w:rsidR="001E5372">
        <w:rPr>
          <w:sz w:val="24"/>
          <w:lang w:val="tr-TR"/>
        </w:rPr>
        <w:t xml:space="preserve"> </w:t>
      </w:r>
      <w:r w:rsidRPr="000F5BF0">
        <w:rPr>
          <w:sz w:val="24"/>
          <w:lang w:val="tr-TR"/>
        </w:rPr>
        <w:t xml:space="preserve">önemli ölçüde etkilendiği rahatlıkla söylenebilir. </w:t>
      </w:r>
    </w:p>
    <w:p w14:paraId="552856F3" w14:textId="77777777" w:rsidR="001C581A" w:rsidRPr="000F5BF0" w:rsidRDefault="001C581A" w:rsidP="001C581A">
      <w:pPr>
        <w:spacing w:after="0" w:line="360" w:lineRule="auto"/>
        <w:jc w:val="both"/>
        <w:rPr>
          <w:b/>
          <w:lang w:val="tr-TR"/>
        </w:rPr>
      </w:pPr>
      <w:r w:rsidRPr="000F5BF0">
        <w:rPr>
          <w:b/>
          <w:lang w:val="tr-TR"/>
        </w:rPr>
        <w:t>Tablo 1: Asgari ücret ve altında kazananların oranı (%, 2004-2021)</w:t>
      </w:r>
    </w:p>
    <w:tbl>
      <w:tblPr>
        <w:tblW w:w="5880" w:type="dxa"/>
        <w:tblCellMar>
          <w:left w:w="70" w:type="dxa"/>
          <w:right w:w="70" w:type="dxa"/>
        </w:tblCellMar>
        <w:tblLook w:val="04A0" w:firstRow="1" w:lastRow="0" w:firstColumn="1" w:lastColumn="0" w:noHBand="0" w:noVBand="1"/>
      </w:tblPr>
      <w:tblGrid>
        <w:gridCol w:w="1470"/>
        <w:gridCol w:w="1470"/>
        <w:gridCol w:w="1470"/>
        <w:gridCol w:w="1470"/>
      </w:tblGrid>
      <w:tr w:rsidR="001C581A" w:rsidRPr="000C3601" w14:paraId="4DD1F52B"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079C8D49" w14:textId="77777777" w:rsidR="001C581A" w:rsidRPr="000C3601" w:rsidRDefault="001C581A" w:rsidP="00023E99">
            <w:pPr>
              <w:spacing w:after="0" w:line="240" w:lineRule="auto"/>
              <w:rPr>
                <w:rFonts w:eastAsia="Times New Roman" w:cstheme="minorHAnsi"/>
                <w:sz w:val="24"/>
                <w:szCs w:val="24"/>
                <w:lang w:val="tr-TR" w:eastAsia="tr-TR"/>
              </w:rPr>
            </w:pPr>
          </w:p>
        </w:tc>
        <w:tc>
          <w:tcPr>
            <w:tcW w:w="1470" w:type="dxa"/>
            <w:tcBorders>
              <w:top w:val="single" w:sz="4" w:space="0" w:color="auto"/>
              <w:left w:val="nil"/>
              <w:bottom w:val="single" w:sz="4" w:space="0" w:color="auto"/>
              <w:right w:val="nil"/>
            </w:tcBorders>
            <w:shd w:val="clear" w:color="auto" w:fill="auto"/>
            <w:noWrap/>
            <w:vAlign w:val="bottom"/>
            <w:hideMark/>
          </w:tcPr>
          <w:p w14:paraId="1BE4D74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Toplam</w:t>
            </w:r>
          </w:p>
        </w:tc>
        <w:tc>
          <w:tcPr>
            <w:tcW w:w="1470" w:type="dxa"/>
            <w:tcBorders>
              <w:top w:val="single" w:sz="4" w:space="0" w:color="auto"/>
              <w:left w:val="nil"/>
              <w:bottom w:val="single" w:sz="4" w:space="0" w:color="auto"/>
              <w:right w:val="nil"/>
            </w:tcBorders>
            <w:shd w:val="clear" w:color="auto" w:fill="auto"/>
            <w:noWrap/>
            <w:vAlign w:val="bottom"/>
            <w:hideMark/>
          </w:tcPr>
          <w:p w14:paraId="35247E23"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Kayıtlı</w:t>
            </w:r>
          </w:p>
        </w:tc>
        <w:tc>
          <w:tcPr>
            <w:tcW w:w="1470" w:type="dxa"/>
            <w:tcBorders>
              <w:top w:val="single" w:sz="4" w:space="0" w:color="auto"/>
              <w:left w:val="nil"/>
              <w:bottom w:val="single" w:sz="4" w:space="0" w:color="auto"/>
              <w:right w:val="nil"/>
            </w:tcBorders>
            <w:shd w:val="clear" w:color="auto" w:fill="auto"/>
            <w:noWrap/>
            <w:vAlign w:val="bottom"/>
            <w:hideMark/>
          </w:tcPr>
          <w:p w14:paraId="5407E466"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Kayıt Dışı</w:t>
            </w:r>
          </w:p>
        </w:tc>
      </w:tr>
      <w:tr w:rsidR="001C581A" w:rsidRPr="000C3601" w14:paraId="0D83B02A" w14:textId="77777777" w:rsidTr="000F5BF0">
        <w:trPr>
          <w:trHeight w:val="261"/>
        </w:trPr>
        <w:tc>
          <w:tcPr>
            <w:tcW w:w="1470" w:type="dxa"/>
            <w:tcBorders>
              <w:top w:val="single" w:sz="4" w:space="0" w:color="auto"/>
              <w:left w:val="nil"/>
              <w:bottom w:val="single" w:sz="4" w:space="0" w:color="auto"/>
              <w:right w:val="nil"/>
            </w:tcBorders>
            <w:shd w:val="clear" w:color="auto" w:fill="auto"/>
            <w:noWrap/>
            <w:vAlign w:val="bottom"/>
            <w:hideMark/>
          </w:tcPr>
          <w:p w14:paraId="0AB763D7"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2004</w:t>
            </w:r>
          </w:p>
        </w:tc>
        <w:tc>
          <w:tcPr>
            <w:tcW w:w="1470" w:type="dxa"/>
            <w:tcBorders>
              <w:top w:val="single" w:sz="4" w:space="0" w:color="auto"/>
              <w:left w:val="nil"/>
              <w:bottom w:val="single" w:sz="4" w:space="0" w:color="auto"/>
              <w:right w:val="nil"/>
            </w:tcBorders>
            <w:shd w:val="clear" w:color="auto" w:fill="auto"/>
            <w:noWrap/>
            <w:vAlign w:val="bottom"/>
            <w:hideMark/>
          </w:tcPr>
          <w:p w14:paraId="387DF431"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41.6</w:t>
            </w:r>
          </w:p>
        </w:tc>
        <w:tc>
          <w:tcPr>
            <w:tcW w:w="1470" w:type="dxa"/>
            <w:tcBorders>
              <w:top w:val="single" w:sz="4" w:space="0" w:color="auto"/>
              <w:left w:val="nil"/>
              <w:bottom w:val="single" w:sz="4" w:space="0" w:color="auto"/>
              <w:right w:val="nil"/>
            </w:tcBorders>
            <w:shd w:val="clear" w:color="auto" w:fill="auto"/>
            <w:noWrap/>
            <w:vAlign w:val="bottom"/>
            <w:hideMark/>
          </w:tcPr>
          <w:p w14:paraId="530DC169"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28.7</w:t>
            </w:r>
          </w:p>
        </w:tc>
        <w:tc>
          <w:tcPr>
            <w:tcW w:w="1470" w:type="dxa"/>
            <w:tcBorders>
              <w:top w:val="single" w:sz="4" w:space="0" w:color="auto"/>
              <w:left w:val="nil"/>
              <w:bottom w:val="single" w:sz="4" w:space="0" w:color="auto"/>
              <w:right w:val="nil"/>
            </w:tcBorders>
            <w:shd w:val="clear" w:color="auto" w:fill="auto"/>
            <w:noWrap/>
            <w:vAlign w:val="bottom"/>
            <w:hideMark/>
          </w:tcPr>
          <w:p w14:paraId="51C1A92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69.5</w:t>
            </w:r>
          </w:p>
        </w:tc>
      </w:tr>
      <w:tr w:rsidR="001C581A" w:rsidRPr="000C3601" w14:paraId="5A77EE9F"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1009F10F"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2005</w:t>
            </w:r>
          </w:p>
        </w:tc>
        <w:tc>
          <w:tcPr>
            <w:tcW w:w="1470" w:type="dxa"/>
            <w:tcBorders>
              <w:top w:val="single" w:sz="4" w:space="0" w:color="auto"/>
              <w:left w:val="nil"/>
              <w:bottom w:val="single" w:sz="4" w:space="0" w:color="auto"/>
              <w:right w:val="nil"/>
            </w:tcBorders>
            <w:shd w:val="clear" w:color="auto" w:fill="auto"/>
            <w:noWrap/>
            <w:vAlign w:val="bottom"/>
            <w:hideMark/>
          </w:tcPr>
          <w:p w14:paraId="68718FF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33.0</w:t>
            </w:r>
          </w:p>
        </w:tc>
        <w:tc>
          <w:tcPr>
            <w:tcW w:w="1470" w:type="dxa"/>
            <w:tcBorders>
              <w:top w:val="single" w:sz="4" w:space="0" w:color="auto"/>
              <w:left w:val="nil"/>
              <w:bottom w:val="single" w:sz="4" w:space="0" w:color="auto"/>
              <w:right w:val="nil"/>
            </w:tcBorders>
            <w:shd w:val="clear" w:color="auto" w:fill="auto"/>
            <w:noWrap/>
            <w:vAlign w:val="bottom"/>
            <w:hideMark/>
          </w:tcPr>
          <w:p w14:paraId="67AC9D17"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21.7</w:t>
            </w:r>
          </w:p>
        </w:tc>
        <w:tc>
          <w:tcPr>
            <w:tcW w:w="1470" w:type="dxa"/>
            <w:tcBorders>
              <w:top w:val="single" w:sz="4" w:space="0" w:color="auto"/>
              <w:left w:val="nil"/>
              <w:bottom w:val="single" w:sz="4" w:space="0" w:color="auto"/>
              <w:right w:val="nil"/>
            </w:tcBorders>
            <w:shd w:val="clear" w:color="auto" w:fill="auto"/>
            <w:noWrap/>
            <w:vAlign w:val="bottom"/>
            <w:hideMark/>
          </w:tcPr>
          <w:p w14:paraId="64137B8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57.8</w:t>
            </w:r>
          </w:p>
        </w:tc>
      </w:tr>
      <w:tr w:rsidR="001C581A" w:rsidRPr="000C3601" w14:paraId="6B694935"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460A2327"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2006</w:t>
            </w:r>
          </w:p>
        </w:tc>
        <w:tc>
          <w:tcPr>
            <w:tcW w:w="1470" w:type="dxa"/>
            <w:tcBorders>
              <w:top w:val="single" w:sz="4" w:space="0" w:color="auto"/>
              <w:left w:val="nil"/>
              <w:bottom w:val="single" w:sz="4" w:space="0" w:color="auto"/>
              <w:right w:val="nil"/>
            </w:tcBorders>
            <w:shd w:val="clear" w:color="auto" w:fill="auto"/>
            <w:noWrap/>
            <w:vAlign w:val="bottom"/>
            <w:hideMark/>
          </w:tcPr>
          <w:p w14:paraId="0DF35D66"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33.2</w:t>
            </w:r>
          </w:p>
        </w:tc>
        <w:tc>
          <w:tcPr>
            <w:tcW w:w="1470" w:type="dxa"/>
            <w:tcBorders>
              <w:top w:val="single" w:sz="4" w:space="0" w:color="auto"/>
              <w:left w:val="nil"/>
              <w:bottom w:val="single" w:sz="4" w:space="0" w:color="auto"/>
              <w:right w:val="nil"/>
            </w:tcBorders>
            <w:shd w:val="clear" w:color="auto" w:fill="auto"/>
            <w:noWrap/>
            <w:vAlign w:val="bottom"/>
            <w:hideMark/>
          </w:tcPr>
          <w:p w14:paraId="4C52B772"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22.5</w:t>
            </w:r>
          </w:p>
        </w:tc>
        <w:tc>
          <w:tcPr>
            <w:tcW w:w="1470" w:type="dxa"/>
            <w:tcBorders>
              <w:top w:val="single" w:sz="4" w:space="0" w:color="auto"/>
              <w:left w:val="nil"/>
              <w:bottom w:val="single" w:sz="4" w:space="0" w:color="auto"/>
              <w:right w:val="nil"/>
            </w:tcBorders>
            <w:shd w:val="clear" w:color="auto" w:fill="auto"/>
            <w:noWrap/>
            <w:vAlign w:val="bottom"/>
            <w:hideMark/>
          </w:tcPr>
          <w:p w14:paraId="1C545C6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57.7</w:t>
            </w:r>
          </w:p>
        </w:tc>
      </w:tr>
      <w:tr w:rsidR="001C581A" w:rsidRPr="000C3601" w14:paraId="142C5C19"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412A7123"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2007</w:t>
            </w:r>
          </w:p>
        </w:tc>
        <w:tc>
          <w:tcPr>
            <w:tcW w:w="1470" w:type="dxa"/>
            <w:tcBorders>
              <w:top w:val="single" w:sz="4" w:space="0" w:color="auto"/>
              <w:left w:val="nil"/>
              <w:bottom w:val="single" w:sz="4" w:space="0" w:color="auto"/>
              <w:right w:val="nil"/>
            </w:tcBorders>
            <w:shd w:val="clear" w:color="auto" w:fill="auto"/>
            <w:noWrap/>
            <w:vAlign w:val="bottom"/>
            <w:hideMark/>
          </w:tcPr>
          <w:p w14:paraId="1443215C"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29.2</w:t>
            </w:r>
          </w:p>
        </w:tc>
        <w:tc>
          <w:tcPr>
            <w:tcW w:w="1470" w:type="dxa"/>
            <w:tcBorders>
              <w:top w:val="single" w:sz="4" w:space="0" w:color="auto"/>
              <w:left w:val="nil"/>
              <w:bottom w:val="single" w:sz="4" w:space="0" w:color="auto"/>
              <w:right w:val="nil"/>
            </w:tcBorders>
            <w:shd w:val="clear" w:color="auto" w:fill="auto"/>
            <w:noWrap/>
            <w:vAlign w:val="bottom"/>
            <w:hideMark/>
          </w:tcPr>
          <w:p w14:paraId="6E63917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20.3</w:t>
            </w:r>
          </w:p>
        </w:tc>
        <w:tc>
          <w:tcPr>
            <w:tcW w:w="1470" w:type="dxa"/>
            <w:tcBorders>
              <w:top w:val="single" w:sz="4" w:space="0" w:color="auto"/>
              <w:left w:val="nil"/>
              <w:bottom w:val="single" w:sz="4" w:space="0" w:color="auto"/>
              <w:right w:val="nil"/>
            </w:tcBorders>
            <w:shd w:val="clear" w:color="auto" w:fill="auto"/>
            <w:noWrap/>
            <w:vAlign w:val="bottom"/>
            <w:hideMark/>
          </w:tcPr>
          <w:p w14:paraId="7CD1B57C"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52.0</w:t>
            </w:r>
          </w:p>
        </w:tc>
      </w:tr>
      <w:tr w:rsidR="001C581A" w:rsidRPr="000C3601" w14:paraId="0F080854"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04D5DCEA"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2008</w:t>
            </w:r>
          </w:p>
        </w:tc>
        <w:tc>
          <w:tcPr>
            <w:tcW w:w="1470" w:type="dxa"/>
            <w:tcBorders>
              <w:top w:val="single" w:sz="4" w:space="0" w:color="auto"/>
              <w:left w:val="nil"/>
              <w:bottom w:val="single" w:sz="4" w:space="0" w:color="auto"/>
              <w:right w:val="nil"/>
            </w:tcBorders>
            <w:shd w:val="clear" w:color="auto" w:fill="auto"/>
            <w:noWrap/>
            <w:vAlign w:val="bottom"/>
            <w:hideMark/>
          </w:tcPr>
          <w:p w14:paraId="1B88A878"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28.6</w:t>
            </w:r>
          </w:p>
        </w:tc>
        <w:tc>
          <w:tcPr>
            <w:tcW w:w="1470" w:type="dxa"/>
            <w:tcBorders>
              <w:top w:val="single" w:sz="4" w:space="0" w:color="auto"/>
              <w:left w:val="nil"/>
              <w:bottom w:val="single" w:sz="4" w:space="0" w:color="auto"/>
              <w:right w:val="nil"/>
            </w:tcBorders>
            <w:shd w:val="clear" w:color="auto" w:fill="auto"/>
            <w:noWrap/>
            <w:vAlign w:val="bottom"/>
            <w:hideMark/>
          </w:tcPr>
          <w:p w14:paraId="64B3C48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19.9</w:t>
            </w:r>
          </w:p>
        </w:tc>
        <w:tc>
          <w:tcPr>
            <w:tcW w:w="1470" w:type="dxa"/>
            <w:tcBorders>
              <w:top w:val="single" w:sz="4" w:space="0" w:color="auto"/>
              <w:left w:val="nil"/>
              <w:bottom w:val="single" w:sz="4" w:space="0" w:color="auto"/>
              <w:right w:val="nil"/>
            </w:tcBorders>
            <w:shd w:val="clear" w:color="auto" w:fill="auto"/>
            <w:noWrap/>
            <w:vAlign w:val="bottom"/>
            <w:hideMark/>
          </w:tcPr>
          <w:p w14:paraId="5F8867E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54.6</w:t>
            </w:r>
          </w:p>
        </w:tc>
      </w:tr>
      <w:tr w:rsidR="001C581A" w:rsidRPr="000C3601" w14:paraId="4432561E"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42344373"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2009</w:t>
            </w:r>
          </w:p>
        </w:tc>
        <w:tc>
          <w:tcPr>
            <w:tcW w:w="1470" w:type="dxa"/>
            <w:tcBorders>
              <w:top w:val="single" w:sz="4" w:space="0" w:color="auto"/>
              <w:left w:val="nil"/>
              <w:bottom w:val="single" w:sz="4" w:space="0" w:color="auto"/>
              <w:right w:val="nil"/>
            </w:tcBorders>
            <w:shd w:val="clear" w:color="auto" w:fill="auto"/>
            <w:noWrap/>
            <w:vAlign w:val="bottom"/>
            <w:hideMark/>
          </w:tcPr>
          <w:p w14:paraId="6A0C70C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25.5</w:t>
            </w:r>
          </w:p>
        </w:tc>
        <w:tc>
          <w:tcPr>
            <w:tcW w:w="1470" w:type="dxa"/>
            <w:tcBorders>
              <w:top w:val="single" w:sz="4" w:space="0" w:color="auto"/>
              <w:left w:val="nil"/>
              <w:bottom w:val="single" w:sz="4" w:space="0" w:color="auto"/>
              <w:right w:val="nil"/>
            </w:tcBorders>
            <w:shd w:val="clear" w:color="auto" w:fill="auto"/>
            <w:noWrap/>
            <w:vAlign w:val="bottom"/>
            <w:hideMark/>
          </w:tcPr>
          <w:p w14:paraId="7A50B3D3"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17.9</w:t>
            </w:r>
          </w:p>
        </w:tc>
        <w:tc>
          <w:tcPr>
            <w:tcW w:w="1470" w:type="dxa"/>
            <w:tcBorders>
              <w:top w:val="single" w:sz="4" w:space="0" w:color="auto"/>
              <w:left w:val="nil"/>
              <w:bottom w:val="single" w:sz="4" w:space="0" w:color="auto"/>
              <w:right w:val="nil"/>
            </w:tcBorders>
            <w:shd w:val="clear" w:color="auto" w:fill="auto"/>
            <w:noWrap/>
            <w:vAlign w:val="bottom"/>
            <w:hideMark/>
          </w:tcPr>
          <w:p w14:paraId="050FA4C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48.8</w:t>
            </w:r>
          </w:p>
        </w:tc>
      </w:tr>
      <w:tr w:rsidR="001C581A" w:rsidRPr="000C3601" w14:paraId="1D26EB61"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5A1E8A39"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2010</w:t>
            </w:r>
          </w:p>
        </w:tc>
        <w:tc>
          <w:tcPr>
            <w:tcW w:w="1470" w:type="dxa"/>
            <w:tcBorders>
              <w:top w:val="single" w:sz="4" w:space="0" w:color="auto"/>
              <w:left w:val="nil"/>
              <w:bottom w:val="single" w:sz="4" w:space="0" w:color="auto"/>
              <w:right w:val="nil"/>
            </w:tcBorders>
            <w:shd w:val="clear" w:color="auto" w:fill="auto"/>
            <w:noWrap/>
            <w:vAlign w:val="bottom"/>
            <w:hideMark/>
          </w:tcPr>
          <w:p w14:paraId="60A997E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28.0</w:t>
            </w:r>
          </w:p>
        </w:tc>
        <w:tc>
          <w:tcPr>
            <w:tcW w:w="1470" w:type="dxa"/>
            <w:tcBorders>
              <w:top w:val="single" w:sz="4" w:space="0" w:color="auto"/>
              <w:left w:val="nil"/>
              <w:bottom w:val="single" w:sz="4" w:space="0" w:color="auto"/>
              <w:right w:val="nil"/>
            </w:tcBorders>
            <w:shd w:val="clear" w:color="auto" w:fill="auto"/>
            <w:noWrap/>
            <w:vAlign w:val="bottom"/>
            <w:hideMark/>
          </w:tcPr>
          <w:p w14:paraId="65365C87"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19.7</w:t>
            </w:r>
          </w:p>
        </w:tc>
        <w:tc>
          <w:tcPr>
            <w:tcW w:w="1470" w:type="dxa"/>
            <w:tcBorders>
              <w:top w:val="single" w:sz="4" w:space="0" w:color="auto"/>
              <w:left w:val="nil"/>
              <w:bottom w:val="single" w:sz="4" w:space="0" w:color="auto"/>
              <w:right w:val="nil"/>
            </w:tcBorders>
            <w:shd w:val="clear" w:color="auto" w:fill="auto"/>
            <w:noWrap/>
            <w:vAlign w:val="bottom"/>
            <w:hideMark/>
          </w:tcPr>
          <w:p w14:paraId="7188836D"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54.2</w:t>
            </w:r>
          </w:p>
        </w:tc>
      </w:tr>
      <w:tr w:rsidR="001C581A" w:rsidRPr="000C3601" w14:paraId="6D9A7738"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7920A899"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2011</w:t>
            </w:r>
          </w:p>
        </w:tc>
        <w:tc>
          <w:tcPr>
            <w:tcW w:w="1470" w:type="dxa"/>
            <w:tcBorders>
              <w:top w:val="single" w:sz="4" w:space="0" w:color="auto"/>
              <w:left w:val="nil"/>
              <w:bottom w:val="single" w:sz="4" w:space="0" w:color="auto"/>
              <w:right w:val="nil"/>
            </w:tcBorders>
            <w:shd w:val="clear" w:color="auto" w:fill="auto"/>
            <w:noWrap/>
            <w:vAlign w:val="bottom"/>
            <w:hideMark/>
          </w:tcPr>
          <w:p w14:paraId="74F0F6E8"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26.9</w:t>
            </w:r>
          </w:p>
        </w:tc>
        <w:tc>
          <w:tcPr>
            <w:tcW w:w="1470" w:type="dxa"/>
            <w:tcBorders>
              <w:top w:val="single" w:sz="4" w:space="0" w:color="auto"/>
              <w:left w:val="nil"/>
              <w:bottom w:val="single" w:sz="4" w:space="0" w:color="auto"/>
              <w:right w:val="nil"/>
            </w:tcBorders>
            <w:shd w:val="clear" w:color="auto" w:fill="auto"/>
            <w:noWrap/>
            <w:vAlign w:val="bottom"/>
            <w:hideMark/>
          </w:tcPr>
          <w:p w14:paraId="5B3D0FE6"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19.9</w:t>
            </w:r>
          </w:p>
        </w:tc>
        <w:tc>
          <w:tcPr>
            <w:tcW w:w="1470" w:type="dxa"/>
            <w:tcBorders>
              <w:top w:val="single" w:sz="4" w:space="0" w:color="auto"/>
              <w:left w:val="nil"/>
              <w:bottom w:val="single" w:sz="4" w:space="0" w:color="auto"/>
              <w:right w:val="nil"/>
            </w:tcBorders>
            <w:shd w:val="clear" w:color="auto" w:fill="auto"/>
            <w:noWrap/>
            <w:vAlign w:val="bottom"/>
            <w:hideMark/>
          </w:tcPr>
          <w:p w14:paraId="5097E0D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49.9</w:t>
            </w:r>
          </w:p>
        </w:tc>
      </w:tr>
      <w:tr w:rsidR="001C581A" w:rsidRPr="000C3601" w14:paraId="14C9D102"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59DC7FA0"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2012</w:t>
            </w:r>
          </w:p>
        </w:tc>
        <w:tc>
          <w:tcPr>
            <w:tcW w:w="1470" w:type="dxa"/>
            <w:tcBorders>
              <w:top w:val="single" w:sz="4" w:space="0" w:color="auto"/>
              <w:left w:val="nil"/>
              <w:bottom w:val="single" w:sz="4" w:space="0" w:color="auto"/>
              <w:right w:val="nil"/>
            </w:tcBorders>
            <w:shd w:val="clear" w:color="auto" w:fill="auto"/>
            <w:noWrap/>
            <w:vAlign w:val="bottom"/>
            <w:hideMark/>
          </w:tcPr>
          <w:p w14:paraId="7B1906B2"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29.7</w:t>
            </w:r>
          </w:p>
        </w:tc>
        <w:tc>
          <w:tcPr>
            <w:tcW w:w="1470" w:type="dxa"/>
            <w:tcBorders>
              <w:top w:val="single" w:sz="4" w:space="0" w:color="auto"/>
              <w:left w:val="nil"/>
              <w:bottom w:val="single" w:sz="4" w:space="0" w:color="auto"/>
              <w:right w:val="nil"/>
            </w:tcBorders>
            <w:shd w:val="clear" w:color="auto" w:fill="auto"/>
            <w:noWrap/>
            <w:vAlign w:val="bottom"/>
            <w:hideMark/>
          </w:tcPr>
          <w:p w14:paraId="0A22D83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23.5</w:t>
            </w:r>
          </w:p>
        </w:tc>
        <w:tc>
          <w:tcPr>
            <w:tcW w:w="1470" w:type="dxa"/>
            <w:tcBorders>
              <w:top w:val="single" w:sz="4" w:space="0" w:color="auto"/>
              <w:left w:val="nil"/>
              <w:bottom w:val="single" w:sz="4" w:space="0" w:color="auto"/>
              <w:right w:val="nil"/>
            </w:tcBorders>
            <w:shd w:val="clear" w:color="auto" w:fill="auto"/>
            <w:noWrap/>
            <w:vAlign w:val="bottom"/>
            <w:hideMark/>
          </w:tcPr>
          <w:p w14:paraId="75CEACD8"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53.7</w:t>
            </w:r>
          </w:p>
        </w:tc>
      </w:tr>
      <w:tr w:rsidR="001C581A" w:rsidRPr="000C3601" w14:paraId="3773AE0C"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1D63FAFE"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2013</w:t>
            </w:r>
          </w:p>
        </w:tc>
        <w:tc>
          <w:tcPr>
            <w:tcW w:w="1470" w:type="dxa"/>
            <w:tcBorders>
              <w:top w:val="single" w:sz="4" w:space="0" w:color="auto"/>
              <w:left w:val="nil"/>
              <w:bottom w:val="single" w:sz="4" w:space="0" w:color="auto"/>
              <w:right w:val="nil"/>
            </w:tcBorders>
            <w:shd w:val="clear" w:color="auto" w:fill="auto"/>
            <w:noWrap/>
            <w:vAlign w:val="bottom"/>
            <w:hideMark/>
          </w:tcPr>
          <w:p w14:paraId="1FA09DC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27.1</w:t>
            </w:r>
          </w:p>
        </w:tc>
        <w:tc>
          <w:tcPr>
            <w:tcW w:w="1470" w:type="dxa"/>
            <w:tcBorders>
              <w:top w:val="single" w:sz="4" w:space="0" w:color="auto"/>
              <w:left w:val="nil"/>
              <w:bottom w:val="single" w:sz="4" w:space="0" w:color="auto"/>
              <w:right w:val="nil"/>
            </w:tcBorders>
            <w:shd w:val="clear" w:color="auto" w:fill="auto"/>
            <w:noWrap/>
            <w:vAlign w:val="bottom"/>
            <w:hideMark/>
          </w:tcPr>
          <w:p w14:paraId="6FD14A9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21.0</w:t>
            </w:r>
          </w:p>
        </w:tc>
        <w:tc>
          <w:tcPr>
            <w:tcW w:w="1470" w:type="dxa"/>
            <w:tcBorders>
              <w:top w:val="single" w:sz="4" w:space="0" w:color="auto"/>
              <w:left w:val="nil"/>
              <w:bottom w:val="single" w:sz="4" w:space="0" w:color="auto"/>
              <w:right w:val="nil"/>
            </w:tcBorders>
            <w:shd w:val="clear" w:color="auto" w:fill="auto"/>
            <w:noWrap/>
            <w:vAlign w:val="bottom"/>
            <w:hideMark/>
          </w:tcPr>
          <w:p w14:paraId="4B2722ED"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54.8</w:t>
            </w:r>
          </w:p>
        </w:tc>
      </w:tr>
      <w:tr w:rsidR="001C581A" w:rsidRPr="000C3601" w14:paraId="3D3D686F"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6BE8D4EE"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2014</w:t>
            </w:r>
          </w:p>
        </w:tc>
        <w:tc>
          <w:tcPr>
            <w:tcW w:w="1470" w:type="dxa"/>
            <w:tcBorders>
              <w:top w:val="single" w:sz="4" w:space="0" w:color="auto"/>
              <w:left w:val="nil"/>
              <w:bottom w:val="single" w:sz="4" w:space="0" w:color="auto"/>
              <w:right w:val="nil"/>
            </w:tcBorders>
            <w:shd w:val="clear" w:color="auto" w:fill="auto"/>
            <w:noWrap/>
            <w:vAlign w:val="bottom"/>
            <w:hideMark/>
          </w:tcPr>
          <w:p w14:paraId="5E3D8EB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28.6</w:t>
            </w:r>
          </w:p>
        </w:tc>
        <w:tc>
          <w:tcPr>
            <w:tcW w:w="1470" w:type="dxa"/>
            <w:tcBorders>
              <w:top w:val="single" w:sz="4" w:space="0" w:color="auto"/>
              <w:left w:val="nil"/>
              <w:bottom w:val="single" w:sz="4" w:space="0" w:color="auto"/>
              <w:right w:val="nil"/>
            </w:tcBorders>
            <w:shd w:val="clear" w:color="auto" w:fill="auto"/>
            <w:noWrap/>
            <w:vAlign w:val="bottom"/>
            <w:hideMark/>
          </w:tcPr>
          <w:p w14:paraId="7A99F898"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23.2</w:t>
            </w:r>
          </w:p>
        </w:tc>
        <w:tc>
          <w:tcPr>
            <w:tcW w:w="1470" w:type="dxa"/>
            <w:tcBorders>
              <w:top w:val="single" w:sz="4" w:space="0" w:color="auto"/>
              <w:left w:val="nil"/>
              <w:bottom w:val="single" w:sz="4" w:space="0" w:color="auto"/>
              <w:right w:val="nil"/>
            </w:tcBorders>
            <w:shd w:val="clear" w:color="auto" w:fill="auto"/>
            <w:noWrap/>
            <w:vAlign w:val="bottom"/>
            <w:hideMark/>
          </w:tcPr>
          <w:p w14:paraId="7FE2DCCC"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54.1</w:t>
            </w:r>
          </w:p>
        </w:tc>
      </w:tr>
      <w:tr w:rsidR="001C581A" w:rsidRPr="000C3601" w14:paraId="30F5FF8A"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77DC3A92"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2015</w:t>
            </w:r>
          </w:p>
        </w:tc>
        <w:tc>
          <w:tcPr>
            <w:tcW w:w="1470" w:type="dxa"/>
            <w:tcBorders>
              <w:top w:val="single" w:sz="4" w:space="0" w:color="auto"/>
              <w:left w:val="nil"/>
              <w:bottom w:val="single" w:sz="4" w:space="0" w:color="auto"/>
              <w:right w:val="nil"/>
            </w:tcBorders>
            <w:shd w:val="clear" w:color="auto" w:fill="auto"/>
            <w:noWrap/>
            <w:vAlign w:val="bottom"/>
            <w:hideMark/>
          </w:tcPr>
          <w:p w14:paraId="56BFE17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33.1</w:t>
            </w:r>
          </w:p>
        </w:tc>
        <w:tc>
          <w:tcPr>
            <w:tcW w:w="1470" w:type="dxa"/>
            <w:tcBorders>
              <w:top w:val="single" w:sz="4" w:space="0" w:color="auto"/>
              <w:left w:val="nil"/>
              <w:bottom w:val="single" w:sz="4" w:space="0" w:color="auto"/>
              <w:right w:val="nil"/>
            </w:tcBorders>
            <w:shd w:val="clear" w:color="auto" w:fill="auto"/>
            <w:noWrap/>
            <w:vAlign w:val="bottom"/>
            <w:hideMark/>
          </w:tcPr>
          <w:p w14:paraId="1A3A21F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27.7</w:t>
            </w:r>
          </w:p>
        </w:tc>
        <w:tc>
          <w:tcPr>
            <w:tcW w:w="1470" w:type="dxa"/>
            <w:tcBorders>
              <w:top w:val="single" w:sz="4" w:space="0" w:color="auto"/>
              <w:left w:val="nil"/>
              <w:bottom w:val="single" w:sz="4" w:space="0" w:color="auto"/>
              <w:right w:val="nil"/>
            </w:tcBorders>
            <w:shd w:val="clear" w:color="auto" w:fill="auto"/>
            <w:noWrap/>
            <w:vAlign w:val="bottom"/>
            <w:hideMark/>
          </w:tcPr>
          <w:p w14:paraId="4337063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60.9</w:t>
            </w:r>
          </w:p>
        </w:tc>
      </w:tr>
      <w:tr w:rsidR="001C581A" w:rsidRPr="000C3601" w14:paraId="0CABAA2F"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68591444"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2016</w:t>
            </w:r>
          </w:p>
        </w:tc>
        <w:tc>
          <w:tcPr>
            <w:tcW w:w="1470" w:type="dxa"/>
            <w:tcBorders>
              <w:top w:val="single" w:sz="4" w:space="0" w:color="auto"/>
              <w:left w:val="nil"/>
              <w:bottom w:val="single" w:sz="4" w:space="0" w:color="auto"/>
              <w:right w:val="nil"/>
            </w:tcBorders>
            <w:shd w:val="clear" w:color="auto" w:fill="auto"/>
            <w:noWrap/>
            <w:vAlign w:val="bottom"/>
            <w:hideMark/>
          </w:tcPr>
          <w:p w14:paraId="3C6B6B51"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35.8</w:t>
            </w:r>
          </w:p>
        </w:tc>
        <w:tc>
          <w:tcPr>
            <w:tcW w:w="1470" w:type="dxa"/>
            <w:tcBorders>
              <w:top w:val="single" w:sz="4" w:space="0" w:color="auto"/>
              <w:left w:val="nil"/>
              <w:bottom w:val="single" w:sz="4" w:space="0" w:color="auto"/>
              <w:right w:val="nil"/>
            </w:tcBorders>
            <w:shd w:val="clear" w:color="auto" w:fill="auto"/>
            <w:noWrap/>
            <w:vAlign w:val="bottom"/>
            <w:hideMark/>
          </w:tcPr>
          <w:p w14:paraId="0000CA83"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31.0</w:t>
            </w:r>
          </w:p>
        </w:tc>
        <w:tc>
          <w:tcPr>
            <w:tcW w:w="1470" w:type="dxa"/>
            <w:tcBorders>
              <w:top w:val="single" w:sz="4" w:space="0" w:color="auto"/>
              <w:left w:val="nil"/>
              <w:bottom w:val="single" w:sz="4" w:space="0" w:color="auto"/>
              <w:right w:val="nil"/>
            </w:tcBorders>
            <w:shd w:val="clear" w:color="auto" w:fill="auto"/>
            <w:noWrap/>
            <w:vAlign w:val="bottom"/>
            <w:hideMark/>
          </w:tcPr>
          <w:p w14:paraId="3965AD07"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61.0</w:t>
            </w:r>
          </w:p>
        </w:tc>
      </w:tr>
      <w:tr w:rsidR="001C581A" w:rsidRPr="000C3601" w14:paraId="6A12F01A"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30AC76A9"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2017</w:t>
            </w:r>
          </w:p>
        </w:tc>
        <w:tc>
          <w:tcPr>
            <w:tcW w:w="1470" w:type="dxa"/>
            <w:tcBorders>
              <w:top w:val="single" w:sz="4" w:space="0" w:color="auto"/>
              <w:left w:val="nil"/>
              <w:bottom w:val="single" w:sz="4" w:space="0" w:color="auto"/>
              <w:right w:val="nil"/>
            </w:tcBorders>
            <w:shd w:val="clear" w:color="auto" w:fill="auto"/>
            <w:noWrap/>
            <w:vAlign w:val="bottom"/>
            <w:hideMark/>
          </w:tcPr>
          <w:p w14:paraId="635103F7"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31.6</w:t>
            </w:r>
          </w:p>
        </w:tc>
        <w:tc>
          <w:tcPr>
            <w:tcW w:w="1470" w:type="dxa"/>
            <w:tcBorders>
              <w:top w:val="single" w:sz="4" w:space="0" w:color="auto"/>
              <w:left w:val="nil"/>
              <w:bottom w:val="single" w:sz="4" w:space="0" w:color="auto"/>
              <w:right w:val="nil"/>
            </w:tcBorders>
            <w:shd w:val="clear" w:color="auto" w:fill="auto"/>
            <w:noWrap/>
            <w:vAlign w:val="bottom"/>
            <w:hideMark/>
          </w:tcPr>
          <w:p w14:paraId="3611FB04"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26.9</w:t>
            </w:r>
          </w:p>
        </w:tc>
        <w:tc>
          <w:tcPr>
            <w:tcW w:w="1470" w:type="dxa"/>
            <w:tcBorders>
              <w:top w:val="single" w:sz="4" w:space="0" w:color="auto"/>
              <w:left w:val="nil"/>
              <w:bottom w:val="single" w:sz="4" w:space="0" w:color="auto"/>
              <w:right w:val="nil"/>
            </w:tcBorders>
            <w:shd w:val="clear" w:color="auto" w:fill="auto"/>
            <w:noWrap/>
            <w:vAlign w:val="bottom"/>
            <w:hideMark/>
          </w:tcPr>
          <w:p w14:paraId="6AD78B96"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56.3</w:t>
            </w:r>
          </w:p>
        </w:tc>
      </w:tr>
      <w:tr w:rsidR="001C581A" w:rsidRPr="000C3601" w14:paraId="19540DEC"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739203F6"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2018</w:t>
            </w:r>
          </w:p>
        </w:tc>
        <w:tc>
          <w:tcPr>
            <w:tcW w:w="1470" w:type="dxa"/>
            <w:tcBorders>
              <w:top w:val="single" w:sz="4" w:space="0" w:color="auto"/>
              <w:left w:val="nil"/>
              <w:bottom w:val="single" w:sz="4" w:space="0" w:color="auto"/>
              <w:right w:val="nil"/>
            </w:tcBorders>
            <w:shd w:val="clear" w:color="auto" w:fill="auto"/>
            <w:noWrap/>
            <w:vAlign w:val="bottom"/>
            <w:hideMark/>
          </w:tcPr>
          <w:p w14:paraId="43AEF17F"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33.3</w:t>
            </w:r>
          </w:p>
        </w:tc>
        <w:tc>
          <w:tcPr>
            <w:tcW w:w="1470" w:type="dxa"/>
            <w:tcBorders>
              <w:top w:val="single" w:sz="4" w:space="0" w:color="auto"/>
              <w:left w:val="nil"/>
              <w:bottom w:val="single" w:sz="4" w:space="0" w:color="auto"/>
              <w:right w:val="nil"/>
            </w:tcBorders>
            <w:shd w:val="clear" w:color="auto" w:fill="auto"/>
            <w:noWrap/>
            <w:vAlign w:val="bottom"/>
            <w:hideMark/>
          </w:tcPr>
          <w:p w14:paraId="29737C2A"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27.9</w:t>
            </w:r>
          </w:p>
        </w:tc>
        <w:tc>
          <w:tcPr>
            <w:tcW w:w="1470" w:type="dxa"/>
            <w:tcBorders>
              <w:top w:val="single" w:sz="4" w:space="0" w:color="auto"/>
              <w:left w:val="nil"/>
              <w:bottom w:val="single" w:sz="4" w:space="0" w:color="auto"/>
              <w:right w:val="nil"/>
            </w:tcBorders>
            <w:shd w:val="clear" w:color="auto" w:fill="auto"/>
            <w:noWrap/>
            <w:vAlign w:val="bottom"/>
            <w:hideMark/>
          </w:tcPr>
          <w:p w14:paraId="4E6F27B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62.2</w:t>
            </w:r>
          </w:p>
        </w:tc>
      </w:tr>
      <w:tr w:rsidR="001C581A" w:rsidRPr="000C3601" w14:paraId="016E5062"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48A6DA2B"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2019</w:t>
            </w:r>
          </w:p>
        </w:tc>
        <w:tc>
          <w:tcPr>
            <w:tcW w:w="1470" w:type="dxa"/>
            <w:tcBorders>
              <w:top w:val="single" w:sz="4" w:space="0" w:color="auto"/>
              <w:left w:val="nil"/>
              <w:bottom w:val="single" w:sz="4" w:space="0" w:color="auto"/>
              <w:right w:val="nil"/>
            </w:tcBorders>
            <w:shd w:val="clear" w:color="auto" w:fill="auto"/>
            <w:noWrap/>
            <w:vAlign w:val="bottom"/>
            <w:hideMark/>
          </w:tcPr>
          <w:p w14:paraId="440C8FBE"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39.8</w:t>
            </w:r>
          </w:p>
        </w:tc>
        <w:tc>
          <w:tcPr>
            <w:tcW w:w="1470" w:type="dxa"/>
            <w:tcBorders>
              <w:top w:val="single" w:sz="4" w:space="0" w:color="auto"/>
              <w:left w:val="nil"/>
              <w:bottom w:val="single" w:sz="4" w:space="0" w:color="auto"/>
              <w:right w:val="nil"/>
            </w:tcBorders>
            <w:shd w:val="clear" w:color="auto" w:fill="auto"/>
            <w:noWrap/>
            <w:vAlign w:val="bottom"/>
            <w:hideMark/>
          </w:tcPr>
          <w:p w14:paraId="30F349FC"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34.7</w:t>
            </w:r>
          </w:p>
        </w:tc>
        <w:tc>
          <w:tcPr>
            <w:tcW w:w="1470" w:type="dxa"/>
            <w:tcBorders>
              <w:top w:val="single" w:sz="4" w:space="0" w:color="auto"/>
              <w:left w:val="nil"/>
              <w:bottom w:val="single" w:sz="4" w:space="0" w:color="auto"/>
              <w:right w:val="nil"/>
            </w:tcBorders>
            <w:shd w:val="clear" w:color="auto" w:fill="auto"/>
            <w:noWrap/>
            <w:vAlign w:val="bottom"/>
            <w:hideMark/>
          </w:tcPr>
          <w:p w14:paraId="006A19D9"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67.5</w:t>
            </w:r>
          </w:p>
        </w:tc>
      </w:tr>
      <w:tr w:rsidR="001C581A" w:rsidRPr="000C3601" w14:paraId="6C847E7D"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000E7C13"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2020</w:t>
            </w:r>
          </w:p>
        </w:tc>
        <w:tc>
          <w:tcPr>
            <w:tcW w:w="1470" w:type="dxa"/>
            <w:tcBorders>
              <w:top w:val="single" w:sz="4" w:space="0" w:color="auto"/>
              <w:left w:val="nil"/>
              <w:bottom w:val="single" w:sz="4" w:space="0" w:color="auto"/>
              <w:right w:val="nil"/>
            </w:tcBorders>
            <w:shd w:val="clear" w:color="auto" w:fill="auto"/>
            <w:noWrap/>
            <w:vAlign w:val="bottom"/>
            <w:hideMark/>
          </w:tcPr>
          <w:p w14:paraId="46BA93E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34.2</w:t>
            </w:r>
          </w:p>
        </w:tc>
        <w:tc>
          <w:tcPr>
            <w:tcW w:w="1470" w:type="dxa"/>
            <w:tcBorders>
              <w:top w:val="single" w:sz="4" w:space="0" w:color="auto"/>
              <w:left w:val="nil"/>
              <w:bottom w:val="single" w:sz="4" w:space="0" w:color="auto"/>
              <w:right w:val="nil"/>
            </w:tcBorders>
            <w:shd w:val="clear" w:color="auto" w:fill="auto"/>
            <w:noWrap/>
            <w:vAlign w:val="bottom"/>
            <w:hideMark/>
          </w:tcPr>
          <w:p w14:paraId="7EC9739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30.4</w:t>
            </w:r>
          </w:p>
        </w:tc>
        <w:tc>
          <w:tcPr>
            <w:tcW w:w="1470" w:type="dxa"/>
            <w:tcBorders>
              <w:top w:val="single" w:sz="4" w:space="0" w:color="auto"/>
              <w:left w:val="nil"/>
              <w:bottom w:val="single" w:sz="4" w:space="0" w:color="auto"/>
              <w:right w:val="nil"/>
            </w:tcBorders>
            <w:shd w:val="clear" w:color="auto" w:fill="auto"/>
            <w:noWrap/>
            <w:vAlign w:val="bottom"/>
            <w:hideMark/>
          </w:tcPr>
          <w:p w14:paraId="11650BDB"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61.2</w:t>
            </w:r>
          </w:p>
        </w:tc>
      </w:tr>
      <w:tr w:rsidR="001C581A" w:rsidRPr="000C3601" w14:paraId="3E8F7643" w14:textId="77777777" w:rsidTr="000F5BF0">
        <w:trPr>
          <w:trHeight w:val="231"/>
        </w:trPr>
        <w:tc>
          <w:tcPr>
            <w:tcW w:w="1470" w:type="dxa"/>
            <w:tcBorders>
              <w:top w:val="single" w:sz="4" w:space="0" w:color="auto"/>
              <w:left w:val="nil"/>
              <w:bottom w:val="single" w:sz="4" w:space="0" w:color="auto"/>
              <w:right w:val="nil"/>
            </w:tcBorders>
            <w:shd w:val="clear" w:color="auto" w:fill="auto"/>
            <w:noWrap/>
            <w:vAlign w:val="bottom"/>
            <w:hideMark/>
          </w:tcPr>
          <w:p w14:paraId="31F56883" w14:textId="77777777" w:rsidR="001C581A" w:rsidRPr="000C3601" w:rsidRDefault="001C581A" w:rsidP="00023E99">
            <w:pPr>
              <w:spacing w:after="0" w:line="240" w:lineRule="auto"/>
              <w:rPr>
                <w:rFonts w:eastAsia="Times New Roman" w:cstheme="minorHAnsi"/>
                <w:color w:val="000000"/>
                <w:lang w:val="tr-TR" w:eastAsia="tr-TR"/>
              </w:rPr>
            </w:pPr>
            <w:r w:rsidRPr="000C3601">
              <w:rPr>
                <w:rFonts w:eastAsia="Times New Roman" w:cstheme="minorHAnsi"/>
                <w:color w:val="000000"/>
                <w:lang w:val="tr-TR" w:eastAsia="tr-TR"/>
              </w:rPr>
              <w:t>2021</w:t>
            </w:r>
          </w:p>
        </w:tc>
        <w:tc>
          <w:tcPr>
            <w:tcW w:w="1470" w:type="dxa"/>
            <w:tcBorders>
              <w:top w:val="single" w:sz="4" w:space="0" w:color="auto"/>
              <w:left w:val="nil"/>
              <w:bottom w:val="single" w:sz="4" w:space="0" w:color="auto"/>
              <w:right w:val="nil"/>
            </w:tcBorders>
            <w:shd w:val="clear" w:color="auto" w:fill="auto"/>
            <w:noWrap/>
            <w:vAlign w:val="bottom"/>
            <w:hideMark/>
          </w:tcPr>
          <w:p w14:paraId="2EB74108"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33.6</w:t>
            </w:r>
          </w:p>
        </w:tc>
        <w:tc>
          <w:tcPr>
            <w:tcW w:w="1470" w:type="dxa"/>
            <w:tcBorders>
              <w:top w:val="single" w:sz="4" w:space="0" w:color="auto"/>
              <w:left w:val="nil"/>
              <w:bottom w:val="single" w:sz="4" w:space="0" w:color="auto"/>
              <w:right w:val="nil"/>
            </w:tcBorders>
            <w:shd w:val="clear" w:color="auto" w:fill="auto"/>
            <w:noWrap/>
            <w:vAlign w:val="bottom"/>
            <w:hideMark/>
          </w:tcPr>
          <w:p w14:paraId="4746A8C5"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29.9</w:t>
            </w:r>
          </w:p>
        </w:tc>
        <w:tc>
          <w:tcPr>
            <w:tcW w:w="1470" w:type="dxa"/>
            <w:tcBorders>
              <w:top w:val="single" w:sz="4" w:space="0" w:color="auto"/>
              <w:left w:val="nil"/>
              <w:bottom w:val="single" w:sz="4" w:space="0" w:color="auto"/>
              <w:right w:val="nil"/>
            </w:tcBorders>
            <w:shd w:val="clear" w:color="auto" w:fill="auto"/>
            <w:noWrap/>
            <w:vAlign w:val="bottom"/>
            <w:hideMark/>
          </w:tcPr>
          <w:p w14:paraId="7CC577BD" w14:textId="77777777" w:rsidR="001C581A" w:rsidRPr="000C3601" w:rsidRDefault="001C581A" w:rsidP="00023E99">
            <w:pPr>
              <w:spacing w:after="0" w:line="240" w:lineRule="auto"/>
              <w:jc w:val="center"/>
              <w:rPr>
                <w:rFonts w:eastAsia="Times New Roman" w:cstheme="minorHAnsi"/>
                <w:color w:val="000000"/>
                <w:lang w:val="tr-TR" w:eastAsia="tr-TR"/>
              </w:rPr>
            </w:pPr>
            <w:r w:rsidRPr="000C3601">
              <w:rPr>
                <w:rFonts w:eastAsia="Times New Roman" w:cstheme="minorHAnsi"/>
                <w:color w:val="000000"/>
                <w:lang w:val="tr-TR" w:eastAsia="tr-TR"/>
              </w:rPr>
              <w:t>61.0</w:t>
            </w:r>
          </w:p>
        </w:tc>
      </w:tr>
    </w:tbl>
    <w:p w14:paraId="56D9E8EE" w14:textId="77777777" w:rsidR="00DE156B" w:rsidRDefault="001C581A" w:rsidP="00AB7CC4">
      <w:pPr>
        <w:spacing w:before="120" w:after="0" w:line="360" w:lineRule="auto"/>
        <w:jc w:val="both"/>
        <w:rPr>
          <w:sz w:val="20"/>
          <w:lang w:val="tr-TR"/>
        </w:rPr>
      </w:pPr>
      <w:r w:rsidRPr="000F5BF0">
        <w:rPr>
          <w:sz w:val="20"/>
          <w:lang w:val="tr-TR"/>
        </w:rPr>
        <w:t xml:space="preserve">Kaynak: Hanehalkı İşgücü Anketi, Betam hesaplaması. </w:t>
      </w:r>
    </w:p>
    <w:p w14:paraId="07CEBB4E" w14:textId="77777777" w:rsidR="008B1E55" w:rsidRDefault="001C581A" w:rsidP="000C3601">
      <w:pPr>
        <w:spacing w:before="120" w:after="240" w:line="360" w:lineRule="auto"/>
        <w:jc w:val="both"/>
        <w:rPr>
          <w:sz w:val="20"/>
          <w:lang w:val="tr-TR"/>
        </w:rPr>
      </w:pPr>
      <w:r w:rsidRPr="000F5BF0">
        <w:rPr>
          <w:sz w:val="20"/>
          <w:lang w:val="tr-TR"/>
        </w:rPr>
        <w:t xml:space="preserve">Not: Gelir sorusu anket ayında işe başlayanlar ile gelirini beyan etmeyenler için sıfır “0” olarak kodlanmaktadır. Bundan dolayı asgari ücret </w:t>
      </w:r>
      <w:r w:rsidR="000708B4">
        <w:rPr>
          <w:sz w:val="20"/>
          <w:lang w:val="tr-TR"/>
        </w:rPr>
        <w:t xml:space="preserve">ve altında </w:t>
      </w:r>
      <w:r w:rsidRPr="000F5BF0">
        <w:rPr>
          <w:sz w:val="20"/>
          <w:lang w:val="tr-TR"/>
        </w:rPr>
        <w:t xml:space="preserve">kazananların oranı hesaplanırken gelirini “0” beyan edenler dikkate alınmamıştır. Öte yandan gelir bilgisi beyana dayalı olduğu için ve cevaplayanların büyük bir çoğunluğu gelir bilgisini verirken gelirini yuvarladığı için asgari ücret ve altında ücret geliri elde edenlerin sayısı hesaplanırken asgari ücretin yüzde 5 fazlası eşik olarak kullanılmıştır. Asgari Geçim İndirimi (AGİ) uygulaması 2008’de başladığı için önceki yıllara ait asgari ücret AGİ katkısı yer almamaktadır. 2008 öncesinde çalışanlar harcama fişlerini biriktirerek KDV iadesi alıyorlardı. KDV iadesi yıllık olarak hesaplanmakla birlikte her aya düşen miktarı hesaplamak mümkündür. Yaptığımız hesaplamalara göre KDV iadesi asgari ücretle çalışan birinin aylık gelirinde yaklaşık olarak yüzde 8’lik bir artışa denk düşmektedir. Yıllar arası kıyaslama yapabilmek için 2008 öncesi asgari ücretler 1,08 ile çarpılmıştır. </w:t>
      </w:r>
    </w:p>
    <w:p w14:paraId="7355632D" w14:textId="01943545" w:rsidR="00DE156B" w:rsidRDefault="001C581A" w:rsidP="008B1E55">
      <w:pPr>
        <w:spacing w:before="120" w:after="120" w:line="360" w:lineRule="auto"/>
        <w:jc w:val="both"/>
        <w:rPr>
          <w:sz w:val="20"/>
          <w:lang w:val="tr-TR"/>
        </w:rPr>
      </w:pPr>
      <w:r w:rsidRPr="00345660">
        <w:rPr>
          <w:b/>
          <w:sz w:val="28"/>
          <w:lang w:val="tr-TR"/>
        </w:rPr>
        <w:t>Asgari ücret</w:t>
      </w:r>
      <w:r w:rsidR="008B1E55">
        <w:rPr>
          <w:b/>
          <w:sz w:val="28"/>
          <w:lang w:val="tr-TR"/>
        </w:rPr>
        <w:t>in</w:t>
      </w:r>
      <w:r w:rsidRPr="00345660">
        <w:rPr>
          <w:b/>
          <w:sz w:val="28"/>
          <w:lang w:val="tr-TR"/>
        </w:rPr>
        <w:t xml:space="preserve"> ve enflasyonun yıllar içindeki seyri</w:t>
      </w:r>
    </w:p>
    <w:p w14:paraId="1009F23D" w14:textId="00B81945" w:rsidR="003D1695" w:rsidRDefault="001C581A" w:rsidP="00C83C51">
      <w:pPr>
        <w:spacing w:before="120" w:after="120" w:line="360" w:lineRule="auto"/>
        <w:jc w:val="both"/>
        <w:rPr>
          <w:sz w:val="24"/>
          <w:lang w:val="tr-TR"/>
        </w:rPr>
      </w:pPr>
      <w:r w:rsidRPr="000F5BF0">
        <w:rPr>
          <w:sz w:val="24"/>
          <w:lang w:val="tr-TR"/>
        </w:rPr>
        <w:t xml:space="preserve">Şekil 1’de asgari ücretin ve </w:t>
      </w:r>
      <w:r w:rsidR="000C3601">
        <w:rPr>
          <w:sz w:val="24"/>
          <w:lang w:val="tr-TR"/>
        </w:rPr>
        <w:t>enflasyonun</w:t>
      </w:r>
      <w:r w:rsidR="007D6ADF">
        <w:rPr>
          <w:sz w:val="24"/>
          <w:lang w:val="tr-TR"/>
        </w:rPr>
        <w:t xml:space="preserve"> </w:t>
      </w:r>
      <w:r w:rsidRPr="000F5BF0">
        <w:rPr>
          <w:sz w:val="24"/>
          <w:lang w:val="tr-TR"/>
        </w:rPr>
        <w:t>yıllar içindeki seyri gösterilmektedir. 2004 yılın</w:t>
      </w:r>
      <w:r w:rsidR="003D1695">
        <w:rPr>
          <w:sz w:val="24"/>
          <w:lang w:val="tr-TR"/>
        </w:rPr>
        <w:t xml:space="preserve">ın başında asgari ücret </w:t>
      </w:r>
      <w:r w:rsidRPr="000F5BF0">
        <w:rPr>
          <w:sz w:val="24"/>
          <w:lang w:val="tr-TR"/>
        </w:rPr>
        <w:t xml:space="preserve">yüzde 40 gibi </w:t>
      </w:r>
      <w:r w:rsidR="003D1695">
        <w:rPr>
          <w:sz w:val="24"/>
          <w:lang w:val="tr-TR"/>
        </w:rPr>
        <w:t xml:space="preserve">çok </w:t>
      </w:r>
      <w:r w:rsidRPr="000F5BF0">
        <w:rPr>
          <w:sz w:val="24"/>
          <w:lang w:val="tr-TR"/>
        </w:rPr>
        <w:t xml:space="preserve">yüksek bir </w:t>
      </w:r>
      <w:r w:rsidR="003D1695">
        <w:rPr>
          <w:sz w:val="24"/>
          <w:lang w:val="tr-TR"/>
        </w:rPr>
        <w:t xml:space="preserve">oranda artırılmıştır. Bu dönemde enflasyon tek hanelerde seyrettiğinden </w:t>
      </w:r>
      <w:r w:rsidR="00D0526F">
        <w:rPr>
          <w:sz w:val="24"/>
          <w:lang w:val="tr-TR"/>
        </w:rPr>
        <w:t xml:space="preserve">Haziran 2003’te </w:t>
      </w:r>
      <w:r w:rsidR="003D1695">
        <w:rPr>
          <w:sz w:val="24"/>
          <w:lang w:val="tr-TR"/>
        </w:rPr>
        <w:t>226 TL</w:t>
      </w:r>
      <w:r w:rsidR="000D57CD">
        <w:rPr>
          <w:sz w:val="24"/>
          <w:lang w:val="tr-TR"/>
        </w:rPr>
        <w:t xml:space="preserve"> olan reel asgari ücret,</w:t>
      </w:r>
      <w:r w:rsidR="003D1695">
        <w:rPr>
          <w:sz w:val="24"/>
          <w:lang w:val="tr-TR"/>
        </w:rPr>
        <w:t xml:space="preserve"> Haziran 2004’te </w:t>
      </w:r>
      <w:r w:rsidR="003D1695">
        <w:rPr>
          <w:sz w:val="24"/>
          <w:lang w:val="tr-TR"/>
        </w:rPr>
        <w:lastRenderedPageBreak/>
        <w:t>297 TL’ye yükselmiş</w:t>
      </w:r>
      <w:r w:rsidR="009C3BE6">
        <w:rPr>
          <w:sz w:val="24"/>
          <w:lang w:val="tr-TR"/>
        </w:rPr>
        <w:t xml:space="preserve"> (yüzde 31 artış)</w:t>
      </w:r>
      <w:r w:rsidR="000D57CD">
        <w:rPr>
          <w:sz w:val="24"/>
          <w:lang w:val="tr-TR"/>
        </w:rPr>
        <w:t xml:space="preserve"> ve</w:t>
      </w:r>
      <w:r w:rsidR="003D1695">
        <w:rPr>
          <w:sz w:val="24"/>
          <w:lang w:val="tr-TR"/>
        </w:rPr>
        <w:t xml:space="preserve"> 2007 Haziran ayına kadar da 300 civarında seyretmiştir</w:t>
      </w:r>
      <w:r w:rsidR="005216A1">
        <w:rPr>
          <w:rStyle w:val="FootnoteReference"/>
          <w:sz w:val="24"/>
          <w:lang w:val="tr-TR"/>
        </w:rPr>
        <w:footnoteReference w:id="5"/>
      </w:r>
      <w:r w:rsidR="003D1695">
        <w:rPr>
          <w:sz w:val="24"/>
          <w:lang w:val="tr-TR"/>
        </w:rPr>
        <w:t xml:space="preserve">. Bu dönemde </w:t>
      </w:r>
      <w:r w:rsidR="003D1695" w:rsidRPr="00C00984">
        <w:rPr>
          <w:sz w:val="24"/>
          <w:lang w:val="tr-TR"/>
        </w:rPr>
        <w:t>enflasyonun</w:t>
      </w:r>
      <w:r w:rsidR="003D1695">
        <w:rPr>
          <w:sz w:val="24"/>
          <w:lang w:val="tr-TR"/>
        </w:rPr>
        <w:t xml:space="preserve"> da tek hanelerde seyrettiğini hatırlatalım (</w:t>
      </w:r>
      <w:r w:rsidR="00A17FF8">
        <w:rPr>
          <w:sz w:val="24"/>
          <w:lang w:val="tr-TR"/>
        </w:rPr>
        <w:t xml:space="preserve">Şekil 1 ve </w:t>
      </w:r>
      <w:r w:rsidR="003D1695">
        <w:rPr>
          <w:sz w:val="24"/>
          <w:lang w:val="tr-TR"/>
        </w:rPr>
        <w:t>Ek Tablo 1). İzleyen dönemde reel asgari ücrette yavaş bir tempoda da olsa düzenli bir artış gözlemlenmektedir. Bu artış sonucu reel asgari ücret Haziran 2014’te 369 TL’ye kadar yükselmiştir. Yedi yılda reel asgari ücret yüzde 23 oranında artmıştır.</w:t>
      </w:r>
    </w:p>
    <w:p w14:paraId="08B84748" w14:textId="3C7C62E0" w:rsidR="0026418B" w:rsidRDefault="009C3BE6" w:rsidP="00AB7CC4">
      <w:pPr>
        <w:spacing w:before="120" w:after="120" w:line="360" w:lineRule="auto"/>
        <w:jc w:val="both"/>
        <w:rPr>
          <w:sz w:val="24"/>
          <w:lang w:val="tr-TR"/>
        </w:rPr>
      </w:pPr>
      <w:r>
        <w:rPr>
          <w:sz w:val="24"/>
          <w:lang w:val="tr-TR"/>
        </w:rPr>
        <w:t xml:space="preserve">2004 yılından sonra en yüksek nominal asgari ücret artışı </w:t>
      </w:r>
      <w:r w:rsidR="001C581A" w:rsidRPr="000F5BF0">
        <w:rPr>
          <w:sz w:val="24"/>
          <w:lang w:val="tr-TR"/>
        </w:rPr>
        <w:t>2016 yılı</w:t>
      </w:r>
      <w:r>
        <w:rPr>
          <w:sz w:val="24"/>
          <w:lang w:val="tr-TR"/>
        </w:rPr>
        <w:t xml:space="preserve"> başında</w:t>
      </w:r>
      <w:r w:rsidR="001C581A" w:rsidRPr="000F5BF0">
        <w:rPr>
          <w:sz w:val="24"/>
          <w:lang w:val="tr-TR"/>
        </w:rPr>
        <w:t xml:space="preserve"> (yüzde 30) gerçekleşmiştir. 2016’da yıllık enflasyon</w:t>
      </w:r>
      <w:r w:rsidR="005B5E79">
        <w:rPr>
          <w:sz w:val="24"/>
          <w:lang w:val="tr-TR"/>
        </w:rPr>
        <w:t>un</w:t>
      </w:r>
      <w:r w:rsidR="001C581A" w:rsidRPr="000F5BF0">
        <w:rPr>
          <w:sz w:val="24"/>
          <w:lang w:val="tr-TR"/>
        </w:rPr>
        <w:t xml:space="preserve"> düşük bir oranda </w:t>
      </w:r>
      <w:r w:rsidR="005B5E79" w:rsidRPr="000F5BF0">
        <w:rPr>
          <w:sz w:val="24"/>
          <w:lang w:val="tr-TR"/>
        </w:rPr>
        <w:t xml:space="preserve">(yüzde 8) </w:t>
      </w:r>
      <w:r w:rsidR="001C581A" w:rsidRPr="000F5BF0">
        <w:rPr>
          <w:sz w:val="24"/>
          <w:lang w:val="tr-TR"/>
        </w:rPr>
        <w:t xml:space="preserve">gerçekleşmesi ile reel asgari ücret yüzde </w:t>
      </w:r>
      <w:r>
        <w:rPr>
          <w:sz w:val="24"/>
          <w:lang w:val="tr-TR"/>
        </w:rPr>
        <w:t>Haziran 2015’ten Haziran 2016’ya yüzde 21 oranında a</w:t>
      </w:r>
      <w:r w:rsidR="001C581A" w:rsidRPr="000F5BF0">
        <w:rPr>
          <w:sz w:val="24"/>
          <w:lang w:val="tr-TR"/>
        </w:rPr>
        <w:t>rt</w:t>
      </w:r>
      <w:r>
        <w:rPr>
          <w:sz w:val="24"/>
          <w:lang w:val="tr-TR"/>
        </w:rPr>
        <w:t>arak</w:t>
      </w:r>
      <w:r w:rsidR="006121E0">
        <w:rPr>
          <w:sz w:val="24"/>
          <w:lang w:val="tr-TR"/>
        </w:rPr>
        <w:t xml:space="preserve"> </w:t>
      </w:r>
      <w:r>
        <w:rPr>
          <w:sz w:val="24"/>
          <w:lang w:val="tr-TR"/>
        </w:rPr>
        <w:t xml:space="preserve">386 TL’den 466 TL’ye yükselmiştir. </w:t>
      </w:r>
      <w:r w:rsidR="0026418B">
        <w:rPr>
          <w:sz w:val="24"/>
          <w:lang w:val="tr-TR"/>
        </w:rPr>
        <w:t xml:space="preserve">2003 Haziran-2016 Haziran döneminde reel asgari ücret iki katından biraz fazla artmıştır. </w:t>
      </w:r>
    </w:p>
    <w:p w14:paraId="42C36449" w14:textId="3D8D19A2" w:rsidR="00AB7CC4" w:rsidRPr="000F5BF0" w:rsidRDefault="00AB7CC4" w:rsidP="00AB7CC4">
      <w:pPr>
        <w:spacing w:after="0" w:line="360" w:lineRule="auto"/>
        <w:jc w:val="both"/>
        <w:rPr>
          <w:lang w:val="tr-TR"/>
        </w:rPr>
      </w:pPr>
      <w:r w:rsidRPr="000F5BF0">
        <w:rPr>
          <w:b/>
          <w:lang w:val="tr-TR"/>
        </w:rPr>
        <w:t xml:space="preserve">Şekil 1: </w:t>
      </w:r>
      <w:r w:rsidR="005A468E">
        <w:rPr>
          <w:b/>
          <w:lang w:val="tr-TR"/>
        </w:rPr>
        <w:t>Reel Asgari ü</w:t>
      </w:r>
      <w:r w:rsidRPr="000F5BF0">
        <w:rPr>
          <w:b/>
          <w:lang w:val="tr-TR"/>
        </w:rPr>
        <w:t>cret</w:t>
      </w:r>
      <w:r w:rsidR="005A468E">
        <w:rPr>
          <w:b/>
          <w:lang w:val="tr-TR"/>
        </w:rPr>
        <w:t xml:space="preserve"> (TL)</w:t>
      </w:r>
      <w:r w:rsidRPr="000F5BF0">
        <w:rPr>
          <w:b/>
          <w:lang w:val="tr-TR"/>
        </w:rPr>
        <w:t xml:space="preserve"> ve </w:t>
      </w:r>
      <w:r w:rsidR="005A468E">
        <w:rPr>
          <w:b/>
          <w:lang w:val="tr-TR"/>
        </w:rPr>
        <w:t>TÜFE(2003 Haziran=100)</w:t>
      </w:r>
    </w:p>
    <w:p w14:paraId="0F2267B0" w14:textId="1B836A00" w:rsidR="00AB7CC4" w:rsidRPr="008D0455" w:rsidRDefault="00183EBA" w:rsidP="00FE4985">
      <w:pPr>
        <w:spacing w:before="120" w:after="240" w:line="360" w:lineRule="auto"/>
        <w:jc w:val="both"/>
        <w:rPr>
          <w:sz w:val="24"/>
          <w:lang w:val="tr-TR"/>
        </w:rPr>
      </w:pPr>
      <w:r>
        <w:rPr>
          <w:noProof/>
          <w:lang w:val="tr-TR" w:eastAsia="tr-TR"/>
        </w:rPr>
        <w:drawing>
          <wp:inline distT="0" distB="0" distL="0" distR="0" wp14:anchorId="0278A06A" wp14:editId="267836B0">
            <wp:extent cx="5661964" cy="2728595"/>
            <wp:effectExtent l="0" t="0" r="15240" b="14605"/>
            <wp:docPr id="1" name="Chart 1">
              <a:extLst xmlns:a="http://schemas.openxmlformats.org/drawingml/2006/main">
                <a:ext uri="{FF2B5EF4-FFF2-40B4-BE49-F238E27FC236}">
                  <a16:creationId xmlns:a16="http://schemas.microsoft.com/office/drawing/2014/main" id="{3B1666DA-75B4-F413-D664-D541B4456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D0455">
        <w:rPr>
          <w:sz w:val="21"/>
          <w:szCs w:val="20"/>
          <w:lang w:val="tr-TR"/>
        </w:rPr>
        <w:t xml:space="preserve">Kaynak: Tüik, Betam </w:t>
      </w:r>
    </w:p>
    <w:p w14:paraId="5B5ABC24" w14:textId="5E321BF7" w:rsidR="00C83C51" w:rsidRDefault="009C3BE6" w:rsidP="00AB7CC4">
      <w:pPr>
        <w:spacing w:before="120" w:after="120" w:line="360" w:lineRule="auto"/>
        <w:jc w:val="both"/>
        <w:rPr>
          <w:sz w:val="24"/>
          <w:lang w:val="tr-TR"/>
        </w:rPr>
      </w:pPr>
      <w:r>
        <w:rPr>
          <w:sz w:val="24"/>
          <w:lang w:val="tr-TR"/>
        </w:rPr>
        <w:t>İzleyen yıllarda reel asgari ücret artışlarının duraksadığı gözlemlenmektedir</w:t>
      </w:r>
      <w:r w:rsidR="00912C51">
        <w:rPr>
          <w:sz w:val="24"/>
          <w:lang w:val="tr-TR"/>
        </w:rPr>
        <w:t xml:space="preserve"> </w:t>
      </w:r>
      <w:r w:rsidR="005216A1">
        <w:rPr>
          <w:sz w:val="24"/>
          <w:lang w:val="tr-TR"/>
        </w:rPr>
        <w:t>(Şekil</w:t>
      </w:r>
      <w:r w:rsidR="00A17FF8">
        <w:rPr>
          <w:sz w:val="24"/>
          <w:lang w:val="tr-TR"/>
        </w:rPr>
        <w:t xml:space="preserve"> 1 ve </w:t>
      </w:r>
      <w:r>
        <w:rPr>
          <w:sz w:val="24"/>
          <w:lang w:val="tr-TR"/>
        </w:rPr>
        <w:t xml:space="preserve">Ek Tablo 1). </w:t>
      </w:r>
      <w:r w:rsidR="001C581A" w:rsidRPr="000F5BF0">
        <w:rPr>
          <w:sz w:val="24"/>
          <w:lang w:val="tr-TR"/>
        </w:rPr>
        <w:t xml:space="preserve"> </w:t>
      </w:r>
      <w:r w:rsidR="00A17FF8">
        <w:rPr>
          <w:sz w:val="24"/>
          <w:lang w:val="tr-TR"/>
        </w:rPr>
        <w:t xml:space="preserve">Enflasyon da 2017’den itibaren çift haneye yükselmiş ve artış temposu yükselmiştir. </w:t>
      </w:r>
      <w:r w:rsidR="001C581A" w:rsidRPr="000F5BF0">
        <w:rPr>
          <w:sz w:val="24"/>
          <w:lang w:val="tr-TR"/>
        </w:rPr>
        <w:t>2020 yılı mayıs ayı</w:t>
      </w:r>
      <w:r w:rsidR="00A17FF8">
        <w:rPr>
          <w:sz w:val="24"/>
          <w:lang w:val="tr-TR"/>
        </w:rPr>
        <w:t>ndan itibaren artış hızlanmış</w:t>
      </w:r>
      <w:r w:rsidR="003666D3">
        <w:rPr>
          <w:sz w:val="24"/>
          <w:lang w:val="tr-TR"/>
        </w:rPr>
        <w:t xml:space="preserve"> ve</w:t>
      </w:r>
      <w:r w:rsidR="00C83C51">
        <w:rPr>
          <w:sz w:val="24"/>
          <w:lang w:val="tr-TR"/>
        </w:rPr>
        <w:t xml:space="preserve"> nominal asgari ücrete de yüksek artışlar yapılmaya başlanmıştır. 2019 Haziran ayında 489 TL olan reel asgari ücret 2021 Haziranında yüzde 5,7 artışla ancak 517 TL’dir.</w:t>
      </w:r>
      <w:r w:rsidR="00A17FF8">
        <w:rPr>
          <w:sz w:val="24"/>
          <w:lang w:val="tr-TR"/>
        </w:rPr>
        <w:t xml:space="preserve"> </w:t>
      </w:r>
    </w:p>
    <w:p w14:paraId="47A2A509" w14:textId="2843243E" w:rsidR="000F5BF0" w:rsidRPr="00AB7CC4" w:rsidRDefault="00C83C51" w:rsidP="00AB7CC4">
      <w:pPr>
        <w:spacing w:before="120" w:after="120" w:line="360" w:lineRule="auto"/>
        <w:jc w:val="both"/>
        <w:rPr>
          <w:sz w:val="24"/>
          <w:lang w:val="tr-TR"/>
        </w:rPr>
      </w:pPr>
      <w:r>
        <w:rPr>
          <w:sz w:val="24"/>
          <w:lang w:val="tr-TR"/>
        </w:rPr>
        <w:lastRenderedPageBreak/>
        <w:t xml:space="preserve">Enflasyon </w:t>
      </w:r>
      <w:r w:rsidR="001C581A" w:rsidRPr="000F5BF0">
        <w:rPr>
          <w:sz w:val="24"/>
          <w:lang w:val="tr-TR"/>
        </w:rPr>
        <w:t xml:space="preserve">2022 yılı haziran ayında yıllık bazda yüzde 78,6 ile rekor bir seviyeye ulaşmıştır. </w:t>
      </w:r>
      <w:r>
        <w:rPr>
          <w:sz w:val="24"/>
          <w:lang w:val="tr-TR"/>
        </w:rPr>
        <w:t xml:space="preserve">2022 başında </w:t>
      </w:r>
      <w:r w:rsidRPr="00AB7CC4">
        <w:rPr>
          <w:sz w:val="24"/>
          <w:lang w:val="tr-TR"/>
        </w:rPr>
        <w:t>asgari ücrete yapılan yüzde 50 zamma rağmen 2022 yılı haziran ayında reel asgari ücret</w:t>
      </w:r>
      <w:r w:rsidR="001F4A9D">
        <w:rPr>
          <w:sz w:val="24"/>
          <w:lang w:val="tr-TR"/>
        </w:rPr>
        <w:t>in</w:t>
      </w:r>
      <w:r w:rsidRPr="00AB7CC4">
        <w:rPr>
          <w:sz w:val="24"/>
          <w:lang w:val="tr-TR"/>
        </w:rPr>
        <w:t xml:space="preserve"> yüzde 15,9 azaldığı görülmektedir</w:t>
      </w:r>
      <w:r>
        <w:rPr>
          <w:sz w:val="24"/>
          <w:lang w:val="tr-TR"/>
        </w:rPr>
        <w:t>. Bir yıl önce 517 T</w:t>
      </w:r>
      <w:r w:rsidR="00CC20CC">
        <w:rPr>
          <w:sz w:val="24"/>
          <w:lang w:val="tr-TR"/>
        </w:rPr>
        <w:t>L</w:t>
      </w:r>
      <w:r>
        <w:rPr>
          <w:sz w:val="24"/>
          <w:lang w:val="tr-TR"/>
        </w:rPr>
        <w:t xml:space="preserve"> olana reel asgari ücret 435 TL’ye gerilemiştir (Şekil 1, Ek Tablo 1)</w:t>
      </w:r>
      <w:r w:rsidR="00AB7CC4">
        <w:rPr>
          <w:sz w:val="24"/>
          <w:lang w:val="tr-TR"/>
        </w:rPr>
        <w:t>. Yüksek enflasyonun asgari ücret artışlarını hızla erittiği yeni bir döneme girildiği açıktır.</w:t>
      </w:r>
    </w:p>
    <w:p w14:paraId="578DB8A0" w14:textId="1383C35E" w:rsidR="000F5BF0" w:rsidRPr="004C48A7" w:rsidRDefault="000F5BF0" w:rsidP="000F5BF0">
      <w:pPr>
        <w:spacing w:after="240"/>
        <w:rPr>
          <w:b/>
          <w:sz w:val="28"/>
          <w:lang w:val="tr-TR"/>
        </w:rPr>
      </w:pPr>
      <w:r w:rsidRPr="004C48A7">
        <w:rPr>
          <w:b/>
          <w:sz w:val="28"/>
          <w:lang w:val="tr-TR"/>
        </w:rPr>
        <w:t>Gıda</w:t>
      </w:r>
      <w:r w:rsidR="0089557D">
        <w:rPr>
          <w:b/>
          <w:sz w:val="28"/>
          <w:lang w:val="tr-TR"/>
        </w:rPr>
        <w:t>,</w:t>
      </w:r>
      <w:r w:rsidRPr="004C48A7">
        <w:rPr>
          <w:b/>
          <w:sz w:val="28"/>
          <w:lang w:val="tr-TR"/>
        </w:rPr>
        <w:t xml:space="preserve"> konut </w:t>
      </w:r>
      <w:r w:rsidR="0089557D">
        <w:rPr>
          <w:b/>
          <w:sz w:val="28"/>
          <w:lang w:val="tr-TR"/>
        </w:rPr>
        <w:t>ve ulaştırma enflasyonu</w:t>
      </w:r>
      <w:r w:rsidRPr="004C48A7">
        <w:rPr>
          <w:b/>
          <w:sz w:val="28"/>
          <w:lang w:val="tr-TR"/>
        </w:rPr>
        <w:t xml:space="preserve"> asgari ücreti eritti</w:t>
      </w:r>
    </w:p>
    <w:p w14:paraId="4E2CC5EA" w14:textId="32E332BC" w:rsidR="00464DBC" w:rsidRDefault="000F5BF0" w:rsidP="00464DBC">
      <w:pPr>
        <w:spacing w:after="120" w:line="360" w:lineRule="auto"/>
        <w:jc w:val="both"/>
        <w:rPr>
          <w:sz w:val="24"/>
          <w:lang w:val="tr-TR"/>
        </w:rPr>
      </w:pPr>
      <w:r w:rsidRPr="000F5BF0">
        <w:rPr>
          <w:sz w:val="24"/>
          <w:lang w:val="tr-TR"/>
        </w:rPr>
        <w:t xml:space="preserve">Asgari ücret artışının tüketicilerin alım gücünü </w:t>
      </w:r>
      <w:r w:rsidR="00A0661B">
        <w:rPr>
          <w:sz w:val="24"/>
          <w:lang w:val="tr-TR"/>
        </w:rPr>
        <w:t>nasıl etkilediğini</w:t>
      </w:r>
      <w:r w:rsidRPr="000F5BF0">
        <w:rPr>
          <w:sz w:val="24"/>
          <w:lang w:val="tr-TR"/>
        </w:rPr>
        <w:t xml:space="preserve"> anlamak için düşük ve orta gelirlilerin tüketim sepetindeki ağırlığı</w:t>
      </w:r>
      <w:r w:rsidR="00A0661B">
        <w:rPr>
          <w:sz w:val="24"/>
          <w:lang w:val="tr-TR"/>
        </w:rPr>
        <w:t>n</w:t>
      </w:r>
      <w:r w:rsidRPr="000F5BF0">
        <w:rPr>
          <w:sz w:val="24"/>
          <w:lang w:val="tr-TR"/>
        </w:rPr>
        <w:t xml:space="preserve"> yaklaşık yüzde 50</w:t>
      </w:r>
      <w:r w:rsidR="00A0661B">
        <w:rPr>
          <w:sz w:val="24"/>
          <w:lang w:val="tr-TR"/>
        </w:rPr>
        <w:t>’sini oluşturan</w:t>
      </w:r>
      <w:r w:rsidRPr="000F5BF0">
        <w:rPr>
          <w:sz w:val="24"/>
          <w:lang w:val="tr-TR"/>
        </w:rPr>
        <w:t xml:space="preserve"> gıda, kira, elektrik, gaz ve di</w:t>
      </w:r>
      <w:r w:rsidR="00A0661B">
        <w:rPr>
          <w:sz w:val="24"/>
          <w:lang w:val="tr-TR"/>
        </w:rPr>
        <w:t>ğer yakıtlar ile ulaştırma enflasyonunun seyri</w:t>
      </w:r>
      <w:r w:rsidR="00464DBC">
        <w:rPr>
          <w:sz w:val="24"/>
          <w:lang w:val="tr-TR"/>
        </w:rPr>
        <w:t>ne</w:t>
      </w:r>
      <w:r w:rsidR="00A0661B">
        <w:rPr>
          <w:sz w:val="24"/>
          <w:lang w:val="tr-TR"/>
        </w:rPr>
        <w:t xml:space="preserve"> TÜFE ile karşılaştırmalı olarak </w:t>
      </w:r>
      <w:r w:rsidR="00464DBC">
        <w:rPr>
          <w:sz w:val="24"/>
          <w:lang w:val="tr-TR"/>
        </w:rPr>
        <w:t xml:space="preserve">bakılabilir. </w:t>
      </w:r>
      <w:r w:rsidRPr="000F5BF0">
        <w:rPr>
          <w:sz w:val="24"/>
          <w:lang w:val="tr-TR"/>
        </w:rPr>
        <w:t>Karşılaştırmanın kolay</w:t>
      </w:r>
      <w:r w:rsidR="00464DBC">
        <w:rPr>
          <w:sz w:val="24"/>
          <w:lang w:val="tr-TR"/>
        </w:rPr>
        <w:t>laştırılması</w:t>
      </w:r>
      <w:r w:rsidRPr="000F5BF0">
        <w:rPr>
          <w:sz w:val="24"/>
          <w:lang w:val="tr-TR"/>
        </w:rPr>
        <w:t xml:space="preserve"> için her bir </w:t>
      </w:r>
      <w:r w:rsidR="00464DBC">
        <w:rPr>
          <w:sz w:val="24"/>
          <w:lang w:val="tr-TR"/>
        </w:rPr>
        <w:t xml:space="preserve">kalemin </w:t>
      </w:r>
      <w:r w:rsidRPr="000F5BF0">
        <w:rPr>
          <w:sz w:val="24"/>
          <w:lang w:val="tr-TR"/>
        </w:rPr>
        <w:t xml:space="preserve">2015 ve 2021 yılı aralık ayı </w:t>
      </w:r>
      <w:r w:rsidR="00464DBC">
        <w:rPr>
          <w:sz w:val="24"/>
          <w:lang w:val="tr-TR"/>
        </w:rPr>
        <w:t xml:space="preserve">değeri </w:t>
      </w:r>
      <w:r w:rsidRPr="000F5BF0">
        <w:rPr>
          <w:sz w:val="24"/>
          <w:lang w:val="tr-TR"/>
        </w:rPr>
        <w:t xml:space="preserve">100 alınarak </w:t>
      </w:r>
      <w:r w:rsidR="00464DBC">
        <w:rPr>
          <w:sz w:val="24"/>
          <w:lang w:val="tr-TR"/>
        </w:rPr>
        <w:t>Şekil 2’de</w:t>
      </w:r>
      <w:r w:rsidR="00E742EA">
        <w:rPr>
          <w:sz w:val="24"/>
          <w:lang w:val="tr-TR"/>
        </w:rPr>
        <w:t>ki</w:t>
      </w:r>
      <w:r w:rsidR="00464DBC">
        <w:rPr>
          <w:sz w:val="24"/>
          <w:lang w:val="tr-TR"/>
        </w:rPr>
        <w:t xml:space="preserve"> endeksler oluşturulmuştur. </w:t>
      </w:r>
    </w:p>
    <w:p w14:paraId="302A5E06" w14:textId="3C70CB1C" w:rsidR="000F5BF0" w:rsidRPr="00464DBC" w:rsidRDefault="000F5BF0" w:rsidP="002C2156">
      <w:pPr>
        <w:spacing w:after="0" w:line="360" w:lineRule="auto"/>
        <w:jc w:val="both"/>
        <w:rPr>
          <w:sz w:val="24"/>
          <w:lang w:val="tr-TR"/>
        </w:rPr>
      </w:pPr>
      <w:r w:rsidRPr="000F5BF0">
        <w:rPr>
          <w:b/>
          <w:lang w:val="tr-TR"/>
        </w:rPr>
        <w:t>Şekil 2: Agari ücret ve harcama grupları endeks artışları</w:t>
      </w:r>
    </w:p>
    <w:p w14:paraId="40D11549" w14:textId="535CAF6B" w:rsidR="000F5BF0" w:rsidRPr="000F5BF0" w:rsidRDefault="000F5BF0" w:rsidP="000F5BF0">
      <w:pPr>
        <w:spacing w:line="360" w:lineRule="auto"/>
        <w:jc w:val="both"/>
        <w:rPr>
          <w:sz w:val="24"/>
          <w:lang w:val="tr-TR"/>
        </w:rPr>
      </w:pPr>
      <w:r w:rsidRPr="000F5BF0">
        <w:rPr>
          <w:noProof/>
          <w:lang w:val="tr-TR" w:eastAsia="tr-TR"/>
        </w:rPr>
        <w:drawing>
          <wp:inline distT="0" distB="0" distL="0" distR="0" wp14:anchorId="25C289B8" wp14:editId="467E0648">
            <wp:extent cx="5786323" cy="3635375"/>
            <wp:effectExtent l="0" t="0" r="5080" b="317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6350" cy="3641675"/>
                    </a:xfrm>
                    <a:prstGeom prst="rect">
                      <a:avLst/>
                    </a:prstGeom>
                  </pic:spPr>
                </pic:pic>
              </a:graphicData>
            </a:graphic>
          </wp:inline>
        </w:drawing>
      </w:r>
    </w:p>
    <w:p w14:paraId="046A08AB" w14:textId="25CA5539" w:rsidR="00464DBC" w:rsidRPr="00464DBC" w:rsidRDefault="00464DBC" w:rsidP="00464DBC">
      <w:pPr>
        <w:spacing w:after="120" w:line="360" w:lineRule="auto"/>
        <w:jc w:val="both"/>
        <w:rPr>
          <w:color w:val="FF0000"/>
          <w:sz w:val="24"/>
          <w:lang w:val="tr-TR"/>
        </w:rPr>
      </w:pPr>
      <w:r w:rsidRPr="00464DBC">
        <w:rPr>
          <w:sz w:val="24"/>
          <w:lang w:val="tr-TR"/>
        </w:rPr>
        <w:t>2016 yılında</w:t>
      </w:r>
      <w:r w:rsidRPr="000F5BF0">
        <w:rPr>
          <w:sz w:val="24"/>
          <w:lang w:val="tr-TR"/>
        </w:rPr>
        <w:t xml:space="preserve"> tüm alt kalemlerin fiyat endekslerinde zaman içinde ya azalmalar </w:t>
      </w:r>
      <w:r w:rsidRPr="00464DBC">
        <w:rPr>
          <w:sz w:val="24"/>
          <w:lang w:val="tr-TR"/>
        </w:rPr>
        <w:t xml:space="preserve">ya da sınırlı artışların gerçekleştiği görülmektedir </w:t>
      </w:r>
      <w:r>
        <w:rPr>
          <w:sz w:val="24"/>
          <w:lang w:val="tr-TR"/>
        </w:rPr>
        <w:t>(Şekil 2’de</w:t>
      </w:r>
      <w:r w:rsidRPr="000F5BF0">
        <w:rPr>
          <w:sz w:val="24"/>
          <w:lang w:val="tr-TR"/>
        </w:rPr>
        <w:t xml:space="preserve"> </w:t>
      </w:r>
      <w:r>
        <w:rPr>
          <w:sz w:val="24"/>
          <w:lang w:val="tr-TR"/>
        </w:rPr>
        <w:t>s</w:t>
      </w:r>
      <w:r w:rsidRPr="000F5BF0">
        <w:rPr>
          <w:sz w:val="24"/>
          <w:lang w:val="tr-TR"/>
        </w:rPr>
        <w:t>ol grafi</w:t>
      </w:r>
      <w:r>
        <w:rPr>
          <w:sz w:val="24"/>
          <w:lang w:val="tr-TR"/>
        </w:rPr>
        <w:t xml:space="preserve">k). </w:t>
      </w:r>
      <w:r w:rsidRPr="00464DBC">
        <w:rPr>
          <w:sz w:val="24"/>
          <w:lang w:val="tr-TR"/>
        </w:rPr>
        <w:t>Hatta</w:t>
      </w:r>
      <w:r>
        <w:rPr>
          <w:sz w:val="24"/>
          <w:lang w:val="tr-TR"/>
        </w:rPr>
        <w:t xml:space="preserve"> </w:t>
      </w:r>
      <w:r w:rsidRPr="000F5BF0">
        <w:rPr>
          <w:sz w:val="24"/>
          <w:lang w:val="tr-TR"/>
        </w:rPr>
        <w:t xml:space="preserve">gıda fiyatları 2016 Şubat ayından itibaren düşüşe geçmiştir. Tüketim kalemlerindeki düşük fiyat </w:t>
      </w:r>
      <w:r w:rsidRPr="00464DBC">
        <w:rPr>
          <w:sz w:val="24"/>
          <w:lang w:val="tr-TR"/>
        </w:rPr>
        <w:t>artışları</w:t>
      </w:r>
      <w:r>
        <w:rPr>
          <w:sz w:val="24"/>
          <w:lang w:val="tr-TR"/>
        </w:rPr>
        <w:t xml:space="preserve"> </w:t>
      </w:r>
      <w:r w:rsidRPr="00614FFE">
        <w:rPr>
          <w:sz w:val="24"/>
          <w:lang w:val="tr-TR"/>
        </w:rPr>
        <w:t>ile</w:t>
      </w:r>
      <w:r w:rsidRPr="000F5BF0">
        <w:rPr>
          <w:sz w:val="24"/>
          <w:lang w:val="tr-TR"/>
        </w:rPr>
        <w:t xml:space="preserve"> asgari ücrette görülen yüzde 30’luk nominal artış</w:t>
      </w:r>
      <w:r>
        <w:rPr>
          <w:sz w:val="24"/>
          <w:lang w:val="tr-TR"/>
        </w:rPr>
        <w:t xml:space="preserve"> yukarıda açıklandığı gibi hanelerin</w:t>
      </w:r>
      <w:r w:rsidRPr="000F5BF0">
        <w:rPr>
          <w:sz w:val="24"/>
          <w:lang w:val="tr-TR"/>
        </w:rPr>
        <w:t xml:space="preserve"> reel anlamda gelirlerinde </w:t>
      </w:r>
      <w:r>
        <w:rPr>
          <w:sz w:val="24"/>
          <w:lang w:val="tr-TR"/>
        </w:rPr>
        <w:t>kayda değer</w:t>
      </w:r>
      <w:r w:rsidRPr="000F5BF0">
        <w:rPr>
          <w:sz w:val="24"/>
          <w:lang w:val="tr-TR"/>
        </w:rPr>
        <w:t xml:space="preserve"> bir artışa neden olmuş ve alım güçlerini arttırmıştır.</w:t>
      </w:r>
      <w:r>
        <w:rPr>
          <w:sz w:val="24"/>
          <w:lang w:val="tr-TR"/>
        </w:rPr>
        <w:t xml:space="preserve"> </w:t>
      </w:r>
    </w:p>
    <w:p w14:paraId="30C0203D" w14:textId="4E204069" w:rsidR="000F5BF0" w:rsidRPr="00592AB5" w:rsidRDefault="000F5BF0" w:rsidP="00464DBC">
      <w:pPr>
        <w:spacing w:before="120" w:after="120" w:line="360" w:lineRule="auto"/>
        <w:jc w:val="both"/>
        <w:rPr>
          <w:color w:val="FF0000"/>
          <w:sz w:val="24"/>
          <w:lang w:val="tr-TR"/>
        </w:rPr>
      </w:pPr>
      <w:r w:rsidRPr="000F5BF0">
        <w:rPr>
          <w:sz w:val="24"/>
          <w:lang w:val="tr-TR"/>
        </w:rPr>
        <w:lastRenderedPageBreak/>
        <w:t xml:space="preserve">2022 yılı için bu durum tamamen farklıdır. Genel fiyat endeksi ile birlikte tüm fiyat kalemlerinde ciddi artışlar </w:t>
      </w:r>
      <w:r w:rsidR="00614FFE" w:rsidRPr="00464DBC">
        <w:rPr>
          <w:sz w:val="24"/>
          <w:lang w:val="tr-TR"/>
        </w:rPr>
        <w:t>g</w:t>
      </w:r>
      <w:r w:rsidR="00592AB5" w:rsidRPr="00464DBC">
        <w:rPr>
          <w:sz w:val="24"/>
          <w:lang w:val="tr-TR"/>
        </w:rPr>
        <w:t>erçekleşmiştir</w:t>
      </w:r>
      <w:r w:rsidRPr="00464DBC">
        <w:rPr>
          <w:sz w:val="24"/>
          <w:lang w:val="tr-TR"/>
        </w:rPr>
        <w:t>.</w:t>
      </w:r>
      <w:r w:rsidRPr="000F5BF0">
        <w:rPr>
          <w:sz w:val="24"/>
          <w:lang w:val="tr-TR"/>
        </w:rPr>
        <w:t xml:space="preserve"> Özellikle enerji, gıda ve ulaştırma fiyatlarında son dönemde genel endeksin bir hayli üzerinde artışlar </w:t>
      </w:r>
      <w:r w:rsidR="00592AB5" w:rsidRPr="00464DBC">
        <w:rPr>
          <w:sz w:val="24"/>
          <w:lang w:val="tr-TR"/>
        </w:rPr>
        <w:t>yaşanmıştır</w:t>
      </w:r>
      <w:r w:rsidRPr="00464DBC">
        <w:rPr>
          <w:sz w:val="24"/>
          <w:lang w:val="tr-TR"/>
        </w:rPr>
        <w:t>.</w:t>
      </w:r>
      <w:r w:rsidRPr="000F5BF0">
        <w:rPr>
          <w:sz w:val="24"/>
          <w:lang w:val="tr-TR"/>
        </w:rPr>
        <w:t xml:space="preserve"> Kira fiyatlarındaki artış ise diğer kalemlere nazaran daha ılımlı </w:t>
      </w:r>
      <w:r w:rsidR="00592AB5">
        <w:rPr>
          <w:sz w:val="24"/>
          <w:lang w:val="tr-TR"/>
        </w:rPr>
        <w:t>olup</w:t>
      </w:r>
      <w:r w:rsidR="00592AB5" w:rsidRPr="000F5BF0">
        <w:rPr>
          <w:sz w:val="24"/>
          <w:lang w:val="tr-TR"/>
        </w:rPr>
        <w:t xml:space="preserve"> </w:t>
      </w:r>
      <w:r w:rsidR="00592AB5">
        <w:rPr>
          <w:sz w:val="24"/>
          <w:lang w:val="tr-TR"/>
        </w:rPr>
        <w:t xml:space="preserve">TÜFE artışının altında kalmış olsa da diğer üç büyük harcama kalemindeki yüksek artışlar sonucu </w:t>
      </w:r>
      <w:r w:rsidRPr="000F5BF0">
        <w:rPr>
          <w:sz w:val="24"/>
          <w:lang w:val="tr-TR"/>
        </w:rPr>
        <w:t xml:space="preserve">2022 </w:t>
      </w:r>
      <w:r w:rsidR="00592AB5" w:rsidRPr="00464DBC">
        <w:rPr>
          <w:sz w:val="24"/>
          <w:lang w:val="tr-TR"/>
        </w:rPr>
        <w:t>başında yapılan yüksek</w:t>
      </w:r>
      <w:r w:rsidR="00592AB5">
        <w:rPr>
          <w:sz w:val="24"/>
          <w:lang w:val="tr-TR"/>
        </w:rPr>
        <w:t xml:space="preserve"> </w:t>
      </w:r>
      <w:r w:rsidRPr="000F5BF0">
        <w:rPr>
          <w:sz w:val="24"/>
          <w:lang w:val="tr-TR"/>
        </w:rPr>
        <w:t xml:space="preserve">asgari ücret artışı büyük </w:t>
      </w:r>
      <w:r w:rsidR="00464DBC">
        <w:rPr>
          <w:sz w:val="24"/>
          <w:lang w:val="tr-TR"/>
        </w:rPr>
        <w:t xml:space="preserve">ölçüde </w:t>
      </w:r>
      <w:r w:rsidRPr="000F5BF0">
        <w:rPr>
          <w:sz w:val="24"/>
          <w:lang w:val="tr-TR"/>
        </w:rPr>
        <w:t>erimiştir</w:t>
      </w:r>
      <w:r w:rsidR="00FE4985">
        <w:rPr>
          <w:rStyle w:val="FootnoteReference"/>
          <w:sz w:val="24"/>
          <w:lang w:val="tr-TR"/>
        </w:rPr>
        <w:footnoteReference w:id="6"/>
      </w:r>
      <w:r w:rsidRPr="000F5BF0">
        <w:rPr>
          <w:sz w:val="24"/>
          <w:lang w:val="tr-TR"/>
        </w:rPr>
        <w:t xml:space="preserve">. </w:t>
      </w:r>
      <w:r w:rsidR="00464DBC">
        <w:rPr>
          <w:sz w:val="24"/>
          <w:lang w:val="tr-TR"/>
        </w:rPr>
        <w:t>Yukarıda belirttiğimiz gibi Haziran 2021</w:t>
      </w:r>
      <w:r w:rsidR="00B22582">
        <w:rPr>
          <w:sz w:val="24"/>
          <w:lang w:val="tr-TR"/>
        </w:rPr>
        <w:t>’de</w:t>
      </w:r>
      <w:r w:rsidR="00464DBC">
        <w:rPr>
          <w:sz w:val="24"/>
          <w:lang w:val="tr-TR"/>
        </w:rPr>
        <w:t xml:space="preserve"> 517 TL olan reel asgari ücret</w:t>
      </w:r>
      <w:r w:rsidR="00B22582">
        <w:rPr>
          <w:sz w:val="24"/>
          <w:lang w:val="tr-TR"/>
        </w:rPr>
        <w:t>,</w:t>
      </w:r>
      <w:r w:rsidR="00464DBC">
        <w:rPr>
          <w:sz w:val="24"/>
          <w:lang w:val="tr-TR"/>
        </w:rPr>
        <w:t xml:space="preserve"> Haziran 2022’de</w:t>
      </w:r>
      <w:r w:rsidR="00CD4F80">
        <w:rPr>
          <w:sz w:val="24"/>
          <w:lang w:val="tr-TR"/>
        </w:rPr>
        <w:t xml:space="preserve"> 435 TL’ye gerilemiştir. Hanelerin alım güçlerinde ciddi bir kayıp vardır. </w:t>
      </w:r>
    </w:p>
    <w:p w14:paraId="23B4219F" w14:textId="77777777" w:rsidR="00B22582" w:rsidRDefault="000F5BF0" w:rsidP="009E1E5D">
      <w:pPr>
        <w:spacing w:after="0" w:line="360" w:lineRule="auto"/>
        <w:rPr>
          <w:b/>
          <w:sz w:val="28"/>
          <w:lang w:val="tr-TR"/>
        </w:rPr>
      </w:pPr>
      <w:r w:rsidRPr="004C48A7">
        <w:rPr>
          <w:b/>
          <w:sz w:val="28"/>
          <w:lang w:val="tr-TR"/>
        </w:rPr>
        <w:t>Sonuç ve öneriler</w:t>
      </w:r>
    </w:p>
    <w:p w14:paraId="564225CF" w14:textId="0B23B78C" w:rsidR="000F5BF0" w:rsidRPr="00B22582" w:rsidRDefault="000F5BF0" w:rsidP="009E1E5D">
      <w:pPr>
        <w:spacing w:line="360" w:lineRule="auto"/>
        <w:jc w:val="both"/>
        <w:rPr>
          <w:b/>
          <w:sz w:val="28"/>
          <w:lang w:val="tr-TR"/>
        </w:rPr>
      </w:pPr>
      <w:r w:rsidRPr="000F5BF0">
        <w:rPr>
          <w:sz w:val="24"/>
          <w:lang w:val="tr-TR"/>
        </w:rPr>
        <w:t>Bu araştırma notunda elde edilen bulgular</w:t>
      </w:r>
      <w:r w:rsidR="009E1E5D">
        <w:rPr>
          <w:sz w:val="24"/>
          <w:lang w:val="tr-TR"/>
        </w:rPr>
        <w:t>,</w:t>
      </w:r>
      <w:r w:rsidRPr="000F5BF0">
        <w:rPr>
          <w:sz w:val="24"/>
          <w:lang w:val="tr-TR"/>
        </w:rPr>
        <w:t xml:space="preserve"> 2022 yılındaki asgari ücret artışının yılın ilk 6 ayında eridiğini ortaya koymaktadır. Küresel ölçekte yaşanan gıda ve enerji krizi, döviz kuru şokları sonucunda dar gelirlilerin tüketim sepetinde önemli bir yere sahip olan gıda ve konut harcamaları kalemlerinde ilerleyen dönemlerde de artışların körükleneceği aşikardır. Dolayısıyla hüklümet yılın ikinci yarısında asgari ücrette ikinci bir artış yapsa da tek seferlik artış, çalışanların gelirlerindeki erimeyi büyük olasılıkla engelleyemeyecektir. Öte yandan bu denli </w:t>
      </w:r>
      <w:r w:rsidR="007B3D71" w:rsidRPr="00CD4F80">
        <w:rPr>
          <w:sz w:val="24"/>
          <w:lang w:val="tr-TR"/>
        </w:rPr>
        <w:t>yüksek</w:t>
      </w:r>
      <w:r w:rsidR="007B3D71">
        <w:rPr>
          <w:sz w:val="24"/>
          <w:lang w:val="tr-TR"/>
        </w:rPr>
        <w:t xml:space="preserve"> </w:t>
      </w:r>
      <w:r w:rsidRPr="000F5BF0">
        <w:rPr>
          <w:sz w:val="24"/>
          <w:lang w:val="tr-TR"/>
        </w:rPr>
        <w:t>bir enflasyon</w:t>
      </w:r>
      <w:r w:rsidR="007B3D71">
        <w:rPr>
          <w:sz w:val="24"/>
          <w:lang w:val="tr-TR"/>
        </w:rPr>
        <w:t>un</w:t>
      </w:r>
      <w:r w:rsidRPr="000F5BF0">
        <w:rPr>
          <w:sz w:val="24"/>
          <w:lang w:val="tr-TR"/>
        </w:rPr>
        <w:t xml:space="preserve"> </w:t>
      </w:r>
      <w:r w:rsidR="00CD4F80" w:rsidRPr="000F5BF0">
        <w:rPr>
          <w:sz w:val="24"/>
          <w:lang w:val="tr-TR"/>
        </w:rPr>
        <w:t>hâkim</w:t>
      </w:r>
      <w:r w:rsidRPr="000F5BF0">
        <w:rPr>
          <w:sz w:val="24"/>
          <w:lang w:val="tr-TR"/>
        </w:rPr>
        <w:t xml:space="preserve"> olduğu </w:t>
      </w:r>
      <w:r w:rsidR="007B3D71" w:rsidRPr="00CD4F80">
        <w:rPr>
          <w:sz w:val="24"/>
          <w:lang w:val="tr-TR"/>
        </w:rPr>
        <w:t>bir</w:t>
      </w:r>
      <w:r w:rsidR="007B3D71">
        <w:rPr>
          <w:sz w:val="24"/>
          <w:lang w:val="tr-TR"/>
        </w:rPr>
        <w:t xml:space="preserve"> </w:t>
      </w:r>
      <w:r w:rsidRPr="000F5BF0">
        <w:rPr>
          <w:sz w:val="24"/>
          <w:lang w:val="tr-TR"/>
        </w:rPr>
        <w:t xml:space="preserve">dönemde özellikle yoksul ve orta kesime doğrudan gelir destekleri gibi hükümet tarafından sosyal yardımların yapılması, fiyat artışlarına karşı </w:t>
      </w:r>
      <w:r w:rsidR="007B3D71" w:rsidRPr="00CD4F80">
        <w:rPr>
          <w:sz w:val="24"/>
          <w:lang w:val="tr-TR"/>
        </w:rPr>
        <w:t>bu kesimlere mensup hanelerin</w:t>
      </w:r>
      <w:r w:rsidR="007B3D71">
        <w:rPr>
          <w:sz w:val="24"/>
          <w:lang w:val="tr-TR"/>
        </w:rPr>
        <w:t xml:space="preserve"> </w:t>
      </w:r>
      <w:r w:rsidRPr="000F5BF0">
        <w:rPr>
          <w:sz w:val="24"/>
          <w:lang w:val="tr-TR"/>
        </w:rPr>
        <w:t>alım güçlerini korumaya yardımcı olacaktır.</w:t>
      </w:r>
    </w:p>
    <w:p w14:paraId="2239936D" w14:textId="77777777" w:rsidR="000F5BF0" w:rsidRPr="000F5BF0" w:rsidRDefault="000F5BF0" w:rsidP="000F5BF0">
      <w:pPr>
        <w:spacing w:before="360" w:after="240" w:line="360" w:lineRule="auto"/>
        <w:jc w:val="both"/>
        <w:rPr>
          <w:sz w:val="24"/>
          <w:lang w:val="tr-TR"/>
        </w:rPr>
      </w:pPr>
    </w:p>
    <w:p w14:paraId="5A89123E" w14:textId="7DFC3E27" w:rsidR="000F5BF0" w:rsidRPr="000F5BF0" w:rsidRDefault="000F5BF0" w:rsidP="001C581A">
      <w:pPr>
        <w:spacing w:line="360" w:lineRule="auto"/>
        <w:jc w:val="both"/>
        <w:rPr>
          <w:b/>
          <w:lang w:val="tr-TR"/>
        </w:rPr>
      </w:pPr>
    </w:p>
    <w:p w14:paraId="50E94B0A" w14:textId="77777777" w:rsidR="000F5BF0" w:rsidRPr="000F5BF0" w:rsidRDefault="000F5BF0">
      <w:pPr>
        <w:rPr>
          <w:b/>
          <w:lang w:val="tr-TR"/>
        </w:rPr>
      </w:pPr>
      <w:r w:rsidRPr="000F5BF0">
        <w:rPr>
          <w:b/>
          <w:lang w:val="tr-TR"/>
        </w:rPr>
        <w:br w:type="page"/>
      </w:r>
    </w:p>
    <w:p w14:paraId="6181C2F2" w14:textId="77777777" w:rsidR="000F5BF0" w:rsidRPr="000F5BF0" w:rsidRDefault="000F5BF0" w:rsidP="000F5BF0">
      <w:pPr>
        <w:rPr>
          <w:b/>
          <w:lang w:val="tr-TR"/>
        </w:rPr>
      </w:pPr>
      <w:r w:rsidRPr="000F5BF0">
        <w:rPr>
          <w:b/>
          <w:lang w:val="tr-TR"/>
        </w:rPr>
        <w:lastRenderedPageBreak/>
        <w:t>Ek Tablo 1: Asgari ücret ve Tüketici fiyat endeksi</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237"/>
        <w:gridCol w:w="1980"/>
        <w:gridCol w:w="2340"/>
      </w:tblGrid>
      <w:tr w:rsidR="000F5BF0" w:rsidRPr="000F5BF0" w14:paraId="41A665FD" w14:textId="77777777" w:rsidTr="00023E99">
        <w:trPr>
          <w:trHeight w:val="239"/>
        </w:trPr>
        <w:tc>
          <w:tcPr>
            <w:tcW w:w="1448" w:type="dxa"/>
            <w:shd w:val="clear" w:color="auto" w:fill="auto"/>
            <w:noWrap/>
            <w:vAlign w:val="bottom"/>
            <w:hideMark/>
          </w:tcPr>
          <w:p w14:paraId="4A20980E" w14:textId="77777777" w:rsidR="000F5BF0" w:rsidRPr="000F5BF0" w:rsidRDefault="000F5BF0" w:rsidP="00023E99">
            <w:pPr>
              <w:spacing w:after="0" w:line="240" w:lineRule="auto"/>
              <w:jc w:val="center"/>
              <w:rPr>
                <w:rFonts w:ascii="Times New Roman" w:eastAsia="Times New Roman" w:hAnsi="Times New Roman" w:cs="Times New Roman"/>
                <w:sz w:val="20"/>
                <w:szCs w:val="20"/>
                <w:lang w:val="tr-TR"/>
              </w:rPr>
            </w:pPr>
            <w:bookmarkStart w:id="2" w:name="OLE_LINK1"/>
            <w:r w:rsidRPr="000F5BF0">
              <w:rPr>
                <w:rFonts w:ascii="Calibri" w:eastAsia="Times New Roman" w:hAnsi="Calibri" w:cs="Calibri"/>
                <w:color w:val="000000"/>
                <w:sz w:val="20"/>
                <w:szCs w:val="20"/>
                <w:lang w:val="tr-TR"/>
              </w:rPr>
              <w:t>Yıl(Haziran)</w:t>
            </w:r>
          </w:p>
        </w:tc>
        <w:tc>
          <w:tcPr>
            <w:tcW w:w="2237" w:type="dxa"/>
            <w:shd w:val="clear" w:color="auto" w:fill="auto"/>
            <w:noWrap/>
            <w:vAlign w:val="center"/>
            <w:hideMark/>
          </w:tcPr>
          <w:p w14:paraId="5F762F4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Tüfe (2003 Haziran=100)</w:t>
            </w:r>
          </w:p>
        </w:tc>
        <w:tc>
          <w:tcPr>
            <w:tcW w:w="1980" w:type="dxa"/>
            <w:shd w:val="clear" w:color="auto" w:fill="auto"/>
            <w:noWrap/>
            <w:vAlign w:val="center"/>
            <w:hideMark/>
          </w:tcPr>
          <w:p w14:paraId="5400504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Reel Asgari Ücret (TL)</w:t>
            </w:r>
          </w:p>
        </w:tc>
        <w:tc>
          <w:tcPr>
            <w:tcW w:w="2340" w:type="dxa"/>
            <w:shd w:val="clear" w:color="auto" w:fill="auto"/>
            <w:noWrap/>
            <w:vAlign w:val="center"/>
            <w:hideMark/>
          </w:tcPr>
          <w:p w14:paraId="2B14379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Nominal Asgari Ücret (TL)</w:t>
            </w:r>
          </w:p>
        </w:tc>
      </w:tr>
      <w:tr w:rsidR="000F5BF0" w:rsidRPr="000F5BF0" w14:paraId="5004CBC0" w14:textId="77777777" w:rsidTr="00023E99">
        <w:trPr>
          <w:trHeight w:val="254"/>
        </w:trPr>
        <w:tc>
          <w:tcPr>
            <w:tcW w:w="1448" w:type="dxa"/>
            <w:shd w:val="clear" w:color="auto" w:fill="auto"/>
            <w:noWrap/>
            <w:vAlign w:val="bottom"/>
            <w:hideMark/>
          </w:tcPr>
          <w:p w14:paraId="27A38097"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2003</w:t>
            </w:r>
          </w:p>
        </w:tc>
        <w:tc>
          <w:tcPr>
            <w:tcW w:w="2237" w:type="dxa"/>
            <w:shd w:val="clear" w:color="auto" w:fill="auto"/>
            <w:noWrap/>
            <w:vAlign w:val="bottom"/>
            <w:hideMark/>
          </w:tcPr>
          <w:p w14:paraId="4688E6F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100.0</w:t>
            </w:r>
          </w:p>
        </w:tc>
        <w:tc>
          <w:tcPr>
            <w:tcW w:w="1980" w:type="dxa"/>
            <w:shd w:val="clear" w:color="auto" w:fill="auto"/>
            <w:noWrap/>
            <w:vAlign w:val="bottom"/>
            <w:hideMark/>
          </w:tcPr>
          <w:p w14:paraId="0D12525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226</w:t>
            </w:r>
          </w:p>
        </w:tc>
        <w:tc>
          <w:tcPr>
            <w:tcW w:w="2340" w:type="dxa"/>
            <w:shd w:val="clear" w:color="auto" w:fill="auto"/>
            <w:noWrap/>
            <w:vAlign w:val="bottom"/>
            <w:hideMark/>
          </w:tcPr>
          <w:p w14:paraId="12EE036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226</w:t>
            </w:r>
          </w:p>
        </w:tc>
      </w:tr>
      <w:tr w:rsidR="000F5BF0" w:rsidRPr="000F5BF0" w14:paraId="0C2E495C" w14:textId="77777777" w:rsidTr="00023E99">
        <w:trPr>
          <w:trHeight w:val="254"/>
        </w:trPr>
        <w:tc>
          <w:tcPr>
            <w:tcW w:w="1448" w:type="dxa"/>
            <w:shd w:val="clear" w:color="auto" w:fill="auto"/>
            <w:noWrap/>
            <w:vAlign w:val="bottom"/>
            <w:hideMark/>
          </w:tcPr>
          <w:p w14:paraId="630955F8"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2004</w:t>
            </w:r>
          </w:p>
        </w:tc>
        <w:tc>
          <w:tcPr>
            <w:tcW w:w="2237" w:type="dxa"/>
            <w:shd w:val="clear" w:color="auto" w:fill="auto"/>
            <w:noWrap/>
            <w:vAlign w:val="bottom"/>
            <w:hideMark/>
          </w:tcPr>
          <w:p w14:paraId="78340766"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107.1</w:t>
            </w:r>
          </w:p>
        </w:tc>
        <w:tc>
          <w:tcPr>
            <w:tcW w:w="1980" w:type="dxa"/>
            <w:shd w:val="clear" w:color="auto" w:fill="auto"/>
            <w:noWrap/>
            <w:vAlign w:val="bottom"/>
            <w:hideMark/>
          </w:tcPr>
          <w:p w14:paraId="7F0CBB01"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297</w:t>
            </w:r>
          </w:p>
        </w:tc>
        <w:tc>
          <w:tcPr>
            <w:tcW w:w="2340" w:type="dxa"/>
            <w:shd w:val="clear" w:color="auto" w:fill="auto"/>
            <w:noWrap/>
            <w:vAlign w:val="bottom"/>
            <w:hideMark/>
          </w:tcPr>
          <w:p w14:paraId="266F0562"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318</w:t>
            </w:r>
          </w:p>
        </w:tc>
      </w:tr>
      <w:tr w:rsidR="000F5BF0" w:rsidRPr="000F5BF0" w14:paraId="5D6B14F3" w14:textId="77777777" w:rsidTr="00023E99">
        <w:trPr>
          <w:trHeight w:val="254"/>
        </w:trPr>
        <w:tc>
          <w:tcPr>
            <w:tcW w:w="1448" w:type="dxa"/>
            <w:shd w:val="clear" w:color="auto" w:fill="auto"/>
            <w:noWrap/>
            <w:vAlign w:val="bottom"/>
            <w:hideMark/>
          </w:tcPr>
          <w:p w14:paraId="66C1103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2005</w:t>
            </w:r>
          </w:p>
        </w:tc>
        <w:tc>
          <w:tcPr>
            <w:tcW w:w="2237" w:type="dxa"/>
            <w:shd w:val="clear" w:color="auto" w:fill="auto"/>
            <w:noWrap/>
            <w:vAlign w:val="bottom"/>
            <w:hideMark/>
          </w:tcPr>
          <w:p w14:paraId="1797AD87"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116.7</w:t>
            </w:r>
          </w:p>
        </w:tc>
        <w:tc>
          <w:tcPr>
            <w:tcW w:w="1980" w:type="dxa"/>
            <w:shd w:val="clear" w:color="auto" w:fill="auto"/>
            <w:noWrap/>
            <w:vAlign w:val="bottom"/>
            <w:hideMark/>
          </w:tcPr>
          <w:p w14:paraId="30E8D99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300</w:t>
            </w:r>
          </w:p>
        </w:tc>
        <w:tc>
          <w:tcPr>
            <w:tcW w:w="2340" w:type="dxa"/>
            <w:shd w:val="clear" w:color="auto" w:fill="auto"/>
            <w:noWrap/>
            <w:vAlign w:val="bottom"/>
            <w:hideMark/>
          </w:tcPr>
          <w:p w14:paraId="6FEFCBD1"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350</w:t>
            </w:r>
          </w:p>
        </w:tc>
      </w:tr>
      <w:tr w:rsidR="000F5BF0" w:rsidRPr="000F5BF0" w14:paraId="55AAE374" w14:textId="77777777" w:rsidTr="00023E99">
        <w:trPr>
          <w:trHeight w:val="254"/>
        </w:trPr>
        <w:tc>
          <w:tcPr>
            <w:tcW w:w="1448" w:type="dxa"/>
            <w:shd w:val="clear" w:color="auto" w:fill="auto"/>
            <w:noWrap/>
            <w:vAlign w:val="bottom"/>
            <w:hideMark/>
          </w:tcPr>
          <w:p w14:paraId="700F8A36"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2006</w:t>
            </w:r>
          </w:p>
        </w:tc>
        <w:tc>
          <w:tcPr>
            <w:tcW w:w="2237" w:type="dxa"/>
            <w:shd w:val="clear" w:color="auto" w:fill="auto"/>
            <w:noWrap/>
            <w:vAlign w:val="bottom"/>
            <w:hideMark/>
          </w:tcPr>
          <w:p w14:paraId="1F3634F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128.5</w:t>
            </w:r>
          </w:p>
        </w:tc>
        <w:tc>
          <w:tcPr>
            <w:tcW w:w="1980" w:type="dxa"/>
            <w:shd w:val="clear" w:color="auto" w:fill="auto"/>
            <w:noWrap/>
            <w:vAlign w:val="bottom"/>
            <w:hideMark/>
          </w:tcPr>
          <w:p w14:paraId="7D9A2783"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296</w:t>
            </w:r>
          </w:p>
        </w:tc>
        <w:tc>
          <w:tcPr>
            <w:tcW w:w="2340" w:type="dxa"/>
            <w:shd w:val="clear" w:color="auto" w:fill="auto"/>
            <w:noWrap/>
            <w:vAlign w:val="bottom"/>
            <w:hideMark/>
          </w:tcPr>
          <w:p w14:paraId="1DEAD99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380</w:t>
            </w:r>
          </w:p>
        </w:tc>
      </w:tr>
      <w:tr w:rsidR="000F5BF0" w:rsidRPr="000F5BF0" w14:paraId="4F45D84C" w14:textId="77777777" w:rsidTr="00023E99">
        <w:trPr>
          <w:trHeight w:val="254"/>
        </w:trPr>
        <w:tc>
          <w:tcPr>
            <w:tcW w:w="1448" w:type="dxa"/>
            <w:shd w:val="clear" w:color="auto" w:fill="auto"/>
            <w:noWrap/>
            <w:vAlign w:val="bottom"/>
            <w:hideMark/>
          </w:tcPr>
          <w:p w14:paraId="17E4B24F"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2007</w:t>
            </w:r>
          </w:p>
        </w:tc>
        <w:tc>
          <w:tcPr>
            <w:tcW w:w="2237" w:type="dxa"/>
            <w:shd w:val="clear" w:color="auto" w:fill="auto"/>
            <w:noWrap/>
            <w:vAlign w:val="bottom"/>
            <w:hideMark/>
          </w:tcPr>
          <w:p w14:paraId="3B993A0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139.5</w:t>
            </w:r>
          </w:p>
        </w:tc>
        <w:tc>
          <w:tcPr>
            <w:tcW w:w="1980" w:type="dxa"/>
            <w:shd w:val="clear" w:color="auto" w:fill="auto"/>
            <w:noWrap/>
            <w:vAlign w:val="bottom"/>
            <w:hideMark/>
          </w:tcPr>
          <w:p w14:paraId="0053A9F0"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300</w:t>
            </w:r>
          </w:p>
        </w:tc>
        <w:tc>
          <w:tcPr>
            <w:tcW w:w="2340" w:type="dxa"/>
            <w:shd w:val="clear" w:color="auto" w:fill="auto"/>
            <w:noWrap/>
            <w:vAlign w:val="bottom"/>
            <w:hideMark/>
          </w:tcPr>
          <w:p w14:paraId="24AB00A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419</w:t>
            </w:r>
          </w:p>
        </w:tc>
      </w:tr>
      <w:tr w:rsidR="000F5BF0" w:rsidRPr="000F5BF0" w14:paraId="28FF234E" w14:textId="77777777" w:rsidTr="00023E99">
        <w:trPr>
          <w:trHeight w:val="254"/>
        </w:trPr>
        <w:tc>
          <w:tcPr>
            <w:tcW w:w="1448" w:type="dxa"/>
            <w:shd w:val="clear" w:color="auto" w:fill="auto"/>
            <w:noWrap/>
            <w:vAlign w:val="bottom"/>
            <w:hideMark/>
          </w:tcPr>
          <w:p w14:paraId="4587AF9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2008</w:t>
            </w:r>
          </w:p>
        </w:tc>
        <w:tc>
          <w:tcPr>
            <w:tcW w:w="2237" w:type="dxa"/>
            <w:shd w:val="clear" w:color="auto" w:fill="auto"/>
            <w:noWrap/>
            <w:vAlign w:val="bottom"/>
            <w:hideMark/>
          </w:tcPr>
          <w:p w14:paraId="0168988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154.3</w:t>
            </w:r>
          </w:p>
        </w:tc>
        <w:tc>
          <w:tcPr>
            <w:tcW w:w="1980" w:type="dxa"/>
            <w:shd w:val="clear" w:color="auto" w:fill="auto"/>
            <w:noWrap/>
            <w:vAlign w:val="bottom"/>
            <w:hideMark/>
          </w:tcPr>
          <w:p w14:paraId="24B0A7B2"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326</w:t>
            </w:r>
          </w:p>
        </w:tc>
        <w:tc>
          <w:tcPr>
            <w:tcW w:w="2340" w:type="dxa"/>
            <w:shd w:val="clear" w:color="auto" w:fill="auto"/>
            <w:noWrap/>
            <w:vAlign w:val="bottom"/>
            <w:hideMark/>
          </w:tcPr>
          <w:p w14:paraId="281E2F09"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503</w:t>
            </w:r>
          </w:p>
        </w:tc>
      </w:tr>
      <w:tr w:rsidR="000F5BF0" w:rsidRPr="000F5BF0" w14:paraId="65CB3BE7" w14:textId="77777777" w:rsidTr="00023E99">
        <w:trPr>
          <w:trHeight w:val="254"/>
        </w:trPr>
        <w:tc>
          <w:tcPr>
            <w:tcW w:w="1448" w:type="dxa"/>
            <w:shd w:val="clear" w:color="auto" w:fill="auto"/>
            <w:noWrap/>
            <w:vAlign w:val="bottom"/>
            <w:hideMark/>
          </w:tcPr>
          <w:p w14:paraId="5EFA3DE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2009</w:t>
            </w:r>
          </w:p>
        </w:tc>
        <w:tc>
          <w:tcPr>
            <w:tcW w:w="2237" w:type="dxa"/>
            <w:shd w:val="clear" w:color="auto" w:fill="auto"/>
            <w:noWrap/>
            <w:vAlign w:val="bottom"/>
            <w:hideMark/>
          </w:tcPr>
          <w:p w14:paraId="412622A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163.2</w:t>
            </w:r>
          </w:p>
        </w:tc>
        <w:tc>
          <w:tcPr>
            <w:tcW w:w="1980" w:type="dxa"/>
            <w:shd w:val="clear" w:color="auto" w:fill="auto"/>
            <w:noWrap/>
            <w:vAlign w:val="bottom"/>
            <w:hideMark/>
          </w:tcPr>
          <w:p w14:paraId="6F0BF3FF"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335</w:t>
            </w:r>
          </w:p>
        </w:tc>
        <w:tc>
          <w:tcPr>
            <w:tcW w:w="2340" w:type="dxa"/>
            <w:shd w:val="clear" w:color="auto" w:fill="auto"/>
            <w:noWrap/>
            <w:vAlign w:val="bottom"/>
            <w:hideMark/>
          </w:tcPr>
          <w:p w14:paraId="389C7898"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546</w:t>
            </w:r>
          </w:p>
        </w:tc>
      </w:tr>
      <w:tr w:rsidR="000F5BF0" w:rsidRPr="000F5BF0" w14:paraId="2EC6BA56" w14:textId="77777777" w:rsidTr="00023E99">
        <w:trPr>
          <w:trHeight w:val="254"/>
        </w:trPr>
        <w:tc>
          <w:tcPr>
            <w:tcW w:w="1448" w:type="dxa"/>
            <w:shd w:val="clear" w:color="auto" w:fill="auto"/>
            <w:noWrap/>
            <w:vAlign w:val="bottom"/>
            <w:hideMark/>
          </w:tcPr>
          <w:p w14:paraId="40C6013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2010</w:t>
            </w:r>
          </w:p>
        </w:tc>
        <w:tc>
          <w:tcPr>
            <w:tcW w:w="2237" w:type="dxa"/>
            <w:shd w:val="clear" w:color="auto" w:fill="auto"/>
            <w:noWrap/>
            <w:vAlign w:val="bottom"/>
            <w:hideMark/>
          </w:tcPr>
          <w:p w14:paraId="07292480"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176.8</w:t>
            </w:r>
          </w:p>
        </w:tc>
        <w:tc>
          <w:tcPr>
            <w:tcW w:w="1980" w:type="dxa"/>
            <w:shd w:val="clear" w:color="auto" w:fill="auto"/>
            <w:noWrap/>
            <w:vAlign w:val="bottom"/>
            <w:hideMark/>
          </w:tcPr>
          <w:p w14:paraId="5069F899"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339</w:t>
            </w:r>
          </w:p>
        </w:tc>
        <w:tc>
          <w:tcPr>
            <w:tcW w:w="2340" w:type="dxa"/>
            <w:shd w:val="clear" w:color="auto" w:fill="auto"/>
            <w:noWrap/>
            <w:vAlign w:val="bottom"/>
            <w:hideMark/>
          </w:tcPr>
          <w:p w14:paraId="0C72E4F8"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599</w:t>
            </w:r>
          </w:p>
        </w:tc>
      </w:tr>
      <w:tr w:rsidR="000F5BF0" w:rsidRPr="000F5BF0" w14:paraId="6FB10517" w14:textId="77777777" w:rsidTr="00023E99">
        <w:trPr>
          <w:trHeight w:val="254"/>
        </w:trPr>
        <w:tc>
          <w:tcPr>
            <w:tcW w:w="1448" w:type="dxa"/>
            <w:shd w:val="clear" w:color="auto" w:fill="auto"/>
            <w:noWrap/>
            <w:vAlign w:val="bottom"/>
            <w:hideMark/>
          </w:tcPr>
          <w:p w14:paraId="18E7509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2011</w:t>
            </w:r>
          </w:p>
        </w:tc>
        <w:tc>
          <w:tcPr>
            <w:tcW w:w="2237" w:type="dxa"/>
            <w:shd w:val="clear" w:color="auto" w:fill="auto"/>
            <w:noWrap/>
            <w:vAlign w:val="bottom"/>
            <w:hideMark/>
          </w:tcPr>
          <w:p w14:paraId="7D0B27B6"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187.9</w:t>
            </w:r>
          </w:p>
        </w:tc>
        <w:tc>
          <w:tcPr>
            <w:tcW w:w="1980" w:type="dxa"/>
            <w:shd w:val="clear" w:color="auto" w:fill="auto"/>
            <w:noWrap/>
            <w:vAlign w:val="bottom"/>
            <w:hideMark/>
          </w:tcPr>
          <w:p w14:paraId="2FFF6B2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351</w:t>
            </w:r>
          </w:p>
        </w:tc>
        <w:tc>
          <w:tcPr>
            <w:tcW w:w="2340" w:type="dxa"/>
            <w:shd w:val="clear" w:color="auto" w:fill="auto"/>
            <w:noWrap/>
            <w:vAlign w:val="bottom"/>
            <w:hideMark/>
          </w:tcPr>
          <w:p w14:paraId="74BF7323"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659</w:t>
            </w:r>
          </w:p>
        </w:tc>
      </w:tr>
      <w:tr w:rsidR="000F5BF0" w:rsidRPr="000F5BF0" w14:paraId="4A81BD8E" w14:textId="77777777" w:rsidTr="00023E99">
        <w:trPr>
          <w:trHeight w:val="254"/>
        </w:trPr>
        <w:tc>
          <w:tcPr>
            <w:tcW w:w="1448" w:type="dxa"/>
            <w:shd w:val="clear" w:color="auto" w:fill="auto"/>
            <w:noWrap/>
            <w:vAlign w:val="bottom"/>
            <w:hideMark/>
          </w:tcPr>
          <w:p w14:paraId="751D3B76"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2012</w:t>
            </w:r>
          </w:p>
        </w:tc>
        <w:tc>
          <w:tcPr>
            <w:tcW w:w="2237" w:type="dxa"/>
            <w:shd w:val="clear" w:color="auto" w:fill="auto"/>
            <w:noWrap/>
            <w:vAlign w:val="bottom"/>
            <w:hideMark/>
          </w:tcPr>
          <w:p w14:paraId="7D7F24A9"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204.5</w:t>
            </w:r>
          </w:p>
        </w:tc>
        <w:tc>
          <w:tcPr>
            <w:tcW w:w="1980" w:type="dxa"/>
            <w:shd w:val="clear" w:color="auto" w:fill="auto"/>
            <w:noWrap/>
            <w:vAlign w:val="bottom"/>
            <w:hideMark/>
          </w:tcPr>
          <w:p w14:paraId="11AE5EE9"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362</w:t>
            </w:r>
          </w:p>
        </w:tc>
        <w:tc>
          <w:tcPr>
            <w:tcW w:w="2340" w:type="dxa"/>
            <w:shd w:val="clear" w:color="auto" w:fill="auto"/>
            <w:noWrap/>
            <w:vAlign w:val="bottom"/>
            <w:hideMark/>
          </w:tcPr>
          <w:p w14:paraId="697BB95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740</w:t>
            </w:r>
          </w:p>
        </w:tc>
      </w:tr>
      <w:tr w:rsidR="000F5BF0" w:rsidRPr="000F5BF0" w14:paraId="64B14907" w14:textId="77777777" w:rsidTr="00023E99">
        <w:trPr>
          <w:trHeight w:val="254"/>
        </w:trPr>
        <w:tc>
          <w:tcPr>
            <w:tcW w:w="1448" w:type="dxa"/>
            <w:shd w:val="clear" w:color="auto" w:fill="auto"/>
            <w:noWrap/>
            <w:vAlign w:val="bottom"/>
            <w:hideMark/>
          </w:tcPr>
          <w:p w14:paraId="6E51DBF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2013</w:t>
            </w:r>
          </w:p>
        </w:tc>
        <w:tc>
          <w:tcPr>
            <w:tcW w:w="2237" w:type="dxa"/>
            <w:shd w:val="clear" w:color="auto" w:fill="auto"/>
            <w:noWrap/>
            <w:vAlign w:val="bottom"/>
            <w:hideMark/>
          </w:tcPr>
          <w:p w14:paraId="55702B02"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221.5</w:t>
            </w:r>
          </w:p>
        </w:tc>
        <w:tc>
          <w:tcPr>
            <w:tcW w:w="1980" w:type="dxa"/>
            <w:shd w:val="clear" w:color="auto" w:fill="auto"/>
            <w:noWrap/>
            <w:vAlign w:val="bottom"/>
            <w:hideMark/>
          </w:tcPr>
          <w:p w14:paraId="4B2EBFDF"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363</w:t>
            </w:r>
          </w:p>
        </w:tc>
        <w:tc>
          <w:tcPr>
            <w:tcW w:w="2340" w:type="dxa"/>
            <w:shd w:val="clear" w:color="auto" w:fill="auto"/>
            <w:noWrap/>
            <w:vAlign w:val="bottom"/>
            <w:hideMark/>
          </w:tcPr>
          <w:p w14:paraId="5B83A72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804</w:t>
            </w:r>
          </w:p>
        </w:tc>
      </w:tr>
      <w:tr w:rsidR="000F5BF0" w:rsidRPr="000F5BF0" w14:paraId="2EBEB264" w14:textId="77777777" w:rsidTr="00023E99">
        <w:trPr>
          <w:trHeight w:val="254"/>
        </w:trPr>
        <w:tc>
          <w:tcPr>
            <w:tcW w:w="1448" w:type="dxa"/>
            <w:shd w:val="clear" w:color="auto" w:fill="auto"/>
            <w:noWrap/>
            <w:vAlign w:val="bottom"/>
            <w:hideMark/>
          </w:tcPr>
          <w:p w14:paraId="004B9007"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2014</w:t>
            </w:r>
          </w:p>
        </w:tc>
        <w:tc>
          <w:tcPr>
            <w:tcW w:w="2237" w:type="dxa"/>
            <w:shd w:val="clear" w:color="auto" w:fill="auto"/>
            <w:noWrap/>
            <w:vAlign w:val="bottom"/>
            <w:hideMark/>
          </w:tcPr>
          <w:p w14:paraId="6DE10108"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241.8</w:t>
            </w:r>
          </w:p>
        </w:tc>
        <w:tc>
          <w:tcPr>
            <w:tcW w:w="1980" w:type="dxa"/>
            <w:shd w:val="clear" w:color="auto" w:fill="auto"/>
            <w:noWrap/>
            <w:vAlign w:val="bottom"/>
            <w:hideMark/>
          </w:tcPr>
          <w:p w14:paraId="6BF17B5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369</w:t>
            </w:r>
          </w:p>
        </w:tc>
        <w:tc>
          <w:tcPr>
            <w:tcW w:w="2340" w:type="dxa"/>
            <w:shd w:val="clear" w:color="auto" w:fill="auto"/>
            <w:noWrap/>
            <w:vAlign w:val="bottom"/>
            <w:hideMark/>
          </w:tcPr>
          <w:p w14:paraId="2A16260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891</w:t>
            </w:r>
          </w:p>
        </w:tc>
      </w:tr>
      <w:tr w:rsidR="000F5BF0" w:rsidRPr="000F5BF0" w14:paraId="2A39E891" w14:textId="77777777" w:rsidTr="00023E99">
        <w:trPr>
          <w:trHeight w:val="254"/>
        </w:trPr>
        <w:tc>
          <w:tcPr>
            <w:tcW w:w="1448" w:type="dxa"/>
            <w:shd w:val="clear" w:color="auto" w:fill="auto"/>
            <w:noWrap/>
            <w:vAlign w:val="bottom"/>
            <w:hideMark/>
          </w:tcPr>
          <w:p w14:paraId="64CE6ED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2015</w:t>
            </w:r>
          </w:p>
        </w:tc>
        <w:tc>
          <w:tcPr>
            <w:tcW w:w="2237" w:type="dxa"/>
            <w:shd w:val="clear" w:color="auto" w:fill="auto"/>
            <w:noWrap/>
            <w:vAlign w:val="bottom"/>
            <w:hideMark/>
          </w:tcPr>
          <w:p w14:paraId="5E7FC12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259.2</w:t>
            </w:r>
          </w:p>
        </w:tc>
        <w:tc>
          <w:tcPr>
            <w:tcW w:w="1980" w:type="dxa"/>
            <w:shd w:val="clear" w:color="auto" w:fill="auto"/>
            <w:noWrap/>
            <w:vAlign w:val="bottom"/>
            <w:hideMark/>
          </w:tcPr>
          <w:p w14:paraId="662260E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386</w:t>
            </w:r>
          </w:p>
        </w:tc>
        <w:tc>
          <w:tcPr>
            <w:tcW w:w="2340" w:type="dxa"/>
            <w:shd w:val="clear" w:color="auto" w:fill="auto"/>
            <w:noWrap/>
            <w:vAlign w:val="bottom"/>
            <w:hideMark/>
          </w:tcPr>
          <w:p w14:paraId="4FEBF59A"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1001</w:t>
            </w:r>
          </w:p>
        </w:tc>
      </w:tr>
      <w:tr w:rsidR="000F5BF0" w:rsidRPr="000F5BF0" w14:paraId="5CCFEFDA" w14:textId="77777777" w:rsidTr="00023E99">
        <w:trPr>
          <w:trHeight w:val="254"/>
        </w:trPr>
        <w:tc>
          <w:tcPr>
            <w:tcW w:w="1448" w:type="dxa"/>
            <w:shd w:val="clear" w:color="auto" w:fill="auto"/>
            <w:noWrap/>
            <w:vAlign w:val="bottom"/>
            <w:hideMark/>
          </w:tcPr>
          <w:p w14:paraId="0A9BD16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2016</w:t>
            </w:r>
          </w:p>
        </w:tc>
        <w:tc>
          <w:tcPr>
            <w:tcW w:w="2237" w:type="dxa"/>
            <w:shd w:val="clear" w:color="auto" w:fill="auto"/>
            <w:noWrap/>
            <w:vAlign w:val="bottom"/>
            <w:hideMark/>
          </w:tcPr>
          <w:p w14:paraId="16BE18C5"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279.0</w:t>
            </w:r>
          </w:p>
        </w:tc>
        <w:tc>
          <w:tcPr>
            <w:tcW w:w="1980" w:type="dxa"/>
            <w:shd w:val="clear" w:color="auto" w:fill="auto"/>
            <w:noWrap/>
            <w:vAlign w:val="bottom"/>
            <w:hideMark/>
          </w:tcPr>
          <w:p w14:paraId="15C8ECB3"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466</w:t>
            </w:r>
          </w:p>
        </w:tc>
        <w:tc>
          <w:tcPr>
            <w:tcW w:w="2340" w:type="dxa"/>
            <w:shd w:val="clear" w:color="auto" w:fill="auto"/>
            <w:noWrap/>
            <w:vAlign w:val="bottom"/>
            <w:hideMark/>
          </w:tcPr>
          <w:p w14:paraId="582D4C2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1301</w:t>
            </w:r>
          </w:p>
        </w:tc>
      </w:tr>
      <w:tr w:rsidR="000F5BF0" w:rsidRPr="000F5BF0" w14:paraId="6CC12AC4" w14:textId="77777777" w:rsidTr="00023E99">
        <w:trPr>
          <w:trHeight w:val="254"/>
        </w:trPr>
        <w:tc>
          <w:tcPr>
            <w:tcW w:w="1448" w:type="dxa"/>
            <w:shd w:val="clear" w:color="auto" w:fill="auto"/>
            <w:noWrap/>
            <w:vAlign w:val="bottom"/>
            <w:hideMark/>
          </w:tcPr>
          <w:p w14:paraId="30315D0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2017</w:t>
            </w:r>
          </w:p>
        </w:tc>
        <w:tc>
          <w:tcPr>
            <w:tcW w:w="2237" w:type="dxa"/>
            <w:shd w:val="clear" w:color="auto" w:fill="auto"/>
            <w:noWrap/>
            <w:vAlign w:val="bottom"/>
            <w:hideMark/>
          </w:tcPr>
          <w:p w14:paraId="70CBBA46"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309.4</w:t>
            </w:r>
          </w:p>
        </w:tc>
        <w:tc>
          <w:tcPr>
            <w:tcW w:w="1980" w:type="dxa"/>
            <w:shd w:val="clear" w:color="auto" w:fill="auto"/>
            <w:noWrap/>
            <w:vAlign w:val="bottom"/>
            <w:hideMark/>
          </w:tcPr>
          <w:p w14:paraId="52B6079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454</w:t>
            </w:r>
          </w:p>
        </w:tc>
        <w:tc>
          <w:tcPr>
            <w:tcW w:w="2340" w:type="dxa"/>
            <w:shd w:val="clear" w:color="auto" w:fill="auto"/>
            <w:noWrap/>
            <w:vAlign w:val="bottom"/>
            <w:hideMark/>
          </w:tcPr>
          <w:p w14:paraId="2C4EF95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1404</w:t>
            </w:r>
          </w:p>
        </w:tc>
      </w:tr>
      <w:tr w:rsidR="000F5BF0" w:rsidRPr="000F5BF0" w14:paraId="38717D20" w14:textId="77777777" w:rsidTr="00023E99">
        <w:trPr>
          <w:trHeight w:val="254"/>
        </w:trPr>
        <w:tc>
          <w:tcPr>
            <w:tcW w:w="1448" w:type="dxa"/>
            <w:shd w:val="clear" w:color="auto" w:fill="auto"/>
            <w:noWrap/>
            <w:vAlign w:val="bottom"/>
            <w:hideMark/>
          </w:tcPr>
          <w:p w14:paraId="49929411"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2018</w:t>
            </w:r>
          </w:p>
        </w:tc>
        <w:tc>
          <w:tcPr>
            <w:tcW w:w="2237" w:type="dxa"/>
            <w:shd w:val="clear" w:color="auto" w:fill="auto"/>
            <w:noWrap/>
            <w:vAlign w:val="bottom"/>
            <w:hideMark/>
          </w:tcPr>
          <w:p w14:paraId="17473B8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357.0</w:t>
            </w:r>
          </w:p>
        </w:tc>
        <w:tc>
          <w:tcPr>
            <w:tcW w:w="1980" w:type="dxa"/>
            <w:shd w:val="clear" w:color="auto" w:fill="auto"/>
            <w:noWrap/>
            <w:vAlign w:val="bottom"/>
            <w:hideMark/>
          </w:tcPr>
          <w:p w14:paraId="22C44ED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449</w:t>
            </w:r>
          </w:p>
        </w:tc>
        <w:tc>
          <w:tcPr>
            <w:tcW w:w="2340" w:type="dxa"/>
            <w:shd w:val="clear" w:color="auto" w:fill="auto"/>
            <w:noWrap/>
            <w:vAlign w:val="bottom"/>
            <w:hideMark/>
          </w:tcPr>
          <w:p w14:paraId="6012486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1603</w:t>
            </w:r>
          </w:p>
        </w:tc>
      </w:tr>
      <w:tr w:rsidR="000F5BF0" w:rsidRPr="000F5BF0" w14:paraId="79907D80" w14:textId="77777777" w:rsidTr="00023E99">
        <w:trPr>
          <w:trHeight w:val="254"/>
        </w:trPr>
        <w:tc>
          <w:tcPr>
            <w:tcW w:w="1448" w:type="dxa"/>
            <w:shd w:val="clear" w:color="auto" w:fill="auto"/>
            <w:noWrap/>
            <w:vAlign w:val="bottom"/>
            <w:hideMark/>
          </w:tcPr>
          <w:p w14:paraId="74DA144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2019</w:t>
            </w:r>
          </w:p>
        </w:tc>
        <w:tc>
          <w:tcPr>
            <w:tcW w:w="2237" w:type="dxa"/>
            <w:shd w:val="clear" w:color="auto" w:fill="auto"/>
            <w:noWrap/>
            <w:vAlign w:val="bottom"/>
            <w:hideMark/>
          </w:tcPr>
          <w:p w14:paraId="6D49F2D0"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413.1</w:t>
            </w:r>
          </w:p>
        </w:tc>
        <w:tc>
          <w:tcPr>
            <w:tcW w:w="1980" w:type="dxa"/>
            <w:shd w:val="clear" w:color="auto" w:fill="auto"/>
            <w:noWrap/>
            <w:vAlign w:val="bottom"/>
            <w:hideMark/>
          </w:tcPr>
          <w:p w14:paraId="48F506C7"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489</w:t>
            </w:r>
          </w:p>
        </w:tc>
        <w:tc>
          <w:tcPr>
            <w:tcW w:w="2340" w:type="dxa"/>
            <w:shd w:val="clear" w:color="auto" w:fill="auto"/>
            <w:noWrap/>
            <w:vAlign w:val="bottom"/>
            <w:hideMark/>
          </w:tcPr>
          <w:p w14:paraId="7B11EBD0"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2021</w:t>
            </w:r>
          </w:p>
        </w:tc>
      </w:tr>
      <w:tr w:rsidR="000F5BF0" w:rsidRPr="000F5BF0" w14:paraId="252618F6" w14:textId="77777777" w:rsidTr="00023E99">
        <w:trPr>
          <w:trHeight w:val="254"/>
        </w:trPr>
        <w:tc>
          <w:tcPr>
            <w:tcW w:w="1448" w:type="dxa"/>
            <w:shd w:val="clear" w:color="auto" w:fill="auto"/>
            <w:noWrap/>
            <w:vAlign w:val="bottom"/>
            <w:hideMark/>
          </w:tcPr>
          <w:p w14:paraId="372B89E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2020</w:t>
            </w:r>
          </w:p>
        </w:tc>
        <w:tc>
          <w:tcPr>
            <w:tcW w:w="2237" w:type="dxa"/>
            <w:shd w:val="clear" w:color="auto" w:fill="auto"/>
            <w:noWrap/>
            <w:vAlign w:val="bottom"/>
            <w:hideMark/>
          </w:tcPr>
          <w:p w14:paraId="1C56BDF0"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465.3</w:t>
            </w:r>
          </w:p>
        </w:tc>
        <w:tc>
          <w:tcPr>
            <w:tcW w:w="1980" w:type="dxa"/>
            <w:shd w:val="clear" w:color="auto" w:fill="auto"/>
            <w:noWrap/>
            <w:vAlign w:val="bottom"/>
            <w:hideMark/>
          </w:tcPr>
          <w:p w14:paraId="46C15131"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500</w:t>
            </w:r>
          </w:p>
        </w:tc>
        <w:tc>
          <w:tcPr>
            <w:tcW w:w="2340" w:type="dxa"/>
            <w:shd w:val="clear" w:color="auto" w:fill="auto"/>
            <w:noWrap/>
            <w:vAlign w:val="bottom"/>
            <w:hideMark/>
          </w:tcPr>
          <w:p w14:paraId="015496B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2325</w:t>
            </w:r>
          </w:p>
        </w:tc>
      </w:tr>
      <w:tr w:rsidR="000F5BF0" w:rsidRPr="000F5BF0" w14:paraId="35B71812" w14:textId="77777777" w:rsidTr="00023E99">
        <w:trPr>
          <w:trHeight w:val="254"/>
        </w:trPr>
        <w:tc>
          <w:tcPr>
            <w:tcW w:w="1448" w:type="dxa"/>
            <w:shd w:val="clear" w:color="auto" w:fill="auto"/>
            <w:noWrap/>
            <w:vAlign w:val="bottom"/>
            <w:hideMark/>
          </w:tcPr>
          <w:p w14:paraId="4198573B"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2021</w:t>
            </w:r>
          </w:p>
        </w:tc>
        <w:tc>
          <w:tcPr>
            <w:tcW w:w="2237" w:type="dxa"/>
            <w:shd w:val="clear" w:color="auto" w:fill="auto"/>
            <w:noWrap/>
            <w:vAlign w:val="bottom"/>
            <w:hideMark/>
          </w:tcPr>
          <w:p w14:paraId="0C574AD1"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546.8</w:t>
            </w:r>
          </w:p>
        </w:tc>
        <w:tc>
          <w:tcPr>
            <w:tcW w:w="1980" w:type="dxa"/>
            <w:shd w:val="clear" w:color="auto" w:fill="auto"/>
            <w:noWrap/>
            <w:vAlign w:val="bottom"/>
            <w:hideMark/>
          </w:tcPr>
          <w:p w14:paraId="0BDDDD97"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517</w:t>
            </w:r>
          </w:p>
        </w:tc>
        <w:tc>
          <w:tcPr>
            <w:tcW w:w="2340" w:type="dxa"/>
            <w:shd w:val="clear" w:color="auto" w:fill="auto"/>
            <w:noWrap/>
            <w:vAlign w:val="bottom"/>
            <w:hideMark/>
          </w:tcPr>
          <w:p w14:paraId="598A9D08"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2826</w:t>
            </w:r>
          </w:p>
        </w:tc>
      </w:tr>
      <w:tr w:rsidR="000F5BF0" w:rsidRPr="000F5BF0" w14:paraId="170A54CD" w14:textId="77777777" w:rsidTr="00023E99">
        <w:trPr>
          <w:trHeight w:val="254"/>
        </w:trPr>
        <w:tc>
          <w:tcPr>
            <w:tcW w:w="1448" w:type="dxa"/>
            <w:shd w:val="clear" w:color="auto" w:fill="auto"/>
            <w:noWrap/>
            <w:vAlign w:val="bottom"/>
            <w:hideMark/>
          </w:tcPr>
          <w:p w14:paraId="4C232E0D"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2022</w:t>
            </w:r>
          </w:p>
        </w:tc>
        <w:tc>
          <w:tcPr>
            <w:tcW w:w="2237" w:type="dxa"/>
            <w:shd w:val="clear" w:color="auto" w:fill="auto"/>
            <w:noWrap/>
            <w:vAlign w:val="bottom"/>
            <w:hideMark/>
          </w:tcPr>
          <w:p w14:paraId="7CAA7572"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976.7</w:t>
            </w:r>
          </w:p>
        </w:tc>
        <w:tc>
          <w:tcPr>
            <w:tcW w:w="1980" w:type="dxa"/>
            <w:shd w:val="clear" w:color="auto" w:fill="auto"/>
            <w:noWrap/>
            <w:vAlign w:val="bottom"/>
            <w:hideMark/>
          </w:tcPr>
          <w:p w14:paraId="3268969E"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435</w:t>
            </w:r>
          </w:p>
        </w:tc>
        <w:tc>
          <w:tcPr>
            <w:tcW w:w="2340" w:type="dxa"/>
            <w:shd w:val="clear" w:color="auto" w:fill="auto"/>
            <w:noWrap/>
            <w:vAlign w:val="bottom"/>
            <w:hideMark/>
          </w:tcPr>
          <w:p w14:paraId="7166FD24" w14:textId="77777777" w:rsidR="000F5BF0" w:rsidRPr="000F5BF0" w:rsidRDefault="000F5BF0" w:rsidP="00023E99">
            <w:pPr>
              <w:spacing w:after="0" w:line="240" w:lineRule="auto"/>
              <w:jc w:val="center"/>
              <w:rPr>
                <w:rFonts w:ascii="Calibri" w:eastAsia="Times New Roman" w:hAnsi="Calibri" w:cs="Calibri"/>
                <w:color w:val="000000"/>
                <w:sz w:val="20"/>
                <w:szCs w:val="20"/>
                <w:lang w:val="tr-TR"/>
              </w:rPr>
            </w:pPr>
            <w:r w:rsidRPr="000F5BF0">
              <w:rPr>
                <w:rFonts w:ascii="Calibri" w:eastAsia="Times New Roman" w:hAnsi="Calibri" w:cs="Calibri"/>
                <w:color w:val="000000"/>
                <w:sz w:val="20"/>
                <w:szCs w:val="20"/>
                <w:lang w:val="tr-TR"/>
              </w:rPr>
              <w:t>4253</w:t>
            </w:r>
          </w:p>
        </w:tc>
      </w:tr>
    </w:tbl>
    <w:bookmarkEnd w:id="2"/>
    <w:p w14:paraId="026406BB" w14:textId="77777777" w:rsidR="000F5BF0" w:rsidRPr="000F5BF0" w:rsidRDefault="000F5BF0" w:rsidP="000F5BF0">
      <w:pPr>
        <w:spacing w:after="0"/>
        <w:rPr>
          <w:lang w:val="tr-TR"/>
        </w:rPr>
      </w:pPr>
      <w:r w:rsidRPr="000F5BF0">
        <w:rPr>
          <w:lang w:val="tr-TR"/>
        </w:rPr>
        <w:t>Kaynak: Tüik, Betam</w:t>
      </w:r>
    </w:p>
    <w:p w14:paraId="5262E7A2" w14:textId="77777777" w:rsidR="000F5BF0" w:rsidRPr="000F5BF0" w:rsidRDefault="000F5BF0" w:rsidP="000F5BF0">
      <w:pPr>
        <w:rPr>
          <w:lang w:val="tr-TR"/>
        </w:rPr>
      </w:pPr>
    </w:p>
    <w:p w14:paraId="375D186E" w14:textId="77777777" w:rsidR="000F5BF0" w:rsidRPr="000F5BF0" w:rsidRDefault="000F5BF0" w:rsidP="000F5BF0">
      <w:pPr>
        <w:rPr>
          <w:b/>
          <w:lang w:val="tr-TR"/>
        </w:rPr>
      </w:pPr>
      <w:r w:rsidRPr="000F5BF0">
        <w:rPr>
          <w:b/>
          <w:lang w:val="tr-TR"/>
        </w:rPr>
        <w:t>Ek Tablo 2: Harcama Gruplarına Göre Endeks Sonuçları(2003=100)</w:t>
      </w:r>
    </w:p>
    <w:tbl>
      <w:tblPr>
        <w:tblStyle w:val="TableGrid"/>
        <w:tblW w:w="8725" w:type="dxa"/>
        <w:tblLook w:val="04A0" w:firstRow="1" w:lastRow="0" w:firstColumn="1" w:lastColumn="0" w:noHBand="0" w:noVBand="1"/>
      </w:tblPr>
      <w:tblGrid>
        <w:gridCol w:w="1525"/>
        <w:gridCol w:w="990"/>
        <w:gridCol w:w="1710"/>
        <w:gridCol w:w="1569"/>
        <w:gridCol w:w="1131"/>
        <w:gridCol w:w="1800"/>
      </w:tblGrid>
      <w:tr w:rsidR="000F5BF0" w:rsidRPr="008B1E55" w14:paraId="308BC05E" w14:textId="77777777" w:rsidTr="00023E99">
        <w:trPr>
          <w:trHeight w:val="554"/>
        </w:trPr>
        <w:tc>
          <w:tcPr>
            <w:tcW w:w="1525" w:type="dxa"/>
          </w:tcPr>
          <w:p w14:paraId="097F17FE" w14:textId="77777777" w:rsidR="000F5BF0" w:rsidRPr="000F5BF0" w:rsidRDefault="000F5BF0" w:rsidP="00023E99">
            <w:pPr>
              <w:rPr>
                <w:sz w:val="20"/>
                <w:szCs w:val="20"/>
              </w:rPr>
            </w:pPr>
          </w:p>
        </w:tc>
        <w:tc>
          <w:tcPr>
            <w:tcW w:w="990" w:type="dxa"/>
          </w:tcPr>
          <w:p w14:paraId="6BC8318E" w14:textId="77777777" w:rsidR="000F5BF0" w:rsidRPr="000F5BF0" w:rsidRDefault="000F5BF0" w:rsidP="00023E99">
            <w:pPr>
              <w:jc w:val="center"/>
              <w:rPr>
                <w:sz w:val="20"/>
                <w:szCs w:val="20"/>
              </w:rPr>
            </w:pPr>
            <w:r w:rsidRPr="000F5BF0">
              <w:rPr>
                <w:sz w:val="20"/>
                <w:szCs w:val="20"/>
              </w:rPr>
              <w:t>Genel</w:t>
            </w:r>
          </w:p>
        </w:tc>
        <w:tc>
          <w:tcPr>
            <w:tcW w:w="1710" w:type="dxa"/>
          </w:tcPr>
          <w:p w14:paraId="7A21FCF5" w14:textId="77777777" w:rsidR="000F5BF0" w:rsidRPr="000F5BF0" w:rsidRDefault="000F5BF0" w:rsidP="00023E99">
            <w:pPr>
              <w:jc w:val="center"/>
              <w:rPr>
                <w:sz w:val="20"/>
                <w:szCs w:val="20"/>
              </w:rPr>
            </w:pPr>
            <w:r w:rsidRPr="000F5BF0">
              <w:rPr>
                <w:sz w:val="20"/>
                <w:szCs w:val="20"/>
              </w:rPr>
              <w:t>Gıda ve alkolsüz içecekler</w:t>
            </w:r>
          </w:p>
        </w:tc>
        <w:tc>
          <w:tcPr>
            <w:tcW w:w="1569" w:type="dxa"/>
          </w:tcPr>
          <w:p w14:paraId="04F24442" w14:textId="77777777" w:rsidR="000F5BF0" w:rsidRPr="000F5BF0" w:rsidRDefault="000F5BF0" w:rsidP="00023E99">
            <w:pPr>
              <w:jc w:val="center"/>
              <w:rPr>
                <w:sz w:val="20"/>
                <w:szCs w:val="20"/>
              </w:rPr>
            </w:pPr>
            <w:r w:rsidRPr="000F5BF0">
              <w:rPr>
                <w:sz w:val="20"/>
                <w:szCs w:val="20"/>
              </w:rPr>
              <w:t>Ulaştırma</w:t>
            </w:r>
          </w:p>
        </w:tc>
        <w:tc>
          <w:tcPr>
            <w:tcW w:w="1131" w:type="dxa"/>
          </w:tcPr>
          <w:p w14:paraId="5D315830" w14:textId="77777777" w:rsidR="000F5BF0" w:rsidRPr="000F5BF0" w:rsidRDefault="000F5BF0" w:rsidP="00023E99">
            <w:pPr>
              <w:jc w:val="center"/>
              <w:rPr>
                <w:sz w:val="20"/>
                <w:szCs w:val="20"/>
              </w:rPr>
            </w:pPr>
            <w:r w:rsidRPr="000F5BF0">
              <w:rPr>
                <w:sz w:val="20"/>
                <w:szCs w:val="20"/>
              </w:rPr>
              <w:t>Gerçek kira</w:t>
            </w:r>
          </w:p>
        </w:tc>
        <w:tc>
          <w:tcPr>
            <w:tcW w:w="1800" w:type="dxa"/>
          </w:tcPr>
          <w:p w14:paraId="49111CD4" w14:textId="77777777" w:rsidR="000F5BF0" w:rsidRPr="000F5BF0" w:rsidRDefault="000F5BF0" w:rsidP="00023E99">
            <w:pPr>
              <w:jc w:val="center"/>
              <w:rPr>
                <w:sz w:val="20"/>
                <w:szCs w:val="20"/>
              </w:rPr>
            </w:pPr>
            <w:r w:rsidRPr="000F5BF0">
              <w:rPr>
                <w:sz w:val="20"/>
                <w:szCs w:val="20"/>
              </w:rPr>
              <w:t>Elektrik, gaz ve diğer yakıtlar</w:t>
            </w:r>
          </w:p>
        </w:tc>
      </w:tr>
      <w:tr w:rsidR="000F5BF0" w:rsidRPr="000F5BF0" w14:paraId="76DBFCB4" w14:textId="77777777" w:rsidTr="00023E99">
        <w:trPr>
          <w:trHeight w:val="186"/>
        </w:trPr>
        <w:tc>
          <w:tcPr>
            <w:tcW w:w="1525" w:type="dxa"/>
          </w:tcPr>
          <w:p w14:paraId="7C5F9755" w14:textId="77777777" w:rsidR="000F5BF0" w:rsidRPr="000F5BF0" w:rsidRDefault="000F5BF0" w:rsidP="00023E99">
            <w:pPr>
              <w:jc w:val="center"/>
              <w:rPr>
                <w:sz w:val="20"/>
                <w:szCs w:val="20"/>
              </w:rPr>
            </w:pPr>
            <w:r w:rsidRPr="000F5BF0">
              <w:rPr>
                <w:sz w:val="20"/>
                <w:szCs w:val="20"/>
              </w:rPr>
              <w:t>2015 Aralık</w:t>
            </w:r>
          </w:p>
        </w:tc>
        <w:tc>
          <w:tcPr>
            <w:tcW w:w="990" w:type="dxa"/>
            <w:shd w:val="clear" w:color="auto" w:fill="auto"/>
            <w:vAlign w:val="bottom"/>
          </w:tcPr>
          <w:p w14:paraId="7A3D9921" w14:textId="77777777" w:rsidR="000F5BF0" w:rsidRPr="000F5BF0" w:rsidRDefault="000F5BF0" w:rsidP="00023E99">
            <w:pPr>
              <w:jc w:val="center"/>
              <w:rPr>
                <w:sz w:val="20"/>
                <w:szCs w:val="20"/>
              </w:rPr>
            </w:pPr>
            <w:r w:rsidRPr="000F5BF0">
              <w:rPr>
                <w:sz w:val="20"/>
                <w:szCs w:val="20"/>
              </w:rPr>
              <w:t>269.54</w:t>
            </w:r>
          </w:p>
        </w:tc>
        <w:tc>
          <w:tcPr>
            <w:tcW w:w="1710" w:type="dxa"/>
            <w:shd w:val="clear" w:color="auto" w:fill="auto"/>
            <w:vAlign w:val="bottom"/>
          </w:tcPr>
          <w:p w14:paraId="28286D91" w14:textId="77777777" w:rsidR="000F5BF0" w:rsidRPr="000F5BF0" w:rsidRDefault="000F5BF0" w:rsidP="00023E99">
            <w:pPr>
              <w:jc w:val="center"/>
              <w:rPr>
                <w:sz w:val="20"/>
                <w:szCs w:val="20"/>
              </w:rPr>
            </w:pPr>
            <w:r w:rsidRPr="000F5BF0">
              <w:rPr>
                <w:sz w:val="20"/>
                <w:szCs w:val="20"/>
              </w:rPr>
              <w:t>302.27</w:t>
            </w:r>
          </w:p>
        </w:tc>
        <w:tc>
          <w:tcPr>
            <w:tcW w:w="1569" w:type="dxa"/>
            <w:shd w:val="clear" w:color="auto" w:fill="auto"/>
            <w:vAlign w:val="bottom"/>
          </w:tcPr>
          <w:p w14:paraId="320020C7" w14:textId="77777777" w:rsidR="000F5BF0" w:rsidRPr="000F5BF0" w:rsidRDefault="000F5BF0" w:rsidP="00023E99">
            <w:pPr>
              <w:jc w:val="center"/>
              <w:rPr>
                <w:sz w:val="20"/>
                <w:szCs w:val="20"/>
              </w:rPr>
            </w:pPr>
            <w:r w:rsidRPr="000F5BF0">
              <w:rPr>
                <w:sz w:val="20"/>
                <w:szCs w:val="20"/>
              </w:rPr>
              <w:t>245.87</w:t>
            </w:r>
          </w:p>
        </w:tc>
        <w:tc>
          <w:tcPr>
            <w:tcW w:w="1131" w:type="dxa"/>
            <w:shd w:val="clear" w:color="auto" w:fill="auto"/>
            <w:vAlign w:val="bottom"/>
          </w:tcPr>
          <w:p w14:paraId="49F6489C" w14:textId="77777777" w:rsidR="000F5BF0" w:rsidRPr="000F5BF0" w:rsidRDefault="000F5BF0" w:rsidP="00023E99">
            <w:pPr>
              <w:jc w:val="center"/>
              <w:rPr>
                <w:sz w:val="20"/>
                <w:szCs w:val="20"/>
              </w:rPr>
            </w:pPr>
            <w:r w:rsidRPr="000F5BF0">
              <w:rPr>
                <w:sz w:val="20"/>
                <w:szCs w:val="20"/>
              </w:rPr>
              <w:t>364.90</w:t>
            </w:r>
          </w:p>
        </w:tc>
        <w:tc>
          <w:tcPr>
            <w:tcW w:w="1800" w:type="dxa"/>
            <w:shd w:val="clear" w:color="auto" w:fill="auto"/>
            <w:vAlign w:val="bottom"/>
          </w:tcPr>
          <w:p w14:paraId="084C6C1B" w14:textId="77777777" w:rsidR="000F5BF0" w:rsidRPr="000F5BF0" w:rsidRDefault="000F5BF0" w:rsidP="00023E99">
            <w:pPr>
              <w:jc w:val="center"/>
              <w:rPr>
                <w:sz w:val="20"/>
                <w:szCs w:val="20"/>
              </w:rPr>
            </w:pPr>
            <w:r w:rsidRPr="000F5BF0">
              <w:rPr>
                <w:sz w:val="20"/>
                <w:szCs w:val="20"/>
              </w:rPr>
              <w:t>302.92</w:t>
            </w:r>
          </w:p>
        </w:tc>
      </w:tr>
      <w:tr w:rsidR="000F5BF0" w:rsidRPr="000F5BF0" w14:paraId="333B2115" w14:textId="77777777" w:rsidTr="00023E99">
        <w:trPr>
          <w:trHeight w:val="186"/>
        </w:trPr>
        <w:tc>
          <w:tcPr>
            <w:tcW w:w="1525" w:type="dxa"/>
          </w:tcPr>
          <w:p w14:paraId="707A8EBB" w14:textId="77777777" w:rsidR="000F5BF0" w:rsidRPr="000F5BF0" w:rsidRDefault="000F5BF0" w:rsidP="00023E99">
            <w:pPr>
              <w:jc w:val="center"/>
              <w:rPr>
                <w:sz w:val="20"/>
                <w:szCs w:val="20"/>
              </w:rPr>
            </w:pPr>
            <w:r w:rsidRPr="000F5BF0">
              <w:rPr>
                <w:sz w:val="20"/>
                <w:szCs w:val="20"/>
              </w:rPr>
              <w:t>2016 Ocak</w:t>
            </w:r>
          </w:p>
        </w:tc>
        <w:tc>
          <w:tcPr>
            <w:tcW w:w="990" w:type="dxa"/>
            <w:shd w:val="clear" w:color="auto" w:fill="auto"/>
            <w:vAlign w:val="bottom"/>
          </w:tcPr>
          <w:p w14:paraId="28C29A31" w14:textId="77777777" w:rsidR="000F5BF0" w:rsidRPr="000F5BF0" w:rsidRDefault="000F5BF0" w:rsidP="00023E99">
            <w:pPr>
              <w:jc w:val="center"/>
              <w:rPr>
                <w:sz w:val="20"/>
                <w:szCs w:val="20"/>
              </w:rPr>
            </w:pPr>
            <w:r w:rsidRPr="000F5BF0">
              <w:rPr>
                <w:sz w:val="20"/>
                <w:szCs w:val="20"/>
              </w:rPr>
              <w:t>274.44</w:t>
            </w:r>
          </w:p>
        </w:tc>
        <w:tc>
          <w:tcPr>
            <w:tcW w:w="1710" w:type="dxa"/>
            <w:shd w:val="clear" w:color="auto" w:fill="auto"/>
            <w:vAlign w:val="bottom"/>
          </w:tcPr>
          <w:p w14:paraId="4CA1FFD3" w14:textId="77777777" w:rsidR="000F5BF0" w:rsidRPr="000F5BF0" w:rsidRDefault="000F5BF0" w:rsidP="00023E99">
            <w:pPr>
              <w:jc w:val="center"/>
              <w:rPr>
                <w:sz w:val="20"/>
                <w:szCs w:val="20"/>
              </w:rPr>
            </w:pPr>
            <w:r w:rsidRPr="000F5BF0">
              <w:rPr>
                <w:sz w:val="20"/>
                <w:szCs w:val="20"/>
              </w:rPr>
              <w:t>315.22</w:t>
            </w:r>
          </w:p>
        </w:tc>
        <w:tc>
          <w:tcPr>
            <w:tcW w:w="1569" w:type="dxa"/>
            <w:shd w:val="clear" w:color="auto" w:fill="auto"/>
            <w:vAlign w:val="bottom"/>
          </w:tcPr>
          <w:p w14:paraId="7DE01A10" w14:textId="77777777" w:rsidR="000F5BF0" w:rsidRPr="000F5BF0" w:rsidRDefault="000F5BF0" w:rsidP="00023E99">
            <w:pPr>
              <w:jc w:val="center"/>
              <w:rPr>
                <w:sz w:val="20"/>
                <w:szCs w:val="20"/>
              </w:rPr>
            </w:pPr>
            <w:r w:rsidRPr="000F5BF0">
              <w:rPr>
                <w:sz w:val="20"/>
                <w:szCs w:val="20"/>
              </w:rPr>
              <w:t>246.71</w:t>
            </w:r>
          </w:p>
        </w:tc>
        <w:tc>
          <w:tcPr>
            <w:tcW w:w="1131" w:type="dxa"/>
            <w:shd w:val="clear" w:color="auto" w:fill="auto"/>
            <w:vAlign w:val="bottom"/>
          </w:tcPr>
          <w:p w14:paraId="1954E4E8" w14:textId="77777777" w:rsidR="000F5BF0" w:rsidRPr="000F5BF0" w:rsidRDefault="000F5BF0" w:rsidP="00023E99">
            <w:pPr>
              <w:jc w:val="center"/>
              <w:rPr>
                <w:sz w:val="20"/>
                <w:szCs w:val="20"/>
              </w:rPr>
            </w:pPr>
            <w:r w:rsidRPr="000F5BF0">
              <w:rPr>
                <w:sz w:val="20"/>
                <w:szCs w:val="20"/>
              </w:rPr>
              <w:t>367.72</w:t>
            </w:r>
          </w:p>
        </w:tc>
        <w:tc>
          <w:tcPr>
            <w:tcW w:w="1800" w:type="dxa"/>
            <w:shd w:val="clear" w:color="auto" w:fill="auto"/>
            <w:vAlign w:val="bottom"/>
          </w:tcPr>
          <w:p w14:paraId="68DE4CF4" w14:textId="77777777" w:rsidR="000F5BF0" w:rsidRPr="000F5BF0" w:rsidRDefault="000F5BF0" w:rsidP="00023E99">
            <w:pPr>
              <w:jc w:val="center"/>
              <w:rPr>
                <w:sz w:val="20"/>
                <w:szCs w:val="20"/>
              </w:rPr>
            </w:pPr>
            <w:r w:rsidRPr="000F5BF0">
              <w:rPr>
                <w:sz w:val="20"/>
                <w:szCs w:val="20"/>
              </w:rPr>
              <w:t>311.04</w:t>
            </w:r>
          </w:p>
        </w:tc>
      </w:tr>
      <w:tr w:rsidR="000F5BF0" w:rsidRPr="000F5BF0" w14:paraId="4C075611" w14:textId="77777777" w:rsidTr="00023E99">
        <w:trPr>
          <w:trHeight w:val="186"/>
        </w:trPr>
        <w:tc>
          <w:tcPr>
            <w:tcW w:w="1525" w:type="dxa"/>
          </w:tcPr>
          <w:p w14:paraId="7E70E071" w14:textId="77777777" w:rsidR="000F5BF0" w:rsidRPr="000F5BF0" w:rsidRDefault="000F5BF0" w:rsidP="00023E99">
            <w:pPr>
              <w:jc w:val="center"/>
              <w:rPr>
                <w:sz w:val="20"/>
                <w:szCs w:val="20"/>
              </w:rPr>
            </w:pPr>
            <w:r w:rsidRPr="000F5BF0">
              <w:rPr>
                <w:sz w:val="20"/>
                <w:szCs w:val="20"/>
              </w:rPr>
              <w:t>2016 Şubat</w:t>
            </w:r>
          </w:p>
        </w:tc>
        <w:tc>
          <w:tcPr>
            <w:tcW w:w="990" w:type="dxa"/>
            <w:shd w:val="clear" w:color="auto" w:fill="auto"/>
            <w:vAlign w:val="bottom"/>
          </w:tcPr>
          <w:p w14:paraId="4B5F49A2" w14:textId="77777777" w:rsidR="000F5BF0" w:rsidRPr="000F5BF0" w:rsidRDefault="000F5BF0" w:rsidP="00023E99">
            <w:pPr>
              <w:jc w:val="center"/>
              <w:rPr>
                <w:sz w:val="20"/>
                <w:szCs w:val="20"/>
              </w:rPr>
            </w:pPr>
            <w:r w:rsidRPr="000F5BF0">
              <w:rPr>
                <w:sz w:val="20"/>
                <w:szCs w:val="20"/>
              </w:rPr>
              <w:t>274.38</w:t>
            </w:r>
          </w:p>
        </w:tc>
        <w:tc>
          <w:tcPr>
            <w:tcW w:w="1710" w:type="dxa"/>
            <w:shd w:val="clear" w:color="auto" w:fill="auto"/>
            <w:vAlign w:val="bottom"/>
          </w:tcPr>
          <w:p w14:paraId="2198ABFD" w14:textId="77777777" w:rsidR="000F5BF0" w:rsidRPr="000F5BF0" w:rsidRDefault="000F5BF0" w:rsidP="00023E99">
            <w:pPr>
              <w:jc w:val="center"/>
              <w:rPr>
                <w:sz w:val="20"/>
                <w:szCs w:val="20"/>
              </w:rPr>
            </w:pPr>
            <w:r w:rsidRPr="000F5BF0">
              <w:rPr>
                <w:sz w:val="20"/>
                <w:szCs w:val="20"/>
              </w:rPr>
              <w:t>315.10</w:t>
            </w:r>
          </w:p>
        </w:tc>
        <w:tc>
          <w:tcPr>
            <w:tcW w:w="1569" w:type="dxa"/>
            <w:shd w:val="clear" w:color="auto" w:fill="auto"/>
            <w:vAlign w:val="bottom"/>
          </w:tcPr>
          <w:p w14:paraId="790ABE1B" w14:textId="77777777" w:rsidR="000F5BF0" w:rsidRPr="000F5BF0" w:rsidRDefault="000F5BF0" w:rsidP="00023E99">
            <w:pPr>
              <w:jc w:val="center"/>
              <w:rPr>
                <w:sz w:val="20"/>
                <w:szCs w:val="20"/>
              </w:rPr>
            </w:pPr>
            <w:r w:rsidRPr="000F5BF0">
              <w:rPr>
                <w:sz w:val="20"/>
                <w:szCs w:val="20"/>
              </w:rPr>
              <w:t>248.61</w:t>
            </w:r>
          </w:p>
        </w:tc>
        <w:tc>
          <w:tcPr>
            <w:tcW w:w="1131" w:type="dxa"/>
            <w:shd w:val="clear" w:color="auto" w:fill="auto"/>
            <w:vAlign w:val="bottom"/>
          </w:tcPr>
          <w:p w14:paraId="2C2C10AA" w14:textId="77777777" w:rsidR="000F5BF0" w:rsidRPr="000F5BF0" w:rsidRDefault="000F5BF0" w:rsidP="00023E99">
            <w:pPr>
              <w:jc w:val="center"/>
              <w:rPr>
                <w:sz w:val="20"/>
                <w:szCs w:val="20"/>
              </w:rPr>
            </w:pPr>
            <w:r w:rsidRPr="000F5BF0">
              <w:rPr>
                <w:sz w:val="20"/>
                <w:szCs w:val="20"/>
              </w:rPr>
              <w:t>369.70</w:t>
            </w:r>
          </w:p>
        </w:tc>
        <w:tc>
          <w:tcPr>
            <w:tcW w:w="1800" w:type="dxa"/>
            <w:shd w:val="clear" w:color="auto" w:fill="auto"/>
            <w:vAlign w:val="bottom"/>
          </w:tcPr>
          <w:p w14:paraId="3188112A" w14:textId="77777777" w:rsidR="000F5BF0" w:rsidRPr="000F5BF0" w:rsidRDefault="000F5BF0" w:rsidP="00023E99">
            <w:pPr>
              <w:jc w:val="center"/>
              <w:rPr>
                <w:sz w:val="20"/>
                <w:szCs w:val="20"/>
              </w:rPr>
            </w:pPr>
            <w:r w:rsidRPr="000F5BF0">
              <w:rPr>
                <w:sz w:val="20"/>
                <w:szCs w:val="20"/>
              </w:rPr>
              <w:t>310.65</w:t>
            </w:r>
          </w:p>
        </w:tc>
      </w:tr>
      <w:tr w:rsidR="000F5BF0" w:rsidRPr="000F5BF0" w14:paraId="0FD6EB90" w14:textId="77777777" w:rsidTr="00023E99">
        <w:trPr>
          <w:trHeight w:val="179"/>
        </w:trPr>
        <w:tc>
          <w:tcPr>
            <w:tcW w:w="1525" w:type="dxa"/>
          </w:tcPr>
          <w:p w14:paraId="507DB3E6" w14:textId="77777777" w:rsidR="000F5BF0" w:rsidRPr="000F5BF0" w:rsidRDefault="000F5BF0" w:rsidP="00023E99">
            <w:pPr>
              <w:jc w:val="center"/>
              <w:rPr>
                <w:sz w:val="20"/>
                <w:szCs w:val="20"/>
              </w:rPr>
            </w:pPr>
            <w:r w:rsidRPr="000F5BF0">
              <w:rPr>
                <w:sz w:val="20"/>
                <w:szCs w:val="20"/>
              </w:rPr>
              <w:t>2016 Mart</w:t>
            </w:r>
          </w:p>
        </w:tc>
        <w:tc>
          <w:tcPr>
            <w:tcW w:w="990" w:type="dxa"/>
            <w:shd w:val="clear" w:color="auto" w:fill="auto"/>
            <w:vAlign w:val="bottom"/>
          </w:tcPr>
          <w:p w14:paraId="016B63B6" w14:textId="77777777" w:rsidR="000F5BF0" w:rsidRPr="000F5BF0" w:rsidRDefault="000F5BF0" w:rsidP="00023E99">
            <w:pPr>
              <w:jc w:val="center"/>
              <w:rPr>
                <w:sz w:val="20"/>
                <w:szCs w:val="20"/>
              </w:rPr>
            </w:pPr>
            <w:r w:rsidRPr="000F5BF0">
              <w:rPr>
                <w:sz w:val="20"/>
                <w:szCs w:val="20"/>
              </w:rPr>
              <w:t>274.27</w:t>
            </w:r>
          </w:p>
        </w:tc>
        <w:tc>
          <w:tcPr>
            <w:tcW w:w="1710" w:type="dxa"/>
            <w:shd w:val="clear" w:color="auto" w:fill="auto"/>
            <w:vAlign w:val="bottom"/>
          </w:tcPr>
          <w:p w14:paraId="0FDCF8D7" w14:textId="77777777" w:rsidR="000F5BF0" w:rsidRPr="000F5BF0" w:rsidRDefault="000F5BF0" w:rsidP="00023E99">
            <w:pPr>
              <w:jc w:val="center"/>
              <w:rPr>
                <w:sz w:val="20"/>
                <w:szCs w:val="20"/>
              </w:rPr>
            </w:pPr>
            <w:r w:rsidRPr="000F5BF0">
              <w:rPr>
                <w:sz w:val="20"/>
                <w:szCs w:val="20"/>
              </w:rPr>
              <w:t>310.29</w:t>
            </w:r>
          </w:p>
        </w:tc>
        <w:tc>
          <w:tcPr>
            <w:tcW w:w="1569" w:type="dxa"/>
            <w:shd w:val="clear" w:color="auto" w:fill="auto"/>
            <w:vAlign w:val="bottom"/>
          </w:tcPr>
          <w:p w14:paraId="2B42FAAB" w14:textId="77777777" w:rsidR="000F5BF0" w:rsidRPr="000F5BF0" w:rsidRDefault="000F5BF0" w:rsidP="00023E99">
            <w:pPr>
              <w:jc w:val="center"/>
              <w:rPr>
                <w:sz w:val="20"/>
                <w:szCs w:val="20"/>
              </w:rPr>
            </w:pPr>
            <w:r w:rsidRPr="000F5BF0">
              <w:rPr>
                <w:sz w:val="20"/>
                <w:szCs w:val="20"/>
              </w:rPr>
              <w:t>250.57</w:t>
            </w:r>
          </w:p>
        </w:tc>
        <w:tc>
          <w:tcPr>
            <w:tcW w:w="1131" w:type="dxa"/>
            <w:shd w:val="clear" w:color="auto" w:fill="auto"/>
            <w:vAlign w:val="bottom"/>
          </w:tcPr>
          <w:p w14:paraId="439737B1" w14:textId="77777777" w:rsidR="000F5BF0" w:rsidRPr="000F5BF0" w:rsidRDefault="000F5BF0" w:rsidP="00023E99">
            <w:pPr>
              <w:jc w:val="center"/>
              <w:rPr>
                <w:sz w:val="20"/>
                <w:szCs w:val="20"/>
              </w:rPr>
            </w:pPr>
            <w:r w:rsidRPr="000F5BF0">
              <w:rPr>
                <w:sz w:val="20"/>
                <w:szCs w:val="20"/>
              </w:rPr>
              <w:t>371.46</w:t>
            </w:r>
          </w:p>
        </w:tc>
        <w:tc>
          <w:tcPr>
            <w:tcW w:w="1800" w:type="dxa"/>
            <w:shd w:val="clear" w:color="auto" w:fill="auto"/>
            <w:vAlign w:val="bottom"/>
          </w:tcPr>
          <w:p w14:paraId="1B406106" w14:textId="77777777" w:rsidR="000F5BF0" w:rsidRPr="000F5BF0" w:rsidRDefault="000F5BF0" w:rsidP="00023E99">
            <w:pPr>
              <w:jc w:val="center"/>
              <w:rPr>
                <w:sz w:val="20"/>
                <w:szCs w:val="20"/>
              </w:rPr>
            </w:pPr>
            <w:r w:rsidRPr="000F5BF0">
              <w:rPr>
                <w:sz w:val="20"/>
                <w:szCs w:val="20"/>
              </w:rPr>
              <w:t>310.11</w:t>
            </w:r>
          </w:p>
        </w:tc>
      </w:tr>
      <w:tr w:rsidR="000F5BF0" w:rsidRPr="000F5BF0" w14:paraId="62F25ED5" w14:textId="77777777" w:rsidTr="00023E99">
        <w:trPr>
          <w:trHeight w:val="186"/>
        </w:trPr>
        <w:tc>
          <w:tcPr>
            <w:tcW w:w="1525" w:type="dxa"/>
          </w:tcPr>
          <w:p w14:paraId="4317B89F" w14:textId="77777777" w:rsidR="000F5BF0" w:rsidRPr="000F5BF0" w:rsidRDefault="000F5BF0" w:rsidP="00023E99">
            <w:pPr>
              <w:jc w:val="center"/>
              <w:rPr>
                <w:sz w:val="20"/>
                <w:szCs w:val="20"/>
              </w:rPr>
            </w:pPr>
            <w:r w:rsidRPr="000F5BF0">
              <w:rPr>
                <w:sz w:val="20"/>
                <w:szCs w:val="20"/>
              </w:rPr>
              <w:t>2016 Nisan</w:t>
            </w:r>
          </w:p>
        </w:tc>
        <w:tc>
          <w:tcPr>
            <w:tcW w:w="990" w:type="dxa"/>
            <w:shd w:val="clear" w:color="auto" w:fill="auto"/>
            <w:vAlign w:val="bottom"/>
          </w:tcPr>
          <w:p w14:paraId="00128648" w14:textId="77777777" w:rsidR="000F5BF0" w:rsidRPr="000F5BF0" w:rsidRDefault="000F5BF0" w:rsidP="00023E99">
            <w:pPr>
              <w:jc w:val="center"/>
              <w:rPr>
                <w:sz w:val="20"/>
                <w:szCs w:val="20"/>
              </w:rPr>
            </w:pPr>
            <w:r w:rsidRPr="000F5BF0">
              <w:rPr>
                <w:sz w:val="20"/>
                <w:szCs w:val="20"/>
              </w:rPr>
              <w:t>276.42</w:t>
            </w:r>
          </w:p>
        </w:tc>
        <w:tc>
          <w:tcPr>
            <w:tcW w:w="1710" w:type="dxa"/>
            <w:shd w:val="clear" w:color="auto" w:fill="auto"/>
            <w:vAlign w:val="bottom"/>
          </w:tcPr>
          <w:p w14:paraId="61B61574" w14:textId="77777777" w:rsidR="000F5BF0" w:rsidRPr="000F5BF0" w:rsidRDefault="000F5BF0" w:rsidP="00023E99">
            <w:pPr>
              <w:jc w:val="center"/>
              <w:rPr>
                <w:sz w:val="20"/>
                <w:szCs w:val="20"/>
              </w:rPr>
            </w:pPr>
            <w:r w:rsidRPr="000F5BF0">
              <w:rPr>
                <w:sz w:val="20"/>
                <w:szCs w:val="20"/>
              </w:rPr>
              <w:t>305.70</w:t>
            </w:r>
          </w:p>
        </w:tc>
        <w:tc>
          <w:tcPr>
            <w:tcW w:w="1569" w:type="dxa"/>
            <w:shd w:val="clear" w:color="auto" w:fill="auto"/>
            <w:vAlign w:val="bottom"/>
          </w:tcPr>
          <w:p w14:paraId="2161DDCF" w14:textId="77777777" w:rsidR="000F5BF0" w:rsidRPr="000F5BF0" w:rsidRDefault="000F5BF0" w:rsidP="00023E99">
            <w:pPr>
              <w:jc w:val="center"/>
              <w:rPr>
                <w:sz w:val="20"/>
                <w:szCs w:val="20"/>
              </w:rPr>
            </w:pPr>
            <w:r w:rsidRPr="000F5BF0">
              <w:rPr>
                <w:sz w:val="20"/>
                <w:szCs w:val="20"/>
              </w:rPr>
              <w:t>252.13</w:t>
            </w:r>
          </w:p>
        </w:tc>
        <w:tc>
          <w:tcPr>
            <w:tcW w:w="1131" w:type="dxa"/>
            <w:shd w:val="clear" w:color="auto" w:fill="auto"/>
            <w:vAlign w:val="bottom"/>
          </w:tcPr>
          <w:p w14:paraId="42870712" w14:textId="77777777" w:rsidR="000F5BF0" w:rsidRPr="000F5BF0" w:rsidRDefault="000F5BF0" w:rsidP="00023E99">
            <w:pPr>
              <w:jc w:val="center"/>
              <w:rPr>
                <w:sz w:val="20"/>
                <w:szCs w:val="20"/>
              </w:rPr>
            </w:pPr>
            <w:r w:rsidRPr="000F5BF0">
              <w:rPr>
                <w:sz w:val="20"/>
                <w:szCs w:val="20"/>
              </w:rPr>
              <w:t>374.64</w:t>
            </w:r>
          </w:p>
        </w:tc>
        <w:tc>
          <w:tcPr>
            <w:tcW w:w="1800" w:type="dxa"/>
            <w:shd w:val="clear" w:color="auto" w:fill="auto"/>
            <w:vAlign w:val="bottom"/>
          </w:tcPr>
          <w:p w14:paraId="51271235" w14:textId="77777777" w:rsidR="000F5BF0" w:rsidRPr="000F5BF0" w:rsidRDefault="000F5BF0" w:rsidP="00023E99">
            <w:pPr>
              <w:jc w:val="center"/>
              <w:rPr>
                <w:sz w:val="20"/>
                <w:szCs w:val="20"/>
              </w:rPr>
            </w:pPr>
            <w:r w:rsidRPr="000F5BF0">
              <w:rPr>
                <w:sz w:val="20"/>
                <w:szCs w:val="20"/>
              </w:rPr>
              <w:t>309.75</w:t>
            </w:r>
          </w:p>
        </w:tc>
      </w:tr>
      <w:tr w:rsidR="000F5BF0" w:rsidRPr="000F5BF0" w14:paraId="42096061" w14:textId="77777777" w:rsidTr="00023E99">
        <w:trPr>
          <w:trHeight w:val="186"/>
        </w:trPr>
        <w:tc>
          <w:tcPr>
            <w:tcW w:w="1525" w:type="dxa"/>
          </w:tcPr>
          <w:p w14:paraId="072CFA95" w14:textId="77777777" w:rsidR="000F5BF0" w:rsidRPr="000F5BF0" w:rsidRDefault="000F5BF0" w:rsidP="00023E99">
            <w:pPr>
              <w:jc w:val="center"/>
              <w:rPr>
                <w:sz w:val="20"/>
                <w:szCs w:val="20"/>
              </w:rPr>
            </w:pPr>
            <w:r w:rsidRPr="000F5BF0">
              <w:rPr>
                <w:sz w:val="20"/>
                <w:szCs w:val="20"/>
              </w:rPr>
              <w:t>2016 Mayıs</w:t>
            </w:r>
          </w:p>
        </w:tc>
        <w:tc>
          <w:tcPr>
            <w:tcW w:w="990" w:type="dxa"/>
            <w:shd w:val="clear" w:color="auto" w:fill="auto"/>
            <w:vAlign w:val="bottom"/>
          </w:tcPr>
          <w:p w14:paraId="6395DA80" w14:textId="77777777" w:rsidR="000F5BF0" w:rsidRPr="000F5BF0" w:rsidRDefault="000F5BF0" w:rsidP="00023E99">
            <w:pPr>
              <w:jc w:val="center"/>
              <w:rPr>
                <w:sz w:val="20"/>
                <w:szCs w:val="20"/>
              </w:rPr>
            </w:pPr>
            <w:r w:rsidRPr="000F5BF0">
              <w:rPr>
                <w:sz w:val="20"/>
                <w:szCs w:val="20"/>
              </w:rPr>
              <w:t>278.02</w:t>
            </w:r>
          </w:p>
        </w:tc>
        <w:tc>
          <w:tcPr>
            <w:tcW w:w="1710" w:type="dxa"/>
            <w:shd w:val="clear" w:color="auto" w:fill="auto"/>
            <w:vAlign w:val="bottom"/>
          </w:tcPr>
          <w:p w14:paraId="06EC5F6F" w14:textId="77777777" w:rsidR="000F5BF0" w:rsidRPr="000F5BF0" w:rsidRDefault="000F5BF0" w:rsidP="00023E99">
            <w:pPr>
              <w:jc w:val="center"/>
              <w:rPr>
                <w:sz w:val="20"/>
                <w:szCs w:val="20"/>
              </w:rPr>
            </w:pPr>
            <w:r w:rsidRPr="000F5BF0">
              <w:rPr>
                <w:sz w:val="20"/>
                <w:szCs w:val="20"/>
              </w:rPr>
              <w:t>300.69</w:t>
            </w:r>
          </w:p>
        </w:tc>
        <w:tc>
          <w:tcPr>
            <w:tcW w:w="1569" w:type="dxa"/>
            <w:shd w:val="clear" w:color="auto" w:fill="auto"/>
            <w:vAlign w:val="bottom"/>
          </w:tcPr>
          <w:p w14:paraId="3515CD43" w14:textId="77777777" w:rsidR="000F5BF0" w:rsidRPr="000F5BF0" w:rsidRDefault="000F5BF0" w:rsidP="00023E99">
            <w:pPr>
              <w:jc w:val="center"/>
              <w:rPr>
                <w:sz w:val="20"/>
                <w:szCs w:val="20"/>
              </w:rPr>
            </w:pPr>
            <w:r w:rsidRPr="000F5BF0">
              <w:rPr>
                <w:sz w:val="20"/>
                <w:szCs w:val="20"/>
              </w:rPr>
              <w:t>254.90</w:t>
            </w:r>
          </w:p>
        </w:tc>
        <w:tc>
          <w:tcPr>
            <w:tcW w:w="1131" w:type="dxa"/>
            <w:shd w:val="clear" w:color="auto" w:fill="auto"/>
            <w:vAlign w:val="bottom"/>
          </w:tcPr>
          <w:p w14:paraId="20705610" w14:textId="77777777" w:rsidR="000F5BF0" w:rsidRPr="000F5BF0" w:rsidRDefault="000F5BF0" w:rsidP="00023E99">
            <w:pPr>
              <w:jc w:val="center"/>
              <w:rPr>
                <w:sz w:val="20"/>
                <w:szCs w:val="20"/>
              </w:rPr>
            </w:pPr>
            <w:r w:rsidRPr="000F5BF0">
              <w:rPr>
                <w:sz w:val="20"/>
                <w:szCs w:val="20"/>
              </w:rPr>
              <w:t>377.52</w:t>
            </w:r>
          </w:p>
        </w:tc>
        <w:tc>
          <w:tcPr>
            <w:tcW w:w="1800" w:type="dxa"/>
            <w:shd w:val="clear" w:color="auto" w:fill="auto"/>
            <w:vAlign w:val="bottom"/>
          </w:tcPr>
          <w:p w14:paraId="10A26BAC" w14:textId="77777777" w:rsidR="000F5BF0" w:rsidRPr="000F5BF0" w:rsidRDefault="000F5BF0" w:rsidP="00023E99">
            <w:pPr>
              <w:jc w:val="center"/>
              <w:rPr>
                <w:sz w:val="20"/>
                <w:szCs w:val="20"/>
              </w:rPr>
            </w:pPr>
            <w:r w:rsidRPr="000F5BF0">
              <w:rPr>
                <w:sz w:val="20"/>
                <w:szCs w:val="20"/>
              </w:rPr>
              <w:t>309.65</w:t>
            </w:r>
          </w:p>
        </w:tc>
      </w:tr>
      <w:tr w:rsidR="000F5BF0" w:rsidRPr="000F5BF0" w14:paraId="0F3842FA" w14:textId="77777777" w:rsidTr="00023E99">
        <w:trPr>
          <w:trHeight w:val="186"/>
        </w:trPr>
        <w:tc>
          <w:tcPr>
            <w:tcW w:w="1525" w:type="dxa"/>
          </w:tcPr>
          <w:p w14:paraId="7CC33A3B" w14:textId="77777777" w:rsidR="000F5BF0" w:rsidRPr="000F5BF0" w:rsidRDefault="000F5BF0" w:rsidP="00023E99">
            <w:pPr>
              <w:jc w:val="center"/>
              <w:rPr>
                <w:sz w:val="20"/>
                <w:szCs w:val="20"/>
              </w:rPr>
            </w:pPr>
            <w:r w:rsidRPr="000F5BF0">
              <w:rPr>
                <w:sz w:val="20"/>
                <w:szCs w:val="20"/>
              </w:rPr>
              <w:t>2016 Haziran</w:t>
            </w:r>
          </w:p>
        </w:tc>
        <w:tc>
          <w:tcPr>
            <w:tcW w:w="990" w:type="dxa"/>
          </w:tcPr>
          <w:p w14:paraId="689DF732" w14:textId="77777777" w:rsidR="000F5BF0" w:rsidRPr="000F5BF0" w:rsidRDefault="000F5BF0" w:rsidP="00023E99">
            <w:pPr>
              <w:jc w:val="center"/>
              <w:rPr>
                <w:sz w:val="20"/>
                <w:szCs w:val="20"/>
              </w:rPr>
            </w:pPr>
            <w:r w:rsidRPr="000F5BF0">
              <w:rPr>
                <w:sz w:val="20"/>
                <w:szCs w:val="20"/>
              </w:rPr>
              <w:t>279.33</w:t>
            </w:r>
          </w:p>
        </w:tc>
        <w:tc>
          <w:tcPr>
            <w:tcW w:w="1710" w:type="dxa"/>
          </w:tcPr>
          <w:p w14:paraId="0F212C7B" w14:textId="77777777" w:rsidR="000F5BF0" w:rsidRPr="000F5BF0" w:rsidRDefault="000F5BF0" w:rsidP="00023E99">
            <w:pPr>
              <w:jc w:val="center"/>
              <w:rPr>
                <w:sz w:val="20"/>
                <w:szCs w:val="20"/>
              </w:rPr>
            </w:pPr>
            <w:r w:rsidRPr="000F5BF0">
              <w:rPr>
                <w:sz w:val="20"/>
                <w:szCs w:val="20"/>
              </w:rPr>
              <w:t>304.18</w:t>
            </w:r>
          </w:p>
        </w:tc>
        <w:tc>
          <w:tcPr>
            <w:tcW w:w="1569" w:type="dxa"/>
          </w:tcPr>
          <w:p w14:paraId="06B43311" w14:textId="77777777" w:rsidR="000F5BF0" w:rsidRPr="000F5BF0" w:rsidRDefault="000F5BF0" w:rsidP="00023E99">
            <w:pPr>
              <w:jc w:val="center"/>
              <w:rPr>
                <w:sz w:val="20"/>
                <w:szCs w:val="20"/>
              </w:rPr>
            </w:pPr>
            <w:r w:rsidRPr="000F5BF0">
              <w:rPr>
                <w:sz w:val="20"/>
                <w:szCs w:val="20"/>
              </w:rPr>
              <w:t>256.62</w:t>
            </w:r>
          </w:p>
        </w:tc>
        <w:tc>
          <w:tcPr>
            <w:tcW w:w="1131" w:type="dxa"/>
          </w:tcPr>
          <w:p w14:paraId="4A17D87C" w14:textId="77777777" w:rsidR="000F5BF0" w:rsidRPr="000F5BF0" w:rsidRDefault="000F5BF0" w:rsidP="00023E99">
            <w:pPr>
              <w:jc w:val="center"/>
              <w:rPr>
                <w:sz w:val="20"/>
                <w:szCs w:val="20"/>
              </w:rPr>
            </w:pPr>
            <w:r w:rsidRPr="000F5BF0">
              <w:rPr>
                <w:sz w:val="20"/>
                <w:szCs w:val="20"/>
              </w:rPr>
              <w:t>380.66</w:t>
            </w:r>
          </w:p>
        </w:tc>
        <w:tc>
          <w:tcPr>
            <w:tcW w:w="1800" w:type="dxa"/>
          </w:tcPr>
          <w:p w14:paraId="0FD8E790" w14:textId="77777777" w:rsidR="000F5BF0" w:rsidRPr="000F5BF0" w:rsidRDefault="000F5BF0" w:rsidP="00023E99">
            <w:pPr>
              <w:jc w:val="center"/>
              <w:rPr>
                <w:sz w:val="20"/>
                <w:szCs w:val="20"/>
              </w:rPr>
            </w:pPr>
            <w:r w:rsidRPr="000F5BF0">
              <w:rPr>
                <w:sz w:val="20"/>
                <w:szCs w:val="20"/>
              </w:rPr>
              <w:t>309.58</w:t>
            </w:r>
          </w:p>
        </w:tc>
      </w:tr>
      <w:tr w:rsidR="000F5BF0" w:rsidRPr="000F5BF0" w14:paraId="0C164C9C" w14:textId="77777777" w:rsidTr="00023E99">
        <w:trPr>
          <w:trHeight w:val="186"/>
        </w:trPr>
        <w:tc>
          <w:tcPr>
            <w:tcW w:w="1525" w:type="dxa"/>
          </w:tcPr>
          <w:p w14:paraId="7C6E251E" w14:textId="77777777" w:rsidR="000F5BF0" w:rsidRPr="000F5BF0" w:rsidRDefault="000F5BF0" w:rsidP="00023E99">
            <w:pPr>
              <w:jc w:val="center"/>
              <w:rPr>
                <w:sz w:val="20"/>
                <w:szCs w:val="20"/>
              </w:rPr>
            </w:pPr>
          </w:p>
        </w:tc>
        <w:tc>
          <w:tcPr>
            <w:tcW w:w="990" w:type="dxa"/>
            <w:shd w:val="clear" w:color="000000" w:fill="FFFFFF"/>
            <w:vAlign w:val="bottom"/>
          </w:tcPr>
          <w:p w14:paraId="2892E7DC" w14:textId="77777777" w:rsidR="000F5BF0" w:rsidRPr="000F5BF0" w:rsidRDefault="000F5BF0" w:rsidP="00023E99">
            <w:pPr>
              <w:jc w:val="center"/>
              <w:rPr>
                <w:sz w:val="20"/>
                <w:szCs w:val="20"/>
              </w:rPr>
            </w:pPr>
          </w:p>
        </w:tc>
        <w:tc>
          <w:tcPr>
            <w:tcW w:w="1710" w:type="dxa"/>
            <w:shd w:val="clear" w:color="000000" w:fill="FFFFFF"/>
            <w:vAlign w:val="bottom"/>
          </w:tcPr>
          <w:p w14:paraId="26D5B56B" w14:textId="77777777" w:rsidR="000F5BF0" w:rsidRPr="000F5BF0" w:rsidRDefault="000F5BF0" w:rsidP="00023E99">
            <w:pPr>
              <w:jc w:val="center"/>
              <w:rPr>
                <w:sz w:val="20"/>
                <w:szCs w:val="20"/>
              </w:rPr>
            </w:pPr>
          </w:p>
        </w:tc>
        <w:tc>
          <w:tcPr>
            <w:tcW w:w="1569" w:type="dxa"/>
            <w:shd w:val="clear" w:color="000000" w:fill="FFFFFF"/>
            <w:vAlign w:val="bottom"/>
          </w:tcPr>
          <w:p w14:paraId="6F9DA32F" w14:textId="77777777" w:rsidR="000F5BF0" w:rsidRPr="000F5BF0" w:rsidRDefault="000F5BF0" w:rsidP="00023E99">
            <w:pPr>
              <w:jc w:val="center"/>
              <w:rPr>
                <w:sz w:val="20"/>
                <w:szCs w:val="20"/>
              </w:rPr>
            </w:pPr>
          </w:p>
        </w:tc>
        <w:tc>
          <w:tcPr>
            <w:tcW w:w="1131" w:type="dxa"/>
            <w:shd w:val="clear" w:color="000000" w:fill="FFFFFF"/>
            <w:vAlign w:val="bottom"/>
          </w:tcPr>
          <w:p w14:paraId="0D8A2FB3" w14:textId="77777777" w:rsidR="000F5BF0" w:rsidRPr="000F5BF0" w:rsidRDefault="000F5BF0" w:rsidP="00023E99">
            <w:pPr>
              <w:jc w:val="center"/>
              <w:rPr>
                <w:sz w:val="20"/>
                <w:szCs w:val="20"/>
              </w:rPr>
            </w:pPr>
          </w:p>
        </w:tc>
        <w:tc>
          <w:tcPr>
            <w:tcW w:w="1800" w:type="dxa"/>
            <w:shd w:val="clear" w:color="auto" w:fill="auto"/>
            <w:vAlign w:val="bottom"/>
          </w:tcPr>
          <w:p w14:paraId="09548F9E" w14:textId="77777777" w:rsidR="000F5BF0" w:rsidRPr="000F5BF0" w:rsidRDefault="000F5BF0" w:rsidP="00023E99">
            <w:pPr>
              <w:jc w:val="center"/>
              <w:rPr>
                <w:sz w:val="20"/>
                <w:szCs w:val="20"/>
              </w:rPr>
            </w:pPr>
          </w:p>
        </w:tc>
      </w:tr>
      <w:tr w:rsidR="000F5BF0" w:rsidRPr="000F5BF0" w14:paraId="1E02F972" w14:textId="77777777" w:rsidTr="00023E99">
        <w:trPr>
          <w:trHeight w:val="186"/>
        </w:trPr>
        <w:tc>
          <w:tcPr>
            <w:tcW w:w="1525" w:type="dxa"/>
          </w:tcPr>
          <w:p w14:paraId="4E85B697" w14:textId="77777777" w:rsidR="000F5BF0" w:rsidRPr="000F5BF0" w:rsidRDefault="000F5BF0" w:rsidP="00023E99">
            <w:pPr>
              <w:jc w:val="center"/>
              <w:rPr>
                <w:sz w:val="20"/>
                <w:szCs w:val="20"/>
              </w:rPr>
            </w:pPr>
            <w:r w:rsidRPr="000F5BF0">
              <w:rPr>
                <w:sz w:val="20"/>
                <w:szCs w:val="20"/>
              </w:rPr>
              <w:t>2021 Aralık</w:t>
            </w:r>
          </w:p>
        </w:tc>
        <w:tc>
          <w:tcPr>
            <w:tcW w:w="990" w:type="dxa"/>
            <w:shd w:val="clear" w:color="000000" w:fill="FFFFFF"/>
            <w:vAlign w:val="bottom"/>
          </w:tcPr>
          <w:p w14:paraId="7ABAA85A" w14:textId="77777777" w:rsidR="000F5BF0" w:rsidRPr="000F5BF0" w:rsidRDefault="000F5BF0" w:rsidP="00023E99">
            <w:pPr>
              <w:jc w:val="center"/>
              <w:rPr>
                <w:sz w:val="20"/>
                <w:szCs w:val="20"/>
              </w:rPr>
            </w:pPr>
            <w:r w:rsidRPr="000F5BF0">
              <w:rPr>
                <w:sz w:val="20"/>
                <w:szCs w:val="20"/>
              </w:rPr>
              <w:t>686.95</w:t>
            </w:r>
          </w:p>
        </w:tc>
        <w:tc>
          <w:tcPr>
            <w:tcW w:w="1710" w:type="dxa"/>
            <w:shd w:val="clear" w:color="000000" w:fill="FFFFFF"/>
            <w:vAlign w:val="bottom"/>
          </w:tcPr>
          <w:p w14:paraId="65D97B4E" w14:textId="77777777" w:rsidR="000F5BF0" w:rsidRPr="000F5BF0" w:rsidRDefault="000F5BF0" w:rsidP="00023E99">
            <w:pPr>
              <w:jc w:val="center"/>
              <w:rPr>
                <w:sz w:val="20"/>
                <w:szCs w:val="20"/>
              </w:rPr>
            </w:pPr>
            <w:r w:rsidRPr="000F5BF0">
              <w:rPr>
                <w:sz w:val="20"/>
                <w:szCs w:val="20"/>
              </w:rPr>
              <w:t>874.42</w:t>
            </w:r>
          </w:p>
        </w:tc>
        <w:tc>
          <w:tcPr>
            <w:tcW w:w="1569" w:type="dxa"/>
            <w:shd w:val="clear" w:color="000000" w:fill="FFFFFF"/>
            <w:vAlign w:val="bottom"/>
          </w:tcPr>
          <w:p w14:paraId="635C4DDA" w14:textId="77777777" w:rsidR="000F5BF0" w:rsidRPr="000F5BF0" w:rsidRDefault="000F5BF0" w:rsidP="00023E99">
            <w:pPr>
              <w:jc w:val="center"/>
              <w:rPr>
                <w:sz w:val="20"/>
                <w:szCs w:val="20"/>
              </w:rPr>
            </w:pPr>
            <w:r w:rsidRPr="000F5BF0">
              <w:rPr>
                <w:sz w:val="20"/>
                <w:szCs w:val="20"/>
              </w:rPr>
              <w:t>791.13</w:t>
            </w:r>
          </w:p>
        </w:tc>
        <w:tc>
          <w:tcPr>
            <w:tcW w:w="1131" w:type="dxa"/>
            <w:shd w:val="clear" w:color="000000" w:fill="FFFFFF"/>
            <w:vAlign w:val="bottom"/>
          </w:tcPr>
          <w:p w14:paraId="6723A153" w14:textId="77777777" w:rsidR="000F5BF0" w:rsidRPr="000F5BF0" w:rsidRDefault="000F5BF0" w:rsidP="00023E99">
            <w:pPr>
              <w:jc w:val="center"/>
              <w:rPr>
                <w:sz w:val="20"/>
                <w:szCs w:val="20"/>
              </w:rPr>
            </w:pPr>
            <w:r w:rsidRPr="000F5BF0">
              <w:rPr>
                <w:sz w:val="20"/>
                <w:szCs w:val="20"/>
              </w:rPr>
              <w:t>643.07</w:t>
            </w:r>
          </w:p>
        </w:tc>
        <w:tc>
          <w:tcPr>
            <w:tcW w:w="1800" w:type="dxa"/>
            <w:shd w:val="clear" w:color="auto" w:fill="auto"/>
            <w:vAlign w:val="bottom"/>
          </w:tcPr>
          <w:p w14:paraId="5CF0D407" w14:textId="77777777" w:rsidR="000F5BF0" w:rsidRPr="000F5BF0" w:rsidRDefault="000F5BF0" w:rsidP="00023E99">
            <w:pPr>
              <w:jc w:val="center"/>
              <w:rPr>
                <w:sz w:val="20"/>
                <w:szCs w:val="20"/>
              </w:rPr>
            </w:pPr>
            <w:r w:rsidRPr="000F5BF0">
              <w:rPr>
                <w:sz w:val="20"/>
                <w:szCs w:val="20"/>
              </w:rPr>
              <w:t>738.56</w:t>
            </w:r>
          </w:p>
        </w:tc>
      </w:tr>
      <w:tr w:rsidR="000F5BF0" w:rsidRPr="000F5BF0" w14:paraId="195E69EF" w14:textId="77777777" w:rsidTr="00023E99">
        <w:trPr>
          <w:trHeight w:val="179"/>
        </w:trPr>
        <w:tc>
          <w:tcPr>
            <w:tcW w:w="1525" w:type="dxa"/>
          </w:tcPr>
          <w:p w14:paraId="73284947" w14:textId="77777777" w:rsidR="000F5BF0" w:rsidRPr="000F5BF0" w:rsidRDefault="000F5BF0" w:rsidP="00023E99">
            <w:pPr>
              <w:jc w:val="center"/>
              <w:rPr>
                <w:sz w:val="20"/>
                <w:szCs w:val="20"/>
              </w:rPr>
            </w:pPr>
            <w:r w:rsidRPr="000F5BF0">
              <w:rPr>
                <w:sz w:val="20"/>
                <w:szCs w:val="20"/>
              </w:rPr>
              <w:t>2022 Ocak</w:t>
            </w:r>
          </w:p>
        </w:tc>
        <w:tc>
          <w:tcPr>
            <w:tcW w:w="990" w:type="dxa"/>
            <w:shd w:val="clear" w:color="000000" w:fill="FFFFFF"/>
            <w:vAlign w:val="bottom"/>
          </w:tcPr>
          <w:p w14:paraId="6B9011D7" w14:textId="77777777" w:rsidR="000F5BF0" w:rsidRPr="000F5BF0" w:rsidRDefault="000F5BF0" w:rsidP="00023E99">
            <w:pPr>
              <w:jc w:val="center"/>
              <w:rPr>
                <w:sz w:val="20"/>
                <w:szCs w:val="20"/>
              </w:rPr>
            </w:pPr>
            <w:r w:rsidRPr="000F5BF0">
              <w:rPr>
                <w:sz w:val="20"/>
                <w:szCs w:val="20"/>
              </w:rPr>
              <w:t>763.23</w:t>
            </w:r>
          </w:p>
        </w:tc>
        <w:tc>
          <w:tcPr>
            <w:tcW w:w="1710" w:type="dxa"/>
            <w:shd w:val="clear" w:color="000000" w:fill="FFFFFF"/>
            <w:vAlign w:val="bottom"/>
          </w:tcPr>
          <w:p w14:paraId="1109586C" w14:textId="77777777" w:rsidR="000F5BF0" w:rsidRPr="000F5BF0" w:rsidRDefault="000F5BF0" w:rsidP="00023E99">
            <w:pPr>
              <w:jc w:val="center"/>
              <w:rPr>
                <w:sz w:val="20"/>
                <w:szCs w:val="20"/>
              </w:rPr>
            </w:pPr>
            <w:r w:rsidRPr="000F5BF0">
              <w:rPr>
                <w:sz w:val="20"/>
                <w:szCs w:val="20"/>
              </w:rPr>
              <w:t>969.71</w:t>
            </w:r>
          </w:p>
        </w:tc>
        <w:tc>
          <w:tcPr>
            <w:tcW w:w="1569" w:type="dxa"/>
            <w:shd w:val="clear" w:color="000000" w:fill="FFFFFF"/>
            <w:vAlign w:val="bottom"/>
          </w:tcPr>
          <w:p w14:paraId="2E91EFB1" w14:textId="77777777" w:rsidR="000F5BF0" w:rsidRPr="000F5BF0" w:rsidRDefault="000F5BF0" w:rsidP="00023E99">
            <w:pPr>
              <w:jc w:val="center"/>
              <w:rPr>
                <w:sz w:val="20"/>
                <w:szCs w:val="20"/>
              </w:rPr>
            </w:pPr>
            <w:r w:rsidRPr="000F5BF0">
              <w:rPr>
                <w:sz w:val="20"/>
                <w:szCs w:val="20"/>
              </w:rPr>
              <w:t>879.32</w:t>
            </w:r>
          </w:p>
        </w:tc>
        <w:tc>
          <w:tcPr>
            <w:tcW w:w="1131" w:type="dxa"/>
            <w:shd w:val="clear" w:color="000000" w:fill="FFFFFF"/>
            <w:vAlign w:val="bottom"/>
          </w:tcPr>
          <w:p w14:paraId="2FA52594" w14:textId="77777777" w:rsidR="000F5BF0" w:rsidRPr="000F5BF0" w:rsidRDefault="000F5BF0" w:rsidP="00023E99">
            <w:pPr>
              <w:jc w:val="center"/>
              <w:rPr>
                <w:sz w:val="20"/>
                <w:szCs w:val="20"/>
              </w:rPr>
            </w:pPr>
            <w:r w:rsidRPr="000F5BF0">
              <w:rPr>
                <w:sz w:val="20"/>
                <w:szCs w:val="20"/>
              </w:rPr>
              <w:t>660.79</w:t>
            </w:r>
          </w:p>
        </w:tc>
        <w:tc>
          <w:tcPr>
            <w:tcW w:w="1800" w:type="dxa"/>
            <w:shd w:val="clear" w:color="auto" w:fill="auto"/>
            <w:vAlign w:val="bottom"/>
          </w:tcPr>
          <w:p w14:paraId="6D9F7528" w14:textId="77777777" w:rsidR="000F5BF0" w:rsidRPr="000F5BF0" w:rsidRDefault="000F5BF0" w:rsidP="00023E99">
            <w:pPr>
              <w:jc w:val="center"/>
              <w:rPr>
                <w:sz w:val="20"/>
                <w:szCs w:val="20"/>
              </w:rPr>
            </w:pPr>
            <w:r w:rsidRPr="000F5BF0">
              <w:rPr>
                <w:sz w:val="20"/>
                <w:szCs w:val="20"/>
              </w:rPr>
              <w:t>1003.84</w:t>
            </w:r>
          </w:p>
        </w:tc>
      </w:tr>
      <w:tr w:rsidR="000F5BF0" w:rsidRPr="000F5BF0" w14:paraId="4101E76B" w14:textId="77777777" w:rsidTr="00023E99">
        <w:trPr>
          <w:trHeight w:val="186"/>
        </w:trPr>
        <w:tc>
          <w:tcPr>
            <w:tcW w:w="1525" w:type="dxa"/>
          </w:tcPr>
          <w:p w14:paraId="5612A69A" w14:textId="77777777" w:rsidR="000F5BF0" w:rsidRPr="000F5BF0" w:rsidRDefault="000F5BF0" w:rsidP="00023E99">
            <w:pPr>
              <w:jc w:val="center"/>
              <w:rPr>
                <w:sz w:val="20"/>
                <w:szCs w:val="20"/>
              </w:rPr>
            </w:pPr>
            <w:r w:rsidRPr="000F5BF0">
              <w:rPr>
                <w:sz w:val="20"/>
                <w:szCs w:val="20"/>
              </w:rPr>
              <w:t>2022 Şubat</w:t>
            </w:r>
          </w:p>
        </w:tc>
        <w:tc>
          <w:tcPr>
            <w:tcW w:w="990" w:type="dxa"/>
            <w:shd w:val="clear" w:color="000000" w:fill="FFFFFF"/>
            <w:vAlign w:val="bottom"/>
          </w:tcPr>
          <w:p w14:paraId="248E454D" w14:textId="77777777" w:rsidR="000F5BF0" w:rsidRPr="000F5BF0" w:rsidRDefault="000F5BF0" w:rsidP="00023E99">
            <w:pPr>
              <w:jc w:val="center"/>
              <w:rPr>
                <w:sz w:val="20"/>
                <w:szCs w:val="20"/>
              </w:rPr>
            </w:pPr>
            <w:r w:rsidRPr="000F5BF0">
              <w:rPr>
                <w:sz w:val="20"/>
                <w:szCs w:val="20"/>
              </w:rPr>
              <w:t>799.93</w:t>
            </w:r>
          </w:p>
        </w:tc>
        <w:tc>
          <w:tcPr>
            <w:tcW w:w="1710" w:type="dxa"/>
            <w:shd w:val="clear" w:color="000000" w:fill="FFFFFF"/>
            <w:vAlign w:val="bottom"/>
          </w:tcPr>
          <w:p w14:paraId="01056F45" w14:textId="77777777" w:rsidR="000F5BF0" w:rsidRPr="000F5BF0" w:rsidRDefault="000F5BF0" w:rsidP="00023E99">
            <w:pPr>
              <w:jc w:val="center"/>
              <w:rPr>
                <w:sz w:val="20"/>
                <w:szCs w:val="20"/>
              </w:rPr>
            </w:pPr>
            <w:r w:rsidRPr="000F5BF0">
              <w:rPr>
                <w:sz w:val="20"/>
                <w:szCs w:val="20"/>
              </w:rPr>
              <w:t>1051.29</w:t>
            </w:r>
          </w:p>
        </w:tc>
        <w:tc>
          <w:tcPr>
            <w:tcW w:w="1569" w:type="dxa"/>
            <w:shd w:val="clear" w:color="000000" w:fill="FFFFFF"/>
            <w:vAlign w:val="bottom"/>
          </w:tcPr>
          <w:p w14:paraId="488A6ACE" w14:textId="77777777" w:rsidR="000F5BF0" w:rsidRPr="000F5BF0" w:rsidRDefault="000F5BF0" w:rsidP="00023E99">
            <w:pPr>
              <w:jc w:val="center"/>
              <w:rPr>
                <w:sz w:val="20"/>
                <w:szCs w:val="20"/>
              </w:rPr>
            </w:pPr>
            <w:r w:rsidRPr="000F5BF0">
              <w:rPr>
                <w:sz w:val="20"/>
                <w:szCs w:val="20"/>
              </w:rPr>
              <w:t>919.45</w:t>
            </w:r>
          </w:p>
        </w:tc>
        <w:tc>
          <w:tcPr>
            <w:tcW w:w="1131" w:type="dxa"/>
            <w:shd w:val="clear" w:color="000000" w:fill="FFFFFF"/>
            <w:vAlign w:val="bottom"/>
          </w:tcPr>
          <w:p w14:paraId="01303848" w14:textId="77777777" w:rsidR="000F5BF0" w:rsidRPr="000F5BF0" w:rsidRDefault="000F5BF0" w:rsidP="00023E99">
            <w:pPr>
              <w:jc w:val="center"/>
              <w:rPr>
                <w:sz w:val="20"/>
                <w:szCs w:val="20"/>
              </w:rPr>
            </w:pPr>
            <w:r w:rsidRPr="000F5BF0">
              <w:rPr>
                <w:sz w:val="20"/>
                <w:szCs w:val="20"/>
              </w:rPr>
              <w:t>675.49</w:t>
            </w:r>
          </w:p>
        </w:tc>
        <w:tc>
          <w:tcPr>
            <w:tcW w:w="1800" w:type="dxa"/>
            <w:shd w:val="clear" w:color="auto" w:fill="auto"/>
            <w:vAlign w:val="bottom"/>
          </w:tcPr>
          <w:p w14:paraId="31EBE020" w14:textId="77777777" w:rsidR="000F5BF0" w:rsidRPr="000F5BF0" w:rsidRDefault="000F5BF0" w:rsidP="00023E99">
            <w:pPr>
              <w:jc w:val="center"/>
              <w:rPr>
                <w:sz w:val="20"/>
                <w:szCs w:val="20"/>
              </w:rPr>
            </w:pPr>
            <w:r w:rsidRPr="000F5BF0">
              <w:rPr>
                <w:sz w:val="20"/>
                <w:szCs w:val="20"/>
              </w:rPr>
              <w:t>1000.38</w:t>
            </w:r>
          </w:p>
        </w:tc>
      </w:tr>
      <w:tr w:rsidR="000F5BF0" w:rsidRPr="000F5BF0" w14:paraId="79FFB657" w14:textId="77777777" w:rsidTr="00023E99">
        <w:trPr>
          <w:trHeight w:val="186"/>
        </w:trPr>
        <w:tc>
          <w:tcPr>
            <w:tcW w:w="1525" w:type="dxa"/>
          </w:tcPr>
          <w:p w14:paraId="0117D745" w14:textId="77777777" w:rsidR="000F5BF0" w:rsidRPr="000F5BF0" w:rsidRDefault="000F5BF0" w:rsidP="00023E99">
            <w:pPr>
              <w:jc w:val="center"/>
              <w:rPr>
                <w:sz w:val="20"/>
                <w:szCs w:val="20"/>
              </w:rPr>
            </w:pPr>
            <w:r w:rsidRPr="000F5BF0">
              <w:rPr>
                <w:sz w:val="20"/>
                <w:szCs w:val="20"/>
              </w:rPr>
              <w:t>2022 Mart</w:t>
            </w:r>
          </w:p>
        </w:tc>
        <w:tc>
          <w:tcPr>
            <w:tcW w:w="990" w:type="dxa"/>
            <w:shd w:val="clear" w:color="000000" w:fill="FFFFFF"/>
            <w:vAlign w:val="bottom"/>
          </w:tcPr>
          <w:p w14:paraId="0AAA1057" w14:textId="77777777" w:rsidR="000F5BF0" w:rsidRPr="000F5BF0" w:rsidRDefault="000F5BF0" w:rsidP="00023E99">
            <w:pPr>
              <w:jc w:val="center"/>
              <w:rPr>
                <w:sz w:val="20"/>
                <w:szCs w:val="20"/>
              </w:rPr>
            </w:pPr>
            <w:r w:rsidRPr="000F5BF0">
              <w:rPr>
                <w:sz w:val="20"/>
                <w:szCs w:val="20"/>
              </w:rPr>
              <w:t>843.64</w:t>
            </w:r>
          </w:p>
        </w:tc>
        <w:tc>
          <w:tcPr>
            <w:tcW w:w="1710" w:type="dxa"/>
            <w:shd w:val="clear" w:color="000000" w:fill="FFFFFF"/>
            <w:vAlign w:val="bottom"/>
          </w:tcPr>
          <w:p w14:paraId="39419BC5" w14:textId="77777777" w:rsidR="000F5BF0" w:rsidRPr="000F5BF0" w:rsidRDefault="000F5BF0" w:rsidP="00023E99">
            <w:pPr>
              <w:jc w:val="center"/>
              <w:rPr>
                <w:sz w:val="20"/>
                <w:szCs w:val="20"/>
              </w:rPr>
            </w:pPr>
            <w:r w:rsidRPr="000F5BF0">
              <w:rPr>
                <w:sz w:val="20"/>
                <w:szCs w:val="20"/>
              </w:rPr>
              <w:t>1101.00</w:t>
            </w:r>
          </w:p>
        </w:tc>
        <w:tc>
          <w:tcPr>
            <w:tcW w:w="1569" w:type="dxa"/>
            <w:shd w:val="clear" w:color="000000" w:fill="FFFFFF"/>
            <w:vAlign w:val="bottom"/>
          </w:tcPr>
          <w:p w14:paraId="2501A275" w14:textId="77777777" w:rsidR="000F5BF0" w:rsidRPr="000F5BF0" w:rsidRDefault="000F5BF0" w:rsidP="00023E99">
            <w:pPr>
              <w:jc w:val="center"/>
              <w:rPr>
                <w:sz w:val="20"/>
                <w:szCs w:val="20"/>
              </w:rPr>
            </w:pPr>
            <w:r w:rsidRPr="000F5BF0">
              <w:rPr>
                <w:sz w:val="20"/>
                <w:szCs w:val="20"/>
              </w:rPr>
              <w:t>1041.68</w:t>
            </w:r>
          </w:p>
        </w:tc>
        <w:tc>
          <w:tcPr>
            <w:tcW w:w="1131" w:type="dxa"/>
            <w:shd w:val="clear" w:color="000000" w:fill="FFFFFF"/>
            <w:vAlign w:val="bottom"/>
          </w:tcPr>
          <w:p w14:paraId="4AC2220B" w14:textId="77777777" w:rsidR="000F5BF0" w:rsidRPr="000F5BF0" w:rsidRDefault="000F5BF0" w:rsidP="00023E99">
            <w:pPr>
              <w:jc w:val="center"/>
              <w:rPr>
                <w:sz w:val="20"/>
                <w:szCs w:val="20"/>
              </w:rPr>
            </w:pPr>
            <w:r w:rsidRPr="000F5BF0">
              <w:rPr>
                <w:sz w:val="20"/>
                <w:szCs w:val="20"/>
              </w:rPr>
              <w:t>686.71</w:t>
            </w:r>
          </w:p>
        </w:tc>
        <w:tc>
          <w:tcPr>
            <w:tcW w:w="1800" w:type="dxa"/>
            <w:shd w:val="clear" w:color="auto" w:fill="auto"/>
            <w:vAlign w:val="bottom"/>
          </w:tcPr>
          <w:p w14:paraId="14A0DB09" w14:textId="77777777" w:rsidR="000F5BF0" w:rsidRPr="000F5BF0" w:rsidRDefault="000F5BF0" w:rsidP="00023E99">
            <w:pPr>
              <w:jc w:val="center"/>
              <w:rPr>
                <w:sz w:val="20"/>
                <w:szCs w:val="20"/>
              </w:rPr>
            </w:pPr>
            <w:r w:rsidRPr="000F5BF0">
              <w:rPr>
                <w:sz w:val="20"/>
                <w:szCs w:val="20"/>
              </w:rPr>
              <w:t>1008.15</w:t>
            </w:r>
          </w:p>
        </w:tc>
      </w:tr>
      <w:tr w:rsidR="000F5BF0" w:rsidRPr="000F5BF0" w14:paraId="12A0B36D" w14:textId="77777777" w:rsidTr="00023E99">
        <w:trPr>
          <w:trHeight w:val="186"/>
        </w:trPr>
        <w:tc>
          <w:tcPr>
            <w:tcW w:w="1525" w:type="dxa"/>
          </w:tcPr>
          <w:p w14:paraId="62033225" w14:textId="77777777" w:rsidR="000F5BF0" w:rsidRPr="000F5BF0" w:rsidRDefault="000F5BF0" w:rsidP="00023E99">
            <w:pPr>
              <w:jc w:val="center"/>
              <w:rPr>
                <w:sz w:val="20"/>
                <w:szCs w:val="20"/>
              </w:rPr>
            </w:pPr>
            <w:r w:rsidRPr="000F5BF0">
              <w:rPr>
                <w:sz w:val="20"/>
                <w:szCs w:val="20"/>
              </w:rPr>
              <w:t>2022 Nisan</w:t>
            </w:r>
          </w:p>
        </w:tc>
        <w:tc>
          <w:tcPr>
            <w:tcW w:w="990" w:type="dxa"/>
            <w:shd w:val="clear" w:color="000000" w:fill="FFFFFF"/>
            <w:vAlign w:val="bottom"/>
          </w:tcPr>
          <w:p w14:paraId="2FA7B01A" w14:textId="77777777" w:rsidR="000F5BF0" w:rsidRPr="000F5BF0" w:rsidRDefault="000F5BF0" w:rsidP="00023E99">
            <w:pPr>
              <w:jc w:val="center"/>
              <w:rPr>
                <w:sz w:val="20"/>
                <w:szCs w:val="20"/>
              </w:rPr>
            </w:pPr>
            <w:r w:rsidRPr="000F5BF0">
              <w:rPr>
                <w:sz w:val="20"/>
                <w:szCs w:val="20"/>
              </w:rPr>
              <w:t>904.79</w:t>
            </w:r>
          </w:p>
        </w:tc>
        <w:tc>
          <w:tcPr>
            <w:tcW w:w="1710" w:type="dxa"/>
            <w:shd w:val="clear" w:color="000000" w:fill="FFFFFF"/>
            <w:vAlign w:val="bottom"/>
          </w:tcPr>
          <w:p w14:paraId="4F1B962F" w14:textId="77777777" w:rsidR="000F5BF0" w:rsidRPr="000F5BF0" w:rsidRDefault="000F5BF0" w:rsidP="00023E99">
            <w:pPr>
              <w:jc w:val="center"/>
              <w:rPr>
                <w:sz w:val="20"/>
                <w:szCs w:val="20"/>
              </w:rPr>
            </w:pPr>
            <w:r w:rsidRPr="000F5BF0">
              <w:rPr>
                <w:sz w:val="20"/>
                <w:szCs w:val="20"/>
              </w:rPr>
              <w:t>1248.33</w:t>
            </w:r>
          </w:p>
        </w:tc>
        <w:tc>
          <w:tcPr>
            <w:tcW w:w="1569" w:type="dxa"/>
            <w:shd w:val="clear" w:color="000000" w:fill="FFFFFF"/>
            <w:vAlign w:val="bottom"/>
          </w:tcPr>
          <w:p w14:paraId="705D6083" w14:textId="77777777" w:rsidR="000F5BF0" w:rsidRPr="000F5BF0" w:rsidRDefault="000F5BF0" w:rsidP="00023E99">
            <w:pPr>
              <w:jc w:val="center"/>
              <w:rPr>
                <w:sz w:val="20"/>
                <w:szCs w:val="20"/>
              </w:rPr>
            </w:pPr>
            <w:r w:rsidRPr="000F5BF0">
              <w:rPr>
                <w:sz w:val="20"/>
                <w:szCs w:val="20"/>
              </w:rPr>
              <w:t>1094.98</w:t>
            </w:r>
          </w:p>
        </w:tc>
        <w:tc>
          <w:tcPr>
            <w:tcW w:w="1131" w:type="dxa"/>
            <w:shd w:val="clear" w:color="000000" w:fill="FFFFFF"/>
            <w:vAlign w:val="bottom"/>
          </w:tcPr>
          <w:p w14:paraId="494C80D1" w14:textId="77777777" w:rsidR="000F5BF0" w:rsidRPr="000F5BF0" w:rsidRDefault="000F5BF0" w:rsidP="00023E99">
            <w:pPr>
              <w:jc w:val="center"/>
              <w:rPr>
                <w:sz w:val="20"/>
                <w:szCs w:val="20"/>
              </w:rPr>
            </w:pPr>
            <w:r w:rsidRPr="000F5BF0">
              <w:rPr>
                <w:sz w:val="20"/>
                <w:szCs w:val="20"/>
              </w:rPr>
              <w:t>699.54</w:t>
            </w:r>
          </w:p>
        </w:tc>
        <w:tc>
          <w:tcPr>
            <w:tcW w:w="1800" w:type="dxa"/>
            <w:shd w:val="clear" w:color="auto" w:fill="auto"/>
            <w:vAlign w:val="bottom"/>
          </w:tcPr>
          <w:p w14:paraId="16F6BC40" w14:textId="77777777" w:rsidR="000F5BF0" w:rsidRPr="000F5BF0" w:rsidRDefault="000F5BF0" w:rsidP="00023E99">
            <w:pPr>
              <w:jc w:val="center"/>
              <w:rPr>
                <w:sz w:val="20"/>
                <w:szCs w:val="20"/>
              </w:rPr>
            </w:pPr>
            <w:r w:rsidRPr="000F5BF0">
              <w:rPr>
                <w:sz w:val="20"/>
                <w:szCs w:val="20"/>
              </w:rPr>
              <w:t>1102.57</w:t>
            </w:r>
          </w:p>
        </w:tc>
      </w:tr>
      <w:tr w:rsidR="000F5BF0" w:rsidRPr="000F5BF0" w14:paraId="6313B1B6" w14:textId="77777777" w:rsidTr="00023E99">
        <w:trPr>
          <w:trHeight w:val="186"/>
        </w:trPr>
        <w:tc>
          <w:tcPr>
            <w:tcW w:w="1525" w:type="dxa"/>
          </w:tcPr>
          <w:p w14:paraId="3A101DB6" w14:textId="77777777" w:rsidR="000F5BF0" w:rsidRPr="000F5BF0" w:rsidRDefault="000F5BF0" w:rsidP="00023E99">
            <w:pPr>
              <w:jc w:val="center"/>
              <w:rPr>
                <w:sz w:val="20"/>
                <w:szCs w:val="20"/>
              </w:rPr>
            </w:pPr>
            <w:r w:rsidRPr="000F5BF0">
              <w:rPr>
                <w:sz w:val="20"/>
                <w:szCs w:val="20"/>
              </w:rPr>
              <w:t>2022 Mayıs</w:t>
            </w:r>
          </w:p>
        </w:tc>
        <w:tc>
          <w:tcPr>
            <w:tcW w:w="990" w:type="dxa"/>
            <w:shd w:val="clear" w:color="000000" w:fill="FFFFFF"/>
            <w:vAlign w:val="bottom"/>
          </w:tcPr>
          <w:p w14:paraId="1750A30A" w14:textId="77777777" w:rsidR="000F5BF0" w:rsidRPr="000F5BF0" w:rsidRDefault="000F5BF0" w:rsidP="00023E99">
            <w:pPr>
              <w:jc w:val="center"/>
              <w:rPr>
                <w:sz w:val="20"/>
                <w:szCs w:val="20"/>
              </w:rPr>
            </w:pPr>
            <w:r w:rsidRPr="000F5BF0">
              <w:rPr>
                <w:sz w:val="20"/>
                <w:szCs w:val="20"/>
              </w:rPr>
              <w:t>931.76</w:t>
            </w:r>
          </w:p>
        </w:tc>
        <w:tc>
          <w:tcPr>
            <w:tcW w:w="1710" w:type="dxa"/>
            <w:shd w:val="clear" w:color="000000" w:fill="FFFFFF"/>
            <w:vAlign w:val="bottom"/>
          </w:tcPr>
          <w:p w14:paraId="0B8B7AE5" w14:textId="77777777" w:rsidR="000F5BF0" w:rsidRPr="000F5BF0" w:rsidRDefault="000F5BF0" w:rsidP="00023E99">
            <w:pPr>
              <w:jc w:val="center"/>
              <w:rPr>
                <w:sz w:val="20"/>
                <w:szCs w:val="20"/>
              </w:rPr>
            </w:pPr>
            <w:r w:rsidRPr="000F5BF0">
              <w:rPr>
                <w:sz w:val="20"/>
                <w:szCs w:val="20"/>
              </w:rPr>
              <w:t>1268.74</w:t>
            </w:r>
          </w:p>
        </w:tc>
        <w:tc>
          <w:tcPr>
            <w:tcW w:w="1569" w:type="dxa"/>
            <w:shd w:val="clear" w:color="000000" w:fill="FFFFFF"/>
            <w:vAlign w:val="bottom"/>
          </w:tcPr>
          <w:p w14:paraId="00F668E1" w14:textId="77777777" w:rsidR="000F5BF0" w:rsidRPr="000F5BF0" w:rsidRDefault="000F5BF0" w:rsidP="00023E99">
            <w:pPr>
              <w:jc w:val="center"/>
              <w:rPr>
                <w:sz w:val="20"/>
                <w:szCs w:val="20"/>
              </w:rPr>
            </w:pPr>
            <w:r w:rsidRPr="000F5BF0">
              <w:rPr>
                <w:sz w:val="20"/>
                <w:szCs w:val="20"/>
              </w:rPr>
              <w:t>1132.57</w:t>
            </w:r>
          </w:p>
        </w:tc>
        <w:tc>
          <w:tcPr>
            <w:tcW w:w="1131" w:type="dxa"/>
            <w:shd w:val="clear" w:color="000000" w:fill="FFFFFF"/>
            <w:vAlign w:val="bottom"/>
          </w:tcPr>
          <w:p w14:paraId="0822305F" w14:textId="77777777" w:rsidR="000F5BF0" w:rsidRPr="000F5BF0" w:rsidRDefault="000F5BF0" w:rsidP="00023E99">
            <w:pPr>
              <w:jc w:val="center"/>
              <w:rPr>
                <w:sz w:val="20"/>
                <w:szCs w:val="20"/>
              </w:rPr>
            </w:pPr>
            <w:r w:rsidRPr="000F5BF0">
              <w:rPr>
                <w:sz w:val="20"/>
                <w:szCs w:val="20"/>
              </w:rPr>
              <w:t>715.50</w:t>
            </w:r>
          </w:p>
        </w:tc>
        <w:tc>
          <w:tcPr>
            <w:tcW w:w="1800" w:type="dxa"/>
            <w:shd w:val="clear" w:color="auto" w:fill="auto"/>
            <w:vAlign w:val="bottom"/>
          </w:tcPr>
          <w:p w14:paraId="22A65B92" w14:textId="77777777" w:rsidR="000F5BF0" w:rsidRPr="000F5BF0" w:rsidRDefault="000F5BF0" w:rsidP="00023E99">
            <w:pPr>
              <w:jc w:val="center"/>
              <w:rPr>
                <w:sz w:val="20"/>
                <w:szCs w:val="20"/>
              </w:rPr>
            </w:pPr>
            <w:r w:rsidRPr="000F5BF0">
              <w:rPr>
                <w:sz w:val="20"/>
                <w:szCs w:val="20"/>
              </w:rPr>
              <w:t>1110.93</w:t>
            </w:r>
          </w:p>
        </w:tc>
      </w:tr>
      <w:tr w:rsidR="000F5BF0" w:rsidRPr="000F5BF0" w14:paraId="1BE9B2B6" w14:textId="77777777" w:rsidTr="00023E99">
        <w:trPr>
          <w:trHeight w:val="186"/>
        </w:trPr>
        <w:tc>
          <w:tcPr>
            <w:tcW w:w="1525" w:type="dxa"/>
          </w:tcPr>
          <w:p w14:paraId="0595881F" w14:textId="77777777" w:rsidR="000F5BF0" w:rsidRPr="000F5BF0" w:rsidRDefault="000F5BF0" w:rsidP="00023E99">
            <w:pPr>
              <w:jc w:val="center"/>
              <w:rPr>
                <w:sz w:val="20"/>
                <w:szCs w:val="20"/>
              </w:rPr>
            </w:pPr>
            <w:r w:rsidRPr="000F5BF0">
              <w:rPr>
                <w:sz w:val="20"/>
                <w:szCs w:val="20"/>
              </w:rPr>
              <w:t>2022 Haziran</w:t>
            </w:r>
          </w:p>
        </w:tc>
        <w:tc>
          <w:tcPr>
            <w:tcW w:w="990" w:type="dxa"/>
            <w:shd w:val="clear" w:color="000000" w:fill="FFFFFF"/>
            <w:vAlign w:val="bottom"/>
          </w:tcPr>
          <w:p w14:paraId="5493C5C2" w14:textId="77777777" w:rsidR="000F5BF0" w:rsidRPr="000F5BF0" w:rsidRDefault="000F5BF0" w:rsidP="00023E99">
            <w:pPr>
              <w:jc w:val="center"/>
              <w:rPr>
                <w:sz w:val="20"/>
                <w:szCs w:val="20"/>
              </w:rPr>
            </w:pPr>
            <w:r w:rsidRPr="000F5BF0">
              <w:rPr>
                <w:sz w:val="20"/>
                <w:szCs w:val="20"/>
              </w:rPr>
              <w:t>977.90</w:t>
            </w:r>
          </w:p>
        </w:tc>
        <w:tc>
          <w:tcPr>
            <w:tcW w:w="1710" w:type="dxa"/>
            <w:shd w:val="clear" w:color="000000" w:fill="FFFFFF"/>
            <w:vAlign w:val="bottom"/>
          </w:tcPr>
          <w:p w14:paraId="44167BAB" w14:textId="77777777" w:rsidR="000F5BF0" w:rsidRPr="000F5BF0" w:rsidRDefault="000F5BF0" w:rsidP="00023E99">
            <w:pPr>
              <w:jc w:val="center"/>
              <w:rPr>
                <w:sz w:val="20"/>
                <w:szCs w:val="20"/>
              </w:rPr>
            </w:pPr>
            <w:r w:rsidRPr="000F5BF0">
              <w:rPr>
                <w:sz w:val="20"/>
                <w:szCs w:val="20"/>
              </w:rPr>
              <w:t>1295.25</w:t>
            </w:r>
          </w:p>
        </w:tc>
        <w:tc>
          <w:tcPr>
            <w:tcW w:w="1569" w:type="dxa"/>
            <w:shd w:val="clear" w:color="000000" w:fill="FFFFFF"/>
            <w:vAlign w:val="bottom"/>
          </w:tcPr>
          <w:p w14:paraId="2D9320F2" w14:textId="77777777" w:rsidR="000F5BF0" w:rsidRPr="000F5BF0" w:rsidRDefault="000F5BF0" w:rsidP="00023E99">
            <w:pPr>
              <w:jc w:val="center"/>
              <w:rPr>
                <w:sz w:val="20"/>
                <w:szCs w:val="20"/>
              </w:rPr>
            </w:pPr>
            <w:r w:rsidRPr="000F5BF0">
              <w:rPr>
                <w:sz w:val="20"/>
                <w:szCs w:val="20"/>
              </w:rPr>
              <w:t>1252.47</w:t>
            </w:r>
          </w:p>
        </w:tc>
        <w:tc>
          <w:tcPr>
            <w:tcW w:w="1131" w:type="dxa"/>
            <w:shd w:val="clear" w:color="000000" w:fill="FFFFFF"/>
            <w:vAlign w:val="bottom"/>
          </w:tcPr>
          <w:p w14:paraId="0063A4E2" w14:textId="77777777" w:rsidR="000F5BF0" w:rsidRPr="000F5BF0" w:rsidRDefault="000F5BF0" w:rsidP="00023E99">
            <w:pPr>
              <w:jc w:val="center"/>
              <w:rPr>
                <w:sz w:val="20"/>
                <w:szCs w:val="20"/>
              </w:rPr>
            </w:pPr>
            <w:r w:rsidRPr="000F5BF0">
              <w:rPr>
                <w:sz w:val="20"/>
                <w:szCs w:val="20"/>
              </w:rPr>
              <w:t>737.75</w:t>
            </w:r>
          </w:p>
        </w:tc>
        <w:tc>
          <w:tcPr>
            <w:tcW w:w="1800" w:type="dxa"/>
            <w:shd w:val="clear" w:color="auto" w:fill="auto"/>
            <w:vAlign w:val="bottom"/>
          </w:tcPr>
          <w:p w14:paraId="09B911BA" w14:textId="77777777" w:rsidR="000F5BF0" w:rsidRPr="000F5BF0" w:rsidRDefault="000F5BF0" w:rsidP="00023E99">
            <w:pPr>
              <w:jc w:val="center"/>
              <w:rPr>
                <w:sz w:val="20"/>
                <w:szCs w:val="20"/>
              </w:rPr>
            </w:pPr>
            <w:r w:rsidRPr="000F5BF0">
              <w:rPr>
                <w:sz w:val="20"/>
                <w:szCs w:val="20"/>
              </w:rPr>
              <w:t>1269.72</w:t>
            </w:r>
          </w:p>
        </w:tc>
      </w:tr>
    </w:tbl>
    <w:p w14:paraId="6F79C36D" w14:textId="77777777" w:rsidR="000F5BF0" w:rsidRPr="000F5BF0" w:rsidRDefault="000F5BF0" w:rsidP="000F5BF0">
      <w:pPr>
        <w:rPr>
          <w:lang w:val="tr-TR"/>
        </w:rPr>
      </w:pPr>
      <w:r w:rsidRPr="000F5BF0">
        <w:rPr>
          <w:lang w:val="tr-TR"/>
        </w:rPr>
        <w:t xml:space="preserve"> Kaynak: Tüik, Betam</w:t>
      </w:r>
    </w:p>
    <w:p w14:paraId="2D4B1CF4" w14:textId="77777777" w:rsidR="000F5BF0" w:rsidRPr="000F5BF0" w:rsidRDefault="000F5BF0" w:rsidP="000F5BF0">
      <w:pPr>
        <w:rPr>
          <w:b/>
          <w:lang w:val="tr-TR"/>
        </w:rPr>
      </w:pPr>
      <w:r w:rsidRPr="000F5BF0">
        <w:rPr>
          <w:b/>
          <w:lang w:val="tr-TR"/>
        </w:rPr>
        <w:t>Ek Tablo 3: Tüketici Fiyat Endeksi (2003=100) Madde Ağırlıkları (%)</w:t>
      </w:r>
    </w:p>
    <w:tbl>
      <w:tblPr>
        <w:tblStyle w:val="TableGrid"/>
        <w:tblW w:w="0" w:type="auto"/>
        <w:tblLook w:val="04A0" w:firstRow="1" w:lastRow="0" w:firstColumn="1" w:lastColumn="0" w:noHBand="0" w:noVBand="1"/>
      </w:tblPr>
      <w:tblGrid>
        <w:gridCol w:w="1606"/>
        <w:gridCol w:w="1606"/>
        <w:gridCol w:w="1608"/>
        <w:gridCol w:w="1608"/>
        <w:gridCol w:w="1608"/>
      </w:tblGrid>
      <w:tr w:rsidR="000F5BF0" w:rsidRPr="008B1E55" w14:paraId="43A0590D" w14:textId="77777777" w:rsidTr="00023E99">
        <w:trPr>
          <w:trHeight w:val="528"/>
        </w:trPr>
        <w:tc>
          <w:tcPr>
            <w:tcW w:w="1606" w:type="dxa"/>
          </w:tcPr>
          <w:p w14:paraId="35A29189" w14:textId="77777777" w:rsidR="000F5BF0" w:rsidRPr="000F5BF0" w:rsidRDefault="000F5BF0" w:rsidP="00023E99">
            <w:pPr>
              <w:jc w:val="center"/>
              <w:rPr>
                <w:sz w:val="20"/>
                <w:szCs w:val="20"/>
              </w:rPr>
            </w:pPr>
          </w:p>
        </w:tc>
        <w:tc>
          <w:tcPr>
            <w:tcW w:w="1606" w:type="dxa"/>
          </w:tcPr>
          <w:p w14:paraId="38B606E4" w14:textId="77777777" w:rsidR="000F5BF0" w:rsidRPr="000F5BF0" w:rsidRDefault="000F5BF0" w:rsidP="00023E99">
            <w:pPr>
              <w:jc w:val="center"/>
              <w:rPr>
                <w:sz w:val="20"/>
                <w:szCs w:val="20"/>
              </w:rPr>
            </w:pPr>
            <w:r w:rsidRPr="000F5BF0">
              <w:rPr>
                <w:sz w:val="20"/>
                <w:szCs w:val="20"/>
              </w:rPr>
              <w:t>Gıda ve alkolsüz içecekler</w:t>
            </w:r>
          </w:p>
        </w:tc>
        <w:tc>
          <w:tcPr>
            <w:tcW w:w="1608" w:type="dxa"/>
          </w:tcPr>
          <w:p w14:paraId="3A3335AA" w14:textId="77777777" w:rsidR="000F5BF0" w:rsidRPr="000F5BF0" w:rsidRDefault="000F5BF0" w:rsidP="00023E99">
            <w:pPr>
              <w:jc w:val="center"/>
              <w:rPr>
                <w:sz w:val="20"/>
                <w:szCs w:val="20"/>
              </w:rPr>
            </w:pPr>
            <w:r w:rsidRPr="000F5BF0">
              <w:rPr>
                <w:sz w:val="20"/>
                <w:szCs w:val="20"/>
              </w:rPr>
              <w:t>Ulaştırma</w:t>
            </w:r>
          </w:p>
        </w:tc>
        <w:tc>
          <w:tcPr>
            <w:tcW w:w="1608" w:type="dxa"/>
          </w:tcPr>
          <w:p w14:paraId="599E969E" w14:textId="77777777" w:rsidR="000F5BF0" w:rsidRPr="000F5BF0" w:rsidRDefault="000F5BF0" w:rsidP="00023E99">
            <w:pPr>
              <w:jc w:val="center"/>
              <w:rPr>
                <w:sz w:val="20"/>
                <w:szCs w:val="20"/>
              </w:rPr>
            </w:pPr>
            <w:r w:rsidRPr="000F5BF0">
              <w:rPr>
                <w:sz w:val="20"/>
                <w:szCs w:val="20"/>
              </w:rPr>
              <w:t>Gerçek kira</w:t>
            </w:r>
          </w:p>
        </w:tc>
        <w:tc>
          <w:tcPr>
            <w:tcW w:w="1608" w:type="dxa"/>
          </w:tcPr>
          <w:p w14:paraId="34051FC3" w14:textId="77777777" w:rsidR="000F5BF0" w:rsidRPr="000F5BF0" w:rsidRDefault="000F5BF0" w:rsidP="00023E99">
            <w:pPr>
              <w:jc w:val="center"/>
              <w:rPr>
                <w:sz w:val="20"/>
                <w:szCs w:val="20"/>
              </w:rPr>
            </w:pPr>
            <w:r w:rsidRPr="000F5BF0">
              <w:rPr>
                <w:sz w:val="20"/>
                <w:szCs w:val="20"/>
              </w:rPr>
              <w:t>Elektrik, gaz ve diğer yakıtlar</w:t>
            </w:r>
          </w:p>
        </w:tc>
      </w:tr>
      <w:tr w:rsidR="000F5BF0" w:rsidRPr="000F5BF0" w14:paraId="642FA5E4" w14:textId="77777777" w:rsidTr="00023E99">
        <w:trPr>
          <w:trHeight w:val="181"/>
        </w:trPr>
        <w:tc>
          <w:tcPr>
            <w:tcW w:w="1606" w:type="dxa"/>
          </w:tcPr>
          <w:p w14:paraId="7985200F" w14:textId="77777777" w:rsidR="000F5BF0" w:rsidRPr="000F5BF0" w:rsidRDefault="000F5BF0" w:rsidP="00023E99">
            <w:pPr>
              <w:jc w:val="center"/>
              <w:rPr>
                <w:sz w:val="20"/>
                <w:szCs w:val="20"/>
              </w:rPr>
            </w:pPr>
            <w:r w:rsidRPr="000F5BF0">
              <w:rPr>
                <w:sz w:val="20"/>
                <w:szCs w:val="20"/>
              </w:rPr>
              <w:t xml:space="preserve">2016 </w:t>
            </w:r>
          </w:p>
        </w:tc>
        <w:tc>
          <w:tcPr>
            <w:tcW w:w="1606" w:type="dxa"/>
            <w:shd w:val="clear" w:color="auto" w:fill="auto"/>
            <w:vAlign w:val="bottom"/>
          </w:tcPr>
          <w:p w14:paraId="032BE593" w14:textId="77777777" w:rsidR="000F5BF0" w:rsidRPr="000F5BF0" w:rsidRDefault="000F5BF0" w:rsidP="00023E99">
            <w:pPr>
              <w:jc w:val="center"/>
              <w:rPr>
                <w:sz w:val="20"/>
                <w:szCs w:val="20"/>
              </w:rPr>
            </w:pPr>
            <w:r w:rsidRPr="000F5BF0">
              <w:rPr>
                <w:sz w:val="20"/>
                <w:szCs w:val="20"/>
              </w:rPr>
              <w:t>23,68</w:t>
            </w:r>
          </w:p>
        </w:tc>
        <w:tc>
          <w:tcPr>
            <w:tcW w:w="1608" w:type="dxa"/>
            <w:shd w:val="clear" w:color="auto" w:fill="auto"/>
            <w:vAlign w:val="bottom"/>
          </w:tcPr>
          <w:p w14:paraId="4612F146" w14:textId="77777777" w:rsidR="000F5BF0" w:rsidRPr="000F5BF0" w:rsidRDefault="000F5BF0" w:rsidP="00023E99">
            <w:pPr>
              <w:jc w:val="center"/>
              <w:rPr>
                <w:sz w:val="20"/>
                <w:szCs w:val="20"/>
              </w:rPr>
            </w:pPr>
            <w:r w:rsidRPr="000F5BF0">
              <w:rPr>
                <w:sz w:val="20"/>
                <w:szCs w:val="20"/>
              </w:rPr>
              <w:t>14,31</w:t>
            </w:r>
          </w:p>
        </w:tc>
        <w:tc>
          <w:tcPr>
            <w:tcW w:w="1608" w:type="dxa"/>
            <w:shd w:val="clear" w:color="auto" w:fill="auto"/>
            <w:vAlign w:val="bottom"/>
          </w:tcPr>
          <w:p w14:paraId="5FBEDF19" w14:textId="77777777" w:rsidR="000F5BF0" w:rsidRPr="000F5BF0" w:rsidRDefault="000F5BF0" w:rsidP="00023E99">
            <w:pPr>
              <w:jc w:val="center"/>
              <w:rPr>
                <w:sz w:val="20"/>
                <w:szCs w:val="20"/>
              </w:rPr>
            </w:pPr>
            <w:r w:rsidRPr="000F5BF0">
              <w:rPr>
                <w:sz w:val="20"/>
                <w:szCs w:val="20"/>
              </w:rPr>
              <w:t>5,15</w:t>
            </w:r>
          </w:p>
        </w:tc>
        <w:tc>
          <w:tcPr>
            <w:tcW w:w="1608" w:type="dxa"/>
            <w:shd w:val="clear" w:color="auto" w:fill="auto"/>
            <w:vAlign w:val="bottom"/>
          </w:tcPr>
          <w:p w14:paraId="3881BCAA" w14:textId="77777777" w:rsidR="000F5BF0" w:rsidRPr="000F5BF0" w:rsidRDefault="000F5BF0" w:rsidP="00023E99">
            <w:pPr>
              <w:jc w:val="center"/>
              <w:rPr>
                <w:sz w:val="20"/>
                <w:szCs w:val="20"/>
              </w:rPr>
            </w:pPr>
            <w:r w:rsidRPr="000F5BF0">
              <w:rPr>
                <w:sz w:val="20"/>
                <w:szCs w:val="20"/>
              </w:rPr>
              <w:t>6,62</w:t>
            </w:r>
          </w:p>
        </w:tc>
      </w:tr>
      <w:tr w:rsidR="000F5BF0" w:rsidRPr="000F5BF0" w14:paraId="5F71FB29" w14:textId="77777777" w:rsidTr="00023E99">
        <w:trPr>
          <w:trHeight w:val="173"/>
        </w:trPr>
        <w:tc>
          <w:tcPr>
            <w:tcW w:w="1606" w:type="dxa"/>
          </w:tcPr>
          <w:p w14:paraId="12FBF765" w14:textId="77777777" w:rsidR="000F5BF0" w:rsidRPr="000F5BF0" w:rsidRDefault="000F5BF0" w:rsidP="00023E99">
            <w:pPr>
              <w:jc w:val="center"/>
              <w:rPr>
                <w:sz w:val="20"/>
                <w:szCs w:val="20"/>
              </w:rPr>
            </w:pPr>
            <w:r w:rsidRPr="000F5BF0">
              <w:rPr>
                <w:sz w:val="20"/>
                <w:szCs w:val="20"/>
              </w:rPr>
              <w:t xml:space="preserve">2021 </w:t>
            </w:r>
          </w:p>
        </w:tc>
        <w:tc>
          <w:tcPr>
            <w:tcW w:w="1606" w:type="dxa"/>
            <w:shd w:val="clear" w:color="000000" w:fill="FFFFFF"/>
            <w:vAlign w:val="bottom"/>
          </w:tcPr>
          <w:p w14:paraId="674E8FD1" w14:textId="77777777" w:rsidR="000F5BF0" w:rsidRPr="000F5BF0" w:rsidRDefault="000F5BF0" w:rsidP="00023E99">
            <w:pPr>
              <w:jc w:val="center"/>
              <w:rPr>
                <w:sz w:val="20"/>
                <w:szCs w:val="20"/>
              </w:rPr>
            </w:pPr>
            <w:r w:rsidRPr="000F5BF0">
              <w:rPr>
                <w:sz w:val="20"/>
                <w:szCs w:val="20"/>
              </w:rPr>
              <w:t>25,94</w:t>
            </w:r>
          </w:p>
        </w:tc>
        <w:tc>
          <w:tcPr>
            <w:tcW w:w="1608" w:type="dxa"/>
            <w:shd w:val="clear" w:color="000000" w:fill="FFFFFF"/>
            <w:vAlign w:val="bottom"/>
          </w:tcPr>
          <w:p w14:paraId="4BF0329F" w14:textId="77777777" w:rsidR="000F5BF0" w:rsidRPr="000F5BF0" w:rsidRDefault="000F5BF0" w:rsidP="00023E99">
            <w:pPr>
              <w:jc w:val="center"/>
              <w:rPr>
                <w:sz w:val="20"/>
                <w:szCs w:val="20"/>
              </w:rPr>
            </w:pPr>
            <w:r w:rsidRPr="000F5BF0">
              <w:rPr>
                <w:sz w:val="20"/>
                <w:szCs w:val="20"/>
              </w:rPr>
              <w:t>15,49</w:t>
            </w:r>
          </w:p>
        </w:tc>
        <w:tc>
          <w:tcPr>
            <w:tcW w:w="1608" w:type="dxa"/>
            <w:shd w:val="clear" w:color="000000" w:fill="FFFFFF"/>
            <w:vAlign w:val="bottom"/>
          </w:tcPr>
          <w:p w14:paraId="58D2D49A" w14:textId="77777777" w:rsidR="000F5BF0" w:rsidRPr="000F5BF0" w:rsidRDefault="000F5BF0" w:rsidP="00023E99">
            <w:pPr>
              <w:jc w:val="center"/>
              <w:rPr>
                <w:sz w:val="20"/>
                <w:szCs w:val="20"/>
              </w:rPr>
            </w:pPr>
            <w:r w:rsidRPr="000F5BF0">
              <w:rPr>
                <w:sz w:val="20"/>
                <w:szCs w:val="20"/>
              </w:rPr>
              <w:t>5,47</w:t>
            </w:r>
          </w:p>
        </w:tc>
        <w:tc>
          <w:tcPr>
            <w:tcW w:w="1608" w:type="dxa"/>
            <w:shd w:val="clear" w:color="auto" w:fill="auto"/>
            <w:vAlign w:val="bottom"/>
          </w:tcPr>
          <w:p w14:paraId="2B3305CB" w14:textId="77777777" w:rsidR="000F5BF0" w:rsidRPr="000F5BF0" w:rsidRDefault="000F5BF0" w:rsidP="00023E99">
            <w:pPr>
              <w:jc w:val="center"/>
              <w:rPr>
                <w:sz w:val="20"/>
                <w:szCs w:val="20"/>
              </w:rPr>
            </w:pPr>
            <w:r w:rsidRPr="000F5BF0">
              <w:rPr>
                <w:sz w:val="20"/>
                <w:szCs w:val="20"/>
              </w:rPr>
              <w:t>5,85</w:t>
            </w:r>
          </w:p>
        </w:tc>
      </w:tr>
    </w:tbl>
    <w:p w14:paraId="4F7CB36D" w14:textId="2053A2AB" w:rsidR="000F5BF0" w:rsidRPr="000F5BF0" w:rsidRDefault="000F5BF0" w:rsidP="000F5BF0">
      <w:pPr>
        <w:rPr>
          <w:b/>
          <w:lang w:val="tr-TR"/>
        </w:rPr>
      </w:pPr>
      <w:r w:rsidRPr="000F5BF0">
        <w:rPr>
          <w:lang w:val="tr-TR"/>
        </w:rPr>
        <w:t>Kaynak: Tüik, Betam</w:t>
      </w:r>
    </w:p>
    <w:sectPr w:rsidR="000F5BF0" w:rsidRPr="000F5BF0" w:rsidSect="008F69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8660" w14:textId="77777777" w:rsidR="00422C16" w:rsidRDefault="00422C16" w:rsidP="00427A2F">
      <w:pPr>
        <w:spacing w:after="0" w:line="240" w:lineRule="auto"/>
      </w:pPr>
      <w:r>
        <w:separator/>
      </w:r>
    </w:p>
  </w:endnote>
  <w:endnote w:type="continuationSeparator" w:id="0">
    <w:p w14:paraId="063BACD9" w14:textId="77777777" w:rsidR="00422C16" w:rsidRDefault="00422C16" w:rsidP="00427A2F">
      <w:pPr>
        <w:spacing w:after="0" w:line="240" w:lineRule="auto"/>
      </w:pPr>
      <w:r>
        <w:continuationSeparator/>
      </w:r>
    </w:p>
  </w:endnote>
  <w:endnote w:type="continuationNotice" w:id="1">
    <w:p w14:paraId="75E300EE" w14:textId="77777777" w:rsidR="00422C16" w:rsidRDefault="00422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DA84" w14:textId="77777777" w:rsidR="00422C16" w:rsidRDefault="00422C16" w:rsidP="00427A2F">
      <w:pPr>
        <w:spacing w:after="0" w:line="240" w:lineRule="auto"/>
      </w:pPr>
      <w:r>
        <w:separator/>
      </w:r>
    </w:p>
  </w:footnote>
  <w:footnote w:type="continuationSeparator" w:id="0">
    <w:p w14:paraId="1D24C06A" w14:textId="77777777" w:rsidR="00422C16" w:rsidRDefault="00422C16" w:rsidP="00427A2F">
      <w:pPr>
        <w:spacing w:after="0" w:line="240" w:lineRule="auto"/>
      </w:pPr>
      <w:r>
        <w:continuationSeparator/>
      </w:r>
    </w:p>
  </w:footnote>
  <w:footnote w:type="continuationNotice" w:id="1">
    <w:p w14:paraId="7A8EE533" w14:textId="77777777" w:rsidR="00422C16" w:rsidRDefault="00422C16">
      <w:pPr>
        <w:spacing w:after="0" w:line="240" w:lineRule="auto"/>
      </w:pPr>
    </w:p>
  </w:footnote>
  <w:footnote w:id="2">
    <w:p w14:paraId="07A3876E" w14:textId="77777777" w:rsidR="000F5BF0" w:rsidRPr="000F5BF0" w:rsidRDefault="000F5BF0" w:rsidP="000F5BF0">
      <w:pPr>
        <w:pStyle w:val="FootnoteText"/>
        <w:rPr>
          <w:rFonts w:cs="Arial"/>
          <w:sz w:val="16"/>
          <w:lang w:val="tr-TR"/>
        </w:rPr>
      </w:pPr>
      <w:r w:rsidRPr="000F5BF0">
        <w:rPr>
          <w:rStyle w:val="FootnoteReference"/>
          <w:rFonts w:cs="Arial"/>
          <w:b/>
          <w:bCs/>
          <w:sz w:val="16"/>
          <w:lang w:val="tr-TR"/>
        </w:rPr>
        <w:t>*</w:t>
      </w:r>
      <w:r w:rsidRPr="000F5BF0">
        <w:rPr>
          <w:rFonts w:cs="Arial"/>
          <w:sz w:val="16"/>
          <w:lang w:val="tr-TR"/>
        </w:rPr>
        <w:t xml:space="preserve"> </w:t>
      </w:r>
      <w:r w:rsidRPr="000F5BF0">
        <w:rPr>
          <w:rFonts w:cs="Arial"/>
          <w:sz w:val="18"/>
          <w:szCs w:val="18"/>
          <w:lang w:val="tr-TR"/>
        </w:rPr>
        <w:t xml:space="preserve">Prof. Dr. Seyfettin Gürsel, Betam, Direktör, </w:t>
      </w:r>
      <w:hyperlink r:id="rId1" w:history="1">
        <w:r w:rsidRPr="000F5BF0">
          <w:rPr>
            <w:rStyle w:val="Hyperlink"/>
            <w:rFonts w:cs="Arial"/>
            <w:sz w:val="18"/>
            <w:szCs w:val="18"/>
            <w:lang w:val="tr-TR"/>
          </w:rPr>
          <w:t>seyfettin.gursel@eas.bau.edu.tr</w:t>
        </w:r>
      </w:hyperlink>
    </w:p>
  </w:footnote>
  <w:footnote w:id="3">
    <w:p w14:paraId="278F302C" w14:textId="3EA743A1" w:rsidR="000F5BF0" w:rsidRPr="000F5BF0" w:rsidRDefault="000F5BF0" w:rsidP="000F5BF0">
      <w:pPr>
        <w:pStyle w:val="FootnoteText"/>
        <w:rPr>
          <w:rFonts w:cs="Arial"/>
          <w:sz w:val="16"/>
          <w:lang w:val="tr-TR"/>
        </w:rPr>
      </w:pPr>
      <w:r w:rsidRPr="000F5BF0">
        <w:rPr>
          <w:rStyle w:val="FootnoteReference"/>
          <w:rFonts w:cs="Arial"/>
          <w:b/>
          <w:bCs/>
          <w:sz w:val="16"/>
          <w:lang w:val="tr-TR"/>
        </w:rPr>
        <w:t>**</w:t>
      </w:r>
      <w:r w:rsidRPr="000F5BF0">
        <w:rPr>
          <w:lang w:val="tr-TR"/>
        </w:rPr>
        <w:t xml:space="preserve"> </w:t>
      </w:r>
      <w:r w:rsidRPr="000F5BF0">
        <w:rPr>
          <w:sz w:val="18"/>
          <w:lang w:val="tr-TR"/>
        </w:rPr>
        <w:t xml:space="preserve">Prof. Dr. Ozan Bakış, </w:t>
      </w:r>
      <w:r w:rsidRPr="000F5BF0">
        <w:rPr>
          <w:bCs/>
          <w:sz w:val="18"/>
          <w:lang w:val="tr-TR"/>
        </w:rPr>
        <w:t>Betam</w:t>
      </w:r>
      <w:r w:rsidRPr="000F5BF0">
        <w:rPr>
          <w:sz w:val="18"/>
          <w:lang w:val="tr-TR"/>
        </w:rPr>
        <w:t>, Direktör Yardımcısı,</w:t>
      </w:r>
      <w:r w:rsidRPr="000F5BF0">
        <w:rPr>
          <w:sz w:val="18"/>
          <w:szCs w:val="24"/>
          <w:lang w:val="tr-TR"/>
        </w:rPr>
        <w:t xml:space="preserve"> </w:t>
      </w:r>
      <w:hyperlink r:id="rId2" w:history="1">
        <w:r w:rsidRPr="000F5BF0">
          <w:rPr>
            <w:rStyle w:val="Hyperlink"/>
            <w:rFonts w:cs="Arial"/>
            <w:sz w:val="18"/>
            <w:szCs w:val="24"/>
            <w:lang w:val="tr-TR"/>
          </w:rPr>
          <w:t>ozan.bakis@eas.bau.edu.tr</w:t>
        </w:r>
      </w:hyperlink>
    </w:p>
  </w:footnote>
  <w:footnote w:id="4">
    <w:p w14:paraId="65F79A55" w14:textId="66E892AE" w:rsidR="000F5BF0" w:rsidRPr="000F5BF0" w:rsidRDefault="000F5BF0" w:rsidP="000F5BF0">
      <w:pPr>
        <w:pStyle w:val="FootnoteText"/>
        <w:rPr>
          <w:rFonts w:cs="Arial"/>
          <w:sz w:val="14"/>
          <w:lang w:val="tr-TR"/>
        </w:rPr>
      </w:pPr>
      <w:r w:rsidRPr="000F5BF0">
        <w:rPr>
          <w:rStyle w:val="FootnoteReference"/>
          <w:rFonts w:cs="Arial"/>
          <w:b/>
          <w:bCs/>
          <w:sz w:val="16"/>
          <w:lang w:val="tr-TR"/>
        </w:rPr>
        <w:t>***</w:t>
      </w:r>
      <w:r w:rsidRPr="000F5BF0">
        <w:rPr>
          <w:rFonts w:cs="Arial"/>
          <w:lang w:val="tr-TR"/>
        </w:rPr>
        <w:t xml:space="preserve"> </w:t>
      </w:r>
      <w:r w:rsidRPr="000F5BF0">
        <w:rPr>
          <w:rFonts w:cs="Arial"/>
          <w:sz w:val="18"/>
          <w:lang w:val="tr-TR"/>
        </w:rPr>
        <w:t xml:space="preserve">Hamza Mutluay, Betam, Araştırma Görevlisi, </w:t>
      </w:r>
      <w:hyperlink r:id="rId3" w:history="1">
        <w:r w:rsidRPr="000F5BF0">
          <w:rPr>
            <w:rStyle w:val="Hyperlink"/>
            <w:rFonts w:cs="Arial"/>
            <w:sz w:val="18"/>
            <w:lang w:val="tr-TR"/>
          </w:rPr>
          <w:t>hamza.mutluay@eas.bau.edu.tr</w:t>
        </w:r>
      </w:hyperlink>
    </w:p>
    <w:p w14:paraId="3B37DE14" w14:textId="213AC07F" w:rsidR="000F5BF0" w:rsidRPr="00EF1A81" w:rsidRDefault="000F5BF0" w:rsidP="000F5BF0">
      <w:pPr>
        <w:pStyle w:val="FootnoteText"/>
        <w:spacing w:after="120"/>
        <w:rPr>
          <w:rFonts w:cs="Arial"/>
          <w:sz w:val="16"/>
        </w:rPr>
      </w:pPr>
    </w:p>
  </w:footnote>
  <w:footnote w:id="5">
    <w:p w14:paraId="344BD1DE" w14:textId="04214878" w:rsidR="005216A1" w:rsidRPr="005216A1" w:rsidRDefault="005216A1">
      <w:pPr>
        <w:pStyle w:val="FootnoteText"/>
        <w:rPr>
          <w:lang w:val="tr-TR"/>
        </w:rPr>
      </w:pPr>
      <w:r>
        <w:rPr>
          <w:rStyle w:val="FootnoteReference"/>
        </w:rPr>
        <w:footnoteRef/>
      </w:r>
      <w:r>
        <w:t xml:space="preserve"> </w:t>
      </w:r>
      <w:r w:rsidRPr="000F5BF0">
        <w:rPr>
          <w:lang w:val="tr-TR"/>
        </w:rPr>
        <w:t>2022 yılı henüz tamamlanmadığı için yıllık enflasyon oranı mevcut değil. Dolayısıyla 2022 Haziran ayı</w:t>
      </w:r>
      <w:r w:rsidR="00E87C6C">
        <w:rPr>
          <w:lang w:val="tr-TR"/>
        </w:rPr>
        <w:t xml:space="preserve"> için</w:t>
      </w:r>
      <w:r w:rsidRPr="000F5BF0">
        <w:rPr>
          <w:lang w:val="tr-TR"/>
        </w:rPr>
        <w:t xml:space="preserve"> asgari ücreti</w:t>
      </w:r>
      <w:r w:rsidR="00E87C6C">
        <w:rPr>
          <w:lang w:val="tr-TR"/>
        </w:rPr>
        <w:t xml:space="preserve"> değerini</w:t>
      </w:r>
      <w:r w:rsidRPr="000F5BF0">
        <w:rPr>
          <w:lang w:val="tr-TR"/>
        </w:rPr>
        <w:t xml:space="preserve"> enflasyon etkisinden arındırmak için 2003 yılı haziran ayı fiyat endeksi baz alınmıştır.</w:t>
      </w:r>
      <w:r w:rsidR="000C3601">
        <w:rPr>
          <w:lang w:val="tr-TR"/>
        </w:rPr>
        <w:t xml:space="preserve"> Diğer yıllardaki reel asgari ücret hesaplamaları için de aynı yöntem izlenmiştir.</w:t>
      </w:r>
    </w:p>
  </w:footnote>
  <w:footnote w:id="6">
    <w:p w14:paraId="4653E5A5" w14:textId="14FEC3E7" w:rsidR="00FE4985" w:rsidRPr="00FE4985" w:rsidRDefault="00FE4985">
      <w:pPr>
        <w:pStyle w:val="FootnoteText"/>
        <w:rPr>
          <w:lang w:val="tr-TR"/>
        </w:rPr>
      </w:pPr>
      <w:r>
        <w:rPr>
          <w:rStyle w:val="FootnoteReference"/>
        </w:rPr>
        <w:footnoteRef/>
      </w:r>
      <w:r>
        <w:t xml:space="preserve"> </w:t>
      </w:r>
      <w:r w:rsidRPr="00CD4F80">
        <w:rPr>
          <w:lang w:val="tr-TR"/>
        </w:rPr>
        <w:t xml:space="preserve">TÜFE’de </w:t>
      </w:r>
      <w:r w:rsidRPr="00CD4F80">
        <w:rPr>
          <w:lang w:val="tr-TR"/>
        </w:rPr>
        <w:t>yer alan kira artışları yeni kiraya çıkan evlerin kiralarında görülen artışlar olmayıp kiraya verilmiş olan konutlarda kiralara yapılan zamlardır.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64643"/>
    <w:multiLevelType w:val="hybridMultilevel"/>
    <w:tmpl w:val="F12EFF28"/>
    <w:lvl w:ilvl="0" w:tplc="526210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BE"/>
    <w:rsid w:val="000008B0"/>
    <w:rsid w:val="00010BE6"/>
    <w:rsid w:val="000146A6"/>
    <w:rsid w:val="000158E6"/>
    <w:rsid w:val="000421BC"/>
    <w:rsid w:val="000443D6"/>
    <w:rsid w:val="000512C9"/>
    <w:rsid w:val="0005278C"/>
    <w:rsid w:val="000538F7"/>
    <w:rsid w:val="00053BD3"/>
    <w:rsid w:val="000708B4"/>
    <w:rsid w:val="00073CE6"/>
    <w:rsid w:val="0007476B"/>
    <w:rsid w:val="000757EF"/>
    <w:rsid w:val="000823CF"/>
    <w:rsid w:val="000A09D8"/>
    <w:rsid w:val="000A60F8"/>
    <w:rsid w:val="000C3601"/>
    <w:rsid w:val="000D57CD"/>
    <w:rsid w:val="000E450F"/>
    <w:rsid w:val="000E4827"/>
    <w:rsid w:val="000F5BF0"/>
    <w:rsid w:val="001167C9"/>
    <w:rsid w:val="00117ADA"/>
    <w:rsid w:val="00120CF7"/>
    <w:rsid w:val="00122106"/>
    <w:rsid w:val="00136C40"/>
    <w:rsid w:val="00136F12"/>
    <w:rsid w:val="0015037F"/>
    <w:rsid w:val="00174BA1"/>
    <w:rsid w:val="00182085"/>
    <w:rsid w:val="00183EBA"/>
    <w:rsid w:val="0019267A"/>
    <w:rsid w:val="00193042"/>
    <w:rsid w:val="0019485A"/>
    <w:rsid w:val="001A6C18"/>
    <w:rsid w:val="001C45A6"/>
    <w:rsid w:val="001C581A"/>
    <w:rsid w:val="001D01E5"/>
    <w:rsid w:val="001D2DCA"/>
    <w:rsid w:val="001D3113"/>
    <w:rsid w:val="001E1DF6"/>
    <w:rsid w:val="001E5372"/>
    <w:rsid w:val="001E605B"/>
    <w:rsid w:val="001F4A9D"/>
    <w:rsid w:val="001F523C"/>
    <w:rsid w:val="00207F2C"/>
    <w:rsid w:val="002157AC"/>
    <w:rsid w:val="002167A1"/>
    <w:rsid w:val="0022494D"/>
    <w:rsid w:val="002334D0"/>
    <w:rsid w:val="002407C1"/>
    <w:rsid w:val="00245415"/>
    <w:rsid w:val="00246FC1"/>
    <w:rsid w:val="00255995"/>
    <w:rsid w:val="00261A16"/>
    <w:rsid w:val="0026418B"/>
    <w:rsid w:val="00270681"/>
    <w:rsid w:val="002C08CC"/>
    <w:rsid w:val="002C2156"/>
    <w:rsid w:val="002C2630"/>
    <w:rsid w:val="002D154D"/>
    <w:rsid w:val="002E4E06"/>
    <w:rsid w:val="002E73E4"/>
    <w:rsid w:val="002F3AF4"/>
    <w:rsid w:val="002F7D1A"/>
    <w:rsid w:val="00315473"/>
    <w:rsid w:val="00323D13"/>
    <w:rsid w:val="00327703"/>
    <w:rsid w:val="003364B4"/>
    <w:rsid w:val="003369D5"/>
    <w:rsid w:val="00341289"/>
    <w:rsid w:val="003435E2"/>
    <w:rsid w:val="00345660"/>
    <w:rsid w:val="00362469"/>
    <w:rsid w:val="003666D3"/>
    <w:rsid w:val="003671EA"/>
    <w:rsid w:val="00381269"/>
    <w:rsid w:val="003A6D06"/>
    <w:rsid w:val="003A7E48"/>
    <w:rsid w:val="003B2A62"/>
    <w:rsid w:val="003C74A2"/>
    <w:rsid w:val="003D1695"/>
    <w:rsid w:val="003D6810"/>
    <w:rsid w:val="003E2488"/>
    <w:rsid w:val="003F1A2C"/>
    <w:rsid w:val="00401E62"/>
    <w:rsid w:val="004142EA"/>
    <w:rsid w:val="00422C16"/>
    <w:rsid w:val="00426795"/>
    <w:rsid w:val="00427A2F"/>
    <w:rsid w:val="00431FBD"/>
    <w:rsid w:val="00446F34"/>
    <w:rsid w:val="004640A0"/>
    <w:rsid w:val="00464DBC"/>
    <w:rsid w:val="00486070"/>
    <w:rsid w:val="004A2C18"/>
    <w:rsid w:val="004A4512"/>
    <w:rsid w:val="004C48A7"/>
    <w:rsid w:val="004D04C8"/>
    <w:rsid w:val="004D788C"/>
    <w:rsid w:val="004E5D94"/>
    <w:rsid w:val="004F16DF"/>
    <w:rsid w:val="004F17E1"/>
    <w:rsid w:val="004F1BC5"/>
    <w:rsid w:val="004F467F"/>
    <w:rsid w:val="004F7C38"/>
    <w:rsid w:val="00504A8A"/>
    <w:rsid w:val="00515875"/>
    <w:rsid w:val="00516081"/>
    <w:rsid w:val="005216A1"/>
    <w:rsid w:val="00523F9A"/>
    <w:rsid w:val="00526437"/>
    <w:rsid w:val="00527FB7"/>
    <w:rsid w:val="00536438"/>
    <w:rsid w:val="005410B8"/>
    <w:rsid w:val="0054706D"/>
    <w:rsid w:val="00550B31"/>
    <w:rsid w:val="005729FE"/>
    <w:rsid w:val="0058549A"/>
    <w:rsid w:val="00592AB5"/>
    <w:rsid w:val="00593A31"/>
    <w:rsid w:val="005A468E"/>
    <w:rsid w:val="005B0CED"/>
    <w:rsid w:val="005B5E79"/>
    <w:rsid w:val="005D22EE"/>
    <w:rsid w:val="005E377C"/>
    <w:rsid w:val="005E4FA0"/>
    <w:rsid w:val="006117ED"/>
    <w:rsid w:val="006121E0"/>
    <w:rsid w:val="00613A56"/>
    <w:rsid w:val="00614D87"/>
    <w:rsid w:val="00614DDE"/>
    <w:rsid w:val="00614FFE"/>
    <w:rsid w:val="006171AD"/>
    <w:rsid w:val="00617383"/>
    <w:rsid w:val="00625D7C"/>
    <w:rsid w:val="00641182"/>
    <w:rsid w:val="00644069"/>
    <w:rsid w:val="0064774D"/>
    <w:rsid w:val="006541FA"/>
    <w:rsid w:val="00661F59"/>
    <w:rsid w:val="00681FAC"/>
    <w:rsid w:val="00685013"/>
    <w:rsid w:val="00685646"/>
    <w:rsid w:val="006857A8"/>
    <w:rsid w:val="00692ADD"/>
    <w:rsid w:val="006A3CDA"/>
    <w:rsid w:val="006B093E"/>
    <w:rsid w:val="006C30A2"/>
    <w:rsid w:val="006D4E7F"/>
    <w:rsid w:val="006F1D32"/>
    <w:rsid w:val="006F4155"/>
    <w:rsid w:val="006F6032"/>
    <w:rsid w:val="00703EA2"/>
    <w:rsid w:val="00706397"/>
    <w:rsid w:val="007201D1"/>
    <w:rsid w:val="00723514"/>
    <w:rsid w:val="007265BE"/>
    <w:rsid w:val="00732072"/>
    <w:rsid w:val="00741171"/>
    <w:rsid w:val="00747CFB"/>
    <w:rsid w:val="00757EB0"/>
    <w:rsid w:val="0076621F"/>
    <w:rsid w:val="0077173B"/>
    <w:rsid w:val="007823BC"/>
    <w:rsid w:val="00786822"/>
    <w:rsid w:val="007A31F1"/>
    <w:rsid w:val="007B1C05"/>
    <w:rsid w:val="007B3D71"/>
    <w:rsid w:val="007C54EE"/>
    <w:rsid w:val="007D543B"/>
    <w:rsid w:val="007D560F"/>
    <w:rsid w:val="007D6ADF"/>
    <w:rsid w:val="007F3784"/>
    <w:rsid w:val="00803422"/>
    <w:rsid w:val="00805589"/>
    <w:rsid w:val="00814BB8"/>
    <w:rsid w:val="008209CE"/>
    <w:rsid w:val="00826DE8"/>
    <w:rsid w:val="0083794A"/>
    <w:rsid w:val="0084355F"/>
    <w:rsid w:val="00844DBB"/>
    <w:rsid w:val="008532E0"/>
    <w:rsid w:val="00857C02"/>
    <w:rsid w:val="0088369B"/>
    <w:rsid w:val="00887E33"/>
    <w:rsid w:val="0089557D"/>
    <w:rsid w:val="0089620B"/>
    <w:rsid w:val="008A2B66"/>
    <w:rsid w:val="008A6AFE"/>
    <w:rsid w:val="008A7014"/>
    <w:rsid w:val="008B1E55"/>
    <w:rsid w:val="008B360F"/>
    <w:rsid w:val="008C2098"/>
    <w:rsid w:val="008C3A6F"/>
    <w:rsid w:val="008C4E8B"/>
    <w:rsid w:val="008D0455"/>
    <w:rsid w:val="008D621D"/>
    <w:rsid w:val="008D6923"/>
    <w:rsid w:val="008E26C8"/>
    <w:rsid w:val="008F1182"/>
    <w:rsid w:val="008F583E"/>
    <w:rsid w:val="008F69B0"/>
    <w:rsid w:val="009000B4"/>
    <w:rsid w:val="00912C51"/>
    <w:rsid w:val="00917A75"/>
    <w:rsid w:val="00924058"/>
    <w:rsid w:val="00930134"/>
    <w:rsid w:val="00942224"/>
    <w:rsid w:val="00942B0B"/>
    <w:rsid w:val="00952F6C"/>
    <w:rsid w:val="00962B75"/>
    <w:rsid w:val="00973867"/>
    <w:rsid w:val="00981247"/>
    <w:rsid w:val="009849A0"/>
    <w:rsid w:val="009859AA"/>
    <w:rsid w:val="009968B3"/>
    <w:rsid w:val="00997BB1"/>
    <w:rsid w:val="00997D8C"/>
    <w:rsid w:val="009A127E"/>
    <w:rsid w:val="009B6C53"/>
    <w:rsid w:val="009C19F6"/>
    <w:rsid w:val="009C3515"/>
    <w:rsid w:val="009C3BE6"/>
    <w:rsid w:val="009C5DA0"/>
    <w:rsid w:val="009E1E5D"/>
    <w:rsid w:val="00A00954"/>
    <w:rsid w:val="00A043DE"/>
    <w:rsid w:val="00A051A9"/>
    <w:rsid w:val="00A0661B"/>
    <w:rsid w:val="00A1599C"/>
    <w:rsid w:val="00A17FF8"/>
    <w:rsid w:val="00A24486"/>
    <w:rsid w:val="00A2550C"/>
    <w:rsid w:val="00A47B43"/>
    <w:rsid w:val="00A55C44"/>
    <w:rsid w:val="00A56163"/>
    <w:rsid w:val="00A7124B"/>
    <w:rsid w:val="00A71CA8"/>
    <w:rsid w:val="00A7625E"/>
    <w:rsid w:val="00AA3F1B"/>
    <w:rsid w:val="00AA4EE5"/>
    <w:rsid w:val="00AA5582"/>
    <w:rsid w:val="00AB7CC4"/>
    <w:rsid w:val="00AC1AB2"/>
    <w:rsid w:val="00AC208D"/>
    <w:rsid w:val="00AC4FEE"/>
    <w:rsid w:val="00AC5E2E"/>
    <w:rsid w:val="00AC6D2C"/>
    <w:rsid w:val="00AD3D71"/>
    <w:rsid w:val="00AD619D"/>
    <w:rsid w:val="00B07600"/>
    <w:rsid w:val="00B1297C"/>
    <w:rsid w:val="00B22582"/>
    <w:rsid w:val="00B269C5"/>
    <w:rsid w:val="00B311D7"/>
    <w:rsid w:val="00B37B29"/>
    <w:rsid w:val="00B516A6"/>
    <w:rsid w:val="00B55163"/>
    <w:rsid w:val="00B65820"/>
    <w:rsid w:val="00B94A7C"/>
    <w:rsid w:val="00B97ED5"/>
    <w:rsid w:val="00BA6747"/>
    <w:rsid w:val="00BB1590"/>
    <w:rsid w:val="00BB19AB"/>
    <w:rsid w:val="00BC0494"/>
    <w:rsid w:val="00BC15A7"/>
    <w:rsid w:val="00BC38A2"/>
    <w:rsid w:val="00BC58F5"/>
    <w:rsid w:val="00BD69ED"/>
    <w:rsid w:val="00BF4044"/>
    <w:rsid w:val="00BF4BBB"/>
    <w:rsid w:val="00C00984"/>
    <w:rsid w:val="00C1289F"/>
    <w:rsid w:val="00C21BB6"/>
    <w:rsid w:val="00C236DD"/>
    <w:rsid w:val="00C27B04"/>
    <w:rsid w:val="00C43A43"/>
    <w:rsid w:val="00C46ED6"/>
    <w:rsid w:val="00C57300"/>
    <w:rsid w:val="00C61B00"/>
    <w:rsid w:val="00C61CC6"/>
    <w:rsid w:val="00C7459D"/>
    <w:rsid w:val="00C83C51"/>
    <w:rsid w:val="00C96B9A"/>
    <w:rsid w:val="00CB05CE"/>
    <w:rsid w:val="00CC20CC"/>
    <w:rsid w:val="00CC3F36"/>
    <w:rsid w:val="00CC4FD5"/>
    <w:rsid w:val="00CC6E03"/>
    <w:rsid w:val="00CD4F80"/>
    <w:rsid w:val="00CE0D7F"/>
    <w:rsid w:val="00CE4357"/>
    <w:rsid w:val="00CE7998"/>
    <w:rsid w:val="00D0526F"/>
    <w:rsid w:val="00D05EF6"/>
    <w:rsid w:val="00D14F69"/>
    <w:rsid w:val="00D16F2E"/>
    <w:rsid w:val="00D25AA2"/>
    <w:rsid w:val="00D2637D"/>
    <w:rsid w:val="00D273E0"/>
    <w:rsid w:val="00D33C58"/>
    <w:rsid w:val="00D346F4"/>
    <w:rsid w:val="00D446B5"/>
    <w:rsid w:val="00D50677"/>
    <w:rsid w:val="00D80F45"/>
    <w:rsid w:val="00D81A2D"/>
    <w:rsid w:val="00D967A8"/>
    <w:rsid w:val="00DA05F7"/>
    <w:rsid w:val="00DA1F6E"/>
    <w:rsid w:val="00DA7674"/>
    <w:rsid w:val="00DC2E8D"/>
    <w:rsid w:val="00DC71A0"/>
    <w:rsid w:val="00DD7D8D"/>
    <w:rsid w:val="00DE156B"/>
    <w:rsid w:val="00DE2626"/>
    <w:rsid w:val="00DE7303"/>
    <w:rsid w:val="00DE76F2"/>
    <w:rsid w:val="00DF05B4"/>
    <w:rsid w:val="00DF5883"/>
    <w:rsid w:val="00DF6961"/>
    <w:rsid w:val="00E0259A"/>
    <w:rsid w:val="00E230AF"/>
    <w:rsid w:val="00E364AF"/>
    <w:rsid w:val="00E47FDE"/>
    <w:rsid w:val="00E537A2"/>
    <w:rsid w:val="00E5465A"/>
    <w:rsid w:val="00E55FA3"/>
    <w:rsid w:val="00E57C0F"/>
    <w:rsid w:val="00E64F5E"/>
    <w:rsid w:val="00E66C64"/>
    <w:rsid w:val="00E67EA2"/>
    <w:rsid w:val="00E742EA"/>
    <w:rsid w:val="00E749C6"/>
    <w:rsid w:val="00E8316C"/>
    <w:rsid w:val="00E8487B"/>
    <w:rsid w:val="00E850FF"/>
    <w:rsid w:val="00E863D0"/>
    <w:rsid w:val="00E872D9"/>
    <w:rsid w:val="00E87C6C"/>
    <w:rsid w:val="00E87EAC"/>
    <w:rsid w:val="00E94CCE"/>
    <w:rsid w:val="00EA4AF5"/>
    <w:rsid w:val="00EA5752"/>
    <w:rsid w:val="00EB703A"/>
    <w:rsid w:val="00ED3CED"/>
    <w:rsid w:val="00EE1D69"/>
    <w:rsid w:val="00EE200D"/>
    <w:rsid w:val="00EE5484"/>
    <w:rsid w:val="00EF0FFC"/>
    <w:rsid w:val="00EF528E"/>
    <w:rsid w:val="00F02DEA"/>
    <w:rsid w:val="00F03396"/>
    <w:rsid w:val="00F034BA"/>
    <w:rsid w:val="00F124EB"/>
    <w:rsid w:val="00F21923"/>
    <w:rsid w:val="00F33A0D"/>
    <w:rsid w:val="00F45464"/>
    <w:rsid w:val="00F606B1"/>
    <w:rsid w:val="00F77DD2"/>
    <w:rsid w:val="00F805B0"/>
    <w:rsid w:val="00F856A1"/>
    <w:rsid w:val="00F903B8"/>
    <w:rsid w:val="00F909FF"/>
    <w:rsid w:val="00F949E5"/>
    <w:rsid w:val="00F97099"/>
    <w:rsid w:val="00FA70B9"/>
    <w:rsid w:val="00FB218A"/>
    <w:rsid w:val="00FE4985"/>
    <w:rsid w:val="00FF2D5D"/>
    <w:rsid w:val="00FF45B6"/>
    <w:rsid w:val="00FF71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5B4"/>
  <w15:docId w15:val="{5CB553D2-C7BB-4C59-B047-8C2D6194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5B0CED"/>
    <w:pPr>
      <w:spacing w:after="200" w:line="240" w:lineRule="auto"/>
    </w:pPr>
    <w:rPr>
      <w:i/>
      <w:iCs/>
      <w:color w:val="44546A" w:themeColor="text2"/>
      <w:sz w:val="18"/>
      <w:szCs w:val="18"/>
    </w:rPr>
  </w:style>
  <w:style w:type="paragraph" w:styleId="ListParagraph">
    <w:name w:val="List Paragraph"/>
    <w:basedOn w:val="Normal"/>
    <w:uiPriority w:val="34"/>
    <w:qFormat/>
    <w:rsid w:val="00B55163"/>
    <w:pPr>
      <w:ind w:left="720"/>
      <w:contextualSpacing/>
    </w:pPr>
  </w:style>
  <w:style w:type="paragraph" w:styleId="FootnoteText">
    <w:name w:val="footnote text"/>
    <w:basedOn w:val="Normal"/>
    <w:link w:val="FootnoteTextChar"/>
    <w:uiPriority w:val="99"/>
    <w:semiHidden/>
    <w:unhideWhenUsed/>
    <w:rsid w:val="00427A2F"/>
    <w:pPr>
      <w:spacing w:after="0" w:line="240" w:lineRule="auto"/>
    </w:pPr>
    <w:rPr>
      <w:sz w:val="20"/>
      <w:szCs w:val="20"/>
    </w:rPr>
  </w:style>
  <w:style w:type="character" w:customStyle="1" w:styleId="FootnoteTextChar">
    <w:name w:val="Footnote Text Char"/>
    <w:basedOn w:val="DefaultParagraphFont"/>
    <w:link w:val="FootnoteText"/>
    <w:uiPriority w:val="99"/>
    <w:rsid w:val="00427A2F"/>
    <w:rPr>
      <w:sz w:val="20"/>
      <w:szCs w:val="20"/>
    </w:rPr>
  </w:style>
  <w:style w:type="character" w:styleId="FootnoteReference">
    <w:name w:val="footnote reference"/>
    <w:basedOn w:val="DefaultParagraphFont"/>
    <w:uiPriority w:val="99"/>
    <w:semiHidden/>
    <w:unhideWhenUsed/>
    <w:rsid w:val="00427A2F"/>
    <w:rPr>
      <w:vertAlign w:val="superscript"/>
    </w:rPr>
  </w:style>
  <w:style w:type="paragraph" w:styleId="Revision">
    <w:name w:val="Revision"/>
    <w:hidden/>
    <w:uiPriority w:val="99"/>
    <w:semiHidden/>
    <w:rsid w:val="000146A6"/>
    <w:pPr>
      <w:spacing w:after="0" w:line="240" w:lineRule="auto"/>
    </w:pPr>
  </w:style>
  <w:style w:type="character" w:styleId="Hyperlink">
    <w:name w:val="Hyperlink"/>
    <w:basedOn w:val="DefaultParagraphFont"/>
    <w:uiPriority w:val="99"/>
    <w:unhideWhenUsed/>
    <w:rsid w:val="001C581A"/>
    <w:rPr>
      <w:color w:val="0563C1" w:themeColor="hyperlink"/>
      <w:u w:val="single"/>
    </w:rPr>
  </w:style>
  <w:style w:type="table" w:styleId="TableGrid">
    <w:name w:val="Table Grid"/>
    <w:basedOn w:val="TableNormal"/>
    <w:uiPriority w:val="39"/>
    <w:rsid w:val="000F5BF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9C"/>
    <w:rPr>
      <w:rFonts w:ascii="Tahoma" w:hAnsi="Tahoma" w:cs="Tahoma"/>
      <w:sz w:val="16"/>
      <w:szCs w:val="16"/>
    </w:rPr>
  </w:style>
  <w:style w:type="paragraph" w:styleId="Header">
    <w:name w:val="header"/>
    <w:basedOn w:val="Normal"/>
    <w:link w:val="HeaderChar"/>
    <w:uiPriority w:val="99"/>
    <w:semiHidden/>
    <w:unhideWhenUsed/>
    <w:rsid w:val="00E53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7A2"/>
  </w:style>
  <w:style w:type="paragraph" w:styleId="Footer">
    <w:name w:val="footer"/>
    <w:basedOn w:val="Normal"/>
    <w:link w:val="FooterChar"/>
    <w:uiPriority w:val="99"/>
    <w:semiHidden/>
    <w:unhideWhenUsed/>
    <w:rsid w:val="00E53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mailto:ozan.bakis@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6496271299422"/>
          <c:y val="3.5092796205054469E-2"/>
          <c:w val="0.72552996847616269"/>
          <c:h val="0.58596237257636263"/>
        </c:manualLayout>
      </c:layout>
      <c:lineChart>
        <c:grouping val="standard"/>
        <c:varyColors val="0"/>
        <c:ser>
          <c:idx val="2"/>
          <c:order val="1"/>
          <c:tx>
            <c:strRef>
              <c:f>Sheet1!$E$3</c:f>
              <c:strCache>
                <c:ptCount val="1"/>
                <c:pt idx="0">
                  <c:v>TÜFE (sol eksen)</c:v>
                </c:pt>
              </c:strCache>
            </c:strRef>
          </c:tx>
          <c:spPr>
            <a:ln w="28575" cap="rnd">
              <a:solidFill>
                <a:schemeClr val="accent1">
                  <a:lumMod val="60000"/>
                  <a:lumOff val="40000"/>
                </a:schemeClr>
              </a:solidFill>
              <a:round/>
            </a:ln>
            <a:effectLst/>
          </c:spPr>
          <c:marker>
            <c:symbol val="none"/>
          </c:marker>
          <c:cat>
            <c:strRef>
              <c:f>Sheet1!$B$4:$B$23</c:f>
              <c:strCache>
                <c:ptCount val="20"/>
                <c:pt idx="0">
                  <c:v>2003m6</c:v>
                </c:pt>
                <c:pt idx="1">
                  <c:v>2004m6</c:v>
                </c:pt>
                <c:pt idx="2">
                  <c:v>2005m6</c:v>
                </c:pt>
                <c:pt idx="3">
                  <c:v>2006m6</c:v>
                </c:pt>
                <c:pt idx="4">
                  <c:v>2007m6</c:v>
                </c:pt>
                <c:pt idx="5">
                  <c:v>2008m6</c:v>
                </c:pt>
                <c:pt idx="6">
                  <c:v>2009m6</c:v>
                </c:pt>
                <c:pt idx="7">
                  <c:v>2010m6</c:v>
                </c:pt>
                <c:pt idx="8">
                  <c:v>2011m6</c:v>
                </c:pt>
                <c:pt idx="9">
                  <c:v>2012m6</c:v>
                </c:pt>
                <c:pt idx="10">
                  <c:v>2013m6</c:v>
                </c:pt>
                <c:pt idx="11">
                  <c:v>2014m6</c:v>
                </c:pt>
                <c:pt idx="12">
                  <c:v>2015m6</c:v>
                </c:pt>
                <c:pt idx="13">
                  <c:v>2016m6</c:v>
                </c:pt>
                <c:pt idx="14">
                  <c:v>2017m6</c:v>
                </c:pt>
                <c:pt idx="15">
                  <c:v>2018m6</c:v>
                </c:pt>
                <c:pt idx="16">
                  <c:v>2019m6</c:v>
                </c:pt>
                <c:pt idx="17">
                  <c:v>2020m6</c:v>
                </c:pt>
                <c:pt idx="18">
                  <c:v>2021m6</c:v>
                </c:pt>
                <c:pt idx="19">
                  <c:v>2022m6</c:v>
                </c:pt>
              </c:strCache>
            </c:strRef>
          </c:cat>
          <c:val>
            <c:numRef>
              <c:f>Sheet1!$E$4:$E$23</c:f>
              <c:numCache>
                <c:formatCode>0</c:formatCode>
                <c:ptCount val="20"/>
                <c:pt idx="0">
                  <c:v>100</c:v>
                </c:pt>
                <c:pt idx="1">
                  <c:v>107.1</c:v>
                </c:pt>
                <c:pt idx="2">
                  <c:v>116.7</c:v>
                </c:pt>
                <c:pt idx="3">
                  <c:v>128.5</c:v>
                </c:pt>
                <c:pt idx="4">
                  <c:v>139.5</c:v>
                </c:pt>
                <c:pt idx="5">
                  <c:v>154.30000000000001</c:v>
                </c:pt>
                <c:pt idx="6">
                  <c:v>163.19999999999999</c:v>
                </c:pt>
                <c:pt idx="7">
                  <c:v>176.8</c:v>
                </c:pt>
                <c:pt idx="8">
                  <c:v>187.9</c:v>
                </c:pt>
                <c:pt idx="9">
                  <c:v>204.5</c:v>
                </c:pt>
                <c:pt idx="10">
                  <c:v>221.5</c:v>
                </c:pt>
                <c:pt idx="11">
                  <c:v>241.8</c:v>
                </c:pt>
                <c:pt idx="12">
                  <c:v>259.2</c:v>
                </c:pt>
                <c:pt idx="13">
                  <c:v>279</c:v>
                </c:pt>
                <c:pt idx="14">
                  <c:v>309.39999999999998</c:v>
                </c:pt>
                <c:pt idx="15">
                  <c:v>357</c:v>
                </c:pt>
                <c:pt idx="16">
                  <c:v>413.1</c:v>
                </c:pt>
                <c:pt idx="17">
                  <c:v>465.3</c:v>
                </c:pt>
                <c:pt idx="18">
                  <c:v>546.79999999999995</c:v>
                </c:pt>
                <c:pt idx="19">
                  <c:v>976.7</c:v>
                </c:pt>
              </c:numCache>
            </c:numRef>
          </c:val>
          <c:smooth val="0"/>
          <c:extLst>
            <c:ext xmlns:c16="http://schemas.microsoft.com/office/drawing/2014/chart" uri="{C3380CC4-5D6E-409C-BE32-E72D297353CC}">
              <c16:uniqueId val="{00000000-79DC-B24D-B903-2A35FD721643}"/>
            </c:ext>
          </c:extLst>
        </c:ser>
        <c:dLbls>
          <c:showLegendKey val="0"/>
          <c:showVal val="0"/>
          <c:showCatName val="0"/>
          <c:showSerName val="0"/>
          <c:showPercent val="0"/>
          <c:showBubbleSize val="0"/>
        </c:dLbls>
        <c:marker val="1"/>
        <c:smooth val="0"/>
        <c:axId val="632969983"/>
        <c:axId val="632382559"/>
      </c:lineChart>
      <c:lineChart>
        <c:grouping val="standard"/>
        <c:varyColors val="0"/>
        <c:ser>
          <c:idx val="0"/>
          <c:order val="0"/>
          <c:tx>
            <c:strRef>
              <c:f>Sheet1!$C$3</c:f>
              <c:strCache>
                <c:ptCount val="1"/>
                <c:pt idx="0">
                  <c:v>Reel Asgari Ücret </c:v>
                </c:pt>
              </c:strCache>
            </c:strRef>
          </c:tx>
          <c:spPr>
            <a:ln w="28575" cap="rnd">
              <a:solidFill>
                <a:srgbClr val="C00000"/>
              </a:solidFill>
              <a:round/>
            </a:ln>
            <a:effectLst/>
          </c:spPr>
          <c:marker>
            <c:symbol val="none"/>
          </c:marker>
          <c:cat>
            <c:strRef>
              <c:f>Sheet1!$B$4:$B$23</c:f>
              <c:strCache>
                <c:ptCount val="20"/>
                <c:pt idx="0">
                  <c:v>2003m6</c:v>
                </c:pt>
                <c:pt idx="1">
                  <c:v>2004m6</c:v>
                </c:pt>
                <c:pt idx="2">
                  <c:v>2005m6</c:v>
                </c:pt>
                <c:pt idx="3">
                  <c:v>2006m6</c:v>
                </c:pt>
                <c:pt idx="4">
                  <c:v>2007m6</c:v>
                </c:pt>
                <c:pt idx="5">
                  <c:v>2008m6</c:v>
                </c:pt>
                <c:pt idx="6">
                  <c:v>2009m6</c:v>
                </c:pt>
                <c:pt idx="7">
                  <c:v>2010m6</c:v>
                </c:pt>
                <c:pt idx="8">
                  <c:v>2011m6</c:v>
                </c:pt>
                <c:pt idx="9">
                  <c:v>2012m6</c:v>
                </c:pt>
                <c:pt idx="10">
                  <c:v>2013m6</c:v>
                </c:pt>
                <c:pt idx="11">
                  <c:v>2014m6</c:v>
                </c:pt>
                <c:pt idx="12">
                  <c:v>2015m6</c:v>
                </c:pt>
                <c:pt idx="13">
                  <c:v>2016m6</c:v>
                </c:pt>
                <c:pt idx="14">
                  <c:v>2017m6</c:v>
                </c:pt>
                <c:pt idx="15">
                  <c:v>2018m6</c:v>
                </c:pt>
                <c:pt idx="16">
                  <c:v>2019m6</c:v>
                </c:pt>
                <c:pt idx="17">
                  <c:v>2020m6</c:v>
                </c:pt>
                <c:pt idx="18">
                  <c:v>2021m6</c:v>
                </c:pt>
                <c:pt idx="19">
                  <c:v>2022m6</c:v>
                </c:pt>
              </c:strCache>
            </c:strRef>
          </c:cat>
          <c:val>
            <c:numRef>
              <c:f>Sheet1!$C$4:$C$23</c:f>
              <c:numCache>
                <c:formatCode>0</c:formatCode>
                <c:ptCount val="20"/>
                <c:pt idx="0">
                  <c:v>226</c:v>
                </c:pt>
                <c:pt idx="1">
                  <c:v>297</c:v>
                </c:pt>
                <c:pt idx="2">
                  <c:v>300</c:v>
                </c:pt>
                <c:pt idx="3">
                  <c:v>296</c:v>
                </c:pt>
                <c:pt idx="4">
                  <c:v>300</c:v>
                </c:pt>
                <c:pt idx="5">
                  <c:v>326</c:v>
                </c:pt>
                <c:pt idx="6">
                  <c:v>335</c:v>
                </c:pt>
                <c:pt idx="7">
                  <c:v>339</c:v>
                </c:pt>
                <c:pt idx="8">
                  <c:v>351</c:v>
                </c:pt>
                <c:pt idx="9">
                  <c:v>362</c:v>
                </c:pt>
                <c:pt idx="10">
                  <c:v>363</c:v>
                </c:pt>
                <c:pt idx="11">
                  <c:v>369</c:v>
                </c:pt>
                <c:pt idx="12">
                  <c:v>386</c:v>
                </c:pt>
                <c:pt idx="13">
                  <c:v>466</c:v>
                </c:pt>
                <c:pt idx="14">
                  <c:v>454</c:v>
                </c:pt>
                <c:pt idx="15">
                  <c:v>449</c:v>
                </c:pt>
                <c:pt idx="16">
                  <c:v>489</c:v>
                </c:pt>
                <c:pt idx="17">
                  <c:v>500</c:v>
                </c:pt>
                <c:pt idx="18">
                  <c:v>517</c:v>
                </c:pt>
                <c:pt idx="19">
                  <c:v>435</c:v>
                </c:pt>
              </c:numCache>
            </c:numRef>
          </c:val>
          <c:smooth val="0"/>
          <c:extLst>
            <c:ext xmlns:c16="http://schemas.microsoft.com/office/drawing/2014/chart" uri="{C3380CC4-5D6E-409C-BE32-E72D297353CC}">
              <c16:uniqueId val="{00000001-79DC-B24D-B903-2A35FD721643}"/>
            </c:ext>
          </c:extLst>
        </c:ser>
        <c:dLbls>
          <c:showLegendKey val="0"/>
          <c:showVal val="0"/>
          <c:showCatName val="0"/>
          <c:showSerName val="0"/>
          <c:showPercent val="0"/>
          <c:showBubbleSize val="0"/>
        </c:dLbls>
        <c:marker val="1"/>
        <c:smooth val="0"/>
        <c:axId val="626744863"/>
        <c:axId val="627144447"/>
      </c:lineChart>
      <c:catAx>
        <c:axId val="63296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32382559"/>
        <c:crosses val="autoZero"/>
        <c:auto val="1"/>
        <c:lblAlgn val="ctr"/>
        <c:lblOffset val="100"/>
        <c:noMultiLvlLbl val="0"/>
      </c:catAx>
      <c:valAx>
        <c:axId val="632382559"/>
        <c:scaling>
          <c:orientation val="minMax"/>
          <c:max val="1100"/>
          <c:min val="10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 Endeks</a:t>
                </a:r>
              </a:p>
            </c:rich>
          </c:tx>
          <c:layout>
            <c:manualLayout>
              <c:xMode val="edge"/>
              <c:yMode val="edge"/>
              <c:x val="1.3242403836867325E-2"/>
              <c:y val="0.364179574636122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32969983"/>
        <c:crosses val="autoZero"/>
        <c:crossBetween val="between"/>
        <c:majorUnit val="200"/>
      </c:valAx>
      <c:valAx>
        <c:axId val="627144447"/>
        <c:scaling>
          <c:orientation val="minMax"/>
          <c:max val="600"/>
          <c:min val="20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TL</a:t>
                </a:r>
              </a:p>
            </c:rich>
          </c:tx>
          <c:layout>
            <c:manualLayout>
              <c:xMode val="edge"/>
              <c:yMode val="edge"/>
              <c:x val="0.93190382452193476"/>
              <c:y val="0.3705680029465713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title>
        <c:numFmt formatCode="#\ ##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26744863"/>
        <c:crosses val="max"/>
        <c:crossBetween val="between"/>
        <c:majorUnit val="100"/>
      </c:valAx>
      <c:catAx>
        <c:axId val="626744863"/>
        <c:scaling>
          <c:orientation val="minMax"/>
        </c:scaling>
        <c:delete val="1"/>
        <c:axPos val="b"/>
        <c:numFmt formatCode="General" sourceLinked="1"/>
        <c:majorTickMark val="out"/>
        <c:minorTickMark val="none"/>
        <c:tickLblPos val="nextTo"/>
        <c:crossAx val="62714444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2DD4-DD7D-4D4A-A6E1-DFA860F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1495</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Gokhan Sahin GUNES</dc:creator>
  <cp:lastModifiedBy>merve.akgul</cp:lastModifiedBy>
  <cp:revision>3</cp:revision>
  <cp:lastPrinted>2022-08-23T07:59:00Z</cp:lastPrinted>
  <dcterms:created xsi:type="dcterms:W3CDTF">2022-08-23T07:58:00Z</dcterms:created>
  <dcterms:modified xsi:type="dcterms:W3CDTF">2022-08-23T08:19:00Z</dcterms:modified>
</cp:coreProperties>
</file>