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F79FA" w14:textId="0D144C41" w:rsidR="008E26C8" w:rsidRDefault="00F03396" w:rsidP="00F33A0D">
      <w:pPr>
        <w:jc w:val="center"/>
        <w:rPr>
          <w:b/>
          <w:bCs/>
          <w:sz w:val="28"/>
          <w:szCs w:val="28"/>
          <w:lang w:val="tr-TR"/>
        </w:rPr>
      </w:pPr>
      <w:r>
        <w:rPr>
          <w:rFonts w:ascii="Calibri" w:eastAsia="Calibri" w:hAnsi="Calibri" w:cs="Arial"/>
          <w:b/>
          <w:noProof/>
          <w:color w:val="000000"/>
          <w:sz w:val="28"/>
          <w:szCs w:val="28"/>
          <w:lang w:val="tr-TR"/>
        </w:rPr>
        <mc:AlternateContent>
          <mc:Choice Requires="wps">
            <w:drawing>
              <wp:anchor distT="0" distB="0" distL="114300" distR="114300" simplePos="0" relativeHeight="251660288" behindDoc="0" locked="0" layoutInCell="1" allowOverlap="1" wp14:anchorId="01EEA182" wp14:editId="53A24EC8">
                <wp:simplePos x="0" y="0"/>
                <wp:positionH relativeFrom="column">
                  <wp:posOffset>1960481</wp:posOffset>
                </wp:positionH>
                <wp:positionV relativeFrom="paragraph">
                  <wp:posOffset>-526446</wp:posOffset>
                </wp:positionV>
                <wp:extent cx="3578087" cy="482600"/>
                <wp:effectExtent l="0" t="0" r="0" b="0"/>
                <wp:wrapNone/>
                <wp:docPr id="50" name="Metin Kutusu 50"/>
                <wp:cNvGraphicFramePr/>
                <a:graphic xmlns:a="http://schemas.openxmlformats.org/drawingml/2006/main">
                  <a:graphicData uri="http://schemas.microsoft.com/office/word/2010/wordprocessingShape">
                    <wps:wsp>
                      <wps:cNvSpPr txBox="1"/>
                      <wps:spPr>
                        <a:xfrm>
                          <a:off x="0" y="0"/>
                          <a:ext cx="3578087" cy="482600"/>
                        </a:xfrm>
                        <a:prstGeom prst="rect">
                          <a:avLst/>
                        </a:prstGeom>
                        <a:noFill/>
                        <a:ln w="6350">
                          <a:noFill/>
                        </a:ln>
                      </wps:spPr>
                      <wps:txbx>
                        <w:txbxContent>
                          <w:p w14:paraId="0E729839" w14:textId="61CACA6D" w:rsidR="008E26C8" w:rsidRPr="008E26C8" w:rsidRDefault="008E26C8">
                            <w:pPr>
                              <w:rPr>
                                <w:rFonts w:ascii="Times New Roman" w:hAnsi="Times New Roman" w:cs="Times New Roman"/>
                                <w:b/>
                                <w:bCs/>
                                <w:sz w:val="52"/>
                                <w:szCs w:val="52"/>
                                <w:lang w:val="tr-TR"/>
                              </w:rPr>
                            </w:pPr>
                            <w:r w:rsidRPr="008E26C8">
                              <w:rPr>
                                <w:rFonts w:ascii="Times New Roman" w:hAnsi="Times New Roman" w:cs="Times New Roman"/>
                                <w:b/>
                                <w:bCs/>
                                <w:sz w:val="52"/>
                                <w:szCs w:val="52"/>
                                <w:lang w:val="tr-TR"/>
                              </w:rPr>
                              <w:t>Araştırma Notu 22/</w:t>
                            </w:r>
                            <w:r w:rsidR="00F33A0D">
                              <w:rPr>
                                <w:rFonts w:ascii="Times New Roman" w:hAnsi="Times New Roman" w:cs="Times New Roman"/>
                                <w:b/>
                                <w:bCs/>
                                <w:sz w:val="52"/>
                                <w:szCs w:val="52"/>
                                <w:lang w:val="tr-TR"/>
                              </w:rPr>
                              <w:t>258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1EEA182" id="_x0000_t202" coordsize="21600,21600" o:spt="202" path="m,l,21600r21600,l21600,xe">
                <v:stroke joinstyle="miter"/>
                <v:path gradientshapeok="t" o:connecttype="rect"/>
              </v:shapetype>
              <v:shape id="Metin Kutusu 50" o:spid="_x0000_s1026" type="#_x0000_t202" style="position:absolute;left:0;text-align:left;margin-left:154.35pt;margin-top:-41.45pt;width:281.75pt;height:3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" filled="f" stroked="f" strokeweight=".5pt">
                <v:textbox>
                  <w:txbxContent>
                    <w:p w14:paraId="0E729839" w14:textId="61CACA6D" w:rsidR="008E26C8" w:rsidRPr="008E26C8" w:rsidRDefault="008E26C8">
                      <w:pPr>
                        <w:rPr>
                          <w:rFonts w:ascii="Times New Roman" w:hAnsi="Times New Roman" w:cs="Times New Roman"/>
                          <w:b/>
                          <w:bCs/>
                          <w:sz w:val="52"/>
                          <w:szCs w:val="52"/>
                          <w:lang w:val="tr-TR"/>
                        </w:rPr>
                      </w:pPr>
                      <w:r w:rsidRPr="008E26C8">
                        <w:rPr>
                          <w:rFonts w:ascii="Times New Roman" w:hAnsi="Times New Roman" w:cs="Times New Roman"/>
                          <w:b/>
                          <w:bCs/>
                          <w:sz w:val="52"/>
                          <w:szCs w:val="52"/>
                          <w:lang w:val="tr-TR"/>
                        </w:rPr>
                        <w:t>Araştırma Notu 22/</w:t>
                      </w:r>
                      <w:r w:rsidR="00F33A0D">
                        <w:rPr>
                          <w:rFonts w:ascii="Times New Roman" w:hAnsi="Times New Roman" w:cs="Times New Roman"/>
                          <w:b/>
                          <w:bCs/>
                          <w:sz w:val="52"/>
                          <w:szCs w:val="52"/>
                          <w:lang w:val="tr-TR"/>
                        </w:rPr>
                        <w:t>258</w:t>
                      </w:r>
                    </w:p>
                  </w:txbxContent>
                </v:textbox>
              </v:shape>
            </w:pict>
          </mc:Fallback>
        </mc:AlternateContent>
      </w:r>
      <w:r w:rsidR="00DF5883" w:rsidRPr="00C00B75">
        <w:rPr>
          <w:rFonts w:ascii="Calibri" w:eastAsia="Calibri" w:hAnsi="Calibri" w:cs="Arial"/>
          <w:b/>
          <w:noProof/>
          <w:color w:val="000000"/>
          <w:sz w:val="28"/>
          <w:szCs w:val="28"/>
          <w:lang w:val="tr-TR"/>
        </w:rPr>
        <mc:AlternateContent>
          <mc:Choice Requires="wps">
            <w:drawing>
              <wp:anchor distT="0" distB="0" distL="114935" distR="114935" simplePos="0" relativeHeight="251662336" behindDoc="0" locked="0" layoutInCell="1" allowOverlap="1" wp14:anchorId="19FD28A2" wp14:editId="0988A934">
                <wp:simplePos x="0" y="0"/>
                <wp:positionH relativeFrom="margin">
                  <wp:posOffset>5138887</wp:posOffset>
                </wp:positionH>
                <wp:positionV relativeFrom="page">
                  <wp:posOffset>1241760</wp:posOffset>
                </wp:positionV>
                <wp:extent cx="1087120" cy="362309"/>
                <wp:effectExtent l="0" t="0" r="0" b="0"/>
                <wp:wrapNone/>
                <wp:docPr id="18"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87120" cy="362309"/>
                        </a:xfrm>
                        <a:prstGeom prst="rect">
                          <a:avLst/>
                        </a:prstGeom>
                        <a:solidFill>
                          <a:srgbClr val="FFFFFF">
                            <a:alpha val="0"/>
                          </a:srgbClr>
                        </a:solidFill>
                        <a:ln>
                          <a:noFill/>
                        </a:ln>
                      </wps:spPr>
                      <wps:txbx>
                        <w:txbxContent>
                          <w:p w14:paraId="0CD2D933" w14:textId="18DCE725" w:rsidR="00DF5883" w:rsidRPr="00FE6772" w:rsidRDefault="00DF5883" w:rsidP="00DF5883">
                            <w:pPr>
                              <w:jc w:val="center"/>
                              <w:rPr>
                                <w:b/>
                                <w:bCs/>
                                <w:color w:val="FFFFFF" w:themeColor="background1"/>
                              </w:rPr>
                            </w:pPr>
                            <w:r>
                              <w:rPr>
                                <w:b/>
                                <w:bCs/>
                                <w:color w:val="FFFFFF" w:themeColor="background1"/>
                              </w:rPr>
                              <w:t xml:space="preserve">8 </w:t>
                            </w:r>
                            <w:proofErr w:type="spellStart"/>
                            <w:r>
                              <w:rPr>
                                <w:b/>
                                <w:bCs/>
                                <w:color w:val="FFFFFF" w:themeColor="background1"/>
                              </w:rPr>
                              <w:t>Temmuz</w:t>
                            </w:r>
                            <w:proofErr w:type="spellEnd"/>
                            <w:r>
                              <w:rPr>
                                <w:b/>
                                <w:bCs/>
                                <w:color w:val="FFFFFF" w:themeColor="background1"/>
                              </w:rPr>
                              <w:t xml:space="preserve"> </w:t>
                            </w:r>
                            <w:r w:rsidRPr="00FE6772">
                              <w:rPr>
                                <w:b/>
                                <w:bCs/>
                                <w:color w:val="FFFFFF" w:themeColor="background1"/>
                              </w:rPr>
                              <w:t>202</w:t>
                            </w:r>
                            <w:r>
                              <w:rPr>
                                <w:b/>
                                <w:bCs/>
                                <w:color w:val="FFFFFF" w:themeColor="background1"/>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D28A2" id="Metin Kutusu 18" o:spid="_x0000_s1027" type="#_x0000_t202" style="position:absolute;left:0;text-align:left;margin-left:404.65pt;margin-top:97.8pt;width:85.6pt;height:28.55pt;flip:y;z-index:251662336;visibility:visible;mso-wrap-style:square;mso-width-percent:0;mso-height-percent:0;mso-wrap-distance-left:9.05pt;mso-wrap-distance-top:0;mso-wrap-distance-right:9.0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" stroked="f">
                <v:fill opacity="0"/>
                <v:textbox inset="0,0,0,0">
                  <w:txbxContent>
                    <w:p w14:paraId="0CD2D933" w14:textId="18DCE725" w:rsidR="00DF5883" w:rsidRPr="00FE6772" w:rsidRDefault="00DF5883" w:rsidP="00DF5883">
                      <w:pPr>
                        <w:jc w:val="center"/>
                        <w:rPr>
                          <w:b/>
                          <w:bCs/>
                          <w:color w:val="FFFFFF" w:themeColor="background1"/>
                        </w:rPr>
                      </w:pPr>
                      <w:r>
                        <w:rPr>
                          <w:b/>
                          <w:bCs/>
                          <w:color w:val="FFFFFF" w:themeColor="background1"/>
                        </w:rPr>
                        <w:t xml:space="preserve">8 </w:t>
                      </w:r>
                      <w:proofErr w:type="spellStart"/>
                      <w:r>
                        <w:rPr>
                          <w:b/>
                          <w:bCs/>
                          <w:color w:val="FFFFFF" w:themeColor="background1"/>
                        </w:rPr>
                        <w:t>Temmuz</w:t>
                      </w:r>
                      <w:proofErr w:type="spellEnd"/>
                      <w:r>
                        <w:rPr>
                          <w:b/>
                          <w:bCs/>
                          <w:color w:val="FFFFFF" w:themeColor="background1"/>
                        </w:rPr>
                        <w:t xml:space="preserve"> </w:t>
                      </w:r>
                      <w:r w:rsidRPr="00FE6772">
                        <w:rPr>
                          <w:b/>
                          <w:bCs/>
                          <w:color w:val="FFFFFF" w:themeColor="background1"/>
                        </w:rPr>
                        <w:t>202</w:t>
                      </w:r>
                      <w:r>
                        <w:rPr>
                          <w:b/>
                          <w:bCs/>
                          <w:color w:val="FFFFFF" w:themeColor="background1"/>
                        </w:rPr>
                        <w:t>2</w:t>
                      </w:r>
                    </w:p>
                  </w:txbxContent>
                </v:textbox>
                <w10:wrap anchorx="margin" anchory="page"/>
              </v:shape>
            </w:pict>
          </mc:Fallback>
        </mc:AlternateContent>
      </w:r>
      <w:r w:rsidR="008E26C8" w:rsidRPr="00C00B75">
        <w:rPr>
          <w:rFonts w:ascii="Calibri" w:eastAsia="Calibri" w:hAnsi="Calibri" w:cs="Arial"/>
          <w:b/>
          <w:noProof/>
          <w:color w:val="000000"/>
          <w:sz w:val="28"/>
          <w:szCs w:val="28"/>
          <w:lang w:val="tr-TR"/>
        </w:rPr>
        <w:drawing>
          <wp:anchor distT="0" distB="0" distL="114300" distR="114300" simplePos="0" relativeHeight="251659264" behindDoc="1" locked="0" layoutInCell="1" allowOverlap="1" wp14:anchorId="03A38CE6" wp14:editId="428D59FC">
            <wp:simplePos x="0" y="0"/>
            <wp:positionH relativeFrom="margin">
              <wp:posOffset>-724619</wp:posOffset>
            </wp:positionH>
            <wp:positionV relativeFrom="margin">
              <wp:posOffset>-724871</wp:posOffset>
            </wp:positionV>
            <wp:extent cx="7262495" cy="1318260"/>
            <wp:effectExtent l="0" t="0" r="1905" b="2540"/>
            <wp:wrapTight wrapText="bothSides">
              <wp:wrapPolygon edited="0">
                <wp:start x="0" y="0"/>
                <wp:lineTo x="0" y="21434"/>
                <wp:lineTo x="21568" y="21434"/>
                <wp:lineTo x="21568" y="0"/>
                <wp:lineTo x="0" y="0"/>
              </wp:wrapPolygon>
            </wp:wrapTight>
            <wp:docPr id="17"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descr=":banner(TUR).jpg"/>
                    <pic:cNvPicPr>
                      <a:picLocks noChangeAspect="1"/>
                    </pic:cNvPicPr>
                  </pic:nvPicPr>
                  <pic:blipFill>
                    <a:blip r:embed="rId8" cstate="print"/>
                    <a:srcRect/>
                    <a:stretch>
                      <a:fillRect/>
                    </a:stretch>
                  </pic:blipFill>
                  <pic:spPr bwMode="auto">
                    <a:xfrm>
                      <a:off x="0" y="0"/>
                      <a:ext cx="7262495" cy="1318260"/>
                    </a:xfrm>
                    <a:prstGeom prst="rect">
                      <a:avLst/>
                    </a:prstGeom>
                    <a:ln>
                      <a:noFill/>
                    </a:ln>
                    <a:effectLst/>
                  </pic:spPr>
                </pic:pic>
              </a:graphicData>
            </a:graphic>
          </wp:anchor>
        </w:drawing>
      </w:r>
    </w:p>
    <w:p w14:paraId="055DBC1A" w14:textId="2FAA4437" w:rsidR="00C7459D" w:rsidRDefault="00706397" w:rsidP="00706397">
      <w:pPr>
        <w:jc w:val="center"/>
        <w:rPr>
          <w:b/>
          <w:bCs/>
          <w:sz w:val="28"/>
          <w:szCs w:val="28"/>
          <w:lang w:val="tr-TR"/>
        </w:rPr>
      </w:pPr>
      <w:r>
        <w:rPr>
          <w:b/>
          <w:bCs/>
          <w:sz w:val="28"/>
          <w:szCs w:val="28"/>
          <w:lang w:val="tr-TR"/>
        </w:rPr>
        <w:t>TÜRKİYE</w:t>
      </w:r>
      <w:r w:rsidR="00685013" w:rsidRPr="00685013">
        <w:rPr>
          <w:b/>
          <w:bCs/>
          <w:sz w:val="28"/>
          <w:szCs w:val="28"/>
          <w:lang w:val="tr-TR"/>
        </w:rPr>
        <w:t xml:space="preserve"> ve </w:t>
      </w:r>
      <w:r>
        <w:rPr>
          <w:b/>
          <w:bCs/>
          <w:sz w:val="28"/>
          <w:szCs w:val="28"/>
          <w:lang w:val="tr-TR"/>
        </w:rPr>
        <w:t xml:space="preserve">GELİŞMEKTE OLAN ÜLKELERDE ENFLASYON </w:t>
      </w:r>
      <w:r w:rsidR="00D446B5" w:rsidRPr="00685013">
        <w:rPr>
          <w:b/>
          <w:bCs/>
          <w:sz w:val="28"/>
          <w:szCs w:val="28"/>
          <w:lang w:val="tr-TR"/>
        </w:rPr>
        <w:t xml:space="preserve">ve </w:t>
      </w:r>
      <w:r>
        <w:rPr>
          <w:b/>
          <w:bCs/>
          <w:sz w:val="28"/>
          <w:szCs w:val="28"/>
          <w:lang w:val="tr-TR"/>
        </w:rPr>
        <w:t>PARA POLİTİKASI</w:t>
      </w:r>
    </w:p>
    <w:p w14:paraId="2F7B54B1" w14:textId="2B925A56" w:rsidR="009000B4" w:rsidRPr="00523F9A" w:rsidRDefault="009000B4" w:rsidP="00706397">
      <w:pPr>
        <w:jc w:val="center"/>
        <w:rPr>
          <w:b/>
          <w:bCs/>
          <w:sz w:val="24"/>
          <w:szCs w:val="24"/>
          <w:lang w:val="tr-TR"/>
        </w:rPr>
      </w:pPr>
      <w:r w:rsidRPr="00523F9A">
        <w:rPr>
          <w:b/>
          <w:bCs/>
          <w:sz w:val="24"/>
          <w:szCs w:val="24"/>
          <w:lang w:val="tr-TR"/>
        </w:rPr>
        <w:t>Ozan Bakış</w:t>
      </w:r>
      <w:r w:rsidRPr="00523F9A">
        <w:rPr>
          <w:rStyle w:val="DipnotBavurusu"/>
          <w:b/>
          <w:bCs/>
          <w:sz w:val="24"/>
          <w:szCs w:val="24"/>
          <w:lang w:val="tr-TR"/>
        </w:rPr>
        <w:footnoteReference w:id="1"/>
      </w:r>
      <w:r w:rsidRPr="00523F9A">
        <w:rPr>
          <w:b/>
          <w:bCs/>
          <w:sz w:val="24"/>
          <w:szCs w:val="24"/>
          <w:lang w:val="tr-TR"/>
        </w:rPr>
        <w:t>, Gökhan Şahin Güneş</w:t>
      </w:r>
      <w:r w:rsidRPr="00523F9A">
        <w:rPr>
          <w:rStyle w:val="DipnotBavurusu"/>
          <w:b/>
          <w:bCs/>
          <w:sz w:val="24"/>
          <w:szCs w:val="24"/>
          <w:lang w:val="tr-TR"/>
        </w:rPr>
        <w:footnoteReference w:id="2"/>
      </w:r>
    </w:p>
    <w:p w14:paraId="67CEAFA3" w14:textId="29471545" w:rsidR="00685013" w:rsidRDefault="00685013" w:rsidP="003A7E48">
      <w:pPr>
        <w:jc w:val="center"/>
        <w:rPr>
          <w:b/>
          <w:bCs/>
          <w:sz w:val="24"/>
          <w:szCs w:val="24"/>
          <w:lang w:val="tr-TR"/>
        </w:rPr>
      </w:pPr>
      <w:r>
        <w:rPr>
          <w:b/>
          <w:bCs/>
          <w:sz w:val="24"/>
          <w:szCs w:val="24"/>
          <w:lang w:val="tr-TR"/>
        </w:rPr>
        <w:t>Yönetici Özeti</w:t>
      </w:r>
    </w:p>
    <w:p w14:paraId="5CF7DA65" w14:textId="2D392DF6" w:rsidR="00685013" w:rsidRPr="003A6D06" w:rsidRDefault="00741171" w:rsidP="00617383">
      <w:pPr>
        <w:jc w:val="both"/>
        <w:rPr>
          <w:sz w:val="24"/>
          <w:szCs w:val="24"/>
          <w:lang w:val="tr-TR"/>
        </w:rPr>
      </w:pPr>
      <w:proofErr w:type="spellStart"/>
      <w:r w:rsidRPr="003A6D06">
        <w:rPr>
          <w:sz w:val="24"/>
          <w:szCs w:val="24"/>
          <w:lang w:val="tr-TR"/>
        </w:rPr>
        <w:t>Pandemiyle</w:t>
      </w:r>
      <w:proofErr w:type="spellEnd"/>
      <w:r w:rsidRPr="003A6D06">
        <w:rPr>
          <w:sz w:val="24"/>
          <w:szCs w:val="24"/>
          <w:lang w:val="tr-TR"/>
        </w:rPr>
        <w:t xml:space="preserve"> başlayan dönemde merkez bankaları zorlu bir sürece girdi. </w:t>
      </w:r>
      <w:r w:rsidR="00C57300">
        <w:rPr>
          <w:sz w:val="24"/>
          <w:szCs w:val="24"/>
          <w:lang w:val="tr-TR"/>
        </w:rPr>
        <w:t>Merkez bankaları i</w:t>
      </w:r>
      <w:r w:rsidRPr="003A6D06">
        <w:rPr>
          <w:sz w:val="24"/>
          <w:szCs w:val="24"/>
          <w:lang w:val="tr-TR"/>
        </w:rPr>
        <w:t xml:space="preserve">lk başta </w:t>
      </w:r>
      <w:proofErr w:type="spellStart"/>
      <w:r w:rsidRPr="003A6D06">
        <w:rPr>
          <w:sz w:val="24"/>
          <w:szCs w:val="24"/>
          <w:lang w:val="tr-TR"/>
        </w:rPr>
        <w:t>pandeminin</w:t>
      </w:r>
      <w:proofErr w:type="spellEnd"/>
      <w:r w:rsidRPr="003A6D06">
        <w:rPr>
          <w:sz w:val="24"/>
          <w:szCs w:val="24"/>
          <w:lang w:val="tr-TR"/>
        </w:rPr>
        <w:t xml:space="preserve"> olumsuz etkilerini önleme</w:t>
      </w:r>
      <w:r w:rsidR="00C57300">
        <w:rPr>
          <w:sz w:val="24"/>
          <w:szCs w:val="24"/>
          <w:lang w:val="tr-TR"/>
        </w:rPr>
        <w:t>k için</w:t>
      </w:r>
      <w:r w:rsidRPr="003A6D06">
        <w:rPr>
          <w:sz w:val="24"/>
          <w:szCs w:val="24"/>
          <w:lang w:val="tr-TR"/>
        </w:rPr>
        <w:t xml:space="preserve"> gevşek para politikası, takip eden dönemde ekonomilerin toparlanmasıyla ortaya çıkan </w:t>
      </w:r>
      <w:r w:rsidR="00757EB0" w:rsidRPr="003A6D06">
        <w:rPr>
          <w:sz w:val="24"/>
          <w:szCs w:val="24"/>
          <w:lang w:val="tr-TR"/>
        </w:rPr>
        <w:t xml:space="preserve">ve Ukrayna’nın işgaliyle daha zorlu hale gelen </w:t>
      </w:r>
      <w:r w:rsidRPr="003A6D06">
        <w:rPr>
          <w:sz w:val="24"/>
          <w:szCs w:val="24"/>
          <w:lang w:val="tr-TR"/>
        </w:rPr>
        <w:t>enflasyonist ortamla mücadele etmek için sıkı para politikası benimsediler.</w:t>
      </w:r>
      <w:r w:rsidR="00757EB0" w:rsidRPr="003A6D06">
        <w:rPr>
          <w:sz w:val="24"/>
          <w:szCs w:val="24"/>
          <w:lang w:val="tr-TR"/>
        </w:rPr>
        <w:t xml:space="preserve"> </w:t>
      </w:r>
      <w:r w:rsidR="005410B8">
        <w:rPr>
          <w:sz w:val="24"/>
          <w:szCs w:val="24"/>
          <w:lang w:val="tr-TR"/>
        </w:rPr>
        <w:t xml:space="preserve">Bu zorlu süreçte enflasyonu kontrol altında tutmak </w:t>
      </w:r>
      <w:r w:rsidR="00C96B9A">
        <w:rPr>
          <w:sz w:val="24"/>
          <w:szCs w:val="24"/>
          <w:lang w:val="tr-TR"/>
        </w:rPr>
        <w:t>adına</w:t>
      </w:r>
      <w:r w:rsidR="005410B8">
        <w:rPr>
          <w:sz w:val="24"/>
          <w:szCs w:val="24"/>
          <w:lang w:val="tr-TR"/>
        </w:rPr>
        <w:t xml:space="preserve"> merkez bankaları politika faizlerini artır</w:t>
      </w:r>
      <w:r w:rsidR="000146A6">
        <w:rPr>
          <w:sz w:val="24"/>
          <w:szCs w:val="24"/>
          <w:lang w:val="tr-TR"/>
        </w:rPr>
        <w:t>ıyorlar</w:t>
      </w:r>
      <w:r w:rsidR="005410B8">
        <w:rPr>
          <w:sz w:val="24"/>
          <w:szCs w:val="24"/>
          <w:lang w:val="tr-TR"/>
        </w:rPr>
        <w:t>. Ancak, Türkiye</w:t>
      </w:r>
      <w:r w:rsidR="000146A6">
        <w:rPr>
          <w:sz w:val="24"/>
          <w:szCs w:val="24"/>
          <w:lang w:val="tr-TR"/>
        </w:rPr>
        <w:t>’nin</w:t>
      </w:r>
      <w:r w:rsidR="005410B8">
        <w:rPr>
          <w:sz w:val="24"/>
          <w:szCs w:val="24"/>
          <w:lang w:val="tr-TR"/>
        </w:rPr>
        <w:t xml:space="preserve"> </w:t>
      </w:r>
      <w:r w:rsidR="000146A6">
        <w:rPr>
          <w:sz w:val="24"/>
          <w:szCs w:val="24"/>
          <w:lang w:val="tr-TR"/>
        </w:rPr>
        <w:t xml:space="preserve">diğer ülkelere kıyasla </w:t>
      </w:r>
      <w:r w:rsidR="005410B8">
        <w:rPr>
          <w:sz w:val="24"/>
          <w:szCs w:val="24"/>
          <w:lang w:val="tr-TR"/>
        </w:rPr>
        <w:t xml:space="preserve">çok </w:t>
      </w:r>
      <w:r w:rsidR="000146A6">
        <w:rPr>
          <w:sz w:val="24"/>
          <w:szCs w:val="24"/>
          <w:lang w:val="tr-TR"/>
        </w:rPr>
        <w:t xml:space="preserve">daha </w:t>
      </w:r>
      <w:r w:rsidR="005410B8">
        <w:rPr>
          <w:sz w:val="24"/>
          <w:szCs w:val="24"/>
          <w:lang w:val="tr-TR"/>
        </w:rPr>
        <w:t xml:space="preserve">yüksek </w:t>
      </w:r>
      <w:r w:rsidR="000146A6">
        <w:rPr>
          <w:sz w:val="24"/>
          <w:szCs w:val="24"/>
          <w:lang w:val="tr-TR"/>
        </w:rPr>
        <w:t xml:space="preserve">bir </w:t>
      </w:r>
      <w:r w:rsidR="005410B8">
        <w:rPr>
          <w:sz w:val="24"/>
          <w:szCs w:val="24"/>
          <w:lang w:val="tr-TR"/>
        </w:rPr>
        <w:t>enflasyon oranına sahip olmasına rağmen politika faizini düşürerek diğer ülkelerden ayrışan bir para politikası benimse</w:t>
      </w:r>
      <w:r w:rsidR="000146A6">
        <w:rPr>
          <w:sz w:val="24"/>
          <w:szCs w:val="24"/>
          <w:lang w:val="tr-TR"/>
        </w:rPr>
        <w:t>diğini görüyoruz.</w:t>
      </w:r>
    </w:p>
    <w:p w14:paraId="5B937D01" w14:textId="7E4CD3BF" w:rsidR="00685013" w:rsidRPr="00F034BA" w:rsidRDefault="00A55C44" w:rsidP="00617383">
      <w:pPr>
        <w:jc w:val="both"/>
        <w:rPr>
          <w:b/>
          <w:bCs/>
          <w:sz w:val="24"/>
          <w:szCs w:val="24"/>
          <w:lang w:val="tr-TR"/>
        </w:rPr>
      </w:pPr>
      <w:r>
        <w:rPr>
          <w:b/>
          <w:bCs/>
          <w:sz w:val="24"/>
          <w:szCs w:val="24"/>
          <w:lang w:val="tr-TR"/>
        </w:rPr>
        <w:t>Giriş</w:t>
      </w:r>
    </w:p>
    <w:p w14:paraId="02324CB0" w14:textId="5CE29E9B" w:rsidR="00DA1F6E" w:rsidRDefault="00362469" w:rsidP="000823CF">
      <w:pPr>
        <w:jc w:val="both"/>
        <w:rPr>
          <w:sz w:val="24"/>
          <w:szCs w:val="24"/>
          <w:lang w:val="tr-TR"/>
        </w:rPr>
      </w:pPr>
      <w:r>
        <w:rPr>
          <w:sz w:val="24"/>
          <w:szCs w:val="24"/>
          <w:lang w:val="tr-TR"/>
        </w:rPr>
        <w:t>Son dönemde g</w:t>
      </w:r>
      <w:r w:rsidRPr="00685013">
        <w:rPr>
          <w:sz w:val="24"/>
          <w:szCs w:val="24"/>
          <w:lang w:val="tr-TR"/>
        </w:rPr>
        <w:t xml:space="preserve">elişmekte </w:t>
      </w:r>
      <w:r w:rsidR="00DA1F6E" w:rsidRPr="00685013">
        <w:rPr>
          <w:sz w:val="24"/>
          <w:szCs w:val="24"/>
          <w:lang w:val="tr-TR"/>
        </w:rPr>
        <w:t>olan ülkeler</w:t>
      </w:r>
      <w:r>
        <w:rPr>
          <w:sz w:val="24"/>
          <w:szCs w:val="24"/>
          <w:lang w:val="tr-TR"/>
        </w:rPr>
        <w:t>in merkez bankaları</w:t>
      </w:r>
      <w:r w:rsidR="00DA1F6E" w:rsidRPr="00685013">
        <w:rPr>
          <w:sz w:val="24"/>
          <w:szCs w:val="24"/>
          <w:lang w:val="tr-TR"/>
        </w:rPr>
        <w:t xml:space="preserve"> </w:t>
      </w:r>
      <w:r>
        <w:rPr>
          <w:sz w:val="24"/>
          <w:szCs w:val="24"/>
          <w:lang w:val="tr-TR"/>
        </w:rPr>
        <w:t xml:space="preserve">açısından yaşanan ekonomik sorunların iki kaynağı olduğu söylenebilir. İlki, </w:t>
      </w:r>
      <w:r w:rsidR="00DA1F6E" w:rsidRPr="00685013">
        <w:rPr>
          <w:sz w:val="24"/>
          <w:szCs w:val="24"/>
          <w:lang w:val="tr-TR"/>
        </w:rPr>
        <w:t>yükselen enerji ve petrol fiyatlarıyla tarımsal ürün fiyatlarındaki artış</w:t>
      </w:r>
      <w:r w:rsidR="00685013">
        <w:rPr>
          <w:sz w:val="24"/>
          <w:szCs w:val="24"/>
          <w:lang w:val="tr-TR"/>
        </w:rPr>
        <w:t>lar</w:t>
      </w:r>
      <w:r>
        <w:rPr>
          <w:sz w:val="24"/>
          <w:szCs w:val="24"/>
          <w:lang w:val="tr-TR"/>
        </w:rPr>
        <w:t xml:space="preserve">. İkincisi ise </w:t>
      </w:r>
      <w:r w:rsidR="00DA1F6E" w:rsidRPr="00685013">
        <w:rPr>
          <w:sz w:val="24"/>
          <w:szCs w:val="24"/>
          <w:lang w:val="tr-TR"/>
        </w:rPr>
        <w:t>gelişmiş ülke merkez bankalarının kendi ülkelerindeki enflasyonla mücadele kapsamında benimsedikleri para politika</w:t>
      </w:r>
      <w:r>
        <w:rPr>
          <w:sz w:val="24"/>
          <w:szCs w:val="24"/>
          <w:lang w:val="tr-TR"/>
        </w:rPr>
        <w:t xml:space="preserve">ları. </w:t>
      </w:r>
      <w:r w:rsidR="00DA1F6E" w:rsidRPr="00685013">
        <w:rPr>
          <w:sz w:val="24"/>
          <w:szCs w:val="24"/>
          <w:lang w:val="tr-TR"/>
        </w:rPr>
        <w:t>Bu</w:t>
      </w:r>
      <w:r w:rsidR="003D6810" w:rsidRPr="00685013">
        <w:rPr>
          <w:sz w:val="24"/>
          <w:szCs w:val="24"/>
          <w:lang w:val="tr-TR"/>
        </w:rPr>
        <w:t xml:space="preserve"> </w:t>
      </w:r>
      <w:r w:rsidR="00685013">
        <w:rPr>
          <w:sz w:val="24"/>
          <w:szCs w:val="24"/>
          <w:lang w:val="tr-TR"/>
        </w:rPr>
        <w:t>koşullar</w:t>
      </w:r>
      <w:r w:rsidR="003D6810" w:rsidRPr="00685013">
        <w:rPr>
          <w:sz w:val="24"/>
          <w:szCs w:val="24"/>
          <w:lang w:val="tr-TR"/>
        </w:rPr>
        <w:t xml:space="preserve"> altında </w:t>
      </w:r>
      <w:r>
        <w:rPr>
          <w:sz w:val="24"/>
          <w:szCs w:val="24"/>
          <w:lang w:val="tr-TR"/>
        </w:rPr>
        <w:t>gelişmekte olan</w:t>
      </w:r>
      <w:r w:rsidRPr="00685013">
        <w:rPr>
          <w:sz w:val="24"/>
          <w:szCs w:val="24"/>
          <w:lang w:val="tr-TR"/>
        </w:rPr>
        <w:t xml:space="preserve"> </w:t>
      </w:r>
      <w:r w:rsidR="00723514" w:rsidRPr="00685013">
        <w:rPr>
          <w:sz w:val="24"/>
          <w:szCs w:val="24"/>
          <w:lang w:val="tr-TR"/>
        </w:rPr>
        <w:t>ülkelerde</w:t>
      </w:r>
      <w:r w:rsidR="003D6810" w:rsidRPr="00685013">
        <w:rPr>
          <w:sz w:val="24"/>
          <w:szCs w:val="24"/>
          <w:lang w:val="tr-TR"/>
        </w:rPr>
        <w:t xml:space="preserve"> </w:t>
      </w:r>
      <w:r w:rsidR="00DA1F6E" w:rsidRPr="00685013">
        <w:rPr>
          <w:sz w:val="24"/>
          <w:szCs w:val="24"/>
          <w:lang w:val="tr-TR"/>
        </w:rPr>
        <w:t>enflasyon</w:t>
      </w:r>
      <w:r w:rsidR="00685013">
        <w:rPr>
          <w:sz w:val="24"/>
          <w:szCs w:val="24"/>
          <w:lang w:val="tr-TR"/>
        </w:rPr>
        <w:t>un seyri</w:t>
      </w:r>
      <w:r w:rsidR="00DA1F6E" w:rsidRPr="00685013">
        <w:rPr>
          <w:sz w:val="24"/>
          <w:szCs w:val="24"/>
          <w:lang w:val="tr-TR"/>
        </w:rPr>
        <w:t xml:space="preserve"> ve merkez bankalarının </w:t>
      </w:r>
      <w:r w:rsidR="00685013">
        <w:rPr>
          <w:sz w:val="24"/>
          <w:szCs w:val="24"/>
          <w:lang w:val="tr-TR"/>
        </w:rPr>
        <w:t>uyguladıkları para politikalarının karşılaştırmalı olarak</w:t>
      </w:r>
      <w:r w:rsidR="00DA1F6E" w:rsidRPr="00685013">
        <w:rPr>
          <w:sz w:val="24"/>
          <w:szCs w:val="24"/>
          <w:lang w:val="tr-TR"/>
        </w:rPr>
        <w:t xml:space="preserve"> incele</w:t>
      </w:r>
      <w:r w:rsidR="00685013">
        <w:rPr>
          <w:sz w:val="24"/>
          <w:szCs w:val="24"/>
          <w:lang w:val="tr-TR"/>
        </w:rPr>
        <w:t>n</w:t>
      </w:r>
      <w:r w:rsidR="00DA1F6E" w:rsidRPr="00685013">
        <w:rPr>
          <w:sz w:val="24"/>
          <w:szCs w:val="24"/>
          <w:lang w:val="tr-TR"/>
        </w:rPr>
        <w:t>me</w:t>
      </w:r>
      <w:r w:rsidR="00685013">
        <w:rPr>
          <w:sz w:val="24"/>
          <w:szCs w:val="24"/>
          <w:lang w:val="tr-TR"/>
        </w:rPr>
        <w:t xml:space="preserve">si </w:t>
      </w:r>
      <w:r w:rsidR="00DA1F6E" w:rsidRPr="00685013">
        <w:rPr>
          <w:sz w:val="24"/>
          <w:szCs w:val="24"/>
          <w:lang w:val="tr-TR"/>
        </w:rPr>
        <w:t>önem</w:t>
      </w:r>
      <w:r w:rsidR="00A55C44">
        <w:rPr>
          <w:sz w:val="24"/>
          <w:szCs w:val="24"/>
          <w:lang w:val="tr-TR"/>
        </w:rPr>
        <w:t xml:space="preserve"> kazanmıştır</w:t>
      </w:r>
      <w:r w:rsidR="00DA1F6E" w:rsidRPr="00685013">
        <w:rPr>
          <w:sz w:val="24"/>
          <w:szCs w:val="24"/>
          <w:lang w:val="tr-TR"/>
        </w:rPr>
        <w:t>. Bu araştırma notu bazı gelişmekte olan ülkelerdeki güncel enflasyon oranlarını, para politikası faiz oranlarını ve merkez bankalarının enflasyon tahminlerini incelemektedir.</w:t>
      </w:r>
    </w:p>
    <w:p w14:paraId="7556C7A3" w14:textId="0E24B3AF" w:rsidR="00A55C44" w:rsidRPr="00AC4FEE" w:rsidRDefault="00327703" w:rsidP="000823CF">
      <w:pPr>
        <w:jc w:val="both"/>
        <w:rPr>
          <w:b/>
          <w:sz w:val="24"/>
          <w:szCs w:val="24"/>
          <w:lang w:val="tr-TR"/>
        </w:rPr>
      </w:pPr>
      <w:proofErr w:type="spellStart"/>
      <w:r>
        <w:rPr>
          <w:b/>
          <w:sz w:val="24"/>
          <w:szCs w:val="24"/>
          <w:lang w:val="tr-TR"/>
        </w:rPr>
        <w:t>Pandemiden</w:t>
      </w:r>
      <w:proofErr w:type="spellEnd"/>
      <w:r>
        <w:rPr>
          <w:b/>
          <w:sz w:val="24"/>
          <w:szCs w:val="24"/>
          <w:lang w:val="tr-TR"/>
        </w:rPr>
        <w:t xml:space="preserve"> </w:t>
      </w:r>
      <w:r w:rsidR="00B269C5">
        <w:rPr>
          <w:b/>
          <w:sz w:val="24"/>
          <w:szCs w:val="24"/>
          <w:lang w:val="tr-TR"/>
        </w:rPr>
        <w:t>sonra</w:t>
      </w:r>
      <w:r>
        <w:rPr>
          <w:b/>
          <w:sz w:val="24"/>
          <w:szCs w:val="24"/>
          <w:lang w:val="tr-TR"/>
        </w:rPr>
        <w:t xml:space="preserve"> para politikası</w:t>
      </w:r>
      <w:r w:rsidR="004A2C18">
        <w:rPr>
          <w:b/>
          <w:sz w:val="24"/>
          <w:szCs w:val="24"/>
          <w:lang w:val="tr-TR"/>
        </w:rPr>
        <w:t>nın</w:t>
      </w:r>
      <w:r>
        <w:rPr>
          <w:b/>
          <w:sz w:val="24"/>
          <w:szCs w:val="24"/>
          <w:lang w:val="tr-TR"/>
        </w:rPr>
        <w:t xml:space="preserve"> seyri</w:t>
      </w:r>
    </w:p>
    <w:p w14:paraId="3839F6C4" w14:textId="61ED9567" w:rsidR="000823CF" w:rsidRPr="00685013" w:rsidRDefault="00010BE6" w:rsidP="000823CF">
      <w:pPr>
        <w:jc w:val="both"/>
        <w:rPr>
          <w:sz w:val="24"/>
          <w:szCs w:val="24"/>
          <w:lang w:val="tr-TR"/>
        </w:rPr>
      </w:pPr>
      <w:r w:rsidRPr="00685013">
        <w:rPr>
          <w:sz w:val="24"/>
          <w:szCs w:val="24"/>
          <w:lang w:val="tr-TR"/>
        </w:rPr>
        <w:t xml:space="preserve">Geçtiğimiz 2,5 yılda yaşadığımız öngörülemeyen gelişmeler merkez bankalarını zor </w:t>
      </w:r>
      <w:r w:rsidR="00AC4FEE">
        <w:rPr>
          <w:sz w:val="24"/>
          <w:szCs w:val="24"/>
          <w:lang w:val="tr-TR"/>
        </w:rPr>
        <w:t xml:space="preserve">bir </w:t>
      </w:r>
      <w:r w:rsidRPr="00685013">
        <w:rPr>
          <w:sz w:val="24"/>
          <w:szCs w:val="24"/>
          <w:lang w:val="tr-TR"/>
        </w:rPr>
        <w:t xml:space="preserve">durumda bıraktı. 2020 yılında </w:t>
      </w:r>
      <w:proofErr w:type="spellStart"/>
      <w:r w:rsidRPr="00685013">
        <w:rPr>
          <w:sz w:val="24"/>
          <w:szCs w:val="24"/>
          <w:lang w:val="tr-TR"/>
        </w:rPr>
        <w:t>pandemiyle</w:t>
      </w:r>
      <w:proofErr w:type="spellEnd"/>
      <w:r w:rsidRPr="00685013">
        <w:rPr>
          <w:sz w:val="24"/>
          <w:szCs w:val="24"/>
          <w:lang w:val="tr-TR"/>
        </w:rPr>
        <w:t xml:space="preserve"> başlayan süreçte neredeyse tüm ülkeler kapanma kararı aldı</w:t>
      </w:r>
      <w:r w:rsidR="000823CF" w:rsidRPr="00685013">
        <w:rPr>
          <w:sz w:val="24"/>
          <w:szCs w:val="24"/>
          <w:lang w:val="tr-TR"/>
        </w:rPr>
        <w:t xml:space="preserve"> ve </w:t>
      </w:r>
      <w:r w:rsidR="00AC4FEE">
        <w:rPr>
          <w:sz w:val="24"/>
          <w:szCs w:val="24"/>
          <w:lang w:val="tr-TR"/>
        </w:rPr>
        <w:t xml:space="preserve">faaliyet </w:t>
      </w:r>
      <w:r w:rsidR="000823CF" w:rsidRPr="00685013">
        <w:rPr>
          <w:sz w:val="24"/>
          <w:szCs w:val="24"/>
          <w:lang w:val="tr-TR"/>
        </w:rPr>
        <w:t>kısıtla</w:t>
      </w:r>
      <w:r w:rsidR="00AC4FEE">
        <w:rPr>
          <w:sz w:val="24"/>
          <w:szCs w:val="24"/>
          <w:lang w:val="tr-TR"/>
        </w:rPr>
        <w:t>mala</w:t>
      </w:r>
      <w:r w:rsidR="000823CF" w:rsidRPr="00685013">
        <w:rPr>
          <w:sz w:val="24"/>
          <w:szCs w:val="24"/>
          <w:lang w:val="tr-TR"/>
        </w:rPr>
        <w:t>rı getir</w:t>
      </w:r>
      <w:r w:rsidR="00AC4FEE">
        <w:rPr>
          <w:sz w:val="24"/>
          <w:szCs w:val="24"/>
          <w:lang w:val="tr-TR"/>
        </w:rPr>
        <w:t>il</w:t>
      </w:r>
      <w:r w:rsidR="000823CF" w:rsidRPr="00685013">
        <w:rPr>
          <w:sz w:val="24"/>
          <w:szCs w:val="24"/>
          <w:lang w:val="tr-TR"/>
        </w:rPr>
        <w:t xml:space="preserve">di. </w:t>
      </w:r>
      <w:proofErr w:type="spellStart"/>
      <w:r w:rsidR="000823CF" w:rsidRPr="00685013">
        <w:rPr>
          <w:sz w:val="24"/>
          <w:szCs w:val="24"/>
          <w:lang w:val="tr-TR"/>
        </w:rPr>
        <w:t>Pandeminin</w:t>
      </w:r>
      <w:proofErr w:type="spellEnd"/>
      <w:r w:rsidR="000823CF" w:rsidRPr="00685013">
        <w:rPr>
          <w:sz w:val="24"/>
          <w:szCs w:val="24"/>
          <w:lang w:val="tr-TR"/>
        </w:rPr>
        <w:t xml:space="preserve"> bulaşıcılığını engellemek adına </w:t>
      </w:r>
      <w:r w:rsidR="000158E6" w:rsidRPr="00685013">
        <w:rPr>
          <w:sz w:val="24"/>
          <w:szCs w:val="24"/>
          <w:lang w:val="tr-TR"/>
        </w:rPr>
        <w:t>alınan kararlar neticesinde</w:t>
      </w:r>
      <w:r w:rsidR="000823CF" w:rsidRPr="00685013">
        <w:rPr>
          <w:sz w:val="24"/>
          <w:szCs w:val="24"/>
          <w:lang w:val="tr-TR"/>
        </w:rPr>
        <w:t xml:space="preserve"> ekonomik aktivitede belirgin düşüşler ortaya çıktı.</w:t>
      </w:r>
      <w:r w:rsidRPr="00685013">
        <w:rPr>
          <w:sz w:val="24"/>
          <w:szCs w:val="24"/>
          <w:lang w:val="tr-TR"/>
        </w:rPr>
        <w:t xml:space="preserve"> Bu dönemde </w:t>
      </w:r>
      <w:r w:rsidR="000823CF" w:rsidRPr="00685013">
        <w:rPr>
          <w:sz w:val="24"/>
          <w:szCs w:val="24"/>
          <w:lang w:val="tr-TR"/>
        </w:rPr>
        <w:t xml:space="preserve">ekonomik daralmayı sınırlamak adına </w:t>
      </w:r>
      <w:r w:rsidRPr="00685013">
        <w:rPr>
          <w:sz w:val="24"/>
          <w:szCs w:val="24"/>
          <w:lang w:val="tr-TR"/>
        </w:rPr>
        <w:t>birçok ülke mali destek</w:t>
      </w:r>
      <w:r w:rsidR="000158E6" w:rsidRPr="00685013">
        <w:rPr>
          <w:sz w:val="24"/>
          <w:szCs w:val="24"/>
          <w:lang w:val="tr-TR"/>
        </w:rPr>
        <w:t xml:space="preserve"> paketleri açıklarken</w:t>
      </w:r>
      <w:r w:rsidR="00486070" w:rsidRPr="00685013">
        <w:rPr>
          <w:sz w:val="24"/>
          <w:szCs w:val="24"/>
          <w:lang w:val="tr-TR"/>
        </w:rPr>
        <w:t>,</w:t>
      </w:r>
      <w:r w:rsidRPr="00685013">
        <w:rPr>
          <w:sz w:val="24"/>
          <w:szCs w:val="24"/>
          <w:lang w:val="tr-TR"/>
        </w:rPr>
        <w:t xml:space="preserve"> merkez bankaları genişleyici para politikası benimsedi. </w:t>
      </w:r>
    </w:p>
    <w:p w14:paraId="39110B89" w14:textId="7F2E1301" w:rsidR="00255995" w:rsidRPr="00685013" w:rsidRDefault="000823CF" w:rsidP="000823CF">
      <w:pPr>
        <w:jc w:val="both"/>
        <w:rPr>
          <w:sz w:val="24"/>
          <w:szCs w:val="24"/>
          <w:lang w:val="tr-TR"/>
        </w:rPr>
      </w:pPr>
      <w:r w:rsidRPr="00685013">
        <w:rPr>
          <w:sz w:val="24"/>
          <w:szCs w:val="24"/>
          <w:lang w:val="tr-TR"/>
        </w:rPr>
        <w:t>Şekil 1</w:t>
      </w:r>
      <w:r w:rsidR="00CB05CE">
        <w:rPr>
          <w:sz w:val="24"/>
          <w:szCs w:val="24"/>
          <w:lang w:val="tr-TR"/>
        </w:rPr>
        <w:t>,</w:t>
      </w:r>
      <w:r w:rsidRPr="00685013">
        <w:rPr>
          <w:sz w:val="24"/>
          <w:szCs w:val="24"/>
          <w:lang w:val="tr-TR"/>
        </w:rPr>
        <w:t xml:space="preserve"> 2020 Ocak ayından itibaren ilgili ayda politika faizini artıran ya da düşüren merkez bankası sayısını göstermektedir. </w:t>
      </w:r>
      <w:proofErr w:type="spellStart"/>
      <w:r w:rsidRPr="00685013">
        <w:rPr>
          <w:sz w:val="24"/>
          <w:szCs w:val="24"/>
          <w:lang w:val="tr-TR"/>
        </w:rPr>
        <w:t>Pandeminin</w:t>
      </w:r>
      <w:proofErr w:type="spellEnd"/>
      <w:r w:rsidRPr="00685013">
        <w:rPr>
          <w:sz w:val="24"/>
          <w:szCs w:val="24"/>
          <w:lang w:val="tr-TR"/>
        </w:rPr>
        <w:t xml:space="preserve"> ortaya çıktığı 2020 yılbaşından itibaren kendi ülkelerinde ortaya çıkabilecek talep daralmalarının olumsuz sonuçlarını önlemek amacıyla birçok merkez bankası faiz oranlarını düşür</w:t>
      </w:r>
      <w:r w:rsidR="009C5DA0" w:rsidRPr="00685013">
        <w:rPr>
          <w:sz w:val="24"/>
          <w:szCs w:val="24"/>
          <w:lang w:val="tr-TR"/>
        </w:rPr>
        <w:t>dü</w:t>
      </w:r>
      <w:r w:rsidRPr="00685013">
        <w:rPr>
          <w:sz w:val="24"/>
          <w:szCs w:val="24"/>
          <w:lang w:val="tr-TR"/>
        </w:rPr>
        <w:t xml:space="preserve">. Ocak ve </w:t>
      </w:r>
      <w:proofErr w:type="gramStart"/>
      <w:r w:rsidRPr="00685013">
        <w:rPr>
          <w:sz w:val="24"/>
          <w:szCs w:val="24"/>
          <w:lang w:val="tr-TR"/>
        </w:rPr>
        <w:t>Şubat</w:t>
      </w:r>
      <w:proofErr w:type="gramEnd"/>
      <w:r w:rsidRPr="00685013">
        <w:rPr>
          <w:sz w:val="24"/>
          <w:szCs w:val="24"/>
          <w:lang w:val="tr-TR"/>
        </w:rPr>
        <w:t xml:space="preserve"> aylarında sırasıyla 9 ve 14, </w:t>
      </w:r>
      <w:proofErr w:type="spellStart"/>
      <w:r w:rsidRPr="00685013">
        <w:rPr>
          <w:sz w:val="24"/>
          <w:szCs w:val="24"/>
          <w:lang w:val="tr-TR"/>
        </w:rPr>
        <w:t>pandeminin</w:t>
      </w:r>
      <w:proofErr w:type="spellEnd"/>
      <w:r w:rsidRPr="00685013">
        <w:rPr>
          <w:sz w:val="24"/>
          <w:szCs w:val="24"/>
          <w:lang w:val="tr-TR"/>
        </w:rPr>
        <w:t xml:space="preserve"> etkilerinin belirginleştiği Mart ayında ise 70 merkez bankası faiz oranlarını </w:t>
      </w:r>
      <w:r w:rsidRPr="00685013">
        <w:rPr>
          <w:sz w:val="24"/>
          <w:szCs w:val="24"/>
          <w:lang w:val="tr-TR"/>
        </w:rPr>
        <w:lastRenderedPageBreak/>
        <w:t xml:space="preserve">düşürmüştür. Politika faizini düşüren merkez bankalarının sayısı yıl içinde azalsa da faiz düşüşleri 2020 boyunca devam etmiştir. </w:t>
      </w:r>
    </w:p>
    <w:p w14:paraId="6A08824C" w14:textId="77777777" w:rsidR="000823CF" w:rsidRPr="00AC4FEE" w:rsidRDefault="000823CF" w:rsidP="000823CF">
      <w:pPr>
        <w:jc w:val="both"/>
        <w:rPr>
          <w:b/>
          <w:sz w:val="24"/>
          <w:szCs w:val="24"/>
          <w:lang w:val="tr-TR"/>
        </w:rPr>
      </w:pPr>
      <w:r w:rsidRPr="00AC4FEE">
        <w:rPr>
          <w:b/>
          <w:sz w:val="24"/>
          <w:szCs w:val="24"/>
          <w:lang w:val="tr-TR"/>
        </w:rPr>
        <w:t>Şekil 1: Politika faizini artıran/düşüren merkez bankası sayısı</w:t>
      </w:r>
    </w:p>
    <w:p w14:paraId="637B8A07" w14:textId="77777777" w:rsidR="000823CF" w:rsidRDefault="000823CF" w:rsidP="000823CF">
      <w:pPr>
        <w:jc w:val="both"/>
        <w:rPr>
          <w:lang w:val="tr-TR"/>
        </w:rPr>
      </w:pPr>
      <w:r>
        <w:rPr>
          <w:noProof/>
          <w:lang w:val="en-GB" w:eastAsia="en-GB"/>
        </w:rPr>
        <w:drawing>
          <wp:inline distT="0" distB="0" distL="0" distR="0" wp14:anchorId="4AF8D20D" wp14:editId="10E5795A">
            <wp:extent cx="5287618" cy="3171106"/>
            <wp:effectExtent l="0" t="0" r="0" b="4445"/>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7786" cy="3177204"/>
                    </a:xfrm>
                    <a:prstGeom prst="rect">
                      <a:avLst/>
                    </a:prstGeom>
                    <a:noFill/>
                  </pic:spPr>
                </pic:pic>
              </a:graphicData>
            </a:graphic>
          </wp:inline>
        </w:drawing>
      </w:r>
    </w:p>
    <w:p w14:paraId="2AA50140" w14:textId="2A419109" w:rsidR="00010BE6" w:rsidRDefault="000823CF" w:rsidP="000008B0">
      <w:pPr>
        <w:jc w:val="both"/>
        <w:rPr>
          <w:lang w:val="tr-TR"/>
        </w:rPr>
      </w:pPr>
      <w:r>
        <w:rPr>
          <w:lang w:val="tr-TR"/>
        </w:rPr>
        <w:t>Kaynak: cbrates.com</w:t>
      </w:r>
    </w:p>
    <w:p w14:paraId="72E0A4AF" w14:textId="0252F0F6" w:rsidR="00DA05F7" w:rsidRPr="00685013" w:rsidRDefault="00BF4044" w:rsidP="000008B0">
      <w:pPr>
        <w:jc w:val="both"/>
        <w:rPr>
          <w:sz w:val="24"/>
          <w:szCs w:val="24"/>
          <w:lang w:val="tr-TR"/>
        </w:rPr>
      </w:pPr>
      <w:r w:rsidRPr="00685013">
        <w:rPr>
          <w:sz w:val="24"/>
          <w:szCs w:val="24"/>
          <w:lang w:val="tr-TR"/>
        </w:rPr>
        <w:t xml:space="preserve">2021 yılında </w:t>
      </w:r>
      <w:proofErr w:type="spellStart"/>
      <w:r w:rsidRPr="00685013">
        <w:rPr>
          <w:sz w:val="24"/>
          <w:szCs w:val="24"/>
          <w:lang w:val="tr-TR"/>
        </w:rPr>
        <w:t>pandeminin</w:t>
      </w:r>
      <w:proofErr w:type="spellEnd"/>
      <w:r w:rsidRPr="00685013">
        <w:rPr>
          <w:sz w:val="24"/>
          <w:szCs w:val="24"/>
          <w:lang w:val="tr-TR"/>
        </w:rPr>
        <w:t xml:space="preserve"> etkileri azalmaya başlamış, yavaş da olsa ekonomik toparlanma gözlenmiştir. Ancak, </w:t>
      </w:r>
      <w:r w:rsidR="000158E6" w:rsidRPr="00685013">
        <w:rPr>
          <w:sz w:val="24"/>
          <w:szCs w:val="24"/>
          <w:lang w:val="tr-TR"/>
        </w:rPr>
        <w:t xml:space="preserve">bu yavaş toparlanmaya rağmen enflasyon oranlarında </w:t>
      </w:r>
      <w:r w:rsidR="00AC4FEE" w:rsidRPr="00FF7120">
        <w:rPr>
          <w:sz w:val="24"/>
          <w:szCs w:val="24"/>
          <w:lang w:val="tr-TR"/>
        </w:rPr>
        <w:t>kimi ürünlerin arzında yaşanan kısıtlar nedeniyle</w:t>
      </w:r>
      <w:r w:rsidR="00AC4FEE">
        <w:rPr>
          <w:sz w:val="24"/>
          <w:szCs w:val="24"/>
          <w:lang w:val="tr-TR"/>
        </w:rPr>
        <w:t xml:space="preserve"> </w:t>
      </w:r>
      <w:r w:rsidR="000158E6" w:rsidRPr="00685013">
        <w:rPr>
          <w:sz w:val="24"/>
          <w:szCs w:val="24"/>
          <w:lang w:val="tr-TR"/>
        </w:rPr>
        <w:t xml:space="preserve">beklenenden yüksek artışlar ortaya çıkmıştır. </w:t>
      </w:r>
      <w:r w:rsidR="00DA05F7" w:rsidRPr="00685013">
        <w:rPr>
          <w:sz w:val="24"/>
          <w:szCs w:val="24"/>
          <w:lang w:val="tr-TR"/>
        </w:rPr>
        <w:t>Merkez bankaları enflasyon oranları</w:t>
      </w:r>
      <w:r w:rsidR="00270681" w:rsidRPr="00685013">
        <w:rPr>
          <w:sz w:val="24"/>
          <w:szCs w:val="24"/>
          <w:lang w:val="tr-TR"/>
        </w:rPr>
        <w:t>n</w:t>
      </w:r>
      <w:r w:rsidR="00DA05F7" w:rsidRPr="00685013">
        <w:rPr>
          <w:sz w:val="24"/>
          <w:szCs w:val="24"/>
          <w:lang w:val="tr-TR"/>
        </w:rPr>
        <w:t>daki bu yükselişi kontrol altına almak için politika faizlerini artırmaya başlamıştır. Birçok merkez bankası enflasyondaki yükselişin geçici olduğunu düşündüğünden politika faizlerini ilk başta hızlı ve yüksek oranda artırmamıştır.</w:t>
      </w:r>
      <w:r w:rsidR="00AC4FEE">
        <w:rPr>
          <w:sz w:val="24"/>
          <w:szCs w:val="24"/>
          <w:lang w:val="tr-TR"/>
        </w:rPr>
        <w:t xml:space="preserve"> </w:t>
      </w:r>
      <w:r w:rsidR="00DA05F7" w:rsidRPr="00685013">
        <w:rPr>
          <w:sz w:val="24"/>
          <w:szCs w:val="24"/>
          <w:lang w:val="tr-TR"/>
        </w:rPr>
        <w:t xml:space="preserve">Ancak </w:t>
      </w:r>
      <w:r w:rsidR="00AC4FEE">
        <w:rPr>
          <w:sz w:val="24"/>
          <w:szCs w:val="24"/>
          <w:lang w:val="tr-TR"/>
        </w:rPr>
        <w:t xml:space="preserve">enflasyonda </w:t>
      </w:r>
      <w:r w:rsidR="00270681" w:rsidRPr="00685013">
        <w:rPr>
          <w:sz w:val="24"/>
          <w:szCs w:val="24"/>
          <w:lang w:val="tr-TR"/>
        </w:rPr>
        <w:t xml:space="preserve">yükselişin geçici olmadığı ortaya çıkınca merkez bankaları faiz artırım döngüsüne girmişlerdir. Nitekim 2021 yılının ortasından itibaren faiz artıran merkez bankası sayısı da artmıştır. </w:t>
      </w:r>
      <w:r w:rsidR="00747CFB">
        <w:rPr>
          <w:sz w:val="24"/>
          <w:szCs w:val="24"/>
          <w:lang w:val="tr-TR"/>
        </w:rPr>
        <w:t>2021 Haziran’da 6 merkez bankası faiz artırmışken, 2022 Şubat’ta faiz arttıran merkez bankası sayısı 24’e yükselmiştir.</w:t>
      </w:r>
    </w:p>
    <w:p w14:paraId="047A5C43" w14:textId="259C124A" w:rsidR="00EF528E" w:rsidRPr="00685013" w:rsidRDefault="00270681" w:rsidP="000008B0">
      <w:pPr>
        <w:jc w:val="both"/>
        <w:rPr>
          <w:sz w:val="24"/>
          <w:szCs w:val="24"/>
          <w:lang w:val="tr-TR"/>
        </w:rPr>
      </w:pPr>
      <w:r w:rsidRPr="00685013">
        <w:rPr>
          <w:sz w:val="24"/>
          <w:szCs w:val="24"/>
          <w:lang w:val="tr-TR"/>
        </w:rPr>
        <w:t>İ</w:t>
      </w:r>
      <w:r w:rsidR="000158E6" w:rsidRPr="00685013">
        <w:rPr>
          <w:sz w:val="24"/>
          <w:szCs w:val="24"/>
          <w:lang w:val="tr-TR"/>
        </w:rPr>
        <w:t>lk baş</w:t>
      </w:r>
      <w:r w:rsidRPr="00685013">
        <w:rPr>
          <w:sz w:val="24"/>
          <w:szCs w:val="24"/>
          <w:lang w:val="tr-TR"/>
        </w:rPr>
        <w:t>larda</w:t>
      </w:r>
      <w:r w:rsidR="000158E6" w:rsidRPr="00685013">
        <w:rPr>
          <w:sz w:val="24"/>
          <w:szCs w:val="24"/>
          <w:lang w:val="tr-TR"/>
        </w:rPr>
        <w:t xml:space="preserve"> çip krizi</w:t>
      </w:r>
      <w:r w:rsidR="00DA05F7" w:rsidRPr="00685013">
        <w:rPr>
          <w:sz w:val="24"/>
          <w:szCs w:val="24"/>
          <w:lang w:val="tr-TR"/>
        </w:rPr>
        <w:t xml:space="preserve"> ve</w:t>
      </w:r>
      <w:r w:rsidR="000158E6" w:rsidRPr="00685013">
        <w:rPr>
          <w:sz w:val="24"/>
          <w:szCs w:val="24"/>
          <w:lang w:val="tr-TR"/>
        </w:rPr>
        <w:t xml:space="preserve"> </w:t>
      </w:r>
      <w:proofErr w:type="spellStart"/>
      <w:r w:rsidR="00942B0B" w:rsidRPr="00685013">
        <w:rPr>
          <w:sz w:val="24"/>
          <w:szCs w:val="24"/>
          <w:lang w:val="tr-TR"/>
        </w:rPr>
        <w:t>hanehalklarının</w:t>
      </w:r>
      <w:proofErr w:type="spellEnd"/>
      <w:r w:rsidR="000158E6" w:rsidRPr="00685013">
        <w:rPr>
          <w:sz w:val="24"/>
          <w:szCs w:val="24"/>
          <w:lang w:val="tr-TR"/>
        </w:rPr>
        <w:t xml:space="preserve"> </w:t>
      </w:r>
      <w:proofErr w:type="spellStart"/>
      <w:r w:rsidR="000158E6" w:rsidRPr="00685013">
        <w:rPr>
          <w:sz w:val="24"/>
          <w:szCs w:val="24"/>
          <w:lang w:val="tr-TR"/>
        </w:rPr>
        <w:t>pandemi</w:t>
      </w:r>
      <w:proofErr w:type="spellEnd"/>
      <w:r w:rsidR="000158E6" w:rsidRPr="00685013">
        <w:rPr>
          <w:sz w:val="24"/>
          <w:szCs w:val="24"/>
          <w:lang w:val="tr-TR"/>
        </w:rPr>
        <w:t xml:space="preserve"> kısıtları sebebiyle erteledikleri talepleri</w:t>
      </w:r>
      <w:r w:rsidR="00DA05F7" w:rsidRPr="00685013">
        <w:rPr>
          <w:sz w:val="24"/>
          <w:szCs w:val="24"/>
          <w:lang w:val="tr-TR"/>
        </w:rPr>
        <w:t xml:space="preserve"> </w:t>
      </w:r>
      <w:r w:rsidRPr="00685013">
        <w:rPr>
          <w:sz w:val="24"/>
          <w:szCs w:val="24"/>
          <w:lang w:val="tr-TR"/>
        </w:rPr>
        <w:t xml:space="preserve">enflasyon oranlarının yükselmesinde </w:t>
      </w:r>
      <w:r w:rsidR="00DA05F7" w:rsidRPr="00685013">
        <w:rPr>
          <w:sz w:val="24"/>
          <w:szCs w:val="24"/>
          <w:lang w:val="tr-TR"/>
        </w:rPr>
        <w:t xml:space="preserve">etkili olurken, son dönemde Rusya’nın Ukrayna’yı işgal etmesi </w:t>
      </w:r>
      <w:r w:rsidR="00FB218A" w:rsidRPr="00685013">
        <w:rPr>
          <w:sz w:val="24"/>
          <w:szCs w:val="24"/>
          <w:lang w:val="tr-TR"/>
        </w:rPr>
        <w:t xml:space="preserve">yeni enflasyonist baskı oluşturan etkenleri ortaya çıkarmıştır. </w:t>
      </w:r>
      <w:r w:rsidR="00DA05F7" w:rsidRPr="00685013">
        <w:rPr>
          <w:sz w:val="24"/>
          <w:szCs w:val="24"/>
          <w:lang w:val="tr-TR"/>
        </w:rPr>
        <w:t>Bu işgal özellikle petrol ve enerji fiyatları</w:t>
      </w:r>
      <w:r w:rsidR="004F467F">
        <w:rPr>
          <w:sz w:val="24"/>
          <w:szCs w:val="24"/>
          <w:lang w:val="tr-TR"/>
        </w:rPr>
        <w:t xml:space="preserve"> ile </w:t>
      </w:r>
      <w:r w:rsidR="00DA05F7" w:rsidRPr="00685013">
        <w:rPr>
          <w:sz w:val="24"/>
          <w:szCs w:val="24"/>
          <w:lang w:val="tr-TR"/>
        </w:rPr>
        <w:t>tarım ürünleri arzının düşmesi</w:t>
      </w:r>
      <w:r w:rsidR="004F467F">
        <w:rPr>
          <w:sz w:val="24"/>
          <w:szCs w:val="24"/>
          <w:lang w:val="tr-TR"/>
        </w:rPr>
        <w:t xml:space="preserve"> nedeniyle bu ürünlerin fiyatlarında artışlara yol açmıştır. </w:t>
      </w:r>
      <w:r w:rsidR="00FB218A" w:rsidRPr="00685013">
        <w:rPr>
          <w:sz w:val="24"/>
          <w:szCs w:val="24"/>
          <w:lang w:val="tr-TR"/>
        </w:rPr>
        <w:t>Bu gelişmeler sonucunda enflasyon oranları uzun zamandır görülememiş rekor seviyelerine çıkmıştır.</w:t>
      </w:r>
      <w:r w:rsidR="004F467F">
        <w:rPr>
          <w:sz w:val="24"/>
          <w:szCs w:val="24"/>
          <w:lang w:val="tr-TR"/>
        </w:rPr>
        <w:t xml:space="preserve"> </w:t>
      </w:r>
      <w:r w:rsidR="00997D8C">
        <w:rPr>
          <w:sz w:val="24"/>
          <w:szCs w:val="24"/>
          <w:lang w:val="tr-TR"/>
        </w:rPr>
        <w:t>Örneğin, Almanya’da yıllık enflasyon oranı yüzde 7,6’</w:t>
      </w:r>
      <w:r w:rsidR="0077173B">
        <w:rPr>
          <w:sz w:val="24"/>
          <w:szCs w:val="24"/>
          <w:lang w:val="tr-TR"/>
        </w:rPr>
        <w:t>y</w:t>
      </w:r>
      <w:r w:rsidR="00997D8C">
        <w:rPr>
          <w:sz w:val="24"/>
          <w:szCs w:val="24"/>
          <w:lang w:val="tr-TR"/>
        </w:rPr>
        <w:t xml:space="preserve">a, ABD’de yüzde 8,6’ya, Brezilya’da ise yüzde 11,7’ye yükselmiştir. </w:t>
      </w:r>
    </w:p>
    <w:p w14:paraId="52479C49" w14:textId="21F7FFF4" w:rsidR="00A043DE" w:rsidRPr="00685013" w:rsidRDefault="00A043DE" w:rsidP="00182085">
      <w:pPr>
        <w:jc w:val="both"/>
        <w:rPr>
          <w:b/>
          <w:bCs/>
          <w:sz w:val="24"/>
          <w:szCs w:val="24"/>
          <w:lang w:val="tr-TR"/>
        </w:rPr>
      </w:pPr>
      <w:r w:rsidRPr="00685013">
        <w:rPr>
          <w:b/>
          <w:bCs/>
          <w:sz w:val="24"/>
          <w:szCs w:val="24"/>
          <w:lang w:val="tr-TR"/>
        </w:rPr>
        <w:t>Gelişmekte olan ülkelerde</w:t>
      </w:r>
      <w:r w:rsidR="003435E2">
        <w:rPr>
          <w:b/>
          <w:bCs/>
          <w:sz w:val="24"/>
          <w:szCs w:val="24"/>
          <w:lang w:val="tr-TR"/>
        </w:rPr>
        <w:t xml:space="preserve"> enflasyon ve para politikası</w:t>
      </w:r>
    </w:p>
    <w:p w14:paraId="2B8D6878" w14:textId="22D10C53" w:rsidR="00DE2626" w:rsidRPr="00685013" w:rsidRDefault="00DE2626" w:rsidP="00DE2626">
      <w:pPr>
        <w:jc w:val="both"/>
        <w:rPr>
          <w:sz w:val="24"/>
          <w:szCs w:val="24"/>
          <w:lang w:val="tr-TR"/>
        </w:rPr>
      </w:pPr>
      <w:r w:rsidRPr="00685013">
        <w:rPr>
          <w:sz w:val="24"/>
          <w:szCs w:val="24"/>
          <w:lang w:val="tr-TR"/>
        </w:rPr>
        <w:t>Yükselen enflasyon</w:t>
      </w:r>
      <w:r w:rsidR="00997D8C">
        <w:rPr>
          <w:sz w:val="24"/>
          <w:szCs w:val="24"/>
          <w:lang w:val="tr-TR"/>
        </w:rPr>
        <w:t>la</w:t>
      </w:r>
      <w:r w:rsidRPr="00685013">
        <w:rPr>
          <w:sz w:val="24"/>
          <w:szCs w:val="24"/>
          <w:lang w:val="tr-TR"/>
        </w:rPr>
        <w:t xml:space="preserve"> mücadelede bu ülkelerin merkez bankaları parasal genişleme miktarlarını azaltmış ve politika faiz oranlarını artırmaya başlamış</w:t>
      </w:r>
      <w:r w:rsidR="00997D8C">
        <w:rPr>
          <w:sz w:val="24"/>
          <w:szCs w:val="24"/>
          <w:lang w:val="tr-TR"/>
        </w:rPr>
        <w:t>lardır</w:t>
      </w:r>
      <w:r w:rsidRPr="00685013">
        <w:rPr>
          <w:sz w:val="24"/>
          <w:szCs w:val="24"/>
          <w:lang w:val="tr-TR"/>
        </w:rPr>
        <w:t xml:space="preserve">. Ayrıca, gelişmiş ülke </w:t>
      </w:r>
      <w:r w:rsidRPr="00685013">
        <w:rPr>
          <w:sz w:val="24"/>
          <w:szCs w:val="24"/>
          <w:lang w:val="tr-TR"/>
        </w:rPr>
        <w:lastRenderedPageBreak/>
        <w:t>merkez bankaları sözlü yönlendirmeyle para politikasındaki sıkı duruşun devam edeceğini</w:t>
      </w:r>
      <w:r w:rsidR="001E1DF6" w:rsidRPr="00685013">
        <w:rPr>
          <w:sz w:val="24"/>
          <w:szCs w:val="24"/>
          <w:lang w:val="tr-TR"/>
        </w:rPr>
        <w:t>n,</w:t>
      </w:r>
      <w:r w:rsidRPr="00685013">
        <w:rPr>
          <w:sz w:val="24"/>
          <w:szCs w:val="24"/>
          <w:lang w:val="tr-TR"/>
        </w:rPr>
        <w:t xml:space="preserve"> hatta daha sıkı hale geleceğinin sinyallerini vermektedir</w:t>
      </w:r>
      <w:r w:rsidR="00997D8C">
        <w:rPr>
          <w:sz w:val="24"/>
          <w:szCs w:val="24"/>
          <w:lang w:val="tr-TR"/>
        </w:rPr>
        <w:t>ler</w:t>
      </w:r>
      <w:r w:rsidRPr="00685013">
        <w:rPr>
          <w:sz w:val="24"/>
          <w:szCs w:val="24"/>
          <w:lang w:val="tr-TR"/>
        </w:rPr>
        <w:t>.</w:t>
      </w:r>
    </w:p>
    <w:p w14:paraId="445C0D7F" w14:textId="4F2A81C3" w:rsidR="00DE2626" w:rsidRPr="00685013" w:rsidRDefault="00DE2626" w:rsidP="00182085">
      <w:pPr>
        <w:jc w:val="both"/>
        <w:rPr>
          <w:sz w:val="24"/>
          <w:szCs w:val="24"/>
          <w:lang w:val="tr-TR"/>
        </w:rPr>
      </w:pPr>
      <w:r w:rsidRPr="00685013">
        <w:rPr>
          <w:sz w:val="24"/>
          <w:szCs w:val="24"/>
          <w:lang w:val="tr-TR"/>
        </w:rPr>
        <w:t xml:space="preserve">Gelişmiş ülke merkez bankalarının kendi ülkelerindeki enflasyonla mücadele stratejileri gelişmekte olan ülkelerin enflasyonla mücadelelerini daha zorlu hale </w:t>
      </w:r>
      <w:r w:rsidR="008C2098" w:rsidRPr="00685013">
        <w:rPr>
          <w:sz w:val="24"/>
          <w:szCs w:val="24"/>
          <w:lang w:val="tr-TR"/>
        </w:rPr>
        <w:t>getirmektedir</w:t>
      </w:r>
      <w:r w:rsidRPr="00685013">
        <w:rPr>
          <w:sz w:val="24"/>
          <w:szCs w:val="24"/>
          <w:lang w:val="tr-TR"/>
        </w:rPr>
        <w:t xml:space="preserve">. Zira gelişmiş ülkelerdeki faiz artışları gelişmekte olan ülkelere daha az yabancı sermaye girmesine ya da bu ülkelerden sermaye çıkışlarına sebep </w:t>
      </w:r>
      <w:r w:rsidR="00F124EB">
        <w:rPr>
          <w:sz w:val="24"/>
          <w:szCs w:val="24"/>
          <w:lang w:val="tr-TR"/>
        </w:rPr>
        <w:t>o</w:t>
      </w:r>
      <w:r w:rsidR="008A7014" w:rsidRPr="00685013">
        <w:rPr>
          <w:sz w:val="24"/>
          <w:szCs w:val="24"/>
          <w:lang w:val="tr-TR"/>
        </w:rPr>
        <w:t>lmaktadır</w:t>
      </w:r>
      <w:r w:rsidRPr="00685013">
        <w:rPr>
          <w:sz w:val="24"/>
          <w:szCs w:val="24"/>
          <w:lang w:val="tr-TR"/>
        </w:rPr>
        <w:t xml:space="preserve">. Öncelikle finansal piyasalarda etkisini </w:t>
      </w:r>
      <w:r w:rsidR="00685646" w:rsidRPr="00685013">
        <w:rPr>
          <w:sz w:val="24"/>
          <w:szCs w:val="24"/>
          <w:lang w:val="tr-TR"/>
        </w:rPr>
        <w:t>gösteren</w:t>
      </w:r>
      <w:r w:rsidRPr="00685013">
        <w:rPr>
          <w:sz w:val="24"/>
          <w:szCs w:val="24"/>
          <w:lang w:val="tr-TR"/>
        </w:rPr>
        <w:t xml:space="preserve"> </w:t>
      </w:r>
      <w:r w:rsidRPr="0054706D">
        <w:rPr>
          <w:sz w:val="24"/>
          <w:szCs w:val="24"/>
          <w:lang w:val="tr-TR"/>
        </w:rPr>
        <w:t xml:space="preserve">bu durum </w:t>
      </w:r>
      <w:r w:rsidR="00F124EB" w:rsidRPr="0054706D">
        <w:rPr>
          <w:sz w:val="24"/>
          <w:szCs w:val="24"/>
          <w:lang w:val="tr-TR"/>
        </w:rPr>
        <w:t xml:space="preserve">gelişmekte olan </w:t>
      </w:r>
      <w:r w:rsidRPr="0054706D">
        <w:rPr>
          <w:sz w:val="24"/>
          <w:szCs w:val="24"/>
          <w:lang w:val="tr-TR"/>
        </w:rPr>
        <w:t>ülke</w:t>
      </w:r>
      <w:r w:rsidRPr="00685013">
        <w:rPr>
          <w:sz w:val="24"/>
          <w:szCs w:val="24"/>
          <w:lang w:val="tr-TR"/>
        </w:rPr>
        <w:t xml:space="preserve"> para birimlerinin değer kaybetmesine sebep </w:t>
      </w:r>
      <w:r w:rsidR="00685646" w:rsidRPr="00685013">
        <w:rPr>
          <w:sz w:val="24"/>
          <w:szCs w:val="24"/>
          <w:lang w:val="tr-TR"/>
        </w:rPr>
        <w:t>olmaktadır</w:t>
      </w:r>
      <w:r w:rsidRPr="00685013">
        <w:rPr>
          <w:sz w:val="24"/>
          <w:szCs w:val="24"/>
          <w:lang w:val="tr-TR"/>
        </w:rPr>
        <w:t>. Yerel para biriminin değer kaybetmesi ithal edilen mal ve hizmetlerinin fiyatlarını art</w:t>
      </w:r>
      <w:r w:rsidR="00DC2E8D" w:rsidRPr="00685013">
        <w:rPr>
          <w:sz w:val="24"/>
          <w:szCs w:val="24"/>
          <w:lang w:val="tr-TR"/>
        </w:rPr>
        <w:t>t</w:t>
      </w:r>
      <w:r w:rsidRPr="00685013">
        <w:rPr>
          <w:sz w:val="24"/>
          <w:szCs w:val="24"/>
          <w:lang w:val="tr-TR"/>
        </w:rPr>
        <w:t>ır</w:t>
      </w:r>
      <w:r w:rsidR="00F124EB">
        <w:rPr>
          <w:sz w:val="24"/>
          <w:szCs w:val="24"/>
          <w:lang w:val="tr-TR"/>
        </w:rPr>
        <w:t xml:space="preserve">dığından </w:t>
      </w:r>
      <w:r w:rsidRPr="00685013">
        <w:rPr>
          <w:sz w:val="24"/>
          <w:szCs w:val="24"/>
          <w:lang w:val="tr-TR"/>
        </w:rPr>
        <w:t xml:space="preserve">enflasyonla mücadeleyi zorlaştıran bir etken </w:t>
      </w:r>
      <w:r w:rsidR="00053BD3" w:rsidRPr="00685013">
        <w:rPr>
          <w:sz w:val="24"/>
          <w:szCs w:val="24"/>
          <w:lang w:val="tr-TR"/>
        </w:rPr>
        <w:t>olmaktadır</w:t>
      </w:r>
      <w:r w:rsidRPr="00685013">
        <w:rPr>
          <w:sz w:val="24"/>
          <w:szCs w:val="24"/>
          <w:lang w:val="tr-TR"/>
        </w:rPr>
        <w:t>.</w:t>
      </w:r>
      <w:r w:rsidR="0084355F" w:rsidRPr="00685013">
        <w:rPr>
          <w:sz w:val="24"/>
          <w:szCs w:val="24"/>
          <w:lang w:val="tr-TR"/>
        </w:rPr>
        <w:t xml:space="preserve"> </w:t>
      </w:r>
    </w:p>
    <w:p w14:paraId="2065F676" w14:textId="102AE97E" w:rsidR="006C30A2" w:rsidRPr="00685013" w:rsidRDefault="00E749C6" w:rsidP="00182085">
      <w:pPr>
        <w:jc w:val="both"/>
        <w:rPr>
          <w:strike/>
          <w:sz w:val="24"/>
          <w:szCs w:val="24"/>
          <w:lang w:val="tr-TR"/>
        </w:rPr>
      </w:pPr>
      <w:r w:rsidRPr="0054706D">
        <w:rPr>
          <w:sz w:val="24"/>
          <w:szCs w:val="24"/>
          <w:lang w:val="tr-TR"/>
        </w:rPr>
        <w:t xml:space="preserve">Ekte yer alan </w:t>
      </w:r>
      <w:r w:rsidR="00661F59" w:rsidRPr="0054706D">
        <w:rPr>
          <w:sz w:val="24"/>
          <w:szCs w:val="24"/>
          <w:lang w:val="tr-TR"/>
        </w:rPr>
        <w:t>Tablo 1 seçilmiş gelişmekte olan ülke</w:t>
      </w:r>
      <w:r w:rsidR="00427A2F" w:rsidRPr="0054706D">
        <w:rPr>
          <w:rStyle w:val="DipnotBavurusu"/>
          <w:sz w:val="24"/>
          <w:szCs w:val="24"/>
          <w:lang w:val="tr-TR"/>
        </w:rPr>
        <w:footnoteReference w:id="3"/>
      </w:r>
      <w:r w:rsidR="00661F59" w:rsidRPr="0054706D">
        <w:rPr>
          <w:sz w:val="24"/>
          <w:szCs w:val="24"/>
          <w:lang w:val="tr-TR"/>
        </w:rPr>
        <w:t xml:space="preserve"> merkez bankalarının geçtiğimiz iki yılda belirledikleri politika</w:t>
      </w:r>
      <w:r w:rsidR="00661F59" w:rsidRPr="00685013">
        <w:rPr>
          <w:sz w:val="24"/>
          <w:szCs w:val="24"/>
          <w:lang w:val="tr-TR"/>
        </w:rPr>
        <w:t xml:space="preserve"> faiz</w:t>
      </w:r>
      <w:r w:rsidR="002E4E06" w:rsidRPr="00685013">
        <w:rPr>
          <w:sz w:val="24"/>
          <w:szCs w:val="24"/>
          <w:lang w:val="tr-TR"/>
        </w:rPr>
        <w:t xml:space="preserve"> </w:t>
      </w:r>
      <w:r w:rsidR="00661F59" w:rsidRPr="00685013">
        <w:rPr>
          <w:sz w:val="24"/>
          <w:szCs w:val="24"/>
          <w:lang w:val="tr-TR"/>
        </w:rPr>
        <w:t>oranlarını göstermektedir.</w:t>
      </w:r>
      <w:r w:rsidR="002E4E06" w:rsidRPr="00685013">
        <w:rPr>
          <w:sz w:val="24"/>
          <w:szCs w:val="24"/>
          <w:lang w:val="tr-TR"/>
        </w:rPr>
        <w:t xml:space="preserve"> </w:t>
      </w:r>
      <w:r w:rsidR="00AA3F1B" w:rsidRPr="00685013">
        <w:rPr>
          <w:sz w:val="24"/>
          <w:szCs w:val="24"/>
          <w:lang w:val="tr-TR"/>
        </w:rPr>
        <w:t xml:space="preserve">Bekleneceği üzere bu merkez </w:t>
      </w:r>
      <w:r w:rsidR="00DF05B4" w:rsidRPr="00685013">
        <w:rPr>
          <w:sz w:val="24"/>
          <w:szCs w:val="24"/>
          <w:lang w:val="tr-TR"/>
        </w:rPr>
        <w:t>bankaları da 2020’nin ilk yarısında faiz oranlarını düşürmüş</w:t>
      </w:r>
      <w:r>
        <w:rPr>
          <w:sz w:val="24"/>
          <w:szCs w:val="24"/>
          <w:lang w:val="tr-TR"/>
        </w:rPr>
        <w:t xml:space="preserve"> ve yıl</w:t>
      </w:r>
      <w:r w:rsidR="000443D6" w:rsidRPr="00685013">
        <w:rPr>
          <w:sz w:val="24"/>
          <w:szCs w:val="24"/>
          <w:lang w:val="tr-TR"/>
        </w:rPr>
        <w:t xml:space="preserve">sonuna kadar düşük düzeyde tutmuşlardır. Ancak, 2021’in ortasından itibaren bu merkez bankaları faiz artırmaya başlamıştır. </w:t>
      </w:r>
      <w:r w:rsidR="00EA5752" w:rsidRPr="00685013">
        <w:rPr>
          <w:sz w:val="24"/>
          <w:szCs w:val="24"/>
          <w:lang w:val="tr-TR"/>
        </w:rPr>
        <w:t xml:space="preserve">Faiz artış döngüsüne 2021 Mart ayında Brezilya başlamış, diğer gelişmekte olan ülkeler ise 2021 </w:t>
      </w:r>
      <w:r w:rsidR="00122106" w:rsidRPr="00685013">
        <w:rPr>
          <w:sz w:val="24"/>
          <w:szCs w:val="24"/>
          <w:lang w:val="tr-TR"/>
        </w:rPr>
        <w:t>Ekim</w:t>
      </w:r>
      <w:r w:rsidR="00EA5752" w:rsidRPr="00685013">
        <w:rPr>
          <w:sz w:val="24"/>
          <w:szCs w:val="24"/>
          <w:lang w:val="tr-TR"/>
        </w:rPr>
        <w:t xml:space="preserve"> ayına kadar bu döngüye katılmışlardır</w:t>
      </w:r>
      <w:r w:rsidR="00C236DD" w:rsidRPr="00685013">
        <w:rPr>
          <w:rStyle w:val="DipnotBavurusu"/>
          <w:sz w:val="24"/>
          <w:szCs w:val="24"/>
          <w:lang w:val="tr-TR"/>
        </w:rPr>
        <w:footnoteReference w:id="4"/>
      </w:r>
      <w:r w:rsidR="00EA5752" w:rsidRPr="00685013">
        <w:rPr>
          <w:sz w:val="24"/>
          <w:szCs w:val="24"/>
          <w:lang w:val="tr-TR"/>
        </w:rPr>
        <w:t xml:space="preserve">. Bu ülkelerdeki faiz artış </w:t>
      </w:r>
      <w:r w:rsidR="00EA5752" w:rsidRPr="00D33C58">
        <w:rPr>
          <w:sz w:val="24"/>
          <w:szCs w:val="24"/>
          <w:lang w:val="tr-TR"/>
        </w:rPr>
        <w:t>döngüsü</w:t>
      </w:r>
      <w:r w:rsidR="002407C1" w:rsidRPr="00D33C58">
        <w:rPr>
          <w:sz w:val="24"/>
          <w:szCs w:val="24"/>
          <w:lang w:val="tr-TR"/>
        </w:rPr>
        <w:t>nde</w:t>
      </w:r>
      <w:r w:rsidR="00EA5752" w:rsidRPr="00D33C58">
        <w:rPr>
          <w:sz w:val="24"/>
          <w:szCs w:val="24"/>
          <w:lang w:val="tr-TR"/>
        </w:rPr>
        <w:t xml:space="preserve"> </w:t>
      </w:r>
      <w:r w:rsidR="00B94A7C">
        <w:rPr>
          <w:sz w:val="24"/>
          <w:szCs w:val="24"/>
          <w:lang w:val="tr-TR"/>
        </w:rPr>
        <w:t xml:space="preserve">en yüksek parasal sıkılaştırma yapan ülke olan </w:t>
      </w:r>
      <w:r w:rsidR="00122106" w:rsidRPr="00D33C58">
        <w:rPr>
          <w:sz w:val="24"/>
          <w:szCs w:val="24"/>
          <w:lang w:val="tr-TR"/>
        </w:rPr>
        <w:t xml:space="preserve">Brezilya </w:t>
      </w:r>
      <w:r w:rsidR="00B94A7C">
        <w:rPr>
          <w:sz w:val="24"/>
          <w:szCs w:val="24"/>
          <w:lang w:val="tr-TR"/>
        </w:rPr>
        <w:t>Şubat</w:t>
      </w:r>
      <w:r w:rsidR="00D33C58">
        <w:rPr>
          <w:sz w:val="24"/>
          <w:szCs w:val="24"/>
          <w:lang w:val="tr-TR"/>
        </w:rPr>
        <w:t xml:space="preserve"> 2021’de yüzde 2 olan politika faizini Mayıs 2022’de yüzde 12,75’e yükseltmiştir. </w:t>
      </w:r>
      <w:r w:rsidR="00B94A7C">
        <w:rPr>
          <w:sz w:val="24"/>
          <w:szCs w:val="24"/>
          <w:lang w:val="tr-TR"/>
        </w:rPr>
        <w:t xml:space="preserve">Öte yandan, bu faiz artış döngüsünde politika faizi </w:t>
      </w:r>
      <w:proofErr w:type="spellStart"/>
      <w:r w:rsidR="00B94A7C">
        <w:rPr>
          <w:sz w:val="24"/>
          <w:szCs w:val="24"/>
          <w:lang w:val="tr-TR"/>
        </w:rPr>
        <w:t>Çekya’da</w:t>
      </w:r>
      <w:proofErr w:type="spellEnd"/>
      <w:r w:rsidR="00B94A7C">
        <w:rPr>
          <w:sz w:val="24"/>
          <w:szCs w:val="24"/>
          <w:lang w:val="tr-TR"/>
        </w:rPr>
        <w:t xml:space="preserve"> yüzde 0,25’ten (2021 Mayıs) yüzde 5,75’e, Güney Afrika’da yüzde 3,5’ten (2021 Ekim) yüzde 4,75’e, İsrail’de yüzde 0,1</w:t>
      </w:r>
      <w:r w:rsidR="00D05EF6">
        <w:rPr>
          <w:sz w:val="24"/>
          <w:szCs w:val="24"/>
          <w:lang w:val="tr-TR"/>
        </w:rPr>
        <w:t>’den</w:t>
      </w:r>
      <w:r w:rsidR="00B94A7C">
        <w:rPr>
          <w:sz w:val="24"/>
          <w:szCs w:val="24"/>
          <w:lang w:val="tr-TR"/>
        </w:rPr>
        <w:t xml:space="preserve"> (2022 Mart)</w:t>
      </w:r>
      <w:r w:rsidR="00D05EF6">
        <w:rPr>
          <w:sz w:val="24"/>
          <w:szCs w:val="24"/>
          <w:lang w:val="tr-TR"/>
        </w:rPr>
        <w:t xml:space="preserve"> yüzde 0,75’e</w:t>
      </w:r>
      <w:r w:rsidR="00B94A7C">
        <w:rPr>
          <w:sz w:val="24"/>
          <w:szCs w:val="24"/>
          <w:lang w:val="tr-TR"/>
        </w:rPr>
        <w:t>, Kolombiya’da yüzde 1,75’ten (2021 Eylül) yüzde 6’ya, Macaristan’da yüzde 0,6’dan (2021 Mayıs) yüzde 5,4’e, Meksika’da yüzde 4’ten (2021 Mayıs) yüzde 7’ye, Şili’de ise yüzde 0,5’ten (2021 Haziran) yüzde 8,25’e yükselmiştir.</w:t>
      </w:r>
    </w:p>
    <w:p w14:paraId="2313DFB8" w14:textId="5F9C9630" w:rsidR="00E87EAC" w:rsidRPr="00685013" w:rsidRDefault="007D560F" w:rsidP="00E87EAC">
      <w:pPr>
        <w:jc w:val="both"/>
        <w:rPr>
          <w:sz w:val="24"/>
          <w:szCs w:val="24"/>
          <w:lang w:val="tr-TR"/>
        </w:rPr>
      </w:pPr>
      <w:r w:rsidRPr="00685013">
        <w:rPr>
          <w:sz w:val="24"/>
          <w:szCs w:val="24"/>
          <w:lang w:val="tr-TR"/>
        </w:rPr>
        <w:t>B</w:t>
      </w:r>
      <w:r w:rsidR="006117ED" w:rsidRPr="00685013">
        <w:rPr>
          <w:sz w:val="24"/>
          <w:szCs w:val="24"/>
          <w:lang w:val="tr-TR"/>
        </w:rPr>
        <w:t xml:space="preserve">u ülkelerdeki </w:t>
      </w:r>
      <w:r w:rsidR="007D543B" w:rsidRPr="00685013">
        <w:rPr>
          <w:sz w:val="24"/>
          <w:szCs w:val="24"/>
          <w:lang w:val="tr-TR"/>
        </w:rPr>
        <w:t xml:space="preserve">enflasyon oranları </w:t>
      </w:r>
      <w:r w:rsidR="006117ED" w:rsidRPr="00685013">
        <w:rPr>
          <w:sz w:val="24"/>
          <w:szCs w:val="24"/>
          <w:lang w:val="tr-TR"/>
        </w:rPr>
        <w:t>faiz artışlarına rağmen hedeflenen düzeyl</w:t>
      </w:r>
      <w:r w:rsidR="00EA4AF5" w:rsidRPr="00685013">
        <w:rPr>
          <w:sz w:val="24"/>
          <w:szCs w:val="24"/>
          <w:lang w:val="tr-TR"/>
        </w:rPr>
        <w:t xml:space="preserve">erden yüksek olmuştur. </w:t>
      </w:r>
      <w:r w:rsidR="00D33C58">
        <w:rPr>
          <w:sz w:val="24"/>
          <w:szCs w:val="24"/>
          <w:lang w:val="tr-TR"/>
        </w:rPr>
        <w:t xml:space="preserve">Ekte yer alan </w:t>
      </w:r>
      <w:r w:rsidR="00803422" w:rsidRPr="00685013">
        <w:rPr>
          <w:sz w:val="24"/>
          <w:szCs w:val="24"/>
          <w:lang w:val="tr-TR"/>
        </w:rPr>
        <w:t>Tablo 2 seçilmiş gelişmekte olan ülkelerdeki güncel enflasyon oranlarını, bu ülkelerdeki merkez bankalarının güncel politika faizlerini ve enflasyon hedefleri</w:t>
      </w:r>
      <w:r w:rsidR="00D33C58">
        <w:rPr>
          <w:sz w:val="24"/>
          <w:szCs w:val="24"/>
          <w:lang w:val="tr-TR"/>
        </w:rPr>
        <w:t xml:space="preserve"> ile hem bu yıl hem de gelecek yıl</w:t>
      </w:r>
      <w:r w:rsidR="00803422" w:rsidRPr="00685013">
        <w:rPr>
          <w:sz w:val="24"/>
          <w:szCs w:val="24"/>
          <w:lang w:val="tr-TR"/>
        </w:rPr>
        <w:t xml:space="preserve">sonundaki bekledikleri enflasyon oranlarını göstermektedir. </w:t>
      </w:r>
      <w:r w:rsidR="00E87EAC" w:rsidRPr="00685013">
        <w:rPr>
          <w:sz w:val="24"/>
          <w:szCs w:val="24"/>
          <w:lang w:val="tr-TR"/>
        </w:rPr>
        <w:t xml:space="preserve">Güncel verilere göre </w:t>
      </w:r>
      <w:r w:rsidR="00F97099" w:rsidRPr="00685013">
        <w:rPr>
          <w:sz w:val="24"/>
          <w:szCs w:val="24"/>
          <w:lang w:val="tr-TR"/>
        </w:rPr>
        <w:t>b</w:t>
      </w:r>
      <w:r w:rsidR="00E87EAC" w:rsidRPr="00685013">
        <w:rPr>
          <w:sz w:val="24"/>
          <w:szCs w:val="24"/>
          <w:lang w:val="tr-TR"/>
        </w:rPr>
        <w:t xml:space="preserve">u merkez bankaları yükselen enflasyon oranına karşılık politika faizlerini arttırsa da Brezilya dışındaki ülkelerde politika faizleri cari enflasyon oranından düşüktür. Diğer bir ifadeyle bu ülkelerdeki reel politika faizleri negatiftir. </w:t>
      </w:r>
    </w:p>
    <w:p w14:paraId="4B1CEE4E" w14:textId="3F00CD32" w:rsidR="00136F12" w:rsidRPr="00685013" w:rsidRDefault="006171AD" w:rsidP="00182085">
      <w:pPr>
        <w:jc w:val="both"/>
        <w:rPr>
          <w:sz w:val="24"/>
          <w:szCs w:val="24"/>
          <w:lang w:val="tr-TR"/>
        </w:rPr>
      </w:pPr>
      <w:r w:rsidRPr="00685013">
        <w:rPr>
          <w:sz w:val="24"/>
          <w:szCs w:val="24"/>
          <w:lang w:val="tr-TR"/>
        </w:rPr>
        <w:t xml:space="preserve">Veriler </w:t>
      </w:r>
      <w:r w:rsidR="00261A16" w:rsidRPr="00685013">
        <w:rPr>
          <w:sz w:val="24"/>
          <w:szCs w:val="24"/>
          <w:lang w:val="tr-TR"/>
        </w:rPr>
        <w:t xml:space="preserve">ayrıca </w:t>
      </w:r>
      <w:r w:rsidR="00803422" w:rsidRPr="00685013">
        <w:rPr>
          <w:sz w:val="24"/>
          <w:szCs w:val="24"/>
          <w:lang w:val="tr-TR"/>
        </w:rPr>
        <w:t>bu merkez bankaları</w:t>
      </w:r>
      <w:r w:rsidRPr="00685013">
        <w:rPr>
          <w:sz w:val="24"/>
          <w:szCs w:val="24"/>
          <w:lang w:val="tr-TR"/>
        </w:rPr>
        <w:t>nın</w:t>
      </w:r>
      <w:r w:rsidR="00803422" w:rsidRPr="00685013">
        <w:rPr>
          <w:sz w:val="24"/>
          <w:szCs w:val="24"/>
          <w:lang w:val="tr-TR"/>
        </w:rPr>
        <w:t xml:space="preserve"> 2022 sonunda kendi ülkelerindeki enflasyon oranının şimdikinden daha düşük o</w:t>
      </w:r>
      <w:r w:rsidR="00D33C58">
        <w:rPr>
          <w:sz w:val="24"/>
          <w:szCs w:val="24"/>
          <w:lang w:val="tr-TR"/>
        </w:rPr>
        <w:t>lacağını ve bu düşüşün 2023 yıl</w:t>
      </w:r>
      <w:r w:rsidR="00803422" w:rsidRPr="00685013">
        <w:rPr>
          <w:sz w:val="24"/>
          <w:szCs w:val="24"/>
          <w:lang w:val="tr-TR"/>
        </w:rPr>
        <w:t>sonuna kadar devam edeceğini beklediklerini göstermektedir. Ancak, bu merkez bankalarından hiçbiri bu sene sonunda enflasyon hedefini tutturabileceklerini beklememektedir</w:t>
      </w:r>
      <w:r w:rsidR="0054706D">
        <w:rPr>
          <w:rStyle w:val="DipnotBavurusu"/>
          <w:sz w:val="24"/>
          <w:szCs w:val="24"/>
          <w:lang w:val="tr-TR"/>
        </w:rPr>
        <w:footnoteReference w:id="5"/>
      </w:r>
      <w:r w:rsidR="00803422" w:rsidRPr="00685013">
        <w:rPr>
          <w:sz w:val="24"/>
          <w:szCs w:val="24"/>
          <w:lang w:val="tr-TR"/>
        </w:rPr>
        <w:t>.</w:t>
      </w:r>
      <w:r w:rsidR="00D33C58">
        <w:rPr>
          <w:sz w:val="24"/>
          <w:szCs w:val="24"/>
          <w:lang w:val="tr-TR"/>
        </w:rPr>
        <w:t xml:space="preserve"> </w:t>
      </w:r>
      <w:r w:rsidR="00E87EAC" w:rsidRPr="00685013">
        <w:rPr>
          <w:sz w:val="24"/>
          <w:szCs w:val="24"/>
          <w:lang w:val="tr-TR"/>
        </w:rPr>
        <w:t>Bunun yanında,</w:t>
      </w:r>
      <w:r w:rsidR="00803422" w:rsidRPr="00685013">
        <w:rPr>
          <w:sz w:val="24"/>
          <w:szCs w:val="24"/>
          <w:lang w:val="tr-TR"/>
        </w:rPr>
        <w:t xml:space="preserve"> </w:t>
      </w:r>
      <w:r w:rsidR="00E87EAC" w:rsidRPr="00685013">
        <w:rPr>
          <w:sz w:val="24"/>
          <w:szCs w:val="24"/>
          <w:lang w:val="tr-TR"/>
        </w:rPr>
        <w:t>e</w:t>
      </w:r>
      <w:r w:rsidR="00803422" w:rsidRPr="00685013">
        <w:rPr>
          <w:sz w:val="24"/>
          <w:szCs w:val="24"/>
          <w:lang w:val="tr-TR"/>
        </w:rPr>
        <w:t>nflasyon hedefinde bu sene ortaya çıkacak sapma bazı ülkelerde gelecek sene de devam edecek gibi</w:t>
      </w:r>
      <w:r w:rsidR="007F3784">
        <w:rPr>
          <w:sz w:val="24"/>
          <w:szCs w:val="24"/>
          <w:lang w:val="tr-TR"/>
        </w:rPr>
        <w:t xml:space="preserve"> duruyor</w:t>
      </w:r>
      <w:r w:rsidR="00803422" w:rsidRPr="00685013">
        <w:rPr>
          <w:sz w:val="24"/>
          <w:szCs w:val="24"/>
          <w:lang w:val="tr-TR"/>
        </w:rPr>
        <w:t>.</w:t>
      </w:r>
      <w:r w:rsidR="00136F12" w:rsidRPr="00685013">
        <w:rPr>
          <w:sz w:val="24"/>
          <w:szCs w:val="24"/>
          <w:lang w:val="tr-TR"/>
        </w:rPr>
        <w:t xml:space="preserve"> </w:t>
      </w:r>
    </w:p>
    <w:p w14:paraId="3854AA55" w14:textId="77777777" w:rsidR="00EF528E" w:rsidRDefault="00EF528E" w:rsidP="00EE200D">
      <w:pPr>
        <w:jc w:val="both"/>
        <w:rPr>
          <w:b/>
          <w:bCs/>
          <w:sz w:val="24"/>
          <w:szCs w:val="24"/>
          <w:lang w:val="tr-TR"/>
        </w:rPr>
      </w:pPr>
    </w:p>
    <w:p w14:paraId="51AABCE7" w14:textId="77777777" w:rsidR="00EF528E" w:rsidRDefault="00EF528E" w:rsidP="00EE200D">
      <w:pPr>
        <w:jc w:val="both"/>
        <w:rPr>
          <w:b/>
          <w:bCs/>
          <w:sz w:val="24"/>
          <w:szCs w:val="24"/>
          <w:lang w:val="tr-TR"/>
        </w:rPr>
      </w:pPr>
    </w:p>
    <w:p w14:paraId="15B3C681" w14:textId="2317587F" w:rsidR="00EF528E" w:rsidRDefault="00431FBD" w:rsidP="00EE200D">
      <w:pPr>
        <w:jc w:val="both"/>
        <w:rPr>
          <w:b/>
          <w:bCs/>
          <w:sz w:val="24"/>
          <w:szCs w:val="24"/>
          <w:lang w:val="tr-TR"/>
        </w:rPr>
      </w:pPr>
      <w:r w:rsidRPr="00431FBD">
        <w:rPr>
          <w:b/>
          <w:bCs/>
          <w:sz w:val="24"/>
          <w:szCs w:val="24"/>
          <w:lang w:val="tr-TR"/>
        </w:rPr>
        <w:lastRenderedPageBreak/>
        <w:t>Türkiye aksi yönde ilerliyor</w:t>
      </w:r>
    </w:p>
    <w:p w14:paraId="59289CF0" w14:textId="1CEB9B5B" w:rsidR="000757EF" w:rsidRPr="00EF528E" w:rsidRDefault="00EE200D" w:rsidP="00EE200D">
      <w:pPr>
        <w:jc w:val="both"/>
        <w:rPr>
          <w:b/>
          <w:bCs/>
          <w:sz w:val="24"/>
          <w:szCs w:val="24"/>
          <w:lang w:val="tr-TR"/>
        </w:rPr>
      </w:pPr>
      <w:r w:rsidRPr="00685013">
        <w:rPr>
          <w:sz w:val="24"/>
          <w:szCs w:val="24"/>
          <w:lang w:val="tr-TR"/>
        </w:rPr>
        <w:t>T</w:t>
      </w:r>
      <w:r w:rsidR="00EB703A" w:rsidRPr="00685013">
        <w:rPr>
          <w:sz w:val="24"/>
          <w:szCs w:val="24"/>
          <w:lang w:val="tr-TR"/>
        </w:rPr>
        <w:t xml:space="preserve">ürkiye </w:t>
      </w:r>
      <w:r w:rsidRPr="00685013">
        <w:rPr>
          <w:sz w:val="24"/>
          <w:szCs w:val="24"/>
          <w:lang w:val="tr-TR"/>
        </w:rPr>
        <w:t>C</w:t>
      </w:r>
      <w:r w:rsidR="00EB703A" w:rsidRPr="00685013">
        <w:rPr>
          <w:sz w:val="24"/>
          <w:szCs w:val="24"/>
          <w:lang w:val="tr-TR"/>
        </w:rPr>
        <w:t xml:space="preserve">umhuriyet </w:t>
      </w:r>
      <w:r w:rsidRPr="00685013">
        <w:rPr>
          <w:sz w:val="24"/>
          <w:szCs w:val="24"/>
          <w:lang w:val="tr-TR"/>
        </w:rPr>
        <w:t>M</w:t>
      </w:r>
      <w:r w:rsidR="00EB703A" w:rsidRPr="00685013">
        <w:rPr>
          <w:sz w:val="24"/>
          <w:szCs w:val="24"/>
          <w:lang w:val="tr-TR"/>
        </w:rPr>
        <w:t xml:space="preserve">erkez </w:t>
      </w:r>
      <w:r w:rsidRPr="00685013">
        <w:rPr>
          <w:sz w:val="24"/>
          <w:szCs w:val="24"/>
          <w:lang w:val="tr-TR"/>
        </w:rPr>
        <w:t>B</w:t>
      </w:r>
      <w:r w:rsidR="00EB703A" w:rsidRPr="00685013">
        <w:rPr>
          <w:sz w:val="24"/>
          <w:szCs w:val="24"/>
          <w:lang w:val="tr-TR"/>
        </w:rPr>
        <w:t>ankası (TCMB)</w:t>
      </w:r>
      <w:r w:rsidRPr="00685013">
        <w:rPr>
          <w:sz w:val="24"/>
          <w:szCs w:val="24"/>
          <w:lang w:val="tr-TR"/>
        </w:rPr>
        <w:t xml:space="preserve"> </w:t>
      </w:r>
      <w:proofErr w:type="spellStart"/>
      <w:r w:rsidRPr="00685013">
        <w:rPr>
          <w:sz w:val="24"/>
          <w:szCs w:val="24"/>
          <w:lang w:val="tr-TR"/>
        </w:rPr>
        <w:t>pandeminin</w:t>
      </w:r>
      <w:proofErr w:type="spellEnd"/>
      <w:r w:rsidRPr="00685013">
        <w:rPr>
          <w:sz w:val="24"/>
          <w:szCs w:val="24"/>
          <w:lang w:val="tr-TR"/>
        </w:rPr>
        <w:t xml:space="preserve"> başında </w:t>
      </w:r>
      <w:r w:rsidR="00EB703A" w:rsidRPr="00685013">
        <w:rPr>
          <w:sz w:val="24"/>
          <w:szCs w:val="24"/>
          <w:lang w:val="tr-TR"/>
        </w:rPr>
        <w:t xml:space="preserve">akran ülkelerdekine benzer bir para politikası duruşu </w:t>
      </w:r>
      <w:r w:rsidR="007F3784" w:rsidRPr="00685013">
        <w:rPr>
          <w:sz w:val="24"/>
          <w:szCs w:val="24"/>
          <w:lang w:val="tr-TR"/>
        </w:rPr>
        <w:t>benimse</w:t>
      </w:r>
      <w:r w:rsidR="007F3784">
        <w:rPr>
          <w:sz w:val="24"/>
          <w:szCs w:val="24"/>
          <w:lang w:val="tr-TR"/>
        </w:rPr>
        <w:t>di</w:t>
      </w:r>
      <w:r w:rsidR="00EB703A" w:rsidRPr="00685013">
        <w:rPr>
          <w:sz w:val="24"/>
          <w:szCs w:val="24"/>
          <w:lang w:val="tr-TR"/>
        </w:rPr>
        <w:t xml:space="preserve">. TCMB de </w:t>
      </w:r>
      <w:proofErr w:type="spellStart"/>
      <w:r w:rsidR="00EB703A" w:rsidRPr="00685013">
        <w:rPr>
          <w:sz w:val="24"/>
          <w:szCs w:val="24"/>
          <w:lang w:val="tr-TR"/>
        </w:rPr>
        <w:t>pandeminin</w:t>
      </w:r>
      <w:proofErr w:type="spellEnd"/>
      <w:r w:rsidR="00EB703A" w:rsidRPr="00685013">
        <w:rPr>
          <w:sz w:val="24"/>
          <w:szCs w:val="24"/>
          <w:lang w:val="tr-TR"/>
        </w:rPr>
        <w:t xml:space="preserve"> başında</w:t>
      </w:r>
      <w:r w:rsidRPr="00685013">
        <w:rPr>
          <w:sz w:val="24"/>
          <w:szCs w:val="24"/>
          <w:lang w:val="tr-TR"/>
        </w:rPr>
        <w:t xml:space="preserve"> politika faizini </w:t>
      </w:r>
      <w:r w:rsidR="007F3784" w:rsidRPr="00685013">
        <w:rPr>
          <w:sz w:val="24"/>
          <w:szCs w:val="24"/>
          <w:lang w:val="tr-TR"/>
        </w:rPr>
        <w:t>düşür</w:t>
      </w:r>
      <w:r w:rsidR="007F3784">
        <w:rPr>
          <w:sz w:val="24"/>
          <w:szCs w:val="24"/>
          <w:lang w:val="tr-TR"/>
        </w:rPr>
        <w:t>ürken</w:t>
      </w:r>
      <w:r w:rsidR="00EB703A" w:rsidRPr="00685013">
        <w:rPr>
          <w:sz w:val="24"/>
          <w:szCs w:val="24"/>
          <w:lang w:val="tr-TR"/>
        </w:rPr>
        <w:t>,</w:t>
      </w:r>
      <w:r w:rsidRPr="00685013">
        <w:rPr>
          <w:sz w:val="24"/>
          <w:szCs w:val="24"/>
          <w:lang w:val="tr-TR"/>
        </w:rPr>
        <w:t xml:space="preserve"> 2020 Eylül ayında </w:t>
      </w:r>
      <w:r w:rsidR="00EB703A" w:rsidRPr="00685013">
        <w:rPr>
          <w:sz w:val="24"/>
          <w:szCs w:val="24"/>
          <w:lang w:val="tr-TR"/>
        </w:rPr>
        <w:t>faiz artışı döngüsüne başla</w:t>
      </w:r>
      <w:r w:rsidR="007F3784">
        <w:rPr>
          <w:sz w:val="24"/>
          <w:szCs w:val="24"/>
          <w:lang w:val="tr-TR"/>
        </w:rPr>
        <w:t>dı</w:t>
      </w:r>
      <w:r w:rsidR="00EB703A" w:rsidRPr="00685013">
        <w:rPr>
          <w:sz w:val="24"/>
          <w:szCs w:val="24"/>
          <w:lang w:val="tr-TR"/>
        </w:rPr>
        <w:t>.</w:t>
      </w:r>
      <w:r w:rsidRPr="00685013">
        <w:rPr>
          <w:sz w:val="24"/>
          <w:szCs w:val="24"/>
          <w:lang w:val="tr-TR"/>
        </w:rPr>
        <w:t xml:space="preserve"> </w:t>
      </w:r>
      <w:r w:rsidR="00EB703A" w:rsidRPr="00685013">
        <w:rPr>
          <w:sz w:val="24"/>
          <w:szCs w:val="24"/>
          <w:lang w:val="tr-TR"/>
        </w:rPr>
        <w:t xml:space="preserve">TCMB </w:t>
      </w:r>
      <w:r w:rsidRPr="00685013">
        <w:rPr>
          <w:sz w:val="24"/>
          <w:szCs w:val="24"/>
          <w:lang w:val="tr-TR"/>
        </w:rPr>
        <w:t>faiz artışlarına 2021 Mart ayına kadar devam e</w:t>
      </w:r>
      <w:r w:rsidR="00EB703A" w:rsidRPr="00685013">
        <w:rPr>
          <w:sz w:val="24"/>
          <w:szCs w:val="24"/>
          <w:lang w:val="tr-TR"/>
        </w:rPr>
        <w:t>derek</w:t>
      </w:r>
      <w:r w:rsidRPr="00685013">
        <w:rPr>
          <w:sz w:val="24"/>
          <w:szCs w:val="24"/>
          <w:lang w:val="tr-TR"/>
        </w:rPr>
        <w:t xml:space="preserve"> </w:t>
      </w:r>
      <w:r w:rsidR="00EB703A" w:rsidRPr="00685013">
        <w:rPr>
          <w:sz w:val="24"/>
          <w:szCs w:val="24"/>
          <w:lang w:val="tr-TR"/>
        </w:rPr>
        <w:t>p</w:t>
      </w:r>
      <w:r w:rsidRPr="00685013">
        <w:rPr>
          <w:sz w:val="24"/>
          <w:szCs w:val="24"/>
          <w:lang w:val="tr-TR"/>
        </w:rPr>
        <w:t>olitika faizi</w:t>
      </w:r>
      <w:r w:rsidR="00EB703A" w:rsidRPr="00685013">
        <w:rPr>
          <w:sz w:val="24"/>
          <w:szCs w:val="24"/>
          <w:lang w:val="tr-TR"/>
        </w:rPr>
        <w:t>ni</w:t>
      </w:r>
      <w:r w:rsidRPr="00685013">
        <w:rPr>
          <w:sz w:val="24"/>
          <w:szCs w:val="24"/>
          <w:lang w:val="tr-TR"/>
        </w:rPr>
        <w:t xml:space="preserve"> </w:t>
      </w:r>
      <w:r w:rsidR="006D4E7F">
        <w:rPr>
          <w:sz w:val="24"/>
          <w:szCs w:val="24"/>
          <w:lang w:val="tr-TR"/>
        </w:rPr>
        <w:t xml:space="preserve">yüzde 10,25’ten </w:t>
      </w:r>
      <w:r w:rsidRPr="00685013">
        <w:rPr>
          <w:sz w:val="24"/>
          <w:szCs w:val="24"/>
          <w:lang w:val="tr-TR"/>
        </w:rPr>
        <w:t>yüzde 19</w:t>
      </w:r>
      <w:r w:rsidR="00EB703A" w:rsidRPr="00685013">
        <w:rPr>
          <w:sz w:val="24"/>
          <w:szCs w:val="24"/>
          <w:lang w:val="tr-TR"/>
        </w:rPr>
        <w:t>’a</w:t>
      </w:r>
      <w:r w:rsidRPr="00685013">
        <w:rPr>
          <w:sz w:val="24"/>
          <w:szCs w:val="24"/>
          <w:lang w:val="tr-TR"/>
        </w:rPr>
        <w:t xml:space="preserve"> </w:t>
      </w:r>
      <w:r w:rsidR="00EB703A" w:rsidRPr="00685013">
        <w:rPr>
          <w:sz w:val="24"/>
          <w:szCs w:val="24"/>
          <w:lang w:val="tr-TR"/>
        </w:rPr>
        <w:t>yükseltmiş ve</w:t>
      </w:r>
      <w:r w:rsidRPr="00685013">
        <w:rPr>
          <w:sz w:val="24"/>
          <w:szCs w:val="24"/>
          <w:lang w:val="tr-TR"/>
        </w:rPr>
        <w:t xml:space="preserve"> 2021 Ağustos'a kadar bu seviyede </w:t>
      </w:r>
      <w:r w:rsidR="00EB703A" w:rsidRPr="00685013">
        <w:rPr>
          <w:sz w:val="24"/>
          <w:szCs w:val="24"/>
          <w:lang w:val="tr-TR"/>
        </w:rPr>
        <w:t>tutmuştur</w:t>
      </w:r>
      <w:r w:rsidRPr="00685013">
        <w:rPr>
          <w:sz w:val="24"/>
          <w:szCs w:val="24"/>
          <w:lang w:val="tr-TR"/>
        </w:rPr>
        <w:t xml:space="preserve">. </w:t>
      </w:r>
    </w:p>
    <w:p w14:paraId="78D19472" w14:textId="1FA02276" w:rsidR="00EE200D" w:rsidRPr="00685013" w:rsidRDefault="00EE200D" w:rsidP="00EE200D">
      <w:pPr>
        <w:jc w:val="both"/>
        <w:rPr>
          <w:sz w:val="24"/>
          <w:szCs w:val="24"/>
          <w:lang w:val="tr-TR"/>
        </w:rPr>
      </w:pPr>
      <w:r w:rsidRPr="00685013">
        <w:rPr>
          <w:sz w:val="24"/>
          <w:szCs w:val="24"/>
          <w:lang w:val="tr-TR"/>
        </w:rPr>
        <w:t xml:space="preserve">2021 Eylül ayı ise </w:t>
      </w:r>
      <w:r w:rsidR="000757EF" w:rsidRPr="00685013">
        <w:rPr>
          <w:sz w:val="24"/>
          <w:szCs w:val="24"/>
          <w:lang w:val="tr-TR"/>
        </w:rPr>
        <w:t xml:space="preserve">TCMB’nin </w:t>
      </w:r>
      <w:r w:rsidRPr="00685013">
        <w:rPr>
          <w:sz w:val="24"/>
          <w:szCs w:val="24"/>
          <w:lang w:val="tr-TR"/>
        </w:rPr>
        <w:t>para politikasında</w:t>
      </w:r>
      <w:r w:rsidR="000757EF" w:rsidRPr="00685013">
        <w:rPr>
          <w:sz w:val="24"/>
          <w:szCs w:val="24"/>
          <w:lang w:val="tr-TR"/>
        </w:rPr>
        <w:t xml:space="preserve"> bir </w:t>
      </w:r>
      <w:r w:rsidRPr="00685013">
        <w:rPr>
          <w:sz w:val="24"/>
          <w:szCs w:val="24"/>
          <w:lang w:val="tr-TR"/>
        </w:rPr>
        <w:t xml:space="preserve">dönüm noktası olmuştur. </w:t>
      </w:r>
      <w:r w:rsidR="00AD3D71" w:rsidRPr="00685013">
        <w:rPr>
          <w:sz w:val="24"/>
          <w:szCs w:val="24"/>
          <w:lang w:val="tr-TR"/>
        </w:rPr>
        <w:t xml:space="preserve">TCMB Eylül'de 100 baz puan, Ekim'de 200 baz puan faiz indirerek diğer ülkelerden farklı bir para politikası stratejisi izlemiştir. TCMB </w:t>
      </w:r>
      <w:r w:rsidR="00D80F45">
        <w:rPr>
          <w:sz w:val="24"/>
          <w:szCs w:val="24"/>
          <w:lang w:val="tr-TR"/>
        </w:rPr>
        <w:t>faiz indirme</w:t>
      </w:r>
      <w:r w:rsidR="00AD3D71" w:rsidRPr="00685013">
        <w:rPr>
          <w:sz w:val="24"/>
          <w:szCs w:val="24"/>
          <w:lang w:val="tr-TR"/>
        </w:rPr>
        <w:t xml:space="preserve"> politikasını 2021 Aralık ayına kadar sürdürmüş ve o tarihten itibaren faiz oranını yüzde 14'te sabit tutmuştur.</w:t>
      </w:r>
      <w:r w:rsidR="00AD3D71">
        <w:rPr>
          <w:sz w:val="24"/>
          <w:szCs w:val="24"/>
          <w:lang w:val="tr-TR"/>
        </w:rPr>
        <w:t xml:space="preserve"> </w:t>
      </w:r>
      <w:r w:rsidR="00D80F45">
        <w:rPr>
          <w:sz w:val="24"/>
          <w:szCs w:val="24"/>
          <w:lang w:val="tr-TR"/>
        </w:rPr>
        <w:t>TCMB’nin toplamda 500 baz puan</w:t>
      </w:r>
      <w:r w:rsidR="0077173B">
        <w:rPr>
          <w:sz w:val="24"/>
          <w:szCs w:val="24"/>
          <w:lang w:val="tr-TR"/>
        </w:rPr>
        <w:t xml:space="preserve"> </w:t>
      </w:r>
      <w:r w:rsidR="00D80F45">
        <w:rPr>
          <w:sz w:val="24"/>
          <w:szCs w:val="24"/>
          <w:lang w:val="tr-TR"/>
        </w:rPr>
        <w:t>faiz indirdiği dönemde</w:t>
      </w:r>
      <w:r w:rsidR="00AD3D71">
        <w:rPr>
          <w:sz w:val="24"/>
          <w:szCs w:val="24"/>
          <w:lang w:val="tr-TR"/>
        </w:rPr>
        <w:t xml:space="preserve"> </w:t>
      </w:r>
      <w:r w:rsidRPr="00323D13">
        <w:rPr>
          <w:sz w:val="24"/>
          <w:szCs w:val="24"/>
          <w:lang w:val="tr-TR"/>
        </w:rPr>
        <w:t xml:space="preserve">Brezilya </w:t>
      </w:r>
      <w:r w:rsidR="00D80F45">
        <w:rPr>
          <w:sz w:val="24"/>
          <w:szCs w:val="24"/>
          <w:lang w:val="tr-TR"/>
        </w:rPr>
        <w:t xml:space="preserve">650, </w:t>
      </w:r>
      <w:proofErr w:type="spellStart"/>
      <w:r w:rsidR="00D80F45">
        <w:rPr>
          <w:sz w:val="24"/>
          <w:szCs w:val="24"/>
          <w:lang w:val="tr-TR"/>
        </w:rPr>
        <w:t>Çekya</w:t>
      </w:r>
      <w:proofErr w:type="spellEnd"/>
      <w:r w:rsidR="00D80F45">
        <w:rPr>
          <w:sz w:val="24"/>
          <w:szCs w:val="24"/>
          <w:lang w:val="tr-TR"/>
        </w:rPr>
        <w:t xml:space="preserve"> 500, Güney Afrika 125, Hindistan 40, İsrail 65, Kolombiya 425, Macaristan 375, Meksika 250, Şili ise 675 baz puan faiz arttırmıştır.</w:t>
      </w:r>
    </w:p>
    <w:p w14:paraId="62B6219F" w14:textId="5A4367A6" w:rsidR="00E87EAC" w:rsidRPr="00685013" w:rsidRDefault="002334D0" w:rsidP="00EE200D">
      <w:pPr>
        <w:jc w:val="both"/>
        <w:rPr>
          <w:sz w:val="24"/>
          <w:szCs w:val="24"/>
          <w:lang w:val="tr-TR"/>
        </w:rPr>
      </w:pPr>
      <w:r w:rsidRPr="00685013">
        <w:rPr>
          <w:sz w:val="24"/>
          <w:szCs w:val="24"/>
          <w:lang w:val="tr-TR"/>
        </w:rPr>
        <w:t xml:space="preserve">Bu süreçte </w:t>
      </w:r>
      <w:r w:rsidR="00AD3D71">
        <w:rPr>
          <w:sz w:val="24"/>
          <w:szCs w:val="24"/>
          <w:lang w:val="tr-TR"/>
        </w:rPr>
        <w:t xml:space="preserve">Türkiye’de </w:t>
      </w:r>
      <w:r w:rsidR="00446F34">
        <w:rPr>
          <w:sz w:val="24"/>
          <w:szCs w:val="24"/>
          <w:lang w:val="tr-TR"/>
        </w:rPr>
        <w:t xml:space="preserve">hem </w:t>
      </w:r>
      <w:r w:rsidR="00AD3D71">
        <w:rPr>
          <w:sz w:val="24"/>
          <w:szCs w:val="24"/>
          <w:lang w:val="tr-TR"/>
        </w:rPr>
        <w:t>döviz kuru</w:t>
      </w:r>
      <w:r w:rsidR="00446F34">
        <w:rPr>
          <w:sz w:val="24"/>
          <w:szCs w:val="24"/>
          <w:lang w:val="tr-TR"/>
        </w:rPr>
        <w:t xml:space="preserve"> hem de </w:t>
      </w:r>
      <w:r w:rsidRPr="00685013">
        <w:rPr>
          <w:sz w:val="24"/>
          <w:szCs w:val="24"/>
          <w:lang w:val="tr-TR"/>
        </w:rPr>
        <w:t xml:space="preserve">enflasyon artmaya devam etmiş ve </w:t>
      </w:r>
      <w:r w:rsidR="00AD3D71">
        <w:rPr>
          <w:sz w:val="24"/>
          <w:szCs w:val="24"/>
          <w:lang w:val="tr-TR"/>
        </w:rPr>
        <w:t xml:space="preserve">Mayıs 2022 itibariyle yıllık </w:t>
      </w:r>
      <w:r w:rsidRPr="00685013">
        <w:rPr>
          <w:sz w:val="24"/>
          <w:szCs w:val="24"/>
          <w:lang w:val="tr-TR"/>
        </w:rPr>
        <w:t>güncel enflasyon oranı yüzde 73,5</w:t>
      </w:r>
      <w:r w:rsidR="00AD3D71">
        <w:rPr>
          <w:sz w:val="24"/>
          <w:szCs w:val="24"/>
          <w:lang w:val="tr-TR"/>
        </w:rPr>
        <w:t>’e ulaşmıştır</w:t>
      </w:r>
      <w:r w:rsidRPr="00685013">
        <w:rPr>
          <w:sz w:val="24"/>
          <w:szCs w:val="24"/>
          <w:lang w:val="tr-TR"/>
        </w:rPr>
        <w:t>. Bu oran</w:t>
      </w:r>
      <w:r w:rsidR="00CE0D7F">
        <w:rPr>
          <w:sz w:val="24"/>
          <w:szCs w:val="24"/>
          <w:lang w:val="tr-TR"/>
        </w:rPr>
        <w:t>ın</w:t>
      </w:r>
      <w:r w:rsidR="007F3784">
        <w:rPr>
          <w:sz w:val="24"/>
          <w:szCs w:val="24"/>
          <w:lang w:val="tr-TR"/>
        </w:rPr>
        <w:t>,</w:t>
      </w:r>
      <w:r w:rsidRPr="00685013">
        <w:rPr>
          <w:sz w:val="24"/>
          <w:szCs w:val="24"/>
          <w:lang w:val="tr-TR"/>
        </w:rPr>
        <w:t xml:space="preserve"> TCMB’nin enflasyon hedefin</w:t>
      </w:r>
      <w:r w:rsidR="00AD3D71">
        <w:rPr>
          <w:sz w:val="24"/>
          <w:szCs w:val="24"/>
          <w:lang w:val="tr-TR"/>
        </w:rPr>
        <w:t>in (yüzde 5) kıyaslama kabul etmeyecek kadar üzerinde olması bir yana,</w:t>
      </w:r>
      <w:r w:rsidRPr="00685013">
        <w:rPr>
          <w:sz w:val="24"/>
          <w:szCs w:val="24"/>
          <w:lang w:val="tr-TR"/>
        </w:rPr>
        <w:t xml:space="preserve"> son enflas</w:t>
      </w:r>
      <w:r w:rsidR="00DD7D8D">
        <w:rPr>
          <w:sz w:val="24"/>
          <w:szCs w:val="24"/>
          <w:lang w:val="tr-TR"/>
        </w:rPr>
        <w:t>yon raporuna göre TCMB 2022 yıl</w:t>
      </w:r>
      <w:r w:rsidRPr="00685013">
        <w:rPr>
          <w:sz w:val="24"/>
          <w:szCs w:val="24"/>
          <w:lang w:val="tr-TR"/>
        </w:rPr>
        <w:t xml:space="preserve">sonu enflasyonunun yüzde 42,8 olacağını tahmin etmektedir. Buna rağmen, </w:t>
      </w:r>
      <w:r w:rsidR="00E87EAC" w:rsidRPr="00685013">
        <w:rPr>
          <w:sz w:val="24"/>
          <w:szCs w:val="24"/>
          <w:lang w:val="tr-TR"/>
        </w:rPr>
        <w:t xml:space="preserve">TCMB politika faizini </w:t>
      </w:r>
      <w:r w:rsidRPr="00685013">
        <w:rPr>
          <w:sz w:val="24"/>
          <w:szCs w:val="24"/>
          <w:lang w:val="tr-TR"/>
        </w:rPr>
        <w:t>değiştirmemiş</w:t>
      </w:r>
      <w:r w:rsidR="00EE5484" w:rsidRPr="00685013">
        <w:rPr>
          <w:sz w:val="24"/>
          <w:szCs w:val="24"/>
          <w:lang w:val="tr-TR"/>
        </w:rPr>
        <w:t xml:space="preserve">, sadece zorunlu karşılık oranlarını yükseltmiştir. </w:t>
      </w:r>
    </w:p>
    <w:p w14:paraId="21F5FB44" w14:textId="3D9CDBC9" w:rsidR="003F1A2C" w:rsidRPr="00685013" w:rsidRDefault="003F1A2C" w:rsidP="00EE200D">
      <w:pPr>
        <w:jc w:val="both"/>
        <w:rPr>
          <w:sz w:val="24"/>
          <w:szCs w:val="24"/>
          <w:lang w:val="tr-TR"/>
        </w:rPr>
      </w:pPr>
      <w:r w:rsidRPr="00685013">
        <w:rPr>
          <w:sz w:val="24"/>
          <w:szCs w:val="24"/>
          <w:lang w:val="tr-TR"/>
        </w:rPr>
        <w:t xml:space="preserve">Bu para politikası tercihiyle Türkiye dünyanın geri kalanından </w:t>
      </w:r>
      <w:r w:rsidR="00F805B0" w:rsidRPr="00685013">
        <w:rPr>
          <w:sz w:val="24"/>
          <w:szCs w:val="24"/>
          <w:lang w:val="tr-TR"/>
        </w:rPr>
        <w:t>ayrışmaktadır</w:t>
      </w:r>
      <w:r w:rsidRPr="00685013">
        <w:rPr>
          <w:sz w:val="24"/>
          <w:szCs w:val="24"/>
          <w:lang w:val="tr-TR"/>
        </w:rPr>
        <w:t xml:space="preserve">. Şekil </w:t>
      </w:r>
      <w:r w:rsidR="00FF45B6">
        <w:rPr>
          <w:sz w:val="24"/>
          <w:szCs w:val="24"/>
          <w:lang w:val="tr-TR"/>
        </w:rPr>
        <w:t>2</w:t>
      </w:r>
      <w:r w:rsidRPr="00685013">
        <w:rPr>
          <w:sz w:val="24"/>
          <w:szCs w:val="24"/>
          <w:lang w:val="tr-TR"/>
        </w:rPr>
        <w:t xml:space="preserve"> son bir yılda gelişmiş ve gelişmekte olan ülkelerde son bir yıldaki enflasyon oranlarını ve bu ülke merkez bankalarının politika faizlerinde yaptıkları </w:t>
      </w:r>
      <w:r w:rsidR="00207F2C" w:rsidRPr="00685013">
        <w:rPr>
          <w:sz w:val="24"/>
          <w:szCs w:val="24"/>
          <w:lang w:val="tr-TR"/>
        </w:rPr>
        <w:t>değişikliği</w:t>
      </w:r>
      <w:r w:rsidRPr="00685013">
        <w:rPr>
          <w:sz w:val="24"/>
          <w:szCs w:val="24"/>
          <w:lang w:val="tr-TR"/>
        </w:rPr>
        <w:t xml:space="preserve"> göstermektedir. Bekleneceği üzere yıllık enflasyon</w:t>
      </w:r>
      <w:r w:rsidR="004640A0" w:rsidRPr="00685013">
        <w:rPr>
          <w:sz w:val="24"/>
          <w:szCs w:val="24"/>
          <w:lang w:val="tr-TR"/>
        </w:rPr>
        <w:t xml:space="preserve"> oranın</w:t>
      </w:r>
      <w:r w:rsidRPr="00685013">
        <w:rPr>
          <w:sz w:val="24"/>
          <w:szCs w:val="24"/>
          <w:lang w:val="tr-TR"/>
        </w:rPr>
        <w:t xml:space="preserve">daki artış karşısında merkez bankaları politika faizlerini yükselterek tepki vermektedir. </w:t>
      </w:r>
      <w:r w:rsidR="00A7124B" w:rsidRPr="00685013">
        <w:rPr>
          <w:sz w:val="24"/>
          <w:szCs w:val="24"/>
          <w:lang w:val="tr-TR"/>
        </w:rPr>
        <w:t>Ancak birçok ülkede enflasyon oranı nispeten düşük olduğu için bu ülkelerdeki politika faiz artışları da düşük olmuştur.</w:t>
      </w:r>
    </w:p>
    <w:p w14:paraId="34DD3B29" w14:textId="29CE6D7F" w:rsidR="00515875" w:rsidRDefault="00515875" w:rsidP="00EE200D">
      <w:pPr>
        <w:jc w:val="both"/>
        <w:rPr>
          <w:lang w:val="tr-TR"/>
        </w:rPr>
      </w:pPr>
      <w:r>
        <w:rPr>
          <w:lang w:val="tr-TR"/>
        </w:rPr>
        <w:t xml:space="preserve">Şekil </w:t>
      </w:r>
      <w:r w:rsidR="00FF45B6">
        <w:rPr>
          <w:lang w:val="tr-TR"/>
        </w:rPr>
        <w:t>2</w:t>
      </w:r>
      <w:r>
        <w:rPr>
          <w:lang w:val="tr-TR"/>
        </w:rPr>
        <w:t>: Dünya genelinde son bir yıldaki enflasyon oranı ve politika faizi değişimi</w:t>
      </w:r>
    </w:p>
    <w:p w14:paraId="3DB7DF4E" w14:textId="5D9BE092" w:rsidR="00AD619D" w:rsidRDefault="00AD619D" w:rsidP="00EE200D">
      <w:pPr>
        <w:jc w:val="both"/>
        <w:rPr>
          <w:lang w:val="tr-TR"/>
        </w:rPr>
      </w:pPr>
      <w:r>
        <w:rPr>
          <w:noProof/>
          <w:lang w:val="en-GB" w:eastAsia="en-GB"/>
        </w:rPr>
        <w:drawing>
          <wp:inline distT="0" distB="0" distL="0" distR="0" wp14:anchorId="57A5A4F5" wp14:editId="5A6700CB">
            <wp:extent cx="5057030" cy="30398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5716" cy="3045042"/>
                    </a:xfrm>
                    <a:prstGeom prst="rect">
                      <a:avLst/>
                    </a:prstGeom>
                    <a:noFill/>
                  </pic:spPr>
                </pic:pic>
              </a:graphicData>
            </a:graphic>
          </wp:inline>
        </w:drawing>
      </w:r>
    </w:p>
    <w:p w14:paraId="25CF0149" w14:textId="39AA6049" w:rsidR="00A7124B" w:rsidRDefault="008C4E8B" w:rsidP="00EE200D">
      <w:pPr>
        <w:jc w:val="both"/>
        <w:rPr>
          <w:lang w:val="tr-TR"/>
        </w:rPr>
      </w:pPr>
      <w:r>
        <w:rPr>
          <w:lang w:val="tr-TR"/>
        </w:rPr>
        <w:lastRenderedPageBreak/>
        <w:t>Not: Şeklin verileri Tablo 3’te yer almaktadır.</w:t>
      </w:r>
    </w:p>
    <w:p w14:paraId="008904AB" w14:textId="4F59DFFD" w:rsidR="00A7124B" w:rsidRPr="00685013" w:rsidRDefault="003671EA" w:rsidP="00EE200D">
      <w:pPr>
        <w:jc w:val="both"/>
        <w:rPr>
          <w:sz w:val="24"/>
          <w:szCs w:val="24"/>
          <w:lang w:val="tr-TR"/>
        </w:rPr>
      </w:pPr>
      <w:r w:rsidRPr="00685013">
        <w:rPr>
          <w:sz w:val="24"/>
          <w:szCs w:val="24"/>
          <w:lang w:val="tr-TR"/>
        </w:rPr>
        <w:t>Öte yandan</w:t>
      </w:r>
      <w:r w:rsidR="00A7124B" w:rsidRPr="00685013">
        <w:rPr>
          <w:sz w:val="24"/>
          <w:szCs w:val="24"/>
          <w:lang w:val="tr-TR"/>
        </w:rPr>
        <w:t xml:space="preserve">, Arjantin’de ve Türkiye’de enflasyon diğer ülkelere kıyasla çok yüksektir. Nitekim yıllık enflasyon oranı Arjantin’de yüzde 60,7 iken, Türkiye’de yüzde 73,5’tir. Bu enflasyon oranlarına karşılık olarak Arjantin’de politika faizi </w:t>
      </w:r>
      <w:r w:rsidR="00AC1AB2">
        <w:rPr>
          <w:sz w:val="24"/>
          <w:szCs w:val="24"/>
          <w:lang w:val="tr-TR"/>
        </w:rPr>
        <w:t>yüzde 38’den yüzde 49’a yükselmiş</w:t>
      </w:r>
      <w:r w:rsidR="00A7124B" w:rsidRPr="00685013">
        <w:rPr>
          <w:sz w:val="24"/>
          <w:szCs w:val="24"/>
          <w:lang w:val="tr-TR"/>
        </w:rPr>
        <w:t xml:space="preserve">, Türkiye’de </w:t>
      </w:r>
      <w:r w:rsidR="0088369B" w:rsidRPr="00685013">
        <w:rPr>
          <w:sz w:val="24"/>
          <w:szCs w:val="24"/>
          <w:lang w:val="tr-TR"/>
        </w:rPr>
        <w:t xml:space="preserve">ise politika faizi </w:t>
      </w:r>
      <w:r w:rsidR="00AD3D71">
        <w:rPr>
          <w:sz w:val="24"/>
          <w:szCs w:val="24"/>
          <w:lang w:val="tr-TR"/>
        </w:rPr>
        <w:t xml:space="preserve">ise </w:t>
      </w:r>
      <w:r w:rsidR="00AC1AB2">
        <w:rPr>
          <w:sz w:val="24"/>
          <w:szCs w:val="24"/>
          <w:lang w:val="tr-TR"/>
        </w:rPr>
        <w:t>yüzde 19’dan yüzde 14’e düşmüştür.</w:t>
      </w:r>
    </w:p>
    <w:p w14:paraId="1D6BB356" w14:textId="77777777" w:rsidR="00F949E5" w:rsidRPr="00685013" w:rsidRDefault="00F949E5" w:rsidP="00F949E5">
      <w:pPr>
        <w:jc w:val="both"/>
        <w:rPr>
          <w:b/>
          <w:bCs/>
          <w:sz w:val="24"/>
          <w:szCs w:val="24"/>
          <w:lang w:val="tr-TR"/>
        </w:rPr>
      </w:pPr>
      <w:r w:rsidRPr="00685013">
        <w:rPr>
          <w:b/>
          <w:bCs/>
          <w:sz w:val="24"/>
          <w:szCs w:val="24"/>
          <w:lang w:val="tr-TR"/>
        </w:rPr>
        <w:t>Sonuç</w:t>
      </w:r>
    </w:p>
    <w:p w14:paraId="47CBAEA7" w14:textId="2957DBF3" w:rsidR="00F949E5" w:rsidRPr="00685013" w:rsidRDefault="00F949E5" w:rsidP="00F949E5">
      <w:pPr>
        <w:jc w:val="both"/>
        <w:rPr>
          <w:sz w:val="24"/>
          <w:szCs w:val="24"/>
          <w:lang w:val="tr-TR"/>
        </w:rPr>
      </w:pPr>
      <w:r w:rsidRPr="00685013">
        <w:rPr>
          <w:sz w:val="24"/>
          <w:szCs w:val="24"/>
          <w:lang w:val="tr-TR"/>
        </w:rPr>
        <w:t xml:space="preserve">Bu araştırma notu öngörülmesi </w:t>
      </w:r>
      <w:r w:rsidR="00AD3D71" w:rsidRPr="00685013">
        <w:rPr>
          <w:sz w:val="24"/>
          <w:szCs w:val="24"/>
          <w:lang w:val="tr-TR"/>
        </w:rPr>
        <w:t>imkânsız</w:t>
      </w:r>
      <w:r w:rsidRPr="00685013">
        <w:rPr>
          <w:sz w:val="24"/>
          <w:szCs w:val="24"/>
          <w:lang w:val="tr-TR"/>
        </w:rPr>
        <w:t xml:space="preserve"> olayların meydana geldiği son iki yılda özellikle gelişmekte olan ülke merkez bankalarının bu olaylar karşısındaki</w:t>
      </w:r>
      <w:r w:rsidR="00917A75" w:rsidRPr="00685013">
        <w:rPr>
          <w:sz w:val="24"/>
          <w:szCs w:val="24"/>
          <w:lang w:val="tr-TR"/>
        </w:rPr>
        <w:t xml:space="preserve"> para</w:t>
      </w:r>
      <w:r w:rsidRPr="00685013">
        <w:rPr>
          <w:sz w:val="24"/>
          <w:szCs w:val="24"/>
          <w:lang w:val="tr-TR"/>
        </w:rPr>
        <w:t xml:space="preserve"> politika</w:t>
      </w:r>
      <w:r w:rsidR="00917A75" w:rsidRPr="00685013">
        <w:rPr>
          <w:sz w:val="24"/>
          <w:szCs w:val="24"/>
          <w:lang w:val="tr-TR"/>
        </w:rPr>
        <w:t>sı</w:t>
      </w:r>
      <w:r w:rsidRPr="00685013">
        <w:rPr>
          <w:sz w:val="24"/>
          <w:szCs w:val="24"/>
          <w:lang w:val="tr-TR"/>
        </w:rPr>
        <w:t xml:space="preserve"> duruşlarını incelemektedir. </w:t>
      </w:r>
      <w:r w:rsidR="00917A75" w:rsidRPr="00685013">
        <w:rPr>
          <w:sz w:val="24"/>
          <w:szCs w:val="24"/>
          <w:lang w:val="tr-TR"/>
        </w:rPr>
        <w:t>İnceleme</w:t>
      </w:r>
      <w:r w:rsidRPr="00685013">
        <w:rPr>
          <w:sz w:val="24"/>
          <w:szCs w:val="24"/>
          <w:lang w:val="tr-TR"/>
        </w:rPr>
        <w:t xml:space="preserve"> </w:t>
      </w:r>
      <w:r w:rsidR="00AD3D71" w:rsidRPr="00685013">
        <w:rPr>
          <w:sz w:val="24"/>
          <w:szCs w:val="24"/>
          <w:lang w:val="tr-TR"/>
        </w:rPr>
        <w:t>hâlihazırda</w:t>
      </w:r>
      <w:r w:rsidRPr="00685013">
        <w:rPr>
          <w:sz w:val="24"/>
          <w:szCs w:val="24"/>
          <w:lang w:val="tr-TR"/>
        </w:rPr>
        <w:t xml:space="preserve"> yükselmekte olan enflasyon oranlarıyla mücadelede </w:t>
      </w:r>
      <w:r w:rsidR="00917A75" w:rsidRPr="00685013">
        <w:rPr>
          <w:sz w:val="24"/>
          <w:szCs w:val="24"/>
          <w:lang w:val="tr-TR"/>
        </w:rPr>
        <w:t xml:space="preserve">gelişmekte olan ülke </w:t>
      </w:r>
      <w:r w:rsidRPr="00685013">
        <w:rPr>
          <w:sz w:val="24"/>
          <w:szCs w:val="24"/>
          <w:lang w:val="tr-TR"/>
        </w:rPr>
        <w:t>merkez bankalarının politika faizlerini art</w:t>
      </w:r>
      <w:r w:rsidR="00917A75" w:rsidRPr="00685013">
        <w:rPr>
          <w:sz w:val="24"/>
          <w:szCs w:val="24"/>
          <w:lang w:val="tr-TR"/>
        </w:rPr>
        <w:t>tırdıklarını;</w:t>
      </w:r>
      <w:r w:rsidRPr="00685013">
        <w:rPr>
          <w:sz w:val="24"/>
          <w:szCs w:val="24"/>
          <w:lang w:val="tr-TR"/>
        </w:rPr>
        <w:t xml:space="preserve"> </w:t>
      </w:r>
      <w:r w:rsidR="00917A75" w:rsidRPr="00685013">
        <w:rPr>
          <w:sz w:val="24"/>
          <w:szCs w:val="24"/>
          <w:lang w:val="tr-TR"/>
        </w:rPr>
        <w:t>b</w:t>
      </w:r>
      <w:r w:rsidRPr="00685013">
        <w:rPr>
          <w:sz w:val="24"/>
          <w:szCs w:val="24"/>
          <w:lang w:val="tr-TR"/>
        </w:rPr>
        <w:t xml:space="preserve">una rağmen, </w:t>
      </w:r>
      <w:r w:rsidR="00917A75" w:rsidRPr="00685013">
        <w:rPr>
          <w:sz w:val="24"/>
          <w:szCs w:val="24"/>
          <w:lang w:val="tr-TR"/>
        </w:rPr>
        <w:t>bu</w:t>
      </w:r>
      <w:r w:rsidRPr="00685013">
        <w:rPr>
          <w:sz w:val="24"/>
          <w:szCs w:val="24"/>
          <w:lang w:val="tr-TR"/>
        </w:rPr>
        <w:t xml:space="preserve"> ülke</w:t>
      </w:r>
      <w:r w:rsidR="00917A75" w:rsidRPr="00685013">
        <w:rPr>
          <w:sz w:val="24"/>
          <w:szCs w:val="24"/>
          <w:lang w:val="tr-TR"/>
        </w:rPr>
        <w:t>lerdeki</w:t>
      </w:r>
      <w:r w:rsidRPr="00685013">
        <w:rPr>
          <w:sz w:val="24"/>
          <w:szCs w:val="24"/>
          <w:lang w:val="tr-TR"/>
        </w:rPr>
        <w:t xml:space="preserve"> merkez bankaları</w:t>
      </w:r>
      <w:r w:rsidR="00917A75" w:rsidRPr="00685013">
        <w:rPr>
          <w:sz w:val="24"/>
          <w:szCs w:val="24"/>
          <w:lang w:val="tr-TR"/>
        </w:rPr>
        <w:t>nın</w:t>
      </w:r>
      <w:r w:rsidRPr="00685013">
        <w:rPr>
          <w:sz w:val="24"/>
          <w:szCs w:val="24"/>
          <w:lang w:val="tr-TR"/>
        </w:rPr>
        <w:t xml:space="preserve"> 2022 yıl</w:t>
      </w:r>
      <w:r w:rsidR="00917A75" w:rsidRPr="00685013">
        <w:rPr>
          <w:sz w:val="24"/>
          <w:szCs w:val="24"/>
          <w:lang w:val="tr-TR"/>
        </w:rPr>
        <w:t>sonundaki enflasyon oranlarının hedeflerinin üstünde olacağını beklediklerini göstermektedir</w:t>
      </w:r>
      <w:r w:rsidRPr="00685013">
        <w:rPr>
          <w:sz w:val="24"/>
          <w:szCs w:val="24"/>
          <w:lang w:val="tr-TR"/>
        </w:rPr>
        <w:t xml:space="preserve">. </w:t>
      </w:r>
      <w:r w:rsidR="00917A75" w:rsidRPr="00685013">
        <w:rPr>
          <w:sz w:val="24"/>
          <w:szCs w:val="24"/>
          <w:lang w:val="tr-TR"/>
        </w:rPr>
        <w:t>Türkiye’de enflasyon</w:t>
      </w:r>
      <w:r w:rsidR="00AD3D71">
        <w:rPr>
          <w:sz w:val="24"/>
          <w:szCs w:val="24"/>
          <w:lang w:val="tr-TR"/>
        </w:rPr>
        <w:t xml:space="preserve">un olağanüstü yüksekliğine rağmen </w:t>
      </w:r>
      <w:r w:rsidR="00917A75" w:rsidRPr="00685013">
        <w:rPr>
          <w:sz w:val="24"/>
          <w:szCs w:val="24"/>
          <w:lang w:val="tr-TR"/>
        </w:rPr>
        <w:t xml:space="preserve">TCMB’nin yaygın olan politika duruşuyla ayrıştığını </w:t>
      </w:r>
      <w:r w:rsidR="00AD3D71">
        <w:rPr>
          <w:sz w:val="24"/>
          <w:szCs w:val="24"/>
          <w:lang w:val="tr-TR"/>
        </w:rPr>
        <w:t>ve aksi yönde hareket ettiği görülmektedir.</w:t>
      </w:r>
    </w:p>
    <w:p w14:paraId="49C0016D" w14:textId="15CF26AC" w:rsidR="00DD7D8D" w:rsidRDefault="00617383" w:rsidP="001D3113">
      <w:pPr>
        <w:jc w:val="both"/>
        <w:rPr>
          <w:sz w:val="24"/>
          <w:szCs w:val="24"/>
          <w:lang w:val="tr-TR"/>
        </w:rPr>
      </w:pPr>
      <w:r w:rsidRPr="00685013">
        <w:rPr>
          <w:sz w:val="24"/>
          <w:szCs w:val="24"/>
          <w:lang w:val="tr-TR"/>
        </w:rPr>
        <w:t xml:space="preserve">Önümüzdeki dönemde tedarik sorunlarının devam edeceğine dair beklentiler, merkez bankaları için yüksek enflasyon oranlarını kalıcı hale gelmeden kontrol altında tutmayı </w:t>
      </w:r>
      <w:r w:rsidR="00681FAC" w:rsidRPr="00685013">
        <w:rPr>
          <w:sz w:val="24"/>
          <w:szCs w:val="24"/>
          <w:lang w:val="tr-TR"/>
        </w:rPr>
        <w:t xml:space="preserve">ve enflasyonla mücadelede büyüme oranlarında kayıp yaşamamayı </w:t>
      </w:r>
      <w:r w:rsidRPr="00685013">
        <w:rPr>
          <w:sz w:val="24"/>
          <w:szCs w:val="24"/>
          <w:lang w:val="tr-TR"/>
        </w:rPr>
        <w:t>önemli bir sınav haline getirmektedir.</w:t>
      </w:r>
      <w:r w:rsidR="00DD7D8D">
        <w:rPr>
          <w:sz w:val="24"/>
          <w:szCs w:val="24"/>
          <w:lang w:val="tr-TR"/>
        </w:rPr>
        <w:t xml:space="preserve"> Buna karşılık TCMB’nin gündeminde şimdilik faiz artışı yoktur. Yüksek enflasyonun döviz kurunun kontrol altına alınması, “küresel barış ortamının yeniden tesis edilmesi” ve yılsonunda da baz etkisinin desteği ile düşüşe geçeceği beklentisinin dışında aktif bir para politikası olmadığı görülmektedir. </w:t>
      </w:r>
    </w:p>
    <w:p w14:paraId="67384FAB" w14:textId="700513ED" w:rsidR="00613A56" w:rsidRPr="00685013" w:rsidRDefault="00617383" w:rsidP="00182085">
      <w:pPr>
        <w:jc w:val="both"/>
        <w:rPr>
          <w:sz w:val="24"/>
          <w:szCs w:val="24"/>
          <w:lang w:val="tr-TR"/>
        </w:rPr>
      </w:pPr>
      <w:r w:rsidRPr="00685013">
        <w:rPr>
          <w:sz w:val="24"/>
          <w:szCs w:val="24"/>
          <w:lang w:val="tr-TR"/>
        </w:rPr>
        <w:t xml:space="preserve"> </w:t>
      </w:r>
    </w:p>
    <w:p w14:paraId="40DADACD" w14:textId="77777777" w:rsidR="00613A56" w:rsidRPr="004D788C" w:rsidRDefault="00613A56" w:rsidP="00182085">
      <w:pPr>
        <w:jc w:val="both"/>
        <w:rPr>
          <w:lang w:val="tr-TR"/>
        </w:rPr>
      </w:pPr>
    </w:p>
    <w:p w14:paraId="15ED07E9" w14:textId="77777777" w:rsidR="00613A56" w:rsidRPr="004D788C" w:rsidRDefault="00613A56" w:rsidP="00182085">
      <w:pPr>
        <w:jc w:val="both"/>
        <w:rPr>
          <w:lang w:val="tr-TR"/>
        </w:rPr>
      </w:pPr>
    </w:p>
    <w:p w14:paraId="7CBB090C" w14:textId="77777777" w:rsidR="00613A56" w:rsidRPr="004D788C" w:rsidRDefault="00613A56" w:rsidP="00182085">
      <w:pPr>
        <w:jc w:val="both"/>
        <w:rPr>
          <w:lang w:val="tr-TR"/>
        </w:rPr>
      </w:pPr>
    </w:p>
    <w:p w14:paraId="5F09FEE2" w14:textId="77777777" w:rsidR="00613A56" w:rsidRPr="004D788C" w:rsidRDefault="00613A56" w:rsidP="00182085">
      <w:pPr>
        <w:jc w:val="both"/>
        <w:rPr>
          <w:lang w:val="tr-TR"/>
        </w:rPr>
      </w:pPr>
    </w:p>
    <w:p w14:paraId="6E105CEF" w14:textId="77777777" w:rsidR="00613A56" w:rsidRPr="004D788C" w:rsidRDefault="00613A56" w:rsidP="00182085">
      <w:pPr>
        <w:jc w:val="both"/>
        <w:rPr>
          <w:lang w:val="tr-TR"/>
        </w:rPr>
      </w:pPr>
    </w:p>
    <w:p w14:paraId="59AE9417" w14:textId="77777777" w:rsidR="00613A56" w:rsidRPr="004D788C" w:rsidRDefault="00613A56" w:rsidP="00182085">
      <w:pPr>
        <w:jc w:val="both"/>
        <w:rPr>
          <w:lang w:val="tr-TR"/>
        </w:rPr>
      </w:pPr>
    </w:p>
    <w:p w14:paraId="16222E61" w14:textId="77777777" w:rsidR="00613A56" w:rsidRPr="004D788C" w:rsidRDefault="00613A56" w:rsidP="00182085">
      <w:pPr>
        <w:jc w:val="both"/>
        <w:rPr>
          <w:lang w:val="tr-TR"/>
        </w:rPr>
      </w:pPr>
    </w:p>
    <w:p w14:paraId="708CE7F3" w14:textId="77777777" w:rsidR="00613A56" w:rsidRPr="004D788C" w:rsidRDefault="00613A56" w:rsidP="00182085">
      <w:pPr>
        <w:jc w:val="both"/>
        <w:rPr>
          <w:lang w:val="tr-TR"/>
        </w:rPr>
      </w:pPr>
    </w:p>
    <w:p w14:paraId="0B9CF3D1" w14:textId="77777777" w:rsidR="00613A56" w:rsidRPr="004D788C" w:rsidRDefault="00613A56" w:rsidP="00182085">
      <w:pPr>
        <w:jc w:val="both"/>
        <w:rPr>
          <w:lang w:val="tr-TR"/>
        </w:rPr>
      </w:pPr>
    </w:p>
    <w:p w14:paraId="4E45F3E8" w14:textId="77777777" w:rsidR="00613A56" w:rsidRPr="004D788C" w:rsidRDefault="00613A56" w:rsidP="00182085">
      <w:pPr>
        <w:jc w:val="both"/>
        <w:rPr>
          <w:lang w:val="tr-TR"/>
        </w:rPr>
      </w:pPr>
    </w:p>
    <w:p w14:paraId="75387001" w14:textId="77777777" w:rsidR="00613A56" w:rsidRPr="004D788C" w:rsidRDefault="00613A56" w:rsidP="00182085">
      <w:pPr>
        <w:jc w:val="both"/>
        <w:rPr>
          <w:lang w:val="tr-TR"/>
        </w:rPr>
      </w:pPr>
    </w:p>
    <w:p w14:paraId="2739C2AA" w14:textId="77777777" w:rsidR="00613A56" w:rsidRPr="004D788C" w:rsidRDefault="00613A56" w:rsidP="00182085">
      <w:pPr>
        <w:jc w:val="both"/>
        <w:rPr>
          <w:lang w:val="tr-TR"/>
        </w:rPr>
      </w:pPr>
    </w:p>
    <w:p w14:paraId="555FEA7D" w14:textId="77777777" w:rsidR="00613A56" w:rsidRPr="004D788C" w:rsidRDefault="00613A56" w:rsidP="00182085">
      <w:pPr>
        <w:jc w:val="both"/>
        <w:rPr>
          <w:lang w:val="tr-TR"/>
        </w:rPr>
      </w:pPr>
    </w:p>
    <w:p w14:paraId="14877ADF" w14:textId="77777777" w:rsidR="00613A56" w:rsidRPr="004D788C" w:rsidRDefault="00613A56" w:rsidP="00182085">
      <w:pPr>
        <w:jc w:val="both"/>
        <w:rPr>
          <w:lang w:val="tr-TR"/>
        </w:rPr>
      </w:pPr>
    </w:p>
    <w:p w14:paraId="7F771E0A" w14:textId="77777777" w:rsidR="00613A56" w:rsidRPr="004D788C" w:rsidRDefault="00613A56" w:rsidP="00182085">
      <w:pPr>
        <w:jc w:val="both"/>
        <w:rPr>
          <w:lang w:val="tr-TR"/>
        </w:rPr>
      </w:pPr>
    </w:p>
    <w:p w14:paraId="7F2846C7" w14:textId="77777777" w:rsidR="00613A56" w:rsidRPr="004D788C" w:rsidRDefault="00613A56" w:rsidP="00182085">
      <w:pPr>
        <w:jc w:val="both"/>
        <w:rPr>
          <w:lang w:val="tr-TR"/>
        </w:rPr>
      </w:pPr>
    </w:p>
    <w:p w14:paraId="7791C51B" w14:textId="62962A3A" w:rsidR="008209CE" w:rsidRPr="008209CE" w:rsidRDefault="00E57C0F" w:rsidP="00182085">
      <w:pPr>
        <w:jc w:val="both"/>
        <w:rPr>
          <w:b/>
          <w:bCs/>
          <w:lang w:val="tr-TR"/>
        </w:rPr>
      </w:pPr>
      <w:r>
        <w:rPr>
          <w:b/>
          <w:bCs/>
          <w:lang w:val="tr-TR"/>
        </w:rPr>
        <w:t>EK</w:t>
      </w:r>
    </w:p>
    <w:p w14:paraId="22D6F3CD" w14:textId="2D56D763" w:rsidR="006C30A2" w:rsidRPr="004D788C" w:rsidRDefault="008209CE" w:rsidP="00182085">
      <w:pPr>
        <w:jc w:val="both"/>
        <w:rPr>
          <w:lang w:val="tr-TR"/>
        </w:rPr>
      </w:pPr>
      <w:r>
        <w:rPr>
          <w:lang w:val="tr-TR"/>
        </w:rPr>
        <w:t>T</w:t>
      </w:r>
      <w:r w:rsidR="00661F59" w:rsidRPr="004D788C">
        <w:rPr>
          <w:lang w:val="tr-TR"/>
        </w:rPr>
        <w:t xml:space="preserve">ablo 1: </w:t>
      </w:r>
      <w:r w:rsidR="00661F59">
        <w:rPr>
          <w:lang w:val="tr-TR"/>
        </w:rPr>
        <w:t>Seçilmiş gelişmekte olan ülkelerin politika faiz oranları (%)</w:t>
      </w:r>
    </w:p>
    <w:p w14:paraId="49EA2D90" w14:textId="7AFC8928" w:rsidR="006C30A2" w:rsidRDefault="00661F59" w:rsidP="00182085">
      <w:pPr>
        <w:jc w:val="both"/>
        <w:rPr>
          <w:lang w:val="tr-TR"/>
        </w:rPr>
      </w:pPr>
      <w:r w:rsidRPr="00661F59">
        <w:rPr>
          <w:noProof/>
          <w:lang w:val="en-GB" w:eastAsia="en-GB"/>
        </w:rPr>
        <w:drawing>
          <wp:inline distT="0" distB="0" distL="0" distR="0" wp14:anchorId="52C62E0C" wp14:editId="6BC8AD3F">
            <wp:extent cx="5760720" cy="51041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5104130"/>
                    </a:xfrm>
                    <a:prstGeom prst="rect">
                      <a:avLst/>
                    </a:prstGeom>
                    <a:noFill/>
                    <a:ln>
                      <a:noFill/>
                    </a:ln>
                  </pic:spPr>
                </pic:pic>
              </a:graphicData>
            </a:graphic>
          </wp:inline>
        </w:drawing>
      </w:r>
    </w:p>
    <w:p w14:paraId="2DDA5E3F" w14:textId="415AB8F5" w:rsidR="006C30A2" w:rsidRPr="004D788C" w:rsidRDefault="006C30A2" w:rsidP="00182085">
      <w:pPr>
        <w:jc w:val="both"/>
        <w:rPr>
          <w:lang w:val="tr-TR"/>
        </w:rPr>
      </w:pPr>
      <w:r>
        <w:rPr>
          <w:lang w:val="tr-TR"/>
        </w:rPr>
        <w:t xml:space="preserve">Kaynak: </w:t>
      </w:r>
      <w:r w:rsidRPr="004D788C">
        <w:rPr>
          <w:lang w:val="tr-TR"/>
        </w:rPr>
        <w:t xml:space="preserve">Bank </w:t>
      </w:r>
      <w:proofErr w:type="spellStart"/>
      <w:r w:rsidR="00D25AA2" w:rsidRPr="004D788C">
        <w:rPr>
          <w:lang w:val="tr-TR"/>
        </w:rPr>
        <w:t>for</w:t>
      </w:r>
      <w:proofErr w:type="spellEnd"/>
      <w:r w:rsidRPr="004D788C">
        <w:rPr>
          <w:lang w:val="tr-TR"/>
        </w:rPr>
        <w:t xml:space="preserve"> International </w:t>
      </w:r>
      <w:proofErr w:type="spellStart"/>
      <w:r w:rsidRPr="004D788C">
        <w:rPr>
          <w:lang w:val="tr-TR"/>
        </w:rPr>
        <w:t>Settlements</w:t>
      </w:r>
      <w:proofErr w:type="spellEnd"/>
    </w:p>
    <w:p w14:paraId="74C65E2C" w14:textId="77777777" w:rsidR="00613A56" w:rsidRDefault="00613A56" w:rsidP="00182085">
      <w:pPr>
        <w:jc w:val="both"/>
        <w:rPr>
          <w:lang w:val="tr-TR"/>
        </w:rPr>
      </w:pPr>
    </w:p>
    <w:p w14:paraId="3077BCA6" w14:textId="1F540166" w:rsidR="002C2630" w:rsidRDefault="002C2630" w:rsidP="00182085">
      <w:pPr>
        <w:jc w:val="both"/>
        <w:rPr>
          <w:lang w:val="tr-TR"/>
        </w:rPr>
      </w:pPr>
      <w:r>
        <w:rPr>
          <w:lang w:val="tr-TR"/>
        </w:rPr>
        <w:t xml:space="preserve">Tablo </w:t>
      </w:r>
      <w:r w:rsidR="006C30A2">
        <w:rPr>
          <w:lang w:val="tr-TR"/>
        </w:rPr>
        <w:t>2</w:t>
      </w:r>
      <w:r>
        <w:rPr>
          <w:lang w:val="tr-TR"/>
        </w:rPr>
        <w:t>: Seçilmiş gelişmekte olan ülkelerin enflasyon oranlarıyla ve para politikasıyla ilgili göstergeleri</w:t>
      </w:r>
    </w:p>
    <w:p w14:paraId="56AF4BF4" w14:textId="6D0133FE" w:rsidR="002C2630" w:rsidRDefault="002C2630" w:rsidP="00182085">
      <w:pPr>
        <w:jc w:val="both"/>
        <w:rPr>
          <w:lang w:val="tr-TR"/>
        </w:rPr>
      </w:pPr>
      <w:r w:rsidRPr="002C2630">
        <w:rPr>
          <w:noProof/>
          <w:lang w:val="en-GB" w:eastAsia="en-GB"/>
        </w:rPr>
        <w:lastRenderedPageBreak/>
        <w:drawing>
          <wp:inline distT="0" distB="0" distL="0" distR="0" wp14:anchorId="55B3F87F" wp14:editId="3B2ACC19">
            <wp:extent cx="5760720" cy="14204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1420495"/>
                    </a:xfrm>
                    <a:prstGeom prst="rect">
                      <a:avLst/>
                    </a:prstGeom>
                    <a:noFill/>
                    <a:ln>
                      <a:noFill/>
                    </a:ln>
                  </pic:spPr>
                </pic:pic>
              </a:graphicData>
            </a:graphic>
          </wp:inline>
        </w:drawing>
      </w:r>
    </w:p>
    <w:p w14:paraId="623479A7" w14:textId="0C4A4831" w:rsidR="00D2637D" w:rsidRDefault="00D2637D" w:rsidP="00182085">
      <w:pPr>
        <w:jc w:val="both"/>
        <w:rPr>
          <w:lang w:val="tr-TR"/>
        </w:rPr>
      </w:pPr>
      <w:r>
        <w:rPr>
          <w:lang w:val="tr-TR"/>
        </w:rPr>
        <w:t>Kaynak: Veriler 22 Haziran 2022 tarihindeki güncel sayıları göstermektedir. Enflasyon oranları OECD’den, politika faizleri, enflasyon hedefleri ilgili merkez banka</w:t>
      </w:r>
      <w:r w:rsidR="00E64F5E">
        <w:rPr>
          <w:lang w:val="tr-TR"/>
        </w:rPr>
        <w:t>sının</w:t>
      </w:r>
      <w:r>
        <w:rPr>
          <w:lang w:val="tr-TR"/>
        </w:rPr>
        <w:t xml:space="preserve"> web site</w:t>
      </w:r>
      <w:r w:rsidR="00E64F5E">
        <w:rPr>
          <w:lang w:val="tr-TR"/>
        </w:rPr>
        <w:t>s</w:t>
      </w:r>
      <w:r>
        <w:rPr>
          <w:lang w:val="tr-TR"/>
        </w:rPr>
        <w:t xml:space="preserve">inden, enflasyon tahminleri ise </w:t>
      </w:r>
      <w:r w:rsidR="00E64F5E">
        <w:rPr>
          <w:lang w:val="tr-TR"/>
        </w:rPr>
        <w:t>ilgili</w:t>
      </w:r>
      <w:r>
        <w:rPr>
          <w:lang w:val="tr-TR"/>
        </w:rPr>
        <w:t xml:space="preserve"> merkez banka</w:t>
      </w:r>
      <w:r w:rsidR="00E64F5E">
        <w:rPr>
          <w:lang w:val="tr-TR"/>
        </w:rPr>
        <w:t>sının</w:t>
      </w:r>
      <w:r>
        <w:rPr>
          <w:lang w:val="tr-TR"/>
        </w:rPr>
        <w:t xml:space="preserve"> güncel enflasyon/para politikası rapor</w:t>
      </w:r>
      <w:r w:rsidR="00E64F5E">
        <w:rPr>
          <w:lang w:val="tr-TR"/>
        </w:rPr>
        <w:t>u</w:t>
      </w:r>
      <w:r>
        <w:rPr>
          <w:lang w:val="tr-TR"/>
        </w:rPr>
        <w:t>ndan alınmıştır.</w:t>
      </w:r>
    </w:p>
    <w:p w14:paraId="210414DF" w14:textId="218D9817" w:rsidR="00AD619D" w:rsidRDefault="00AD619D" w:rsidP="00F21923">
      <w:pPr>
        <w:jc w:val="both"/>
        <w:rPr>
          <w:lang w:val="tr-TR"/>
        </w:rPr>
      </w:pPr>
      <w:r>
        <w:rPr>
          <w:lang w:val="tr-TR"/>
        </w:rPr>
        <w:t>Tablo 3: Dünya genelinde son bir yıldaki enflasyon oranı ve politika faizi değişimi</w:t>
      </w:r>
    </w:p>
    <w:p w14:paraId="08CA36E3" w14:textId="4F28474C" w:rsidR="00AD619D" w:rsidRDefault="00A7124B" w:rsidP="00F21923">
      <w:pPr>
        <w:jc w:val="both"/>
        <w:rPr>
          <w:lang w:val="tr-TR"/>
        </w:rPr>
      </w:pPr>
      <w:r w:rsidRPr="00A7124B">
        <w:rPr>
          <w:noProof/>
          <w:lang w:val="en-GB" w:eastAsia="en-GB"/>
        </w:rPr>
        <w:lastRenderedPageBreak/>
        <w:drawing>
          <wp:inline distT="0" distB="0" distL="0" distR="0" wp14:anchorId="039BFC8A" wp14:editId="16B5952B">
            <wp:extent cx="4584700" cy="70040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4700" cy="7004050"/>
                    </a:xfrm>
                    <a:prstGeom prst="rect">
                      <a:avLst/>
                    </a:prstGeom>
                    <a:noFill/>
                    <a:ln>
                      <a:noFill/>
                    </a:ln>
                  </pic:spPr>
                </pic:pic>
              </a:graphicData>
            </a:graphic>
          </wp:inline>
        </w:drawing>
      </w:r>
    </w:p>
    <w:p w14:paraId="0DCFCA41" w14:textId="283D5B59" w:rsidR="00117ADA" w:rsidRDefault="00117ADA" w:rsidP="00F21923">
      <w:pPr>
        <w:jc w:val="both"/>
        <w:rPr>
          <w:lang w:val="tr-TR"/>
        </w:rPr>
      </w:pPr>
      <w:r>
        <w:rPr>
          <w:lang w:val="tr-TR"/>
        </w:rPr>
        <w:t xml:space="preserve">Kaynak: Enflasyon oranları tradingeconomics.com, politika faizi değişim oranları </w:t>
      </w:r>
      <w:r w:rsidRPr="00117ADA">
        <w:t>Bank for International Settlements</w:t>
      </w:r>
      <w:r>
        <w:rPr>
          <w:lang w:val="tr-TR"/>
        </w:rPr>
        <w:t>.</w:t>
      </w:r>
    </w:p>
    <w:sectPr w:rsidR="00117ADA" w:rsidSect="008F69B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DE880" w14:textId="77777777" w:rsidR="00315473" w:rsidRDefault="00315473" w:rsidP="00427A2F">
      <w:pPr>
        <w:spacing w:after="0" w:line="240" w:lineRule="auto"/>
      </w:pPr>
      <w:r>
        <w:separator/>
      </w:r>
    </w:p>
  </w:endnote>
  <w:endnote w:type="continuationSeparator" w:id="0">
    <w:p w14:paraId="025CDBA6" w14:textId="77777777" w:rsidR="00315473" w:rsidRDefault="00315473" w:rsidP="00427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A2"/>
    <w:family w:val="roman"/>
    <w:pitch w:val="variable"/>
    <w:sig w:usb0="E0002EFF" w:usb1="C000785B" w:usb2="00000009" w:usb3="00000000" w:csb0="000001FF" w:csb1="00000000"/>
  </w:font>
  <w:font w:name="Wingdings">
    <w:altName w:val="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793C5" w14:textId="77777777" w:rsidR="00315473" w:rsidRDefault="00315473" w:rsidP="00427A2F">
      <w:pPr>
        <w:spacing w:after="0" w:line="240" w:lineRule="auto"/>
      </w:pPr>
      <w:r>
        <w:separator/>
      </w:r>
    </w:p>
  </w:footnote>
  <w:footnote w:type="continuationSeparator" w:id="0">
    <w:p w14:paraId="1419CA7B" w14:textId="77777777" w:rsidR="00315473" w:rsidRDefault="00315473" w:rsidP="00427A2F">
      <w:pPr>
        <w:spacing w:after="0" w:line="240" w:lineRule="auto"/>
      </w:pPr>
      <w:r>
        <w:continuationSeparator/>
      </w:r>
    </w:p>
  </w:footnote>
  <w:footnote w:id="1">
    <w:p w14:paraId="34A69116" w14:textId="43C179C3" w:rsidR="009000B4" w:rsidRPr="009000B4" w:rsidRDefault="009000B4" w:rsidP="009000B4">
      <w:pPr>
        <w:pStyle w:val="DipnotMetni"/>
        <w:jc w:val="both"/>
        <w:rPr>
          <w:lang w:val="tr-TR"/>
        </w:rPr>
      </w:pPr>
      <w:r w:rsidRPr="009000B4">
        <w:rPr>
          <w:rStyle w:val="DipnotBavurusu"/>
          <w:lang w:val="tr-TR"/>
        </w:rPr>
        <w:footnoteRef/>
      </w:r>
      <w:r w:rsidRPr="009000B4">
        <w:rPr>
          <w:lang w:val="tr-TR"/>
        </w:rPr>
        <w:t xml:space="preserve"> Prof. Dr. Ozan Bakış, </w:t>
      </w:r>
      <w:r w:rsidRPr="009000B4">
        <w:rPr>
          <w:b/>
          <w:bCs/>
          <w:lang w:val="tr-TR"/>
        </w:rPr>
        <w:t>Betam</w:t>
      </w:r>
      <w:r w:rsidRPr="009000B4">
        <w:rPr>
          <w:lang w:val="tr-TR"/>
        </w:rPr>
        <w:t>, Direktör Yardımcısı, ozan.bakis@eas.bau.edu.tr</w:t>
      </w:r>
    </w:p>
  </w:footnote>
  <w:footnote w:id="2">
    <w:p w14:paraId="28A05F93" w14:textId="4250B815" w:rsidR="009000B4" w:rsidRPr="009000B4" w:rsidRDefault="009000B4" w:rsidP="009000B4">
      <w:pPr>
        <w:pStyle w:val="DipnotMetni"/>
        <w:jc w:val="both"/>
        <w:rPr>
          <w:lang w:val="tr-TR"/>
        </w:rPr>
      </w:pPr>
      <w:r w:rsidRPr="009000B4">
        <w:rPr>
          <w:rStyle w:val="DipnotBavurusu"/>
          <w:lang w:val="tr-TR"/>
        </w:rPr>
        <w:footnoteRef/>
      </w:r>
      <w:r w:rsidRPr="009000B4">
        <w:rPr>
          <w:lang w:val="tr-TR"/>
        </w:rPr>
        <w:t xml:space="preserve"> Dr. </w:t>
      </w:r>
      <w:proofErr w:type="spellStart"/>
      <w:r w:rsidRPr="009000B4">
        <w:rPr>
          <w:lang w:val="tr-TR"/>
        </w:rPr>
        <w:t>Öğr</w:t>
      </w:r>
      <w:proofErr w:type="spellEnd"/>
      <w:r w:rsidRPr="009000B4">
        <w:rPr>
          <w:lang w:val="tr-TR"/>
        </w:rPr>
        <w:t xml:space="preserve">. Üyesi Gökhan Şahin Güneş, </w:t>
      </w:r>
      <w:r w:rsidRPr="009000B4">
        <w:rPr>
          <w:b/>
          <w:bCs/>
          <w:lang w:val="tr-TR"/>
        </w:rPr>
        <w:t>Betam</w:t>
      </w:r>
      <w:r w:rsidRPr="009000B4">
        <w:rPr>
          <w:lang w:val="tr-TR"/>
        </w:rPr>
        <w:t>, Uzman Araştırmacı, gokhansahin.gunes@eas.bau.edu.tr</w:t>
      </w:r>
    </w:p>
  </w:footnote>
  <w:footnote w:id="3">
    <w:p w14:paraId="3AA17952" w14:textId="2CD77F2B" w:rsidR="00427A2F" w:rsidRPr="00427A2F" w:rsidRDefault="00427A2F" w:rsidP="0054706D">
      <w:pPr>
        <w:pStyle w:val="DipnotMetni"/>
        <w:jc w:val="both"/>
        <w:rPr>
          <w:lang w:val="tr-TR"/>
        </w:rPr>
      </w:pPr>
      <w:r w:rsidRPr="00427A2F">
        <w:rPr>
          <w:rStyle w:val="DipnotBavurusu"/>
          <w:lang w:val="tr-TR"/>
        </w:rPr>
        <w:footnoteRef/>
      </w:r>
      <w:r w:rsidRPr="00427A2F">
        <w:rPr>
          <w:lang w:val="tr-TR"/>
        </w:rPr>
        <w:t xml:space="preserve"> Bu ülkeler Brezilya, </w:t>
      </w:r>
      <w:proofErr w:type="spellStart"/>
      <w:r w:rsidRPr="00427A2F">
        <w:rPr>
          <w:lang w:val="tr-TR"/>
        </w:rPr>
        <w:t>Çekya</w:t>
      </w:r>
      <w:proofErr w:type="spellEnd"/>
      <w:r w:rsidRPr="00427A2F">
        <w:rPr>
          <w:lang w:val="tr-TR"/>
        </w:rPr>
        <w:t>, Güney Afrika, Hindistan, İsrail, Kolombiya, Macaristan, Meksika, Şili ve Türkiye’dir.</w:t>
      </w:r>
    </w:p>
  </w:footnote>
  <w:footnote w:id="4">
    <w:p w14:paraId="77959A09" w14:textId="579D9F7D" w:rsidR="00C236DD" w:rsidRPr="00C236DD" w:rsidRDefault="00C236DD" w:rsidP="0054706D">
      <w:pPr>
        <w:pStyle w:val="DipnotMetni"/>
        <w:jc w:val="both"/>
        <w:rPr>
          <w:lang w:val="tr-TR"/>
        </w:rPr>
      </w:pPr>
      <w:r>
        <w:rPr>
          <w:rStyle w:val="DipnotBavurusu"/>
        </w:rPr>
        <w:footnoteRef/>
      </w:r>
      <w:r w:rsidRPr="00685013">
        <w:rPr>
          <w:lang w:val="tr-TR"/>
        </w:rPr>
        <w:t xml:space="preserve"> </w:t>
      </w:r>
      <w:r>
        <w:rPr>
          <w:lang w:val="tr-TR"/>
        </w:rPr>
        <w:t>İsrail</w:t>
      </w:r>
      <w:r w:rsidR="007823BC">
        <w:rPr>
          <w:lang w:val="tr-TR"/>
        </w:rPr>
        <w:t xml:space="preserve"> merkez bankası</w:t>
      </w:r>
      <w:r>
        <w:rPr>
          <w:lang w:val="tr-TR"/>
        </w:rPr>
        <w:t xml:space="preserve"> </w:t>
      </w:r>
      <w:r w:rsidR="00692ADD">
        <w:rPr>
          <w:lang w:val="tr-TR"/>
        </w:rPr>
        <w:t>2022 Nisan’da</w:t>
      </w:r>
      <w:r w:rsidR="007823BC">
        <w:rPr>
          <w:lang w:val="tr-TR"/>
        </w:rPr>
        <w:t xml:space="preserve">, Hindistan merkez bankası ise 2022 Mayıs’ta </w:t>
      </w:r>
      <w:r w:rsidR="00692ADD">
        <w:rPr>
          <w:lang w:val="tr-TR"/>
        </w:rPr>
        <w:t xml:space="preserve">en geç faiz arttıran </w:t>
      </w:r>
      <w:r w:rsidR="007823BC">
        <w:rPr>
          <w:lang w:val="tr-TR"/>
        </w:rPr>
        <w:t xml:space="preserve">merkez bankaları </w:t>
      </w:r>
      <w:r w:rsidR="00692ADD">
        <w:rPr>
          <w:lang w:val="tr-TR"/>
        </w:rPr>
        <w:t>olmuştur.</w:t>
      </w:r>
    </w:p>
  </w:footnote>
  <w:footnote w:id="5">
    <w:p w14:paraId="1E041964" w14:textId="7399BA80" w:rsidR="0054706D" w:rsidRPr="0054706D" w:rsidRDefault="0054706D" w:rsidP="0054706D">
      <w:pPr>
        <w:pStyle w:val="DipnotMetni"/>
        <w:jc w:val="both"/>
        <w:rPr>
          <w:lang w:val="tr-TR"/>
        </w:rPr>
      </w:pPr>
      <w:r>
        <w:rPr>
          <w:rStyle w:val="DipnotBavurusu"/>
        </w:rPr>
        <w:footnoteRef/>
      </w:r>
      <w:r w:rsidRPr="00536438">
        <w:rPr>
          <w:lang w:val="tr-TR"/>
        </w:rPr>
        <w:t xml:space="preserve"> </w:t>
      </w:r>
      <w:r>
        <w:rPr>
          <w:lang w:val="tr-TR"/>
        </w:rPr>
        <w:t xml:space="preserve">Bu merkez bankaları tahmin ettikleri </w:t>
      </w:r>
      <w:r w:rsidR="005E4FA0">
        <w:rPr>
          <w:lang w:val="tr-TR"/>
        </w:rPr>
        <w:t xml:space="preserve">yılsonu </w:t>
      </w:r>
      <w:r>
        <w:rPr>
          <w:lang w:val="tr-TR"/>
        </w:rPr>
        <w:t xml:space="preserve">enflasyon oranının hedefledikleri enflasyon oranından yüksek olmasını </w:t>
      </w:r>
      <w:r w:rsidR="00DD7D8D">
        <w:rPr>
          <w:lang w:val="tr-TR"/>
        </w:rPr>
        <w:t>beklemektedirler</w:t>
      </w:r>
      <w:r>
        <w:rPr>
          <w:lang w:val="tr-T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64643"/>
    <w:multiLevelType w:val="hybridMultilevel"/>
    <w:tmpl w:val="F12EFF28"/>
    <w:lvl w:ilvl="0" w:tplc="526210F6">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5BE"/>
    <w:rsid w:val="000008B0"/>
    <w:rsid w:val="00010BE6"/>
    <w:rsid w:val="000146A6"/>
    <w:rsid w:val="000158E6"/>
    <w:rsid w:val="000421BC"/>
    <w:rsid w:val="000443D6"/>
    <w:rsid w:val="00053BD3"/>
    <w:rsid w:val="00073CE6"/>
    <w:rsid w:val="0007476B"/>
    <w:rsid w:val="000757EF"/>
    <w:rsid w:val="000823CF"/>
    <w:rsid w:val="000A60F8"/>
    <w:rsid w:val="000E450F"/>
    <w:rsid w:val="000E4827"/>
    <w:rsid w:val="001167C9"/>
    <w:rsid w:val="00117ADA"/>
    <w:rsid w:val="00122106"/>
    <w:rsid w:val="00136C40"/>
    <w:rsid w:val="00136F12"/>
    <w:rsid w:val="00174BA1"/>
    <w:rsid w:val="00182085"/>
    <w:rsid w:val="00193042"/>
    <w:rsid w:val="0019485A"/>
    <w:rsid w:val="001A6C18"/>
    <w:rsid w:val="001D01E5"/>
    <w:rsid w:val="001D2DCA"/>
    <w:rsid w:val="001D3113"/>
    <w:rsid w:val="001E1DF6"/>
    <w:rsid w:val="001E605B"/>
    <w:rsid w:val="001F523C"/>
    <w:rsid w:val="00207F2C"/>
    <w:rsid w:val="002157AC"/>
    <w:rsid w:val="002167A1"/>
    <w:rsid w:val="0022494D"/>
    <w:rsid w:val="002334D0"/>
    <w:rsid w:val="002407C1"/>
    <w:rsid w:val="00245415"/>
    <w:rsid w:val="00246FC1"/>
    <w:rsid w:val="00255995"/>
    <w:rsid w:val="00261A16"/>
    <w:rsid w:val="00270681"/>
    <w:rsid w:val="002C08CC"/>
    <w:rsid w:val="002C2630"/>
    <w:rsid w:val="002D154D"/>
    <w:rsid w:val="002E4E06"/>
    <w:rsid w:val="002F3AF4"/>
    <w:rsid w:val="002F7D1A"/>
    <w:rsid w:val="00315473"/>
    <w:rsid w:val="00323D13"/>
    <w:rsid w:val="00327703"/>
    <w:rsid w:val="003364B4"/>
    <w:rsid w:val="003369D5"/>
    <w:rsid w:val="00341289"/>
    <w:rsid w:val="003435E2"/>
    <w:rsid w:val="00362469"/>
    <w:rsid w:val="003671EA"/>
    <w:rsid w:val="00381269"/>
    <w:rsid w:val="003A6D06"/>
    <w:rsid w:val="003A7E48"/>
    <w:rsid w:val="003B2A62"/>
    <w:rsid w:val="003C74A2"/>
    <w:rsid w:val="003D6810"/>
    <w:rsid w:val="003E2488"/>
    <w:rsid w:val="003F1A2C"/>
    <w:rsid w:val="00401E62"/>
    <w:rsid w:val="00427A2F"/>
    <w:rsid w:val="00431FBD"/>
    <w:rsid w:val="00446F34"/>
    <w:rsid w:val="004640A0"/>
    <w:rsid w:val="00486070"/>
    <w:rsid w:val="004A2C18"/>
    <w:rsid w:val="004A4512"/>
    <w:rsid w:val="004D788C"/>
    <w:rsid w:val="004E5D94"/>
    <w:rsid w:val="004F17E1"/>
    <w:rsid w:val="004F1BC5"/>
    <w:rsid w:val="004F467F"/>
    <w:rsid w:val="004F7C38"/>
    <w:rsid w:val="00515875"/>
    <w:rsid w:val="00516081"/>
    <w:rsid w:val="00523F9A"/>
    <w:rsid w:val="00526437"/>
    <w:rsid w:val="00527FB7"/>
    <w:rsid w:val="00536438"/>
    <w:rsid w:val="005410B8"/>
    <w:rsid w:val="0054706D"/>
    <w:rsid w:val="005729FE"/>
    <w:rsid w:val="0058549A"/>
    <w:rsid w:val="00593A31"/>
    <w:rsid w:val="005B0CED"/>
    <w:rsid w:val="005E377C"/>
    <w:rsid w:val="005E4FA0"/>
    <w:rsid w:val="006117ED"/>
    <w:rsid w:val="00613A56"/>
    <w:rsid w:val="006171AD"/>
    <w:rsid w:val="00617383"/>
    <w:rsid w:val="00625D7C"/>
    <w:rsid w:val="00641182"/>
    <w:rsid w:val="00644069"/>
    <w:rsid w:val="006541FA"/>
    <w:rsid w:val="00661F59"/>
    <w:rsid w:val="00681FAC"/>
    <w:rsid w:val="00685013"/>
    <w:rsid w:val="00685646"/>
    <w:rsid w:val="006857A8"/>
    <w:rsid w:val="00692ADD"/>
    <w:rsid w:val="006A3CDA"/>
    <w:rsid w:val="006B093E"/>
    <w:rsid w:val="006C30A2"/>
    <w:rsid w:val="006D4E7F"/>
    <w:rsid w:val="006F1D32"/>
    <w:rsid w:val="006F6032"/>
    <w:rsid w:val="00706397"/>
    <w:rsid w:val="007201D1"/>
    <w:rsid w:val="00723514"/>
    <w:rsid w:val="007265BE"/>
    <w:rsid w:val="00732072"/>
    <w:rsid w:val="00741171"/>
    <w:rsid w:val="00747CFB"/>
    <w:rsid w:val="00757EB0"/>
    <w:rsid w:val="0077173B"/>
    <w:rsid w:val="007823BC"/>
    <w:rsid w:val="00786822"/>
    <w:rsid w:val="007C54EE"/>
    <w:rsid w:val="007D543B"/>
    <w:rsid w:val="007D560F"/>
    <w:rsid w:val="007F3784"/>
    <w:rsid w:val="00803422"/>
    <w:rsid w:val="00805589"/>
    <w:rsid w:val="00814BB8"/>
    <w:rsid w:val="008209CE"/>
    <w:rsid w:val="00826DE8"/>
    <w:rsid w:val="0083794A"/>
    <w:rsid w:val="0084355F"/>
    <w:rsid w:val="00844DBB"/>
    <w:rsid w:val="008532E0"/>
    <w:rsid w:val="00857C02"/>
    <w:rsid w:val="0088369B"/>
    <w:rsid w:val="00887E33"/>
    <w:rsid w:val="0089620B"/>
    <w:rsid w:val="008A2B66"/>
    <w:rsid w:val="008A6AFE"/>
    <w:rsid w:val="008A7014"/>
    <w:rsid w:val="008C2098"/>
    <w:rsid w:val="008C3A6F"/>
    <w:rsid w:val="008C4E8B"/>
    <w:rsid w:val="008D621D"/>
    <w:rsid w:val="008D6923"/>
    <w:rsid w:val="008E26C8"/>
    <w:rsid w:val="008F1182"/>
    <w:rsid w:val="008F583E"/>
    <w:rsid w:val="008F69B0"/>
    <w:rsid w:val="009000B4"/>
    <w:rsid w:val="00917A75"/>
    <w:rsid w:val="00924058"/>
    <w:rsid w:val="00930134"/>
    <w:rsid w:val="00942224"/>
    <w:rsid w:val="00942B0B"/>
    <w:rsid w:val="00952F6C"/>
    <w:rsid w:val="00962B75"/>
    <w:rsid w:val="009849A0"/>
    <w:rsid w:val="009859AA"/>
    <w:rsid w:val="009968B3"/>
    <w:rsid w:val="00997BB1"/>
    <w:rsid w:val="00997D8C"/>
    <w:rsid w:val="009A127E"/>
    <w:rsid w:val="009B6C53"/>
    <w:rsid w:val="009C19F6"/>
    <w:rsid w:val="009C3515"/>
    <w:rsid w:val="009C5DA0"/>
    <w:rsid w:val="00A043DE"/>
    <w:rsid w:val="00A051A9"/>
    <w:rsid w:val="00A2550C"/>
    <w:rsid w:val="00A55C44"/>
    <w:rsid w:val="00A56163"/>
    <w:rsid w:val="00A7124B"/>
    <w:rsid w:val="00A7625E"/>
    <w:rsid w:val="00AA3F1B"/>
    <w:rsid w:val="00AC1AB2"/>
    <w:rsid w:val="00AC4FEE"/>
    <w:rsid w:val="00AC5E2E"/>
    <w:rsid w:val="00AC6D2C"/>
    <w:rsid w:val="00AD3D71"/>
    <w:rsid w:val="00AD619D"/>
    <w:rsid w:val="00B07600"/>
    <w:rsid w:val="00B1297C"/>
    <w:rsid w:val="00B269C5"/>
    <w:rsid w:val="00B311D7"/>
    <w:rsid w:val="00B37B29"/>
    <w:rsid w:val="00B516A6"/>
    <w:rsid w:val="00B55163"/>
    <w:rsid w:val="00B65820"/>
    <w:rsid w:val="00B94A7C"/>
    <w:rsid w:val="00B97ED5"/>
    <w:rsid w:val="00BA6747"/>
    <w:rsid w:val="00BB1590"/>
    <w:rsid w:val="00BB19AB"/>
    <w:rsid w:val="00BC0494"/>
    <w:rsid w:val="00BC15A7"/>
    <w:rsid w:val="00BC38A2"/>
    <w:rsid w:val="00BC58F5"/>
    <w:rsid w:val="00BD69ED"/>
    <w:rsid w:val="00BF4044"/>
    <w:rsid w:val="00BF4BBB"/>
    <w:rsid w:val="00C1289F"/>
    <w:rsid w:val="00C236DD"/>
    <w:rsid w:val="00C27B04"/>
    <w:rsid w:val="00C43A43"/>
    <w:rsid w:val="00C46ED6"/>
    <w:rsid w:val="00C57300"/>
    <w:rsid w:val="00C61B00"/>
    <w:rsid w:val="00C61CC6"/>
    <w:rsid w:val="00C7459D"/>
    <w:rsid w:val="00C96B9A"/>
    <w:rsid w:val="00CB05CE"/>
    <w:rsid w:val="00CC3F36"/>
    <w:rsid w:val="00CC4FD5"/>
    <w:rsid w:val="00CC6E03"/>
    <w:rsid w:val="00CE0D7F"/>
    <w:rsid w:val="00CE4357"/>
    <w:rsid w:val="00D05EF6"/>
    <w:rsid w:val="00D14F69"/>
    <w:rsid w:val="00D16F2E"/>
    <w:rsid w:val="00D25AA2"/>
    <w:rsid w:val="00D2637D"/>
    <w:rsid w:val="00D273E0"/>
    <w:rsid w:val="00D33C58"/>
    <w:rsid w:val="00D446B5"/>
    <w:rsid w:val="00D50677"/>
    <w:rsid w:val="00D80F45"/>
    <w:rsid w:val="00D81A2D"/>
    <w:rsid w:val="00D967A8"/>
    <w:rsid w:val="00DA05F7"/>
    <w:rsid w:val="00DA1F6E"/>
    <w:rsid w:val="00DA7674"/>
    <w:rsid w:val="00DC2E8D"/>
    <w:rsid w:val="00DD7D8D"/>
    <w:rsid w:val="00DE2626"/>
    <w:rsid w:val="00DE7303"/>
    <w:rsid w:val="00DE76F2"/>
    <w:rsid w:val="00DF05B4"/>
    <w:rsid w:val="00DF5883"/>
    <w:rsid w:val="00E0259A"/>
    <w:rsid w:val="00E230AF"/>
    <w:rsid w:val="00E364AF"/>
    <w:rsid w:val="00E47FDE"/>
    <w:rsid w:val="00E55FA3"/>
    <w:rsid w:val="00E57C0F"/>
    <w:rsid w:val="00E64F5E"/>
    <w:rsid w:val="00E66C64"/>
    <w:rsid w:val="00E67EA2"/>
    <w:rsid w:val="00E749C6"/>
    <w:rsid w:val="00E8316C"/>
    <w:rsid w:val="00E8487B"/>
    <w:rsid w:val="00E863D0"/>
    <w:rsid w:val="00E87EAC"/>
    <w:rsid w:val="00E94CCE"/>
    <w:rsid w:val="00EA4AF5"/>
    <w:rsid w:val="00EA5752"/>
    <w:rsid w:val="00EB703A"/>
    <w:rsid w:val="00ED3CED"/>
    <w:rsid w:val="00EE1D69"/>
    <w:rsid w:val="00EE200D"/>
    <w:rsid w:val="00EE5484"/>
    <w:rsid w:val="00EF0FFC"/>
    <w:rsid w:val="00EF528E"/>
    <w:rsid w:val="00F02DEA"/>
    <w:rsid w:val="00F03396"/>
    <w:rsid w:val="00F034BA"/>
    <w:rsid w:val="00F124EB"/>
    <w:rsid w:val="00F21923"/>
    <w:rsid w:val="00F33A0D"/>
    <w:rsid w:val="00F45464"/>
    <w:rsid w:val="00F606B1"/>
    <w:rsid w:val="00F77DD2"/>
    <w:rsid w:val="00F805B0"/>
    <w:rsid w:val="00F903B8"/>
    <w:rsid w:val="00F909FF"/>
    <w:rsid w:val="00F949E5"/>
    <w:rsid w:val="00F97099"/>
    <w:rsid w:val="00FB218A"/>
    <w:rsid w:val="00FF45B6"/>
    <w:rsid w:val="00FF712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735B4"/>
  <w15:chartTrackingRefBased/>
  <w15:docId w15:val="{5A7F77F0-66D7-4972-81AB-A3F6036E9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ResimYazs">
    <w:name w:val="caption"/>
    <w:basedOn w:val="Normal"/>
    <w:next w:val="Normal"/>
    <w:uiPriority w:val="35"/>
    <w:semiHidden/>
    <w:unhideWhenUsed/>
    <w:qFormat/>
    <w:rsid w:val="005B0CED"/>
    <w:pPr>
      <w:spacing w:after="200" w:line="240" w:lineRule="auto"/>
    </w:pPr>
    <w:rPr>
      <w:i/>
      <w:iCs/>
      <w:color w:val="44546A" w:themeColor="text2"/>
      <w:sz w:val="18"/>
      <w:szCs w:val="18"/>
    </w:rPr>
  </w:style>
  <w:style w:type="paragraph" w:styleId="ListeParagraf">
    <w:name w:val="List Paragraph"/>
    <w:basedOn w:val="Normal"/>
    <w:uiPriority w:val="34"/>
    <w:qFormat/>
    <w:rsid w:val="00B55163"/>
    <w:pPr>
      <w:ind w:left="720"/>
      <w:contextualSpacing/>
    </w:pPr>
  </w:style>
  <w:style w:type="paragraph" w:styleId="DipnotMetni">
    <w:name w:val="footnote text"/>
    <w:basedOn w:val="Normal"/>
    <w:link w:val="DipnotMetniChar"/>
    <w:uiPriority w:val="99"/>
    <w:semiHidden/>
    <w:unhideWhenUsed/>
    <w:rsid w:val="00427A2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27A2F"/>
    <w:rPr>
      <w:sz w:val="20"/>
      <w:szCs w:val="20"/>
    </w:rPr>
  </w:style>
  <w:style w:type="character" w:styleId="DipnotBavurusu">
    <w:name w:val="footnote reference"/>
    <w:basedOn w:val="VarsaylanParagrafYazTipi"/>
    <w:uiPriority w:val="99"/>
    <w:semiHidden/>
    <w:unhideWhenUsed/>
    <w:rsid w:val="00427A2F"/>
    <w:rPr>
      <w:vertAlign w:val="superscript"/>
    </w:rPr>
  </w:style>
  <w:style w:type="paragraph" w:styleId="Dzeltme">
    <w:name w:val="Revision"/>
    <w:hidden/>
    <w:uiPriority w:val="99"/>
    <w:semiHidden/>
    <w:rsid w:val="000146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78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DBB9B-59B1-4D51-92AE-0B858498B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8</Pages>
  <Words>1750</Words>
  <Characters>9976</Characters>
  <Application>Microsoft Office Word</Application>
  <DocSecurity>0</DocSecurity>
  <Lines>83</Lines>
  <Paragraphs>23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Gokhan Sahin GUNES</dc:creator>
  <cp:keywords/>
  <dc:description/>
  <cp:lastModifiedBy>Merve Akgul</cp:lastModifiedBy>
  <cp:revision>26</cp:revision>
  <cp:lastPrinted>2022-06-29T11:21:00Z</cp:lastPrinted>
  <dcterms:created xsi:type="dcterms:W3CDTF">2022-07-06T11:59:00Z</dcterms:created>
  <dcterms:modified xsi:type="dcterms:W3CDTF">2022-07-08T07:51:00Z</dcterms:modified>
</cp:coreProperties>
</file>